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6" w14:textId="1E29410F" w:rsidR="00A758FD" w:rsidRPr="003666A4" w:rsidRDefault="00C81287" w:rsidP="003666A4">
      <w:pPr>
        <w:spacing w:after="160"/>
        <w:rPr>
          <w:b/>
          <w:sz w:val="36"/>
        </w:rPr>
      </w:pPr>
      <w:bookmarkStart w:id="0" w:name="_GoBack"/>
      <w:bookmarkEnd w:id="0"/>
      <w:r w:rsidRPr="003666A4">
        <w:rPr>
          <w:b/>
          <w:sz w:val="36"/>
        </w:rPr>
        <w:t>Chapter 5. Management; challenges, opportunities and lessons learned</w:t>
      </w:r>
      <w:r w:rsidRPr="000B4441">
        <w:rPr>
          <w:rStyle w:val="FootnoteReference"/>
          <w:b/>
          <w:bCs/>
          <w:sz w:val="36"/>
          <w:szCs w:val="36"/>
        </w:rPr>
        <w:footnoteReference w:id="2"/>
      </w:r>
    </w:p>
    <w:p w14:paraId="00000007" w14:textId="77777777" w:rsidR="00A758FD" w:rsidRPr="003666A4" w:rsidRDefault="00A758FD"/>
    <w:p w14:paraId="00000008" w14:textId="77777777" w:rsidR="00A758FD" w:rsidRPr="003666A4" w:rsidRDefault="00C81287">
      <w:pPr>
        <w:spacing w:before="240" w:after="120" w:line="240" w:lineRule="auto"/>
      </w:pPr>
      <w:r w:rsidRPr="003666A4">
        <w:rPr>
          <w:b/>
        </w:rPr>
        <w:t>Coordinating Lead Authors:</w:t>
      </w:r>
      <w:r w:rsidRPr="003666A4">
        <w:t xml:space="preserve"> Sankaran Kavileveettil (India), Andy W. Sheppard (Australia, United Kingdom of Great Britain and Northern Ireland, Canada, France/Australia), Evangelina Schwindt (Argentina)</w:t>
      </w:r>
    </w:p>
    <w:p w14:paraId="00000009" w14:textId="77777777" w:rsidR="00A758FD" w:rsidRPr="003666A4" w:rsidRDefault="00C81287">
      <w:pPr>
        <w:spacing w:before="240" w:after="120" w:line="240" w:lineRule="auto"/>
      </w:pPr>
      <w:r w:rsidRPr="003666A4">
        <w:rPr>
          <w:b/>
        </w:rPr>
        <w:t>Lead Authors:</w:t>
      </w:r>
      <w:r w:rsidRPr="003666A4">
        <w:t xml:space="preserve"> John K. Bukombe (Tanzania), Chika Egawa (Japan), Llewellyn C. Foxcroft (South Africa), Ana Isabel González Martínez (Mexico), Jana Müllerová (Czech Republic), Lora Peacock (New Zealand), Sonia Vanderhoeven (Belgium), Wycliffe Wanzala (Kenya), Rafael D. Zenni (Brazil)</w:t>
      </w:r>
    </w:p>
    <w:p w14:paraId="0000000A" w14:textId="77777777" w:rsidR="00A758FD" w:rsidRPr="003666A4" w:rsidRDefault="00C81287">
      <w:pPr>
        <w:spacing w:before="240" w:after="120" w:line="240" w:lineRule="auto"/>
      </w:pPr>
      <w:r w:rsidRPr="003666A4">
        <w:rPr>
          <w:b/>
        </w:rPr>
        <w:t xml:space="preserve">Fellows: </w:t>
      </w:r>
      <w:r w:rsidRPr="003666A4">
        <w:t>Maria L. Castillo (Czech Republic), Dongang C. Mangwa (Cameroon)</w:t>
      </w:r>
    </w:p>
    <w:p w14:paraId="0000000B" w14:textId="44337F5F" w:rsidR="00A758FD" w:rsidRPr="003666A4" w:rsidRDefault="00C81287">
      <w:pPr>
        <w:spacing w:before="240" w:after="120" w:line="240" w:lineRule="auto"/>
      </w:pPr>
      <w:r w:rsidRPr="003666A4">
        <w:rPr>
          <w:b/>
        </w:rPr>
        <w:t>Contributing Authors:</w:t>
      </w:r>
      <w:r w:rsidRPr="003666A4">
        <w:t xml:space="preserve"> Alisha </w:t>
      </w:r>
      <w:r w:rsidR="004D38BB">
        <w:t xml:space="preserve">R. </w:t>
      </w:r>
      <w:r w:rsidRPr="003666A4">
        <w:t xml:space="preserve">Anderson (Australia), Sam Beckett (Australia), Olaf Booy (United Kingdom of Great Britain and Northern Ireland), Chaeho Byun (Republic of Korea), Peter Caley (Australia), Joel C. Creed (United Kingdom of Great Britain and Northern Ireland/Brazil), Michele Dechoum (Brazil), Paul Downey (Australia), Judith L. Fisher (Australia), Bella S. Galil (Israel), Laura Garzoli (Italy), Ricardo E. Gürtler (Argentina), Christopher M. Hardy (Australia), Steve Henry (Australia), Benjamin D. Hoffmann (Australia), Nick D. Holmes (Canada, Australia/United States of America), Sabrina Kumschick (Switzerland/South Africa), Bernd Lenzner (Germany/Austria), Shana M. McDermott (United States of America), Justin Perry (Australia), </w:t>
      </w:r>
      <w:r>
        <w:t xml:space="preserve">Zenia P. Ruiz-Utrilla (Mexico), </w:t>
      </w:r>
      <w:r w:rsidRPr="003666A4">
        <w:t>Dena R. Spatz (United States of America), Tanja Strive (Germany/Australia), Justice A. Tambo (Ghana/Switzerland), Mark Tizard (Australia), Laura Verbrugge (Netherlands [Kingdom of the]/Finland), Joana R. Vicente (Portugal), Emanuela W. A. Weidlich (Brazil/Germany), David J. Will (United States of America), Sergio M. Zalba (Argentina)</w:t>
      </w:r>
    </w:p>
    <w:p w14:paraId="0000000C" w14:textId="77777777" w:rsidR="00A758FD" w:rsidRPr="003666A4" w:rsidRDefault="00C81287">
      <w:pPr>
        <w:spacing w:before="240" w:after="120" w:line="240" w:lineRule="auto"/>
      </w:pPr>
      <w:r w:rsidRPr="003666A4">
        <w:rPr>
          <w:b/>
        </w:rPr>
        <w:t>Review Editors:</w:t>
      </w:r>
      <w:r w:rsidRPr="003666A4">
        <w:t xml:space="preserve"> Shyama N. Pagad (New Zealand), Sílvia R. Ziller (Brazil)</w:t>
      </w:r>
    </w:p>
    <w:p w14:paraId="0000000D" w14:textId="77777777" w:rsidR="00A758FD" w:rsidRPr="003666A4" w:rsidRDefault="00C81287">
      <w:r w:rsidRPr="003666A4">
        <w:rPr>
          <w:b/>
        </w:rPr>
        <w:t>Technical support unit:</w:t>
      </w:r>
      <w:r w:rsidRPr="003666A4">
        <w:t xml:space="preserve"> Naoki Amako, Ryoko Kawakami, Tanara Renard Truong </w:t>
      </w:r>
    </w:p>
    <w:p w14:paraId="0000000E" w14:textId="4CC3BB95" w:rsidR="00A758FD" w:rsidRPr="003666A4" w:rsidRDefault="00C81287">
      <w:pPr>
        <w:spacing w:before="240" w:after="120" w:line="240" w:lineRule="auto"/>
        <w:rPr>
          <w:color w:val="333333"/>
        </w:rPr>
      </w:pPr>
      <w:r w:rsidRPr="003666A4">
        <w:rPr>
          <w:b/>
        </w:rPr>
        <w:t xml:space="preserve">This chapter should be cited as: </w:t>
      </w:r>
      <w:r>
        <w:t>Sankaran, K. V., Schwindt, E., Sheppard, A. W., Foxcroft, L. C., Vanderhoeven, S., Egawa, C., Peacock, L., Castillo, M. L., Zenni, R. D., Müllerová, J., González-Martínez, A. I., Bukombe, J. K., Wanzala, W., and Mangwa, D. C.</w:t>
      </w:r>
      <w:r w:rsidRPr="003666A4">
        <w:t xml:space="preserve"> (2023). Chapter 5: Management; challenges, opportunities and lessons learned. In: Thematic Assessment Report on Invasive Alien Species and their Control of the Intergovernmental Science-Policy Platform on Biodiversity and Ecosystem Services. Roy, H. E., Pauchard, A., Stoett, P., and Renard Truong, T. (eds.). IPBES secretariat, Bonn, Germany. </w:t>
      </w:r>
      <w:hyperlink r:id="rId15">
        <w:r>
          <w:rPr>
            <w:color w:val="0563C1"/>
            <w:u w:val="single"/>
          </w:rPr>
          <w:t>https://doi.org/10.5281/zenodo.7430733</w:t>
        </w:r>
      </w:hyperlink>
    </w:p>
    <w:p w14:paraId="0000000F" w14:textId="77777777" w:rsidR="00A758FD" w:rsidRPr="003666A4" w:rsidRDefault="00C81287">
      <w:pPr>
        <w:spacing w:after="160"/>
        <w:rPr>
          <w:b/>
        </w:rPr>
      </w:pPr>
      <w:r w:rsidRPr="003666A4">
        <w:br w:type="page"/>
      </w:r>
    </w:p>
    <w:p w14:paraId="00000010" w14:textId="77777777" w:rsidR="00A758FD" w:rsidRPr="00271B78" w:rsidRDefault="00A758FD">
      <w:pPr>
        <w:tabs>
          <w:tab w:val="left" w:pos="4098"/>
        </w:tabs>
        <w:spacing w:before="240" w:after="120" w:line="240" w:lineRule="auto"/>
        <w:rPr>
          <w:b/>
          <w:i/>
          <w:sz w:val="20"/>
        </w:rPr>
      </w:pPr>
    </w:p>
    <w:p w14:paraId="00000011" w14:textId="77777777" w:rsidR="00A758FD" w:rsidRPr="003666A4" w:rsidRDefault="00A758FD">
      <w:pPr>
        <w:tabs>
          <w:tab w:val="left" w:pos="4098"/>
        </w:tabs>
        <w:spacing w:before="240" w:after="120" w:line="240" w:lineRule="auto"/>
        <w:rPr>
          <w:b/>
          <w:i/>
          <w:sz w:val="20"/>
        </w:rPr>
      </w:pPr>
    </w:p>
    <w:p w14:paraId="00000012" w14:textId="77777777" w:rsidR="00A758FD" w:rsidRPr="003666A4" w:rsidRDefault="00A758FD">
      <w:pPr>
        <w:tabs>
          <w:tab w:val="left" w:pos="4098"/>
        </w:tabs>
        <w:spacing w:before="240" w:after="120" w:line="240" w:lineRule="auto"/>
        <w:rPr>
          <w:b/>
          <w:i/>
          <w:sz w:val="20"/>
        </w:rPr>
      </w:pPr>
    </w:p>
    <w:p w14:paraId="00000013" w14:textId="77777777" w:rsidR="00A758FD" w:rsidRPr="003666A4" w:rsidRDefault="00A758FD">
      <w:pPr>
        <w:tabs>
          <w:tab w:val="left" w:pos="4098"/>
        </w:tabs>
        <w:spacing w:before="240" w:after="120" w:line="240" w:lineRule="auto"/>
        <w:rPr>
          <w:b/>
          <w:i/>
          <w:sz w:val="20"/>
        </w:rPr>
      </w:pPr>
    </w:p>
    <w:p w14:paraId="00000014" w14:textId="77777777" w:rsidR="00A758FD" w:rsidRPr="003666A4" w:rsidRDefault="00A758FD">
      <w:pPr>
        <w:tabs>
          <w:tab w:val="left" w:pos="4098"/>
        </w:tabs>
        <w:spacing w:before="240" w:after="120" w:line="240" w:lineRule="auto"/>
        <w:rPr>
          <w:b/>
          <w:i/>
          <w:sz w:val="20"/>
        </w:rPr>
      </w:pPr>
    </w:p>
    <w:p w14:paraId="00000015" w14:textId="77777777" w:rsidR="00A758FD" w:rsidRPr="003666A4" w:rsidRDefault="00A758FD">
      <w:pPr>
        <w:tabs>
          <w:tab w:val="left" w:pos="4098"/>
        </w:tabs>
        <w:spacing w:before="240" w:after="120" w:line="240" w:lineRule="auto"/>
        <w:rPr>
          <w:b/>
          <w:i/>
          <w:sz w:val="20"/>
        </w:rPr>
      </w:pPr>
    </w:p>
    <w:p w14:paraId="00000016" w14:textId="77777777" w:rsidR="00A758FD" w:rsidRPr="003666A4" w:rsidRDefault="00A758FD">
      <w:pPr>
        <w:tabs>
          <w:tab w:val="left" w:pos="4098"/>
        </w:tabs>
        <w:spacing w:before="240" w:after="120" w:line="240" w:lineRule="auto"/>
        <w:rPr>
          <w:b/>
          <w:i/>
          <w:sz w:val="20"/>
        </w:rPr>
      </w:pPr>
    </w:p>
    <w:p w14:paraId="00000017" w14:textId="77777777" w:rsidR="00A758FD" w:rsidRPr="003666A4" w:rsidRDefault="00A758FD">
      <w:pPr>
        <w:tabs>
          <w:tab w:val="left" w:pos="4098"/>
        </w:tabs>
        <w:spacing w:before="240" w:after="120" w:line="240" w:lineRule="auto"/>
        <w:rPr>
          <w:b/>
          <w:i/>
          <w:sz w:val="20"/>
        </w:rPr>
      </w:pPr>
    </w:p>
    <w:p w14:paraId="00000018" w14:textId="77777777" w:rsidR="00A758FD" w:rsidRPr="003666A4" w:rsidRDefault="00A758FD">
      <w:pPr>
        <w:tabs>
          <w:tab w:val="left" w:pos="4098"/>
        </w:tabs>
        <w:spacing w:before="240" w:after="120" w:line="240" w:lineRule="auto"/>
        <w:rPr>
          <w:b/>
          <w:i/>
          <w:sz w:val="20"/>
        </w:rPr>
      </w:pPr>
    </w:p>
    <w:p w14:paraId="00000019" w14:textId="77777777" w:rsidR="00A758FD" w:rsidRPr="003666A4" w:rsidRDefault="00A758FD">
      <w:pPr>
        <w:tabs>
          <w:tab w:val="left" w:pos="4098"/>
        </w:tabs>
        <w:spacing w:before="240" w:after="120" w:line="240" w:lineRule="auto"/>
        <w:rPr>
          <w:b/>
          <w:i/>
          <w:sz w:val="20"/>
        </w:rPr>
      </w:pPr>
    </w:p>
    <w:p w14:paraId="0000001A" w14:textId="77777777" w:rsidR="00A758FD" w:rsidRPr="003666A4" w:rsidRDefault="00A758FD">
      <w:pPr>
        <w:tabs>
          <w:tab w:val="left" w:pos="4098"/>
        </w:tabs>
        <w:spacing w:before="240" w:after="120" w:line="240" w:lineRule="auto"/>
        <w:rPr>
          <w:b/>
          <w:i/>
          <w:sz w:val="20"/>
        </w:rPr>
      </w:pPr>
    </w:p>
    <w:p w14:paraId="0000001B" w14:textId="77777777" w:rsidR="00A758FD" w:rsidRPr="003666A4" w:rsidRDefault="00A758FD">
      <w:pPr>
        <w:tabs>
          <w:tab w:val="left" w:pos="4098"/>
        </w:tabs>
        <w:spacing w:before="240" w:after="120" w:line="240" w:lineRule="auto"/>
        <w:rPr>
          <w:b/>
          <w:i/>
          <w:sz w:val="20"/>
        </w:rPr>
      </w:pPr>
    </w:p>
    <w:p w14:paraId="0000001C" w14:textId="77777777" w:rsidR="00A758FD" w:rsidRPr="003666A4" w:rsidRDefault="00A758FD">
      <w:pPr>
        <w:tabs>
          <w:tab w:val="left" w:pos="4098"/>
        </w:tabs>
        <w:spacing w:before="240" w:after="120" w:line="240" w:lineRule="auto"/>
        <w:rPr>
          <w:b/>
          <w:i/>
          <w:sz w:val="20"/>
        </w:rPr>
      </w:pPr>
    </w:p>
    <w:p w14:paraId="0000001D" w14:textId="77777777" w:rsidR="00A758FD" w:rsidRPr="003666A4" w:rsidRDefault="00A758FD">
      <w:pPr>
        <w:tabs>
          <w:tab w:val="left" w:pos="4098"/>
        </w:tabs>
        <w:spacing w:before="240" w:after="120" w:line="240" w:lineRule="auto"/>
        <w:rPr>
          <w:b/>
          <w:i/>
          <w:sz w:val="20"/>
        </w:rPr>
      </w:pPr>
    </w:p>
    <w:p w14:paraId="0000001E" w14:textId="77777777" w:rsidR="00A758FD" w:rsidRPr="003666A4" w:rsidRDefault="00A758FD">
      <w:pPr>
        <w:tabs>
          <w:tab w:val="left" w:pos="4098"/>
        </w:tabs>
        <w:spacing w:before="240" w:after="120" w:line="240" w:lineRule="auto"/>
        <w:rPr>
          <w:b/>
          <w:i/>
          <w:sz w:val="20"/>
        </w:rPr>
      </w:pPr>
    </w:p>
    <w:p w14:paraId="0000001F" w14:textId="77777777" w:rsidR="00A758FD" w:rsidRPr="003666A4" w:rsidRDefault="00A758FD">
      <w:pPr>
        <w:tabs>
          <w:tab w:val="left" w:pos="4098"/>
        </w:tabs>
        <w:spacing w:before="240" w:after="120" w:line="240" w:lineRule="auto"/>
        <w:rPr>
          <w:b/>
          <w:i/>
          <w:sz w:val="20"/>
        </w:rPr>
      </w:pPr>
    </w:p>
    <w:p w14:paraId="00000020" w14:textId="77777777" w:rsidR="00A758FD" w:rsidRPr="003666A4" w:rsidRDefault="00A758FD">
      <w:pPr>
        <w:tabs>
          <w:tab w:val="left" w:pos="4098"/>
        </w:tabs>
        <w:spacing w:before="240" w:after="120" w:line="240" w:lineRule="auto"/>
        <w:rPr>
          <w:b/>
          <w:i/>
          <w:sz w:val="20"/>
        </w:rPr>
      </w:pPr>
    </w:p>
    <w:p w14:paraId="00000021" w14:textId="77777777" w:rsidR="00A758FD" w:rsidRPr="003666A4" w:rsidRDefault="00A758FD">
      <w:pPr>
        <w:tabs>
          <w:tab w:val="left" w:pos="4098"/>
        </w:tabs>
        <w:spacing w:before="240" w:after="120" w:line="240" w:lineRule="auto"/>
        <w:rPr>
          <w:b/>
          <w:i/>
          <w:sz w:val="20"/>
        </w:rPr>
      </w:pPr>
    </w:p>
    <w:p w14:paraId="00000022" w14:textId="77777777" w:rsidR="00A758FD" w:rsidRPr="003666A4" w:rsidRDefault="00A758FD">
      <w:pPr>
        <w:tabs>
          <w:tab w:val="left" w:pos="4098"/>
        </w:tabs>
        <w:spacing w:before="240" w:after="120" w:line="240" w:lineRule="auto"/>
        <w:rPr>
          <w:b/>
          <w:i/>
          <w:sz w:val="20"/>
        </w:rPr>
      </w:pPr>
    </w:p>
    <w:p w14:paraId="00000023" w14:textId="77777777" w:rsidR="00A758FD" w:rsidRPr="003666A4" w:rsidRDefault="00A758FD">
      <w:pPr>
        <w:tabs>
          <w:tab w:val="left" w:pos="4098"/>
        </w:tabs>
        <w:spacing w:before="240" w:after="120" w:line="240" w:lineRule="auto"/>
        <w:rPr>
          <w:b/>
          <w:i/>
          <w:sz w:val="20"/>
        </w:rPr>
      </w:pPr>
    </w:p>
    <w:p w14:paraId="00000024" w14:textId="77777777" w:rsidR="00A758FD" w:rsidRPr="003666A4" w:rsidRDefault="00A758FD">
      <w:pPr>
        <w:tabs>
          <w:tab w:val="left" w:pos="4098"/>
        </w:tabs>
        <w:spacing w:before="240" w:after="120" w:line="240" w:lineRule="auto"/>
        <w:rPr>
          <w:b/>
          <w:i/>
          <w:sz w:val="20"/>
        </w:rPr>
      </w:pPr>
    </w:p>
    <w:p w14:paraId="00000025" w14:textId="77777777" w:rsidR="00A758FD" w:rsidRPr="003666A4" w:rsidRDefault="00A758FD">
      <w:pPr>
        <w:tabs>
          <w:tab w:val="left" w:pos="4098"/>
        </w:tabs>
        <w:spacing w:before="240" w:after="120" w:line="240" w:lineRule="auto"/>
        <w:rPr>
          <w:b/>
          <w:i/>
          <w:sz w:val="20"/>
        </w:rPr>
      </w:pPr>
    </w:p>
    <w:p w14:paraId="00000026" w14:textId="77777777" w:rsidR="00A758FD" w:rsidRPr="003666A4" w:rsidRDefault="00A758FD">
      <w:pPr>
        <w:tabs>
          <w:tab w:val="left" w:pos="4098"/>
        </w:tabs>
        <w:spacing w:before="240" w:after="120" w:line="240" w:lineRule="auto"/>
        <w:rPr>
          <w:b/>
          <w:i/>
          <w:sz w:val="20"/>
        </w:rPr>
      </w:pPr>
    </w:p>
    <w:p w14:paraId="00000027" w14:textId="77777777" w:rsidR="00A758FD" w:rsidRPr="003666A4" w:rsidRDefault="00A758FD">
      <w:pPr>
        <w:tabs>
          <w:tab w:val="left" w:pos="4098"/>
        </w:tabs>
        <w:spacing w:before="240" w:after="120" w:line="240" w:lineRule="auto"/>
        <w:rPr>
          <w:b/>
          <w:i/>
          <w:sz w:val="20"/>
        </w:rPr>
      </w:pPr>
    </w:p>
    <w:p w14:paraId="00000028" w14:textId="77777777" w:rsidR="00A758FD" w:rsidRPr="003666A4" w:rsidRDefault="00A758FD">
      <w:pPr>
        <w:tabs>
          <w:tab w:val="left" w:pos="4098"/>
        </w:tabs>
        <w:spacing w:before="240" w:after="120" w:line="240" w:lineRule="auto"/>
        <w:rPr>
          <w:b/>
          <w:i/>
          <w:sz w:val="20"/>
        </w:rPr>
      </w:pPr>
    </w:p>
    <w:p w14:paraId="00000029" w14:textId="77777777" w:rsidR="00A758FD" w:rsidRPr="003666A4" w:rsidRDefault="00A758FD">
      <w:pPr>
        <w:tabs>
          <w:tab w:val="left" w:pos="4098"/>
        </w:tabs>
        <w:spacing w:before="240" w:after="120" w:line="240" w:lineRule="auto"/>
        <w:rPr>
          <w:b/>
          <w:i/>
          <w:sz w:val="20"/>
        </w:rPr>
      </w:pPr>
    </w:p>
    <w:p w14:paraId="0000002A" w14:textId="77777777" w:rsidR="00A758FD" w:rsidRPr="003666A4" w:rsidRDefault="00A758FD">
      <w:pPr>
        <w:tabs>
          <w:tab w:val="left" w:pos="4098"/>
        </w:tabs>
        <w:spacing w:before="240" w:after="120" w:line="240" w:lineRule="auto"/>
        <w:rPr>
          <w:b/>
          <w:i/>
          <w:sz w:val="20"/>
        </w:rPr>
      </w:pPr>
    </w:p>
    <w:p w14:paraId="0000002B" w14:textId="77777777" w:rsidR="00A758FD" w:rsidRPr="003666A4" w:rsidRDefault="00C81287">
      <w:pPr>
        <w:tabs>
          <w:tab w:val="left" w:pos="4098"/>
        </w:tabs>
        <w:spacing w:before="240" w:after="120" w:line="240" w:lineRule="auto"/>
      </w:pPr>
      <w:r w:rsidRPr="003666A4">
        <w:rPr>
          <w:b/>
          <w:i/>
          <w:sz w:val="20"/>
        </w:rPr>
        <w:t>Disclaimer on maps</w:t>
      </w:r>
    </w:p>
    <w:p w14:paraId="0000002C" w14:textId="06AA2A38" w:rsidR="00A758FD" w:rsidRPr="003666A4" w:rsidRDefault="00C81287">
      <w:pPr>
        <w:spacing w:before="240" w:after="240"/>
        <w:rPr>
          <w:b/>
        </w:rPr>
      </w:pPr>
      <w:r w:rsidRPr="003666A4">
        <w:rPr>
          <w:i/>
          <w:sz w:val="20"/>
        </w:rPr>
        <w:t xml:space="preserve">The designations employed and the presentation of material on the maps used in the present report do not imply the expression of any opinion whatsoever on the part of the Intergovernmental Science-Policy Platform on Biodiversity and Ecosystem </w:t>
      </w:r>
      <w:r w:rsidR="004D38BB">
        <w:rPr>
          <w:i/>
          <w:sz w:val="20"/>
        </w:rPr>
        <w:t>S</w:t>
      </w:r>
      <w:r w:rsidRPr="003666A4">
        <w:rPr>
          <w:i/>
          <w:sz w:val="20"/>
        </w:rPr>
        <w:t>ervices concerning the legal status of any country, territory, city or area or of its authorities, or concerning the delimitation of its frontiers or boundaries. These maps have been prepared or used for the sole purpose of facilitating the assessment of the broad biogeographical areas represented therein.</w:t>
      </w:r>
      <w:r w:rsidRPr="003666A4">
        <w:br w:type="page"/>
      </w:r>
    </w:p>
    <w:p w14:paraId="0000002D" w14:textId="77777777" w:rsidR="00A758FD" w:rsidRPr="003666A4" w:rsidRDefault="00C81287">
      <w:pPr>
        <w:spacing w:before="240" w:after="120" w:line="240" w:lineRule="auto"/>
        <w:rPr>
          <w:b/>
          <w:sz w:val="36"/>
        </w:rPr>
      </w:pPr>
      <w:r w:rsidRPr="003666A4">
        <w:rPr>
          <w:b/>
          <w:sz w:val="36"/>
        </w:rPr>
        <w:lastRenderedPageBreak/>
        <w:t>Chapter 5. Management; challenges, opportunities and lessons learned</w:t>
      </w:r>
    </w:p>
    <w:p w14:paraId="0000002E" w14:textId="77777777" w:rsidR="00A758FD" w:rsidRPr="003666A4" w:rsidRDefault="00C81287">
      <w:pPr>
        <w:spacing w:before="240" w:after="120" w:line="240" w:lineRule="auto"/>
        <w:rPr>
          <w:b/>
        </w:rPr>
      </w:pPr>
      <w:r w:rsidRPr="003666A4">
        <w:rPr>
          <w:b/>
          <w:sz w:val="36"/>
        </w:rPr>
        <w:t>Contents</w:t>
      </w:r>
    </w:p>
    <w:p w14:paraId="191CCB26" w14:textId="3C57B059" w:rsidR="004303CB" w:rsidRDefault="0037486E" w:rsidP="004303CB">
      <w:pPr>
        <w:pStyle w:val="TOC1"/>
        <w:spacing w:after="0" w:line="240" w:lineRule="auto"/>
        <w:contextualSpacing/>
        <w:rPr>
          <w:rFonts w:asciiTheme="minorHAnsi" w:hAnsiTheme="minorHAnsi" w:cstheme="minorBidi"/>
          <w:b w:val="0"/>
          <w:bCs w:val="0"/>
          <w:lang w:val="en-US" w:eastAsia="ja-JP"/>
        </w:rPr>
      </w:pPr>
      <w:r w:rsidRPr="00837161">
        <w:fldChar w:fldCharType="begin"/>
      </w:r>
      <w:r w:rsidRPr="00837161">
        <w:instrText xml:space="preserve"> TOC \o "1-2" \h \z \u </w:instrText>
      </w:r>
      <w:r w:rsidRPr="00837161">
        <w:fldChar w:fldCharType="separate"/>
      </w:r>
      <w:hyperlink w:anchor="_Toc149555463" w:history="1">
        <w:r w:rsidR="004303CB" w:rsidRPr="00747B87">
          <w:rPr>
            <w:rStyle w:val="Hyperlink"/>
          </w:rPr>
          <w:t>Executive summary</w:t>
        </w:r>
        <w:r w:rsidR="004303CB">
          <w:rPr>
            <w:webHidden/>
          </w:rPr>
          <w:tab/>
        </w:r>
        <w:r w:rsidR="004303CB">
          <w:rPr>
            <w:webHidden/>
          </w:rPr>
          <w:fldChar w:fldCharType="begin"/>
        </w:r>
        <w:r w:rsidR="004303CB">
          <w:rPr>
            <w:webHidden/>
          </w:rPr>
          <w:instrText xml:space="preserve"> PAGEREF _Toc149555463 \h </w:instrText>
        </w:r>
        <w:r w:rsidR="004303CB">
          <w:rPr>
            <w:webHidden/>
          </w:rPr>
        </w:r>
        <w:r w:rsidR="004303CB">
          <w:rPr>
            <w:webHidden/>
          </w:rPr>
          <w:fldChar w:fldCharType="separate"/>
        </w:r>
        <w:r w:rsidR="00497022">
          <w:rPr>
            <w:webHidden/>
          </w:rPr>
          <w:t>1</w:t>
        </w:r>
        <w:r w:rsidR="004303CB">
          <w:rPr>
            <w:webHidden/>
          </w:rPr>
          <w:fldChar w:fldCharType="end"/>
        </w:r>
      </w:hyperlink>
    </w:p>
    <w:p w14:paraId="00AA39A4" w14:textId="225D048E"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64" w:history="1">
        <w:r w:rsidR="004303CB" w:rsidRPr="00747B87">
          <w:rPr>
            <w:rStyle w:val="Hyperlink"/>
          </w:rPr>
          <w:t>5.1. Introduction</w:t>
        </w:r>
        <w:r w:rsidR="004303CB">
          <w:rPr>
            <w:webHidden/>
          </w:rPr>
          <w:tab/>
        </w:r>
        <w:r w:rsidR="004303CB">
          <w:rPr>
            <w:webHidden/>
          </w:rPr>
          <w:fldChar w:fldCharType="begin"/>
        </w:r>
        <w:r w:rsidR="004303CB">
          <w:rPr>
            <w:webHidden/>
          </w:rPr>
          <w:instrText xml:space="preserve"> PAGEREF _Toc149555464 \h </w:instrText>
        </w:r>
        <w:r w:rsidR="004303CB">
          <w:rPr>
            <w:webHidden/>
          </w:rPr>
        </w:r>
        <w:r w:rsidR="004303CB">
          <w:rPr>
            <w:webHidden/>
          </w:rPr>
          <w:fldChar w:fldCharType="separate"/>
        </w:r>
        <w:r w:rsidR="00497022">
          <w:rPr>
            <w:webHidden/>
          </w:rPr>
          <w:t>4</w:t>
        </w:r>
        <w:r w:rsidR="004303CB">
          <w:rPr>
            <w:webHidden/>
          </w:rPr>
          <w:fldChar w:fldCharType="end"/>
        </w:r>
      </w:hyperlink>
    </w:p>
    <w:p w14:paraId="1D71EAF9" w14:textId="7A360D03" w:rsidR="004303CB" w:rsidRDefault="00BF75D1" w:rsidP="004303CB">
      <w:pPr>
        <w:pStyle w:val="TOC2"/>
        <w:rPr>
          <w:rFonts w:asciiTheme="minorHAnsi" w:hAnsiTheme="minorHAnsi" w:cstheme="minorBidi"/>
          <w:noProof/>
          <w:lang w:val="en-US" w:eastAsia="ja-JP"/>
        </w:rPr>
      </w:pPr>
      <w:hyperlink w:anchor="_Toc149555465" w:history="1">
        <w:r w:rsidR="004303CB" w:rsidRPr="00747B87">
          <w:rPr>
            <w:rStyle w:val="Hyperlink"/>
            <w:noProof/>
          </w:rPr>
          <w:t>5.1.1. Biological invasion management continuum</w:t>
        </w:r>
        <w:r w:rsidR="004303CB">
          <w:rPr>
            <w:noProof/>
            <w:webHidden/>
          </w:rPr>
          <w:tab/>
        </w:r>
        <w:r w:rsidR="004303CB">
          <w:rPr>
            <w:noProof/>
            <w:webHidden/>
          </w:rPr>
          <w:fldChar w:fldCharType="begin"/>
        </w:r>
        <w:r w:rsidR="004303CB">
          <w:rPr>
            <w:noProof/>
            <w:webHidden/>
          </w:rPr>
          <w:instrText xml:space="preserve"> PAGEREF _Toc149555465 \h </w:instrText>
        </w:r>
        <w:r w:rsidR="004303CB">
          <w:rPr>
            <w:noProof/>
            <w:webHidden/>
          </w:rPr>
        </w:r>
        <w:r w:rsidR="004303CB">
          <w:rPr>
            <w:noProof/>
            <w:webHidden/>
          </w:rPr>
          <w:fldChar w:fldCharType="separate"/>
        </w:r>
        <w:r w:rsidR="00497022">
          <w:rPr>
            <w:noProof/>
            <w:webHidden/>
          </w:rPr>
          <w:t>5</w:t>
        </w:r>
        <w:r w:rsidR="004303CB">
          <w:rPr>
            <w:noProof/>
            <w:webHidden/>
          </w:rPr>
          <w:fldChar w:fldCharType="end"/>
        </w:r>
      </w:hyperlink>
    </w:p>
    <w:p w14:paraId="3650143F" w14:textId="0B52946F" w:rsidR="004303CB" w:rsidRDefault="00BF75D1" w:rsidP="004303CB">
      <w:pPr>
        <w:pStyle w:val="TOC2"/>
        <w:rPr>
          <w:rFonts w:asciiTheme="minorHAnsi" w:hAnsiTheme="minorHAnsi" w:cstheme="minorBidi"/>
          <w:noProof/>
          <w:lang w:val="en-US" w:eastAsia="ja-JP"/>
        </w:rPr>
      </w:pPr>
      <w:hyperlink w:anchor="_Toc149555466" w:history="1">
        <w:r w:rsidR="004303CB" w:rsidRPr="00747B87">
          <w:rPr>
            <w:rStyle w:val="Hyperlink"/>
            <w:noProof/>
          </w:rPr>
          <w:t>5.1.2. Scope of the chapter</w:t>
        </w:r>
        <w:r w:rsidR="004303CB">
          <w:rPr>
            <w:noProof/>
            <w:webHidden/>
          </w:rPr>
          <w:tab/>
        </w:r>
        <w:r w:rsidR="004303CB">
          <w:rPr>
            <w:noProof/>
            <w:webHidden/>
          </w:rPr>
          <w:fldChar w:fldCharType="begin"/>
        </w:r>
        <w:r w:rsidR="004303CB">
          <w:rPr>
            <w:noProof/>
            <w:webHidden/>
          </w:rPr>
          <w:instrText xml:space="preserve"> PAGEREF _Toc149555466 \h </w:instrText>
        </w:r>
        <w:r w:rsidR="004303CB">
          <w:rPr>
            <w:noProof/>
            <w:webHidden/>
          </w:rPr>
        </w:r>
        <w:r w:rsidR="004303CB">
          <w:rPr>
            <w:noProof/>
            <w:webHidden/>
          </w:rPr>
          <w:fldChar w:fldCharType="separate"/>
        </w:r>
        <w:r w:rsidR="00497022">
          <w:rPr>
            <w:noProof/>
            <w:webHidden/>
          </w:rPr>
          <w:t>8</w:t>
        </w:r>
        <w:r w:rsidR="004303CB">
          <w:rPr>
            <w:noProof/>
            <w:webHidden/>
          </w:rPr>
          <w:fldChar w:fldCharType="end"/>
        </w:r>
      </w:hyperlink>
    </w:p>
    <w:p w14:paraId="3925864C" w14:textId="25D96D45" w:rsidR="004303CB" w:rsidRDefault="00BF75D1" w:rsidP="004303CB">
      <w:pPr>
        <w:pStyle w:val="TOC2"/>
        <w:rPr>
          <w:rFonts w:asciiTheme="minorHAnsi" w:hAnsiTheme="minorHAnsi" w:cstheme="minorBidi"/>
          <w:noProof/>
          <w:lang w:val="en-US" w:eastAsia="ja-JP"/>
        </w:rPr>
      </w:pPr>
      <w:hyperlink w:anchor="_Toc149555467" w:history="1">
        <w:r w:rsidR="004303CB" w:rsidRPr="00747B87">
          <w:rPr>
            <w:rStyle w:val="Hyperlink"/>
            <w:noProof/>
          </w:rPr>
          <w:t>5.1.3. Management: challenges and opportunities</w:t>
        </w:r>
        <w:r w:rsidR="004303CB">
          <w:rPr>
            <w:noProof/>
            <w:webHidden/>
          </w:rPr>
          <w:tab/>
        </w:r>
        <w:r w:rsidR="004303CB">
          <w:rPr>
            <w:noProof/>
            <w:webHidden/>
          </w:rPr>
          <w:fldChar w:fldCharType="begin"/>
        </w:r>
        <w:r w:rsidR="004303CB">
          <w:rPr>
            <w:noProof/>
            <w:webHidden/>
          </w:rPr>
          <w:instrText xml:space="preserve"> PAGEREF _Toc149555467 \h </w:instrText>
        </w:r>
        <w:r w:rsidR="004303CB">
          <w:rPr>
            <w:noProof/>
            <w:webHidden/>
          </w:rPr>
        </w:r>
        <w:r w:rsidR="004303CB">
          <w:rPr>
            <w:noProof/>
            <w:webHidden/>
          </w:rPr>
          <w:fldChar w:fldCharType="separate"/>
        </w:r>
        <w:r w:rsidR="00497022">
          <w:rPr>
            <w:noProof/>
            <w:webHidden/>
          </w:rPr>
          <w:t>9</w:t>
        </w:r>
        <w:r w:rsidR="004303CB">
          <w:rPr>
            <w:noProof/>
            <w:webHidden/>
          </w:rPr>
          <w:fldChar w:fldCharType="end"/>
        </w:r>
      </w:hyperlink>
    </w:p>
    <w:p w14:paraId="6F9DE5D4" w14:textId="1A386D22"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68" w:history="1">
        <w:r w:rsidR="004303CB" w:rsidRPr="00747B87">
          <w:rPr>
            <w:rStyle w:val="Hyperlink"/>
          </w:rPr>
          <w:t>5.2. Evidence based decision-making</w:t>
        </w:r>
        <w:r w:rsidR="004303CB">
          <w:rPr>
            <w:webHidden/>
          </w:rPr>
          <w:tab/>
        </w:r>
        <w:r w:rsidR="004303CB">
          <w:rPr>
            <w:webHidden/>
          </w:rPr>
          <w:fldChar w:fldCharType="begin"/>
        </w:r>
        <w:r w:rsidR="004303CB">
          <w:rPr>
            <w:webHidden/>
          </w:rPr>
          <w:instrText xml:space="preserve"> PAGEREF _Toc149555468 \h </w:instrText>
        </w:r>
        <w:r w:rsidR="004303CB">
          <w:rPr>
            <w:webHidden/>
          </w:rPr>
        </w:r>
        <w:r w:rsidR="004303CB">
          <w:rPr>
            <w:webHidden/>
          </w:rPr>
          <w:fldChar w:fldCharType="separate"/>
        </w:r>
        <w:r w:rsidR="00497022">
          <w:rPr>
            <w:webHidden/>
          </w:rPr>
          <w:t>11</w:t>
        </w:r>
        <w:r w:rsidR="004303CB">
          <w:rPr>
            <w:webHidden/>
          </w:rPr>
          <w:fldChar w:fldCharType="end"/>
        </w:r>
      </w:hyperlink>
    </w:p>
    <w:p w14:paraId="1786D627" w14:textId="5CEBD01B" w:rsidR="004303CB" w:rsidRDefault="00BF75D1" w:rsidP="004303CB">
      <w:pPr>
        <w:pStyle w:val="TOC2"/>
        <w:rPr>
          <w:rFonts w:asciiTheme="minorHAnsi" w:hAnsiTheme="minorHAnsi" w:cstheme="minorBidi"/>
          <w:noProof/>
          <w:lang w:val="en-US" w:eastAsia="ja-JP"/>
        </w:rPr>
      </w:pPr>
      <w:hyperlink w:anchor="_Toc149555469" w:history="1">
        <w:r w:rsidR="004303CB" w:rsidRPr="00747B87">
          <w:rPr>
            <w:rStyle w:val="Hyperlink"/>
            <w:noProof/>
          </w:rPr>
          <w:t>5.2.1. Stakeholder community engagement and knowledge-sharing frameworks for developing communities of practice</w:t>
        </w:r>
        <w:r w:rsidR="004303CB">
          <w:rPr>
            <w:noProof/>
            <w:webHidden/>
          </w:rPr>
          <w:tab/>
        </w:r>
        <w:r w:rsidR="004303CB">
          <w:rPr>
            <w:noProof/>
            <w:webHidden/>
          </w:rPr>
          <w:fldChar w:fldCharType="begin"/>
        </w:r>
        <w:r w:rsidR="004303CB">
          <w:rPr>
            <w:noProof/>
            <w:webHidden/>
          </w:rPr>
          <w:instrText xml:space="preserve"> PAGEREF _Toc149555469 \h </w:instrText>
        </w:r>
        <w:r w:rsidR="004303CB">
          <w:rPr>
            <w:noProof/>
            <w:webHidden/>
          </w:rPr>
        </w:r>
        <w:r w:rsidR="004303CB">
          <w:rPr>
            <w:noProof/>
            <w:webHidden/>
          </w:rPr>
          <w:fldChar w:fldCharType="separate"/>
        </w:r>
        <w:r w:rsidR="00497022">
          <w:rPr>
            <w:noProof/>
            <w:webHidden/>
          </w:rPr>
          <w:t>11</w:t>
        </w:r>
        <w:r w:rsidR="004303CB">
          <w:rPr>
            <w:noProof/>
            <w:webHidden/>
          </w:rPr>
          <w:fldChar w:fldCharType="end"/>
        </w:r>
      </w:hyperlink>
    </w:p>
    <w:p w14:paraId="2AD24B72" w14:textId="506A85B4" w:rsidR="004303CB" w:rsidRDefault="00BF75D1" w:rsidP="004303CB">
      <w:pPr>
        <w:pStyle w:val="TOC2"/>
        <w:rPr>
          <w:rFonts w:asciiTheme="minorHAnsi" w:hAnsiTheme="minorHAnsi" w:cstheme="minorBidi"/>
          <w:noProof/>
          <w:lang w:val="en-US" w:eastAsia="ja-JP"/>
        </w:rPr>
      </w:pPr>
      <w:hyperlink w:anchor="_Toc149555470" w:history="1">
        <w:r w:rsidR="004303CB" w:rsidRPr="00747B87">
          <w:rPr>
            <w:rStyle w:val="Hyperlink"/>
            <w:noProof/>
          </w:rPr>
          <w:t>5.2.2. Evidence based decision-making framework vs. ad hoc decision-making</w:t>
        </w:r>
        <w:r w:rsidR="004303CB">
          <w:rPr>
            <w:noProof/>
            <w:webHidden/>
          </w:rPr>
          <w:tab/>
        </w:r>
        <w:r w:rsidR="004303CB">
          <w:rPr>
            <w:noProof/>
            <w:webHidden/>
          </w:rPr>
          <w:fldChar w:fldCharType="begin"/>
        </w:r>
        <w:r w:rsidR="004303CB">
          <w:rPr>
            <w:noProof/>
            <w:webHidden/>
          </w:rPr>
          <w:instrText xml:space="preserve"> PAGEREF _Toc149555470 \h </w:instrText>
        </w:r>
        <w:r w:rsidR="004303CB">
          <w:rPr>
            <w:noProof/>
            <w:webHidden/>
          </w:rPr>
        </w:r>
        <w:r w:rsidR="004303CB">
          <w:rPr>
            <w:noProof/>
            <w:webHidden/>
          </w:rPr>
          <w:fldChar w:fldCharType="separate"/>
        </w:r>
        <w:r w:rsidR="00497022">
          <w:rPr>
            <w:noProof/>
            <w:webHidden/>
          </w:rPr>
          <w:t>13</w:t>
        </w:r>
        <w:r w:rsidR="004303CB">
          <w:rPr>
            <w:noProof/>
            <w:webHidden/>
          </w:rPr>
          <w:fldChar w:fldCharType="end"/>
        </w:r>
      </w:hyperlink>
    </w:p>
    <w:p w14:paraId="60A50D82" w14:textId="01827080"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71" w:history="1">
        <w:r w:rsidR="004303CB" w:rsidRPr="00747B87">
          <w:rPr>
            <w:rStyle w:val="Hyperlink"/>
          </w:rPr>
          <w:t>5.3. Targeting pathways, species and sites in practice</w:t>
        </w:r>
        <w:r w:rsidR="004303CB">
          <w:rPr>
            <w:webHidden/>
          </w:rPr>
          <w:tab/>
        </w:r>
        <w:r w:rsidR="004303CB">
          <w:rPr>
            <w:webHidden/>
          </w:rPr>
          <w:fldChar w:fldCharType="begin"/>
        </w:r>
        <w:r w:rsidR="004303CB">
          <w:rPr>
            <w:webHidden/>
          </w:rPr>
          <w:instrText xml:space="preserve"> PAGEREF _Toc149555471 \h </w:instrText>
        </w:r>
        <w:r w:rsidR="004303CB">
          <w:rPr>
            <w:webHidden/>
          </w:rPr>
        </w:r>
        <w:r w:rsidR="004303CB">
          <w:rPr>
            <w:webHidden/>
          </w:rPr>
          <w:fldChar w:fldCharType="separate"/>
        </w:r>
        <w:r w:rsidR="00497022">
          <w:rPr>
            <w:webHidden/>
          </w:rPr>
          <w:t>32</w:t>
        </w:r>
        <w:r w:rsidR="004303CB">
          <w:rPr>
            <w:webHidden/>
          </w:rPr>
          <w:fldChar w:fldCharType="end"/>
        </w:r>
      </w:hyperlink>
    </w:p>
    <w:p w14:paraId="37041DCD" w14:textId="18D2CE5B" w:rsidR="004303CB" w:rsidRDefault="00BF75D1" w:rsidP="004303CB">
      <w:pPr>
        <w:pStyle w:val="TOC2"/>
        <w:rPr>
          <w:rFonts w:asciiTheme="minorHAnsi" w:hAnsiTheme="minorHAnsi" w:cstheme="minorBidi"/>
          <w:noProof/>
          <w:lang w:val="en-US" w:eastAsia="ja-JP"/>
        </w:rPr>
      </w:pPr>
      <w:hyperlink w:anchor="_Toc149555472" w:history="1">
        <w:r w:rsidR="004303CB" w:rsidRPr="00747B87">
          <w:rPr>
            <w:rStyle w:val="Hyperlink"/>
            <w:noProof/>
          </w:rPr>
          <w:t>5.3.1. When to implement pathway, species-based and site-based management strategies</w:t>
        </w:r>
        <w:r w:rsidR="004303CB">
          <w:rPr>
            <w:noProof/>
            <w:webHidden/>
          </w:rPr>
          <w:tab/>
        </w:r>
        <w:r w:rsidR="004303CB">
          <w:rPr>
            <w:noProof/>
            <w:webHidden/>
          </w:rPr>
          <w:fldChar w:fldCharType="begin"/>
        </w:r>
        <w:r w:rsidR="004303CB">
          <w:rPr>
            <w:noProof/>
            <w:webHidden/>
          </w:rPr>
          <w:instrText xml:space="preserve"> PAGEREF _Toc149555472 \h </w:instrText>
        </w:r>
        <w:r w:rsidR="004303CB">
          <w:rPr>
            <w:noProof/>
            <w:webHidden/>
          </w:rPr>
        </w:r>
        <w:r w:rsidR="004303CB">
          <w:rPr>
            <w:noProof/>
            <w:webHidden/>
          </w:rPr>
          <w:fldChar w:fldCharType="separate"/>
        </w:r>
        <w:r w:rsidR="00497022">
          <w:rPr>
            <w:noProof/>
            <w:webHidden/>
          </w:rPr>
          <w:t>32</w:t>
        </w:r>
        <w:r w:rsidR="004303CB">
          <w:rPr>
            <w:noProof/>
            <w:webHidden/>
          </w:rPr>
          <w:fldChar w:fldCharType="end"/>
        </w:r>
      </w:hyperlink>
    </w:p>
    <w:p w14:paraId="33F818B1" w14:textId="766B0052" w:rsidR="004303CB" w:rsidRDefault="00BF75D1" w:rsidP="004303CB">
      <w:pPr>
        <w:pStyle w:val="TOC2"/>
        <w:rPr>
          <w:rFonts w:asciiTheme="minorHAnsi" w:hAnsiTheme="minorHAnsi" w:cstheme="minorBidi"/>
          <w:noProof/>
          <w:lang w:val="en-US" w:eastAsia="ja-JP"/>
        </w:rPr>
      </w:pPr>
      <w:hyperlink w:anchor="_Toc149555473" w:history="1">
        <w:r w:rsidR="004303CB" w:rsidRPr="00747B87">
          <w:rPr>
            <w:rStyle w:val="Hyperlink"/>
            <w:noProof/>
          </w:rPr>
          <w:t>5.3.2. Managing invasive alien species impacts in protected areas, islands, national parks, Ramsar Sites, Man and Biosphere reserves and World heritage sites</w:t>
        </w:r>
        <w:r w:rsidR="004303CB">
          <w:rPr>
            <w:noProof/>
            <w:webHidden/>
          </w:rPr>
          <w:tab/>
        </w:r>
        <w:r w:rsidR="004303CB">
          <w:rPr>
            <w:noProof/>
            <w:webHidden/>
          </w:rPr>
          <w:fldChar w:fldCharType="begin"/>
        </w:r>
        <w:r w:rsidR="004303CB">
          <w:rPr>
            <w:noProof/>
            <w:webHidden/>
          </w:rPr>
          <w:instrText xml:space="preserve"> PAGEREF _Toc149555473 \h </w:instrText>
        </w:r>
        <w:r w:rsidR="004303CB">
          <w:rPr>
            <w:noProof/>
            <w:webHidden/>
          </w:rPr>
        </w:r>
        <w:r w:rsidR="004303CB">
          <w:rPr>
            <w:noProof/>
            <w:webHidden/>
          </w:rPr>
          <w:fldChar w:fldCharType="separate"/>
        </w:r>
        <w:r w:rsidR="00497022">
          <w:rPr>
            <w:noProof/>
            <w:webHidden/>
          </w:rPr>
          <w:t>42</w:t>
        </w:r>
        <w:r w:rsidR="004303CB">
          <w:rPr>
            <w:noProof/>
            <w:webHidden/>
          </w:rPr>
          <w:fldChar w:fldCharType="end"/>
        </w:r>
      </w:hyperlink>
    </w:p>
    <w:p w14:paraId="4FD80243" w14:textId="28B44F02" w:rsidR="004303CB" w:rsidRDefault="00BF75D1" w:rsidP="004303CB">
      <w:pPr>
        <w:pStyle w:val="TOC2"/>
        <w:rPr>
          <w:rFonts w:asciiTheme="minorHAnsi" w:hAnsiTheme="minorHAnsi" w:cstheme="minorBidi"/>
          <w:noProof/>
          <w:lang w:val="en-US" w:eastAsia="ja-JP"/>
        </w:rPr>
      </w:pPr>
      <w:hyperlink w:anchor="_Toc149555474" w:history="1">
        <w:r w:rsidR="004303CB" w:rsidRPr="00747B87">
          <w:rPr>
            <w:rStyle w:val="Hyperlink"/>
            <w:noProof/>
          </w:rPr>
          <w:t>5.3.3. Decision tree for selection of management approach</w:t>
        </w:r>
        <w:r w:rsidR="004303CB">
          <w:rPr>
            <w:noProof/>
            <w:webHidden/>
          </w:rPr>
          <w:tab/>
        </w:r>
        <w:r w:rsidR="004303CB">
          <w:rPr>
            <w:noProof/>
            <w:webHidden/>
          </w:rPr>
          <w:fldChar w:fldCharType="begin"/>
        </w:r>
        <w:r w:rsidR="004303CB">
          <w:rPr>
            <w:noProof/>
            <w:webHidden/>
          </w:rPr>
          <w:instrText xml:space="preserve"> PAGEREF _Toc149555474 \h </w:instrText>
        </w:r>
        <w:r w:rsidR="004303CB">
          <w:rPr>
            <w:noProof/>
            <w:webHidden/>
          </w:rPr>
        </w:r>
        <w:r w:rsidR="004303CB">
          <w:rPr>
            <w:noProof/>
            <w:webHidden/>
          </w:rPr>
          <w:fldChar w:fldCharType="separate"/>
        </w:r>
        <w:r w:rsidR="00497022">
          <w:rPr>
            <w:noProof/>
            <w:webHidden/>
          </w:rPr>
          <w:t>46</w:t>
        </w:r>
        <w:r w:rsidR="004303CB">
          <w:rPr>
            <w:noProof/>
            <w:webHidden/>
          </w:rPr>
          <w:fldChar w:fldCharType="end"/>
        </w:r>
      </w:hyperlink>
    </w:p>
    <w:p w14:paraId="2CDB9484" w14:textId="20C697AD"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75" w:history="1">
        <w:r w:rsidR="004303CB" w:rsidRPr="00747B87">
          <w:rPr>
            <w:rStyle w:val="Hyperlink"/>
          </w:rPr>
          <w:t>5.4. Review of key databases, management tools and technologies for biological invasions</w:t>
        </w:r>
        <w:r w:rsidR="004303CB">
          <w:rPr>
            <w:webHidden/>
          </w:rPr>
          <w:tab/>
        </w:r>
        <w:r w:rsidR="004303CB">
          <w:rPr>
            <w:webHidden/>
          </w:rPr>
          <w:fldChar w:fldCharType="begin"/>
        </w:r>
        <w:r w:rsidR="004303CB">
          <w:rPr>
            <w:webHidden/>
          </w:rPr>
          <w:instrText xml:space="preserve"> PAGEREF _Toc149555475 \h </w:instrText>
        </w:r>
        <w:r w:rsidR="004303CB">
          <w:rPr>
            <w:webHidden/>
          </w:rPr>
        </w:r>
        <w:r w:rsidR="004303CB">
          <w:rPr>
            <w:webHidden/>
          </w:rPr>
          <w:fldChar w:fldCharType="separate"/>
        </w:r>
        <w:r w:rsidR="00497022">
          <w:rPr>
            <w:webHidden/>
          </w:rPr>
          <w:t>48</w:t>
        </w:r>
        <w:r w:rsidR="004303CB">
          <w:rPr>
            <w:webHidden/>
          </w:rPr>
          <w:fldChar w:fldCharType="end"/>
        </w:r>
      </w:hyperlink>
    </w:p>
    <w:p w14:paraId="7EDD4D10" w14:textId="53EB97C2" w:rsidR="004303CB" w:rsidRDefault="00BF75D1" w:rsidP="004303CB">
      <w:pPr>
        <w:pStyle w:val="TOC2"/>
        <w:rPr>
          <w:rFonts w:asciiTheme="minorHAnsi" w:hAnsiTheme="minorHAnsi" w:cstheme="minorBidi"/>
          <w:noProof/>
          <w:lang w:val="en-US" w:eastAsia="ja-JP"/>
        </w:rPr>
      </w:pPr>
      <w:hyperlink w:anchor="_Toc149555476" w:history="1">
        <w:r w:rsidR="004303CB" w:rsidRPr="00747B87">
          <w:rPr>
            <w:rStyle w:val="Hyperlink"/>
            <w:noProof/>
          </w:rPr>
          <w:t>5.4.1. Relevant databases for management of biological invasions</w:t>
        </w:r>
        <w:r w:rsidR="004303CB">
          <w:rPr>
            <w:noProof/>
            <w:webHidden/>
          </w:rPr>
          <w:tab/>
        </w:r>
        <w:r w:rsidR="004303CB">
          <w:rPr>
            <w:noProof/>
            <w:webHidden/>
          </w:rPr>
          <w:fldChar w:fldCharType="begin"/>
        </w:r>
        <w:r w:rsidR="004303CB">
          <w:rPr>
            <w:noProof/>
            <w:webHidden/>
          </w:rPr>
          <w:instrText xml:space="preserve"> PAGEREF _Toc149555476 \h </w:instrText>
        </w:r>
        <w:r w:rsidR="004303CB">
          <w:rPr>
            <w:noProof/>
            <w:webHidden/>
          </w:rPr>
        </w:r>
        <w:r w:rsidR="004303CB">
          <w:rPr>
            <w:noProof/>
            <w:webHidden/>
          </w:rPr>
          <w:fldChar w:fldCharType="separate"/>
        </w:r>
        <w:r w:rsidR="00497022">
          <w:rPr>
            <w:noProof/>
            <w:webHidden/>
          </w:rPr>
          <w:t>48</w:t>
        </w:r>
        <w:r w:rsidR="004303CB">
          <w:rPr>
            <w:noProof/>
            <w:webHidden/>
          </w:rPr>
          <w:fldChar w:fldCharType="end"/>
        </w:r>
      </w:hyperlink>
    </w:p>
    <w:p w14:paraId="0AE25919" w14:textId="2C090BE8" w:rsidR="004303CB" w:rsidRDefault="00BF75D1" w:rsidP="004303CB">
      <w:pPr>
        <w:pStyle w:val="TOC2"/>
        <w:rPr>
          <w:rFonts w:asciiTheme="minorHAnsi" w:hAnsiTheme="minorHAnsi" w:cstheme="minorBidi"/>
          <w:noProof/>
          <w:lang w:val="en-US" w:eastAsia="ja-JP"/>
        </w:rPr>
      </w:pPr>
      <w:hyperlink w:anchor="_Toc149555477" w:history="1">
        <w:r w:rsidR="004303CB" w:rsidRPr="00747B87">
          <w:rPr>
            <w:rStyle w:val="Hyperlink"/>
            <w:noProof/>
          </w:rPr>
          <w:t>5.4.2. Surveillance, detection and diagnostics supporting prevention and preparedness</w:t>
        </w:r>
        <w:r w:rsidR="004303CB">
          <w:rPr>
            <w:noProof/>
            <w:webHidden/>
          </w:rPr>
          <w:tab/>
        </w:r>
        <w:r w:rsidR="004303CB">
          <w:rPr>
            <w:noProof/>
            <w:webHidden/>
          </w:rPr>
          <w:fldChar w:fldCharType="begin"/>
        </w:r>
        <w:r w:rsidR="004303CB">
          <w:rPr>
            <w:noProof/>
            <w:webHidden/>
          </w:rPr>
          <w:instrText xml:space="preserve"> PAGEREF _Toc149555477 \h </w:instrText>
        </w:r>
        <w:r w:rsidR="004303CB">
          <w:rPr>
            <w:noProof/>
            <w:webHidden/>
          </w:rPr>
        </w:r>
        <w:r w:rsidR="004303CB">
          <w:rPr>
            <w:noProof/>
            <w:webHidden/>
          </w:rPr>
          <w:fldChar w:fldCharType="separate"/>
        </w:r>
        <w:r w:rsidR="00497022">
          <w:rPr>
            <w:noProof/>
            <w:webHidden/>
          </w:rPr>
          <w:t>53</w:t>
        </w:r>
        <w:r w:rsidR="004303CB">
          <w:rPr>
            <w:noProof/>
            <w:webHidden/>
          </w:rPr>
          <w:fldChar w:fldCharType="end"/>
        </w:r>
      </w:hyperlink>
    </w:p>
    <w:p w14:paraId="2880D858" w14:textId="21D3225F" w:rsidR="004303CB" w:rsidRDefault="00BF75D1" w:rsidP="004303CB">
      <w:pPr>
        <w:pStyle w:val="TOC2"/>
        <w:rPr>
          <w:rFonts w:asciiTheme="minorHAnsi" w:hAnsiTheme="minorHAnsi" w:cstheme="minorBidi"/>
          <w:noProof/>
          <w:lang w:val="en-US" w:eastAsia="ja-JP"/>
        </w:rPr>
      </w:pPr>
      <w:hyperlink w:anchor="_Toc149555478" w:history="1">
        <w:r w:rsidR="004303CB" w:rsidRPr="00747B87">
          <w:rPr>
            <w:rStyle w:val="Hyperlink"/>
            <w:noProof/>
          </w:rPr>
          <w:t>5.4.3. Intervention technologies</w:t>
        </w:r>
        <w:r w:rsidR="004303CB">
          <w:rPr>
            <w:noProof/>
            <w:webHidden/>
          </w:rPr>
          <w:tab/>
        </w:r>
        <w:r w:rsidR="004303CB">
          <w:rPr>
            <w:noProof/>
            <w:webHidden/>
          </w:rPr>
          <w:fldChar w:fldCharType="begin"/>
        </w:r>
        <w:r w:rsidR="004303CB">
          <w:rPr>
            <w:noProof/>
            <w:webHidden/>
          </w:rPr>
          <w:instrText xml:space="preserve"> PAGEREF _Toc149555478 \h </w:instrText>
        </w:r>
        <w:r w:rsidR="004303CB">
          <w:rPr>
            <w:noProof/>
            <w:webHidden/>
          </w:rPr>
        </w:r>
        <w:r w:rsidR="004303CB">
          <w:rPr>
            <w:noProof/>
            <w:webHidden/>
          </w:rPr>
          <w:fldChar w:fldCharType="separate"/>
        </w:r>
        <w:r w:rsidR="00497022">
          <w:rPr>
            <w:noProof/>
            <w:webHidden/>
          </w:rPr>
          <w:t>61</w:t>
        </w:r>
        <w:r w:rsidR="004303CB">
          <w:rPr>
            <w:noProof/>
            <w:webHidden/>
          </w:rPr>
          <w:fldChar w:fldCharType="end"/>
        </w:r>
      </w:hyperlink>
    </w:p>
    <w:p w14:paraId="71F86DA6" w14:textId="4CC45B46" w:rsidR="004303CB" w:rsidRDefault="00BF75D1" w:rsidP="004303CB">
      <w:pPr>
        <w:pStyle w:val="TOC2"/>
        <w:rPr>
          <w:rFonts w:asciiTheme="minorHAnsi" w:hAnsiTheme="minorHAnsi" w:cstheme="minorBidi"/>
          <w:noProof/>
          <w:lang w:val="en-US" w:eastAsia="ja-JP"/>
        </w:rPr>
      </w:pPr>
      <w:hyperlink w:anchor="_Toc149555479" w:history="1">
        <w:r w:rsidR="004303CB" w:rsidRPr="00747B87">
          <w:rPr>
            <w:rStyle w:val="Hyperlink"/>
            <w:noProof/>
          </w:rPr>
          <w:t>5.1.1. Summary tables</w:t>
        </w:r>
        <w:r w:rsidR="004303CB">
          <w:rPr>
            <w:noProof/>
            <w:webHidden/>
          </w:rPr>
          <w:tab/>
        </w:r>
        <w:r w:rsidR="004303CB">
          <w:rPr>
            <w:noProof/>
            <w:webHidden/>
          </w:rPr>
          <w:fldChar w:fldCharType="begin"/>
        </w:r>
        <w:r w:rsidR="004303CB">
          <w:rPr>
            <w:noProof/>
            <w:webHidden/>
          </w:rPr>
          <w:instrText xml:space="preserve"> PAGEREF _Toc149555479 \h </w:instrText>
        </w:r>
        <w:r w:rsidR="004303CB">
          <w:rPr>
            <w:noProof/>
            <w:webHidden/>
          </w:rPr>
        </w:r>
        <w:r w:rsidR="004303CB">
          <w:rPr>
            <w:noProof/>
            <w:webHidden/>
          </w:rPr>
          <w:fldChar w:fldCharType="separate"/>
        </w:r>
        <w:r w:rsidR="00497022">
          <w:rPr>
            <w:noProof/>
            <w:webHidden/>
          </w:rPr>
          <w:t>81</w:t>
        </w:r>
        <w:r w:rsidR="004303CB">
          <w:rPr>
            <w:noProof/>
            <w:webHidden/>
          </w:rPr>
          <w:fldChar w:fldCharType="end"/>
        </w:r>
      </w:hyperlink>
    </w:p>
    <w:p w14:paraId="629376A8" w14:textId="566752C8"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80" w:history="1">
        <w:r w:rsidR="004303CB" w:rsidRPr="00747B87">
          <w:rPr>
            <w:rStyle w:val="Hyperlink"/>
          </w:rPr>
          <w:t>5.5. Management strategies</w:t>
        </w:r>
        <w:r w:rsidR="004303CB">
          <w:rPr>
            <w:webHidden/>
          </w:rPr>
          <w:tab/>
        </w:r>
        <w:r w:rsidR="004303CB">
          <w:rPr>
            <w:webHidden/>
          </w:rPr>
          <w:fldChar w:fldCharType="begin"/>
        </w:r>
        <w:r w:rsidR="004303CB">
          <w:rPr>
            <w:webHidden/>
          </w:rPr>
          <w:instrText xml:space="preserve"> PAGEREF _Toc149555480 \h </w:instrText>
        </w:r>
        <w:r w:rsidR="004303CB">
          <w:rPr>
            <w:webHidden/>
          </w:rPr>
        </w:r>
        <w:r w:rsidR="004303CB">
          <w:rPr>
            <w:webHidden/>
          </w:rPr>
          <w:fldChar w:fldCharType="separate"/>
        </w:r>
        <w:r w:rsidR="00497022">
          <w:rPr>
            <w:webHidden/>
          </w:rPr>
          <w:t>91</w:t>
        </w:r>
        <w:r w:rsidR="004303CB">
          <w:rPr>
            <w:webHidden/>
          </w:rPr>
          <w:fldChar w:fldCharType="end"/>
        </w:r>
      </w:hyperlink>
    </w:p>
    <w:p w14:paraId="4E3C06E3" w14:textId="162AE8FF" w:rsidR="004303CB" w:rsidRDefault="00BF75D1" w:rsidP="004303CB">
      <w:pPr>
        <w:pStyle w:val="TOC2"/>
        <w:rPr>
          <w:rFonts w:asciiTheme="minorHAnsi" w:hAnsiTheme="minorHAnsi" w:cstheme="minorBidi"/>
          <w:noProof/>
          <w:lang w:val="en-US" w:eastAsia="ja-JP"/>
        </w:rPr>
      </w:pPr>
      <w:hyperlink w:anchor="_Toc149555481" w:history="1">
        <w:r w:rsidR="004303CB" w:rsidRPr="00747B87">
          <w:rPr>
            <w:rStyle w:val="Hyperlink"/>
            <w:noProof/>
          </w:rPr>
          <w:t>5.5.1. Prevention – managing pathways</w:t>
        </w:r>
        <w:r w:rsidR="004303CB">
          <w:rPr>
            <w:noProof/>
            <w:webHidden/>
          </w:rPr>
          <w:tab/>
        </w:r>
        <w:r w:rsidR="004303CB">
          <w:rPr>
            <w:noProof/>
            <w:webHidden/>
          </w:rPr>
          <w:fldChar w:fldCharType="begin"/>
        </w:r>
        <w:r w:rsidR="004303CB">
          <w:rPr>
            <w:noProof/>
            <w:webHidden/>
          </w:rPr>
          <w:instrText xml:space="preserve"> PAGEREF _Toc149555481 \h </w:instrText>
        </w:r>
        <w:r w:rsidR="004303CB">
          <w:rPr>
            <w:noProof/>
            <w:webHidden/>
          </w:rPr>
        </w:r>
        <w:r w:rsidR="004303CB">
          <w:rPr>
            <w:noProof/>
            <w:webHidden/>
          </w:rPr>
          <w:fldChar w:fldCharType="separate"/>
        </w:r>
        <w:r w:rsidR="00497022">
          <w:rPr>
            <w:noProof/>
            <w:webHidden/>
          </w:rPr>
          <w:t>91</w:t>
        </w:r>
        <w:r w:rsidR="004303CB">
          <w:rPr>
            <w:noProof/>
            <w:webHidden/>
          </w:rPr>
          <w:fldChar w:fldCharType="end"/>
        </w:r>
      </w:hyperlink>
    </w:p>
    <w:p w14:paraId="6FE115F8" w14:textId="0D4AD957" w:rsidR="004303CB" w:rsidRDefault="00BF75D1" w:rsidP="004303CB">
      <w:pPr>
        <w:pStyle w:val="TOC2"/>
        <w:rPr>
          <w:rFonts w:asciiTheme="minorHAnsi" w:hAnsiTheme="minorHAnsi" w:cstheme="minorBidi"/>
          <w:noProof/>
          <w:lang w:val="en-US" w:eastAsia="ja-JP"/>
        </w:rPr>
      </w:pPr>
      <w:hyperlink w:anchor="_Toc149555482" w:history="1">
        <w:r w:rsidR="004303CB" w:rsidRPr="00747B87">
          <w:rPr>
            <w:rStyle w:val="Hyperlink"/>
            <w:noProof/>
          </w:rPr>
          <w:t>5.5.2. Surveillance, detection and monitoring</w:t>
        </w:r>
        <w:r w:rsidR="004303CB">
          <w:rPr>
            <w:noProof/>
            <w:webHidden/>
          </w:rPr>
          <w:tab/>
        </w:r>
        <w:r w:rsidR="004303CB">
          <w:rPr>
            <w:noProof/>
            <w:webHidden/>
          </w:rPr>
          <w:fldChar w:fldCharType="begin"/>
        </w:r>
        <w:r w:rsidR="004303CB">
          <w:rPr>
            <w:noProof/>
            <w:webHidden/>
          </w:rPr>
          <w:instrText xml:space="preserve"> PAGEREF _Toc149555482 \h </w:instrText>
        </w:r>
        <w:r w:rsidR="004303CB">
          <w:rPr>
            <w:noProof/>
            <w:webHidden/>
          </w:rPr>
        </w:r>
        <w:r w:rsidR="004303CB">
          <w:rPr>
            <w:noProof/>
            <w:webHidden/>
          </w:rPr>
          <w:fldChar w:fldCharType="separate"/>
        </w:r>
        <w:r w:rsidR="00497022">
          <w:rPr>
            <w:noProof/>
            <w:webHidden/>
          </w:rPr>
          <w:t>93</w:t>
        </w:r>
        <w:r w:rsidR="004303CB">
          <w:rPr>
            <w:noProof/>
            <w:webHidden/>
          </w:rPr>
          <w:fldChar w:fldCharType="end"/>
        </w:r>
      </w:hyperlink>
    </w:p>
    <w:p w14:paraId="2914AD54" w14:textId="15CCC07C" w:rsidR="004303CB" w:rsidRDefault="00BF75D1" w:rsidP="004303CB">
      <w:pPr>
        <w:pStyle w:val="TOC2"/>
        <w:rPr>
          <w:rFonts w:asciiTheme="minorHAnsi" w:hAnsiTheme="minorHAnsi" w:cstheme="minorBidi"/>
          <w:noProof/>
          <w:lang w:val="en-US" w:eastAsia="ja-JP"/>
        </w:rPr>
      </w:pPr>
      <w:hyperlink w:anchor="_Toc149555483" w:history="1">
        <w:r w:rsidR="004303CB" w:rsidRPr="00747B87">
          <w:rPr>
            <w:rStyle w:val="Hyperlink"/>
            <w:noProof/>
          </w:rPr>
          <w:t>5.5.3. Eradication</w:t>
        </w:r>
        <w:r w:rsidR="004303CB">
          <w:rPr>
            <w:noProof/>
            <w:webHidden/>
          </w:rPr>
          <w:tab/>
        </w:r>
        <w:r w:rsidR="004303CB">
          <w:rPr>
            <w:noProof/>
            <w:webHidden/>
          </w:rPr>
          <w:fldChar w:fldCharType="begin"/>
        </w:r>
        <w:r w:rsidR="004303CB">
          <w:rPr>
            <w:noProof/>
            <w:webHidden/>
          </w:rPr>
          <w:instrText xml:space="preserve"> PAGEREF _Toc149555483 \h </w:instrText>
        </w:r>
        <w:r w:rsidR="004303CB">
          <w:rPr>
            <w:noProof/>
            <w:webHidden/>
          </w:rPr>
        </w:r>
        <w:r w:rsidR="004303CB">
          <w:rPr>
            <w:noProof/>
            <w:webHidden/>
          </w:rPr>
          <w:fldChar w:fldCharType="separate"/>
        </w:r>
        <w:r w:rsidR="00497022">
          <w:rPr>
            <w:noProof/>
            <w:webHidden/>
          </w:rPr>
          <w:t>96</w:t>
        </w:r>
        <w:r w:rsidR="004303CB">
          <w:rPr>
            <w:noProof/>
            <w:webHidden/>
          </w:rPr>
          <w:fldChar w:fldCharType="end"/>
        </w:r>
      </w:hyperlink>
    </w:p>
    <w:p w14:paraId="194A2817" w14:textId="3F17D934" w:rsidR="004303CB" w:rsidRDefault="00BF75D1" w:rsidP="004303CB">
      <w:pPr>
        <w:pStyle w:val="TOC2"/>
        <w:rPr>
          <w:rFonts w:asciiTheme="minorHAnsi" w:hAnsiTheme="minorHAnsi" w:cstheme="minorBidi"/>
          <w:noProof/>
          <w:lang w:val="en-US" w:eastAsia="ja-JP"/>
        </w:rPr>
      </w:pPr>
      <w:hyperlink w:anchor="_Toc149555484" w:history="1">
        <w:r w:rsidR="004303CB" w:rsidRPr="00747B87">
          <w:rPr>
            <w:rStyle w:val="Hyperlink"/>
            <w:noProof/>
          </w:rPr>
          <w:t>5.5.4. Containment</w:t>
        </w:r>
        <w:r w:rsidR="004303CB">
          <w:rPr>
            <w:noProof/>
            <w:webHidden/>
          </w:rPr>
          <w:tab/>
        </w:r>
        <w:r w:rsidR="004303CB">
          <w:rPr>
            <w:noProof/>
            <w:webHidden/>
          </w:rPr>
          <w:fldChar w:fldCharType="begin"/>
        </w:r>
        <w:r w:rsidR="004303CB">
          <w:rPr>
            <w:noProof/>
            <w:webHidden/>
          </w:rPr>
          <w:instrText xml:space="preserve"> PAGEREF _Toc149555484 \h </w:instrText>
        </w:r>
        <w:r w:rsidR="004303CB">
          <w:rPr>
            <w:noProof/>
            <w:webHidden/>
          </w:rPr>
        </w:r>
        <w:r w:rsidR="004303CB">
          <w:rPr>
            <w:noProof/>
            <w:webHidden/>
          </w:rPr>
          <w:fldChar w:fldCharType="separate"/>
        </w:r>
        <w:r w:rsidR="00497022">
          <w:rPr>
            <w:noProof/>
            <w:webHidden/>
          </w:rPr>
          <w:t>102</w:t>
        </w:r>
        <w:r w:rsidR="004303CB">
          <w:rPr>
            <w:noProof/>
            <w:webHidden/>
          </w:rPr>
          <w:fldChar w:fldCharType="end"/>
        </w:r>
      </w:hyperlink>
    </w:p>
    <w:p w14:paraId="4CF0B327" w14:textId="74072F62" w:rsidR="004303CB" w:rsidRDefault="00BF75D1" w:rsidP="004303CB">
      <w:pPr>
        <w:pStyle w:val="TOC2"/>
        <w:rPr>
          <w:rFonts w:asciiTheme="minorHAnsi" w:hAnsiTheme="minorHAnsi" w:cstheme="minorBidi"/>
          <w:noProof/>
          <w:lang w:val="en-US" w:eastAsia="ja-JP"/>
        </w:rPr>
      </w:pPr>
      <w:hyperlink w:anchor="_Toc149555485" w:history="1">
        <w:r w:rsidR="004303CB" w:rsidRPr="00747B87">
          <w:rPr>
            <w:rStyle w:val="Hyperlink"/>
            <w:noProof/>
          </w:rPr>
          <w:t>5.5.5. Control</w:t>
        </w:r>
        <w:r w:rsidR="004303CB">
          <w:rPr>
            <w:noProof/>
            <w:webHidden/>
          </w:rPr>
          <w:tab/>
        </w:r>
        <w:r w:rsidR="004303CB">
          <w:rPr>
            <w:noProof/>
            <w:webHidden/>
          </w:rPr>
          <w:fldChar w:fldCharType="begin"/>
        </w:r>
        <w:r w:rsidR="004303CB">
          <w:rPr>
            <w:noProof/>
            <w:webHidden/>
          </w:rPr>
          <w:instrText xml:space="preserve"> PAGEREF _Toc149555485 \h </w:instrText>
        </w:r>
        <w:r w:rsidR="004303CB">
          <w:rPr>
            <w:noProof/>
            <w:webHidden/>
          </w:rPr>
        </w:r>
        <w:r w:rsidR="004303CB">
          <w:rPr>
            <w:noProof/>
            <w:webHidden/>
          </w:rPr>
          <w:fldChar w:fldCharType="separate"/>
        </w:r>
        <w:r w:rsidR="00497022">
          <w:rPr>
            <w:noProof/>
            <w:webHidden/>
          </w:rPr>
          <w:t>103</w:t>
        </w:r>
        <w:r w:rsidR="004303CB">
          <w:rPr>
            <w:noProof/>
            <w:webHidden/>
          </w:rPr>
          <w:fldChar w:fldCharType="end"/>
        </w:r>
      </w:hyperlink>
    </w:p>
    <w:p w14:paraId="4915ACDE" w14:textId="64DD127B" w:rsidR="004303CB" w:rsidRDefault="00BF75D1" w:rsidP="004303CB">
      <w:pPr>
        <w:pStyle w:val="TOC2"/>
        <w:rPr>
          <w:rFonts w:asciiTheme="minorHAnsi" w:hAnsiTheme="minorHAnsi" w:cstheme="minorBidi"/>
          <w:noProof/>
          <w:lang w:val="en-US" w:eastAsia="ja-JP"/>
        </w:rPr>
      </w:pPr>
      <w:hyperlink w:anchor="_Toc149555486" w:history="1">
        <w:r w:rsidR="004303CB" w:rsidRPr="00747B87">
          <w:rPr>
            <w:rStyle w:val="Hyperlink"/>
            <w:noProof/>
          </w:rPr>
          <w:t>5.5.6. Management in an ecosystem restoration context</w:t>
        </w:r>
        <w:r w:rsidR="004303CB">
          <w:rPr>
            <w:noProof/>
            <w:webHidden/>
          </w:rPr>
          <w:tab/>
        </w:r>
        <w:r w:rsidR="004303CB">
          <w:rPr>
            <w:noProof/>
            <w:webHidden/>
          </w:rPr>
          <w:fldChar w:fldCharType="begin"/>
        </w:r>
        <w:r w:rsidR="004303CB">
          <w:rPr>
            <w:noProof/>
            <w:webHidden/>
          </w:rPr>
          <w:instrText xml:space="preserve"> PAGEREF _Toc149555486 \h </w:instrText>
        </w:r>
        <w:r w:rsidR="004303CB">
          <w:rPr>
            <w:noProof/>
            <w:webHidden/>
          </w:rPr>
        </w:r>
        <w:r w:rsidR="004303CB">
          <w:rPr>
            <w:noProof/>
            <w:webHidden/>
          </w:rPr>
          <w:fldChar w:fldCharType="separate"/>
        </w:r>
        <w:r w:rsidR="00497022">
          <w:rPr>
            <w:noProof/>
            <w:webHidden/>
          </w:rPr>
          <w:t>108</w:t>
        </w:r>
        <w:r w:rsidR="004303CB">
          <w:rPr>
            <w:noProof/>
            <w:webHidden/>
          </w:rPr>
          <w:fldChar w:fldCharType="end"/>
        </w:r>
      </w:hyperlink>
    </w:p>
    <w:p w14:paraId="5F95A859" w14:textId="3C92BD12" w:rsidR="004303CB" w:rsidRDefault="00BF75D1" w:rsidP="004303CB">
      <w:pPr>
        <w:pStyle w:val="TOC2"/>
        <w:rPr>
          <w:rFonts w:asciiTheme="minorHAnsi" w:hAnsiTheme="minorHAnsi" w:cstheme="minorBidi"/>
          <w:noProof/>
          <w:lang w:val="en-US" w:eastAsia="ja-JP"/>
        </w:rPr>
      </w:pPr>
      <w:hyperlink w:anchor="_Toc149555487" w:history="1">
        <w:r w:rsidR="004303CB" w:rsidRPr="00747B87">
          <w:rPr>
            <w:rStyle w:val="Hyperlink"/>
            <w:noProof/>
          </w:rPr>
          <w:t>5.5.7. Management costs</w:t>
        </w:r>
        <w:r w:rsidR="004303CB">
          <w:rPr>
            <w:noProof/>
            <w:webHidden/>
          </w:rPr>
          <w:tab/>
        </w:r>
        <w:r w:rsidR="004303CB">
          <w:rPr>
            <w:noProof/>
            <w:webHidden/>
          </w:rPr>
          <w:fldChar w:fldCharType="begin"/>
        </w:r>
        <w:r w:rsidR="004303CB">
          <w:rPr>
            <w:noProof/>
            <w:webHidden/>
          </w:rPr>
          <w:instrText xml:space="preserve"> PAGEREF _Toc149555487 \h </w:instrText>
        </w:r>
        <w:r w:rsidR="004303CB">
          <w:rPr>
            <w:noProof/>
            <w:webHidden/>
          </w:rPr>
        </w:r>
        <w:r w:rsidR="004303CB">
          <w:rPr>
            <w:noProof/>
            <w:webHidden/>
          </w:rPr>
          <w:fldChar w:fldCharType="separate"/>
        </w:r>
        <w:r w:rsidR="00497022">
          <w:rPr>
            <w:noProof/>
            <w:webHidden/>
          </w:rPr>
          <w:t>109</w:t>
        </w:r>
        <w:r w:rsidR="004303CB">
          <w:rPr>
            <w:noProof/>
            <w:webHidden/>
          </w:rPr>
          <w:fldChar w:fldCharType="end"/>
        </w:r>
      </w:hyperlink>
    </w:p>
    <w:p w14:paraId="0B684729" w14:textId="4EBE0E6B"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88" w:history="1">
        <w:r w:rsidR="004303CB" w:rsidRPr="00747B87">
          <w:rPr>
            <w:rStyle w:val="Hyperlink"/>
          </w:rPr>
          <w:t>5.6. Context specific challenges and knowledge gaps in management</w:t>
        </w:r>
        <w:r w:rsidR="004303CB">
          <w:rPr>
            <w:webHidden/>
          </w:rPr>
          <w:tab/>
        </w:r>
        <w:r w:rsidR="004303CB">
          <w:rPr>
            <w:webHidden/>
          </w:rPr>
          <w:fldChar w:fldCharType="begin"/>
        </w:r>
        <w:r w:rsidR="004303CB">
          <w:rPr>
            <w:webHidden/>
          </w:rPr>
          <w:instrText xml:space="preserve"> PAGEREF _Toc149555488 \h </w:instrText>
        </w:r>
        <w:r w:rsidR="004303CB">
          <w:rPr>
            <w:webHidden/>
          </w:rPr>
        </w:r>
        <w:r w:rsidR="004303CB">
          <w:rPr>
            <w:webHidden/>
          </w:rPr>
          <w:fldChar w:fldCharType="separate"/>
        </w:r>
        <w:r w:rsidR="00497022">
          <w:rPr>
            <w:webHidden/>
          </w:rPr>
          <w:t>111</w:t>
        </w:r>
        <w:r w:rsidR="004303CB">
          <w:rPr>
            <w:webHidden/>
          </w:rPr>
          <w:fldChar w:fldCharType="end"/>
        </w:r>
      </w:hyperlink>
    </w:p>
    <w:p w14:paraId="3A7EA7CB" w14:textId="0D75C968" w:rsidR="004303CB" w:rsidRDefault="00BF75D1" w:rsidP="004303CB">
      <w:pPr>
        <w:pStyle w:val="TOC2"/>
        <w:rPr>
          <w:rFonts w:asciiTheme="minorHAnsi" w:hAnsiTheme="minorHAnsi" w:cstheme="minorBidi"/>
          <w:noProof/>
          <w:lang w:val="en-US" w:eastAsia="ja-JP"/>
        </w:rPr>
      </w:pPr>
      <w:hyperlink w:anchor="_Toc149555489" w:history="1">
        <w:r w:rsidR="004303CB" w:rsidRPr="00747B87">
          <w:rPr>
            <w:rStyle w:val="Hyperlink"/>
            <w:noProof/>
          </w:rPr>
          <w:t>5.6.1. Context specific challenges</w:t>
        </w:r>
        <w:r w:rsidR="004303CB">
          <w:rPr>
            <w:noProof/>
            <w:webHidden/>
          </w:rPr>
          <w:tab/>
        </w:r>
        <w:r w:rsidR="004303CB">
          <w:rPr>
            <w:noProof/>
            <w:webHidden/>
          </w:rPr>
          <w:fldChar w:fldCharType="begin"/>
        </w:r>
        <w:r w:rsidR="004303CB">
          <w:rPr>
            <w:noProof/>
            <w:webHidden/>
          </w:rPr>
          <w:instrText xml:space="preserve"> PAGEREF _Toc149555489 \h </w:instrText>
        </w:r>
        <w:r w:rsidR="004303CB">
          <w:rPr>
            <w:noProof/>
            <w:webHidden/>
          </w:rPr>
        </w:r>
        <w:r w:rsidR="004303CB">
          <w:rPr>
            <w:noProof/>
            <w:webHidden/>
          </w:rPr>
          <w:fldChar w:fldCharType="separate"/>
        </w:r>
        <w:r w:rsidR="00497022">
          <w:rPr>
            <w:noProof/>
            <w:webHidden/>
          </w:rPr>
          <w:t>111</w:t>
        </w:r>
        <w:r w:rsidR="004303CB">
          <w:rPr>
            <w:noProof/>
            <w:webHidden/>
          </w:rPr>
          <w:fldChar w:fldCharType="end"/>
        </w:r>
      </w:hyperlink>
    </w:p>
    <w:p w14:paraId="27F7DD8E" w14:textId="011C3314" w:rsidR="004303CB" w:rsidRDefault="00BF75D1" w:rsidP="004303CB">
      <w:pPr>
        <w:pStyle w:val="TOC2"/>
        <w:rPr>
          <w:rFonts w:asciiTheme="minorHAnsi" w:hAnsiTheme="minorHAnsi" w:cstheme="minorBidi"/>
          <w:noProof/>
          <w:lang w:val="en-US" w:eastAsia="ja-JP"/>
        </w:rPr>
      </w:pPr>
      <w:hyperlink w:anchor="_Toc149555490" w:history="1">
        <w:r w:rsidR="004303CB" w:rsidRPr="00747B87">
          <w:rPr>
            <w:rStyle w:val="Hyperlink"/>
            <w:noProof/>
          </w:rPr>
          <w:t>5.6.2. Gaps and impediments to implementing management</w:t>
        </w:r>
        <w:r w:rsidR="004303CB">
          <w:rPr>
            <w:noProof/>
            <w:webHidden/>
          </w:rPr>
          <w:tab/>
        </w:r>
        <w:r w:rsidR="004303CB">
          <w:rPr>
            <w:noProof/>
            <w:webHidden/>
          </w:rPr>
          <w:fldChar w:fldCharType="begin"/>
        </w:r>
        <w:r w:rsidR="004303CB">
          <w:rPr>
            <w:noProof/>
            <w:webHidden/>
          </w:rPr>
          <w:instrText xml:space="preserve"> PAGEREF _Toc149555490 \h </w:instrText>
        </w:r>
        <w:r w:rsidR="004303CB">
          <w:rPr>
            <w:noProof/>
            <w:webHidden/>
          </w:rPr>
        </w:r>
        <w:r w:rsidR="004303CB">
          <w:rPr>
            <w:noProof/>
            <w:webHidden/>
          </w:rPr>
          <w:fldChar w:fldCharType="separate"/>
        </w:r>
        <w:r w:rsidR="00497022">
          <w:rPr>
            <w:noProof/>
            <w:webHidden/>
          </w:rPr>
          <w:t>123</w:t>
        </w:r>
        <w:r w:rsidR="004303CB">
          <w:rPr>
            <w:noProof/>
            <w:webHidden/>
          </w:rPr>
          <w:fldChar w:fldCharType="end"/>
        </w:r>
      </w:hyperlink>
    </w:p>
    <w:p w14:paraId="6AFB5D03" w14:textId="36DACC7B" w:rsidR="004303CB" w:rsidRDefault="00BF75D1" w:rsidP="004303CB">
      <w:pPr>
        <w:pStyle w:val="TOC2"/>
        <w:rPr>
          <w:rFonts w:asciiTheme="minorHAnsi" w:hAnsiTheme="minorHAnsi" w:cstheme="minorBidi"/>
          <w:noProof/>
          <w:lang w:val="en-US" w:eastAsia="ja-JP"/>
        </w:rPr>
      </w:pPr>
      <w:hyperlink w:anchor="_Toc149555491" w:history="1">
        <w:r w:rsidR="004303CB" w:rsidRPr="00747B87">
          <w:rPr>
            <w:rStyle w:val="Hyperlink"/>
            <w:noProof/>
          </w:rPr>
          <w:t>5.6.3. Supporting approaches to improve the uptake of effective management of biological invasions</w:t>
        </w:r>
        <w:r w:rsidR="004303CB">
          <w:rPr>
            <w:noProof/>
            <w:webHidden/>
          </w:rPr>
          <w:tab/>
        </w:r>
        <w:r w:rsidR="004303CB">
          <w:rPr>
            <w:noProof/>
            <w:webHidden/>
          </w:rPr>
          <w:fldChar w:fldCharType="begin"/>
        </w:r>
        <w:r w:rsidR="004303CB">
          <w:rPr>
            <w:noProof/>
            <w:webHidden/>
          </w:rPr>
          <w:instrText xml:space="preserve"> PAGEREF _Toc149555491 \h </w:instrText>
        </w:r>
        <w:r w:rsidR="004303CB">
          <w:rPr>
            <w:noProof/>
            <w:webHidden/>
          </w:rPr>
        </w:r>
        <w:r w:rsidR="004303CB">
          <w:rPr>
            <w:noProof/>
            <w:webHidden/>
          </w:rPr>
          <w:fldChar w:fldCharType="separate"/>
        </w:r>
        <w:r w:rsidR="00497022">
          <w:rPr>
            <w:noProof/>
            <w:webHidden/>
          </w:rPr>
          <w:t>134</w:t>
        </w:r>
        <w:r w:rsidR="004303CB">
          <w:rPr>
            <w:noProof/>
            <w:webHidden/>
          </w:rPr>
          <w:fldChar w:fldCharType="end"/>
        </w:r>
      </w:hyperlink>
    </w:p>
    <w:p w14:paraId="482C206B" w14:textId="1D46A0DF"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92" w:history="1">
        <w:r w:rsidR="004303CB" w:rsidRPr="00747B87">
          <w:rPr>
            <w:rStyle w:val="Hyperlink"/>
          </w:rPr>
          <w:t>5.7. Conclusions</w:t>
        </w:r>
        <w:r w:rsidR="004303CB">
          <w:rPr>
            <w:webHidden/>
          </w:rPr>
          <w:tab/>
        </w:r>
        <w:r w:rsidR="004303CB">
          <w:rPr>
            <w:webHidden/>
          </w:rPr>
          <w:fldChar w:fldCharType="begin"/>
        </w:r>
        <w:r w:rsidR="004303CB">
          <w:rPr>
            <w:webHidden/>
          </w:rPr>
          <w:instrText xml:space="preserve"> PAGEREF _Toc149555492 \h </w:instrText>
        </w:r>
        <w:r w:rsidR="004303CB">
          <w:rPr>
            <w:webHidden/>
          </w:rPr>
        </w:r>
        <w:r w:rsidR="004303CB">
          <w:rPr>
            <w:webHidden/>
          </w:rPr>
          <w:fldChar w:fldCharType="separate"/>
        </w:r>
        <w:r w:rsidR="00497022">
          <w:rPr>
            <w:webHidden/>
          </w:rPr>
          <w:t>140</w:t>
        </w:r>
        <w:r w:rsidR="004303CB">
          <w:rPr>
            <w:webHidden/>
          </w:rPr>
          <w:fldChar w:fldCharType="end"/>
        </w:r>
      </w:hyperlink>
    </w:p>
    <w:p w14:paraId="5FE48B1A" w14:textId="154FA0FC" w:rsidR="004303CB" w:rsidRDefault="00BF75D1" w:rsidP="004303CB">
      <w:pPr>
        <w:pStyle w:val="TOC1"/>
        <w:spacing w:after="0" w:line="240" w:lineRule="auto"/>
        <w:contextualSpacing/>
        <w:rPr>
          <w:rFonts w:asciiTheme="minorHAnsi" w:hAnsiTheme="minorHAnsi" w:cstheme="minorBidi"/>
          <w:b w:val="0"/>
          <w:bCs w:val="0"/>
          <w:lang w:val="en-US" w:eastAsia="ja-JP"/>
        </w:rPr>
      </w:pPr>
      <w:hyperlink w:anchor="_Toc149555493" w:history="1">
        <w:r w:rsidR="004303CB" w:rsidRPr="00747B87">
          <w:rPr>
            <w:rStyle w:val="Hyperlink"/>
            <w:lang w:eastAsia="ja-JP"/>
          </w:rPr>
          <w:t>Reference</w:t>
        </w:r>
        <w:r w:rsidR="004303CB">
          <w:rPr>
            <w:webHidden/>
          </w:rPr>
          <w:tab/>
        </w:r>
        <w:r w:rsidR="004303CB">
          <w:rPr>
            <w:webHidden/>
          </w:rPr>
          <w:fldChar w:fldCharType="begin"/>
        </w:r>
        <w:r w:rsidR="004303CB">
          <w:rPr>
            <w:webHidden/>
          </w:rPr>
          <w:instrText xml:space="preserve"> PAGEREF _Toc149555493 \h </w:instrText>
        </w:r>
        <w:r w:rsidR="004303CB">
          <w:rPr>
            <w:webHidden/>
          </w:rPr>
        </w:r>
        <w:r w:rsidR="004303CB">
          <w:rPr>
            <w:webHidden/>
          </w:rPr>
          <w:fldChar w:fldCharType="separate"/>
        </w:r>
        <w:r w:rsidR="00497022">
          <w:rPr>
            <w:webHidden/>
          </w:rPr>
          <w:t>144</w:t>
        </w:r>
        <w:r w:rsidR="004303CB">
          <w:rPr>
            <w:webHidden/>
          </w:rPr>
          <w:fldChar w:fldCharType="end"/>
        </w:r>
      </w:hyperlink>
    </w:p>
    <w:p w14:paraId="0EB31B3A" w14:textId="5DB9434E" w:rsidR="00ED4441" w:rsidRDefault="0037486E" w:rsidP="004303CB">
      <w:pPr>
        <w:pStyle w:val="TOC1"/>
        <w:spacing w:after="0" w:line="240" w:lineRule="auto"/>
        <w:contextualSpacing/>
        <w:rPr>
          <w:b w:val="0"/>
          <w:bCs w:val="0"/>
          <w:noProof w:val="0"/>
        </w:rPr>
      </w:pPr>
      <w:r w:rsidRPr="00837161">
        <w:rPr>
          <w:b w:val="0"/>
          <w:bCs w:val="0"/>
        </w:rPr>
        <w:fldChar w:fldCharType="end"/>
      </w:r>
    </w:p>
    <w:p w14:paraId="0000004E" w14:textId="77777777" w:rsidR="00A758FD" w:rsidRPr="003666A4" w:rsidRDefault="00C81287">
      <w:pPr>
        <w:spacing w:before="240" w:after="120" w:line="240" w:lineRule="auto"/>
        <w:rPr>
          <w:b/>
          <w:sz w:val="36"/>
        </w:rPr>
      </w:pPr>
      <w:r w:rsidRPr="003666A4">
        <w:rPr>
          <w:b/>
          <w:sz w:val="36"/>
        </w:rPr>
        <w:t>List of figures</w:t>
      </w:r>
    </w:p>
    <w:p w14:paraId="26581B3A" w14:textId="77777777" w:rsidR="00B3227D" w:rsidRDefault="00B3227D">
      <w:pPr>
        <w:pStyle w:val="TableofFigures"/>
        <w:tabs>
          <w:tab w:val="right" w:leader="dot" w:pos="9620"/>
        </w:tabs>
        <w:ind w:left="951" w:hanging="471"/>
        <w:rPr>
          <w:rFonts w:eastAsia="游明朝"/>
          <w:b/>
          <w:u w:val="thick"/>
          <w:lang w:eastAsia="ja-JP"/>
        </w:rPr>
      </w:pPr>
    </w:p>
    <w:p w14:paraId="489A7520" w14:textId="64DD8A83" w:rsidR="00B3227D" w:rsidRDefault="000C7D23"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r w:rsidRPr="00837161">
        <w:rPr>
          <w:rFonts w:eastAsia="游明朝"/>
          <w:b/>
          <w:u w:val="thick"/>
          <w:lang w:eastAsia="ja-JP"/>
        </w:rPr>
        <w:fldChar w:fldCharType="begin"/>
      </w:r>
      <w:r w:rsidRPr="00837161">
        <w:rPr>
          <w:rFonts w:eastAsia="游明朝"/>
          <w:b/>
          <w:u w:val="thick"/>
          <w:lang w:eastAsia="ja-JP"/>
        </w:rPr>
        <w:instrText xml:space="preserve"> TOC \h \z \c "Figure 5." </w:instrText>
      </w:r>
      <w:r w:rsidRPr="00837161">
        <w:rPr>
          <w:rFonts w:eastAsia="游明朝"/>
          <w:b/>
          <w:u w:val="thick"/>
          <w:lang w:eastAsia="ja-JP"/>
        </w:rPr>
        <w:fldChar w:fldCharType="separate"/>
      </w:r>
      <w:hyperlink w:anchor="_Toc147489354" w:history="1">
        <w:r w:rsidR="00B3227D" w:rsidRPr="005B31E3">
          <w:rPr>
            <w:rStyle w:val="Hyperlink"/>
            <w:b/>
            <w:noProof/>
          </w:rPr>
          <w:t>Figure 5</w:t>
        </w:r>
        <w:r w:rsidR="00B3227D" w:rsidRPr="005B31E3">
          <w:rPr>
            <w:rStyle w:val="Hyperlink"/>
            <w:b/>
            <w:bCs/>
            <w:noProof/>
          </w:rPr>
          <w:t>.1.</w:t>
        </w:r>
        <w:r w:rsidR="00B3227D" w:rsidRPr="005B31E3">
          <w:rPr>
            <w:rStyle w:val="Hyperlink"/>
            <w:noProof/>
          </w:rPr>
          <w:t xml:space="preserve"> Conceptual diagram of management-invasion continuum.</w:t>
        </w:r>
        <w:r w:rsidR="00B3227D">
          <w:rPr>
            <w:noProof/>
            <w:webHidden/>
          </w:rPr>
          <w:tab/>
        </w:r>
        <w:r w:rsidR="00B3227D">
          <w:rPr>
            <w:noProof/>
            <w:webHidden/>
          </w:rPr>
          <w:fldChar w:fldCharType="begin"/>
        </w:r>
        <w:r w:rsidR="00B3227D">
          <w:rPr>
            <w:noProof/>
            <w:webHidden/>
          </w:rPr>
          <w:instrText xml:space="preserve"> PAGEREF _Toc147489354 \h </w:instrText>
        </w:r>
        <w:r w:rsidR="00B3227D">
          <w:rPr>
            <w:noProof/>
            <w:webHidden/>
          </w:rPr>
        </w:r>
        <w:r w:rsidR="00B3227D">
          <w:rPr>
            <w:noProof/>
            <w:webHidden/>
          </w:rPr>
          <w:fldChar w:fldCharType="separate"/>
        </w:r>
        <w:r w:rsidR="00497022">
          <w:rPr>
            <w:noProof/>
            <w:webHidden/>
          </w:rPr>
          <w:t>7</w:t>
        </w:r>
        <w:r w:rsidR="00B3227D">
          <w:rPr>
            <w:noProof/>
            <w:webHidden/>
          </w:rPr>
          <w:fldChar w:fldCharType="end"/>
        </w:r>
      </w:hyperlink>
    </w:p>
    <w:p w14:paraId="688C2EB4" w14:textId="2C1C524A"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55" w:history="1">
        <w:r w:rsidR="00B3227D" w:rsidRPr="005B31E3">
          <w:rPr>
            <w:rStyle w:val="Hyperlink"/>
            <w:b/>
            <w:bCs/>
            <w:noProof/>
          </w:rPr>
          <w:t>Figure 5.2.</w:t>
        </w:r>
        <w:r w:rsidR="00B3227D" w:rsidRPr="005B31E3">
          <w:rPr>
            <w:rStyle w:val="Hyperlink"/>
            <w:noProof/>
          </w:rPr>
          <w:t xml:space="preserve"> Content of sections in this chapter and their linkages with the other chapters of the assessment</w:t>
        </w:r>
        <w:r w:rsidR="00B3227D" w:rsidRPr="005B31E3">
          <w:rPr>
            <w:rStyle w:val="Hyperlink"/>
            <w:noProof/>
            <w:lang w:eastAsia="ja-JP"/>
          </w:rPr>
          <w:t>.</w:t>
        </w:r>
        <w:r w:rsidR="00B3227D">
          <w:rPr>
            <w:noProof/>
            <w:webHidden/>
          </w:rPr>
          <w:tab/>
        </w:r>
        <w:r w:rsidR="00B3227D">
          <w:rPr>
            <w:noProof/>
            <w:webHidden/>
          </w:rPr>
          <w:fldChar w:fldCharType="begin"/>
        </w:r>
        <w:r w:rsidR="00B3227D">
          <w:rPr>
            <w:noProof/>
            <w:webHidden/>
          </w:rPr>
          <w:instrText xml:space="preserve"> PAGEREF _Toc147489355 \h </w:instrText>
        </w:r>
        <w:r w:rsidR="00B3227D">
          <w:rPr>
            <w:noProof/>
            <w:webHidden/>
          </w:rPr>
        </w:r>
        <w:r w:rsidR="00B3227D">
          <w:rPr>
            <w:noProof/>
            <w:webHidden/>
          </w:rPr>
          <w:fldChar w:fldCharType="separate"/>
        </w:r>
        <w:r w:rsidR="00497022">
          <w:rPr>
            <w:noProof/>
            <w:webHidden/>
          </w:rPr>
          <w:t>9</w:t>
        </w:r>
        <w:r w:rsidR="00B3227D">
          <w:rPr>
            <w:noProof/>
            <w:webHidden/>
          </w:rPr>
          <w:fldChar w:fldCharType="end"/>
        </w:r>
      </w:hyperlink>
    </w:p>
    <w:p w14:paraId="64E8A6AD" w14:textId="11AF55C0"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56" w:history="1">
        <w:r w:rsidR="00B3227D" w:rsidRPr="005B31E3">
          <w:rPr>
            <w:rStyle w:val="Hyperlink"/>
            <w:b/>
            <w:noProof/>
          </w:rPr>
          <w:t xml:space="preserve">Figure 5.3. </w:t>
        </w:r>
        <w:r w:rsidR="00B3227D" w:rsidRPr="005B31E3">
          <w:rPr>
            <w:rStyle w:val="Hyperlink"/>
            <w:noProof/>
          </w:rPr>
          <w:t>The three main approaches to support decision-making actions on management</w:t>
        </w:r>
        <w:r w:rsidR="00B3227D" w:rsidRPr="005B31E3">
          <w:rPr>
            <w:rStyle w:val="Hyperlink"/>
            <w:rFonts w:eastAsia="Times New Roman"/>
            <w:noProof/>
          </w:rPr>
          <w:t xml:space="preserve"> </w:t>
        </w:r>
        <w:r w:rsidR="00B3227D" w:rsidRPr="005B31E3">
          <w:rPr>
            <w:rStyle w:val="Hyperlink"/>
            <w:noProof/>
          </w:rPr>
          <w:t>of biological invasions and examples of contributing tools.</w:t>
        </w:r>
        <w:r w:rsidR="00B3227D">
          <w:rPr>
            <w:noProof/>
            <w:webHidden/>
          </w:rPr>
          <w:tab/>
        </w:r>
        <w:r w:rsidR="00B3227D">
          <w:rPr>
            <w:noProof/>
            <w:webHidden/>
          </w:rPr>
          <w:fldChar w:fldCharType="begin"/>
        </w:r>
        <w:r w:rsidR="00B3227D">
          <w:rPr>
            <w:noProof/>
            <w:webHidden/>
          </w:rPr>
          <w:instrText xml:space="preserve"> PAGEREF _Toc147489356 \h </w:instrText>
        </w:r>
        <w:r w:rsidR="00B3227D">
          <w:rPr>
            <w:noProof/>
            <w:webHidden/>
          </w:rPr>
        </w:r>
        <w:r w:rsidR="00B3227D">
          <w:rPr>
            <w:noProof/>
            <w:webHidden/>
          </w:rPr>
          <w:fldChar w:fldCharType="separate"/>
        </w:r>
        <w:r w:rsidR="00497022">
          <w:rPr>
            <w:noProof/>
            <w:webHidden/>
          </w:rPr>
          <w:t>14</w:t>
        </w:r>
        <w:r w:rsidR="00B3227D">
          <w:rPr>
            <w:noProof/>
            <w:webHidden/>
          </w:rPr>
          <w:fldChar w:fldCharType="end"/>
        </w:r>
      </w:hyperlink>
    </w:p>
    <w:p w14:paraId="4C4F1B48" w14:textId="23A87711" w:rsidR="00B3227D" w:rsidRDefault="00F176E3"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57" w:history="1">
        <w:r w:rsidR="00B3227D" w:rsidRPr="005B31E3">
          <w:rPr>
            <w:rStyle w:val="Hyperlink"/>
            <w:b/>
            <w:noProof/>
          </w:rPr>
          <w:t>Figure 5</w:t>
        </w:r>
        <w:r w:rsidR="00B3227D" w:rsidRPr="005B31E3">
          <w:rPr>
            <w:rStyle w:val="Hyperlink"/>
            <w:noProof/>
          </w:rPr>
          <w:t>.</w:t>
        </w:r>
        <w:r w:rsidR="00B3227D" w:rsidRPr="005B31E3">
          <w:rPr>
            <w:rStyle w:val="Hyperlink"/>
            <w:b/>
            <w:bCs/>
            <w:noProof/>
          </w:rPr>
          <w:t>4.</w:t>
        </w:r>
        <w:r w:rsidR="00B3227D" w:rsidRPr="005B31E3">
          <w:rPr>
            <w:rStyle w:val="Hyperlink"/>
            <w:b/>
            <w:noProof/>
          </w:rPr>
          <w:t xml:space="preserve"> </w:t>
        </w:r>
        <w:r w:rsidR="00B3227D" w:rsidRPr="005B31E3">
          <w:rPr>
            <w:rStyle w:val="Hyperlink"/>
            <w:noProof/>
          </w:rPr>
          <w:t>Applicability of different tools and methods along the conceptual diagram of management along the invasion curve</w:t>
        </w:r>
        <w:r w:rsidR="004D38BB">
          <w:rPr>
            <w:rStyle w:val="Hyperlink"/>
            <w:noProof/>
          </w:rPr>
          <w:t xml:space="preserve"> </w:t>
        </w:r>
        <w:r w:rsidR="004D38BB" w:rsidRPr="004D38BB">
          <w:rPr>
            <w:rStyle w:val="Hyperlink"/>
            <w:noProof/>
          </w:rPr>
          <w:t>which provides a continuum for management interventions</w:t>
        </w:r>
        <w:r w:rsidR="00B3227D">
          <w:rPr>
            <w:noProof/>
            <w:webHidden/>
          </w:rPr>
          <w:tab/>
        </w:r>
        <w:r w:rsidR="00B3227D">
          <w:rPr>
            <w:noProof/>
            <w:webHidden/>
          </w:rPr>
          <w:fldChar w:fldCharType="begin"/>
        </w:r>
        <w:r w:rsidR="00B3227D">
          <w:rPr>
            <w:noProof/>
            <w:webHidden/>
          </w:rPr>
          <w:instrText xml:space="preserve"> PAGEREF _Toc147489357 \h </w:instrText>
        </w:r>
        <w:r w:rsidR="00B3227D">
          <w:rPr>
            <w:noProof/>
            <w:webHidden/>
          </w:rPr>
        </w:r>
        <w:r w:rsidR="00B3227D">
          <w:rPr>
            <w:noProof/>
            <w:webHidden/>
          </w:rPr>
          <w:fldChar w:fldCharType="separate"/>
        </w:r>
        <w:r w:rsidR="00497022">
          <w:rPr>
            <w:noProof/>
            <w:webHidden/>
          </w:rPr>
          <w:t>16</w:t>
        </w:r>
        <w:r w:rsidR="00B3227D">
          <w:rPr>
            <w:noProof/>
            <w:webHidden/>
          </w:rPr>
          <w:fldChar w:fldCharType="end"/>
        </w:r>
      </w:hyperlink>
    </w:p>
    <w:p w14:paraId="11D66A3B" w14:textId="2BF8F4E9" w:rsidR="00B3227D" w:rsidRPr="0081677C"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58" w:history="1">
        <w:r w:rsidR="00B3227D" w:rsidRPr="0081677C">
          <w:rPr>
            <w:rStyle w:val="Hyperlink"/>
            <w:b/>
            <w:bCs/>
            <w:noProof/>
          </w:rPr>
          <w:t xml:space="preserve">Figure 5.5. </w:t>
        </w:r>
        <w:r w:rsidR="00B3227D" w:rsidRPr="0081677C">
          <w:rPr>
            <w:rStyle w:val="Hyperlink"/>
            <w:noProof/>
          </w:rPr>
          <w:t>The TrIAScycle - an example of knowledge flow allowing for transparency and promoting trust and confidence between stakeholders and decision makers.</w:t>
        </w:r>
        <w:r w:rsidR="00B3227D" w:rsidRPr="0081677C">
          <w:rPr>
            <w:noProof/>
            <w:webHidden/>
          </w:rPr>
          <w:tab/>
        </w:r>
        <w:r w:rsidR="00B3227D" w:rsidRPr="0081677C">
          <w:rPr>
            <w:noProof/>
            <w:webHidden/>
          </w:rPr>
          <w:fldChar w:fldCharType="begin"/>
        </w:r>
        <w:r w:rsidR="00B3227D" w:rsidRPr="0081677C">
          <w:rPr>
            <w:noProof/>
            <w:webHidden/>
          </w:rPr>
          <w:instrText xml:space="preserve"> PAGEREF _Toc147489358 \h </w:instrText>
        </w:r>
        <w:r w:rsidR="00B3227D" w:rsidRPr="0081677C">
          <w:rPr>
            <w:noProof/>
            <w:webHidden/>
          </w:rPr>
        </w:r>
        <w:r w:rsidR="00B3227D" w:rsidRPr="0081677C">
          <w:rPr>
            <w:noProof/>
            <w:webHidden/>
          </w:rPr>
          <w:fldChar w:fldCharType="separate"/>
        </w:r>
        <w:r w:rsidR="00497022">
          <w:rPr>
            <w:noProof/>
            <w:webHidden/>
          </w:rPr>
          <w:t>22</w:t>
        </w:r>
        <w:r w:rsidR="00B3227D" w:rsidRPr="0081677C">
          <w:rPr>
            <w:noProof/>
            <w:webHidden/>
          </w:rPr>
          <w:fldChar w:fldCharType="end"/>
        </w:r>
      </w:hyperlink>
    </w:p>
    <w:p w14:paraId="69B62170" w14:textId="04733F3A"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59" w:history="1">
        <w:r w:rsidR="00B3227D" w:rsidRPr="005B31E3">
          <w:rPr>
            <w:rStyle w:val="Hyperlink"/>
            <w:b/>
            <w:bCs/>
            <w:noProof/>
          </w:rPr>
          <w:t>Figure 5.6.</w:t>
        </w:r>
        <w:r w:rsidR="00B3227D" w:rsidRPr="005B31E3">
          <w:rPr>
            <w:rStyle w:val="Hyperlink"/>
            <w:noProof/>
          </w:rPr>
          <w:t xml:space="preserve"> Pathways, species and sites: three foci for a comprehensive approach to prioritization of management actions in biological invasions.</w:t>
        </w:r>
        <w:r w:rsidR="00B3227D">
          <w:rPr>
            <w:noProof/>
            <w:webHidden/>
          </w:rPr>
          <w:tab/>
        </w:r>
        <w:r w:rsidR="00B3227D">
          <w:rPr>
            <w:noProof/>
            <w:webHidden/>
          </w:rPr>
          <w:fldChar w:fldCharType="begin"/>
        </w:r>
        <w:r w:rsidR="00B3227D">
          <w:rPr>
            <w:noProof/>
            <w:webHidden/>
          </w:rPr>
          <w:instrText xml:space="preserve"> PAGEREF _Toc147489359 \h </w:instrText>
        </w:r>
        <w:r w:rsidR="00B3227D">
          <w:rPr>
            <w:noProof/>
            <w:webHidden/>
          </w:rPr>
        </w:r>
        <w:r w:rsidR="00B3227D">
          <w:rPr>
            <w:noProof/>
            <w:webHidden/>
          </w:rPr>
          <w:fldChar w:fldCharType="separate"/>
        </w:r>
        <w:r w:rsidR="00497022">
          <w:rPr>
            <w:noProof/>
            <w:webHidden/>
          </w:rPr>
          <w:t>25</w:t>
        </w:r>
        <w:r w:rsidR="00B3227D">
          <w:rPr>
            <w:noProof/>
            <w:webHidden/>
          </w:rPr>
          <w:fldChar w:fldCharType="end"/>
        </w:r>
      </w:hyperlink>
    </w:p>
    <w:p w14:paraId="0B2DB4E2" w14:textId="0D98A428"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0" w:history="1">
        <w:r w:rsidR="00B3227D" w:rsidRPr="005B31E3">
          <w:rPr>
            <w:rStyle w:val="Hyperlink"/>
            <w:b/>
            <w:noProof/>
          </w:rPr>
          <w:t>Figure 5</w:t>
        </w:r>
        <w:r w:rsidR="00B3227D" w:rsidRPr="005B31E3">
          <w:rPr>
            <w:rStyle w:val="Hyperlink"/>
            <w:b/>
            <w:bCs/>
            <w:noProof/>
          </w:rPr>
          <w:t xml:space="preserve">.7. </w:t>
        </w:r>
        <w:r w:rsidR="00B3227D" w:rsidRPr="005B31E3">
          <w:rPr>
            <w:rStyle w:val="Hyperlink"/>
            <w:noProof/>
          </w:rPr>
          <w:t>Example of a pathway prioritization with a case study from Great Britain (United Kingdom).</w:t>
        </w:r>
        <w:r w:rsidR="00B3227D">
          <w:rPr>
            <w:noProof/>
            <w:webHidden/>
          </w:rPr>
          <w:tab/>
        </w:r>
        <w:r w:rsidR="00B3227D">
          <w:rPr>
            <w:noProof/>
            <w:webHidden/>
          </w:rPr>
          <w:fldChar w:fldCharType="begin"/>
        </w:r>
        <w:r w:rsidR="00B3227D">
          <w:rPr>
            <w:noProof/>
            <w:webHidden/>
          </w:rPr>
          <w:instrText xml:space="preserve"> PAGEREF _Toc147489360 \h </w:instrText>
        </w:r>
        <w:r w:rsidR="00B3227D">
          <w:rPr>
            <w:noProof/>
            <w:webHidden/>
          </w:rPr>
        </w:r>
        <w:r w:rsidR="00B3227D">
          <w:rPr>
            <w:noProof/>
            <w:webHidden/>
          </w:rPr>
          <w:fldChar w:fldCharType="separate"/>
        </w:r>
        <w:r w:rsidR="00497022">
          <w:rPr>
            <w:noProof/>
            <w:webHidden/>
          </w:rPr>
          <w:t>26</w:t>
        </w:r>
        <w:r w:rsidR="00B3227D">
          <w:rPr>
            <w:noProof/>
            <w:webHidden/>
          </w:rPr>
          <w:fldChar w:fldCharType="end"/>
        </w:r>
      </w:hyperlink>
    </w:p>
    <w:p w14:paraId="73810ADB" w14:textId="406057E4"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1" w:history="1">
        <w:r w:rsidR="00B3227D" w:rsidRPr="005B31E3">
          <w:rPr>
            <w:rStyle w:val="Hyperlink"/>
            <w:b/>
            <w:noProof/>
          </w:rPr>
          <w:t>Figure 5</w:t>
        </w:r>
        <w:r w:rsidR="00B3227D" w:rsidRPr="005B31E3">
          <w:rPr>
            <w:rStyle w:val="Hyperlink"/>
            <w:b/>
            <w:bCs/>
            <w:noProof/>
          </w:rPr>
          <w:t>.8.</w:t>
        </w:r>
        <w:r w:rsidR="00B3227D" w:rsidRPr="005B31E3">
          <w:rPr>
            <w:rStyle w:val="Hyperlink"/>
            <w:b/>
            <w:noProof/>
          </w:rPr>
          <w:t xml:space="preserve"> </w:t>
        </w:r>
        <w:r w:rsidR="00B3227D" w:rsidRPr="005B31E3">
          <w:rPr>
            <w:rStyle w:val="Hyperlink"/>
            <w:noProof/>
          </w:rPr>
          <w:t>Risk Analysis for Alien Taxa (RAAT) framework developed in South Africa as a standardized and transparent approach to prioritizing and regulating alien species based on evidence.</w:t>
        </w:r>
        <w:r w:rsidR="00B3227D">
          <w:rPr>
            <w:noProof/>
            <w:webHidden/>
          </w:rPr>
          <w:tab/>
        </w:r>
        <w:r w:rsidR="00B3227D">
          <w:rPr>
            <w:noProof/>
            <w:webHidden/>
          </w:rPr>
          <w:fldChar w:fldCharType="begin"/>
        </w:r>
        <w:r w:rsidR="00B3227D">
          <w:rPr>
            <w:noProof/>
            <w:webHidden/>
          </w:rPr>
          <w:instrText xml:space="preserve"> PAGEREF _Toc147489361 \h </w:instrText>
        </w:r>
        <w:r w:rsidR="00B3227D">
          <w:rPr>
            <w:noProof/>
            <w:webHidden/>
          </w:rPr>
        </w:r>
        <w:r w:rsidR="00B3227D">
          <w:rPr>
            <w:noProof/>
            <w:webHidden/>
          </w:rPr>
          <w:fldChar w:fldCharType="separate"/>
        </w:r>
        <w:r w:rsidR="00497022">
          <w:rPr>
            <w:noProof/>
            <w:webHidden/>
          </w:rPr>
          <w:t>28</w:t>
        </w:r>
        <w:r w:rsidR="00B3227D">
          <w:rPr>
            <w:noProof/>
            <w:webHidden/>
          </w:rPr>
          <w:fldChar w:fldCharType="end"/>
        </w:r>
      </w:hyperlink>
    </w:p>
    <w:p w14:paraId="388A5BB6" w14:textId="0992E8F7"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2" w:history="1">
        <w:r w:rsidR="00B3227D" w:rsidRPr="005B31E3">
          <w:rPr>
            <w:rStyle w:val="Hyperlink"/>
            <w:b/>
            <w:noProof/>
          </w:rPr>
          <w:t>Figure 5</w:t>
        </w:r>
        <w:r w:rsidR="00B3227D" w:rsidRPr="005B31E3">
          <w:rPr>
            <w:rStyle w:val="Hyperlink"/>
            <w:b/>
            <w:bCs/>
            <w:noProof/>
          </w:rPr>
          <w:t>.9.</w:t>
        </w:r>
        <w:r w:rsidR="00B3227D" w:rsidRPr="005B31E3">
          <w:rPr>
            <w:rStyle w:val="Hyperlink"/>
            <w:b/>
            <w:noProof/>
          </w:rPr>
          <w:t xml:space="preserve"> </w:t>
        </w:r>
        <w:r w:rsidR="00B3227D" w:rsidRPr="005B31E3">
          <w:rPr>
            <w:rStyle w:val="Hyperlink"/>
            <w:noProof/>
          </w:rPr>
          <w:t>Map of Barrow Island in north-western Australia which is dominated by grasslands and has an area of 202 km2.</w:t>
        </w:r>
        <w:r w:rsidR="00B3227D">
          <w:rPr>
            <w:noProof/>
            <w:webHidden/>
          </w:rPr>
          <w:tab/>
        </w:r>
        <w:r w:rsidR="00B3227D">
          <w:rPr>
            <w:noProof/>
            <w:webHidden/>
          </w:rPr>
          <w:fldChar w:fldCharType="begin"/>
        </w:r>
        <w:r w:rsidR="00B3227D">
          <w:rPr>
            <w:noProof/>
            <w:webHidden/>
          </w:rPr>
          <w:instrText xml:space="preserve"> PAGEREF _Toc147489362 \h </w:instrText>
        </w:r>
        <w:r w:rsidR="00B3227D">
          <w:rPr>
            <w:noProof/>
            <w:webHidden/>
          </w:rPr>
        </w:r>
        <w:r w:rsidR="00B3227D">
          <w:rPr>
            <w:noProof/>
            <w:webHidden/>
          </w:rPr>
          <w:fldChar w:fldCharType="separate"/>
        </w:r>
        <w:r w:rsidR="00497022">
          <w:rPr>
            <w:noProof/>
            <w:webHidden/>
          </w:rPr>
          <w:t>35</w:t>
        </w:r>
        <w:r w:rsidR="00B3227D">
          <w:rPr>
            <w:noProof/>
            <w:webHidden/>
          </w:rPr>
          <w:fldChar w:fldCharType="end"/>
        </w:r>
      </w:hyperlink>
    </w:p>
    <w:p w14:paraId="2EED1B2D" w14:textId="70863C0A"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3" w:history="1">
        <w:r w:rsidR="00B3227D" w:rsidRPr="005B31E3">
          <w:rPr>
            <w:rStyle w:val="Hyperlink"/>
            <w:b/>
            <w:noProof/>
          </w:rPr>
          <w:t>Figure 5</w:t>
        </w:r>
        <w:r w:rsidR="00B3227D" w:rsidRPr="005B31E3">
          <w:rPr>
            <w:rStyle w:val="Hyperlink"/>
            <w:b/>
            <w:bCs/>
            <w:noProof/>
          </w:rPr>
          <w:t>.10.</w:t>
        </w:r>
        <w:r w:rsidR="00B3227D" w:rsidRPr="005B31E3">
          <w:rPr>
            <w:rStyle w:val="Hyperlink"/>
            <w:b/>
            <w:noProof/>
          </w:rPr>
          <w:t xml:space="preserve"> </w:t>
        </w:r>
        <w:r w:rsidR="00B3227D" w:rsidRPr="005B31E3">
          <w:rPr>
            <w:rStyle w:val="Hyperlink"/>
            <w:noProof/>
          </w:rPr>
          <w:t xml:space="preserve">Invasive alien coral </w:t>
        </w:r>
        <w:r w:rsidR="00B3227D" w:rsidRPr="005B31E3">
          <w:rPr>
            <w:rStyle w:val="Hyperlink"/>
            <w:i/>
            <w:noProof/>
          </w:rPr>
          <w:t>Tubastraea</w:t>
        </w:r>
        <w:r w:rsidR="00B3227D" w:rsidRPr="005B31E3">
          <w:rPr>
            <w:rStyle w:val="Hyperlink"/>
            <w:noProof/>
          </w:rPr>
          <w:t xml:space="preserve"> spp. (sun coral or coral-sol in Portuguese) off the Brazilian coast.</w:t>
        </w:r>
        <w:r w:rsidR="00B3227D">
          <w:rPr>
            <w:noProof/>
            <w:webHidden/>
          </w:rPr>
          <w:tab/>
        </w:r>
        <w:r w:rsidR="00B3227D">
          <w:rPr>
            <w:noProof/>
            <w:webHidden/>
          </w:rPr>
          <w:fldChar w:fldCharType="begin"/>
        </w:r>
        <w:r w:rsidR="00B3227D">
          <w:rPr>
            <w:noProof/>
            <w:webHidden/>
          </w:rPr>
          <w:instrText xml:space="preserve"> PAGEREF _Toc147489363 \h </w:instrText>
        </w:r>
        <w:r w:rsidR="00B3227D">
          <w:rPr>
            <w:noProof/>
            <w:webHidden/>
          </w:rPr>
        </w:r>
        <w:r w:rsidR="00B3227D">
          <w:rPr>
            <w:noProof/>
            <w:webHidden/>
          </w:rPr>
          <w:fldChar w:fldCharType="separate"/>
        </w:r>
        <w:r w:rsidR="00497022">
          <w:rPr>
            <w:noProof/>
            <w:webHidden/>
          </w:rPr>
          <w:t>37</w:t>
        </w:r>
        <w:r w:rsidR="00B3227D">
          <w:rPr>
            <w:noProof/>
            <w:webHidden/>
          </w:rPr>
          <w:fldChar w:fldCharType="end"/>
        </w:r>
      </w:hyperlink>
    </w:p>
    <w:p w14:paraId="593860D1" w14:textId="382739B2"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4" w:history="1">
        <w:r w:rsidR="00B3227D" w:rsidRPr="005B31E3">
          <w:rPr>
            <w:rStyle w:val="Hyperlink"/>
            <w:b/>
            <w:noProof/>
          </w:rPr>
          <w:t>Figure 5</w:t>
        </w:r>
        <w:r w:rsidR="00B3227D" w:rsidRPr="005B31E3">
          <w:rPr>
            <w:rStyle w:val="Hyperlink"/>
            <w:b/>
            <w:bCs/>
            <w:noProof/>
          </w:rPr>
          <w:t>.11.</w:t>
        </w:r>
        <w:r w:rsidR="00B3227D" w:rsidRPr="005B31E3">
          <w:rPr>
            <w:rStyle w:val="Hyperlink"/>
            <w:b/>
            <w:noProof/>
          </w:rPr>
          <w:t xml:space="preserve"> </w:t>
        </w:r>
        <w:r w:rsidR="00B3227D" w:rsidRPr="005B31E3">
          <w:rPr>
            <w:rStyle w:val="Hyperlink"/>
            <w:i/>
            <w:noProof/>
          </w:rPr>
          <w:t>Pontederia crassipes</w:t>
        </w:r>
        <w:r w:rsidR="00B3227D" w:rsidRPr="005B31E3">
          <w:rPr>
            <w:rStyle w:val="Hyperlink"/>
            <w:noProof/>
          </w:rPr>
          <w:t xml:space="preserve"> (water hyacinth) on the Mekong River.</w:t>
        </w:r>
        <w:r w:rsidR="00B3227D" w:rsidRPr="005B31E3">
          <w:rPr>
            <w:rStyle w:val="Hyperlink"/>
            <w:b/>
            <w:noProof/>
          </w:rPr>
          <w:t xml:space="preserve"> </w:t>
        </w:r>
        <w:r w:rsidR="00B3227D" w:rsidRPr="005B31E3">
          <w:rPr>
            <w:rStyle w:val="Hyperlink"/>
            <w:i/>
            <w:noProof/>
          </w:rPr>
          <w:t xml:space="preserve">Pontederia crassipes </w:t>
        </w:r>
        <w:r w:rsidR="00B3227D" w:rsidRPr="005B31E3">
          <w:rPr>
            <w:rStyle w:val="Hyperlink"/>
            <w:noProof/>
          </w:rPr>
          <w:t>can impact on the livelihoods of Indigenous Peoples and local communities along the Mekong River..</w:t>
        </w:r>
        <w:r w:rsidR="00B3227D">
          <w:rPr>
            <w:noProof/>
            <w:webHidden/>
          </w:rPr>
          <w:tab/>
        </w:r>
        <w:r w:rsidR="00B3227D">
          <w:rPr>
            <w:noProof/>
            <w:webHidden/>
          </w:rPr>
          <w:fldChar w:fldCharType="begin"/>
        </w:r>
        <w:r w:rsidR="00B3227D">
          <w:rPr>
            <w:noProof/>
            <w:webHidden/>
          </w:rPr>
          <w:instrText xml:space="preserve"> PAGEREF _Toc147489364 \h </w:instrText>
        </w:r>
        <w:r w:rsidR="00B3227D">
          <w:rPr>
            <w:noProof/>
            <w:webHidden/>
          </w:rPr>
        </w:r>
        <w:r w:rsidR="00B3227D">
          <w:rPr>
            <w:noProof/>
            <w:webHidden/>
          </w:rPr>
          <w:fldChar w:fldCharType="separate"/>
        </w:r>
        <w:r w:rsidR="00497022">
          <w:rPr>
            <w:noProof/>
            <w:webHidden/>
          </w:rPr>
          <w:t>40</w:t>
        </w:r>
        <w:r w:rsidR="00B3227D">
          <w:rPr>
            <w:noProof/>
            <w:webHidden/>
          </w:rPr>
          <w:fldChar w:fldCharType="end"/>
        </w:r>
      </w:hyperlink>
    </w:p>
    <w:p w14:paraId="62E7191A" w14:textId="6C0725CD"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65" w:history="1">
        <w:r w:rsidR="00B3227D" w:rsidRPr="00B3227D">
          <w:rPr>
            <w:rStyle w:val="Hyperlink"/>
            <w:b/>
            <w:bCs/>
            <w:noProof/>
          </w:rPr>
          <w:t xml:space="preserve">Figure 5.12. </w:t>
        </w:r>
        <w:r w:rsidR="00B3227D" w:rsidRPr="00B3227D">
          <w:rPr>
            <w:rStyle w:val="Hyperlink"/>
            <w:noProof/>
          </w:rPr>
          <w:t>Map of the Galápagos Islands showing examples of pathway, species-based and site-based management activities.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_Toc147489365 \h </w:instrText>
        </w:r>
        <w:r w:rsidR="00B3227D" w:rsidRPr="00B3227D">
          <w:rPr>
            <w:noProof/>
            <w:webHidden/>
          </w:rPr>
        </w:r>
        <w:r w:rsidR="00B3227D" w:rsidRPr="00B3227D">
          <w:rPr>
            <w:noProof/>
            <w:webHidden/>
          </w:rPr>
          <w:fldChar w:fldCharType="separate"/>
        </w:r>
        <w:r w:rsidR="00497022">
          <w:rPr>
            <w:noProof/>
            <w:webHidden/>
          </w:rPr>
          <w:t>42</w:t>
        </w:r>
        <w:r w:rsidR="00B3227D" w:rsidRPr="00B3227D">
          <w:rPr>
            <w:noProof/>
            <w:webHidden/>
          </w:rPr>
          <w:fldChar w:fldCharType="end"/>
        </w:r>
      </w:hyperlink>
    </w:p>
    <w:p w14:paraId="56BAD8DB" w14:textId="31E82FD5"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6" w:history="1">
        <w:r w:rsidR="00B3227D" w:rsidRPr="005B31E3">
          <w:rPr>
            <w:rStyle w:val="Hyperlink"/>
            <w:b/>
            <w:noProof/>
          </w:rPr>
          <w:t>Figure 5</w:t>
        </w:r>
        <w:r w:rsidR="00B3227D" w:rsidRPr="005B31E3">
          <w:rPr>
            <w:rStyle w:val="Hyperlink"/>
            <w:b/>
            <w:bCs/>
            <w:noProof/>
          </w:rPr>
          <w:t>.13.</w:t>
        </w:r>
        <w:r w:rsidR="00B3227D" w:rsidRPr="005B31E3">
          <w:rPr>
            <w:rStyle w:val="Hyperlink"/>
            <w:b/>
            <w:noProof/>
          </w:rPr>
          <w:t xml:space="preserve"> </w:t>
        </w:r>
        <w:r w:rsidR="00B3227D" w:rsidRPr="005B31E3">
          <w:rPr>
            <w:rStyle w:val="Hyperlink"/>
            <w:i/>
            <w:noProof/>
          </w:rPr>
          <w:t xml:space="preserve">Sus scrofa </w:t>
        </w:r>
        <w:r w:rsidR="00B3227D" w:rsidRPr="005B31E3">
          <w:rPr>
            <w:rStyle w:val="Hyperlink"/>
            <w:noProof/>
          </w:rPr>
          <w:t>(feral pig, jabalí in Spanish) in El Palmar National Park where a management programme was implemented to control the invasive alien species.</w:t>
        </w:r>
        <w:r w:rsidR="00B3227D">
          <w:rPr>
            <w:noProof/>
            <w:webHidden/>
          </w:rPr>
          <w:tab/>
        </w:r>
        <w:r w:rsidR="00B3227D">
          <w:rPr>
            <w:noProof/>
            <w:webHidden/>
          </w:rPr>
          <w:fldChar w:fldCharType="begin"/>
        </w:r>
        <w:r w:rsidR="00B3227D">
          <w:rPr>
            <w:noProof/>
            <w:webHidden/>
          </w:rPr>
          <w:instrText xml:space="preserve"> PAGEREF _Toc147489366 \h </w:instrText>
        </w:r>
        <w:r w:rsidR="00B3227D">
          <w:rPr>
            <w:noProof/>
            <w:webHidden/>
          </w:rPr>
        </w:r>
        <w:r w:rsidR="00B3227D">
          <w:rPr>
            <w:noProof/>
            <w:webHidden/>
          </w:rPr>
          <w:fldChar w:fldCharType="separate"/>
        </w:r>
        <w:r w:rsidR="00497022">
          <w:rPr>
            <w:noProof/>
            <w:webHidden/>
          </w:rPr>
          <w:t>44</w:t>
        </w:r>
        <w:r w:rsidR="00B3227D">
          <w:rPr>
            <w:noProof/>
            <w:webHidden/>
          </w:rPr>
          <w:fldChar w:fldCharType="end"/>
        </w:r>
      </w:hyperlink>
    </w:p>
    <w:p w14:paraId="591E1E4D" w14:textId="4450A882"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67" w:history="1">
        <w:r w:rsidR="00B3227D" w:rsidRPr="00B3227D">
          <w:rPr>
            <w:rStyle w:val="Hyperlink"/>
            <w:b/>
            <w:bCs/>
            <w:noProof/>
          </w:rPr>
          <w:t xml:space="preserve">Figure 5.14. </w:t>
        </w:r>
        <w:r w:rsidR="00B3227D" w:rsidRPr="00B3227D">
          <w:rPr>
            <w:rStyle w:val="Hyperlink"/>
            <w:noProof/>
          </w:rPr>
          <w:t>Decision tree for choosing between site-based and species-based management of invasive alien plants.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_Toc147489367 \h </w:instrText>
        </w:r>
        <w:r w:rsidR="00B3227D" w:rsidRPr="00B3227D">
          <w:rPr>
            <w:noProof/>
            <w:webHidden/>
          </w:rPr>
        </w:r>
        <w:r w:rsidR="00B3227D" w:rsidRPr="00B3227D">
          <w:rPr>
            <w:noProof/>
            <w:webHidden/>
          </w:rPr>
          <w:fldChar w:fldCharType="separate"/>
        </w:r>
        <w:r w:rsidR="00497022">
          <w:rPr>
            <w:noProof/>
            <w:webHidden/>
          </w:rPr>
          <w:t>47</w:t>
        </w:r>
        <w:r w:rsidR="00B3227D" w:rsidRPr="00B3227D">
          <w:rPr>
            <w:noProof/>
            <w:webHidden/>
          </w:rPr>
          <w:fldChar w:fldCharType="end"/>
        </w:r>
      </w:hyperlink>
    </w:p>
    <w:p w14:paraId="737D5A85" w14:textId="59A34DB0"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8" w:history="1">
        <w:r w:rsidR="00B3227D" w:rsidRPr="005B31E3">
          <w:rPr>
            <w:rStyle w:val="Hyperlink"/>
            <w:b/>
            <w:noProof/>
          </w:rPr>
          <w:t>Figure 5.15.</w:t>
        </w:r>
        <w:r w:rsidR="00B3227D" w:rsidRPr="005B31E3">
          <w:rPr>
            <w:rStyle w:val="Hyperlink"/>
            <w:noProof/>
          </w:rPr>
          <w:t xml:space="preserve"> The manual application of a chemical treatment of </w:t>
        </w:r>
        <w:r w:rsidR="00B3227D" w:rsidRPr="005B31E3">
          <w:rPr>
            <w:rStyle w:val="Hyperlink"/>
            <w:i/>
            <w:noProof/>
          </w:rPr>
          <w:t>Solenopsis invicta</w:t>
        </w:r>
        <w:r w:rsidR="00B3227D" w:rsidRPr="005B31E3">
          <w:rPr>
            <w:rStyle w:val="Hyperlink"/>
            <w:noProof/>
          </w:rPr>
          <w:t xml:space="preserve"> (red imported fire ant) in Brisbane Australia as part of an eradication campaign.</w:t>
        </w:r>
        <w:r w:rsidR="00B3227D">
          <w:rPr>
            <w:noProof/>
            <w:webHidden/>
          </w:rPr>
          <w:tab/>
        </w:r>
        <w:r w:rsidR="00B3227D">
          <w:rPr>
            <w:noProof/>
            <w:webHidden/>
          </w:rPr>
          <w:fldChar w:fldCharType="begin"/>
        </w:r>
        <w:r w:rsidR="00B3227D">
          <w:rPr>
            <w:noProof/>
            <w:webHidden/>
          </w:rPr>
          <w:instrText xml:space="preserve"> PAGEREF _Toc147489368 \h </w:instrText>
        </w:r>
        <w:r w:rsidR="00B3227D">
          <w:rPr>
            <w:noProof/>
            <w:webHidden/>
          </w:rPr>
        </w:r>
        <w:r w:rsidR="00B3227D">
          <w:rPr>
            <w:noProof/>
            <w:webHidden/>
          </w:rPr>
          <w:fldChar w:fldCharType="separate"/>
        </w:r>
        <w:r w:rsidR="00497022">
          <w:rPr>
            <w:noProof/>
            <w:webHidden/>
          </w:rPr>
          <w:t>58</w:t>
        </w:r>
        <w:r w:rsidR="00B3227D">
          <w:rPr>
            <w:noProof/>
            <w:webHidden/>
          </w:rPr>
          <w:fldChar w:fldCharType="end"/>
        </w:r>
      </w:hyperlink>
    </w:p>
    <w:p w14:paraId="2B068565" w14:textId="2B1FD459"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69" w:history="1">
        <w:r w:rsidR="00B3227D" w:rsidRPr="005B31E3">
          <w:rPr>
            <w:rStyle w:val="Hyperlink"/>
            <w:b/>
            <w:bCs/>
            <w:noProof/>
          </w:rPr>
          <w:t>Figure 5.16.</w:t>
        </w:r>
        <w:r w:rsidR="00B3227D" w:rsidRPr="005B31E3">
          <w:rPr>
            <w:rStyle w:val="Hyperlink"/>
            <w:b/>
            <w:noProof/>
          </w:rPr>
          <w:t xml:space="preserve"> </w:t>
        </w:r>
        <w:r w:rsidR="00B3227D" w:rsidRPr="005B31E3">
          <w:rPr>
            <w:rStyle w:val="Hyperlink"/>
            <w:noProof/>
          </w:rPr>
          <w:t>Evolution of new crop protection product. Top: discovery and development cost of a new crop protection product (y axis) in 1995, 2000, 2005-8 and 2010-14 (x axis)</w:t>
        </w:r>
        <w:r w:rsidR="00B3227D">
          <w:rPr>
            <w:noProof/>
            <w:webHidden/>
          </w:rPr>
          <w:tab/>
        </w:r>
        <w:r w:rsidR="00B3227D">
          <w:rPr>
            <w:noProof/>
            <w:webHidden/>
          </w:rPr>
          <w:fldChar w:fldCharType="begin"/>
        </w:r>
        <w:r w:rsidR="00B3227D">
          <w:rPr>
            <w:noProof/>
            <w:webHidden/>
          </w:rPr>
          <w:instrText xml:space="preserve"> PAGEREF _Toc147489369 \h </w:instrText>
        </w:r>
        <w:r w:rsidR="00B3227D">
          <w:rPr>
            <w:noProof/>
            <w:webHidden/>
          </w:rPr>
        </w:r>
        <w:r w:rsidR="00B3227D">
          <w:rPr>
            <w:noProof/>
            <w:webHidden/>
          </w:rPr>
          <w:fldChar w:fldCharType="separate"/>
        </w:r>
        <w:r w:rsidR="00497022">
          <w:rPr>
            <w:noProof/>
            <w:webHidden/>
          </w:rPr>
          <w:t>65</w:t>
        </w:r>
        <w:r w:rsidR="00B3227D">
          <w:rPr>
            <w:noProof/>
            <w:webHidden/>
          </w:rPr>
          <w:fldChar w:fldCharType="end"/>
        </w:r>
      </w:hyperlink>
    </w:p>
    <w:p w14:paraId="34384EE1" w14:textId="2725E2C9"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70" w:history="1">
        <w:r w:rsidR="00B3227D" w:rsidRPr="00B3227D">
          <w:rPr>
            <w:rStyle w:val="Hyperlink"/>
            <w:b/>
            <w:bCs/>
            <w:noProof/>
          </w:rPr>
          <w:t xml:space="preserve">Figure 5.17. </w:t>
        </w:r>
        <w:r w:rsidR="00B3227D" w:rsidRPr="00B3227D">
          <w:rPr>
            <w:rStyle w:val="Hyperlink"/>
            <w:i/>
            <w:noProof/>
          </w:rPr>
          <w:t>Vachellia nilotica</w:t>
        </w:r>
        <w:r w:rsidR="00B3227D" w:rsidRPr="00B3227D">
          <w:rPr>
            <w:rStyle w:val="Hyperlink"/>
            <w:noProof/>
          </w:rPr>
          <w:t xml:space="preserve"> (gum arabic tree) invading Australia’s desert channels region of north-eastern Australia..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_Toc147489370 \h </w:instrText>
        </w:r>
        <w:r w:rsidR="00B3227D" w:rsidRPr="00B3227D">
          <w:rPr>
            <w:noProof/>
            <w:webHidden/>
          </w:rPr>
        </w:r>
        <w:r w:rsidR="00B3227D" w:rsidRPr="00B3227D">
          <w:rPr>
            <w:noProof/>
            <w:webHidden/>
          </w:rPr>
          <w:fldChar w:fldCharType="separate"/>
        </w:r>
        <w:r w:rsidR="00497022">
          <w:rPr>
            <w:noProof/>
            <w:webHidden/>
          </w:rPr>
          <w:t>67</w:t>
        </w:r>
        <w:r w:rsidR="00B3227D" w:rsidRPr="00B3227D">
          <w:rPr>
            <w:noProof/>
            <w:webHidden/>
          </w:rPr>
          <w:fldChar w:fldCharType="end"/>
        </w:r>
      </w:hyperlink>
    </w:p>
    <w:p w14:paraId="6F36E9BF" w14:textId="018DF68C"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71" w:history="1">
        <w:r w:rsidR="00B3227D" w:rsidRPr="00B3227D">
          <w:rPr>
            <w:rStyle w:val="Hyperlink"/>
            <w:b/>
            <w:bCs/>
            <w:noProof/>
          </w:rPr>
          <w:t xml:space="preserve">Figure 5.18. </w:t>
        </w:r>
        <w:r w:rsidR="00B3227D" w:rsidRPr="00B3227D">
          <w:rPr>
            <w:rStyle w:val="Hyperlink"/>
            <w:i/>
            <w:noProof/>
          </w:rPr>
          <w:t>Equus caballus</w:t>
        </w:r>
        <w:r w:rsidR="00B3227D" w:rsidRPr="00B3227D">
          <w:rPr>
            <w:rStyle w:val="Hyperlink"/>
            <w:noProof/>
          </w:rPr>
          <w:t xml:space="preserve"> (horse) invading the native alpine grasslands of the Snowy Mountains National Park in Australia..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_Toc147489371 \h </w:instrText>
        </w:r>
        <w:r w:rsidR="00B3227D" w:rsidRPr="00B3227D">
          <w:rPr>
            <w:noProof/>
            <w:webHidden/>
          </w:rPr>
        </w:r>
        <w:r w:rsidR="00B3227D" w:rsidRPr="00B3227D">
          <w:rPr>
            <w:noProof/>
            <w:webHidden/>
          </w:rPr>
          <w:fldChar w:fldCharType="separate"/>
        </w:r>
        <w:r w:rsidR="00497022">
          <w:rPr>
            <w:noProof/>
            <w:webHidden/>
          </w:rPr>
          <w:t>69</w:t>
        </w:r>
        <w:r w:rsidR="00B3227D" w:rsidRPr="00B3227D">
          <w:rPr>
            <w:noProof/>
            <w:webHidden/>
          </w:rPr>
          <w:fldChar w:fldCharType="end"/>
        </w:r>
      </w:hyperlink>
    </w:p>
    <w:p w14:paraId="28B246B0" w14:textId="05150DC1"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72" w:history="1">
        <w:r w:rsidR="00B3227D" w:rsidRPr="005B31E3">
          <w:rPr>
            <w:rStyle w:val="Hyperlink"/>
            <w:b/>
            <w:bCs/>
            <w:noProof/>
          </w:rPr>
          <w:t>Figure 5.19.</w:t>
        </w:r>
        <w:r w:rsidR="00B3227D" w:rsidRPr="005B31E3">
          <w:rPr>
            <w:rStyle w:val="Hyperlink"/>
            <w:b/>
            <w:noProof/>
          </w:rPr>
          <w:t xml:space="preserve"> </w:t>
        </w:r>
        <w:r w:rsidR="00B3227D" w:rsidRPr="005B31E3">
          <w:rPr>
            <w:rStyle w:val="Hyperlink"/>
            <w:noProof/>
          </w:rPr>
          <w:t xml:space="preserve">Plan for integration of stakeholder engagement and management strategies for </w:t>
        </w:r>
        <w:r w:rsidR="00B3227D" w:rsidRPr="005B31E3">
          <w:rPr>
            <w:rStyle w:val="Hyperlink"/>
            <w:i/>
            <w:noProof/>
          </w:rPr>
          <w:t>Vachellia nilotica</w:t>
        </w:r>
        <w:r w:rsidR="00B3227D" w:rsidRPr="005B31E3">
          <w:rPr>
            <w:rStyle w:val="Hyperlink"/>
            <w:noProof/>
          </w:rPr>
          <w:t xml:space="preserve"> (gum arabic tree) management in Baluran National Park, Indonesia..</w:t>
        </w:r>
        <w:r w:rsidR="00B3227D">
          <w:rPr>
            <w:noProof/>
            <w:webHidden/>
          </w:rPr>
          <w:tab/>
        </w:r>
        <w:r w:rsidR="00B3227D">
          <w:rPr>
            <w:noProof/>
            <w:webHidden/>
          </w:rPr>
          <w:fldChar w:fldCharType="begin"/>
        </w:r>
        <w:r w:rsidR="00B3227D">
          <w:rPr>
            <w:noProof/>
            <w:webHidden/>
          </w:rPr>
          <w:instrText xml:space="preserve"> PAGEREF _Toc147489372 \h </w:instrText>
        </w:r>
        <w:r w:rsidR="00B3227D">
          <w:rPr>
            <w:noProof/>
            <w:webHidden/>
          </w:rPr>
        </w:r>
        <w:r w:rsidR="00B3227D">
          <w:rPr>
            <w:noProof/>
            <w:webHidden/>
          </w:rPr>
          <w:fldChar w:fldCharType="separate"/>
        </w:r>
        <w:r w:rsidR="00497022">
          <w:rPr>
            <w:noProof/>
            <w:webHidden/>
          </w:rPr>
          <w:t>79</w:t>
        </w:r>
        <w:r w:rsidR="00B3227D">
          <w:rPr>
            <w:noProof/>
            <w:webHidden/>
          </w:rPr>
          <w:fldChar w:fldCharType="end"/>
        </w:r>
      </w:hyperlink>
    </w:p>
    <w:p w14:paraId="5A4EA2FB" w14:textId="7E755237"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73" w:history="1">
        <w:r w:rsidR="00B3227D" w:rsidRPr="005B31E3">
          <w:rPr>
            <w:rStyle w:val="Hyperlink"/>
            <w:b/>
            <w:noProof/>
          </w:rPr>
          <w:t xml:space="preserve">Figure 5.20. </w:t>
        </w:r>
        <w:r w:rsidR="00B3227D" w:rsidRPr="005B31E3">
          <w:rPr>
            <w:rStyle w:val="Hyperlink"/>
            <w:noProof/>
          </w:rPr>
          <w:t>Invasive alien ant trap used in New Zealand as part of a surveillance programme..</w:t>
        </w:r>
        <w:r w:rsidR="00B3227D">
          <w:rPr>
            <w:noProof/>
            <w:webHidden/>
          </w:rPr>
          <w:tab/>
        </w:r>
        <w:r w:rsidR="00B3227D">
          <w:rPr>
            <w:noProof/>
            <w:webHidden/>
          </w:rPr>
          <w:fldChar w:fldCharType="begin"/>
        </w:r>
        <w:r w:rsidR="00B3227D">
          <w:rPr>
            <w:noProof/>
            <w:webHidden/>
          </w:rPr>
          <w:instrText xml:space="preserve"> PAGEREF _Toc147489373 \h </w:instrText>
        </w:r>
        <w:r w:rsidR="00B3227D">
          <w:rPr>
            <w:noProof/>
            <w:webHidden/>
          </w:rPr>
        </w:r>
        <w:r w:rsidR="00B3227D">
          <w:rPr>
            <w:noProof/>
            <w:webHidden/>
          </w:rPr>
          <w:fldChar w:fldCharType="separate"/>
        </w:r>
        <w:r w:rsidR="00497022">
          <w:rPr>
            <w:noProof/>
            <w:webHidden/>
          </w:rPr>
          <w:t>94</w:t>
        </w:r>
        <w:r w:rsidR="00B3227D">
          <w:rPr>
            <w:noProof/>
            <w:webHidden/>
          </w:rPr>
          <w:fldChar w:fldCharType="end"/>
        </w:r>
      </w:hyperlink>
    </w:p>
    <w:p w14:paraId="15CF573F" w14:textId="43D52A4C"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74" w:history="1">
        <w:r w:rsidR="00B3227D" w:rsidRPr="005B31E3">
          <w:rPr>
            <w:rStyle w:val="Hyperlink"/>
            <w:b/>
            <w:noProof/>
          </w:rPr>
          <w:t>Figure 5</w:t>
        </w:r>
        <w:r w:rsidR="00B3227D" w:rsidRPr="00B3227D">
          <w:rPr>
            <w:rStyle w:val="Hyperlink"/>
            <w:b/>
            <w:bCs/>
            <w:noProof/>
          </w:rPr>
          <w:t>.21.</w:t>
        </w:r>
        <w:r w:rsidR="00B3227D" w:rsidRPr="005B31E3">
          <w:rPr>
            <w:rStyle w:val="Hyperlink"/>
            <w:noProof/>
          </w:rPr>
          <w:t xml:space="preserve"> </w:t>
        </w:r>
        <w:r w:rsidR="00B3227D" w:rsidRPr="005B31E3">
          <w:rPr>
            <w:rStyle w:val="Hyperlink"/>
            <w:i/>
            <w:noProof/>
          </w:rPr>
          <w:t>Ceroplastes cirripediformis</w:t>
        </w:r>
        <w:r w:rsidR="00B3227D" w:rsidRPr="005B31E3">
          <w:rPr>
            <w:rStyle w:val="Hyperlink"/>
            <w:noProof/>
          </w:rPr>
          <w:t xml:space="preserve"> (barnacle scale) on a host plant.</w:t>
        </w:r>
        <w:r w:rsidR="00B3227D">
          <w:rPr>
            <w:noProof/>
            <w:webHidden/>
          </w:rPr>
          <w:tab/>
        </w:r>
        <w:r w:rsidR="00B3227D">
          <w:rPr>
            <w:noProof/>
            <w:webHidden/>
          </w:rPr>
          <w:fldChar w:fldCharType="begin"/>
        </w:r>
        <w:r w:rsidR="00B3227D">
          <w:rPr>
            <w:noProof/>
            <w:webHidden/>
          </w:rPr>
          <w:instrText xml:space="preserve"> PAGEREF _Toc147489374 \h </w:instrText>
        </w:r>
        <w:r w:rsidR="00B3227D">
          <w:rPr>
            <w:noProof/>
            <w:webHidden/>
          </w:rPr>
        </w:r>
        <w:r w:rsidR="00B3227D">
          <w:rPr>
            <w:noProof/>
            <w:webHidden/>
          </w:rPr>
          <w:fldChar w:fldCharType="separate"/>
        </w:r>
        <w:r w:rsidR="00497022">
          <w:rPr>
            <w:noProof/>
            <w:webHidden/>
          </w:rPr>
          <w:t>97</w:t>
        </w:r>
        <w:r w:rsidR="00B3227D">
          <w:rPr>
            <w:noProof/>
            <w:webHidden/>
          </w:rPr>
          <w:fldChar w:fldCharType="end"/>
        </w:r>
      </w:hyperlink>
    </w:p>
    <w:p w14:paraId="4E52BA1E" w14:textId="135F25F0"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75" w:history="1">
        <w:r w:rsidR="00B3227D" w:rsidRPr="005B31E3">
          <w:rPr>
            <w:rStyle w:val="Hyperlink"/>
            <w:b/>
            <w:noProof/>
          </w:rPr>
          <w:t>Figure 5</w:t>
        </w:r>
        <w:r w:rsidR="00B3227D" w:rsidRPr="005B31E3">
          <w:rPr>
            <w:rStyle w:val="Hyperlink"/>
            <w:b/>
            <w:bCs/>
            <w:noProof/>
          </w:rPr>
          <w:t>.22.</w:t>
        </w:r>
        <w:r w:rsidR="00B3227D" w:rsidRPr="005B31E3">
          <w:rPr>
            <w:rStyle w:val="Hyperlink"/>
            <w:b/>
            <w:noProof/>
          </w:rPr>
          <w:t xml:space="preserve"> </w:t>
        </w:r>
        <w:r w:rsidR="00B3227D" w:rsidRPr="005B31E3">
          <w:rPr>
            <w:rStyle w:val="Hyperlink"/>
            <w:i/>
            <w:noProof/>
          </w:rPr>
          <w:t>Capra hircus</w:t>
        </w:r>
        <w:r w:rsidR="00B3227D" w:rsidRPr="005B31E3">
          <w:rPr>
            <w:rStyle w:val="Hyperlink"/>
            <w:noProof/>
          </w:rPr>
          <w:t xml:space="preserve"> (goats; cabras in Spanish) invading Santiago Island, Ecuador.</w:t>
        </w:r>
        <w:r w:rsidR="00B3227D">
          <w:rPr>
            <w:noProof/>
            <w:webHidden/>
          </w:rPr>
          <w:tab/>
        </w:r>
        <w:r w:rsidR="00B3227D">
          <w:rPr>
            <w:noProof/>
            <w:webHidden/>
          </w:rPr>
          <w:fldChar w:fldCharType="begin"/>
        </w:r>
        <w:r w:rsidR="00B3227D">
          <w:rPr>
            <w:noProof/>
            <w:webHidden/>
          </w:rPr>
          <w:instrText xml:space="preserve"> PAGEREF _Toc147489375 \h </w:instrText>
        </w:r>
        <w:r w:rsidR="00B3227D">
          <w:rPr>
            <w:noProof/>
            <w:webHidden/>
          </w:rPr>
        </w:r>
        <w:r w:rsidR="00B3227D">
          <w:rPr>
            <w:noProof/>
            <w:webHidden/>
          </w:rPr>
          <w:fldChar w:fldCharType="separate"/>
        </w:r>
        <w:r w:rsidR="00497022">
          <w:rPr>
            <w:noProof/>
            <w:webHidden/>
          </w:rPr>
          <w:t>99</w:t>
        </w:r>
        <w:r w:rsidR="00B3227D">
          <w:rPr>
            <w:noProof/>
            <w:webHidden/>
          </w:rPr>
          <w:fldChar w:fldCharType="end"/>
        </w:r>
      </w:hyperlink>
    </w:p>
    <w:p w14:paraId="56BAED82" w14:textId="4F415ED7"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76" w:history="1">
        <w:r w:rsidR="00B3227D" w:rsidRPr="005B31E3">
          <w:rPr>
            <w:rStyle w:val="Hyperlink"/>
            <w:b/>
            <w:bCs/>
            <w:noProof/>
          </w:rPr>
          <w:t xml:space="preserve">Figure 5.23. </w:t>
        </w:r>
        <w:r w:rsidR="00B3227D" w:rsidRPr="005B31E3">
          <w:rPr>
            <w:rStyle w:val="Hyperlink"/>
            <w:noProof/>
          </w:rPr>
          <w:t>Successful eradication programmes; the relationship between area (km</w:t>
        </w:r>
        <w:r w:rsidR="00B3227D" w:rsidRPr="005B31E3">
          <w:rPr>
            <w:rStyle w:val="Hyperlink"/>
            <w:noProof/>
            <w:vertAlign w:val="superscript"/>
          </w:rPr>
          <w:t>2</w:t>
        </w:r>
        <w:r w:rsidR="00B3227D" w:rsidRPr="005B31E3">
          <w:rPr>
            <w:rStyle w:val="Hyperlink"/>
            <w:noProof/>
          </w:rPr>
          <w:t xml:space="preserve">, x axis) of successful </w:t>
        </w:r>
        <w:r w:rsidR="00B3227D" w:rsidRPr="005B31E3">
          <w:rPr>
            <w:rStyle w:val="Hyperlink"/>
            <w:rFonts w:eastAsia="Calibri"/>
            <w:noProof/>
          </w:rPr>
          <w:t xml:space="preserve">eradication campaigns </w:t>
        </w:r>
        <w:r w:rsidR="00B3227D" w:rsidRPr="005B31E3">
          <w:rPr>
            <w:rStyle w:val="Hyperlink"/>
            <w:noProof/>
          </w:rPr>
          <w:t>and eradication programme cost (y axis).</w:t>
        </w:r>
        <w:r w:rsidR="00B3227D">
          <w:rPr>
            <w:noProof/>
            <w:webHidden/>
          </w:rPr>
          <w:tab/>
        </w:r>
        <w:r w:rsidR="00B3227D">
          <w:rPr>
            <w:noProof/>
            <w:webHidden/>
          </w:rPr>
          <w:fldChar w:fldCharType="begin"/>
        </w:r>
        <w:r w:rsidR="00B3227D">
          <w:rPr>
            <w:noProof/>
            <w:webHidden/>
          </w:rPr>
          <w:instrText xml:space="preserve"> PAGEREF _Toc147489376 \h </w:instrText>
        </w:r>
        <w:r w:rsidR="00B3227D">
          <w:rPr>
            <w:noProof/>
            <w:webHidden/>
          </w:rPr>
        </w:r>
        <w:r w:rsidR="00B3227D">
          <w:rPr>
            <w:noProof/>
            <w:webHidden/>
          </w:rPr>
          <w:fldChar w:fldCharType="separate"/>
        </w:r>
        <w:r w:rsidR="00497022">
          <w:rPr>
            <w:noProof/>
            <w:webHidden/>
          </w:rPr>
          <w:t>100</w:t>
        </w:r>
        <w:r w:rsidR="00B3227D">
          <w:rPr>
            <w:noProof/>
            <w:webHidden/>
          </w:rPr>
          <w:fldChar w:fldCharType="end"/>
        </w:r>
      </w:hyperlink>
    </w:p>
    <w:p w14:paraId="5C36818C" w14:textId="6258A0F7"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77" w:history="1">
        <w:r w:rsidR="00B3227D" w:rsidRPr="005B31E3">
          <w:rPr>
            <w:rStyle w:val="Hyperlink"/>
            <w:rFonts w:eastAsia="DengXian"/>
            <w:b/>
            <w:bCs/>
            <w:noProof/>
          </w:rPr>
          <w:t>Figure 5</w:t>
        </w:r>
        <w:r w:rsidR="00B3227D" w:rsidRPr="005B31E3">
          <w:rPr>
            <w:rStyle w:val="Hyperlink"/>
            <w:b/>
            <w:bCs/>
            <w:noProof/>
          </w:rPr>
          <w:t>.24.</w:t>
        </w:r>
        <w:r w:rsidR="00191A6E">
          <w:rPr>
            <w:rStyle w:val="Hyperlink"/>
            <w:b/>
            <w:bCs/>
            <w:noProof/>
          </w:rPr>
          <w:t xml:space="preserve"> </w:t>
        </w:r>
        <w:r w:rsidR="00B3227D" w:rsidRPr="005B31E3">
          <w:rPr>
            <w:rStyle w:val="Hyperlink"/>
            <w:noProof/>
          </w:rPr>
          <w:t>Fall armyworm management adopted by African farmers uses combinations of chemical, physical, cultural or traditional methods.</w:t>
        </w:r>
        <w:r w:rsidR="00B3227D">
          <w:rPr>
            <w:noProof/>
            <w:webHidden/>
          </w:rPr>
          <w:tab/>
        </w:r>
        <w:r w:rsidR="00B3227D">
          <w:rPr>
            <w:noProof/>
            <w:webHidden/>
          </w:rPr>
          <w:fldChar w:fldCharType="begin"/>
        </w:r>
        <w:r w:rsidR="00B3227D">
          <w:rPr>
            <w:noProof/>
            <w:webHidden/>
          </w:rPr>
          <w:instrText xml:space="preserve"> PAGEREF _Toc147489377 \h </w:instrText>
        </w:r>
        <w:r w:rsidR="00B3227D">
          <w:rPr>
            <w:noProof/>
            <w:webHidden/>
          </w:rPr>
        </w:r>
        <w:r w:rsidR="00B3227D">
          <w:rPr>
            <w:noProof/>
            <w:webHidden/>
          </w:rPr>
          <w:fldChar w:fldCharType="separate"/>
        </w:r>
        <w:r w:rsidR="00497022">
          <w:rPr>
            <w:noProof/>
            <w:webHidden/>
          </w:rPr>
          <w:t>105</w:t>
        </w:r>
        <w:r w:rsidR="00B3227D">
          <w:rPr>
            <w:noProof/>
            <w:webHidden/>
          </w:rPr>
          <w:fldChar w:fldCharType="end"/>
        </w:r>
      </w:hyperlink>
    </w:p>
    <w:p w14:paraId="3214B239" w14:textId="083B8AB3"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78" w:history="1">
        <w:r w:rsidR="00B3227D" w:rsidRPr="00B3227D">
          <w:rPr>
            <w:rStyle w:val="Hyperlink"/>
            <w:b/>
            <w:bCs/>
            <w:noProof/>
          </w:rPr>
          <w:t xml:space="preserve">Figure 5.25. </w:t>
        </w:r>
        <w:r w:rsidR="00B3227D" w:rsidRPr="00B3227D">
          <w:rPr>
            <w:rStyle w:val="Hyperlink"/>
            <w:noProof/>
          </w:rPr>
          <w:t>Annual cost reported globally with the management of biological invasions between 1960 and 2020 (2017 monetary values)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_Toc147489378 \h </w:instrText>
        </w:r>
        <w:r w:rsidR="00B3227D" w:rsidRPr="00B3227D">
          <w:rPr>
            <w:noProof/>
            <w:webHidden/>
          </w:rPr>
        </w:r>
        <w:r w:rsidR="00B3227D" w:rsidRPr="00B3227D">
          <w:rPr>
            <w:noProof/>
            <w:webHidden/>
          </w:rPr>
          <w:fldChar w:fldCharType="separate"/>
        </w:r>
        <w:r w:rsidR="00497022">
          <w:rPr>
            <w:noProof/>
            <w:webHidden/>
          </w:rPr>
          <w:t>110</w:t>
        </w:r>
        <w:r w:rsidR="00B3227D" w:rsidRPr="00B3227D">
          <w:rPr>
            <w:noProof/>
            <w:webHidden/>
          </w:rPr>
          <w:fldChar w:fldCharType="end"/>
        </w:r>
      </w:hyperlink>
    </w:p>
    <w:p w14:paraId="5F0610CB" w14:textId="11AABCE8"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9379" w:history="1">
        <w:r w:rsidR="00B3227D" w:rsidRPr="00B3227D">
          <w:rPr>
            <w:rStyle w:val="Hyperlink"/>
            <w:b/>
            <w:bCs/>
            <w:noProof/>
          </w:rPr>
          <w:t xml:space="preserve">Figure 5.26. </w:t>
        </w:r>
        <w:r w:rsidR="00B3227D" w:rsidRPr="00B3227D">
          <w:rPr>
            <w:rStyle w:val="Hyperlink"/>
            <w:noProof/>
          </w:rPr>
          <w:t>Total reported economic cost of management of biological invasions actions across all IPBES regions (in USD) between 1960 and 2020 (2017 monetary values).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_Toc147489379 \h </w:instrText>
        </w:r>
        <w:r w:rsidR="00B3227D" w:rsidRPr="00B3227D">
          <w:rPr>
            <w:noProof/>
            <w:webHidden/>
          </w:rPr>
        </w:r>
        <w:r w:rsidR="00B3227D" w:rsidRPr="00B3227D">
          <w:rPr>
            <w:noProof/>
            <w:webHidden/>
          </w:rPr>
          <w:fldChar w:fldCharType="separate"/>
        </w:r>
        <w:r w:rsidR="00497022">
          <w:rPr>
            <w:noProof/>
            <w:webHidden/>
          </w:rPr>
          <w:t>110</w:t>
        </w:r>
        <w:r w:rsidR="00B3227D" w:rsidRPr="00B3227D">
          <w:rPr>
            <w:noProof/>
            <w:webHidden/>
          </w:rPr>
          <w:fldChar w:fldCharType="end"/>
        </w:r>
      </w:hyperlink>
    </w:p>
    <w:p w14:paraId="06BF1EA8" w14:textId="2B130AF6"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9380" w:history="1">
        <w:r w:rsidR="00B3227D" w:rsidRPr="005B31E3">
          <w:rPr>
            <w:rStyle w:val="Hyperlink"/>
            <w:b/>
            <w:noProof/>
          </w:rPr>
          <w:t>Figure 5</w:t>
        </w:r>
        <w:r w:rsidR="00B3227D" w:rsidRPr="005B31E3">
          <w:rPr>
            <w:rStyle w:val="Hyperlink"/>
            <w:noProof/>
          </w:rPr>
          <w:t>.</w:t>
        </w:r>
        <w:r w:rsidR="00B3227D" w:rsidRPr="00AC1F76">
          <w:rPr>
            <w:rStyle w:val="Hyperlink"/>
            <w:b/>
            <w:noProof/>
          </w:rPr>
          <w:t>27.</w:t>
        </w:r>
        <w:r w:rsidR="00B3227D" w:rsidRPr="005B31E3">
          <w:rPr>
            <w:rStyle w:val="Hyperlink"/>
            <w:b/>
            <w:noProof/>
          </w:rPr>
          <w:t xml:space="preserve"> </w:t>
        </w:r>
        <w:r w:rsidR="00B3227D" w:rsidRPr="005B31E3">
          <w:rPr>
            <w:rStyle w:val="Hyperlink"/>
            <w:noProof/>
          </w:rPr>
          <w:t>Climate change and habitat transformation interactions at various stages of the biological invasion process, and potential management responses</w:t>
        </w:r>
        <w:r w:rsidR="00B3227D">
          <w:rPr>
            <w:noProof/>
            <w:webHidden/>
          </w:rPr>
          <w:tab/>
        </w:r>
        <w:r w:rsidR="00B3227D">
          <w:rPr>
            <w:noProof/>
            <w:webHidden/>
          </w:rPr>
          <w:fldChar w:fldCharType="begin"/>
        </w:r>
        <w:r w:rsidR="00B3227D">
          <w:rPr>
            <w:noProof/>
            <w:webHidden/>
          </w:rPr>
          <w:instrText xml:space="preserve"> PAGEREF _Toc147489380 \h </w:instrText>
        </w:r>
        <w:r w:rsidR="00B3227D">
          <w:rPr>
            <w:noProof/>
            <w:webHidden/>
          </w:rPr>
        </w:r>
        <w:r w:rsidR="00B3227D">
          <w:rPr>
            <w:noProof/>
            <w:webHidden/>
          </w:rPr>
          <w:fldChar w:fldCharType="separate"/>
        </w:r>
        <w:r w:rsidR="00497022">
          <w:rPr>
            <w:noProof/>
            <w:webHidden/>
          </w:rPr>
          <w:t>121</w:t>
        </w:r>
        <w:r w:rsidR="00B3227D">
          <w:rPr>
            <w:noProof/>
            <w:webHidden/>
          </w:rPr>
          <w:fldChar w:fldCharType="end"/>
        </w:r>
      </w:hyperlink>
    </w:p>
    <w:p w14:paraId="32EEB6AD" w14:textId="6D07BD83" w:rsidR="00ED4441" w:rsidRDefault="000C7D23" w:rsidP="00B3227D">
      <w:pPr>
        <w:pBdr>
          <w:top w:val="nil"/>
          <w:left w:val="nil"/>
          <w:bottom w:val="nil"/>
          <w:right w:val="nil"/>
          <w:between w:val="nil"/>
        </w:pBdr>
        <w:tabs>
          <w:tab w:val="right" w:pos="9954"/>
        </w:tabs>
        <w:spacing w:line="240" w:lineRule="auto"/>
        <w:contextualSpacing/>
      </w:pPr>
      <w:r w:rsidRPr="00837161">
        <w:rPr>
          <w:rFonts w:eastAsia="游明朝"/>
          <w:b/>
          <w:u w:val="thick"/>
          <w:lang w:eastAsia="ja-JP"/>
        </w:rPr>
        <w:fldChar w:fldCharType="end"/>
      </w:r>
    </w:p>
    <w:p w14:paraId="0000006A" w14:textId="77777777" w:rsidR="00A758FD" w:rsidRPr="003666A4" w:rsidRDefault="00C81287">
      <w:pPr>
        <w:spacing w:before="240" w:after="120" w:line="240" w:lineRule="auto"/>
        <w:rPr>
          <w:b/>
          <w:sz w:val="36"/>
        </w:rPr>
      </w:pPr>
      <w:r w:rsidRPr="003666A4">
        <w:rPr>
          <w:b/>
          <w:sz w:val="36"/>
        </w:rPr>
        <w:t xml:space="preserve">List of tables </w:t>
      </w:r>
    </w:p>
    <w:p w14:paraId="53C69E39" w14:textId="6295FB8D" w:rsidR="00B3227D" w:rsidRPr="00B3227D" w:rsidRDefault="000C7D23"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r w:rsidRPr="00B3227D">
        <w:rPr>
          <w:b/>
          <w:u w:val="thick"/>
        </w:rPr>
        <w:fldChar w:fldCharType="begin"/>
      </w:r>
      <w:r w:rsidRPr="00B3227D">
        <w:rPr>
          <w:b/>
          <w:u w:val="thick"/>
        </w:rPr>
        <w:instrText xml:space="preserve"> TOC \h \z \c "Table 5." </w:instrText>
      </w:r>
      <w:r w:rsidRPr="00B3227D">
        <w:rPr>
          <w:b/>
          <w:u w:val="thick"/>
        </w:rPr>
        <w:fldChar w:fldCharType="separate"/>
      </w:r>
      <w:hyperlink w:anchor="_Toc147489078" w:history="1">
        <w:r w:rsidR="00B3227D" w:rsidRPr="00B3227D">
          <w:rPr>
            <w:rStyle w:val="Hyperlink"/>
            <w:b/>
            <w:noProof/>
          </w:rPr>
          <w:t xml:space="preserve">Table 5.1. </w:t>
        </w:r>
        <w:r w:rsidR="00B3227D" w:rsidRPr="00B3227D">
          <w:rPr>
            <w:rStyle w:val="Hyperlink"/>
            <w:bCs/>
            <w:noProof/>
          </w:rPr>
          <w:t>Analytical approaches, tools and methods available to making decisions about biological invasions</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_Toc147489078 \h </w:instrText>
        </w:r>
        <w:r w:rsidR="00B3227D" w:rsidRPr="00B3227D">
          <w:rPr>
            <w:bCs/>
            <w:noProof/>
            <w:webHidden/>
          </w:rPr>
        </w:r>
        <w:r w:rsidR="00B3227D" w:rsidRPr="00B3227D">
          <w:rPr>
            <w:bCs/>
            <w:noProof/>
            <w:webHidden/>
          </w:rPr>
          <w:fldChar w:fldCharType="separate"/>
        </w:r>
        <w:r w:rsidR="00497022">
          <w:rPr>
            <w:bCs/>
            <w:noProof/>
            <w:webHidden/>
          </w:rPr>
          <w:t>15</w:t>
        </w:r>
        <w:r w:rsidR="00B3227D" w:rsidRPr="00B3227D">
          <w:rPr>
            <w:bCs/>
            <w:noProof/>
            <w:webHidden/>
          </w:rPr>
          <w:fldChar w:fldCharType="end"/>
        </w:r>
      </w:hyperlink>
    </w:p>
    <w:p w14:paraId="05B0C741" w14:textId="59A09622"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79" w:history="1">
        <w:r w:rsidR="00B3227D" w:rsidRPr="00B3227D">
          <w:rPr>
            <w:rStyle w:val="Hyperlink"/>
            <w:b/>
            <w:noProof/>
          </w:rPr>
          <w:t xml:space="preserve">Table 5.2. </w:t>
        </w:r>
        <w:r w:rsidR="00B3227D" w:rsidRPr="00B3227D">
          <w:rPr>
            <w:rStyle w:val="Hyperlink"/>
            <w:bCs/>
            <w:noProof/>
          </w:rPr>
          <w:t>Dealing with uncertainty in decision-making</w:t>
        </w:r>
        <w:r w:rsidR="00B3227D" w:rsidRPr="00B3227D">
          <w:rPr>
            <w:rStyle w:val="Hyperlink"/>
            <w:rFonts w:eastAsia="Times New Roman"/>
            <w:bCs/>
            <w:noProof/>
          </w:rPr>
          <w:t xml:space="preserve"> for management </w:t>
        </w:r>
        <w:r w:rsidR="00B3227D" w:rsidRPr="00B3227D">
          <w:rPr>
            <w:rStyle w:val="Hyperlink"/>
            <w:bCs/>
            <w:noProof/>
          </w:rPr>
          <w:t xml:space="preserve"> of biological invasions</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_Toc147489079 \h </w:instrText>
        </w:r>
        <w:r w:rsidR="00B3227D" w:rsidRPr="00B3227D">
          <w:rPr>
            <w:bCs/>
            <w:noProof/>
            <w:webHidden/>
          </w:rPr>
        </w:r>
        <w:r w:rsidR="00B3227D" w:rsidRPr="00B3227D">
          <w:rPr>
            <w:bCs/>
            <w:noProof/>
            <w:webHidden/>
          </w:rPr>
          <w:fldChar w:fldCharType="separate"/>
        </w:r>
        <w:r w:rsidR="00497022">
          <w:rPr>
            <w:bCs/>
            <w:noProof/>
            <w:webHidden/>
          </w:rPr>
          <w:t>30</w:t>
        </w:r>
        <w:r w:rsidR="00B3227D" w:rsidRPr="00B3227D">
          <w:rPr>
            <w:bCs/>
            <w:noProof/>
            <w:webHidden/>
          </w:rPr>
          <w:fldChar w:fldCharType="end"/>
        </w:r>
      </w:hyperlink>
    </w:p>
    <w:p w14:paraId="69D8B438" w14:textId="0C0F3267"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0" w:history="1">
        <w:r w:rsidR="00B3227D" w:rsidRPr="00B3227D">
          <w:rPr>
            <w:rStyle w:val="Hyperlink"/>
            <w:b/>
            <w:noProof/>
          </w:rPr>
          <w:t xml:space="preserve">Table 5.3. </w:t>
        </w:r>
        <w:r w:rsidR="00B3227D" w:rsidRPr="00B3227D">
          <w:rPr>
            <w:rStyle w:val="Hyperlink"/>
            <w:bCs/>
            <w:noProof/>
          </w:rPr>
          <w:t>Management challenges and information needed when addressing invasive alien species risk associated with e-commerce</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_Toc147489080 \h </w:instrText>
        </w:r>
        <w:r w:rsidR="00B3227D" w:rsidRPr="00B3227D">
          <w:rPr>
            <w:bCs/>
            <w:noProof/>
            <w:webHidden/>
          </w:rPr>
        </w:r>
        <w:r w:rsidR="00B3227D" w:rsidRPr="00B3227D">
          <w:rPr>
            <w:bCs/>
            <w:noProof/>
            <w:webHidden/>
          </w:rPr>
          <w:fldChar w:fldCharType="separate"/>
        </w:r>
        <w:r w:rsidR="00497022">
          <w:rPr>
            <w:bCs/>
            <w:noProof/>
            <w:webHidden/>
          </w:rPr>
          <w:t>33</w:t>
        </w:r>
        <w:r w:rsidR="00B3227D" w:rsidRPr="00B3227D">
          <w:rPr>
            <w:bCs/>
            <w:noProof/>
            <w:webHidden/>
          </w:rPr>
          <w:fldChar w:fldCharType="end"/>
        </w:r>
      </w:hyperlink>
    </w:p>
    <w:p w14:paraId="3986BD9B" w14:textId="6DFBF11A"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1" w:history="1">
        <w:r w:rsidR="00B3227D" w:rsidRPr="00B3227D">
          <w:rPr>
            <w:rStyle w:val="Hyperlink"/>
            <w:b/>
            <w:noProof/>
          </w:rPr>
          <w:t xml:space="preserve">Table 5.4. </w:t>
        </w:r>
        <w:r w:rsidR="00B3227D" w:rsidRPr="00B3227D">
          <w:rPr>
            <w:rStyle w:val="Hyperlink"/>
            <w:bCs/>
            <w:noProof/>
          </w:rPr>
          <w:t>Information components including description and importance of the information for documenting and managing biological invasions (reason) of existing invasive alien species databases (data and knowledge products) relevant for planning and implementation of management.</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_Toc147489081 \h </w:instrText>
        </w:r>
        <w:r w:rsidR="00B3227D" w:rsidRPr="00B3227D">
          <w:rPr>
            <w:bCs/>
            <w:noProof/>
            <w:webHidden/>
          </w:rPr>
        </w:r>
        <w:r w:rsidR="00B3227D" w:rsidRPr="00B3227D">
          <w:rPr>
            <w:bCs/>
            <w:noProof/>
            <w:webHidden/>
          </w:rPr>
          <w:fldChar w:fldCharType="separate"/>
        </w:r>
        <w:r w:rsidR="00497022">
          <w:rPr>
            <w:bCs/>
            <w:noProof/>
            <w:webHidden/>
          </w:rPr>
          <w:t>49</w:t>
        </w:r>
        <w:r w:rsidR="00B3227D" w:rsidRPr="00B3227D">
          <w:rPr>
            <w:bCs/>
            <w:noProof/>
            <w:webHidden/>
          </w:rPr>
          <w:fldChar w:fldCharType="end"/>
        </w:r>
      </w:hyperlink>
    </w:p>
    <w:p w14:paraId="0124C76B" w14:textId="6CB358EA"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2" w:history="1">
        <w:r w:rsidR="00B3227D" w:rsidRPr="00B3227D">
          <w:rPr>
            <w:rStyle w:val="Hyperlink"/>
            <w:b/>
            <w:noProof/>
          </w:rPr>
          <w:t xml:space="preserve">Table 5.5. </w:t>
        </w:r>
        <w:r w:rsidR="00B3227D" w:rsidRPr="00B3227D">
          <w:rPr>
            <w:rStyle w:val="Hyperlink"/>
            <w:bCs/>
            <w:noProof/>
          </w:rPr>
          <w:t xml:space="preserve">The advantages (left column) and disadvantages (right column) of RNA interference in the context of </w:t>
        </w:r>
        <w:r w:rsidR="00B3227D" w:rsidRPr="00B3227D">
          <w:rPr>
            <w:rStyle w:val="Hyperlink"/>
            <w:rFonts w:eastAsia="Times New Roman"/>
            <w:bCs/>
            <w:noProof/>
          </w:rPr>
          <w:t xml:space="preserve">controlling </w:t>
        </w:r>
        <w:r w:rsidR="00B3227D" w:rsidRPr="00B3227D">
          <w:rPr>
            <w:rStyle w:val="Hyperlink"/>
            <w:bCs/>
            <w:noProof/>
          </w:rPr>
          <w:t>invasive alien species</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_Toc147489082 \h </w:instrText>
        </w:r>
        <w:r w:rsidR="00B3227D" w:rsidRPr="00B3227D">
          <w:rPr>
            <w:bCs/>
            <w:noProof/>
            <w:webHidden/>
          </w:rPr>
        </w:r>
        <w:r w:rsidR="00B3227D" w:rsidRPr="00B3227D">
          <w:rPr>
            <w:bCs/>
            <w:noProof/>
            <w:webHidden/>
          </w:rPr>
          <w:fldChar w:fldCharType="separate"/>
        </w:r>
        <w:r w:rsidR="00497022">
          <w:rPr>
            <w:bCs/>
            <w:noProof/>
            <w:webHidden/>
          </w:rPr>
          <w:t>75</w:t>
        </w:r>
        <w:r w:rsidR="00B3227D" w:rsidRPr="00B3227D">
          <w:rPr>
            <w:bCs/>
            <w:noProof/>
            <w:webHidden/>
          </w:rPr>
          <w:fldChar w:fldCharType="end"/>
        </w:r>
      </w:hyperlink>
    </w:p>
    <w:p w14:paraId="7B02FAC1" w14:textId="49225D7E" w:rsidR="00B3227D" w:rsidRPr="00B3227D" w:rsidRDefault="00F176E3"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3" w:history="1">
        <w:r w:rsidR="00B3227D" w:rsidRPr="00B3227D">
          <w:rPr>
            <w:rStyle w:val="Hyperlink"/>
            <w:b/>
            <w:noProof/>
          </w:rPr>
          <w:t xml:space="preserve">Table 5.6. </w:t>
        </w:r>
        <w:r w:rsidR="00B3227D" w:rsidRPr="00B3227D">
          <w:rPr>
            <w:rStyle w:val="Hyperlink"/>
            <w:bCs/>
            <w:noProof/>
          </w:rPr>
          <w:t xml:space="preserve">Comparative guide to applicability of </w:t>
        </w:r>
        <w:r w:rsidR="004D38BB" w:rsidRPr="00B3227D">
          <w:rPr>
            <w:rStyle w:val="Hyperlink"/>
            <w:bCs/>
            <w:noProof/>
          </w:rPr>
          <w:t>decision</w:t>
        </w:r>
        <w:r w:rsidR="004D38BB">
          <w:rPr>
            <w:rStyle w:val="Hyperlink"/>
            <w:bCs/>
            <w:noProof/>
          </w:rPr>
          <w:t>-</w:t>
        </w:r>
        <w:r w:rsidR="00B3227D" w:rsidRPr="00B3227D">
          <w:rPr>
            <w:rStyle w:val="Hyperlink"/>
            <w:bCs/>
            <w:noProof/>
          </w:rPr>
          <w:t>support tools and each approach, tool or technology discussed in sections 5.2 and 5.4</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_Toc147489083 \h </w:instrText>
        </w:r>
        <w:r w:rsidR="00B3227D" w:rsidRPr="00B3227D">
          <w:rPr>
            <w:bCs/>
            <w:noProof/>
            <w:webHidden/>
          </w:rPr>
        </w:r>
        <w:r w:rsidR="00B3227D" w:rsidRPr="00B3227D">
          <w:rPr>
            <w:bCs/>
            <w:noProof/>
            <w:webHidden/>
          </w:rPr>
          <w:fldChar w:fldCharType="separate"/>
        </w:r>
        <w:r w:rsidR="00497022">
          <w:rPr>
            <w:bCs/>
            <w:noProof/>
            <w:webHidden/>
          </w:rPr>
          <w:t>82</w:t>
        </w:r>
        <w:r w:rsidR="00B3227D" w:rsidRPr="00B3227D">
          <w:rPr>
            <w:bCs/>
            <w:noProof/>
            <w:webHidden/>
          </w:rPr>
          <w:fldChar w:fldCharType="end"/>
        </w:r>
      </w:hyperlink>
    </w:p>
    <w:p w14:paraId="3C5AC8BB" w14:textId="466978A0" w:rsidR="00B3227D" w:rsidRPr="00B3227D" w:rsidRDefault="00F176E3"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4" w:history="1">
        <w:r w:rsidR="00B3227D" w:rsidRPr="00B3227D">
          <w:rPr>
            <w:rStyle w:val="Hyperlink"/>
            <w:b/>
            <w:noProof/>
          </w:rPr>
          <w:t xml:space="preserve">Table 5.7. </w:t>
        </w:r>
        <w:r w:rsidR="00B3227D" w:rsidRPr="00B3227D">
          <w:rPr>
            <w:rStyle w:val="Hyperlink"/>
            <w:bCs/>
            <w:noProof/>
          </w:rPr>
          <w:t xml:space="preserve">Comparative guide to the applicability of </w:t>
        </w:r>
        <w:r w:rsidR="004D38BB" w:rsidRPr="00B3227D">
          <w:rPr>
            <w:rStyle w:val="Hyperlink"/>
            <w:bCs/>
            <w:noProof/>
          </w:rPr>
          <w:t>decision</w:t>
        </w:r>
        <w:r w:rsidR="004D38BB">
          <w:rPr>
            <w:rStyle w:val="Hyperlink"/>
            <w:bCs/>
            <w:noProof/>
          </w:rPr>
          <w:t>-</w:t>
        </w:r>
        <w:r w:rsidR="00B3227D" w:rsidRPr="00B3227D">
          <w:rPr>
            <w:rStyle w:val="Hyperlink"/>
            <w:bCs/>
            <w:noProof/>
          </w:rPr>
          <w:t>support tools and technologies discussed in sections 5.2 and 5.4</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_Toc147489084 \h </w:instrText>
        </w:r>
        <w:r w:rsidR="00B3227D" w:rsidRPr="00B3227D">
          <w:rPr>
            <w:bCs/>
            <w:noProof/>
            <w:webHidden/>
          </w:rPr>
        </w:r>
        <w:r w:rsidR="00B3227D" w:rsidRPr="00B3227D">
          <w:rPr>
            <w:bCs/>
            <w:noProof/>
            <w:webHidden/>
          </w:rPr>
          <w:fldChar w:fldCharType="separate"/>
        </w:r>
        <w:r w:rsidR="00497022">
          <w:rPr>
            <w:bCs/>
            <w:noProof/>
            <w:webHidden/>
          </w:rPr>
          <w:t>84</w:t>
        </w:r>
        <w:r w:rsidR="00B3227D" w:rsidRPr="00B3227D">
          <w:rPr>
            <w:bCs/>
            <w:noProof/>
            <w:webHidden/>
          </w:rPr>
          <w:fldChar w:fldCharType="end"/>
        </w:r>
      </w:hyperlink>
    </w:p>
    <w:p w14:paraId="01D394AA" w14:textId="57456166" w:rsidR="00B3227D" w:rsidRPr="00B3227D" w:rsidRDefault="00F176E3"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5" w:history="1">
        <w:r w:rsidR="00B3227D" w:rsidRPr="00B3227D">
          <w:rPr>
            <w:rStyle w:val="Hyperlink"/>
            <w:b/>
            <w:noProof/>
          </w:rPr>
          <w:t xml:space="preserve">Table 5.8. </w:t>
        </w:r>
        <w:r w:rsidR="00B3227D" w:rsidRPr="00B3227D">
          <w:rPr>
            <w:rStyle w:val="Hyperlink"/>
            <w:bCs/>
            <w:noProof/>
          </w:rPr>
          <w:t xml:space="preserve">Comparative guide to </w:t>
        </w:r>
        <w:r w:rsidR="004D38BB" w:rsidRPr="00B3227D">
          <w:rPr>
            <w:rStyle w:val="Hyperlink"/>
            <w:bCs/>
            <w:noProof/>
          </w:rPr>
          <w:t>decision</w:t>
        </w:r>
        <w:r w:rsidR="004D38BB">
          <w:rPr>
            <w:rStyle w:val="Hyperlink"/>
            <w:bCs/>
            <w:noProof/>
          </w:rPr>
          <w:t>-</w:t>
        </w:r>
        <w:r w:rsidR="00B3227D" w:rsidRPr="00B3227D">
          <w:rPr>
            <w:rStyle w:val="Hyperlink"/>
            <w:bCs/>
            <w:noProof/>
          </w:rPr>
          <w:t>support tools and technologies discussed in sections 5.2 and 5.4</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_Toc147489085 \h </w:instrText>
        </w:r>
        <w:r w:rsidR="00B3227D" w:rsidRPr="00B3227D">
          <w:rPr>
            <w:bCs/>
            <w:noProof/>
            <w:webHidden/>
          </w:rPr>
        </w:r>
        <w:r w:rsidR="00B3227D" w:rsidRPr="00B3227D">
          <w:rPr>
            <w:bCs/>
            <w:noProof/>
            <w:webHidden/>
          </w:rPr>
          <w:fldChar w:fldCharType="separate"/>
        </w:r>
        <w:r w:rsidR="00497022">
          <w:rPr>
            <w:bCs/>
            <w:noProof/>
            <w:webHidden/>
          </w:rPr>
          <w:t>89</w:t>
        </w:r>
        <w:r w:rsidR="00B3227D" w:rsidRPr="00B3227D">
          <w:rPr>
            <w:bCs/>
            <w:noProof/>
            <w:webHidden/>
          </w:rPr>
          <w:fldChar w:fldCharType="end"/>
        </w:r>
      </w:hyperlink>
    </w:p>
    <w:p w14:paraId="2CFAF25C" w14:textId="0D975B0D"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6" w:history="1">
        <w:r w:rsidR="00B3227D" w:rsidRPr="00B3227D">
          <w:rPr>
            <w:rStyle w:val="Hyperlink"/>
            <w:b/>
            <w:noProof/>
          </w:rPr>
          <w:t xml:space="preserve">Table 5.9. </w:t>
        </w:r>
        <w:r w:rsidR="00B3227D" w:rsidRPr="00B3227D">
          <w:rPr>
            <w:rStyle w:val="Hyperlink"/>
            <w:bCs/>
            <w:noProof/>
          </w:rPr>
          <w:t>Examples of invasive alien species that were intentionally introduced for beneficial purposes, conflict resolution and potential management response (Chapter 4, section 4.6.4)</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_Toc147489086 \h </w:instrText>
        </w:r>
        <w:r w:rsidR="00B3227D" w:rsidRPr="00B3227D">
          <w:rPr>
            <w:bCs/>
            <w:noProof/>
            <w:webHidden/>
          </w:rPr>
        </w:r>
        <w:r w:rsidR="00B3227D" w:rsidRPr="00B3227D">
          <w:rPr>
            <w:bCs/>
            <w:noProof/>
            <w:webHidden/>
          </w:rPr>
          <w:fldChar w:fldCharType="separate"/>
        </w:r>
        <w:r w:rsidR="00497022">
          <w:rPr>
            <w:bCs/>
            <w:noProof/>
            <w:webHidden/>
          </w:rPr>
          <w:t>114</w:t>
        </w:r>
        <w:r w:rsidR="00B3227D" w:rsidRPr="00B3227D">
          <w:rPr>
            <w:bCs/>
            <w:noProof/>
            <w:webHidden/>
          </w:rPr>
          <w:fldChar w:fldCharType="end"/>
        </w:r>
      </w:hyperlink>
    </w:p>
    <w:p w14:paraId="32307A88" w14:textId="47A2E86F"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7" w:history="1">
        <w:r w:rsidR="00B3227D" w:rsidRPr="00B3227D">
          <w:rPr>
            <w:rStyle w:val="Hyperlink"/>
            <w:b/>
            <w:noProof/>
          </w:rPr>
          <w:t xml:space="preserve">Table 5.10. </w:t>
        </w:r>
        <w:r w:rsidR="00B3227D" w:rsidRPr="00B3227D">
          <w:rPr>
            <w:rStyle w:val="Hyperlink"/>
            <w:bCs/>
            <w:noProof/>
          </w:rPr>
          <w:t>Identified constraints of effective management that impede successful management at each management approach (pathway, species-based and site/ecosystem based) explained in this section</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_Toc147489087 \h </w:instrText>
        </w:r>
        <w:r w:rsidR="00B3227D" w:rsidRPr="00B3227D">
          <w:rPr>
            <w:bCs/>
            <w:noProof/>
            <w:webHidden/>
          </w:rPr>
        </w:r>
        <w:r w:rsidR="00B3227D" w:rsidRPr="00B3227D">
          <w:rPr>
            <w:bCs/>
            <w:noProof/>
            <w:webHidden/>
          </w:rPr>
          <w:fldChar w:fldCharType="separate"/>
        </w:r>
        <w:r w:rsidR="00497022">
          <w:rPr>
            <w:bCs/>
            <w:noProof/>
            <w:webHidden/>
          </w:rPr>
          <w:t>124</w:t>
        </w:r>
        <w:r w:rsidR="00B3227D" w:rsidRPr="00B3227D">
          <w:rPr>
            <w:bCs/>
            <w:noProof/>
            <w:webHidden/>
          </w:rPr>
          <w:fldChar w:fldCharType="end"/>
        </w:r>
      </w:hyperlink>
    </w:p>
    <w:p w14:paraId="08D98C5A" w14:textId="1B1B867D"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8" w:history="1">
        <w:r w:rsidR="00B3227D" w:rsidRPr="00B3227D">
          <w:rPr>
            <w:rStyle w:val="Hyperlink"/>
            <w:b/>
            <w:noProof/>
          </w:rPr>
          <w:t xml:space="preserve">Table 5.11. </w:t>
        </w:r>
        <w:r w:rsidR="00B3227D" w:rsidRPr="00B3227D">
          <w:rPr>
            <w:rStyle w:val="Hyperlink"/>
            <w:bCs/>
            <w:noProof/>
          </w:rPr>
          <w:t>A summary of gaps in knowledge and implementation impeding management</w:t>
        </w:r>
        <w:r w:rsidR="00B3227D" w:rsidRPr="00B3227D">
          <w:rPr>
            <w:rStyle w:val="Hyperlink"/>
            <w:rFonts w:eastAsia="Times New Roman"/>
            <w:bCs/>
            <w:noProof/>
          </w:rPr>
          <w:t xml:space="preserve"> </w:t>
        </w:r>
        <w:r w:rsidR="00B3227D" w:rsidRPr="00B3227D">
          <w:rPr>
            <w:rStyle w:val="Hyperlink"/>
            <w:bCs/>
            <w:noProof/>
          </w:rPr>
          <w:t>of biological invasions. The gaps were developed through an expert elicitation process with authors of Chapter 5.</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_Toc147489088 \h </w:instrText>
        </w:r>
        <w:r w:rsidR="00B3227D" w:rsidRPr="00B3227D">
          <w:rPr>
            <w:bCs/>
            <w:noProof/>
            <w:webHidden/>
          </w:rPr>
        </w:r>
        <w:r w:rsidR="00B3227D" w:rsidRPr="00B3227D">
          <w:rPr>
            <w:bCs/>
            <w:noProof/>
            <w:webHidden/>
          </w:rPr>
          <w:fldChar w:fldCharType="separate"/>
        </w:r>
        <w:r w:rsidR="00497022">
          <w:rPr>
            <w:bCs/>
            <w:noProof/>
            <w:webHidden/>
          </w:rPr>
          <w:t>127</w:t>
        </w:r>
        <w:r w:rsidR="00B3227D" w:rsidRPr="00B3227D">
          <w:rPr>
            <w:bCs/>
            <w:noProof/>
            <w:webHidden/>
          </w:rPr>
          <w:fldChar w:fldCharType="end"/>
        </w:r>
      </w:hyperlink>
    </w:p>
    <w:p w14:paraId="1CE9FD1D" w14:textId="46E0219E"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89" w:history="1">
        <w:r w:rsidR="00B3227D" w:rsidRPr="00B3227D">
          <w:rPr>
            <w:rStyle w:val="Hyperlink"/>
            <w:b/>
            <w:noProof/>
          </w:rPr>
          <w:t xml:space="preserve">Table 5.12. </w:t>
        </w:r>
        <w:r w:rsidR="00B3227D" w:rsidRPr="00B3227D">
          <w:rPr>
            <w:rStyle w:val="Hyperlink"/>
            <w:bCs/>
            <w:noProof/>
          </w:rPr>
          <w:t>Impacts of errors in data on invasive alien species presence, distribution, socio-economic and political perceptions and potential responses to improve the efficacy of management interventions on biological invasions.</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_Toc147489089 \h </w:instrText>
        </w:r>
        <w:r w:rsidR="00B3227D" w:rsidRPr="00B3227D">
          <w:rPr>
            <w:bCs/>
            <w:noProof/>
            <w:webHidden/>
          </w:rPr>
        </w:r>
        <w:r w:rsidR="00B3227D" w:rsidRPr="00B3227D">
          <w:rPr>
            <w:bCs/>
            <w:noProof/>
            <w:webHidden/>
          </w:rPr>
          <w:fldChar w:fldCharType="separate"/>
        </w:r>
        <w:r w:rsidR="00497022">
          <w:rPr>
            <w:bCs/>
            <w:noProof/>
            <w:webHidden/>
          </w:rPr>
          <w:t>132</w:t>
        </w:r>
        <w:r w:rsidR="00B3227D" w:rsidRPr="00B3227D">
          <w:rPr>
            <w:bCs/>
            <w:noProof/>
            <w:webHidden/>
          </w:rPr>
          <w:fldChar w:fldCharType="end"/>
        </w:r>
      </w:hyperlink>
    </w:p>
    <w:p w14:paraId="579FFFA6" w14:textId="13B5DAE1"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90" w:history="1">
        <w:r w:rsidR="00B3227D" w:rsidRPr="00B3227D">
          <w:rPr>
            <w:rStyle w:val="Hyperlink"/>
            <w:b/>
            <w:noProof/>
          </w:rPr>
          <w:t xml:space="preserve">Table 5.13. </w:t>
        </w:r>
        <w:r w:rsidR="00B3227D" w:rsidRPr="00B3227D">
          <w:rPr>
            <w:rStyle w:val="Hyperlink"/>
            <w:bCs/>
            <w:noProof/>
          </w:rPr>
          <w:t>Overview of challenges in international and national network development and potential solutions to address them</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_Toc147489090 \h </w:instrText>
        </w:r>
        <w:r w:rsidR="00B3227D" w:rsidRPr="00B3227D">
          <w:rPr>
            <w:bCs/>
            <w:noProof/>
            <w:webHidden/>
          </w:rPr>
        </w:r>
        <w:r w:rsidR="00B3227D" w:rsidRPr="00B3227D">
          <w:rPr>
            <w:bCs/>
            <w:noProof/>
            <w:webHidden/>
          </w:rPr>
          <w:fldChar w:fldCharType="separate"/>
        </w:r>
        <w:r w:rsidR="00497022">
          <w:rPr>
            <w:bCs/>
            <w:noProof/>
            <w:webHidden/>
          </w:rPr>
          <w:t>135</w:t>
        </w:r>
        <w:r w:rsidR="00B3227D" w:rsidRPr="00B3227D">
          <w:rPr>
            <w:bCs/>
            <w:noProof/>
            <w:webHidden/>
          </w:rPr>
          <w:fldChar w:fldCharType="end"/>
        </w:r>
      </w:hyperlink>
    </w:p>
    <w:p w14:paraId="301F7366" w14:textId="5117B16A"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91" w:history="1">
        <w:r w:rsidR="00B3227D" w:rsidRPr="00B3227D">
          <w:rPr>
            <w:rStyle w:val="Hyperlink"/>
            <w:b/>
            <w:noProof/>
          </w:rPr>
          <w:t xml:space="preserve">Table 5.14. </w:t>
        </w:r>
        <w:r w:rsidR="00B3227D" w:rsidRPr="00B3227D">
          <w:rPr>
            <w:rStyle w:val="Hyperlink"/>
            <w:bCs/>
            <w:noProof/>
          </w:rPr>
          <w:t>Overview of model and scenario types as well as drivers</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_Toc147489091 \h </w:instrText>
        </w:r>
        <w:r w:rsidR="00B3227D" w:rsidRPr="00B3227D">
          <w:rPr>
            <w:bCs/>
            <w:noProof/>
            <w:webHidden/>
          </w:rPr>
        </w:r>
        <w:r w:rsidR="00B3227D" w:rsidRPr="00B3227D">
          <w:rPr>
            <w:bCs/>
            <w:noProof/>
            <w:webHidden/>
          </w:rPr>
          <w:fldChar w:fldCharType="separate"/>
        </w:r>
        <w:r w:rsidR="00497022">
          <w:rPr>
            <w:bCs/>
            <w:noProof/>
            <w:webHidden/>
          </w:rPr>
          <w:t>137</w:t>
        </w:r>
        <w:r w:rsidR="00B3227D" w:rsidRPr="00B3227D">
          <w:rPr>
            <w:bCs/>
            <w:noProof/>
            <w:webHidden/>
          </w:rPr>
          <w:fldChar w:fldCharType="end"/>
        </w:r>
      </w:hyperlink>
    </w:p>
    <w:p w14:paraId="419ADFB4" w14:textId="4959DC88"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noProof/>
          <w:lang w:val="en-US" w:eastAsia="ja-JP"/>
        </w:rPr>
      </w:pPr>
      <w:hyperlink w:anchor="_Toc147489092" w:history="1">
        <w:r w:rsidR="00B3227D" w:rsidRPr="00B3227D">
          <w:rPr>
            <w:rStyle w:val="Hyperlink"/>
            <w:b/>
            <w:noProof/>
          </w:rPr>
          <w:t xml:space="preserve">Table 5.15. </w:t>
        </w:r>
        <w:r w:rsidR="00B3227D" w:rsidRPr="00B3227D">
          <w:rPr>
            <w:rStyle w:val="Hyperlink"/>
            <w:bCs/>
            <w:noProof/>
          </w:rPr>
          <w:t>Examples of scenarios and models used for invasive alien species management</w:t>
        </w:r>
        <w:r w:rsidR="00B3227D" w:rsidRPr="00B3227D">
          <w:rPr>
            <w:bCs/>
            <w:noProof/>
            <w:webHidden/>
          </w:rPr>
          <w:tab/>
        </w:r>
        <w:r w:rsidR="00B3227D" w:rsidRPr="00B3227D">
          <w:rPr>
            <w:bCs/>
            <w:noProof/>
            <w:webHidden/>
          </w:rPr>
          <w:fldChar w:fldCharType="begin"/>
        </w:r>
        <w:r w:rsidR="00B3227D" w:rsidRPr="00B3227D">
          <w:rPr>
            <w:bCs/>
            <w:noProof/>
            <w:webHidden/>
          </w:rPr>
          <w:instrText xml:space="preserve"> PAGEREF _Toc147489092 \h </w:instrText>
        </w:r>
        <w:r w:rsidR="00B3227D" w:rsidRPr="00B3227D">
          <w:rPr>
            <w:bCs/>
            <w:noProof/>
            <w:webHidden/>
          </w:rPr>
        </w:r>
        <w:r w:rsidR="00B3227D" w:rsidRPr="00B3227D">
          <w:rPr>
            <w:bCs/>
            <w:noProof/>
            <w:webHidden/>
          </w:rPr>
          <w:fldChar w:fldCharType="separate"/>
        </w:r>
        <w:r w:rsidR="00497022">
          <w:rPr>
            <w:bCs/>
            <w:noProof/>
            <w:webHidden/>
          </w:rPr>
          <w:t>137</w:t>
        </w:r>
        <w:r w:rsidR="00B3227D" w:rsidRPr="00B3227D">
          <w:rPr>
            <w:bCs/>
            <w:noProof/>
            <w:webHidden/>
          </w:rPr>
          <w:fldChar w:fldCharType="end"/>
        </w:r>
      </w:hyperlink>
    </w:p>
    <w:p w14:paraId="0F16DE28" w14:textId="6D84D973" w:rsidR="00ED4441" w:rsidRPr="00B3227D" w:rsidRDefault="000C7D23" w:rsidP="00B3227D">
      <w:pPr>
        <w:pBdr>
          <w:top w:val="nil"/>
          <w:left w:val="nil"/>
          <w:bottom w:val="nil"/>
          <w:right w:val="nil"/>
          <w:between w:val="nil"/>
        </w:pBdr>
        <w:tabs>
          <w:tab w:val="right" w:pos="9954"/>
        </w:tabs>
        <w:spacing w:line="240" w:lineRule="auto"/>
        <w:contextualSpacing/>
      </w:pPr>
      <w:r w:rsidRPr="00B3227D">
        <w:rPr>
          <w:b/>
        </w:rPr>
        <w:fldChar w:fldCharType="end"/>
      </w:r>
    </w:p>
    <w:p w14:paraId="0000007A" w14:textId="77777777" w:rsidR="00A758FD" w:rsidRPr="003666A4" w:rsidRDefault="00C81287">
      <w:pPr>
        <w:spacing w:before="240" w:after="120" w:line="240" w:lineRule="auto"/>
      </w:pPr>
      <w:r w:rsidRPr="003666A4">
        <w:rPr>
          <w:b/>
          <w:sz w:val="36"/>
        </w:rPr>
        <w:t>List of textboxes</w:t>
      </w:r>
    </w:p>
    <w:p w14:paraId="1D6BF0EF" w14:textId="0BBC45A4" w:rsidR="00B3227D" w:rsidRPr="00B3227D" w:rsidRDefault="000872EE"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r w:rsidRPr="00837161">
        <w:fldChar w:fldCharType="begin"/>
      </w:r>
      <w:r w:rsidRPr="00837161">
        <w:instrText xml:space="preserve"> TOC \h \z \c "Box 5." </w:instrText>
      </w:r>
      <w:r w:rsidRPr="00837161">
        <w:fldChar w:fldCharType="separate"/>
      </w:r>
      <w:hyperlink w:anchor="_Toc147488936" w:history="1">
        <w:r w:rsidR="00B3227D" w:rsidRPr="00B3227D">
          <w:rPr>
            <w:rStyle w:val="Hyperlink"/>
            <w:b/>
            <w:bCs/>
            <w:noProof/>
          </w:rPr>
          <w:t xml:space="preserve">Box 5.1. </w:t>
        </w:r>
        <w:r w:rsidR="00B3227D" w:rsidRPr="00B3227D">
          <w:rPr>
            <w:rStyle w:val="Hyperlink"/>
            <w:noProof/>
          </w:rPr>
          <w:t>Rationale of the chapter</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_Toc147488936 \h </w:instrText>
        </w:r>
        <w:r w:rsidR="00B3227D" w:rsidRPr="00B3227D">
          <w:rPr>
            <w:noProof/>
            <w:webHidden/>
          </w:rPr>
        </w:r>
        <w:r w:rsidR="00B3227D" w:rsidRPr="00B3227D">
          <w:rPr>
            <w:noProof/>
            <w:webHidden/>
          </w:rPr>
          <w:fldChar w:fldCharType="separate"/>
        </w:r>
        <w:r w:rsidR="00497022">
          <w:rPr>
            <w:noProof/>
            <w:webHidden/>
          </w:rPr>
          <w:t>4</w:t>
        </w:r>
        <w:r w:rsidR="00B3227D" w:rsidRPr="00B3227D">
          <w:rPr>
            <w:noProof/>
            <w:webHidden/>
          </w:rPr>
          <w:fldChar w:fldCharType="end"/>
        </w:r>
      </w:hyperlink>
    </w:p>
    <w:p w14:paraId="5106CB01" w14:textId="14962246"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37" w:history="1">
        <w:r w:rsidR="00B3227D" w:rsidRPr="00B3227D">
          <w:rPr>
            <w:rStyle w:val="Hyperlink"/>
            <w:b/>
            <w:bCs/>
            <w:noProof/>
          </w:rPr>
          <w:t xml:space="preserve">Box 5.2. </w:t>
        </w:r>
        <w:r w:rsidR="00B3227D" w:rsidRPr="00B3227D">
          <w:rPr>
            <w:rStyle w:val="Hyperlink"/>
            <w:noProof/>
          </w:rPr>
          <w:t>Case study: A successful pathway management programme from Barrow Island, Australia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_Toc147488937 \h </w:instrText>
        </w:r>
        <w:r w:rsidR="00B3227D" w:rsidRPr="00B3227D">
          <w:rPr>
            <w:noProof/>
            <w:webHidden/>
          </w:rPr>
        </w:r>
        <w:r w:rsidR="00B3227D" w:rsidRPr="00B3227D">
          <w:rPr>
            <w:noProof/>
            <w:webHidden/>
          </w:rPr>
          <w:fldChar w:fldCharType="separate"/>
        </w:r>
        <w:r w:rsidR="00497022">
          <w:rPr>
            <w:noProof/>
            <w:webHidden/>
          </w:rPr>
          <w:t>34</w:t>
        </w:r>
        <w:r w:rsidR="00B3227D" w:rsidRPr="00B3227D">
          <w:rPr>
            <w:noProof/>
            <w:webHidden/>
          </w:rPr>
          <w:fldChar w:fldCharType="end"/>
        </w:r>
      </w:hyperlink>
    </w:p>
    <w:p w14:paraId="0CA6B876" w14:textId="63E4AE18"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38" w:history="1">
        <w:r w:rsidR="00B3227D" w:rsidRPr="00B3227D">
          <w:rPr>
            <w:rStyle w:val="Hyperlink"/>
            <w:b/>
            <w:bCs/>
            <w:noProof/>
          </w:rPr>
          <w:t xml:space="preserve">Box 5.3. </w:t>
        </w:r>
        <w:r w:rsidR="00B3227D" w:rsidRPr="00B3227D">
          <w:rPr>
            <w:rStyle w:val="Hyperlink"/>
            <w:noProof/>
          </w:rPr>
          <w:t>Case study: Species-</w:t>
        </w:r>
        <w:r w:rsidR="00B3227D" w:rsidRPr="00B3227D">
          <w:rPr>
            <w:rStyle w:val="Hyperlink"/>
            <w:rFonts w:eastAsia="Times New Roman"/>
            <w:noProof/>
          </w:rPr>
          <w:t>based</w:t>
        </w:r>
        <w:r w:rsidR="00B3227D" w:rsidRPr="00B3227D">
          <w:rPr>
            <w:rStyle w:val="Hyperlink"/>
            <w:noProof/>
          </w:rPr>
          <w:t xml:space="preserve"> management of invasive alien corals through resource use in Brazil</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_Toc147488938 \h </w:instrText>
        </w:r>
        <w:r w:rsidR="00B3227D" w:rsidRPr="00B3227D">
          <w:rPr>
            <w:noProof/>
            <w:webHidden/>
          </w:rPr>
        </w:r>
        <w:r w:rsidR="00B3227D" w:rsidRPr="00B3227D">
          <w:rPr>
            <w:noProof/>
            <w:webHidden/>
          </w:rPr>
          <w:fldChar w:fldCharType="separate"/>
        </w:r>
        <w:r w:rsidR="00497022">
          <w:rPr>
            <w:noProof/>
            <w:webHidden/>
          </w:rPr>
          <w:t>37</w:t>
        </w:r>
        <w:r w:rsidR="00B3227D" w:rsidRPr="00B3227D">
          <w:rPr>
            <w:noProof/>
            <w:webHidden/>
          </w:rPr>
          <w:fldChar w:fldCharType="end"/>
        </w:r>
      </w:hyperlink>
    </w:p>
    <w:p w14:paraId="72FF4B33" w14:textId="14A704E7"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39" w:history="1">
        <w:r w:rsidR="00B3227D" w:rsidRPr="00B3227D">
          <w:rPr>
            <w:rStyle w:val="Hyperlink"/>
            <w:b/>
            <w:bCs/>
            <w:noProof/>
          </w:rPr>
          <w:t xml:space="preserve">Box 5.4. </w:t>
        </w:r>
        <w:r w:rsidR="00B3227D" w:rsidRPr="00B3227D">
          <w:rPr>
            <w:rStyle w:val="Hyperlink"/>
            <w:noProof/>
          </w:rPr>
          <w:t>Case study: Management of biological invasions in a socioecological system in Asia: the case of the Lower Mekong Basin</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_Toc147488939 \h </w:instrText>
        </w:r>
        <w:r w:rsidR="00B3227D" w:rsidRPr="00B3227D">
          <w:rPr>
            <w:noProof/>
            <w:webHidden/>
          </w:rPr>
        </w:r>
        <w:r w:rsidR="00B3227D" w:rsidRPr="00B3227D">
          <w:rPr>
            <w:noProof/>
            <w:webHidden/>
          </w:rPr>
          <w:fldChar w:fldCharType="separate"/>
        </w:r>
        <w:r w:rsidR="00497022">
          <w:rPr>
            <w:noProof/>
            <w:webHidden/>
          </w:rPr>
          <w:t>39</w:t>
        </w:r>
        <w:r w:rsidR="00B3227D" w:rsidRPr="00B3227D">
          <w:rPr>
            <w:noProof/>
            <w:webHidden/>
          </w:rPr>
          <w:fldChar w:fldCharType="end"/>
        </w:r>
      </w:hyperlink>
    </w:p>
    <w:p w14:paraId="46F4D68B" w14:textId="23911C9A"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0" w:history="1">
        <w:r w:rsidR="00B3227D" w:rsidRPr="00B3227D">
          <w:rPr>
            <w:rStyle w:val="Hyperlink"/>
            <w:b/>
            <w:bCs/>
            <w:noProof/>
          </w:rPr>
          <w:t>Box 5.5</w:t>
        </w:r>
        <w:r w:rsidR="00B3227D" w:rsidRPr="00B3227D">
          <w:rPr>
            <w:rStyle w:val="Hyperlink"/>
            <w:rFonts w:eastAsia="Times New Roman"/>
            <w:b/>
            <w:bCs/>
            <w:noProof/>
          </w:rPr>
          <w:t>.</w:t>
        </w:r>
        <w:r w:rsidR="00B3227D" w:rsidRPr="00B3227D">
          <w:rPr>
            <w:rStyle w:val="Hyperlink"/>
            <w:b/>
            <w:bCs/>
            <w:noProof/>
          </w:rPr>
          <w:t xml:space="preserve"> </w:t>
        </w:r>
        <w:r w:rsidR="00B3227D" w:rsidRPr="00B3227D">
          <w:rPr>
            <w:rStyle w:val="Hyperlink"/>
            <w:noProof/>
          </w:rPr>
          <w:t>Case study: Integrated pathway, species-</w:t>
        </w:r>
        <w:r w:rsidR="00B3227D" w:rsidRPr="00B3227D">
          <w:rPr>
            <w:rStyle w:val="Hyperlink"/>
            <w:rFonts w:eastAsia="Times New Roman"/>
            <w:noProof/>
          </w:rPr>
          <w:t>based</w:t>
        </w:r>
        <w:r w:rsidR="00B3227D" w:rsidRPr="00B3227D">
          <w:rPr>
            <w:rStyle w:val="Hyperlink"/>
            <w:noProof/>
          </w:rPr>
          <w:t xml:space="preserve"> and site-based management in the Galápagos Islands, Ecuador</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_Toc147488940 \h </w:instrText>
        </w:r>
        <w:r w:rsidR="00B3227D" w:rsidRPr="00B3227D">
          <w:rPr>
            <w:noProof/>
            <w:webHidden/>
          </w:rPr>
        </w:r>
        <w:r w:rsidR="00B3227D" w:rsidRPr="00B3227D">
          <w:rPr>
            <w:noProof/>
            <w:webHidden/>
          </w:rPr>
          <w:fldChar w:fldCharType="separate"/>
        </w:r>
        <w:r w:rsidR="00497022">
          <w:rPr>
            <w:noProof/>
            <w:webHidden/>
          </w:rPr>
          <w:t>41</w:t>
        </w:r>
        <w:r w:rsidR="00B3227D" w:rsidRPr="00B3227D">
          <w:rPr>
            <w:noProof/>
            <w:webHidden/>
          </w:rPr>
          <w:fldChar w:fldCharType="end"/>
        </w:r>
      </w:hyperlink>
    </w:p>
    <w:p w14:paraId="39D76571" w14:textId="69BFDF3C"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1" w:history="1">
        <w:r w:rsidR="00B3227D" w:rsidRPr="00B3227D">
          <w:rPr>
            <w:rStyle w:val="Hyperlink"/>
            <w:b/>
            <w:bCs/>
            <w:noProof/>
          </w:rPr>
          <w:t xml:space="preserve">Box 5.6. </w:t>
        </w:r>
        <w:r w:rsidR="00B3227D" w:rsidRPr="00B3227D">
          <w:rPr>
            <w:rStyle w:val="Hyperlink"/>
            <w:noProof/>
          </w:rPr>
          <w:t xml:space="preserve">Case study: Management and use of </w:t>
        </w:r>
        <w:r w:rsidR="00B3227D" w:rsidRPr="00B3227D">
          <w:rPr>
            <w:rStyle w:val="Hyperlink"/>
            <w:i/>
            <w:noProof/>
          </w:rPr>
          <w:t>Sus scrofa</w:t>
        </w:r>
        <w:r w:rsidR="00B3227D" w:rsidRPr="00B3227D">
          <w:rPr>
            <w:rStyle w:val="Hyperlink"/>
            <w:noProof/>
          </w:rPr>
          <w:t xml:space="preserve"> (feral pig) and </w:t>
        </w:r>
        <w:r w:rsidR="00B3227D" w:rsidRPr="00B3227D">
          <w:rPr>
            <w:rStyle w:val="Hyperlink"/>
            <w:i/>
            <w:noProof/>
          </w:rPr>
          <w:t>Axis axis</w:t>
        </w:r>
        <w:r w:rsidR="00B3227D" w:rsidRPr="00B3227D">
          <w:rPr>
            <w:rStyle w:val="Hyperlink"/>
            <w:noProof/>
          </w:rPr>
          <w:t xml:space="preserve"> (Indian spotted deer) in El Palmar National Park, north-eastern Argentina, by local communities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_Toc147488941 \h </w:instrText>
        </w:r>
        <w:r w:rsidR="00B3227D" w:rsidRPr="00B3227D">
          <w:rPr>
            <w:noProof/>
            <w:webHidden/>
          </w:rPr>
        </w:r>
        <w:r w:rsidR="00B3227D" w:rsidRPr="00B3227D">
          <w:rPr>
            <w:noProof/>
            <w:webHidden/>
          </w:rPr>
          <w:fldChar w:fldCharType="separate"/>
        </w:r>
        <w:r w:rsidR="00497022">
          <w:rPr>
            <w:noProof/>
            <w:webHidden/>
          </w:rPr>
          <w:t>43</w:t>
        </w:r>
        <w:r w:rsidR="00B3227D" w:rsidRPr="00B3227D">
          <w:rPr>
            <w:noProof/>
            <w:webHidden/>
          </w:rPr>
          <w:fldChar w:fldCharType="end"/>
        </w:r>
      </w:hyperlink>
    </w:p>
    <w:p w14:paraId="175B7CD1" w14:textId="00387070"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2" w:history="1">
        <w:r w:rsidR="00B3227D" w:rsidRPr="00B3227D">
          <w:rPr>
            <w:rStyle w:val="Hyperlink"/>
            <w:b/>
            <w:bCs/>
            <w:noProof/>
          </w:rPr>
          <w:t xml:space="preserve">Box 5.7. </w:t>
        </w:r>
        <w:r w:rsidR="00B3227D" w:rsidRPr="00B3227D">
          <w:rPr>
            <w:rStyle w:val="Hyperlink"/>
            <w:noProof/>
          </w:rPr>
          <w:t>Case study: Biosecurity in the Republic of Seychelles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_Toc147488942 \h </w:instrText>
        </w:r>
        <w:r w:rsidR="00B3227D" w:rsidRPr="00B3227D">
          <w:rPr>
            <w:noProof/>
            <w:webHidden/>
          </w:rPr>
        </w:r>
        <w:r w:rsidR="00B3227D" w:rsidRPr="00B3227D">
          <w:rPr>
            <w:noProof/>
            <w:webHidden/>
          </w:rPr>
          <w:fldChar w:fldCharType="separate"/>
        </w:r>
        <w:r w:rsidR="00497022">
          <w:rPr>
            <w:noProof/>
            <w:webHidden/>
          </w:rPr>
          <w:t>44</w:t>
        </w:r>
        <w:r w:rsidR="00B3227D" w:rsidRPr="00B3227D">
          <w:rPr>
            <w:noProof/>
            <w:webHidden/>
          </w:rPr>
          <w:fldChar w:fldCharType="end"/>
        </w:r>
      </w:hyperlink>
    </w:p>
    <w:p w14:paraId="2BD00C75" w14:textId="636434C3"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3" w:history="1">
        <w:r w:rsidR="00B3227D" w:rsidRPr="00B3227D">
          <w:rPr>
            <w:rStyle w:val="Hyperlink"/>
            <w:b/>
            <w:bCs/>
            <w:noProof/>
          </w:rPr>
          <w:t xml:space="preserve">Box 5.8. </w:t>
        </w:r>
        <w:r w:rsidR="00B3227D" w:rsidRPr="00B3227D">
          <w:rPr>
            <w:rStyle w:val="Hyperlink"/>
            <w:noProof/>
          </w:rPr>
          <w:t>Case study: Eradication of five species of invasive alien vertebrates in the archipelago of French Polynesia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_Toc147488943 \h </w:instrText>
        </w:r>
        <w:r w:rsidR="00B3227D" w:rsidRPr="00B3227D">
          <w:rPr>
            <w:noProof/>
            <w:webHidden/>
          </w:rPr>
        </w:r>
        <w:r w:rsidR="00B3227D" w:rsidRPr="00B3227D">
          <w:rPr>
            <w:noProof/>
            <w:webHidden/>
          </w:rPr>
          <w:fldChar w:fldCharType="separate"/>
        </w:r>
        <w:r w:rsidR="00497022">
          <w:rPr>
            <w:noProof/>
            <w:webHidden/>
          </w:rPr>
          <w:t>45</w:t>
        </w:r>
        <w:r w:rsidR="00B3227D" w:rsidRPr="00B3227D">
          <w:rPr>
            <w:noProof/>
            <w:webHidden/>
          </w:rPr>
          <w:fldChar w:fldCharType="end"/>
        </w:r>
      </w:hyperlink>
    </w:p>
    <w:p w14:paraId="677AB6A0" w14:textId="7B63673A"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4" w:history="1">
        <w:r w:rsidR="00B3227D" w:rsidRPr="00B3227D">
          <w:rPr>
            <w:rStyle w:val="Hyperlink"/>
            <w:b/>
            <w:bCs/>
            <w:noProof/>
          </w:rPr>
          <w:t xml:space="preserve">Box 5.9. </w:t>
        </w:r>
        <w:r w:rsidR="00B3227D" w:rsidRPr="00B3227D">
          <w:rPr>
            <w:rStyle w:val="Hyperlink"/>
            <w:noProof/>
          </w:rPr>
          <w:t>Case study: National Program for Island Restoration in Mexico</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_Toc147488944 \h </w:instrText>
        </w:r>
        <w:r w:rsidR="00B3227D" w:rsidRPr="00B3227D">
          <w:rPr>
            <w:noProof/>
            <w:webHidden/>
          </w:rPr>
        </w:r>
        <w:r w:rsidR="00B3227D" w:rsidRPr="00B3227D">
          <w:rPr>
            <w:noProof/>
            <w:webHidden/>
          </w:rPr>
          <w:fldChar w:fldCharType="separate"/>
        </w:r>
        <w:r w:rsidR="00497022">
          <w:rPr>
            <w:noProof/>
            <w:webHidden/>
          </w:rPr>
          <w:t>45</w:t>
        </w:r>
        <w:r w:rsidR="00B3227D" w:rsidRPr="00B3227D">
          <w:rPr>
            <w:noProof/>
            <w:webHidden/>
          </w:rPr>
          <w:fldChar w:fldCharType="end"/>
        </w:r>
      </w:hyperlink>
    </w:p>
    <w:p w14:paraId="69BCF4F5" w14:textId="614BB275"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5" w:history="1">
        <w:r w:rsidR="00B3227D" w:rsidRPr="00B3227D">
          <w:rPr>
            <w:rStyle w:val="Hyperlink"/>
            <w:b/>
            <w:bCs/>
            <w:noProof/>
          </w:rPr>
          <w:t xml:space="preserve">Box 5.10. </w:t>
        </w:r>
        <w:r w:rsidR="00B3227D" w:rsidRPr="00B3227D">
          <w:rPr>
            <w:rStyle w:val="Hyperlink"/>
            <w:noProof/>
          </w:rPr>
          <w:t>Case study: Decision tree for separating site-based versus species-based management of invasive alien plants (after Owen &amp; Sheldon, 1996)</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_Toc147488945 \h </w:instrText>
        </w:r>
        <w:r w:rsidR="00B3227D" w:rsidRPr="00B3227D">
          <w:rPr>
            <w:noProof/>
            <w:webHidden/>
          </w:rPr>
        </w:r>
        <w:r w:rsidR="00B3227D" w:rsidRPr="00B3227D">
          <w:rPr>
            <w:noProof/>
            <w:webHidden/>
          </w:rPr>
          <w:fldChar w:fldCharType="separate"/>
        </w:r>
        <w:r w:rsidR="00497022">
          <w:rPr>
            <w:noProof/>
            <w:webHidden/>
          </w:rPr>
          <w:t>46</w:t>
        </w:r>
        <w:r w:rsidR="00B3227D" w:rsidRPr="00B3227D">
          <w:rPr>
            <w:noProof/>
            <w:webHidden/>
          </w:rPr>
          <w:fldChar w:fldCharType="end"/>
        </w:r>
      </w:hyperlink>
    </w:p>
    <w:p w14:paraId="110E5D3C" w14:textId="590C1EAF"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6" w:history="1">
        <w:r w:rsidR="00B3227D" w:rsidRPr="00B3227D">
          <w:rPr>
            <w:rStyle w:val="Hyperlink"/>
            <w:b/>
            <w:bCs/>
            <w:noProof/>
          </w:rPr>
          <w:t xml:space="preserve">Box 5.11. </w:t>
        </w:r>
        <w:r w:rsidR="00B3227D" w:rsidRPr="00B3227D">
          <w:rPr>
            <w:rStyle w:val="Hyperlink"/>
            <w:noProof/>
          </w:rPr>
          <w:t xml:space="preserve">Case study: </w:t>
        </w:r>
        <w:r w:rsidR="00B3227D" w:rsidRPr="00B3227D">
          <w:rPr>
            <w:rStyle w:val="Hyperlink"/>
            <w:i/>
            <w:noProof/>
          </w:rPr>
          <w:t>Solenopsis invicta</w:t>
        </w:r>
        <w:r w:rsidR="00B3227D" w:rsidRPr="00B3227D">
          <w:rPr>
            <w:rStyle w:val="Hyperlink"/>
            <w:noProof/>
          </w:rPr>
          <w:t xml:space="preserve"> (red imported fire ant) eradication</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_Toc147488946 \h </w:instrText>
        </w:r>
        <w:r w:rsidR="00B3227D" w:rsidRPr="00B3227D">
          <w:rPr>
            <w:noProof/>
            <w:webHidden/>
          </w:rPr>
        </w:r>
        <w:r w:rsidR="00B3227D" w:rsidRPr="00B3227D">
          <w:rPr>
            <w:noProof/>
            <w:webHidden/>
          </w:rPr>
          <w:fldChar w:fldCharType="separate"/>
        </w:r>
        <w:r w:rsidR="00497022">
          <w:rPr>
            <w:noProof/>
            <w:webHidden/>
          </w:rPr>
          <w:t>58</w:t>
        </w:r>
        <w:r w:rsidR="00B3227D" w:rsidRPr="00B3227D">
          <w:rPr>
            <w:noProof/>
            <w:webHidden/>
          </w:rPr>
          <w:fldChar w:fldCharType="end"/>
        </w:r>
      </w:hyperlink>
    </w:p>
    <w:p w14:paraId="6F1B6E6E" w14:textId="1959B941"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7" w:history="1">
        <w:r w:rsidR="00B3227D" w:rsidRPr="00B3227D">
          <w:rPr>
            <w:rStyle w:val="Hyperlink"/>
            <w:b/>
            <w:bCs/>
            <w:noProof/>
          </w:rPr>
          <w:t xml:space="preserve">Box 5.12. </w:t>
        </w:r>
        <w:r w:rsidR="00B3227D" w:rsidRPr="00B3227D">
          <w:rPr>
            <w:rStyle w:val="Hyperlink"/>
            <w:noProof/>
          </w:rPr>
          <w:t xml:space="preserve">Case study: Management of </w:t>
        </w:r>
        <w:r w:rsidR="00B3227D" w:rsidRPr="00B3227D">
          <w:rPr>
            <w:rStyle w:val="Hyperlink"/>
            <w:i/>
            <w:noProof/>
          </w:rPr>
          <w:t>Vachellia nilotica</w:t>
        </w:r>
        <w:r w:rsidR="00B3227D" w:rsidRPr="00B3227D">
          <w:rPr>
            <w:rStyle w:val="Hyperlink"/>
            <w:noProof/>
          </w:rPr>
          <w:t xml:space="preserve"> (gum arabic tree) with robotic technology in Australia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_Toc147488947 \h </w:instrText>
        </w:r>
        <w:r w:rsidR="00B3227D" w:rsidRPr="00B3227D">
          <w:rPr>
            <w:noProof/>
            <w:webHidden/>
          </w:rPr>
        </w:r>
        <w:r w:rsidR="00B3227D" w:rsidRPr="00B3227D">
          <w:rPr>
            <w:noProof/>
            <w:webHidden/>
          </w:rPr>
          <w:fldChar w:fldCharType="separate"/>
        </w:r>
        <w:r w:rsidR="00497022">
          <w:rPr>
            <w:noProof/>
            <w:webHidden/>
          </w:rPr>
          <w:t>67</w:t>
        </w:r>
        <w:r w:rsidR="00B3227D" w:rsidRPr="00B3227D">
          <w:rPr>
            <w:noProof/>
            <w:webHidden/>
          </w:rPr>
          <w:fldChar w:fldCharType="end"/>
        </w:r>
      </w:hyperlink>
    </w:p>
    <w:p w14:paraId="0A68758A" w14:textId="6FEFEEEA"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8" w:history="1">
        <w:r w:rsidR="00B3227D" w:rsidRPr="00B3227D">
          <w:rPr>
            <w:rStyle w:val="Hyperlink"/>
            <w:b/>
            <w:bCs/>
            <w:noProof/>
          </w:rPr>
          <w:t xml:space="preserve">Box 5.13. </w:t>
        </w:r>
        <w:r w:rsidR="00B3227D" w:rsidRPr="00B3227D">
          <w:rPr>
            <w:rStyle w:val="Hyperlink"/>
            <w:noProof/>
          </w:rPr>
          <w:t>The conflicts of lethal control of invasive alien vertebrates’ case study: managing wild horses in the Australian Alps National Park</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_Toc147488948 \h </w:instrText>
        </w:r>
        <w:r w:rsidR="00B3227D" w:rsidRPr="00B3227D">
          <w:rPr>
            <w:noProof/>
            <w:webHidden/>
          </w:rPr>
        </w:r>
        <w:r w:rsidR="00B3227D" w:rsidRPr="00B3227D">
          <w:rPr>
            <w:noProof/>
            <w:webHidden/>
          </w:rPr>
          <w:fldChar w:fldCharType="separate"/>
        </w:r>
        <w:r w:rsidR="00497022">
          <w:rPr>
            <w:noProof/>
            <w:webHidden/>
          </w:rPr>
          <w:t>68</w:t>
        </w:r>
        <w:r w:rsidR="00B3227D" w:rsidRPr="00B3227D">
          <w:rPr>
            <w:noProof/>
            <w:webHidden/>
          </w:rPr>
          <w:fldChar w:fldCharType="end"/>
        </w:r>
      </w:hyperlink>
    </w:p>
    <w:p w14:paraId="6471E11C" w14:textId="36927C86"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49" w:history="1">
        <w:r w:rsidR="00B3227D" w:rsidRPr="00B3227D">
          <w:rPr>
            <w:rStyle w:val="Hyperlink"/>
            <w:b/>
            <w:bCs/>
            <w:noProof/>
          </w:rPr>
          <w:t xml:space="preserve">Box 5.14. </w:t>
        </w:r>
        <w:r w:rsidR="00B3227D" w:rsidRPr="00B3227D">
          <w:rPr>
            <w:rStyle w:val="Hyperlink"/>
            <w:noProof/>
          </w:rPr>
          <w:t>The New Zealand National Invasive Ant Surveillance Programme as an example of early detection for successful eradication of invasive ants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_Toc147488949 \h </w:instrText>
        </w:r>
        <w:r w:rsidR="00B3227D" w:rsidRPr="00B3227D">
          <w:rPr>
            <w:noProof/>
            <w:webHidden/>
          </w:rPr>
        </w:r>
        <w:r w:rsidR="00B3227D" w:rsidRPr="00B3227D">
          <w:rPr>
            <w:noProof/>
            <w:webHidden/>
          </w:rPr>
          <w:fldChar w:fldCharType="separate"/>
        </w:r>
        <w:r w:rsidR="00497022">
          <w:rPr>
            <w:noProof/>
            <w:webHidden/>
          </w:rPr>
          <w:t>93</w:t>
        </w:r>
        <w:r w:rsidR="00B3227D" w:rsidRPr="00B3227D">
          <w:rPr>
            <w:noProof/>
            <w:webHidden/>
          </w:rPr>
          <w:fldChar w:fldCharType="end"/>
        </w:r>
      </w:hyperlink>
    </w:p>
    <w:p w14:paraId="7FD5CEED" w14:textId="14241AD6"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50" w:history="1">
        <w:r w:rsidR="00B3227D" w:rsidRPr="00B3227D">
          <w:rPr>
            <w:rStyle w:val="Hyperlink"/>
            <w:b/>
            <w:bCs/>
            <w:noProof/>
          </w:rPr>
          <w:t xml:space="preserve">Box 5.15. </w:t>
        </w:r>
        <w:r w:rsidR="00B3227D" w:rsidRPr="00B3227D">
          <w:rPr>
            <w:rStyle w:val="Hyperlink"/>
            <w:noProof/>
          </w:rPr>
          <w:t>Surveillance and management of invasive alien species by Indigenous Peoples and local communities - A case study of The Bukusu community in Kenya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_Toc147488950 \h </w:instrText>
        </w:r>
        <w:r w:rsidR="00B3227D" w:rsidRPr="00B3227D">
          <w:rPr>
            <w:noProof/>
            <w:webHidden/>
          </w:rPr>
        </w:r>
        <w:r w:rsidR="00B3227D" w:rsidRPr="00B3227D">
          <w:rPr>
            <w:noProof/>
            <w:webHidden/>
          </w:rPr>
          <w:fldChar w:fldCharType="separate"/>
        </w:r>
        <w:r w:rsidR="00497022">
          <w:rPr>
            <w:noProof/>
            <w:webHidden/>
          </w:rPr>
          <w:t>95</w:t>
        </w:r>
        <w:r w:rsidR="00B3227D" w:rsidRPr="00B3227D">
          <w:rPr>
            <w:noProof/>
            <w:webHidden/>
          </w:rPr>
          <w:fldChar w:fldCharType="end"/>
        </w:r>
      </w:hyperlink>
    </w:p>
    <w:p w14:paraId="48705F8B" w14:textId="234A8D78"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51" w:history="1">
        <w:r w:rsidR="00B3227D" w:rsidRPr="00B3227D">
          <w:rPr>
            <w:rStyle w:val="Hyperlink"/>
            <w:b/>
            <w:bCs/>
            <w:noProof/>
          </w:rPr>
          <w:t xml:space="preserve">Box 5.16. </w:t>
        </w:r>
        <w:r w:rsidR="00B3227D" w:rsidRPr="00B3227D">
          <w:rPr>
            <w:rStyle w:val="Hyperlink"/>
            <w:noProof/>
          </w:rPr>
          <w:t>Case study: Successful eradiation of an invasive scale insect in Kerala, India</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_Toc147488951 \h </w:instrText>
        </w:r>
        <w:r w:rsidR="00B3227D" w:rsidRPr="00B3227D">
          <w:rPr>
            <w:noProof/>
            <w:webHidden/>
          </w:rPr>
        </w:r>
        <w:r w:rsidR="00B3227D" w:rsidRPr="00B3227D">
          <w:rPr>
            <w:noProof/>
            <w:webHidden/>
          </w:rPr>
          <w:fldChar w:fldCharType="separate"/>
        </w:r>
        <w:r w:rsidR="00497022">
          <w:rPr>
            <w:noProof/>
            <w:webHidden/>
          </w:rPr>
          <w:t>97</w:t>
        </w:r>
        <w:r w:rsidR="00B3227D" w:rsidRPr="00B3227D">
          <w:rPr>
            <w:noProof/>
            <w:webHidden/>
          </w:rPr>
          <w:fldChar w:fldCharType="end"/>
        </w:r>
      </w:hyperlink>
    </w:p>
    <w:p w14:paraId="1A0E44AB" w14:textId="2A288762"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52" w:history="1">
        <w:r w:rsidR="00B3227D" w:rsidRPr="00B3227D">
          <w:rPr>
            <w:rStyle w:val="Hyperlink"/>
            <w:b/>
            <w:bCs/>
            <w:noProof/>
          </w:rPr>
          <w:t xml:space="preserve">Box 5.17. </w:t>
        </w:r>
        <w:r w:rsidR="00B3227D" w:rsidRPr="00B3227D">
          <w:rPr>
            <w:rStyle w:val="Hyperlink"/>
            <w:noProof/>
          </w:rPr>
          <w:t>Eradication of goats on Santiago Island, Ecuador</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_Toc147488952 \h </w:instrText>
        </w:r>
        <w:r w:rsidR="00B3227D" w:rsidRPr="00B3227D">
          <w:rPr>
            <w:noProof/>
            <w:webHidden/>
          </w:rPr>
        </w:r>
        <w:r w:rsidR="00B3227D" w:rsidRPr="00B3227D">
          <w:rPr>
            <w:noProof/>
            <w:webHidden/>
          </w:rPr>
          <w:fldChar w:fldCharType="separate"/>
        </w:r>
        <w:r w:rsidR="00497022">
          <w:rPr>
            <w:noProof/>
            <w:webHidden/>
          </w:rPr>
          <w:t>98</w:t>
        </w:r>
        <w:r w:rsidR="00B3227D" w:rsidRPr="00B3227D">
          <w:rPr>
            <w:noProof/>
            <w:webHidden/>
          </w:rPr>
          <w:fldChar w:fldCharType="end"/>
        </w:r>
      </w:hyperlink>
    </w:p>
    <w:p w14:paraId="306D208D" w14:textId="3316F493"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53" w:history="1">
        <w:r w:rsidR="00B3227D" w:rsidRPr="00B3227D">
          <w:rPr>
            <w:rStyle w:val="Hyperlink"/>
            <w:b/>
            <w:bCs/>
            <w:noProof/>
          </w:rPr>
          <w:t>Box 5.18.</w:t>
        </w:r>
        <w:r w:rsidR="00B3227D" w:rsidRPr="00B3227D">
          <w:rPr>
            <w:rStyle w:val="Hyperlink"/>
            <w:noProof/>
          </w:rPr>
          <w:t xml:space="preserve"> Local eradication of cacti </w:t>
        </w:r>
        <w:r w:rsidR="00B3227D" w:rsidRPr="00B3227D">
          <w:rPr>
            <w:rStyle w:val="Hyperlink"/>
            <w:i/>
            <w:noProof/>
          </w:rPr>
          <w:t>Opuntia</w:t>
        </w:r>
        <w:r w:rsidR="00B3227D" w:rsidRPr="00B3227D">
          <w:rPr>
            <w:rStyle w:val="Hyperlink"/>
            <w:noProof/>
          </w:rPr>
          <w:t xml:space="preserve"> sp. (pricklypear) improves good quality of life in Madagascar</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_Toc147488953 \h </w:instrText>
        </w:r>
        <w:r w:rsidR="00B3227D" w:rsidRPr="00B3227D">
          <w:rPr>
            <w:noProof/>
            <w:webHidden/>
          </w:rPr>
        </w:r>
        <w:r w:rsidR="00B3227D" w:rsidRPr="00B3227D">
          <w:rPr>
            <w:noProof/>
            <w:webHidden/>
          </w:rPr>
          <w:fldChar w:fldCharType="separate"/>
        </w:r>
        <w:r w:rsidR="00497022">
          <w:rPr>
            <w:noProof/>
            <w:webHidden/>
          </w:rPr>
          <w:t>101</w:t>
        </w:r>
        <w:r w:rsidR="00B3227D" w:rsidRPr="00B3227D">
          <w:rPr>
            <w:noProof/>
            <w:webHidden/>
          </w:rPr>
          <w:fldChar w:fldCharType="end"/>
        </w:r>
      </w:hyperlink>
    </w:p>
    <w:p w14:paraId="65867F30" w14:textId="28B2DFA8"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54" w:history="1">
        <w:r w:rsidR="00B3227D" w:rsidRPr="00B3227D">
          <w:rPr>
            <w:rStyle w:val="Hyperlink"/>
            <w:b/>
            <w:bCs/>
            <w:noProof/>
          </w:rPr>
          <w:t xml:space="preserve">Box 5.19. </w:t>
        </w:r>
        <w:r w:rsidR="00B3227D" w:rsidRPr="00B3227D">
          <w:rPr>
            <w:rStyle w:val="Hyperlink"/>
            <w:noProof/>
          </w:rPr>
          <w:t>The Working for Water programme: Social benefits from controlling invasive alien plants</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_Toc147488954 \h </w:instrText>
        </w:r>
        <w:r w:rsidR="00B3227D" w:rsidRPr="00B3227D">
          <w:rPr>
            <w:noProof/>
            <w:webHidden/>
          </w:rPr>
        </w:r>
        <w:r w:rsidR="00B3227D" w:rsidRPr="00B3227D">
          <w:rPr>
            <w:noProof/>
            <w:webHidden/>
          </w:rPr>
          <w:fldChar w:fldCharType="separate"/>
        </w:r>
        <w:r w:rsidR="00497022">
          <w:rPr>
            <w:noProof/>
            <w:webHidden/>
          </w:rPr>
          <w:t>103</w:t>
        </w:r>
        <w:r w:rsidR="00B3227D" w:rsidRPr="00B3227D">
          <w:rPr>
            <w:noProof/>
            <w:webHidden/>
          </w:rPr>
          <w:fldChar w:fldCharType="end"/>
        </w:r>
      </w:hyperlink>
    </w:p>
    <w:p w14:paraId="73CA3697" w14:textId="446E862C" w:rsidR="00B3227D" w:rsidRP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b/>
          <w:bCs/>
          <w:noProof/>
          <w:lang w:val="en-US" w:eastAsia="ja-JP"/>
        </w:rPr>
      </w:pPr>
      <w:hyperlink w:anchor="_Toc147488955" w:history="1">
        <w:r w:rsidR="00B3227D" w:rsidRPr="00B3227D">
          <w:rPr>
            <w:rStyle w:val="Hyperlink"/>
            <w:b/>
            <w:bCs/>
            <w:noProof/>
          </w:rPr>
          <w:t xml:space="preserve">Box 5.20. </w:t>
        </w:r>
        <w:r w:rsidR="00B3227D" w:rsidRPr="00B3227D">
          <w:rPr>
            <w:rStyle w:val="Hyperlink"/>
            <w:noProof/>
          </w:rPr>
          <w:t xml:space="preserve">African smallholder farmer management of the recent </w:t>
        </w:r>
        <w:r w:rsidR="00B3227D" w:rsidRPr="00B3227D">
          <w:rPr>
            <w:rStyle w:val="Hyperlink"/>
            <w:i/>
            <w:noProof/>
          </w:rPr>
          <w:t>Spodoptera frugiperda</w:t>
        </w:r>
        <w:r w:rsidR="00B3227D" w:rsidRPr="00B3227D">
          <w:rPr>
            <w:rStyle w:val="Hyperlink"/>
            <w:noProof/>
          </w:rPr>
          <w:t xml:space="preserve"> (fall armyworm) invasion</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_Toc147488955 \h </w:instrText>
        </w:r>
        <w:r w:rsidR="00B3227D" w:rsidRPr="00B3227D">
          <w:rPr>
            <w:noProof/>
            <w:webHidden/>
          </w:rPr>
        </w:r>
        <w:r w:rsidR="00B3227D" w:rsidRPr="00B3227D">
          <w:rPr>
            <w:noProof/>
            <w:webHidden/>
          </w:rPr>
          <w:fldChar w:fldCharType="separate"/>
        </w:r>
        <w:r w:rsidR="00497022">
          <w:rPr>
            <w:noProof/>
            <w:webHidden/>
          </w:rPr>
          <w:t>104</w:t>
        </w:r>
        <w:r w:rsidR="00B3227D" w:rsidRPr="00B3227D">
          <w:rPr>
            <w:noProof/>
            <w:webHidden/>
          </w:rPr>
          <w:fldChar w:fldCharType="end"/>
        </w:r>
      </w:hyperlink>
    </w:p>
    <w:p w14:paraId="2F9D3D1C" w14:textId="626A3B56" w:rsidR="00B3227D" w:rsidRDefault="00BF75D1" w:rsidP="00B3227D">
      <w:pPr>
        <w:pStyle w:val="TableofFigures"/>
        <w:tabs>
          <w:tab w:val="right" w:leader="dot" w:pos="9620"/>
        </w:tabs>
        <w:spacing w:line="240" w:lineRule="auto"/>
        <w:ind w:leftChars="0" w:left="0" w:firstLineChars="0" w:firstLine="0"/>
        <w:contextualSpacing/>
        <w:rPr>
          <w:rFonts w:asciiTheme="minorHAnsi" w:hAnsiTheme="minorHAnsi" w:cstheme="minorBidi"/>
          <w:noProof/>
          <w:lang w:val="en-US" w:eastAsia="ja-JP"/>
        </w:rPr>
      </w:pPr>
      <w:hyperlink w:anchor="_Toc147488956" w:history="1">
        <w:r w:rsidR="00B3227D" w:rsidRPr="00B3227D">
          <w:rPr>
            <w:rStyle w:val="Hyperlink"/>
            <w:b/>
            <w:bCs/>
            <w:noProof/>
          </w:rPr>
          <w:t xml:space="preserve">Box 5.21. </w:t>
        </w:r>
        <w:r w:rsidR="00B3227D" w:rsidRPr="00B3227D">
          <w:rPr>
            <w:rStyle w:val="Hyperlink"/>
            <w:noProof/>
          </w:rPr>
          <w:t xml:space="preserve">Case study of biological control of </w:t>
        </w:r>
        <w:r w:rsidR="00B3227D" w:rsidRPr="00B3227D">
          <w:rPr>
            <w:rStyle w:val="Hyperlink"/>
            <w:i/>
            <w:iCs/>
            <w:noProof/>
          </w:rPr>
          <w:t>Mikania micrantha</w:t>
        </w:r>
        <w:r w:rsidR="00B3227D" w:rsidRPr="00B3227D">
          <w:rPr>
            <w:rStyle w:val="Hyperlink"/>
            <w:noProof/>
          </w:rPr>
          <w:t xml:space="preserve"> (bitter vine) in the Asia-Pacific region.</w:t>
        </w:r>
        <w:r w:rsidR="00B3227D" w:rsidRPr="00B3227D">
          <w:rPr>
            <w:noProof/>
            <w:webHidden/>
          </w:rPr>
          <w:tab/>
        </w:r>
        <w:r w:rsidR="00B3227D" w:rsidRPr="00B3227D">
          <w:rPr>
            <w:noProof/>
            <w:webHidden/>
          </w:rPr>
          <w:fldChar w:fldCharType="begin"/>
        </w:r>
        <w:r w:rsidR="00B3227D" w:rsidRPr="00B3227D">
          <w:rPr>
            <w:noProof/>
            <w:webHidden/>
          </w:rPr>
          <w:instrText xml:space="preserve"> PAGEREF _Toc147488956 \h </w:instrText>
        </w:r>
        <w:r w:rsidR="00B3227D" w:rsidRPr="00B3227D">
          <w:rPr>
            <w:noProof/>
            <w:webHidden/>
          </w:rPr>
        </w:r>
        <w:r w:rsidR="00B3227D" w:rsidRPr="00B3227D">
          <w:rPr>
            <w:noProof/>
            <w:webHidden/>
          </w:rPr>
          <w:fldChar w:fldCharType="separate"/>
        </w:r>
        <w:r w:rsidR="00497022">
          <w:rPr>
            <w:noProof/>
            <w:webHidden/>
          </w:rPr>
          <w:t>107</w:t>
        </w:r>
        <w:r w:rsidR="00B3227D" w:rsidRPr="00B3227D">
          <w:rPr>
            <w:noProof/>
            <w:webHidden/>
          </w:rPr>
          <w:fldChar w:fldCharType="end"/>
        </w:r>
      </w:hyperlink>
    </w:p>
    <w:p w14:paraId="3277EAD7" w14:textId="3E3E378F" w:rsidR="00ED4441" w:rsidRDefault="000872EE">
      <w:pPr>
        <w:pBdr>
          <w:top w:val="nil"/>
          <w:left w:val="nil"/>
          <w:bottom w:val="nil"/>
          <w:right w:val="nil"/>
          <w:between w:val="nil"/>
        </w:pBdr>
        <w:tabs>
          <w:tab w:val="right" w:pos="9954"/>
        </w:tabs>
        <w:spacing w:line="240" w:lineRule="auto"/>
      </w:pPr>
      <w:r w:rsidRPr="00837161">
        <w:fldChar w:fldCharType="end"/>
      </w:r>
    </w:p>
    <w:p w14:paraId="00000090" w14:textId="77777777" w:rsidR="00A758FD" w:rsidRPr="003666A4" w:rsidRDefault="00C81287" w:rsidP="003666A4">
      <w:pPr>
        <w:spacing w:before="240" w:after="120" w:line="240" w:lineRule="auto"/>
        <w:rPr>
          <w:b/>
          <w:sz w:val="36"/>
        </w:rPr>
      </w:pPr>
      <w:r w:rsidRPr="003666A4">
        <w:rPr>
          <w:b/>
          <w:sz w:val="36"/>
        </w:rPr>
        <w:t>List of supplementary materials</w:t>
      </w:r>
    </w:p>
    <w:p w14:paraId="00000091"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5.1.</w:t>
      </w:r>
      <w:r w:rsidRPr="003666A4">
        <w:rPr>
          <w:color w:val="000000"/>
        </w:rPr>
        <w:t xml:space="preserve"> Characterization of invasive alien species management by Indigenous Peoples and local communities</w:t>
      </w:r>
    </w:p>
    <w:p w14:paraId="00000092"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5.2.</w:t>
      </w:r>
      <w:r w:rsidRPr="003666A4">
        <w:rPr>
          <w:color w:val="000000"/>
        </w:rPr>
        <w:t xml:space="preserve"> Pathway surveillance tolls and technologies</w:t>
      </w:r>
    </w:p>
    <w:p w14:paraId="00000093"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5.3.</w:t>
      </w:r>
      <w:r w:rsidRPr="003666A4">
        <w:rPr>
          <w:color w:val="000000"/>
        </w:rPr>
        <w:t xml:space="preserve"> Species-led surveillance, detection and diagnostics tools and technologies</w:t>
      </w:r>
    </w:p>
    <w:p w14:paraId="00000094"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5.4.</w:t>
      </w:r>
      <w:r w:rsidRPr="003666A4">
        <w:rPr>
          <w:color w:val="000000"/>
        </w:rPr>
        <w:t xml:space="preserve"> Future technologies</w:t>
      </w:r>
      <w:r w:rsidRPr="003666A4">
        <w:rPr>
          <w:color w:val="000000"/>
        </w:rPr>
        <w:tab/>
      </w:r>
    </w:p>
    <w:p w14:paraId="00000095"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5.5.</w:t>
      </w:r>
      <w:r w:rsidRPr="003666A4">
        <w:rPr>
          <w:color w:val="000000"/>
        </w:rPr>
        <w:t xml:space="preserve"> Pathway management – prevention options</w:t>
      </w:r>
    </w:p>
    <w:p w14:paraId="00000096"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5.6.</w:t>
      </w:r>
      <w:r w:rsidRPr="003666A4">
        <w:rPr>
          <w:color w:val="000000"/>
        </w:rPr>
        <w:t xml:space="preserve"> Species-led management technologies</w:t>
      </w:r>
    </w:p>
    <w:p w14:paraId="00000097"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5.7.</w:t>
      </w:r>
      <w:r w:rsidRPr="003666A4">
        <w:rPr>
          <w:color w:val="000000"/>
        </w:rPr>
        <w:t xml:space="preserve"> Ecosystem restoration</w:t>
      </w:r>
      <w:r w:rsidRPr="003666A4">
        <w:rPr>
          <w:color w:val="000000"/>
        </w:rPr>
        <w:tab/>
      </w:r>
    </w:p>
    <w:p w14:paraId="00000098"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5.8.</w:t>
      </w:r>
      <w:r w:rsidRPr="003666A4">
        <w:rPr>
          <w:color w:val="000000"/>
        </w:rPr>
        <w:t xml:space="preserve"> International Standards for Phytosanitary Measures</w:t>
      </w:r>
    </w:p>
    <w:p w14:paraId="00000099"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5.9.</w:t>
      </w:r>
      <w:r w:rsidRPr="003666A4">
        <w:rPr>
          <w:color w:val="000000"/>
        </w:rPr>
        <w:t xml:space="preserve"> Examples of effective surveillance strategies</w:t>
      </w:r>
    </w:p>
    <w:p w14:paraId="0000009A"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5.10.</w:t>
      </w:r>
      <w:r w:rsidRPr="003666A4">
        <w:rPr>
          <w:color w:val="000000"/>
        </w:rPr>
        <w:t xml:space="preserve"> Examples of eradication programmes</w:t>
      </w:r>
    </w:p>
    <w:p w14:paraId="0000009B"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5.11.</w:t>
      </w:r>
      <w:r w:rsidRPr="003666A4">
        <w:rPr>
          <w:color w:val="000000"/>
        </w:rPr>
        <w:t xml:space="preserve"> Smallholder farmers and the management of </w:t>
      </w:r>
      <w:r w:rsidRPr="003666A4">
        <w:rPr>
          <w:i/>
          <w:color w:val="000000"/>
        </w:rPr>
        <w:t>Spodoptera frugiperda</w:t>
      </w:r>
      <w:r w:rsidRPr="003666A4">
        <w:rPr>
          <w:color w:val="000000"/>
        </w:rPr>
        <w:t xml:space="preserve"> (fall armyworm)</w:t>
      </w:r>
    </w:p>
    <w:p w14:paraId="0000009C" w14:textId="77777777" w:rsidR="00A758FD" w:rsidRPr="003666A4" w:rsidRDefault="00C81287" w:rsidP="00AC1F76">
      <w:pPr>
        <w:pBdr>
          <w:top w:val="nil"/>
          <w:left w:val="nil"/>
          <w:bottom w:val="nil"/>
          <w:right w:val="nil"/>
          <w:between w:val="nil"/>
        </w:pBdr>
        <w:spacing w:line="240" w:lineRule="auto"/>
        <w:rPr>
          <w:color w:val="000000"/>
        </w:rPr>
      </w:pPr>
      <w:r w:rsidRPr="003666A4">
        <w:rPr>
          <w:b/>
          <w:color w:val="000000"/>
        </w:rPr>
        <w:t>Supplementary material 5.12.</w:t>
      </w:r>
      <w:r w:rsidRPr="003666A4">
        <w:rPr>
          <w:color w:val="000000"/>
        </w:rPr>
        <w:t xml:space="preserve"> Case study: classical biological control of </w:t>
      </w:r>
      <w:r w:rsidRPr="003666A4">
        <w:rPr>
          <w:i/>
          <w:color w:val="000000"/>
        </w:rPr>
        <w:t>Oryctolagus cuniculus</w:t>
      </w:r>
      <w:r w:rsidRPr="003666A4">
        <w:rPr>
          <w:color w:val="000000"/>
        </w:rPr>
        <w:t xml:space="preserve"> (rabbits)</w:t>
      </w:r>
      <w:r w:rsidRPr="003666A4">
        <w:rPr>
          <w:color w:val="000000"/>
        </w:rPr>
        <w:tab/>
      </w:r>
    </w:p>
    <w:p w14:paraId="0000009D" w14:textId="77777777" w:rsidR="00A758FD" w:rsidRPr="003666A4" w:rsidRDefault="00C81287" w:rsidP="00AC1F76">
      <w:pPr>
        <w:pBdr>
          <w:top w:val="nil"/>
          <w:left w:val="nil"/>
          <w:bottom w:val="nil"/>
          <w:right w:val="nil"/>
          <w:between w:val="nil"/>
        </w:pBdr>
        <w:spacing w:line="240" w:lineRule="auto"/>
        <w:rPr>
          <w:color w:val="000000"/>
        </w:rPr>
        <w:sectPr w:rsidR="00A758FD" w:rsidRPr="003666A4" w:rsidSect="003666A4">
          <w:headerReference w:type="even" r:id="rId16"/>
          <w:headerReference w:type="default" r:id="rId17"/>
          <w:headerReference w:type="first" r:id="rId18"/>
          <w:pgSz w:w="11906" w:h="16838"/>
          <w:pgMar w:top="1008" w:right="1138" w:bottom="1138" w:left="1138" w:header="216" w:footer="720" w:gutter="0"/>
          <w:pgNumType w:start="1"/>
          <w:cols w:space="720"/>
          <w:titlePg/>
        </w:sectPr>
      </w:pPr>
      <w:r w:rsidRPr="003666A4">
        <w:rPr>
          <w:b/>
          <w:color w:val="000000"/>
        </w:rPr>
        <w:t>Supplementary material 5.13.</w:t>
      </w:r>
      <w:r w:rsidRPr="003666A4">
        <w:rPr>
          <w:color w:val="000000"/>
        </w:rPr>
        <w:t xml:space="preserve"> Case studies – role of national and international networks and regional partnerships in management</w:t>
      </w:r>
    </w:p>
    <w:p w14:paraId="0000009E" w14:textId="77777777" w:rsidR="00A758FD" w:rsidRPr="003666A4" w:rsidRDefault="00C81287" w:rsidP="002F2F42">
      <w:pPr>
        <w:pStyle w:val="Heading1"/>
        <w:numPr>
          <w:ilvl w:val="0"/>
          <w:numId w:val="0"/>
        </w:numPr>
      </w:pPr>
      <w:bookmarkStart w:id="1" w:name="_Toc146810098"/>
      <w:bookmarkStart w:id="2" w:name="_Toc69313947"/>
      <w:bookmarkStart w:id="3" w:name="_Toc87623120"/>
      <w:bookmarkStart w:id="4" w:name="_Toc131681623"/>
      <w:bookmarkStart w:id="5" w:name="_Toc149555463"/>
      <w:r w:rsidRPr="003666A4">
        <w:lastRenderedPageBreak/>
        <w:t>Executive summary</w:t>
      </w:r>
      <w:bookmarkEnd w:id="1"/>
      <w:bookmarkEnd w:id="2"/>
      <w:bookmarkEnd w:id="3"/>
      <w:bookmarkEnd w:id="4"/>
      <w:bookmarkEnd w:id="5"/>
    </w:p>
    <w:p w14:paraId="0000009F" w14:textId="3A386D97" w:rsidR="00A758FD" w:rsidRPr="003666A4" w:rsidRDefault="00C81287">
      <w:pPr>
        <w:spacing w:before="240" w:after="120" w:line="240" w:lineRule="auto"/>
      </w:pPr>
      <w:r w:rsidRPr="003666A4">
        <w:rPr>
          <w:b/>
        </w:rPr>
        <w:t>1. Substantial knowledge, options</w:t>
      </w:r>
      <w:r w:rsidR="00C16EEB">
        <w:rPr>
          <w:b/>
        </w:rPr>
        <w:t xml:space="preserve"> and</w:t>
      </w:r>
      <w:r w:rsidRPr="003666A4">
        <w:rPr>
          <w:b/>
        </w:rPr>
        <w:t xml:space="preserve"> experience in </w:t>
      </w:r>
      <w:r w:rsidRPr="00C0338D">
        <w:rPr>
          <w:b/>
        </w:rPr>
        <w:t>management</w:t>
      </w:r>
      <w:r>
        <w:rPr>
          <w:b/>
        </w:rPr>
        <w:t xml:space="preserve"> </w:t>
      </w:r>
      <w:r w:rsidR="04A429CC" w:rsidRPr="5E4965FB">
        <w:rPr>
          <w:b/>
          <w:bCs/>
        </w:rPr>
        <w:t>of biological invasions</w:t>
      </w:r>
      <w:r w:rsidR="04A429CC" w:rsidRPr="00C0338D">
        <w:rPr>
          <w:b/>
        </w:rPr>
        <w:t xml:space="preserve"> </w:t>
      </w:r>
      <w:r w:rsidRPr="00C0338D">
        <w:rPr>
          <w:b/>
        </w:rPr>
        <w:t>exist at the regional, national</w:t>
      </w:r>
      <w:r w:rsidR="00C16EEB">
        <w:rPr>
          <w:b/>
        </w:rPr>
        <w:t xml:space="preserve"> and</w:t>
      </w:r>
      <w:r w:rsidRPr="00C0338D">
        <w:rPr>
          <w:b/>
        </w:rPr>
        <w:t xml:space="preserve"> local levels (</w:t>
      </w:r>
      <w:r w:rsidRPr="00C0338D">
        <w:rPr>
          <w:b/>
          <w:i/>
        </w:rPr>
        <w:t>well established</w:t>
      </w:r>
      <w:r w:rsidRPr="00C0338D">
        <w:rPr>
          <w:b/>
        </w:rPr>
        <w:t>)</w:t>
      </w:r>
      <w:r w:rsidRPr="00C0338D">
        <w:rPr>
          <w:b/>
          <w:i/>
        </w:rPr>
        <w:t xml:space="preserve"> </w:t>
      </w:r>
      <w:r w:rsidRPr="00C0338D">
        <w:rPr>
          <w:b/>
        </w:rPr>
        <w:t>{5.2, 5.3, 5.4, 5.5, 5.6}. </w:t>
      </w:r>
      <w:r w:rsidRPr="00C0338D">
        <w:t xml:space="preserve">Key challenges for the effective implementation of </w:t>
      </w:r>
      <w:r w:rsidR="56823BF1">
        <w:t>biological invasion</w:t>
      </w:r>
      <w:r w:rsidRPr="00C0338D">
        <w:t xml:space="preserve"> management include developing appropriate policies and regulations to support management {5.6.2.1}, building management capability and </w:t>
      </w:r>
      <w:r w:rsidRPr="003666A4">
        <w:t>capacity {5.6.2.4}</w:t>
      </w:r>
      <w:r w:rsidR="00B148D3">
        <w:t xml:space="preserve"> (Table</w:t>
      </w:r>
      <w:r w:rsidR="00B148D3" w:rsidRPr="003666A4">
        <w:t xml:space="preserve"> 5.11</w:t>
      </w:r>
      <w:r w:rsidR="00B148D3">
        <w:t>)</w:t>
      </w:r>
      <w:r w:rsidRPr="003666A4">
        <w:t>, fostering collaborative governance to assist stakeholder engagement within cultural contexts {5.2.1}</w:t>
      </w:r>
      <w:r w:rsidR="00C16EEB">
        <w:t xml:space="preserve"> and</w:t>
      </w:r>
      <w:r w:rsidRPr="003666A4">
        <w:t xml:space="preserve"> developing and implementing processes to manage cross-jurisdictional and transboundary issues </w:t>
      </w:r>
      <w:r w:rsidR="00B148D3">
        <w:t>(</w:t>
      </w:r>
      <w:r w:rsidR="003666A4">
        <w:t>T</w:t>
      </w:r>
      <w:r>
        <w:t>able</w:t>
      </w:r>
      <w:r w:rsidRPr="003666A4">
        <w:t xml:space="preserve"> 5.11</w:t>
      </w:r>
      <w:r w:rsidR="00B148D3">
        <w:t>)</w:t>
      </w:r>
      <w:r w:rsidRPr="003666A4">
        <w:t>. Addressing these challenges can ensure effective implementation of management strategies (</w:t>
      </w:r>
      <w:r w:rsidRPr="003666A4">
        <w:rPr>
          <w:i/>
        </w:rPr>
        <w:t>well established</w:t>
      </w:r>
      <w:r w:rsidRPr="003666A4">
        <w:t>) {5.6.2}</w:t>
      </w:r>
      <w:r w:rsidRPr="003666A4">
        <w:rPr>
          <w:i/>
        </w:rPr>
        <w:t>. </w:t>
      </w:r>
    </w:p>
    <w:p w14:paraId="000000A0" w14:textId="5EEC153F" w:rsidR="00A758FD" w:rsidRPr="00AC1F76" w:rsidRDefault="00C81287">
      <w:pPr>
        <w:spacing w:before="240" w:after="120" w:line="240" w:lineRule="auto"/>
        <w:rPr>
          <w:rFonts w:ascii="Calibri" w:hAnsi="Calibri"/>
          <w:b/>
        </w:rPr>
      </w:pPr>
      <w:r w:rsidRPr="003666A4">
        <w:rPr>
          <w:b/>
        </w:rPr>
        <w:t xml:space="preserve">2. Options for </w:t>
      </w:r>
      <w:r w:rsidRPr="00C0338D">
        <w:rPr>
          <w:b/>
        </w:rPr>
        <w:t>m</w:t>
      </w:r>
      <w:r w:rsidRPr="00AC1F76">
        <w:rPr>
          <w:b/>
          <w:highlight w:val="white"/>
        </w:rPr>
        <w:t>anagement</w:t>
      </w:r>
      <w:r w:rsidR="2A3C59FC" w:rsidRPr="00AC1F76">
        <w:rPr>
          <w:b/>
          <w:highlight w:val="white"/>
        </w:rPr>
        <w:t xml:space="preserve"> </w:t>
      </w:r>
      <w:r w:rsidR="2A3C59FC" w:rsidRPr="5E4965FB">
        <w:rPr>
          <w:b/>
          <w:bCs/>
          <w:highlight w:val="white"/>
        </w:rPr>
        <w:t>of biological invasions</w:t>
      </w:r>
      <w:r>
        <w:rPr>
          <w:b/>
        </w:rPr>
        <w:t xml:space="preserve"> </w:t>
      </w:r>
      <w:r w:rsidRPr="00C0338D">
        <w:rPr>
          <w:b/>
        </w:rPr>
        <w:t>include pathway, species-</w:t>
      </w:r>
      <w:r w:rsidR="31DCA632" w:rsidRPr="776B8B26">
        <w:rPr>
          <w:b/>
          <w:bCs/>
        </w:rPr>
        <w:t>based</w:t>
      </w:r>
      <w:r w:rsidRPr="00C0338D">
        <w:rPr>
          <w:b/>
        </w:rPr>
        <w:t xml:space="preserve"> and site- or ecosystem-based approaches (</w:t>
      </w:r>
      <w:r w:rsidRPr="00C0338D">
        <w:rPr>
          <w:b/>
          <w:i/>
        </w:rPr>
        <w:t>well established</w:t>
      </w:r>
      <w:r w:rsidRPr="00C0338D">
        <w:rPr>
          <w:b/>
        </w:rPr>
        <w:t>) {5.1.1}. When implemented, these approaches will help mitigate impacts of invasive alien species and enhance ecosystem resilience (</w:t>
      </w:r>
      <w:r w:rsidRPr="00C0338D">
        <w:rPr>
          <w:b/>
          <w:i/>
        </w:rPr>
        <w:t>well established</w:t>
      </w:r>
      <w:r w:rsidRPr="00C0338D">
        <w:rPr>
          <w:b/>
        </w:rPr>
        <w:t>)</w:t>
      </w:r>
      <w:r w:rsidRPr="00C0338D">
        <w:rPr>
          <w:b/>
          <w:i/>
        </w:rPr>
        <w:t xml:space="preserve"> </w:t>
      </w:r>
      <w:r w:rsidRPr="00C0338D">
        <w:rPr>
          <w:b/>
        </w:rPr>
        <w:t>{5.3, 5.5}.</w:t>
      </w:r>
      <w:r w:rsidRPr="00C0338D">
        <w:t xml:space="preserve"> Pathway management is a major component of prevention (</w:t>
      </w:r>
      <w:r w:rsidRPr="00C0338D">
        <w:rPr>
          <w:i/>
        </w:rPr>
        <w:t>well establish</w:t>
      </w:r>
      <w:r w:rsidRPr="00C0338D">
        <w:t>ed) {5.5.1}. Species-</w:t>
      </w:r>
      <w:r w:rsidR="4C93C829">
        <w:t>based</w:t>
      </w:r>
      <w:r w:rsidRPr="00C0338D">
        <w:t xml:space="preserve"> management, which includes surveillance, detection, eradication, containment</w:t>
      </w:r>
      <w:r w:rsidR="00C16EEB">
        <w:t xml:space="preserve"> and</w:t>
      </w:r>
      <w:r w:rsidRPr="00C0338D">
        <w:t xml:space="preserve"> control, has been effective in many contexts (</w:t>
      </w:r>
      <w:r w:rsidRPr="00C0338D">
        <w:rPr>
          <w:i/>
        </w:rPr>
        <w:t>well establish</w:t>
      </w:r>
      <w:r w:rsidRPr="00C0338D">
        <w:t>ed</w:t>
      </w:r>
      <w:r w:rsidRPr="003666A4">
        <w:t>) {5.5.2, 5.5.3, 5.5.4, 5.5.5}</w:t>
      </w:r>
      <w:r w:rsidR="00B148D3">
        <w:t xml:space="preserve"> (Figure</w:t>
      </w:r>
      <w:r w:rsidR="00B148D3" w:rsidRPr="003666A4">
        <w:t xml:space="preserve"> 5.1</w:t>
      </w:r>
      <w:r w:rsidR="00B148D3">
        <w:t>)</w:t>
      </w:r>
      <w:r w:rsidRPr="003666A4">
        <w:t>. Species-</w:t>
      </w:r>
      <w:r w:rsidR="413D27EA">
        <w:t>based</w:t>
      </w:r>
      <w:r w:rsidRPr="00C0338D">
        <w:t xml:space="preserve"> and site-based approaches, such as species removal through adaptive management and ecosystem restoration, are likely to enhance cost-effective improvement of nature, nature’s contributions to people</w:t>
      </w:r>
      <w:r w:rsidR="00C16EEB">
        <w:t xml:space="preserve"> and</w:t>
      </w:r>
      <w:r w:rsidRPr="00C0338D">
        <w:t xml:space="preserve"> good quality of life (</w:t>
      </w:r>
      <w:r w:rsidRPr="00C0338D">
        <w:rPr>
          <w:i/>
        </w:rPr>
        <w:t>well established</w:t>
      </w:r>
      <w:r w:rsidRPr="00C0338D">
        <w:t>) {5.5.1, 5.3.2, 5.5.3, 5.5.6}. Integrated pathway, species-</w:t>
      </w:r>
      <w:r w:rsidR="3EBE2FB0">
        <w:t>based</w:t>
      </w:r>
      <w:r w:rsidR="00C16EEB">
        <w:t xml:space="preserve"> and</w:t>
      </w:r>
      <w:r w:rsidRPr="00C0338D">
        <w:t xml:space="preserve"> site-based management through engagement of stakeholders and Indigenous Peoples and local communities, can optimize management outcomes (</w:t>
      </w:r>
      <w:r w:rsidRPr="00C0338D">
        <w:rPr>
          <w:i/>
        </w:rPr>
        <w:t>established but incomplete</w:t>
      </w:r>
      <w:r w:rsidRPr="00C0338D">
        <w:t>) {5.2.1, 5.6.2.1}.</w:t>
      </w:r>
    </w:p>
    <w:p w14:paraId="000000A1" w14:textId="6EF03571" w:rsidR="00A758FD" w:rsidRPr="003666A4" w:rsidRDefault="00C81287">
      <w:pPr>
        <w:spacing w:before="240" w:after="120" w:line="240" w:lineRule="auto"/>
      </w:pPr>
      <w:r w:rsidRPr="00C0338D">
        <w:rPr>
          <w:b/>
        </w:rPr>
        <w:t>3. Prevention, where possible, together with preparedness through surveillance and rapid intervention, is a cost-effective long-term biosecurity approach (</w:t>
      </w:r>
      <w:r w:rsidRPr="00C0338D">
        <w:rPr>
          <w:b/>
          <w:i/>
        </w:rPr>
        <w:t>well established</w:t>
      </w:r>
      <w:r w:rsidRPr="00C0338D">
        <w:rPr>
          <w:b/>
        </w:rPr>
        <w:t>) {5.5.1, 5.5.2}.</w:t>
      </w:r>
      <w:r w:rsidRPr="00C0338D">
        <w:t xml:space="preserve"> Preventive actions early in the biological invasion process decrease new species’ arrivals and interception rates at the border and post-border (</w:t>
      </w:r>
      <w:r w:rsidRPr="00C0338D">
        <w:rPr>
          <w:i/>
        </w:rPr>
        <w:t>well est</w:t>
      </w:r>
      <w:r w:rsidRPr="003666A4">
        <w:rPr>
          <w:i/>
        </w:rPr>
        <w:t>ablished</w:t>
      </w:r>
      <w:r w:rsidRPr="003666A4">
        <w:t>) {5.5.1}. Pre-border biosecurity planning and the implementation of prevention strategies through anthropogenic pathways is cost-effective in reducing biological invasions (</w:t>
      </w:r>
      <w:r w:rsidRPr="003666A4">
        <w:rPr>
          <w:i/>
        </w:rPr>
        <w:t>well established</w:t>
      </w:r>
      <w:r w:rsidRPr="003666A4">
        <w:t>) {5.5.2, 5.6.3.3}. Prevention is particularly effective for managing biological invasions in marine and connected water systems (e.g., ballast water and biofouling management) (</w:t>
      </w:r>
      <w:r w:rsidRPr="003666A4">
        <w:rPr>
          <w:i/>
        </w:rPr>
        <w:t>well established</w:t>
      </w:r>
      <w:r w:rsidRPr="003666A4">
        <w:t>) {5.5.1}. Safe trade that avoids biological invasions is supported by international sanitary, phytosanitary and animal health standards (</w:t>
      </w:r>
      <w:r w:rsidRPr="003666A4">
        <w:rPr>
          <w:i/>
        </w:rPr>
        <w:t>well established</w:t>
      </w:r>
      <w:r w:rsidRPr="003666A4">
        <w:t>)</w:t>
      </w:r>
      <w:r w:rsidRPr="003666A4">
        <w:rPr>
          <w:i/>
        </w:rPr>
        <w:t xml:space="preserve"> </w:t>
      </w:r>
      <w:r w:rsidRPr="003666A4">
        <w:t>{5.3.1.1}. Preparedness based on surveillance, early detection and rapid response systems can quickly support cost-effective delimitation and eradication of newly established alien species when possible (</w:t>
      </w:r>
      <w:r w:rsidRPr="003666A4">
        <w:rPr>
          <w:i/>
        </w:rPr>
        <w:t>well established</w:t>
      </w:r>
      <w:r w:rsidRPr="003666A4">
        <w:t>)</w:t>
      </w:r>
      <w:r w:rsidRPr="003666A4">
        <w:rPr>
          <w:i/>
        </w:rPr>
        <w:t xml:space="preserve"> </w:t>
      </w:r>
      <w:r w:rsidRPr="003666A4">
        <w:rPr>
          <w:color w:val="000000"/>
        </w:rPr>
        <w:t>{5.5.1, 5.5.2, 5.5.3}</w:t>
      </w:r>
      <w:r w:rsidRPr="003666A4">
        <w:rPr>
          <w:i/>
          <w:color w:val="000000"/>
        </w:rPr>
        <w:t>.</w:t>
      </w:r>
      <w:r w:rsidRPr="003666A4">
        <w:rPr>
          <w:color w:val="000000"/>
        </w:rPr>
        <w:t xml:space="preserve"> </w:t>
      </w:r>
      <w:r w:rsidRPr="003666A4">
        <w:t xml:space="preserve">General surveillance systems for new alien species (e.g., through citizen science) </w:t>
      </w:r>
      <w:r w:rsidR="00C45C1B">
        <w:t>are</w:t>
      </w:r>
      <w:r w:rsidR="00C45C1B" w:rsidRPr="003666A4">
        <w:t xml:space="preserve"> </w:t>
      </w:r>
      <w:r w:rsidRPr="003666A4">
        <w:t>the most cost-effective approach to preparedness (</w:t>
      </w:r>
      <w:r w:rsidRPr="003666A4">
        <w:rPr>
          <w:i/>
        </w:rPr>
        <w:t>established but incomplete</w:t>
      </w:r>
      <w:r w:rsidRPr="003666A4">
        <w:t>) {5.4.2.2}. Many policies exist to support prevention of movement of invasive alien species pre-border, at the border</w:t>
      </w:r>
      <w:r w:rsidR="00C16EEB">
        <w:t xml:space="preserve"> and</w:t>
      </w:r>
      <w:r w:rsidRPr="003666A4">
        <w:t xml:space="preserve"> post-border (</w:t>
      </w:r>
      <w:r w:rsidRPr="003666A4">
        <w:rPr>
          <w:i/>
        </w:rPr>
        <w:t>well established</w:t>
      </w:r>
      <w:r w:rsidRPr="003666A4">
        <w:t xml:space="preserve">) {5.6.3.3}. </w:t>
      </w:r>
    </w:p>
    <w:p w14:paraId="000000A2" w14:textId="0B2A3189" w:rsidR="00A758FD" w:rsidRPr="003666A4" w:rsidRDefault="00C81287">
      <w:pPr>
        <w:spacing w:before="240" w:after="120" w:line="240" w:lineRule="auto"/>
        <w:rPr>
          <w:rFonts w:ascii="Calibri" w:hAnsi="Calibri"/>
          <w:b/>
        </w:rPr>
      </w:pPr>
      <w:r w:rsidRPr="003666A4">
        <w:rPr>
          <w:b/>
        </w:rPr>
        <w:t>4. Eradicating invasive alien species can be highly cost-effective on small islands or similar biogeographically isolated habitats of high biodiversity value</w:t>
      </w:r>
      <w:r w:rsidR="00C16EEB">
        <w:rPr>
          <w:b/>
        </w:rPr>
        <w:t xml:space="preserve"> and</w:t>
      </w:r>
      <w:r w:rsidRPr="003666A4">
        <w:rPr>
          <w:b/>
        </w:rPr>
        <w:t xml:space="preserve"> for localized and easily delimited </w:t>
      </w:r>
      <w:r w:rsidR="6EAE1F66" w:rsidRPr="40428A01">
        <w:rPr>
          <w:b/>
          <w:bCs/>
        </w:rPr>
        <w:t>invasive alien species</w:t>
      </w:r>
      <w:r w:rsidR="6EAE1F66" w:rsidRPr="40428A01">
        <w:rPr>
          <w:rFonts w:ascii="Calibri" w:eastAsia="Calibri" w:hAnsi="Calibri" w:cs="Calibri"/>
          <w:sz w:val="22"/>
          <w:szCs w:val="22"/>
        </w:rPr>
        <w:t xml:space="preserve"> </w:t>
      </w:r>
      <w:r w:rsidRPr="003666A4">
        <w:t xml:space="preserve"> </w:t>
      </w:r>
      <w:r w:rsidRPr="003666A4">
        <w:rPr>
          <w:b/>
        </w:rPr>
        <w:t>(</w:t>
      </w:r>
      <w:r w:rsidRPr="003666A4">
        <w:rPr>
          <w:b/>
          <w:i/>
        </w:rPr>
        <w:t>e</w:t>
      </w:r>
      <w:r w:rsidRPr="003666A4">
        <w:rPr>
          <w:b/>
          <w:i/>
          <w:color w:val="000000" w:themeColor="text1"/>
        </w:rPr>
        <w:t>stablished but incomplete</w:t>
      </w:r>
      <w:r w:rsidRPr="003666A4">
        <w:rPr>
          <w:b/>
          <w:color w:val="000000" w:themeColor="text1"/>
        </w:rPr>
        <w:t>) {5.5.3}</w:t>
      </w:r>
      <w:r w:rsidRPr="003666A4">
        <w:rPr>
          <w:i/>
          <w:color w:val="000000" w:themeColor="text1"/>
        </w:rPr>
        <w:t>. </w:t>
      </w:r>
      <w:r w:rsidRPr="003666A4">
        <w:rPr>
          <w:color w:val="000000" w:themeColor="text1"/>
        </w:rPr>
        <w:t xml:space="preserve">Eradication methods for invasive alien species on </w:t>
      </w:r>
      <w:r w:rsidRPr="003666A4">
        <w:t>islands and similar isolated habitats are well developed, particularly for animals, and provide good examples of successful management (</w:t>
      </w:r>
      <w:r w:rsidRPr="003666A4">
        <w:rPr>
          <w:i/>
        </w:rPr>
        <w:t>well established</w:t>
      </w:r>
      <w:r w:rsidRPr="003666A4">
        <w:t xml:space="preserve">) </w:t>
      </w:r>
      <w:r w:rsidRPr="003666A4">
        <w:rPr>
          <w:color w:val="000000" w:themeColor="text1"/>
        </w:rPr>
        <w:t>{5.5.3}</w:t>
      </w:r>
      <w:r w:rsidRPr="003666A4">
        <w:t xml:space="preserve">. Eradication other than on </w:t>
      </w:r>
      <w:r w:rsidRPr="003666A4">
        <w:rPr>
          <w:highlight w:val="white"/>
        </w:rPr>
        <w:t xml:space="preserve">relatively </w:t>
      </w:r>
      <w:r w:rsidRPr="003666A4">
        <w:t xml:space="preserve">small islands is typically only effective for highly localized incursions </w:t>
      </w:r>
      <w:r w:rsidRPr="003666A4">
        <w:rPr>
          <w:highlight w:val="white"/>
        </w:rPr>
        <w:t>that spread slowly and/or wher</w:t>
      </w:r>
      <w:r w:rsidRPr="003666A4">
        <w:t xml:space="preserve">e detection of invasive alien </w:t>
      </w:r>
      <w:r>
        <w:t>species’</w:t>
      </w:r>
      <w:r w:rsidR="00A635F4">
        <w:t xml:space="preserve"> </w:t>
      </w:r>
      <w:r>
        <w:t>presence</w:t>
      </w:r>
      <w:r w:rsidRPr="003666A4">
        <w:t xml:space="preserve"> and delimitation </w:t>
      </w:r>
      <w:r w:rsidRPr="00AC1F76">
        <w:rPr>
          <w:highlight w:val="white"/>
        </w:rPr>
        <w:t>is easy</w:t>
      </w:r>
      <w:r w:rsidRPr="003666A4">
        <w:t>, where re-introductions are unlikely,</w:t>
      </w:r>
      <w:r w:rsidRPr="003666A4">
        <w:rPr>
          <w:highlight w:val="white"/>
        </w:rPr>
        <w:t xml:space="preserve"> and </w:t>
      </w:r>
      <w:r w:rsidRPr="003666A4">
        <w:t>where effective removal techniques are available {5.5.3}. For invasive alien plant eradication, tested decision support tools exist (</w:t>
      </w:r>
      <w:r w:rsidRPr="003666A4">
        <w:rPr>
          <w:i/>
        </w:rPr>
        <w:t>well established</w:t>
      </w:r>
      <w:r w:rsidRPr="003666A4">
        <w:rPr>
          <w:highlight w:val="white"/>
        </w:rPr>
        <w:t xml:space="preserve">) </w:t>
      </w:r>
      <w:r w:rsidRPr="003666A4">
        <w:rPr>
          <w:color w:val="000000" w:themeColor="text1"/>
        </w:rPr>
        <w:t xml:space="preserve">{5.5.3}. </w:t>
      </w:r>
      <w:r w:rsidRPr="003666A4">
        <w:t>Eradication programmes with community support on inhabited islands can become more challenging as island size increases (</w:t>
      </w:r>
      <w:r w:rsidRPr="003666A4">
        <w:rPr>
          <w:i/>
        </w:rPr>
        <w:t>e</w:t>
      </w:r>
      <w:r w:rsidRPr="003666A4">
        <w:rPr>
          <w:i/>
          <w:color w:val="000000" w:themeColor="text1"/>
        </w:rPr>
        <w:t>stablished but incomplete</w:t>
      </w:r>
      <w:r w:rsidRPr="003666A4">
        <w:rPr>
          <w:color w:val="000000" w:themeColor="text1"/>
        </w:rPr>
        <w:t>)</w:t>
      </w:r>
      <w:r w:rsidRPr="003666A4">
        <w:rPr>
          <w:i/>
          <w:color w:val="000000" w:themeColor="text1"/>
        </w:rPr>
        <w:t xml:space="preserve"> </w:t>
      </w:r>
      <w:r w:rsidRPr="003666A4">
        <w:rPr>
          <w:color w:val="000000" w:themeColor="text1"/>
        </w:rPr>
        <w:t xml:space="preserve">{5.5.3}. Successful </w:t>
      </w:r>
      <w:r w:rsidRPr="003666A4">
        <w:rPr>
          <w:color w:val="000000" w:themeColor="text1"/>
        </w:rPr>
        <w:lastRenderedPageBreak/>
        <w:t>e</w:t>
      </w:r>
      <w:r w:rsidRPr="003666A4">
        <w:t>radication of invasive alien species directly benefits good quality of life (</w:t>
      </w:r>
      <w:r w:rsidRPr="003666A4">
        <w:rPr>
          <w:i/>
        </w:rPr>
        <w:t>well established</w:t>
      </w:r>
      <w:r w:rsidRPr="003666A4">
        <w:t>) {5.5.3}. </w:t>
      </w:r>
    </w:p>
    <w:p w14:paraId="000000A3" w14:textId="427C4951" w:rsidR="00A758FD" w:rsidRPr="003666A4" w:rsidRDefault="00C81287">
      <w:pPr>
        <w:spacing w:before="240" w:after="120" w:line="240" w:lineRule="auto"/>
        <w:rPr>
          <w:rFonts w:ascii="Calibri" w:hAnsi="Calibri"/>
        </w:rPr>
      </w:pPr>
      <w:r w:rsidRPr="003666A4">
        <w:rPr>
          <w:b/>
        </w:rPr>
        <w:t>5. Effective management tools and technologies have been developed for prevention, preparedness</w:t>
      </w:r>
      <w:r w:rsidR="00C16EEB">
        <w:rPr>
          <w:b/>
        </w:rPr>
        <w:t xml:space="preserve"> and</w:t>
      </w:r>
      <w:r w:rsidRPr="003666A4">
        <w:rPr>
          <w:b/>
        </w:rPr>
        <w:t xml:space="preserve"> intervention (</w:t>
      </w:r>
      <w:r w:rsidRPr="003666A4">
        <w:rPr>
          <w:b/>
          <w:i/>
        </w:rPr>
        <w:t>well established</w:t>
      </w:r>
      <w:r w:rsidRPr="003666A4">
        <w:rPr>
          <w:b/>
        </w:rPr>
        <w:t>)</w:t>
      </w:r>
      <w:r w:rsidRPr="003666A4">
        <w:rPr>
          <w:b/>
          <w:i/>
        </w:rPr>
        <w:t xml:space="preserve"> </w:t>
      </w:r>
      <w:r w:rsidRPr="003666A4">
        <w:rPr>
          <w:b/>
        </w:rPr>
        <w:t>{5.4}. New technologies are also being developed to improve complementary management approaches including ecosystem restoration (</w:t>
      </w:r>
      <w:r w:rsidRPr="003666A4">
        <w:rPr>
          <w:b/>
          <w:i/>
        </w:rPr>
        <w:t>well established</w:t>
      </w:r>
      <w:r w:rsidRPr="003666A4">
        <w:rPr>
          <w:b/>
        </w:rPr>
        <w:t>)</w:t>
      </w:r>
      <w:r w:rsidRPr="003666A4">
        <w:rPr>
          <w:b/>
          <w:i/>
        </w:rPr>
        <w:t xml:space="preserve"> </w:t>
      </w:r>
      <w:r w:rsidRPr="003666A4">
        <w:rPr>
          <w:b/>
        </w:rPr>
        <w:t>{5.4}</w:t>
      </w:r>
      <w:r w:rsidRPr="003666A4">
        <w:t>. Many platform-based tools exist or are under development including a) surveillance tools using remote sensing, sensory and genetic data capture and analytics, b) lab-based and in field diagnostics, c) robotic detection and intervention, d) biological control</w:t>
      </w:r>
      <w:r w:rsidR="00C16EEB">
        <w:t xml:space="preserve"> and</w:t>
      </w:r>
      <w:r w:rsidRPr="003666A4">
        <w:t xml:space="preserve"> e) adaptive management and ecosystem restoration (</w:t>
      </w:r>
      <w:r w:rsidRPr="003666A4">
        <w:rPr>
          <w:i/>
        </w:rPr>
        <w:t>well established</w:t>
      </w:r>
      <w:r w:rsidRPr="003666A4">
        <w:t>) {5.4.4</w:t>
      </w:r>
      <w:r w:rsidR="00B148D3">
        <w:t>}</w:t>
      </w:r>
      <w:r w:rsidRPr="003666A4">
        <w:t xml:space="preserve"> </w:t>
      </w:r>
      <w:r w:rsidR="00B148D3">
        <w:t>(</w:t>
      </w:r>
      <w:r w:rsidR="00300836" w:rsidRPr="00837161">
        <w:t>Table</w:t>
      </w:r>
      <w:r w:rsidRPr="003666A4">
        <w:t xml:space="preserve"> 5.6, </w:t>
      </w:r>
      <w:r w:rsidR="00962F02" w:rsidRPr="00837161">
        <w:t>Table</w:t>
      </w:r>
      <w:r w:rsidRPr="003666A4">
        <w:t xml:space="preserve"> 5.7</w:t>
      </w:r>
      <w:r w:rsidR="00B148D3">
        <w:t>)</w:t>
      </w:r>
      <w:r w:rsidRPr="003666A4">
        <w:t>. Smartphone-based data capture and analysis have game-changed affordability and adoption of digital invasive alien species management tools (</w:t>
      </w:r>
      <w:r w:rsidRPr="003666A4">
        <w:rPr>
          <w:i/>
        </w:rPr>
        <w:t>well</w:t>
      </w:r>
      <w:r w:rsidRPr="003666A4">
        <w:t xml:space="preserve"> </w:t>
      </w:r>
      <w:r w:rsidRPr="003666A4">
        <w:rPr>
          <w:i/>
        </w:rPr>
        <w:t>established</w:t>
      </w:r>
      <w:r w:rsidRPr="003666A4">
        <w:t>) {5.4.4}. Developing novel technologies using a transparent precautionary approach in consultation with stakeholders, Indigenous Peoples and local communities, and regulators builds social licence and avoids unintended consequences (</w:t>
      </w:r>
      <w:r w:rsidRPr="003666A4">
        <w:rPr>
          <w:i/>
        </w:rPr>
        <w:t>well established</w:t>
      </w:r>
      <w:r w:rsidRPr="003666A4">
        <w:t>) {5.4.3.2}.</w:t>
      </w:r>
    </w:p>
    <w:p w14:paraId="000000A4" w14:textId="4AEE7900" w:rsidR="00A758FD" w:rsidRPr="003666A4" w:rsidRDefault="00C81287">
      <w:pPr>
        <w:spacing w:before="240" w:after="120" w:line="240" w:lineRule="auto"/>
      </w:pPr>
      <w:r w:rsidRPr="003666A4">
        <w:rPr>
          <w:b/>
        </w:rPr>
        <w:t>6. Many decision-support approaches, tools and methods exist to assist choice of management actions (</w:t>
      </w:r>
      <w:r w:rsidRPr="003666A4">
        <w:rPr>
          <w:b/>
          <w:i/>
        </w:rPr>
        <w:t>well established</w:t>
      </w:r>
      <w:r w:rsidRPr="003666A4">
        <w:rPr>
          <w:b/>
        </w:rPr>
        <w:t>) {5.2}.</w:t>
      </w:r>
      <w:r w:rsidRPr="003666A4">
        <w:t xml:space="preserve"> Decision-support approaches, tools and methods include scenarios and modelling, evidence-based tools that can identify hazards, prioritize pathways, species and sites for action (</w:t>
      </w:r>
      <w:r w:rsidRPr="003666A4">
        <w:rPr>
          <w:i/>
        </w:rPr>
        <w:t>well established</w:t>
      </w:r>
      <w:r w:rsidRPr="003666A4">
        <w:t>) {5.2.2.1}. Decision</w:t>
      </w:r>
      <w:r w:rsidR="00A91F9F">
        <w:t>-</w:t>
      </w:r>
      <w:r w:rsidRPr="003666A4">
        <w:t>support systems support transparency, adaptability</w:t>
      </w:r>
      <w:r w:rsidR="00C16EEB">
        <w:t xml:space="preserve"> and</w:t>
      </w:r>
      <w:r w:rsidRPr="003666A4">
        <w:t xml:space="preserve"> repeatability, through broad stakeholder community engagement, learning and endorsement of actions (</w:t>
      </w:r>
      <w:r w:rsidRPr="003666A4">
        <w:rPr>
          <w:i/>
        </w:rPr>
        <w:t>well established</w:t>
      </w:r>
      <w:r w:rsidRPr="003666A4">
        <w:t>) {5.2.2, 5.6.3.2}. Evidence- and consultation-based, quantitative</w:t>
      </w:r>
      <w:r w:rsidR="00C16EEB">
        <w:t xml:space="preserve"> and</w:t>
      </w:r>
      <w:r w:rsidRPr="003666A4">
        <w:t xml:space="preserve"> qualitative decision</w:t>
      </w:r>
      <w:r w:rsidR="00A91F9F">
        <w:t>-</w:t>
      </w:r>
      <w:r w:rsidRPr="003666A4">
        <w:t>support tools exist as standards</w:t>
      </w:r>
      <w:r w:rsidR="00A91F9F">
        <w:t xml:space="preserve"> and </w:t>
      </w:r>
      <w:r w:rsidRPr="003666A4">
        <w:t>frameworks</w:t>
      </w:r>
      <w:r w:rsidR="00A91F9F">
        <w:t>,</w:t>
      </w:r>
      <w:r w:rsidRPr="003666A4">
        <w:t xml:space="preserve"> and are supported by scenario and modelling platforms (</w:t>
      </w:r>
      <w:r w:rsidRPr="003666A4">
        <w:rPr>
          <w:i/>
        </w:rPr>
        <w:t>well established</w:t>
      </w:r>
      <w:r w:rsidRPr="003666A4">
        <w:t>) {5.2.2, 5.2.2.1, 5.6.3.2}. </w:t>
      </w:r>
    </w:p>
    <w:p w14:paraId="000000A5" w14:textId="35157501" w:rsidR="00A758FD" w:rsidRPr="003666A4" w:rsidRDefault="00C81287">
      <w:pPr>
        <w:spacing w:before="240" w:after="120" w:line="240" w:lineRule="auto"/>
        <w:rPr>
          <w:rFonts w:ascii="Calibri" w:hAnsi="Calibri"/>
          <w:color w:val="000000"/>
        </w:rPr>
      </w:pPr>
      <w:r w:rsidRPr="003666A4">
        <w:rPr>
          <w:b/>
        </w:rPr>
        <w:t>7. Adaptive management, wherever possible led by stakeholders and Indigenous Peoples and local communities, promotes wide acceptance and capacity</w:t>
      </w:r>
      <w:r w:rsidR="00A91F9F">
        <w:rPr>
          <w:b/>
        </w:rPr>
        <w:t>-</w:t>
      </w:r>
      <w:r w:rsidRPr="003666A4">
        <w:rPr>
          <w:b/>
        </w:rPr>
        <w:t>building, and optimization of management success (</w:t>
      </w:r>
      <w:r w:rsidRPr="003666A4">
        <w:rPr>
          <w:b/>
          <w:i/>
        </w:rPr>
        <w:t>well established</w:t>
      </w:r>
      <w:r w:rsidRPr="003666A4">
        <w:rPr>
          <w:b/>
        </w:rPr>
        <w:t>) {5.2, 5.3, 5.6</w:t>
      </w:r>
      <w:r w:rsidR="00B148D3">
        <w:rPr>
          <w:b/>
        </w:rPr>
        <w:t>}</w:t>
      </w:r>
      <w:r w:rsidRPr="003666A4">
        <w:rPr>
          <w:b/>
        </w:rPr>
        <w:t xml:space="preserve">. </w:t>
      </w:r>
      <w:r w:rsidRPr="003666A4">
        <w:t>Failure to engage with Indigenous Peoples and local communities, especially those who are adapted to and use invasive alien species, in planning and implementing management actions can reduce good quality of life through loss of livelihoods, marginalization and/or gender inequity (</w:t>
      </w:r>
      <w:r w:rsidRPr="003666A4">
        <w:rPr>
          <w:i/>
        </w:rPr>
        <w:t>well established</w:t>
      </w:r>
      <w:r w:rsidRPr="003666A4">
        <w:t>)</w:t>
      </w:r>
      <w:r w:rsidRPr="003666A4">
        <w:rPr>
          <w:i/>
        </w:rPr>
        <w:t xml:space="preserve"> </w:t>
      </w:r>
      <w:r w:rsidRPr="003666A4">
        <w:t>{5.2.1, 5.3.1.3, 5.4.4.2, </w:t>
      </w:r>
      <w:r w:rsidRPr="003666A4">
        <w:rPr>
          <w:color w:val="000000"/>
        </w:rPr>
        <w:t>5.6.1.1, 5.6.1.2}. Broad and inclusive engagement</w:t>
      </w:r>
      <w:r w:rsidRPr="003666A4">
        <w:t> improves planning, decision-making</w:t>
      </w:r>
      <w:r w:rsidR="00C16EEB">
        <w:t xml:space="preserve"> and</w:t>
      </w:r>
      <w:r w:rsidRPr="003666A4">
        <w:t xml:space="preserve"> undertaking management actions (</w:t>
      </w:r>
      <w:r w:rsidRPr="003666A4">
        <w:rPr>
          <w:i/>
        </w:rPr>
        <w:t>established but incomplete</w:t>
      </w:r>
      <w:r w:rsidRPr="003666A4">
        <w:t>) {5.2.1, 5.5.1.2}. This engagement is best achieved through partnerships around co-design, co-development</w:t>
      </w:r>
      <w:r w:rsidR="00C16EEB">
        <w:t xml:space="preserve"> and</w:t>
      </w:r>
      <w:r w:rsidRPr="003666A4">
        <w:t xml:space="preserve"> co-implementation and social learning (</w:t>
      </w:r>
      <w:r w:rsidRPr="003666A4">
        <w:rPr>
          <w:i/>
        </w:rPr>
        <w:t>established but incomplete</w:t>
      </w:r>
      <w:r w:rsidRPr="003666A4">
        <w:t>) {5.2.1, 5.4.4.3, 5.6.2.1}. Management programmes are most successful when the</w:t>
      </w:r>
      <w:r w:rsidR="00A91F9F">
        <w:t>ir</w:t>
      </w:r>
      <w:r w:rsidRPr="003666A4">
        <w:t xml:space="preserve"> goal stretches beyond invasive alien species suppression to include restoring ecosystem resilience and nature’s contributions to people (</w:t>
      </w:r>
      <w:r w:rsidRPr="003666A4">
        <w:rPr>
          <w:i/>
        </w:rPr>
        <w:t>established but incomplete</w:t>
      </w:r>
      <w:r w:rsidRPr="003666A4">
        <w:t>)</w:t>
      </w:r>
      <w:r w:rsidRPr="003666A4">
        <w:rPr>
          <w:i/>
        </w:rPr>
        <w:t xml:space="preserve"> </w:t>
      </w:r>
      <w:r w:rsidRPr="003666A4">
        <w:t>{5.5.6}.</w:t>
      </w:r>
    </w:p>
    <w:p w14:paraId="000000A6" w14:textId="53981BE6" w:rsidR="00A758FD" w:rsidRPr="003666A4" w:rsidRDefault="00C81287">
      <w:pPr>
        <w:spacing w:before="240" w:after="120" w:line="240" w:lineRule="auto"/>
        <w:rPr>
          <w:rFonts w:ascii="Calibri" w:hAnsi="Calibri"/>
        </w:rPr>
      </w:pPr>
      <w:r w:rsidRPr="003666A4">
        <w:rPr>
          <w:b/>
        </w:rPr>
        <w:t>8. Though gaps exist in knowledge, data</w:t>
      </w:r>
      <w:r w:rsidR="00C16EEB">
        <w:rPr>
          <w:b/>
        </w:rPr>
        <w:t xml:space="preserve"> and</w:t>
      </w:r>
      <w:r w:rsidRPr="003666A4">
        <w:rPr>
          <w:b/>
        </w:rPr>
        <w:t xml:space="preserve"> management implementation, collective management actions can still proceed supported by stakeholders and </w:t>
      </w:r>
      <w:r w:rsidR="00E87F41">
        <w:rPr>
          <w:b/>
        </w:rPr>
        <w:t>I</w:t>
      </w:r>
      <w:r w:rsidRPr="003666A4">
        <w:rPr>
          <w:b/>
        </w:rPr>
        <w:t>ndigenous and local knowledge under a precautionary approach (</w:t>
      </w:r>
      <w:r w:rsidRPr="003666A4">
        <w:rPr>
          <w:b/>
          <w:i/>
          <w:highlight w:val="white"/>
        </w:rPr>
        <w:t>well established</w:t>
      </w:r>
      <w:r w:rsidRPr="003666A4">
        <w:rPr>
          <w:b/>
          <w:highlight w:val="white"/>
        </w:rPr>
        <w:t>) {5.2.2.1</w:t>
      </w:r>
      <w:r w:rsidRPr="003666A4">
        <w:rPr>
          <w:b/>
        </w:rPr>
        <w:t>,</w:t>
      </w:r>
      <w:r w:rsidRPr="003666A4">
        <w:rPr>
          <w:b/>
          <w:highlight w:val="white"/>
        </w:rPr>
        <w:t xml:space="preserve"> 5.2.2.3</w:t>
      </w:r>
      <w:r w:rsidRPr="003666A4">
        <w:rPr>
          <w:b/>
        </w:rPr>
        <w:t xml:space="preserve">, </w:t>
      </w:r>
      <w:r w:rsidRPr="003666A4">
        <w:rPr>
          <w:b/>
          <w:highlight w:val="white"/>
        </w:rPr>
        <w:t>5.2.2.4</w:t>
      </w:r>
      <w:r w:rsidRPr="003666A4">
        <w:rPr>
          <w:b/>
        </w:rPr>
        <w:t>,</w:t>
      </w:r>
      <w:r w:rsidRPr="003666A4">
        <w:rPr>
          <w:b/>
          <w:highlight w:val="white"/>
        </w:rPr>
        <w:t xml:space="preserve"> 5.3.3</w:t>
      </w:r>
      <w:r w:rsidRPr="003666A4">
        <w:rPr>
          <w:b/>
        </w:rPr>
        <w:t>,</w:t>
      </w:r>
      <w:r w:rsidRPr="003666A4">
        <w:rPr>
          <w:b/>
          <w:highlight w:val="white"/>
        </w:rPr>
        <w:t xml:space="preserve"> </w:t>
      </w:r>
      <w:r w:rsidRPr="003666A4">
        <w:rPr>
          <w:b/>
        </w:rPr>
        <w:t>5.4.4</w:t>
      </w:r>
      <w:r w:rsidRPr="003666A4">
        <w:rPr>
          <w:b/>
          <w:highlight w:val="white"/>
        </w:rPr>
        <w:t>}</w:t>
      </w:r>
      <w:r w:rsidR="00B148D3">
        <w:rPr>
          <w:b/>
          <w:highlight w:val="white"/>
        </w:rPr>
        <w:t xml:space="preserve"> (</w:t>
      </w:r>
      <w:r w:rsidR="00B148D3" w:rsidRPr="00837161">
        <w:rPr>
          <w:b/>
          <w:bCs/>
          <w:shd w:val="clear" w:color="auto" w:fill="FFFFFF"/>
          <w:lang w:eastAsia="en-AU"/>
        </w:rPr>
        <w:t>Box</w:t>
      </w:r>
      <w:r w:rsidR="00B148D3" w:rsidRPr="003666A4">
        <w:rPr>
          <w:b/>
          <w:highlight w:val="white"/>
        </w:rPr>
        <w:t xml:space="preserve"> 5.13</w:t>
      </w:r>
      <w:r w:rsidR="00B148D3">
        <w:rPr>
          <w:b/>
          <w:highlight w:val="white"/>
        </w:rPr>
        <w:t>)</w:t>
      </w:r>
      <w:r w:rsidRPr="003666A4">
        <w:rPr>
          <w:highlight w:val="white"/>
        </w:rPr>
        <w:t xml:space="preserve">. </w:t>
      </w:r>
      <w:r w:rsidRPr="003666A4">
        <w:t xml:space="preserve">Many sources of open-access data and analytical tools already exist to support </w:t>
      </w:r>
      <w:r w:rsidR="00A91F9F">
        <w:t>capacity-</w:t>
      </w:r>
      <w:r w:rsidRPr="003666A4">
        <w:t>building, priority setting, monitoring and management. However, there are m</w:t>
      </w:r>
      <w:r w:rsidRPr="003666A4">
        <w:rPr>
          <w:highlight w:val="white"/>
        </w:rPr>
        <w:t>any knowledge and data gaps</w:t>
      </w:r>
      <w:r w:rsidRPr="003666A4">
        <w:t xml:space="preserve"> which impede the development and implementation of p</w:t>
      </w:r>
      <w:r w:rsidRPr="003666A4">
        <w:rPr>
          <w:highlight w:val="white"/>
        </w:rPr>
        <w:t>athway, species-</w:t>
      </w:r>
      <w:r w:rsidR="7B5A3BF1" w:rsidRPr="776B8B26">
        <w:rPr>
          <w:highlight w:val="white"/>
        </w:rPr>
        <w:t>based</w:t>
      </w:r>
      <w:r w:rsidRPr="00AC1F76">
        <w:rPr>
          <w:highlight w:val="white"/>
        </w:rPr>
        <w:t xml:space="preserve"> and site/</w:t>
      </w:r>
      <w:r w:rsidRPr="003666A4">
        <w:rPr>
          <w:highlight w:val="white"/>
        </w:rPr>
        <w:t xml:space="preserve">ecosystem-based management </w:t>
      </w:r>
      <w:r w:rsidRPr="003666A4">
        <w:t xml:space="preserve">approaches </w:t>
      </w:r>
      <w:r w:rsidRPr="003666A4">
        <w:rPr>
          <w:highlight w:val="white"/>
        </w:rPr>
        <w:t>(</w:t>
      </w:r>
      <w:r w:rsidRPr="003666A4">
        <w:rPr>
          <w:i/>
          <w:highlight w:val="white"/>
        </w:rPr>
        <w:t>well established</w:t>
      </w:r>
      <w:r w:rsidRPr="003666A4">
        <w:rPr>
          <w:highlight w:val="white"/>
        </w:rPr>
        <w:t xml:space="preserve">) {5.6.2.1, 5.6.2.2, 5.6.2.3}. Despite this, </w:t>
      </w:r>
      <w:r w:rsidRPr="003666A4">
        <w:t xml:space="preserve">effective decision-making </w:t>
      </w:r>
      <w:r w:rsidRPr="003666A4">
        <w:rPr>
          <w:highlight w:val="white"/>
        </w:rPr>
        <w:t>and adaptive management</w:t>
      </w:r>
      <w:r w:rsidRPr="003666A4">
        <w:t> programmes</w:t>
      </w:r>
      <w:r w:rsidRPr="003666A4">
        <w:rPr>
          <w:b/>
        </w:rPr>
        <w:t xml:space="preserve"> </w:t>
      </w:r>
      <w:r w:rsidRPr="003666A4">
        <w:t xml:space="preserve">can still lead to successful outcomes if supported by stakeholders and </w:t>
      </w:r>
      <w:r w:rsidR="00A91F9F">
        <w:t>I</w:t>
      </w:r>
      <w:r w:rsidRPr="003666A4">
        <w:t>ndigenous and local knowledge (</w:t>
      </w:r>
      <w:r w:rsidRPr="003666A4">
        <w:rPr>
          <w:i/>
        </w:rPr>
        <w:t>well established</w:t>
      </w:r>
      <w:r w:rsidRPr="003666A4">
        <w:t>) {5.2, 5.4, 5.6}. Addressing these knowledge and data gaps and</w:t>
      </w:r>
      <w:r w:rsidRPr="003666A4">
        <w:rPr>
          <w:b/>
        </w:rPr>
        <w:t xml:space="preserve"> </w:t>
      </w:r>
      <w:r w:rsidRPr="003666A4">
        <w:t>uncertainty (e.g., on global change impacts) will improve management decisions and outcomes (</w:t>
      </w:r>
      <w:r w:rsidRPr="003666A4">
        <w:rPr>
          <w:i/>
        </w:rPr>
        <w:t>established but incomplete</w:t>
      </w:r>
      <w:r w:rsidRPr="003666A4">
        <w:t>) {5.2, 5.4, 5.6}. Improvements can be achieved by better capturing, sharing, integrating</w:t>
      </w:r>
      <w:r w:rsidR="00C16EEB">
        <w:t xml:space="preserve"> and</w:t>
      </w:r>
      <w:r w:rsidRPr="003666A4">
        <w:t xml:space="preserve"> analysing data in a manner that supports decision-making (</w:t>
      </w:r>
      <w:r w:rsidRPr="003666A4">
        <w:rPr>
          <w:i/>
        </w:rPr>
        <w:t>well established</w:t>
      </w:r>
      <w:r w:rsidRPr="003666A4">
        <w:t xml:space="preserve">) {5.2., 5.4}. </w:t>
      </w:r>
    </w:p>
    <w:p w14:paraId="000000A7" w14:textId="67E424D1" w:rsidR="00A758FD" w:rsidRPr="003666A4" w:rsidRDefault="00C81287">
      <w:pPr>
        <w:spacing w:before="240" w:after="120" w:line="240" w:lineRule="auto"/>
        <w:rPr>
          <w:rFonts w:ascii="Calibri" w:hAnsi="Calibri"/>
        </w:rPr>
      </w:pPr>
      <w:r w:rsidRPr="003666A4">
        <w:rPr>
          <w:b/>
        </w:rPr>
        <w:lastRenderedPageBreak/>
        <w:t>9. International and cross-sectoral collaboration through capacity</w:t>
      </w:r>
      <w:r w:rsidR="00A91F9F">
        <w:rPr>
          <w:b/>
        </w:rPr>
        <w:t>-</w:t>
      </w:r>
      <w:r w:rsidRPr="003666A4">
        <w:rPr>
          <w:b/>
        </w:rPr>
        <w:t>building networks</w:t>
      </w:r>
      <w:r w:rsidR="00C16EEB">
        <w:rPr>
          <w:b/>
        </w:rPr>
        <w:t xml:space="preserve"> and</w:t>
      </w:r>
      <w:r w:rsidRPr="003666A4">
        <w:rPr>
          <w:b/>
        </w:rPr>
        <w:t xml:space="preserve"> research and management partnerships improves transboundary </w:t>
      </w:r>
      <w:r w:rsidRPr="00C0338D">
        <w:rPr>
          <w:b/>
        </w:rPr>
        <w:t>management</w:t>
      </w:r>
      <w:r>
        <w:rPr>
          <w:b/>
        </w:rPr>
        <w:t xml:space="preserve"> </w:t>
      </w:r>
      <w:r w:rsidR="7BBAE700" w:rsidRPr="5E4965FB">
        <w:rPr>
          <w:b/>
          <w:bCs/>
        </w:rPr>
        <w:t>of biological invasions</w:t>
      </w:r>
      <w:r w:rsidR="5A7C5823" w:rsidRPr="00C0338D">
        <w:rPr>
          <w:b/>
        </w:rPr>
        <w:t xml:space="preserve"> </w:t>
      </w:r>
      <w:r w:rsidRPr="00C0338D">
        <w:rPr>
          <w:b/>
        </w:rPr>
        <w:t>(</w:t>
      </w:r>
      <w:r w:rsidRPr="00C0338D">
        <w:rPr>
          <w:b/>
          <w:i/>
        </w:rPr>
        <w:t xml:space="preserve">well </w:t>
      </w:r>
      <w:r w:rsidRPr="003666A4">
        <w:rPr>
          <w:b/>
          <w:i/>
        </w:rPr>
        <w:t>established</w:t>
      </w:r>
      <w:r w:rsidRPr="003666A4">
        <w:rPr>
          <w:b/>
        </w:rPr>
        <w:t>) {</w:t>
      </w:r>
      <w:r w:rsidRPr="003666A4">
        <w:rPr>
          <w:b/>
          <w:color w:val="000000" w:themeColor="text1"/>
        </w:rPr>
        <w:t>5.6.3.1, 5.3.1}</w:t>
      </w:r>
      <w:r w:rsidRPr="003666A4">
        <w:rPr>
          <w:color w:val="000000" w:themeColor="text1"/>
        </w:rPr>
        <w:t>.</w:t>
      </w:r>
      <w:r w:rsidRPr="003666A4">
        <w:t xml:space="preserve"> The establishment of international networks between governments, scientists, non-governmental organizations, industries, relevant stakeholders, and Indigenous Peoples and local communities can help in the implementation of transboundary and cross-sectoral </w:t>
      </w:r>
      <w:r w:rsidRPr="00C0338D">
        <w:t>management</w:t>
      </w:r>
      <w:r>
        <w:t xml:space="preserve"> </w:t>
      </w:r>
      <w:r w:rsidR="1D4D3422" w:rsidRPr="003666A4">
        <w:t>of biological invasions</w:t>
      </w:r>
      <w:r w:rsidR="5A7C5823" w:rsidRPr="00C0338D">
        <w:t xml:space="preserve"> </w:t>
      </w:r>
      <w:r w:rsidRPr="00C0338D">
        <w:t>(</w:t>
      </w:r>
      <w:r w:rsidRPr="00C0338D">
        <w:rPr>
          <w:i/>
        </w:rPr>
        <w:t xml:space="preserve">well </w:t>
      </w:r>
      <w:r w:rsidRPr="003666A4">
        <w:rPr>
          <w:i/>
        </w:rPr>
        <w:t>established</w:t>
      </w:r>
      <w:r w:rsidRPr="003666A4">
        <w:t>) {5.6.3.1}. International networks and partnerships help collective action, which may lead to societally acceptable and feasible management strategies and outcomes (</w:t>
      </w:r>
      <w:r w:rsidRPr="003666A4">
        <w:rPr>
          <w:i/>
        </w:rPr>
        <w:t>well established</w:t>
      </w:r>
      <w:r w:rsidRPr="003666A4">
        <w:t xml:space="preserve">) {5.6.3.1, 5.3.1}. </w:t>
      </w:r>
    </w:p>
    <w:p w14:paraId="000000A8" w14:textId="28936104" w:rsidR="00A758FD" w:rsidRPr="003666A4" w:rsidRDefault="00C81287">
      <w:pPr>
        <w:spacing w:before="240" w:after="120" w:line="240" w:lineRule="auto"/>
        <w:rPr>
          <w:rFonts w:ascii="Calibri" w:hAnsi="Calibri"/>
        </w:rPr>
      </w:pPr>
      <w:r w:rsidRPr="003666A4">
        <w:rPr>
          <w:b/>
        </w:rPr>
        <w:t xml:space="preserve">10. Failure to effectively manage </w:t>
      </w:r>
      <w:r w:rsidR="6995C343" w:rsidRPr="5E4965FB">
        <w:rPr>
          <w:b/>
          <w:bCs/>
        </w:rPr>
        <w:t>biological invasions</w:t>
      </w:r>
      <w:r w:rsidRPr="00C0338D">
        <w:rPr>
          <w:b/>
        </w:rPr>
        <w:t xml:space="preserve"> </w:t>
      </w:r>
      <w:r w:rsidRPr="003666A4">
        <w:rPr>
          <w:b/>
        </w:rPr>
        <w:t>can result from data gaps, lack of awareness and societal, capacity, capability, resource</w:t>
      </w:r>
      <w:r w:rsidR="00C16EEB">
        <w:rPr>
          <w:b/>
        </w:rPr>
        <w:t xml:space="preserve"> and</w:t>
      </w:r>
      <w:r w:rsidRPr="003666A4">
        <w:rPr>
          <w:b/>
        </w:rPr>
        <w:t xml:space="preserve"> policy-related constraints especially in developing countries (</w:t>
      </w:r>
      <w:r w:rsidRPr="003666A4">
        <w:rPr>
          <w:b/>
          <w:i/>
        </w:rPr>
        <w:t>well established</w:t>
      </w:r>
      <w:r w:rsidRPr="003666A4">
        <w:t>)</w:t>
      </w:r>
      <w:r w:rsidRPr="003666A4">
        <w:rPr>
          <w:b/>
        </w:rPr>
        <w:t xml:space="preserve"> {5.3.1, 5.6.2.1, 5.6.2.2, 5.6.2.4}.</w:t>
      </w:r>
      <w:r w:rsidRPr="003666A4">
        <w:t xml:space="preserve"> </w:t>
      </w:r>
      <w:r w:rsidR="61D25FAB">
        <w:t>Goals for the</w:t>
      </w:r>
      <w:r w:rsidR="39D5FD3D" w:rsidRPr="00C0338D">
        <w:t xml:space="preserve"> </w:t>
      </w:r>
      <w:r w:rsidRPr="00C0338D">
        <w:t xml:space="preserve">management </w:t>
      </w:r>
      <w:r>
        <w:t xml:space="preserve"> </w:t>
      </w:r>
      <w:r w:rsidR="53C196BA">
        <w:t>of biological invasions</w:t>
      </w:r>
      <w:r w:rsidR="39D5FD3D" w:rsidRPr="00C0338D">
        <w:t xml:space="preserve"> </w:t>
      </w:r>
      <w:r w:rsidRPr="00C0338D">
        <w:t xml:space="preserve">are often not achieved even after considerable efforts. Gaps in data and knowledge on the distribution and spread of invasive alien species and lack of information on direct and indirect drivers </w:t>
      </w:r>
      <w:r w:rsidR="17A32A24" w:rsidRPr="00C0338D">
        <w:t xml:space="preserve">of </w:t>
      </w:r>
      <w:r w:rsidR="17A32A24">
        <w:t xml:space="preserve">change facilitating </w:t>
      </w:r>
      <w:r w:rsidRPr="00C0338D">
        <w:t xml:space="preserve">biological </w:t>
      </w:r>
      <w:r>
        <w:t>invasion</w:t>
      </w:r>
      <w:r w:rsidR="1905A85C">
        <w:t>s</w:t>
      </w:r>
      <w:r w:rsidRPr="00C0338D">
        <w:t xml:space="preserve"> </w:t>
      </w:r>
      <w:r w:rsidRPr="003666A4">
        <w:t>impede management in certain regions (e.g., parts of Asia, Africa and America) (</w:t>
      </w:r>
      <w:r w:rsidRPr="003666A4">
        <w:rPr>
          <w:i/>
        </w:rPr>
        <w:t>well established</w:t>
      </w:r>
      <w:r w:rsidRPr="003666A4">
        <w:t>) {5.6.2.1, 6.6.1.4}. Failures in management success can also be attributed to conflicting interests and values, lack of public awareness and understanding of impacts (</w:t>
      </w:r>
      <w:r w:rsidRPr="003666A4">
        <w:rPr>
          <w:i/>
        </w:rPr>
        <w:t>well established</w:t>
      </w:r>
      <w:r w:rsidRPr="003666A4">
        <w:t>) {5.6.2.1, 5.6.2.4}, inadequate policies and governance, poor capability and capacity, lack of resources, poor knowledge on modern tools and techniques and inefficiency to utilize them, and divergent public perspectives on individual species (</w:t>
      </w:r>
      <w:r w:rsidRPr="003666A4">
        <w:rPr>
          <w:i/>
        </w:rPr>
        <w:t>well established</w:t>
      </w:r>
      <w:r w:rsidRPr="003666A4">
        <w:t>) {5.3.1, 5.6.2.1, 5.6.2.2, 5.6.2.4}. Policy generally fails to address collective management for conflict species, for which there are positive and negative impacts of the invasive alien species on different stakeholders or sectors (</w:t>
      </w:r>
      <w:r w:rsidRPr="003666A4">
        <w:rPr>
          <w:i/>
        </w:rPr>
        <w:t>well established</w:t>
      </w:r>
      <w:r w:rsidRPr="003666A4">
        <w:t xml:space="preserve">) {5.6.1.2}. </w:t>
      </w:r>
    </w:p>
    <w:p w14:paraId="000000A9" w14:textId="38FDB158" w:rsidR="00A758FD" w:rsidRPr="003666A4" w:rsidRDefault="00C81287">
      <w:pPr>
        <w:spacing w:before="240" w:after="120" w:line="240" w:lineRule="auto"/>
        <w:rPr>
          <w:strike/>
        </w:rPr>
      </w:pPr>
      <w:r w:rsidRPr="003666A4">
        <w:rPr>
          <w:b/>
        </w:rPr>
        <w:t xml:space="preserve">11. </w:t>
      </w:r>
      <w:r w:rsidR="1FD36767" w:rsidRPr="5E4965FB">
        <w:rPr>
          <w:b/>
          <w:bCs/>
        </w:rPr>
        <w:t>M</w:t>
      </w:r>
      <w:r w:rsidR="5A7C5823" w:rsidRPr="5E4965FB">
        <w:rPr>
          <w:b/>
          <w:bCs/>
        </w:rPr>
        <w:t xml:space="preserve">anagement </w:t>
      </w:r>
      <w:r w:rsidR="110A189A" w:rsidRPr="003666A4">
        <w:rPr>
          <w:b/>
          <w:bCs/>
        </w:rPr>
        <w:t>of biological invasions</w:t>
      </w:r>
      <w:r w:rsidRPr="00C0338D">
        <w:rPr>
          <w:b/>
        </w:rPr>
        <w:t xml:space="preserve"> </w:t>
      </w:r>
      <w:r w:rsidRPr="003666A4">
        <w:rPr>
          <w:b/>
        </w:rPr>
        <w:t>that takes into account global change can also improve climate change resilience in ecosystems impacted by invasive alien species (</w:t>
      </w:r>
      <w:r w:rsidRPr="003666A4">
        <w:rPr>
          <w:b/>
          <w:i/>
        </w:rPr>
        <w:t>e</w:t>
      </w:r>
      <w:r w:rsidRPr="003666A4">
        <w:rPr>
          <w:b/>
          <w:i/>
          <w:color w:val="000000" w:themeColor="text1"/>
        </w:rPr>
        <w:t>stablished but incomplete</w:t>
      </w:r>
      <w:r w:rsidRPr="003666A4">
        <w:rPr>
          <w:b/>
          <w:color w:val="000000" w:themeColor="text1"/>
        </w:rPr>
        <w:t>)</w:t>
      </w:r>
      <w:r w:rsidRPr="003666A4">
        <w:rPr>
          <w:b/>
        </w:rPr>
        <w:t xml:space="preserve"> {5.6.1.3}. </w:t>
      </w:r>
      <w:r w:rsidRPr="003666A4">
        <w:t>Effective management of invasive alien species can increase the long-term functional resilience of threatened ecosystems and habitats to climate change. Conversely, extreme climate events increase ecosystem susceptibility to invasive alien species. In such situations, rapid response through targeted adaptive management practices and ecosystem restoration supported by monitoring and collective decision-making can maintain benefits from existing management programmes (</w:t>
      </w:r>
      <w:r w:rsidRPr="003666A4">
        <w:rPr>
          <w:i/>
        </w:rPr>
        <w:t>established but incomplete</w:t>
      </w:r>
      <w:r w:rsidRPr="003666A4">
        <w:t xml:space="preserve">) {5.6.1.3}. </w:t>
      </w:r>
    </w:p>
    <w:p w14:paraId="000000AA" w14:textId="5C8EF94C" w:rsidR="00A758FD" w:rsidRDefault="00C81287">
      <w:pPr>
        <w:spacing w:before="240" w:after="120" w:line="240" w:lineRule="auto"/>
        <w:sectPr w:rsidR="00A758FD">
          <w:headerReference w:type="even" r:id="rId19"/>
          <w:headerReference w:type="default" r:id="rId20"/>
          <w:footerReference w:type="even" r:id="rId21"/>
          <w:footerReference w:type="default" r:id="rId22"/>
          <w:headerReference w:type="first" r:id="rId23"/>
          <w:pgSz w:w="11906" w:h="16838"/>
          <w:pgMar w:top="1008" w:right="1138" w:bottom="1138" w:left="1138" w:header="216" w:footer="720" w:gutter="0"/>
          <w:pgNumType w:start="1"/>
          <w:cols w:space="720"/>
        </w:sectPr>
      </w:pPr>
      <w:r w:rsidRPr="003666A4">
        <w:rPr>
          <w:b/>
        </w:rPr>
        <w:t>12. Long-term monitoring effectively supports management actions and sustains beneficial outcomes (</w:t>
      </w:r>
      <w:r w:rsidRPr="003666A4">
        <w:rPr>
          <w:b/>
          <w:i/>
        </w:rPr>
        <w:t>well established</w:t>
      </w:r>
      <w:r w:rsidRPr="003666A4">
        <w:rPr>
          <w:b/>
        </w:rPr>
        <w:t>) {5.4.4.2, 5.4.4.3, 5.5.3}</w:t>
      </w:r>
      <w:r w:rsidRPr="003666A4">
        <w:t>. Long-term monitoring can be used to assess efficacy and outcomes of management actions and ensure sustained control of invasive alien species and ecosystem restoration (</w:t>
      </w:r>
      <w:r w:rsidRPr="003666A4">
        <w:rPr>
          <w:i/>
        </w:rPr>
        <w:t>well established</w:t>
      </w:r>
      <w:r w:rsidRPr="003666A4">
        <w:t>) {5.5.6, 5.5.7}. Long-term monitoring is also important for early detection of reinvasion (</w:t>
      </w:r>
      <w:r w:rsidRPr="003666A4">
        <w:rPr>
          <w:i/>
        </w:rPr>
        <w:t>well established</w:t>
      </w:r>
      <w:r w:rsidRPr="003666A4">
        <w:t>) {5.5.3}. These long-term efforts and strategies are best supported by cost-benefit, cost-effectiveness</w:t>
      </w:r>
      <w:r w:rsidR="00C16EEB">
        <w:t xml:space="preserve"> and</w:t>
      </w:r>
      <w:r w:rsidRPr="003666A4">
        <w:t xml:space="preserve"> risk analyses {5.2.2.1, 5.5.3} that consider benefits to Indigenous Peoples and local communities (</w:t>
      </w:r>
      <w:r w:rsidRPr="003666A4">
        <w:rPr>
          <w:i/>
        </w:rPr>
        <w:t>established but incomplete</w:t>
      </w:r>
      <w:r w:rsidRPr="003666A4">
        <w:t>) {5.4.4.2}.</w:t>
      </w:r>
      <w:r w:rsidRPr="003666A4">
        <w:br w:type="page"/>
      </w:r>
      <w:bookmarkStart w:id="6" w:name="_Toc69313949"/>
      <w:bookmarkStart w:id="7" w:name="_Toc87623122"/>
    </w:p>
    <w:p w14:paraId="000000AB" w14:textId="3F0F20CD" w:rsidR="00A758FD" w:rsidRPr="00C0338D" w:rsidRDefault="00C81287" w:rsidP="002F2F42">
      <w:pPr>
        <w:pStyle w:val="Heading1"/>
      </w:pPr>
      <w:bookmarkStart w:id="8" w:name="_Toc146810099"/>
      <w:bookmarkStart w:id="9" w:name="_Toc131681624"/>
      <w:bookmarkStart w:id="10" w:name="_Toc149555464"/>
      <w:r w:rsidRPr="003666A4">
        <w:lastRenderedPageBreak/>
        <w:t>Introduction</w:t>
      </w:r>
      <w:bookmarkEnd w:id="6"/>
      <w:bookmarkEnd w:id="7"/>
      <w:bookmarkEnd w:id="8"/>
      <w:bookmarkEnd w:id="9"/>
      <w:bookmarkEnd w:id="10"/>
    </w:p>
    <w:p w14:paraId="000000AC" w14:textId="2F875105" w:rsidR="00A758FD" w:rsidRPr="003666A4" w:rsidRDefault="00C81287">
      <w:pPr>
        <w:spacing w:before="240" w:after="120" w:line="240" w:lineRule="auto"/>
      </w:pPr>
      <w:r>
        <w:t>“</w:t>
      </w:r>
      <w:r w:rsidR="7391DECC">
        <w:t>M</w:t>
      </w:r>
      <w:r w:rsidR="5A7C5823">
        <w:t>anagement”</w:t>
      </w:r>
      <w:r w:rsidR="5A7C5823" w:rsidRPr="5E4965FB">
        <w:rPr>
          <w:b/>
          <w:bCs/>
        </w:rPr>
        <w:t xml:space="preserve"> </w:t>
      </w:r>
      <w:r w:rsidR="0464B6B2">
        <w:t>of biological invasions</w:t>
      </w:r>
      <w:r w:rsidRPr="00AC1F76">
        <w:t xml:space="preserve"> </w:t>
      </w:r>
      <w:r w:rsidRPr="003666A4">
        <w:t>is conceptualized in at least two ways in different parts of the world. In the context of the invasive alien species assessment of the Intergovernmental Science-Policy Platform on Biodiversity and Ecosystem Services (IPBES), this term encompasses any activity or action undertaken to directly or indirectly prevent or mitigate negative impacts of invasive alien species. This includes pathway, species-</w:t>
      </w:r>
      <w:r w:rsidR="407C4D0B">
        <w:t>based</w:t>
      </w:r>
      <w:r w:rsidR="00C16EEB">
        <w:t xml:space="preserve"> and</w:t>
      </w:r>
      <w:r w:rsidRPr="00C0338D">
        <w:t xml:space="preserve"> site- or ecosystem-based management </w:t>
      </w:r>
      <w:r w:rsidRPr="003666A4">
        <w:t>activities (</w:t>
      </w:r>
      <w:r w:rsidR="001862C4">
        <w:rPr>
          <w:b/>
          <w:iCs/>
        </w:rPr>
        <w:t>G</w:t>
      </w:r>
      <w:r w:rsidR="00612F03" w:rsidRPr="001862C4">
        <w:rPr>
          <w:b/>
          <w:iCs/>
        </w:rPr>
        <w:t>lossary</w:t>
      </w:r>
      <w:r w:rsidRPr="003666A4">
        <w:t xml:space="preserve">). </w:t>
      </w:r>
    </w:p>
    <w:p w14:paraId="000000AD" w14:textId="2FAEA475" w:rsidR="00A758FD" w:rsidRPr="003666A4" w:rsidRDefault="00C81287">
      <w:pPr>
        <w:spacing w:before="240" w:after="120" w:line="240" w:lineRule="auto"/>
      </w:pPr>
      <w:r w:rsidRPr="003666A4">
        <w:t xml:space="preserve">Management of </w:t>
      </w:r>
      <w:r w:rsidR="32869FA7">
        <w:t>biological invasions</w:t>
      </w:r>
      <w:r w:rsidRPr="00C0338D">
        <w:t xml:space="preserve"> is a global concern, and thus was an explicit element of Aichi Target 9</w:t>
      </w:r>
      <w:r w:rsidRPr="00C0338D">
        <w:rPr>
          <w:b/>
        </w:rPr>
        <w:t xml:space="preserve"> </w:t>
      </w:r>
      <w:r w:rsidRPr="00C0338D">
        <w:t xml:space="preserve">of the Strategic Plan for Biodiversity 2011-2020, and is a main focus of Target 6 of the Kunming-Montreal Global Biodiversity </w:t>
      </w:r>
      <w:r w:rsidRPr="003666A4">
        <w:t xml:space="preserve">Framework </w:t>
      </w:r>
      <w:r w:rsidR="00EB60F7" w:rsidRPr="00837161">
        <w:fldChar w:fldCharType="begin"/>
      </w:r>
      <w:r w:rsidR="000F35EB">
        <w:instrText xml:space="preserve"> ADDIN ZOTERO_ITEM CSL_CITATION {"citationID":"0nHIbxfG","properties":{"formattedCitation":"(CBD, 2022a)","plainCitation":"(CBD, 2022a)","dontUpdate":true,"noteIndex":0},"citationItems":[{"id":54145,"uris":["http://zotero.org/groups/2352922/items/95AEP2XN"],"itemData":{"id":54145,"type":"paper-conference","collection-title":"CBD/COP/DEC/15/4","container-title":"Decision adopted by the conference of the parties to the convention on biological diversity","event-place":"Montreal, Canada","event-title":"Fifteenth meeting (Part II) of Conference of the parties to the Convention on Biological Diversity","language":"EN","publisher":"Convention on Biodiversity, United Nations Environment Programme","publisher-place":"Montreal, Canada","title":"15/4. Kunming-Montreal Global Biodiversity Framework","URL":"https://www.cbd.int/doc/decisions/cop-15/cop-15-dec-04-en.pdf","author":[{"literal":"CBD"}],"issued":{"date-parts":[["2022"]]}},"label":"page"}],"schema":"https://github.com/citation-style-language/schema/raw/master/csl-citation.json"} </w:instrText>
      </w:r>
      <w:r w:rsidR="00EB60F7" w:rsidRPr="00837161">
        <w:fldChar w:fldCharType="separate"/>
      </w:r>
      <w:r w:rsidR="00EB60F7" w:rsidRPr="00837161">
        <w:t>(CBD, 2022a</w:t>
      </w:r>
      <w:r w:rsidR="00EB60F7" w:rsidRPr="00837161">
        <w:fldChar w:fldCharType="end"/>
      </w:r>
      <w:r w:rsidR="00B65BFA" w:rsidRPr="00837161">
        <w:t xml:space="preserve">; </w:t>
      </w:r>
      <w:r w:rsidR="001862C4">
        <w:rPr>
          <w:b/>
          <w:iCs/>
        </w:rPr>
        <w:t>C</w:t>
      </w:r>
      <w:r w:rsidR="006654A4" w:rsidRPr="001862C4">
        <w:rPr>
          <w:b/>
          <w:iCs/>
        </w:rPr>
        <w:t>hapter</w:t>
      </w:r>
      <w:r w:rsidR="001D7BFA" w:rsidRPr="001862C4">
        <w:rPr>
          <w:b/>
          <w:iCs/>
        </w:rPr>
        <w:t xml:space="preserve"> 1</w:t>
      </w:r>
      <w:r w:rsidR="001D7BFA" w:rsidRPr="001862C4">
        <w:rPr>
          <w:iCs/>
        </w:rPr>
        <w:t>,</w:t>
      </w:r>
      <w:r w:rsidR="006654A4" w:rsidRPr="001862C4">
        <w:rPr>
          <w:iCs/>
        </w:rPr>
        <w:t xml:space="preserve"> </w:t>
      </w:r>
      <w:r w:rsidR="00DC6645" w:rsidRPr="001862C4">
        <w:rPr>
          <w:b/>
          <w:iCs/>
        </w:rPr>
        <w:t xml:space="preserve">section </w:t>
      </w:r>
      <w:r w:rsidR="006654A4" w:rsidRPr="001862C4">
        <w:rPr>
          <w:b/>
          <w:iCs/>
        </w:rPr>
        <w:t>1</w:t>
      </w:r>
      <w:r w:rsidR="00C51371" w:rsidRPr="001862C4">
        <w:rPr>
          <w:b/>
          <w:iCs/>
        </w:rPr>
        <w:t>.1</w:t>
      </w:r>
      <w:r w:rsidR="006654A4" w:rsidRPr="001862C4">
        <w:rPr>
          <w:iCs/>
        </w:rPr>
        <w:t>,</w:t>
      </w:r>
      <w:r w:rsidR="006654A4" w:rsidRPr="001862C4">
        <w:rPr>
          <w:b/>
          <w:iCs/>
        </w:rPr>
        <w:t xml:space="preserve"> Box</w:t>
      </w:r>
      <w:r w:rsidRPr="003666A4">
        <w:rPr>
          <w:b/>
        </w:rPr>
        <w:t xml:space="preserve"> 1.2</w:t>
      </w:r>
      <w:r w:rsidRPr="003666A4">
        <w:t>)</w:t>
      </w:r>
      <w:r w:rsidR="00C16EEB">
        <w:t xml:space="preserve"> and</w:t>
      </w:r>
      <w:r w:rsidRPr="003666A4">
        <w:t xml:space="preserve"> Target 15.8 of the 2030 Agenda for Sustainable Development. In this context, this chapter provides policymakers and practitioners with a range of options and scenarios where management actions can be optimally applied </w:t>
      </w:r>
      <w:r w:rsidR="00221A63" w:rsidRPr="00837161">
        <w:t>(</w:t>
      </w:r>
      <w:r w:rsidR="00191A6E">
        <w:rPr>
          <w:b/>
          <w:iCs/>
        </w:rPr>
        <w:t>Box 5.1</w:t>
      </w:r>
      <w:r w:rsidR="006654A4" w:rsidRPr="00837161">
        <w:t>).</w:t>
      </w:r>
      <w:r w:rsidRPr="003666A4">
        <w:t xml:space="preserve"> </w:t>
      </w:r>
    </w:p>
    <w:p w14:paraId="000000AE" w14:textId="0FD62CE0" w:rsidR="00A758FD" w:rsidRPr="003666A4" w:rsidRDefault="00C81287" w:rsidP="00C0338D">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rPr>
          <w:b/>
        </w:rPr>
      </w:pPr>
      <w:bookmarkStart w:id="11" w:name="_heading=h.1fob9te" w:colFirst="0" w:colLast="0"/>
      <w:bookmarkStart w:id="12" w:name="_Ref104972296"/>
      <w:bookmarkStart w:id="13" w:name="_Toc80708181"/>
      <w:bookmarkStart w:id="14" w:name="_Toc87623061"/>
      <w:bookmarkStart w:id="15" w:name="_Toc147488936"/>
      <w:bookmarkEnd w:id="11"/>
      <w:r w:rsidRPr="003666A4">
        <w:rPr>
          <w:b/>
        </w:rPr>
        <w:t>Box 5</w:t>
      </w:r>
      <w:r w:rsidR="00AD213B" w:rsidRPr="00837161">
        <w:rPr>
          <w:b/>
          <w:bCs/>
        </w:rPr>
        <w:t>.</w:t>
      </w:r>
      <w:r w:rsidR="00AD213B" w:rsidRPr="00837161">
        <w:rPr>
          <w:b/>
          <w:bCs/>
        </w:rPr>
        <w:fldChar w:fldCharType="begin"/>
      </w:r>
      <w:r w:rsidR="00AD213B" w:rsidRPr="00837161">
        <w:rPr>
          <w:b/>
          <w:bCs/>
        </w:rPr>
        <w:instrText>SEQ Box_5. \* ARABIC</w:instrText>
      </w:r>
      <w:r w:rsidR="00AD213B" w:rsidRPr="00837161">
        <w:rPr>
          <w:b/>
          <w:bCs/>
        </w:rPr>
        <w:fldChar w:fldCharType="separate"/>
      </w:r>
      <w:r w:rsidR="00DC77F8">
        <w:rPr>
          <w:b/>
          <w:bCs/>
          <w:noProof/>
        </w:rPr>
        <w:t>1</w:t>
      </w:r>
      <w:r w:rsidR="00AD213B" w:rsidRPr="00837161">
        <w:rPr>
          <w:b/>
          <w:bCs/>
        </w:rPr>
        <w:fldChar w:fldCharType="end"/>
      </w:r>
      <w:bookmarkEnd w:id="12"/>
      <w:r w:rsidR="00592F58" w:rsidRPr="00837161">
        <w:rPr>
          <w:b/>
          <w:bCs/>
        </w:rPr>
        <w:t>.</w:t>
      </w:r>
      <w:r w:rsidRPr="003666A4">
        <w:rPr>
          <w:b/>
        </w:rPr>
        <w:t xml:space="preserve"> Rationale of the chapter</w:t>
      </w:r>
      <w:bookmarkEnd w:id="13"/>
      <w:bookmarkEnd w:id="14"/>
      <w:bookmarkEnd w:id="15"/>
      <w:r w:rsidRPr="003666A4">
        <w:rPr>
          <w:b/>
        </w:rPr>
        <w:t xml:space="preserve"> </w:t>
      </w:r>
    </w:p>
    <w:p w14:paraId="000000AF" w14:textId="01101068" w:rsidR="00A758FD" w:rsidRPr="00C0338D" w:rsidRDefault="00C81287" w:rsidP="003666A4">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3666A4">
        <w:rPr>
          <w:b/>
        </w:rPr>
        <w:t>Chapter 5</w:t>
      </w:r>
      <w:r w:rsidRPr="003666A4">
        <w:t xml:space="preserve"> assesses the efficacy of past and current programmes and tools for the local, national</w:t>
      </w:r>
      <w:r w:rsidR="00C16EEB">
        <w:t xml:space="preserve"> and</w:t>
      </w:r>
      <w:r w:rsidRPr="003666A4">
        <w:t xml:space="preserve"> global prevention (</w:t>
      </w:r>
      <w:r w:rsidR="001862C4">
        <w:rPr>
          <w:b/>
          <w:iCs/>
        </w:rPr>
        <w:t>G</w:t>
      </w:r>
      <w:r w:rsidR="00C34BB5" w:rsidRPr="001862C4">
        <w:rPr>
          <w:b/>
          <w:iCs/>
        </w:rPr>
        <w:t>lossary</w:t>
      </w:r>
      <w:r w:rsidRPr="003666A4">
        <w:t xml:space="preserve">) and management of </w:t>
      </w:r>
      <w:r w:rsidR="6ECD28DD">
        <w:t>biological invasions</w:t>
      </w:r>
      <w:r>
        <w:t xml:space="preserve"> and </w:t>
      </w:r>
      <w:r w:rsidR="6ECD28DD">
        <w:t xml:space="preserve">the </w:t>
      </w:r>
      <w:r>
        <w:t>impacts</w:t>
      </w:r>
      <w:r w:rsidR="6ECD28DD">
        <w:t xml:space="preserve"> of </w:t>
      </w:r>
      <w:r w:rsidRPr="00C0338D">
        <w:t>invasive alien species. In particular, the chapter reviews past experience with: (a)</w:t>
      </w:r>
      <w:r w:rsidR="00A91F9F">
        <w:t> </w:t>
      </w:r>
      <w:r w:rsidRPr="00C0338D">
        <w:t>preventing the spread of invasive alien species including the role of trade and economic development; (b)</w:t>
      </w:r>
      <w:r w:rsidR="00A91F9F">
        <w:t> </w:t>
      </w:r>
      <w:r w:rsidRPr="00C0338D">
        <w:t xml:space="preserve">the precautionary </w:t>
      </w:r>
      <w:r w:rsidRPr="003666A4">
        <w:t>approach (</w:t>
      </w:r>
      <w:r w:rsidR="001862C4">
        <w:rPr>
          <w:b/>
          <w:iCs/>
        </w:rPr>
        <w:t>G</w:t>
      </w:r>
      <w:r w:rsidR="000E40AD" w:rsidRPr="001862C4">
        <w:rPr>
          <w:b/>
          <w:iCs/>
        </w:rPr>
        <w:t>lossary</w:t>
      </w:r>
      <w:r w:rsidRPr="003666A4">
        <w:t xml:space="preserve">) in preventing and managing </w:t>
      </w:r>
      <w:r w:rsidR="67E343F4">
        <w:t>biological invasions</w:t>
      </w:r>
      <w:r w:rsidR="67E343F4" w:rsidRPr="00C0338D">
        <w:t xml:space="preserve"> </w:t>
      </w:r>
      <w:r w:rsidRPr="00C0338D">
        <w:t>and the efficacy of risk assessment as a tool for their management; (c)</w:t>
      </w:r>
      <w:r w:rsidR="00A91F9F">
        <w:t> </w:t>
      </w:r>
      <w:r w:rsidRPr="00C0338D">
        <w:t>the adoption of biosecurity approaches (</w:t>
      </w:r>
      <w:r w:rsidR="001862C4">
        <w:rPr>
          <w:b/>
          <w:iCs/>
        </w:rPr>
        <w:t>G</w:t>
      </w:r>
      <w:r w:rsidR="00076EB1" w:rsidRPr="001862C4">
        <w:rPr>
          <w:b/>
          <w:iCs/>
        </w:rPr>
        <w:t>lossary</w:t>
      </w:r>
      <w:r w:rsidRPr="003666A4">
        <w:t>); (d)</w:t>
      </w:r>
      <w:r w:rsidR="00A91F9F">
        <w:t> </w:t>
      </w:r>
      <w:r w:rsidRPr="003666A4">
        <w:t>managing complexity and intersectoral conflicts</w:t>
      </w:r>
      <w:r w:rsidR="00A91F9F">
        <w:t>, including on the use of an</w:t>
      </w:r>
      <w:r w:rsidRPr="003666A4">
        <w:t xml:space="preserve"> invasive alien species depending on contexts and values; (e)</w:t>
      </w:r>
      <w:r w:rsidR="00A91F9F">
        <w:t> </w:t>
      </w:r>
      <w:r w:rsidRPr="003666A4">
        <w:t>uses of social media and citizen science (</w:t>
      </w:r>
      <w:r w:rsidR="001862C4">
        <w:rPr>
          <w:b/>
          <w:iCs/>
        </w:rPr>
        <w:t>G</w:t>
      </w:r>
      <w:r w:rsidR="001862C4" w:rsidRPr="001862C4">
        <w:rPr>
          <w:b/>
          <w:iCs/>
        </w:rPr>
        <w:t>lossary</w:t>
      </w:r>
      <w:r w:rsidRPr="003666A4">
        <w:t>) for the detection</w:t>
      </w:r>
      <w:r w:rsidR="741D4913">
        <w:t xml:space="preserve"> of invasive alien species and</w:t>
      </w:r>
      <w:r>
        <w:t xml:space="preserve"> </w:t>
      </w:r>
      <w:r w:rsidRPr="00C0338D">
        <w:t xml:space="preserve">prevention and management of </w:t>
      </w:r>
      <w:r w:rsidR="77EF40A1">
        <w:t>biological invasions</w:t>
      </w:r>
      <w:r w:rsidRPr="00C0338D">
        <w:t>; (f)</w:t>
      </w:r>
      <w:r w:rsidR="00A91F9F">
        <w:t> </w:t>
      </w:r>
      <w:r w:rsidRPr="00C0338D">
        <w:t xml:space="preserve">eradicating or managing invasive alien species, including control options such as precision application of pesticides, baits, biological control and “gene drive” technology </w:t>
      </w:r>
      <w:r w:rsidRPr="003666A4">
        <w:t>(</w:t>
      </w:r>
      <w:r w:rsidR="001862C4">
        <w:rPr>
          <w:b/>
          <w:iCs/>
        </w:rPr>
        <w:t>G</w:t>
      </w:r>
      <w:r w:rsidR="001862C4" w:rsidRPr="001862C4">
        <w:rPr>
          <w:b/>
          <w:iCs/>
        </w:rPr>
        <w:t>lossary</w:t>
      </w:r>
      <w:r w:rsidRPr="003666A4">
        <w:t>); (g)</w:t>
      </w:r>
      <w:r w:rsidR="00A91F9F">
        <w:t> </w:t>
      </w:r>
      <w:r w:rsidRPr="003666A4">
        <w:t xml:space="preserve">capacities of different countries to manage </w:t>
      </w:r>
      <w:r w:rsidR="78EE23A1">
        <w:t>biological invasions</w:t>
      </w:r>
      <w:r w:rsidRPr="00C0338D">
        <w:t>, and barriers to the uptake of tools; (h)</w:t>
      </w:r>
      <w:r w:rsidR="00A91F9F">
        <w:t> </w:t>
      </w:r>
      <w:r w:rsidRPr="00C0338D">
        <w:t xml:space="preserve">managing </w:t>
      </w:r>
      <w:r w:rsidR="3E407CC9">
        <w:t>biological invasions</w:t>
      </w:r>
      <w:r w:rsidRPr="00C0338D">
        <w:t xml:space="preserve"> in protected areas, including wetlands and biosphere reserves; (i)</w:t>
      </w:r>
      <w:r w:rsidR="00A91F9F">
        <w:t> </w:t>
      </w:r>
      <w:r w:rsidRPr="00C0338D">
        <w:t>managing biological communities invaded by alien species, considering co-existence, including direct and indirect interspecific interactions; and (j)</w:t>
      </w:r>
      <w:r w:rsidR="00A91F9F">
        <w:t> </w:t>
      </w:r>
      <w:r w:rsidRPr="00C0338D">
        <w:t xml:space="preserve">managing </w:t>
      </w:r>
      <w:r w:rsidR="4BE1241B">
        <w:t>biological invasions</w:t>
      </w:r>
      <w:r w:rsidRPr="00C0338D">
        <w:t xml:space="preserve"> in the context of the complex interactions between alien species, their invasion status and climate change.</w:t>
      </w:r>
    </w:p>
    <w:p w14:paraId="000000B0" w14:textId="77777777" w:rsidR="00A758FD" w:rsidRPr="00C0338D" w:rsidRDefault="00C81287" w:rsidP="00C0338D">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rPr>
          <w:b/>
        </w:rPr>
      </w:pPr>
      <w:r w:rsidRPr="00C0338D">
        <w:rPr>
          <w:b/>
        </w:rPr>
        <w:t xml:space="preserve">Guiding questions: </w:t>
      </w:r>
    </w:p>
    <w:p w14:paraId="000000B1" w14:textId="77777777"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What are the decision-support processes, tools and frameworks available for prevention and management of invasive alien species? (</w:t>
      </w:r>
      <w:r w:rsidRPr="00AC1F76">
        <w:rPr>
          <w:b/>
          <w:color w:val="000000"/>
        </w:rPr>
        <w:t>section 5.2</w:t>
      </w:r>
      <w:r w:rsidRPr="00AC1F76">
        <w:rPr>
          <w:color w:val="000000"/>
        </w:rPr>
        <w:t>)</w:t>
      </w:r>
    </w:p>
    <w:p w14:paraId="000000B2" w14:textId="6052177F"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 xml:space="preserve">How best to target invasive alien species management through pathway, </w:t>
      </w:r>
      <w:r w:rsidR="002F2F42" w:rsidRPr="00C0338D">
        <w:t>species-</w:t>
      </w:r>
      <w:r w:rsidR="002F2F42">
        <w:t>based</w:t>
      </w:r>
      <w:r w:rsidR="002F2F42" w:rsidRPr="00C0338D">
        <w:t xml:space="preserve"> </w:t>
      </w:r>
      <w:r w:rsidRPr="00AC1F76">
        <w:rPr>
          <w:color w:val="000000"/>
        </w:rPr>
        <w:t>and site-based or ecosystem-based management options under different scenarios such as management goals, status of invasion and the socio-economic context? (</w:t>
      </w:r>
      <w:r w:rsidRPr="00AC1F76">
        <w:rPr>
          <w:b/>
          <w:color w:val="000000"/>
        </w:rPr>
        <w:t>section 5.3</w:t>
      </w:r>
      <w:r w:rsidRPr="00AC1F76">
        <w:rPr>
          <w:color w:val="000000"/>
        </w:rPr>
        <w:t>)</w:t>
      </w:r>
    </w:p>
    <w:p w14:paraId="000000B3" w14:textId="77777777"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How to use databases, modern tools, emerging technologies and scenarios and modelling more effectively in detecting, preventing and managing invasive alien species? (</w:t>
      </w:r>
      <w:r w:rsidRPr="00AC1F76">
        <w:rPr>
          <w:b/>
          <w:color w:val="000000"/>
        </w:rPr>
        <w:t>section 5.4</w:t>
      </w:r>
      <w:r w:rsidRPr="00AC1F76">
        <w:rPr>
          <w:color w:val="000000"/>
        </w:rPr>
        <w:t>)</w:t>
      </w:r>
    </w:p>
    <w:p w14:paraId="000000B4" w14:textId="77777777"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How effective are the various management options at various steps in the invasion process? (</w:t>
      </w:r>
      <w:r w:rsidRPr="00AC1F76">
        <w:rPr>
          <w:b/>
          <w:color w:val="000000"/>
        </w:rPr>
        <w:t>section 5.5</w:t>
      </w:r>
      <w:r w:rsidRPr="00AC1F76">
        <w:rPr>
          <w:color w:val="000000"/>
        </w:rPr>
        <w:t xml:space="preserve">) </w:t>
      </w:r>
    </w:p>
    <w:p w14:paraId="000000B5" w14:textId="77777777"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How can international networks assist in the prevention and management of invasive alien species? What role can regional partnerships play? (</w:t>
      </w:r>
      <w:r w:rsidRPr="00AC1F76">
        <w:rPr>
          <w:b/>
          <w:color w:val="000000"/>
        </w:rPr>
        <w:t>section 5.6</w:t>
      </w:r>
      <w:r w:rsidRPr="00AC1F76">
        <w:rPr>
          <w:color w:val="000000"/>
        </w:rPr>
        <w:t>)</w:t>
      </w:r>
    </w:p>
    <w:p w14:paraId="000000B6" w14:textId="485C3DB0"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How critical is stakeholder participation including of Indigenous Peoples and local communities in management success? (</w:t>
      </w:r>
      <w:r w:rsidRPr="00AC1F76">
        <w:rPr>
          <w:b/>
          <w:color w:val="000000"/>
        </w:rPr>
        <w:t>section 5.5</w:t>
      </w:r>
      <w:r w:rsidRPr="00AC1F76">
        <w:rPr>
          <w:color w:val="000000"/>
        </w:rPr>
        <w:t>)</w:t>
      </w:r>
    </w:p>
    <w:p w14:paraId="000000B7" w14:textId="77777777"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t>What are the obstacles to the uptake of invasive alien species prevention and management implementation? (</w:t>
      </w:r>
      <w:r w:rsidRPr="00AC1F76">
        <w:rPr>
          <w:b/>
          <w:color w:val="000000"/>
        </w:rPr>
        <w:t>section 5.6</w:t>
      </w:r>
      <w:r w:rsidRPr="00AC1F76">
        <w:rPr>
          <w:color w:val="000000"/>
        </w:rPr>
        <w:t>)</w:t>
      </w:r>
    </w:p>
    <w:p w14:paraId="000000B8" w14:textId="3E5025C2" w:rsidR="00A758FD" w:rsidRPr="00AC1F76" w:rsidRDefault="00C81287" w:rsidP="00AC1F76">
      <w:pPr>
        <w:numPr>
          <w:ilvl w:val="0"/>
          <w:numId w:val="7"/>
        </w:numPr>
        <w:pBdr>
          <w:top w:val="single" w:sz="4" w:space="1" w:color="auto"/>
          <w:left w:val="single" w:sz="4" w:space="1" w:color="auto"/>
          <w:bottom w:val="single" w:sz="4" w:space="1" w:color="auto"/>
          <w:right w:val="single" w:sz="4" w:space="1" w:color="auto"/>
          <w:between w:val="nil"/>
        </w:pBdr>
        <w:shd w:val="clear" w:color="auto" w:fill="E7E6E6" w:themeFill="background2"/>
        <w:spacing w:line="240" w:lineRule="auto"/>
        <w:rPr>
          <w:color w:val="000000"/>
        </w:rPr>
      </w:pPr>
      <w:r w:rsidRPr="00AC1F76">
        <w:rPr>
          <w:color w:val="000000"/>
        </w:rPr>
        <w:lastRenderedPageBreak/>
        <w:t>What methods are available for managing invasive alien species on islands and similar habitats (</w:t>
      </w:r>
      <w:r w:rsidR="001862C4">
        <w:rPr>
          <w:b/>
          <w:iCs/>
        </w:rPr>
        <w:t>G</w:t>
      </w:r>
      <w:r w:rsidR="001862C4" w:rsidRPr="001862C4">
        <w:rPr>
          <w:b/>
          <w:iCs/>
        </w:rPr>
        <w:t>lossary</w:t>
      </w:r>
      <w:r w:rsidRPr="00AC1F76">
        <w:rPr>
          <w:color w:val="000000"/>
        </w:rPr>
        <w:t>) of high biodiversity value? (</w:t>
      </w:r>
      <w:r w:rsidRPr="00AC1F76">
        <w:rPr>
          <w:b/>
          <w:color w:val="000000"/>
        </w:rPr>
        <w:t xml:space="preserve">sections 5.5 </w:t>
      </w:r>
      <w:r w:rsidRPr="00AC1F76">
        <w:rPr>
          <w:color w:val="000000"/>
        </w:rPr>
        <w:t xml:space="preserve">and </w:t>
      </w:r>
      <w:r w:rsidRPr="00AC1F76">
        <w:rPr>
          <w:b/>
          <w:color w:val="000000"/>
        </w:rPr>
        <w:t>5.6</w:t>
      </w:r>
      <w:r w:rsidRPr="00AC1F76">
        <w:rPr>
          <w:color w:val="000000"/>
        </w:rPr>
        <w:t>)</w:t>
      </w:r>
    </w:p>
    <w:p w14:paraId="000000B9" w14:textId="15B76EC5" w:rsidR="00A758FD" w:rsidRPr="00C0338D" w:rsidRDefault="00C81287" w:rsidP="00C0338D">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C0338D">
        <w:rPr>
          <w:b/>
        </w:rPr>
        <w:t>Key words</w:t>
      </w:r>
      <w:r w:rsidRPr="00C0338D">
        <w:t>: Biological control, containment, eradication, invasion stages, monitoring, pathway, prevention, surveillance, site-based management, species-</w:t>
      </w:r>
      <w:r w:rsidR="31B9C585">
        <w:t>based</w:t>
      </w:r>
      <w:r w:rsidRPr="00C0338D">
        <w:t xml:space="preserve"> management.</w:t>
      </w:r>
    </w:p>
    <w:p w14:paraId="000000BA" w14:textId="55A4C1EE" w:rsidR="00A758FD" w:rsidRPr="00C0338D" w:rsidRDefault="00C81287">
      <w:pPr>
        <w:spacing w:before="240" w:after="120" w:line="240" w:lineRule="auto"/>
      </w:pPr>
      <w:r w:rsidRPr="00C0338D">
        <w:t>Chapter 5 has been written based on a comprehensive literature and technical review of tools, strategies, challenges</w:t>
      </w:r>
      <w:r w:rsidR="00C16EEB">
        <w:t xml:space="preserve"> and</w:t>
      </w:r>
      <w:r w:rsidRPr="00C0338D">
        <w:t xml:space="preserve"> key outcomes of management</w:t>
      </w:r>
      <w:r w:rsidR="69CB943F">
        <w:t xml:space="preserve"> of biological invasions</w:t>
      </w:r>
      <w:r w:rsidR="5A7C5823">
        <w:t>.</w:t>
      </w:r>
      <w:r w:rsidRPr="00C0338D">
        <w:t xml:space="preserve"> It reflects the current state of management</w:t>
      </w:r>
      <w:r>
        <w:t xml:space="preserve"> </w:t>
      </w:r>
      <w:r w:rsidR="36A670CC">
        <w:t>of biological invasions</w:t>
      </w:r>
      <w:r w:rsidR="36A670CC" w:rsidRPr="00C0338D">
        <w:t xml:space="preserve"> </w:t>
      </w:r>
      <w:r w:rsidRPr="00C0338D">
        <w:t>and its implications as covered in existing peer-reviewed and grey literature available to the assessment team.</w:t>
      </w:r>
    </w:p>
    <w:p w14:paraId="000000BB" w14:textId="77777777" w:rsidR="00A758FD" w:rsidRPr="00C0338D" w:rsidRDefault="00C81287">
      <w:pPr>
        <w:spacing w:before="240" w:after="120" w:line="240" w:lineRule="auto"/>
      </w:pPr>
      <w:r w:rsidRPr="00C0338D">
        <w:rPr>
          <w:b/>
        </w:rPr>
        <w:t>Section 5.1</w:t>
      </w:r>
      <w:r w:rsidRPr="00C0338D">
        <w:t xml:space="preserve"> provides an overview of the invasion continuum, the management objectives and approaches applicable at different phases of invasion and suited to different biomes. It discusses the challenges and opportunities of management.</w:t>
      </w:r>
    </w:p>
    <w:p w14:paraId="000000BC" w14:textId="2CB09F34" w:rsidR="00A758FD" w:rsidRPr="00C0338D" w:rsidRDefault="00C81287">
      <w:pPr>
        <w:spacing w:before="240" w:after="120" w:line="240" w:lineRule="auto"/>
      </w:pPr>
      <w:r w:rsidRPr="00C0338D">
        <w:rPr>
          <w:b/>
        </w:rPr>
        <w:t>Section 5.2</w:t>
      </w:r>
      <w:r w:rsidRPr="00C0338D">
        <w:t xml:space="preserve"> focuses on decision-making frameworks for identifying and prioritizing targets and options in pathway, species-</w:t>
      </w:r>
      <w:r w:rsidR="72D1F995">
        <w:t>based</w:t>
      </w:r>
      <w:r w:rsidR="00C16EEB">
        <w:t xml:space="preserve"> and</w:t>
      </w:r>
      <w:r w:rsidRPr="00C0338D">
        <w:t xml:space="preserve"> site-based management. It reviews methodologies and tools available, how these can be used to prioritize targets and addresses uncertainty considerations in decision-making.</w:t>
      </w:r>
    </w:p>
    <w:p w14:paraId="000000BD" w14:textId="0ED85C45" w:rsidR="00A758FD" w:rsidRPr="00C0338D" w:rsidRDefault="00C81287">
      <w:pPr>
        <w:spacing w:before="240" w:after="120" w:line="240" w:lineRule="auto"/>
      </w:pPr>
      <w:r w:rsidRPr="00C0338D">
        <w:rPr>
          <w:b/>
        </w:rPr>
        <w:t>Section 5.3</w:t>
      </w:r>
      <w:r w:rsidRPr="00C0338D">
        <w:t xml:space="preserve"> assesses what pathway, species-</w:t>
      </w:r>
      <w:r w:rsidR="44045FE8">
        <w:t>based</w:t>
      </w:r>
      <w:r w:rsidRPr="00C0338D">
        <w:t xml:space="preserve"> and site-based management strategies are and when to implement each, and integrates these for application at local to regional scales. Practical examples of these approaches are nested within a sociological and socio-economic context to enhance good quality of life, with a focus on protected areas and islands. </w:t>
      </w:r>
    </w:p>
    <w:p w14:paraId="000000BE" w14:textId="0ED8C949" w:rsidR="00A758FD" w:rsidRPr="00C0338D" w:rsidRDefault="00C81287">
      <w:pPr>
        <w:spacing w:before="240" w:after="120" w:line="240" w:lineRule="auto"/>
      </w:pPr>
      <w:r w:rsidRPr="00C0338D">
        <w:rPr>
          <w:b/>
        </w:rPr>
        <w:t>Section 5.4</w:t>
      </w:r>
      <w:r w:rsidRPr="00C0338D">
        <w:t xml:space="preserve"> presents a summary of management approaches, frameworks, platforms, scenarios and models, tools</w:t>
      </w:r>
      <w:r w:rsidR="00C16EEB">
        <w:t xml:space="preserve"> and</w:t>
      </w:r>
      <w:r w:rsidRPr="00C0338D">
        <w:t xml:space="preserve"> technologies for current and potential application of management actions. It explores how new technologies are deployed and the efficacy of various tools and their future potential to improve management actions. </w:t>
      </w:r>
    </w:p>
    <w:p w14:paraId="000000BF" w14:textId="77777777" w:rsidR="00A758FD" w:rsidRPr="00C0338D" w:rsidRDefault="00C81287">
      <w:pPr>
        <w:spacing w:before="240" w:after="120" w:line="240" w:lineRule="auto"/>
      </w:pPr>
      <w:r w:rsidRPr="00C0338D">
        <w:rPr>
          <w:b/>
        </w:rPr>
        <w:t>Section 5.5</w:t>
      </w:r>
      <w:r w:rsidRPr="00C0338D">
        <w:t xml:space="preserve"> assesses examples of successful and unsuccessful management approaches and examines how evidence-based decision-making and modern tools and technologies have brought successful management outcomes. It also provides evidence on management costs.</w:t>
      </w:r>
    </w:p>
    <w:p w14:paraId="000000C0" w14:textId="1D587665" w:rsidR="00A758FD" w:rsidRPr="00C0338D" w:rsidRDefault="00C81287">
      <w:pPr>
        <w:spacing w:before="240" w:after="120" w:line="240" w:lineRule="auto"/>
        <w:ind w:right="240"/>
      </w:pPr>
      <w:r w:rsidRPr="00C0338D">
        <w:rPr>
          <w:b/>
        </w:rPr>
        <w:t>Section 5.6</w:t>
      </w:r>
      <w:r w:rsidRPr="00C0338D">
        <w:t xml:space="preserve"> summarizes the challenges in achieving effective management</w:t>
      </w:r>
      <w:r w:rsidR="10395CBB">
        <w:t xml:space="preserve"> of biological invasions</w:t>
      </w:r>
      <w:r w:rsidR="5A7C5823" w:rsidRPr="00C0338D">
        <w:t>.</w:t>
      </w:r>
      <w:r w:rsidRPr="00C0338D">
        <w:t xml:space="preserve"> It emphasizes context dependency and perspectives of various stakeholders and Indigenous Peoples and local communities on invasive alien species and related social conflict and discusses the knowledge gaps, lack of expertise and uncertainty which constrain effective management. </w:t>
      </w:r>
    </w:p>
    <w:p w14:paraId="000000C1" w14:textId="77777777" w:rsidR="00A758FD" w:rsidRPr="00C0338D" w:rsidRDefault="00C81287">
      <w:pPr>
        <w:spacing w:before="240" w:after="120" w:line="240" w:lineRule="auto"/>
        <w:ind w:right="240"/>
      </w:pPr>
      <w:r w:rsidRPr="00C0338D">
        <w:rPr>
          <w:b/>
        </w:rPr>
        <w:t>Section 5.7</w:t>
      </w:r>
      <w:r w:rsidRPr="00C0338D">
        <w:t xml:space="preserve"> provides a short conclusion. </w:t>
      </w:r>
    </w:p>
    <w:p w14:paraId="000000C2" w14:textId="62B13F97" w:rsidR="00A758FD" w:rsidRPr="00C0338D" w:rsidRDefault="57CCD557" w:rsidP="002F2F42">
      <w:pPr>
        <w:pStyle w:val="Heading2"/>
      </w:pPr>
      <w:bookmarkStart w:id="16" w:name="_Toc146810100"/>
      <w:bookmarkStart w:id="17" w:name="_Toc69313952"/>
      <w:bookmarkStart w:id="18" w:name="_Toc87623123"/>
      <w:bookmarkStart w:id="19" w:name="_Toc131681625"/>
      <w:bookmarkStart w:id="20" w:name="_Toc149555465"/>
      <w:r>
        <w:t>Biological invasion</w:t>
      </w:r>
      <w:r w:rsidR="00C81287">
        <w:t xml:space="preserve"> </w:t>
      </w:r>
      <w:r w:rsidR="00C81287" w:rsidRPr="00C0338D">
        <w:t>management continuum</w:t>
      </w:r>
      <w:bookmarkEnd w:id="16"/>
      <w:bookmarkEnd w:id="17"/>
      <w:bookmarkEnd w:id="18"/>
      <w:bookmarkEnd w:id="19"/>
      <w:bookmarkEnd w:id="20"/>
      <w:r w:rsidR="00C81287" w:rsidRPr="00C0338D">
        <w:t xml:space="preserve"> </w:t>
      </w:r>
    </w:p>
    <w:p w14:paraId="000000C3" w14:textId="0D733BAC" w:rsidR="00A758FD" w:rsidRPr="003666A4" w:rsidRDefault="00C81287">
      <w:pPr>
        <w:spacing w:before="240" w:after="120" w:line="240" w:lineRule="auto"/>
        <w:ind w:right="245"/>
      </w:pPr>
      <w:bookmarkStart w:id="21" w:name="_heading=h.2et92p0" w:colFirst="0" w:colLast="0"/>
      <w:bookmarkEnd w:id="21"/>
      <w:r w:rsidRPr="00C0338D">
        <w:t xml:space="preserve">This chapter explores solutions to mitigate the impacts of </w:t>
      </w:r>
      <w:r w:rsidR="1AAD75C4">
        <w:t xml:space="preserve">invasive alien species </w:t>
      </w:r>
      <w:r>
        <w:t>(</w:t>
      </w:r>
      <w:r w:rsidR="003666A4">
        <w:rPr>
          <w:b/>
        </w:rPr>
        <w:t>G</w:t>
      </w:r>
      <w:r>
        <w:rPr>
          <w:b/>
        </w:rPr>
        <w:t>lossary</w:t>
      </w:r>
      <w:r w:rsidRPr="00C0338D">
        <w:t>;</w:t>
      </w:r>
      <w:r w:rsidRPr="00C0338D">
        <w:rPr>
          <w:b/>
        </w:rPr>
        <w:t xml:space="preserve"> Chapter 1</w:t>
      </w:r>
      <w:r w:rsidRPr="003666A4">
        <w:t>,</w:t>
      </w:r>
      <w:r w:rsidRPr="003666A4">
        <w:rPr>
          <w:b/>
        </w:rPr>
        <w:t xml:space="preserve"> </w:t>
      </w:r>
      <w:r w:rsidR="0057527F" w:rsidRPr="001862C4">
        <w:rPr>
          <w:b/>
          <w:iCs/>
        </w:rPr>
        <w:t>Figure</w:t>
      </w:r>
      <w:r w:rsidRPr="003666A4">
        <w:rPr>
          <w:b/>
        </w:rPr>
        <w:t xml:space="preserve"> 1.1</w:t>
      </w:r>
      <w:r w:rsidRPr="003666A4">
        <w:t>) across biomes, species</w:t>
      </w:r>
      <w:r w:rsidR="00C16EEB">
        <w:t xml:space="preserve"> and</w:t>
      </w:r>
      <w:r w:rsidRPr="003666A4">
        <w:t xml:space="preserve"> regions. Any successful management action to prevent spread and ameliorate current or future potential impacts of an invasive alien species is built on a co-developed overarching management objective that goes beyond targeting one or more of the invasive alien species. The progression of a biological invasion by </w:t>
      </w:r>
      <w:r w:rsidR="3B784974">
        <w:t>a</w:t>
      </w:r>
      <w:r w:rsidRPr="00C0338D">
        <w:t xml:space="preserve"> species is generally divided into four stages, with a range of optimal management strategies which vary along this biological invasion </w:t>
      </w:r>
      <w:r w:rsidRPr="003666A4">
        <w:t xml:space="preserve">continuum </w:t>
      </w:r>
      <w:r w:rsidR="05BE4D7A" w:rsidRPr="00837161">
        <w:t>(</w:t>
      </w:r>
      <w:r w:rsidR="00191A6E">
        <w:rPr>
          <w:b/>
          <w:iCs/>
        </w:rPr>
        <w:t>Figure 5.1</w:t>
      </w:r>
      <w:r w:rsidR="007A452A" w:rsidRPr="001862C4">
        <w:t>;</w:t>
      </w:r>
      <w:r w:rsidRPr="003666A4">
        <w:rPr>
          <w:b/>
        </w:rPr>
        <w:t xml:space="preserve"> Chapter 1</w:t>
      </w:r>
      <w:r w:rsidRPr="003666A4">
        <w:t xml:space="preserve">, </w:t>
      </w:r>
      <w:r w:rsidR="58A89E81" w:rsidRPr="001862C4">
        <w:rPr>
          <w:b/>
          <w:iCs/>
        </w:rPr>
        <w:t>Figure</w:t>
      </w:r>
      <w:r w:rsidRPr="003666A4">
        <w:rPr>
          <w:b/>
        </w:rPr>
        <w:t xml:space="preserve"> 1.8</w:t>
      </w:r>
      <w:r w:rsidRPr="003666A4">
        <w:t xml:space="preserve">). The management-invasion continuum (often called the “Invasion Curve”, see </w:t>
      </w:r>
      <w:r w:rsidR="001862C4">
        <w:rPr>
          <w:b/>
          <w:iCs/>
        </w:rPr>
        <w:t>G</w:t>
      </w:r>
      <w:r w:rsidR="004C32A4" w:rsidRPr="001862C4">
        <w:rPr>
          <w:b/>
          <w:iCs/>
        </w:rPr>
        <w:t>lossary</w:t>
      </w:r>
      <w:r w:rsidRPr="003666A4">
        <w:t xml:space="preserve">) can be visually conceptualized to show the changes in management objectives and focus through each of the stages of the biological invasion process </w:t>
      </w:r>
      <w:r w:rsidR="00015939" w:rsidRPr="00837161">
        <w:t>(</w:t>
      </w:r>
      <w:r w:rsidR="00191A6E">
        <w:rPr>
          <w:b/>
          <w:iCs/>
        </w:rPr>
        <w:t>Figure 5.1</w:t>
      </w:r>
      <w:r w:rsidR="00015939" w:rsidRPr="00837161">
        <w:t>).</w:t>
      </w:r>
      <w:r w:rsidRPr="003666A4">
        <w:t xml:space="preserve"> “</w:t>
      </w:r>
      <w:r w:rsidR="004D38BB">
        <w:t>Introduction</w:t>
      </w:r>
      <w:r w:rsidRPr="003666A4">
        <w:t xml:space="preserve">” refers to the many </w:t>
      </w:r>
      <w:r w:rsidRPr="003666A4">
        <w:lastRenderedPageBreak/>
        <w:t>introductions from intermittent or continuous propagule pressure (</w:t>
      </w:r>
      <w:r w:rsidR="001862C4">
        <w:rPr>
          <w:b/>
          <w:iCs/>
        </w:rPr>
        <w:t>G</w:t>
      </w:r>
      <w:r w:rsidR="001862C4" w:rsidRPr="001862C4">
        <w:rPr>
          <w:b/>
          <w:iCs/>
        </w:rPr>
        <w:t>lossary</w:t>
      </w:r>
      <w:r w:rsidRPr="003666A4">
        <w:t>). Management approaches and responses may vary depending on whether the affected ecosystem is terrestrial or closed water systems</w:t>
      </w:r>
      <w:r w:rsidR="00383F1F">
        <w:t>,</w:t>
      </w:r>
      <w:r w:rsidRPr="003666A4">
        <w:t xml:space="preserve"> such as catchment basins, coastal systems </w:t>
      </w:r>
      <w:r w:rsidR="00383F1F">
        <w:t>and</w:t>
      </w:r>
      <w:r w:rsidR="00383F1F" w:rsidRPr="003666A4">
        <w:t xml:space="preserve"> </w:t>
      </w:r>
      <w:r w:rsidRPr="003666A4">
        <w:t>salt marshes, or an open water system (e.g., marine, brackish and water connected systems). Therefore, management-invasion continuum is presented here for these two scenarios; one for terrestrial and closed water ecosystems (</w:t>
      </w:r>
      <w:r w:rsidR="17EB74A4" w:rsidRPr="001862C4">
        <w:rPr>
          <w:rFonts w:eastAsia="Calibri"/>
          <w:b/>
          <w:iCs/>
        </w:rPr>
        <w:t>Fig</w:t>
      </w:r>
      <w:r w:rsidR="2EE9F83C" w:rsidRPr="001862C4">
        <w:rPr>
          <w:rFonts w:eastAsia="Calibri"/>
          <w:b/>
          <w:iCs/>
        </w:rPr>
        <w:t>ure</w:t>
      </w:r>
      <w:r w:rsidRPr="003666A4">
        <w:rPr>
          <w:b/>
        </w:rPr>
        <w:t xml:space="preserve"> 5.1A</w:t>
      </w:r>
      <w:r w:rsidRPr="003666A4">
        <w:t xml:space="preserve">) and </w:t>
      </w:r>
      <w:r w:rsidR="00383F1F">
        <w:t>an</w:t>
      </w:r>
      <w:r w:rsidRPr="003666A4">
        <w:t>other for an open water system (</w:t>
      </w:r>
      <w:r w:rsidR="2E2ECC9F" w:rsidRPr="001862C4">
        <w:rPr>
          <w:rFonts w:eastAsia="Times New Roman"/>
          <w:b/>
          <w:iCs/>
        </w:rPr>
        <w:t>Fig</w:t>
      </w:r>
      <w:r w:rsidR="461F91D6" w:rsidRPr="001862C4">
        <w:rPr>
          <w:rFonts w:eastAsia="Times New Roman"/>
          <w:b/>
          <w:iCs/>
        </w:rPr>
        <w:t>ure</w:t>
      </w:r>
      <w:r w:rsidRPr="003666A4">
        <w:rPr>
          <w:b/>
        </w:rPr>
        <w:t xml:space="preserve"> 5.1B</w:t>
      </w:r>
      <w:r w:rsidRPr="003666A4">
        <w:t>). The management-invasion continuum presented here can support decision-making at multiple spatial scales, for example the entry and spread of an alien species into a new region/country, or into a defined space such as a protected area or an island.</w:t>
      </w:r>
      <w:bookmarkStart w:id="22" w:name="_Hlk100216326"/>
      <w:r w:rsidRPr="003666A4">
        <w:t xml:space="preserve"> Also, it can help decision-making from a </w:t>
      </w:r>
      <w:bookmarkEnd w:id="22"/>
      <w:r w:rsidRPr="003666A4">
        <w:t xml:space="preserve">temporal dimension by identifying management actions suited for each stage of invasion. The management-invasion continuum can also be used to identify how management approaches targeting pathways, species, sites and ecosystems are inter-connected with each management objective and action. </w:t>
      </w:r>
    </w:p>
    <w:p w14:paraId="000000C4" w14:textId="64E2FBCF" w:rsidR="00A758FD" w:rsidRPr="00C0338D" w:rsidRDefault="00C81287">
      <w:pPr>
        <w:spacing w:before="240" w:after="120" w:line="240" w:lineRule="auto"/>
      </w:pPr>
      <w:r w:rsidRPr="003666A4">
        <w:t xml:space="preserve">For biological invasions in terrestrial and closed water ecosystems, there are generic management objectives such as prevention, early detection, eradication, containment and control and restoration associated with the status of the invasive alien species (absent, </w:t>
      </w:r>
      <w:r w:rsidR="00383F1F" w:rsidRPr="003666A4">
        <w:t>establish</w:t>
      </w:r>
      <w:r w:rsidR="00383F1F">
        <w:t>ed</w:t>
      </w:r>
      <w:r w:rsidRPr="003666A4">
        <w:t xml:space="preserve">, spread and widespread; </w:t>
      </w:r>
      <w:r w:rsidR="00392D50" w:rsidRPr="00837161">
        <w:fldChar w:fldCharType="begin"/>
      </w:r>
      <w:r w:rsidR="000F35EB">
        <w:instrText xml:space="preserve"> ADDIN ZOTERO_ITEM CSL_CITATION {"citationID":"0lgzNVy1","properties":{"formattedCitation":"(Robertson et al., 2020)","plainCitation":"(Robertson et al., 2020)","dontUpdate":true,"noteIndex":0},"citationItems":[{"id":25002,"uris":["http://zotero.org/groups/2352922/items/2UZE9THK"],"itemData":{"id":25002,"type":"article-journal","abstract":"Managing the impacts of invasive alien species (IAS) is a great societal challenge. A wide variety of terms have been used to describe the management of invasive alien species and the sequence in which they might be applied. This variety and lack of consistency creates uncertainty in the presentation and description of management in policy, science and practice. Here we expand on the existing description of the invasion process to develop an IAS management framework. We define the different forms of active management using a novel approach based on changes in species status, avoiding the need for stand-alone descriptions of management types, and provide a complete set of potential management activities. We propose a standardised set of management terminology as an emergent feature of this framework. We identified eight key forms of management: (1) pathway management, (2) interception, (3) limits to keeping, (4) secure keeping, (5) eradication, (6) complete reproductive removal, (7) containment and (8) suppression. We recognise four associated terms: prevention; captive management; rapid eradication; and long-term management, and note the use of impact mitigation and restoration as associated forms of management. We discuss the wider use of this framework and the supporting activities required to ensure management is well-targeted, cost-effective and makes best use of limited resources.","container-title":"Biological Invasions","DOI":"10.1007/s10530-020-02298-2","ISSN":"1573-1464","issue":"9","journalAbbreviation":"Biol Invasions","language":"en","page":"2633-2645","source":"Springer Link","title":"A proposed unified framework to describe the management of biological invasions","URL":"https://doi.org/10.1007/s10530-020-02298-2","volume":"22","author":[{"family":"Robertson","given":"Peter A."},{"family":"Mill","given":"Aileen"},{"family":"Novoa","given":"Ana"},{"family":"Jeschke","given":"Jonathan M."},{"family":"Essl","given":"Franz"},{"family":"Gallardo","given":"Belinda"},{"family":"Geist","given":"Juergen"},{"family":"Jarić","given":"Ivan"},{"family":"Lambin","given":"Xavier"},{"family":"Musseau","given":"Camille"},{"family":"Pergl","given":"Jan"},{"family":"Pyšek","given":"Petr"},{"family":"Rabitsch","given":"Wolfgang"},{"family":"Schmalensee","given":"Menja","non-dropping-particle":"von"},{"family":"Shirley","given":"Mark"},{"family":"Strayer","given":"David L."},{"family":"Stefansson","given":"Robert A."},{"family":"Smith","given":"Kevin"},{"family":"Booy","given":"Olaf"}],"accessed":{"date-parts":[["2020",8,31]]},"issued":{"date-parts":[["2020",9,1]]}}}],"schema":"https://github.com/citation-style-language/schema/raw/master/csl-citation.json"} </w:instrText>
      </w:r>
      <w:r w:rsidR="00392D50" w:rsidRPr="00837161">
        <w:fldChar w:fldCharType="separate"/>
      </w:r>
      <w:r w:rsidR="00392D50" w:rsidRPr="00837161">
        <w:t>Robertson et al., 2020</w:t>
      </w:r>
      <w:r w:rsidR="00392D50" w:rsidRPr="00837161">
        <w:fldChar w:fldCharType="end"/>
      </w:r>
      <w:r w:rsidR="002B4599" w:rsidRPr="00837161">
        <w:t>;</w:t>
      </w:r>
      <w:r w:rsidR="00392D50" w:rsidRPr="00837161">
        <w:t xml:space="preserve"> </w:t>
      </w:r>
      <w:r w:rsidR="001862C4">
        <w:rPr>
          <w:b/>
          <w:iCs/>
        </w:rPr>
        <w:t>G</w:t>
      </w:r>
      <w:r w:rsidR="001862C4" w:rsidRPr="001862C4">
        <w:rPr>
          <w:b/>
          <w:iCs/>
        </w:rPr>
        <w:t>lossary</w:t>
      </w:r>
      <w:r w:rsidRPr="003666A4">
        <w:t>;</w:t>
      </w:r>
      <w:r w:rsidRPr="003666A4">
        <w:rPr>
          <w:i/>
        </w:rPr>
        <w:t xml:space="preserve"> </w:t>
      </w:r>
      <w:r w:rsidRPr="003666A4">
        <w:rPr>
          <w:b/>
        </w:rPr>
        <w:t>Chapter 1</w:t>
      </w:r>
      <w:r w:rsidRPr="003666A4">
        <w:t>,</w:t>
      </w:r>
      <w:r w:rsidRPr="003666A4">
        <w:rPr>
          <w:b/>
        </w:rPr>
        <w:t xml:space="preserve"> section 1.4</w:t>
      </w:r>
      <w:r w:rsidRPr="003666A4">
        <w:t>). Adaptive management and long-term monitoring need to be part of all modes of management (</w:t>
      </w:r>
      <w:r w:rsidR="001862C4">
        <w:rPr>
          <w:b/>
          <w:iCs/>
        </w:rPr>
        <w:t>G</w:t>
      </w:r>
      <w:r w:rsidR="001862C4" w:rsidRPr="001862C4">
        <w:rPr>
          <w:b/>
          <w:iCs/>
        </w:rPr>
        <w:t>lossary</w:t>
      </w:r>
      <w:r w:rsidRPr="003666A4">
        <w:t xml:space="preserve">). Prevention is implemented by jurisdictions in the pre-entry </w:t>
      </w:r>
      <w:r w:rsidR="00383F1F">
        <w:t xml:space="preserve">phase </w:t>
      </w:r>
      <w:r w:rsidRPr="003666A4">
        <w:t xml:space="preserve">and points of entry for intercepting new alien species, </w:t>
      </w:r>
      <w:r w:rsidR="00383F1F">
        <w:t>and</w:t>
      </w:r>
      <w:r w:rsidR="00383F1F" w:rsidRPr="003666A4">
        <w:t xml:space="preserve"> </w:t>
      </w:r>
      <w:r w:rsidRPr="003666A4">
        <w:t>by definition has to target arrivals of all alien species, not just those that may become invasive. Although context dependent, in the ensuing lag-phase (</w:t>
      </w:r>
      <w:r w:rsidR="001862C4">
        <w:rPr>
          <w:b/>
          <w:iCs/>
        </w:rPr>
        <w:t>G</w:t>
      </w:r>
      <w:r w:rsidR="00736F93" w:rsidRPr="001862C4">
        <w:rPr>
          <w:b/>
          <w:iCs/>
        </w:rPr>
        <w:t>lossary</w:t>
      </w:r>
      <w:r w:rsidRPr="003666A4">
        <w:t>;</w:t>
      </w:r>
      <w:r w:rsidRPr="003666A4">
        <w:rPr>
          <w:b/>
        </w:rPr>
        <w:t xml:space="preserve"> Chapter 2</w:t>
      </w:r>
      <w:r w:rsidRPr="003666A4">
        <w:t xml:space="preserve">, </w:t>
      </w:r>
      <w:r w:rsidRPr="003666A4">
        <w:rPr>
          <w:b/>
        </w:rPr>
        <w:t>section 2.2.1</w:t>
      </w:r>
      <w:r w:rsidRPr="003666A4">
        <w:t xml:space="preserve">) during establishment, opportunities may exist for eradication and the potential to flatten the invasion curve </w:t>
      </w:r>
      <w:r w:rsidR="00392D50" w:rsidRPr="00837161">
        <w:t>(</w:t>
      </w:r>
      <w:r w:rsidR="00191A6E">
        <w:rPr>
          <w:b/>
          <w:iCs/>
        </w:rPr>
        <w:t>Figure 5.1</w:t>
      </w:r>
      <w:r w:rsidR="00392D50" w:rsidRPr="00837161">
        <w:t>).</w:t>
      </w:r>
      <w:r w:rsidRPr="003666A4">
        <w:t xml:space="preserve"> Early detection enables a rapid response to eradicate or contain an alien species before it spreads. The likelihood of eradication generally decreases during the rapid dispersal phase. Long-term species-</w:t>
      </w:r>
      <w:r w:rsidR="7317CAC5">
        <w:t>based</w:t>
      </w:r>
      <w:r w:rsidRPr="00C0338D">
        <w:t xml:space="preserve"> or site-based adaptive management approaches of invasive alien species that can no longer be eradicated or for which containment alone is not viable, can then effectively minimize biophysical and/or socioecological and socio-economic impacts. </w:t>
      </w:r>
    </w:p>
    <w:p w14:paraId="000000C5" w14:textId="2E0B4FFB" w:rsidR="00A758FD" w:rsidRPr="00C0338D" w:rsidRDefault="00C81287">
      <w:pPr>
        <w:spacing w:after="120" w:line="240" w:lineRule="auto"/>
      </w:pPr>
      <w:r w:rsidRPr="00C0338D">
        <w:t>In terrestrial and closed water ecosystems, effective management involves a series of actions, including objective decision-making (</w:t>
      </w:r>
      <w:r w:rsidRPr="00C0338D">
        <w:rPr>
          <w:b/>
        </w:rPr>
        <w:t>section 5.2</w:t>
      </w:r>
      <w:r w:rsidRPr="00C0338D">
        <w:t>), surveillance (</w:t>
      </w:r>
      <w:r w:rsidR="001862C4">
        <w:rPr>
          <w:b/>
          <w:iCs/>
        </w:rPr>
        <w:t>G</w:t>
      </w:r>
      <w:r w:rsidR="00E96732" w:rsidRPr="001862C4">
        <w:rPr>
          <w:b/>
          <w:iCs/>
        </w:rPr>
        <w:t>lossary</w:t>
      </w:r>
      <w:r w:rsidRPr="003666A4">
        <w:t>) and monitoring (particularly at ports of entry;</w:t>
      </w:r>
      <w:r w:rsidRPr="003666A4">
        <w:rPr>
          <w:b/>
        </w:rPr>
        <w:t xml:space="preserve"> section 5.5</w:t>
      </w:r>
      <w:r w:rsidRPr="003666A4">
        <w:t>) and chemical, physical and biological controls (</w:t>
      </w:r>
      <w:r w:rsidRPr="003666A4">
        <w:rPr>
          <w:b/>
        </w:rPr>
        <w:t>section 5.5.5</w:t>
      </w:r>
      <w:r w:rsidRPr="003666A4">
        <w:t>), all supported by a range of platforms, tools and technologies (</w:t>
      </w:r>
      <w:r w:rsidRPr="003666A4">
        <w:rPr>
          <w:b/>
        </w:rPr>
        <w:t>section 5.4</w:t>
      </w:r>
      <w:r w:rsidRPr="003666A4">
        <w:t>). Decision-making includes agreeing on clearly defined objectives (“why manage?”) and carrying out evidence-based risk assessment and prioritization to</w:t>
      </w:r>
      <w:r w:rsidR="003D6524">
        <w:t xml:space="preserve"> undertake the most effective actions,</w:t>
      </w:r>
      <w:r w:rsidRPr="003666A4">
        <w:t xml:space="preserve"> </w:t>
      </w:r>
      <w:r w:rsidR="003D6524">
        <w:t>responding to the questions:</w:t>
      </w:r>
      <w:r w:rsidRPr="003666A4">
        <w:t xml:space="preserve"> “what</w:t>
      </w:r>
      <w:r w:rsidR="003D6524">
        <w:t xml:space="preserve"> actions?</w:t>
      </w:r>
      <w:r w:rsidRPr="003666A4">
        <w:t>”, “where</w:t>
      </w:r>
      <w:r w:rsidR="003D6524">
        <w:t xml:space="preserve"> to take actions?</w:t>
      </w:r>
      <w:r w:rsidRPr="003666A4">
        <w:t>” and “how</w:t>
      </w:r>
      <w:r w:rsidR="003D6524">
        <w:t xml:space="preserve"> to take actions?</w:t>
      </w:r>
      <w:r w:rsidRPr="003666A4">
        <w:t>”</w:t>
      </w:r>
      <w:r w:rsidR="003D6524">
        <w:t>.</w:t>
      </w:r>
      <w:r w:rsidRPr="003666A4">
        <w:t xml:space="preserve"> Management programmes can focus on the following three management options, namely the pathways of </w:t>
      </w:r>
      <w:r w:rsidR="14E9C9FE">
        <w:t>introduction</w:t>
      </w:r>
      <w:r w:rsidRPr="00C0338D">
        <w:t>, the invasive alien species</w:t>
      </w:r>
      <w:r w:rsidR="00C16EEB">
        <w:t xml:space="preserve"> and</w:t>
      </w:r>
      <w:r w:rsidRPr="00C0338D">
        <w:t xml:space="preserve"> the invaded sites/ecosystems singly or in combination (</w:t>
      </w:r>
      <w:r w:rsidRPr="00C0338D">
        <w:rPr>
          <w:b/>
        </w:rPr>
        <w:t>section 5.3</w:t>
      </w:r>
      <w:r w:rsidRPr="00C0338D">
        <w:t xml:space="preserve">). </w:t>
      </w:r>
    </w:p>
    <w:p w14:paraId="000000C6" w14:textId="45F69F3F" w:rsidR="00A758FD" w:rsidRDefault="009865CB">
      <w:pPr>
        <w:rPr>
          <w:noProof/>
        </w:rPr>
      </w:pPr>
      <w:bookmarkStart w:id="23" w:name="_heading=h.tyjcwt" w:colFirst="0" w:colLast="0"/>
      <w:bookmarkStart w:id="24" w:name="_Toc87623097"/>
      <w:bookmarkStart w:id="25" w:name="_Ref104969403"/>
      <w:bookmarkStart w:id="26" w:name="_Ref104972209"/>
      <w:bookmarkStart w:id="27" w:name="_Ref112845653"/>
      <w:bookmarkEnd w:id="23"/>
      <w:r w:rsidRPr="009865CB">
        <w:rPr>
          <w:noProof/>
        </w:rPr>
        <w:lastRenderedPageBreak/>
        <w:t xml:space="preserve"> </w:t>
      </w:r>
      <w:r w:rsidR="00C82E8C" w:rsidRPr="00C82E8C">
        <w:rPr>
          <w:noProof/>
        </w:rPr>
        <w:drawing>
          <wp:inline distT="0" distB="0" distL="0" distR="0" wp14:anchorId="73ABE49F" wp14:editId="653539C8">
            <wp:extent cx="6115050" cy="6042025"/>
            <wp:effectExtent l="0" t="0" r="6350" b="3175"/>
            <wp:docPr id="4" name="Picture 4"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diagram&#10;&#10;Description automatically generated"/>
                    <pic:cNvPicPr/>
                  </pic:nvPicPr>
                  <pic:blipFill>
                    <a:blip r:embed="rId24"/>
                    <a:stretch>
                      <a:fillRect/>
                    </a:stretch>
                  </pic:blipFill>
                  <pic:spPr>
                    <a:xfrm>
                      <a:off x="0" y="0"/>
                      <a:ext cx="6115050" cy="6042025"/>
                    </a:xfrm>
                    <a:prstGeom prst="rect">
                      <a:avLst/>
                    </a:prstGeom>
                  </pic:spPr>
                </pic:pic>
              </a:graphicData>
            </a:graphic>
          </wp:inline>
        </w:drawing>
      </w:r>
    </w:p>
    <w:p w14:paraId="21481BD1" w14:textId="4B63EEDA" w:rsidR="00C82E8C" w:rsidRDefault="00C82E8C">
      <w:r w:rsidRPr="00C82E8C">
        <w:rPr>
          <w:noProof/>
        </w:rPr>
        <w:drawing>
          <wp:inline distT="0" distB="0" distL="0" distR="0" wp14:anchorId="53CEEEB5" wp14:editId="103BA3F3">
            <wp:extent cx="6115050" cy="2040890"/>
            <wp:effectExtent l="0" t="0" r="6350" b="3810"/>
            <wp:docPr id="5" name="Picture 5" descr="A close-up of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paper&#10;&#10;Description automatically generated"/>
                    <pic:cNvPicPr/>
                  </pic:nvPicPr>
                  <pic:blipFill>
                    <a:blip r:embed="rId25"/>
                    <a:stretch>
                      <a:fillRect/>
                    </a:stretch>
                  </pic:blipFill>
                  <pic:spPr>
                    <a:xfrm>
                      <a:off x="0" y="0"/>
                      <a:ext cx="6115050" cy="2040890"/>
                    </a:xfrm>
                    <a:prstGeom prst="rect">
                      <a:avLst/>
                    </a:prstGeom>
                  </pic:spPr>
                </pic:pic>
              </a:graphicData>
            </a:graphic>
          </wp:inline>
        </w:drawing>
      </w:r>
    </w:p>
    <w:p w14:paraId="000000C7" w14:textId="75B5DFC3" w:rsidR="00A758FD" w:rsidRPr="00AC1F76" w:rsidRDefault="00C81287" w:rsidP="003666A4">
      <w:pPr>
        <w:keepNext/>
        <w:pBdr>
          <w:top w:val="nil"/>
          <w:left w:val="nil"/>
          <w:bottom w:val="nil"/>
          <w:right w:val="nil"/>
          <w:between w:val="nil"/>
        </w:pBdr>
        <w:spacing w:before="240" w:after="120" w:line="240" w:lineRule="auto"/>
        <w:rPr>
          <w:b/>
          <w:color w:val="000000"/>
        </w:rPr>
      </w:pPr>
      <w:bookmarkStart w:id="28" w:name="_heading=h.3dy6vkm" w:colFirst="0" w:colLast="0"/>
      <w:bookmarkStart w:id="29" w:name="_Ref131672529"/>
      <w:bookmarkStart w:id="30" w:name="_Toc147489354"/>
      <w:bookmarkEnd w:id="28"/>
      <w:r w:rsidRPr="003666A4">
        <w:rPr>
          <w:b/>
          <w:color w:val="000000" w:themeColor="text1"/>
        </w:rPr>
        <w:t>Figure 5</w:t>
      </w:r>
      <w:r w:rsidR="5190F6FB" w:rsidRPr="003666A4">
        <w:rPr>
          <w:b/>
          <w:bCs/>
        </w:rPr>
        <w:t>.</w:t>
      </w:r>
      <w:r w:rsidR="5190F6FB" w:rsidRPr="003666A4">
        <w:rPr>
          <w:b/>
          <w:bCs/>
        </w:rPr>
        <w:fldChar w:fldCharType="begin"/>
      </w:r>
      <w:r w:rsidR="5190F6FB" w:rsidRPr="003666A4">
        <w:rPr>
          <w:b/>
          <w:bCs/>
        </w:rPr>
        <w:instrText>SEQ Figure_5. \* ARABIC</w:instrText>
      </w:r>
      <w:r w:rsidR="5190F6FB" w:rsidRPr="003666A4">
        <w:rPr>
          <w:b/>
          <w:bCs/>
        </w:rPr>
        <w:fldChar w:fldCharType="separate"/>
      </w:r>
      <w:r w:rsidR="00DC77F8" w:rsidRPr="003666A4">
        <w:rPr>
          <w:b/>
          <w:bCs/>
          <w:noProof/>
        </w:rPr>
        <w:t>1</w:t>
      </w:r>
      <w:r w:rsidR="5190F6FB" w:rsidRPr="003666A4">
        <w:rPr>
          <w:b/>
          <w:bCs/>
        </w:rPr>
        <w:fldChar w:fldCharType="end"/>
      </w:r>
      <w:bookmarkEnd w:id="24"/>
      <w:bookmarkEnd w:id="25"/>
      <w:bookmarkEnd w:id="26"/>
      <w:bookmarkEnd w:id="27"/>
      <w:bookmarkEnd w:id="29"/>
      <w:r w:rsidR="000B21C0" w:rsidRPr="003666A4">
        <w:rPr>
          <w:b/>
          <w:bCs/>
        </w:rPr>
        <w:t>.</w:t>
      </w:r>
      <w:r w:rsidRPr="003666A4">
        <w:t xml:space="preserve"> </w:t>
      </w:r>
      <w:r w:rsidRPr="00AC1F76">
        <w:rPr>
          <w:color w:val="000000" w:themeColor="text1"/>
        </w:rPr>
        <w:t xml:space="preserve">Conceptual diagram of </w:t>
      </w:r>
      <w:r w:rsidR="003D6524">
        <w:rPr>
          <w:color w:val="000000" w:themeColor="text1"/>
        </w:rPr>
        <w:t xml:space="preserve">the </w:t>
      </w:r>
      <w:r w:rsidRPr="00AC1F76">
        <w:rPr>
          <w:color w:val="000000" w:themeColor="text1"/>
        </w:rPr>
        <w:t xml:space="preserve">management-invasion continuum. </w:t>
      </w:r>
      <w:r w:rsidR="003D6524">
        <w:rPr>
          <w:color w:val="000000" w:themeColor="text1"/>
        </w:rPr>
        <w:t>T</w:t>
      </w:r>
      <w:r w:rsidRPr="00AC1F76">
        <w:rPr>
          <w:color w:val="000000" w:themeColor="text1"/>
        </w:rPr>
        <w:t xml:space="preserve">he generalized invasion curve without management and the expected changes in the invasion curve with appropriate management actions in </w:t>
      </w:r>
      <w:r w:rsidR="00AC5A0B">
        <w:rPr>
          <w:color w:val="000000" w:themeColor="text1"/>
        </w:rPr>
        <w:t xml:space="preserve">A) </w:t>
      </w:r>
      <w:r w:rsidRPr="00AC1F76">
        <w:rPr>
          <w:color w:val="000000" w:themeColor="text1"/>
        </w:rPr>
        <w:t>terrestrial and closed water systems (including coastal systems and salt marshes)</w:t>
      </w:r>
      <w:r w:rsidR="00AC5A0B">
        <w:rPr>
          <w:color w:val="000000" w:themeColor="text1"/>
        </w:rPr>
        <w:t xml:space="preserve"> </w:t>
      </w:r>
      <w:r w:rsidRPr="00AC1F76">
        <w:rPr>
          <w:color w:val="000000" w:themeColor="text1"/>
        </w:rPr>
        <w:t>and</w:t>
      </w:r>
      <w:r w:rsidR="003D6524">
        <w:rPr>
          <w:color w:val="000000" w:themeColor="text1"/>
        </w:rPr>
        <w:t xml:space="preserve"> in</w:t>
      </w:r>
      <w:r w:rsidRPr="00AC1F76">
        <w:rPr>
          <w:color w:val="000000" w:themeColor="text1"/>
        </w:rPr>
        <w:t xml:space="preserve"> </w:t>
      </w:r>
      <w:r w:rsidR="00191A6E">
        <w:rPr>
          <w:color w:val="000000" w:themeColor="text1"/>
        </w:rPr>
        <w:t xml:space="preserve">B) </w:t>
      </w:r>
      <w:r w:rsidRPr="00AC1F76">
        <w:rPr>
          <w:color w:val="000000" w:themeColor="text1"/>
        </w:rPr>
        <w:t xml:space="preserve">marine and connected water systems. </w:t>
      </w:r>
      <w:r w:rsidR="2D41721D" w:rsidRPr="1CC6FE4C">
        <w:rPr>
          <w:rFonts w:eastAsia="Times New Roman"/>
          <w:color w:val="000000" w:themeColor="text1"/>
        </w:rPr>
        <w:t>B</w:t>
      </w:r>
      <w:r w:rsidRPr="776B8B26">
        <w:rPr>
          <w:rFonts w:eastAsia="Times New Roman"/>
          <w:color w:val="000000" w:themeColor="text1"/>
        </w:rPr>
        <w:t>oxes</w:t>
      </w:r>
      <w:r w:rsidRPr="00AC1F76">
        <w:rPr>
          <w:color w:val="000000" w:themeColor="text1"/>
        </w:rPr>
        <w:t xml:space="preserve"> indicate the optimal management </w:t>
      </w:r>
      <w:r w:rsidRPr="00AC1F76">
        <w:rPr>
          <w:color w:val="000000" w:themeColor="text1"/>
        </w:rPr>
        <w:lastRenderedPageBreak/>
        <w:t xml:space="preserve">objectives at each invasion </w:t>
      </w:r>
      <w:r w:rsidRPr="003666A4">
        <w:t>stage (</w:t>
      </w:r>
      <w:r w:rsidR="001862C4" w:rsidRPr="003666A4">
        <w:rPr>
          <w:b/>
          <w:bCs/>
          <w:iCs/>
        </w:rPr>
        <w:t>G</w:t>
      </w:r>
      <w:r w:rsidR="001B01FC" w:rsidRPr="003666A4">
        <w:rPr>
          <w:b/>
          <w:bCs/>
          <w:iCs/>
        </w:rPr>
        <w:t>lossary</w:t>
      </w:r>
      <w:r w:rsidRPr="003666A4">
        <w:t xml:space="preserve">). Colour </w:t>
      </w:r>
      <w:r w:rsidRPr="00AC1F76">
        <w:rPr>
          <w:color w:val="000000" w:themeColor="text1"/>
        </w:rPr>
        <w:t xml:space="preserve">gradient of managing pathway, species, site and ecosystem boxes show how the relative focus generally changes as invasion progresses. </w:t>
      </w:r>
      <w:r w:rsidR="373B5EFB" w:rsidRPr="1CC6FE4C">
        <w:rPr>
          <w:rFonts w:eastAsia="Times New Roman"/>
          <w:color w:val="000000" w:themeColor="text1"/>
        </w:rPr>
        <w:t>B</w:t>
      </w:r>
      <w:r w:rsidRPr="776B8B26">
        <w:rPr>
          <w:rFonts w:eastAsia="Times New Roman"/>
          <w:color w:val="000000" w:themeColor="text1"/>
        </w:rPr>
        <w:t>oxes</w:t>
      </w:r>
      <w:r w:rsidRPr="00AC1F76">
        <w:rPr>
          <w:color w:val="000000" w:themeColor="text1"/>
        </w:rPr>
        <w:t xml:space="preserve"> below indicate typical management actions necessary to achieve each management objective. Post-</w:t>
      </w:r>
      <w:r w:rsidR="68B1ACD0" w:rsidRPr="776B8B26">
        <w:rPr>
          <w:rFonts w:eastAsia="Times New Roman"/>
          <w:color w:val="000000" w:themeColor="text1"/>
        </w:rPr>
        <w:t>establishment</w:t>
      </w:r>
      <w:r w:rsidRPr="00AC1F76">
        <w:rPr>
          <w:color w:val="000000" w:themeColor="text1"/>
        </w:rPr>
        <w:t xml:space="preserve"> management actions are not shown under panel B since these are generally not achievable in these systems. In a management context, the first detection (</w:t>
      </w:r>
      <w:r w:rsidR="22D6368C" w:rsidRPr="776B8B26">
        <w:rPr>
          <w:rFonts w:eastAsia="Times New Roman"/>
          <w:color w:val="000000" w:themeColor="text1"/>
        </w:rPr>
        <w:t>introduction</w:t>
      </w:r>
      <w:r w:rsidRPr="00AC1F76">
        <w:rPr>
          <w:color w:val="000000" w:themeColor="text1"/>
        </w:rPr>
        <w:t xml:space="preserve"> point), the lag phase and the exponential spread phases are important points to design an early detection and rapid response management plan. This figure is conceptual</w:t>
      </w:r>
      <w:r w:rsidR="005D7B59">
        <w:rPr>
          <w:color w:val="000000" w:themeColor="text1"/>
        </w:rPr>
        <w:t>,</w:t>
      </w:r>
      <w:r w:rsidR="00C16EEB">
        <w:rPr>
          <w:color w:val="000000" w:themeColor="text1"/>
        </w:rPr>
        <w:t xml:space="preserve"> and</w:t>
      </w:r>
      <w:r w:rsidRPr="00AC1F76">
        <w:rPr>
          <w:color w:val="000000" w:themeColor="text1"/>
        </w:rPr>
        <w:t xml:space="preserve"> the curves do not represent actual population dynamics of invasive alien species.</w:t>
      </w:r>
      <w:bookmarkEnd w:id="30"/>
    </w:p>
    <w:p w14:paraId="000000C8" w14:textId="09B121C3" w:rsidR="00A758FD" w:rsidRPr="003666A4" w:rsidRDefault="00C81287">
      <w:pPr>
        <w:spacing w:before="240" w:after="120" w:line="240" w:lineRule="auto"/>
      </w:pPr>
      <w:r w:rsidRPr="00C0338D">
        <w:t>Pathway, species-</w:t>
      </w:r>
      <w:r w:rsidR="1D5532C4">
        <w:t>based</w:t>
      </w:r>
      <w:r w:rsidRPr="00C0338D">
        <w:t xml:space="preserve"> and site-based </w:t>
      </w:r>
      <w:r w:rsidR="011CA57E" w:rsidRPr="00C0338D">
        <w:t xml:space="preserve">strategies </w:t>
      </w:r>
      <w:r w:rsidR="011CA57E">
        <w:t xml:space="preserve">for the </w:t>
      </w:r>
      <w:r>
        <w:t xml:space="preserve">management </w:t>
      </w:r>
      <w:r w:rsidR="767670D6">
        <w:t>of biological invasions</w:t>
      </w:r>
      <w:r w:rsidR="5A7C5823">
        <w:t xml:space="preserve"> </w:t>
      </w:r>
      <w:r w:rsidRPr="00C0338D">
        <w:t xml:space="preserve">are alternative or complementary approaches given particular socioecological contexts. The approach taken is dependent on the </w:t>
      </w:r>
      <w:r w:rsidRPr="003666A4">
        <w:t>management goal, the status of invasion of an alien species along the introduction</w:t>
      </w:r>
      <w:r w:rsidR="003D6524">
        <w:t>-</w:t>
      </w:r>
      <w:r w:rsidRPr="003666A4">
        <w:t xml:space="preserve">invasion continuum </w:t>
      </w:r>
      <w:r w:rsidR="3FB0A9E6" w:rsidRPr="00837161">
        <w:t>(</w:t>
      </w:r>
      <w:r w:rsidR="00191A6E">
        <w:rPr>
          <w:b/>
          <w:iCs/>
        </w:rPr>
        <w:t>Figure 5.1</w:t>
      </w:r>
      <w:r w:rsidR="3FB0A9E6" w:rsidRPr="00837161">
        <w:t>)</w:t>
      </w:r>
      <w:r w:rsidRPr="003666A4">
        <w:t xml:space="preserve"> and the socio-economic situation. Pathway management, which aims to prevent the introduction of a species into new sites, functions across the biological invasion continuum </w:t>
      </w:r>
      <w:r w:rsidR="56091F9B" w:rsidRPr="00837161">
        <w:t>(</w:t>
      </w:r>
      <w:r w:rsidR="00191A6E">
        <w:rPr>
          <w:b/>
          <w:iCs/>
        </w:rPr>
        <w:t>Figure 5.1</w:t>
      </w:r>
      <w:r w:rsidR="06351D15" w:rsidRPr="001862C4">
        <w:rPr>
          <w:iCs/>
        </w:rPr>
        <w:t>;</w:t>
      </w:r>
      <w:r w:rsidRPr="003666A4">
        <w:rPr>
          <w:b/>
        </w:rPr>
        <w:t xml:space="preserve"> section 5.3.1.1</w:t>
      </w:r>
      <w:r w:rsidRPr="003666A4">
        <w:t>), where efforts are generally aimed to prevent introduction into a new region/country, but also to manage the wider spread during the rapid expansion phase. Species-</w:t>
      </w:r>
      <w:r w:rsidR="0AEA723E">
        <w:t>based</w:t>
      </w:r>
      <w:r w:rsidRPr="00C0338D">
        <w:t xml:space="preserve"> management either proactively minimizes future impact </w:t>
      </w:r>
      <w:r w:rsidRPr="003666A4">
        <w:t>risks (</w:t>
      </w:r>
      <w:r w:rsidR="001862C4">
        <w:rPr>
          <w:b/>
          <w:iCs/>
        </w:rPr>
        <w:t>G</w:t>
      </w:r>
      <w:r w:rsidR="00337686" w:rsidRPr="001862C4">
        <w:rPr>
          <w:b/>
          <w:iCs/>
        </w:rPr>
        <w:t>lossary</w:t>
      </w:r>
      <w:r w:rsidRPr="003666A4">
        <w:t xml:space="preserve">) through interventions to eradicate or contain new incursions of a species or targets suppression of a priority single species (e.g., through landscape level control such as classical biological control - </w:t>
      </w:r>
      <w:r w:rsidRPr="003666A4">
        <w:rPr>
          <w:b/>
        </w:rPr>
        <w:t>sections 5.4.3.2f</w:t>
      </w:r>
      <w:r w:rsidRPr="003666A4">
        <w:rPr>
          <w:i/>
        </w:rPr>
        <w:t xml:space="preserve"> </w:t>
      </w:r>
      <w:r w:rsidRPr="003666A4">
        <w:t>and</w:t>
      </w:r>
      <w:r w:rsidRPr="003666A4">
        <w:rPr>
          <w:i/>
        </w:rPr>
        <w:t xml:space="preserve"> </w:t>
      </w:r>
      <w:r w:rsidRPr="003666A4">
        <w:rPr>
          <w:b/>
        </w:rPr>
        <w:t>5.5.5</w:t>
      </w:r>
      <w:r w:rsidRPr="003666A4">
        <w:t xml:space="preserve">, or lethal control programmes - </w:t>
      </w:r>
      <w:r w:rsidRPr="003666A4">
        <w:rPr>
          <w:b/>
        </w:rPr>
        <w:t>section 5.4.3.2d</w:t>
      </w:r>
      <w:r w:rsidRPr="003666A4">
        <w:t>), or multiple established alien species (</w:t>
      </w:r>
      <w:r w:rsidR="00636579">
        <w:rPr>
          <w:b/>
          <w:iCs/>
        </w:rPr>
        <w:t>G</w:t>
      </w:r>
      <w:r w:rsidR="00764A73" w:rsidRPr="00636579">
        <w:rPr>
          <w:b/>
          <w:iCs/>
        </w:rPr>
        <w:t>lossary</w:t>
      </w:r>
      <w:r w:rsidRPr="003666A4">
        <w:t xml:space="preserve">) through localized extirpation </w:t>
      </w:r>
      <w:r w:rsidR="00A934D9" w:rsidRPr="00837161">
        <w:fldChar w:fldCharType="begin"/>
      </w:r>
      <w:r w:rsidR="000F35EB">
        <w:instrText xml:space="preserve"> ADDIN ZOTERO_ITEM CSL_CITATION {"citationID":"B3lsEnxQ","properties":{"formattedCitation":"(McGeoch, Genovesi, et al., 2016; Simberloff, 2013)","plainCitation":"(McGeoch, Genovesi, et al., 2016; Simberloff, 2013)","noteIndex":0},"citationItems":[{"id":26532,"uris":["http://zotero.org/groups/2352922/items/SK35934W"],"itemData":{"id":26532,"type":"article-journal","abstract":"Prioritization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J."},{"family":"McGrannachan","given":"C."},{"family":"Sheppard","given":"A."}],"issued":{"date-parts":[["2016",2]]}},"label":"page"},{"id":23806,"uris":["http://zotero.org/groups/2352922/items/CUMB8NFA"],"itemData":{"id":23806,"type":"chapter","abstract":"Invasive alien plant populations have often been eradicated from very small areas, but pessimism about eradication of widely distributed plants pervades the management community. Contributing to this view are several legendary and expensive failed eradication campaigns, the inconspicuous nature of many plants, the existence of soil seed banks, and the perceived expense of eradication over large areas. However, if several years’ worth of the cost of maintenance management campaigns could instead be devoted to a one-shot, well-funded eradication effort, projects that currently seem impossible might be brought within the range of feasibility. Factors in addition to cost that must be considered are whether adequate lines of authority can compel cooperation and prevent sabotage, whether there is sufﬁcient knowledge of the target species to have identiﬁed a feasible approach to eradication that advances the goal of restoration, and the need for intensive monitoring and possible follow-up operations. Especially for PAs, the likelihood of reinvasion from nearby sites is a concern. If an eradication campaign would employ the same general methods as those that would have been used if the goal was maintenance control, there is likely little cost and much potential beneﬁt to attempting eradication. Gradual improvement has occurred in plant eradication programmes through accumulated experience and incremental improvement of longstanding methods. However, the ﬁeld of invasive plant management (including eradication) has not seen the advent of remarkably innovative new approaches and greatly improved records of eradication success that currently foster optimism and enthusiasm among managers dealing with invasive animals.","collection-title":"Invading Nature - Springer Series in Invasion Ecology","container-title":"Plant Invasions in Protected Areas","event-place":"Dordrecht","ISBN":"978-94-007-7749-1","language":"en","note":"DOI: 10.1007/978-94-007-7750-7_25","page":"549-559","publisher":"Springer Netherlands","publisher-place":"Dordrecht","source":"DOI.org (Crossref)","title":"Eradication: Pipe Dream or Real Option?","title-short":"Eradication","URL":"http://link.springer.com/10.1007/978-94-007-7750-7_25","volume":"7","editor":[{"family":"Foxcroft","given":"Llewellyn C."},{"family":"Pyšek","given":"Petr"},{"family":"Richardson","given":"David M."},{"family":"Genovesi","given":"Piero"}],"author":[{"family":"Simberloff","given":"Daniel"}],"accessed":{"date-parts":[["2019",11,4]]},"issued":{"date-parts":[["2013"]]}},"label":"page"}],"schema":"https://github.com/citation-style-language/schema/raw/master/csl-citation.json"} </w:instrText>
      </w:r>
      <w:r w:rsidR="00A934D9" w:rsidRPr="00837161">
        <w:fldChar w:fldCharType="separate"/>
      </w:r>
      <w:r w:rsidR="00271B78" w:rsidRPr="00271B78">
        <w:t>(McGeoch, Genovesi, et al., 2016; Simberloff, 2013)</w:t>
      </w:r>
      <w:r w:rsidR="00A934D9" w:rsidRPr="00837161">
        <w:fldChar w:fldCharType="end"/>
      </w:r>
      <w:r w:rsidR="5E730D78" w:rsidRPr="00837161">
        <w:t>.</w:t>
      </w:r>
      <w:r w:rsidRPr="003666A4">
        <w:t xml:space="preserve"> Site-based or ecosystem-based management focuses on a specific area or ecosystem defined by its inherent value (e.g., biosphere reserves, heritage sites or protected areas; </w:t>
      </w:r>
      <w:r w:rsidRPr="003666A4">
        <w:rPr>
          <w:b/>
        </w:rPr>
        <w:t>section 5.3.2</w:t>
      </w:r>
      <w:r w:rsidRPr="003666A4">
        <w:t xml:space="preserve">) and the threat that invasive alien species pose to biodiversity conservation value and management objectives of that site </w:t>
      </w:r>
      <w:r w:rsidR="00A934D9" w:rsidRPr="00837161">
        <w:fldChar w:fldCharType="begin"/>
      </w:r>
      <w:r w:rsidR="000F35EB">
        <w:instrText xml:space="preserve"> ADDIN ZOTERO_ITEM CSL_CITATION {"citationID":"rfkX0XUa","properties":{"formattedCitation":"(Owen &amp; Sheldon, 1996)","plainCitation":"(Owen &amp; Sheldon, 1996)","noteIndex":0},"citationItems":[{"id":11130,"uris":["http://zotero.org/groups/2352922/items/7NGJ3FG8"],"itemData":{"id":11130,"type":"paper-conference","container-title":"Proceedings of the Eleventh Australian Weeds Conference","note":"issue: 5","source":"Google Scholar","title":"Strategies for ecological weed control on conservation lands in New Zealand","URL":"https://caws.org.nz/old-site/awc/1996/awc199615161.pdf","volume":"2","author":[{"family":"Owen","given":"S. J."},{"family":"Sheldon","given":"J. K."}],"issued":{"date-parts":[["1996"]]}},"label":"page"}],"schema":"https://github.com/citation-style-language/schema/raw/master/csl-citation.json"} </w:instrText>
      </w:r>
      <w:r w:rsidR="00A934D9" w:rsidRPr="00837161">
        <w:fldChar w:fldCharType="separate"/>
      </w:r>
      <w:r w:rsidR="00271B78" w:rsidRPr="00271B78">
        <w:t>(Owen &amp; Sheldon, 1996)</w:t>
      </w:r>
      <w:r w:rsidR="00A934D9" w:rsidRPr="00837161">
        <w:fldChar w:fldCharType="end"/>
      </w:r>
      <w:r w:rsidR="3EAD727D" w:rsidRPr="00837161">
        <w:t>.</w:t>
      </w:r>
      <w:r w:rsidRPr="003666A4">
        <w:t xml:space="preserve"> These objectives and ecosystems include the broader socioecological context </w:t>
      </w:r>
      <w:r w:rsidR="00A934D9" w:rsidRPr="00837161">
        <w:rPr>
          <w:rFonts w:eastAsia="Times New Roman"/>
        </w:rPr>
        <w:fldChar w:fldCharType="begin"/>
      </w:r>
      <w:r w:rsidR="000F35EB">
        <w:rPr>
          <w:rFonts w:eastAsia="Times New Roman"/>
        </w:rPr>
        <w:instrText xml:space="preserve"> ADDIN ZOTERO_ITEM CSL_CITATION {"citationID":"fp1chZy2","properties":{"formattedCitation":"(Stokols, 1996)","plainCitation":"(Stokols, 1996)","noteIndex":0},"citationItems":[{"id":25070,"uris":["http://zotero.org/groups/2352922/items/T9XZJ846"],"itemData":{"id":25070,"type":"article-journal","abstract":"Health promotion programs often lack a clearly specified theoretical foundation or are based on narrowly conceived conceptual models. For example, lifestyle modification programs typically emphasize individually focused behavior change strategies, while neglecting the environmental underpinnings of health and illness. This article compares three distinct, yet complementary, theoretical perspectives on health promotion: behavioral change, environmental enhancement, and social ecological models. Key strengths and limitations of each perspective are examined, and core principles of social ecological theory are used to derive practical guidelines for designing and evaluating community health promotion programs. Directions for future health promotion research are discussed, including studies examining the role of intermediaries (e.g., corporate decision-makers, legislators) in promoting the well-being of others, and those evaluating the duration and scope of intervention outcomes.","container-title":"American Journal of Health Promotion","DOI":"10.4278/0890-1171-10.4.282","ISSN":"0890-1171, 2168-6602","issue":"4","journalAbbreviation":"Am J Health Promot","language":"en","page":"282-298","source":"DOI.org (Crossref)","title":"Translating Social Ecological Theory into Guidelines for Community Health Promotion","URL":"http://journals.sagepub.com/doi/10.4278/0890-1171-10.4.282","volume":"10","author":[{"family":"Stokols","given":"Daniel"}],"accessed":{"date-parts":[["2021",3,18]]},"issued":{"date-parts":[["1996",3]]}},"label":"page"}],"schema":"https://github.com/citation-style-language/schema/raw/master/csl-citation.json"} </w:instrText>
      </w:r>
      <w:r w:rsidR="00A934D9" w:rsidRPr="00837161">
        <w:rPr>
          <w:rFonts w:eastAsia="Times New Roman"/>
        </w:rPr>
        <w:fldChar w:fldCharType="separate"/>
      </w:r>
      <w:r w:rsidR="00271B78" w:rsidRPr="00271B78">
        <w:t>(Stokols, 1996)</w:t>
      </w:r>
      <w:r w:rsidR="00A934D9" w:rsidRPr="00837161">
        <w:rPr>
          <w:rFonts w:eastAsia="Times New Roman"/>
        </w:rPr>
        <w:fldChar w:fldCharType="end"/>
      </w:r>
      <w:r w:rsidR="7B7E2D38" w:rsidRPr="00837161">
        <w:rPr>
          <w:rFonts w:eastAsia="Times New Roman"/>
        </w:rPr>
        <w:t>.</w:t>
      </w:r>
      <w:r w:rsidRPr="003666A4">
        <w:t xml:space="preserve"> </w:t>
      </w:r>
    </w:p>
    <w:p w14:paraId="000000C9" w14:textId="478BB315" w:rsidR="00A758FD" w:rsidRPr="00B05859" w:rsidRDefault="00C81287">
      <w:pPr>
        <w:spacing w:before="240" w:after="120" w:line="240" w:lineRule="auto"/>
      </w:pPr>
      <w:bookmarkStart w:id="31" w:name="_heading=h.1t3h5sf" w:colFirst="0" w:colLast="0"/>
      <w:bookmarkEnd w:id="31"/>
      <w:r w:rsidRPr="003666A4">
        <w:t xml:space="preserve">In marine and water connected systems, </w:t>
      </w:r>
      <w:r w:rsidR="00BF6C11" w:rsidRPr="00837161">
        <w:fldChar w:fldCharType="begin"/>
      </w:r>
      <w:r w:rsidR="000F35EB">
        <w:instrText xml:space="preserve"> ADDIN ZOTERO_ITEM CSL_CITATION {"citationID":"yPgadATN","properties":{"formattedCitation":"(Simberloff, 2013)","plainCitation":"(Simberloff, 2013)","dontUpdate":true,"noteIndex":0},"citationItems":[{"id":23806,"uris":["http://zotero.org/groups/2352922/items/CUMB8NFA"],"itemData":{"id":23806,"type":"chapter","abstract":"Invasive alien plant populations have often been eradicated from very small areas, but pessimism about eradication of widely distributed plants pervades the management community. Contributing to this view are several legendary and expensive failed eradication campaigns, the inconspicuous nature of many plants, the existence of soil seed banks, and the perceived expense of eradication over large areas. However, if several years’ worth of the cost of maintenance management campaigns could instead be devoted to a one-shot, well-funded eradication effort, projects that currently seem impossible might be brought within the range of feasibility. Factors in addition to cost that must be considered are whether adequate lines of authority can compel cooperation and prevent sabotage, whether there is sufﬁcient knowledge of the target species to have identiﬁed a feasible approach to eradication that advances the goal of restoration, and the need for intensive monitoring and possible follow-up operations. Especially for PAs, the likelihood of reinvasion from nearby sites is a concern. If an eradication campaign would employ the same general methods as those that would have been used if the goal was maintenance control, there is likely little cost and much potential beneﬁt to attempting eradication. Gradual improvement has occurred in plant eradication programmes through accumulated experience and incremental improvement of longstanding methods. However, the ﬁeld of invasive plant management (including eradication) has not seen the advent of remarkably innovative new approaches and greatly improved records of eradication success that currently foster optimism and enthusiasm among managers dealing with invasive animals.","collection-title":"Invading Nature - Springer Series in Invasion Ecology","container-title":"Plant Invasions in Protected Areas","event-place":"Dordrecht","ISBN":"978-94-007-7749-1","language":"en","note":"DOI: 10.1007/978-94-007-7750-7_25","page":"549-559","publisher":"Springer Netherlands","publisher-place":"Dordrecht","source":"DOI.org (Crossref)","title":"Eradication: Pipe Dream or Real Option?","title-short":"Eradication","URL":"http://link.springer.com/10.1007/978-94-007-7750-7_25","volume":"7","editor":[{"family":"Foxcroft","given":"Llewellyn C."},{"family":"Pyšek","given":"Petr"},{"family":"Richardson","given":"David M."},{"family":"Genovesi","given":"Piero"}],"author":[{"family":"Simberloff","given":"Daniel"}],"accessed":{"date-parts":[["2019",11,4]]},"issued":{"date-parts":[["2013"]]}}}],"schema":"https://github.com/citation-style-language/schema/raw/master/csl-citation.json"} </w:instrText>
      </w:r>
      <w:r w:rsidR="00BF6C11" w:rsidRPr="00837161">
        <w:fldChar w:fldCharType="end"/>
      </w:r>
      <w:r w:rsidR="00BF6C11" w:rsidRPr="00837161">
        <w:fldChar w:fldCharType="begin"/>
      </w:r>
      <w:r w:rsidR="000F35EB">
        <w:instrText xml:space="preserve"> ADDIN ZOTERO_ITEM CSL_CITATION {"citationID":"ZAOru8VN","properties":{"formattedCitation":"(Simberloff, 2013)","plainCitation":"(Simberloff, 2013)","dontUpdate":true,"noteIndex":0},"citationItems":[{"id":23806,"uris":["http://zotero.org/groups/2352922/items/CUMB8NFA"],"itemData":{"id":23806,"type":"chapter","abstract":"Invasive alien plant populations have often been eradicated from very small areas, but pessimism about eradication of widely distributed plants pervades the management community. Contributing to this view are several legendary and expensive failed eradication campaigns, the inconspicuous nature of many plants, the existence of soil seed banks, and the perceived expense of eradication over large areas. However, if several years’ worth of the cost of maintenance management campaigns could instead be devoted to a one-shot, well-funded eradication effort, projects that currently seem impossible might be brought within the range of feasibility. Factors in addition to cost that must be considered are whether adequate lines of authority can compel cooperation and prevent sabotage, whether there is sufﬁcient knowledge of the target species to have identiﬁed a feasible approach to eradication that advances the goal of restoration, and the need for intensive monitoring and possible follow-up operations. Especially for PAs, the likelihood of reinvasion from nearby sites is a concern. If an eradication campaign would employ the same general methods as those that would have been used if the goal was maintenance control, there is likely little cost and much potential beneﬁt to attempting eradication. Gradual improvement has occurred in plant eradication programmes through accumulated experience and incremental improvement of longstanding methods. However, the ﬁeld of invasive plant management (including eradication) has not seen the advent of remarkably innovative new approaches and greatly improved records of eradication success that currently foster optimism and enthusiasm among managers dealing with invasive animals.","collection-title":"Invading Nature - Springer Series in Invasion Ecology","container-title":"Plant Invasions in Protected Areas","event-place":"Dordrecht","ISBN":"978-94-007-7749-1","language":"en","note":"DOI: 10.1007/978-94-007-7750-7_25","page":"549-559","publisher":"Springer Netherlands","publisher-place":"Dordrecht","source":"DOI.org (Crossref)","title":"Eradication: Pipe Dream or Real Option?","title-short":"Eradication","URL":"http://link.springer.com/10.1007/978-94-007-7750-7_25","volume":"7","editor":[{"family":"Foxcroft","given":"Llewellyn C."},{"family":"Pyšek","given":"Petr"},{"family":"Richardson","given":"David M."},{"family":"Genovesi","given":"Piero"}],"author":[{"family":"Simberloff","given":"Daniel"}],"accessed":{"date-parts":[["2019",11,4]]},"issued":{"date-parts":[["2013"]]}}}],"schema":"https://github.com/citation-style-language/schema/raw/master/csl-citation.json"} </w:instrText>
      </w:r>
      <w:r w:rsidR="00BF6C11" w:rsidRPr="00837161">
        <w:fldChar w:fldCharType="end"/>
      </w:r>
      <w:r w:rsidR="00BF6C11" w:rsidRPr="00837161">
        <w:rPr>
          <w:rFonts w:eastAsia="Calibri"/>
        </w:rPr>
        <w:fldChar w:fldCharType="begin"/>
      </w:r>
      <w:r w:rsidR="000F35EB">
        <w:rPr>
          <w:rFonts w:eastAsia="Calibri"/>
        </w:rPr>
        <w:instrText xml:space="preserve"> ADDIN ZOTERO_ITEM CSL_CITATION {"citationID":"Ug47cP0F","properties":{"formattedCitation":"(Peter A. Robertson et al., 2020)","plainCitation":"(Peter A. Robertson et al., 2020)","dontUpdate":true,"noteIndex":0},"citationItems":[{"id":25002,"uris":["http://zotero.org/groups/2352922/items/2UZE9THK"],"itemData":{"id":25002,"type":"article-journal","abstract":"Managing the impacts of invasive alien species (IAS) is a great societal challenge. A wide variety of terms have been used to describe the management of invasive alien species and the sequence in which they might be applied. This variety and lack of consistency creates uncertainty in the presentation and description of management in policy, science and practice. Here we expand on the existing description of the invasion process to develop an IAS management framework. We define the different forms of active management using a novel approach based on changes in species status, avoiding the need for stand-alone descriptions of management types, and provide a complete set of potential management activities. We propose a standardised set of management terminology as an emergent feature of this framework. We identified eight key forms of management: (1) pathway management, (2) interception, (3) limits to keeping, (4) secure keeping, (5) eradication, (6) complete reproductive removal, (7) containment and (8) suppression. We recognise four associated terms: prevention; captive management; rapid eradication; and long-term management, and note the use of impact mitigation and restoration as associated forms of management. We discuss the wider use of this framework and the supporting activities required to ensure management is well-targeted, cost-effective and makes best use of limited resources.","container-title":"Biological Invasions","DOI":"10.1007/s10530-020-02298-2","ISSN":"1573-1464","issue":"9","journalAbbreviation":"Biol Invasions","language":"en","page":"2633-2645","source":"Springer Link","title":"A proposed unified framework to describe the management of biological invasions","URL":"https://doi.org/10.1007/s10530-020-02298-2","volume":"22","author":[{"family":"Robertson","given":"Peter A."},{"family":"Mill","given":"Aileen"},{"family":"Novoa","given":"Ana"},{"family":"Jeschke","given":"Jonathan M."},{"family":"Essl","given":"Franz"},{"family":"Gallardo","given":"Belinda"},{"family":"Geist","given":"Juergen"},{"family":"Jarić","given":"Ivan"},{"family":"Lambin","given":"Xavier"},{"family":"Musseau","given":"Camille"},{"family":"Pergl","given":"Jan"},{"family":"Pyšek","given":"Petr"},{"family":"Rabitsch","given":"Wolfgang"},{"family":"Schmalensee","given":"Menja","non-dropping-particle":"von"},{"family":"Shirley","given":"Mark"},{"family":"Strayer","given":"David L."},{"family":"Stefansson","given":"Robert A."},{"family":"Smith","given":"Kevin"},{"family":"Booy","given":"Olaf"}],"accessed":{"date-parts":[["2020",8,31]]},"issued":{"date-parts":[["2020",9,1]]}}}],"schema":"https://github.com/citation-style-language/schema/raw/master/csl-citation.json"} </w:instrText>
      </w:r>
      <w:r w:rsidR="00BF6C11" w:rsidRPr="00837161">
        <w:rPr>
          <w:rFonts w:eastAsia="Calibri"/>
        </w:rPr>
        <w:fldChar w:fldCharType="end"/>
      </w:r>
      <w:r w:rsidR="00BF6C11" w:rsidRPr="00837161">
        <w:fldChar w:fldCharType="begin"/>
      </w:r>
      <w:r w:rsidR="000F35EB">
        <w:instrText xml:space="preserve"> ADDIN ZOTERO_ITEM CSL_CITATION {"citationID":"lOYQ2Lkn","properties":{"formattedCitation":"(Simberloff, 2013)","plainCitation":"(Simberloff, 2013)","dontUpdate":true,"noteIndex":0},"citationItems":[{"id":23806,"uris":["http://zotero.org/groups/2352922/items/CUMB8NFA"],"itemData":{"id":23806,"type":"chapter","abstract":"Invasive alien plant populations have often been eradicated from very small areas, but pessimism about eradication of widely distributed plants pervades the management community. Contributing to this view are several legendary and expensive failed eradication campaigns, the inconspicuous nature of many plants, the existence of soil seed banks, and the perceived expense of eradication over large areas. However, if several years’ worth of the cost of maintenance management campaigns could instead be devoted to a one-shot, well-funded eradication effort, projects that currently seem impossible might be brought within the range of feasibility. Factors in addition to cost that must be considered are whether adequate lines of authority can compel cooperation and prevent sabotage, whether there is sufﬁcient knowledge of the target species to have identiﬁed a feasible approach to eradication that advances the goal of restoration, and the need for intensive monitoring and possible follow-up operations. Especially for PAs, the likelihood of reinvasion from nearby sites is a concern. If an eradication campaign would employ the same general methods as those that would have been used if the goal was maintenance control, there is likely little cost and much potential beneﬁt to attempting eradication. Gradual improvement has occurred in plant eradication programmes through accumulated experience and incremental improvement of longstanding methods. However, the ﬁeld of invasive plant management (including eradication) has not seen the advent of remarkably innovative new approaches and greatly improved records of eradication success that currently foster optimism and enthusiasm among managers dealing with invasive animals.","collection-title":"Invading Nature - Springer Series in Invasion Ecology","container-title":"Plant Invasions in Protected Areas","event-place":"Dordrecht","ISBN":"978-94-007-7749-1","language":"en","note":"DOI: 10.1007/978-94-007-7750-7_25","page":"549-559","publisher":"Springer Netherlands","publisher-place":"Dordrecht","source":"DOI.org (Crossref)","title":"Eradication: Pipe Dream or Real Option?","title-short":"Eradication","URL":"http://link.springer.com/10.1007/978-94-007-7750-7_25","volume":"7","editor":[{"family":"Foxcroft","given":"Llewellyn C."},{"family":"Pyšek","given":"Petr"},{"family":"Richardson","given":"David M."},{"family":"Genovesi","given":"Piero"}],"author":[{"family":"Simberloff","given":"Daniel"}],"accessed":{"date-parts":[["2019",11,4]]},"issued":{"date-parts":[["2013"]]}}}],"schema":"https://github.com/citation-style-language/schema/raw/master/csl-citation.json"} </w:instrText>
      </w:r>
      <w:r w:rsidR="00BF6C11" w:rsidRPr="00837161">
        <w:fldChar w:fldCharType="end"/>
      </w:r>
      <w:r w:rsidR="00BF6C11" w:rsidRPr="00837161">
        <w:fldChar w:fldCharType="begin"/>
      </w:r>
      <w:r w:rsidR="000F35EB">
        <w:instrText xml:space="preserve"> ADDIN ZOTERO_ITEM CSL_CITATION {"citationID":"tA2whmEP","properties":{"formattedCitation":"(Simberloff, 2013)","plainCitation":"(Simberloff, 2013)","dontUpdate":true,"noteIndex":0},"citationItems":[{"id":23806,"uris":["http://zotero.org/groups/2352922/items/CUMB8NFA"],"itemData":{"id":23806,"type":"chapter","abstract":"Invasive alien plant populations have often been eradicated from very small areas, but pessimism about eradication of widely distributed plants pervades the management community. Contributing to this view are several legendary and expensive failed eradication campaigns, the inconspicuous nature of many plants, the existence of soil seed banks, and the perceived expense of eradication over large areas. However, if several years’ worth of the cost of maintenance management campaigns could instead be devoted to a one-shot, well-funded eradication effort, projects that currently seem impossible might be brought within the range of feasibility. Factors in addition to cost that must be considered are whether adequate lines of authority can compel cooperation and prevent sabotage, whether there is sufﬁcient knowledge of the target species to have identiﬁed a feasible approach to eradication that advances the goal of restoration, and the need for intensive monitoring and possible follow-up operations. Especially for PAs, the likelihood of reinvasion from nearby sites is a concern. If an eradication campaign would employ the same general methods as those that would have been used if the goal was maintenance control, there is likely little cost and much potential beneﬁt to attempting eradication. Gradual improvement has occurred in plant eradication programmes through accumulated experience and incremental improvement of longstanding methods. However, the ﬁeld of invasive plant management (including eradication) has not seen the advent of remarkably innovative new approaches and greatly improved records of eradication success that currently foster optimism and enthusiasm among managers dealing with invasive animals.","collection-title":"Invading Nature - Springer Series in Invasion Ecology","container-title":"Plant Invasions in Protected Areas","event-place":"Dordrecht","ISBN":"978-94-007-7749-1","language":"en","note":"DOI: 10.1007/978-94-007-7750-7_25","page":"549-559","publisher":"Springer Netherlands","publisher-place":"Dordrecht","source":"DOI.org (Crossref)","title":"Eradication: Pipe Dream or Real Option?","title-short":"Eradication","URL":"http://link.springer.com/10.1007/978-94-007-7750-7_25","volume":"7","editor":[{"family":"Foxcroft","given":"Llewellyn C."},{"family":"Pyšek","given":"Petr"},{"family":"Richardson","given":"David M."},{"family":"Genovesi","given":"Piero"}],"author":[{"family":"Simberloff","given":"Daniel"}],"accessed":{"date-parts":[["2019",11,4]]},"issued":{"date-parts":[["2013"]]}}}],"schema":"https://github.com/citation-style-language/schema/raw/master/csl-citation.json"} </w:instrText>
      </w:r>
      <w:r w:rsidR="00BF6C11" w:rsidRPr="00837161">
        <w:fldChar w:fldCharType="end"/>
      </w:r>
      <w:r w:rsidR="00BF6C11" w:rsidRPr="00837161">
        <w:rPr>
          <w:rFonts w:eastAsia="Calibri"/>
        </w:rPr>
        <w:fldChar w:fldCharType="begin"/>
      </w:r>
      <w:r w:rsidR="000F35EB">
        <w:rPr>
          <w:rFonts w:eastAsia="Calibri"/>
        </w:rPr>
        <w:instrText xml:space="preserve"> ADDIN ZOTERO_ITEM CSL_CITATION {"citationID":"TbI7qFnJ","properties":{"formattedCitation":"(Peter A. Robertson et al., 2020)","plainCitation":"(Peter A. Robertson et al., 2020)","dontUpdate":true,"noteIndex":0},"citationItems":[{"id":25002,"uris":["http://zotero.org/groups/2352922/items/2UZE9THK"],"itemData":{"id":25002,"type":"article-journal","abstract":"Managing the impacts of invasive alien species (IAS) is a great societal challenge. A wide variety of terms have been used to describe the management of invasive alien species and the sequence in which they might be applied. This variety and lack of consistency creates uncertainty in the presentation and description of management in policy, science and practice. Here we expand on the existing description of the invasion process to develop an IAS management framework. We define the different forms of active management using a novel approach based on changes in species status, avoiding the need for stand-alone descriptions of management types, and provide a complete set of potential management activities. We propose a standardised set of management terminology as an emergent feature of this framework. We identified eight key forms of management: (1) pathway management, (2) interception, (3) limits to keeping, (4) secure keeping, (5) eradication, (6) complete reproductive removal, (7) containment and (8) suppression. We recognise four associated terms: prevention; captive management; rapid eradication; and long-term management, and note the use of impact mitigation and restoration as associated forms of management. We discuss the wider use of this framework and the supporting activities required to ensure management is well-targeted, cost-effective and makes best use of limited resources.","container-title":"Biological Invasions","DOI":"10.1007/s10530-020-02298-2","ISSN":"1573-1464","issue":"9","journalAbbreviation":"Biol Invasions","language":"en","page":"2633-2645","source":"Springer Link","title":"A proposed unified framework to describe the management of biological invasions","URL":"https://doi.org/10.1007/s10530-020-02298-2","volume":"22","author":[{"family":"Robertson","given":"Peter A."},{"family":"Mill","given":"Aileen"},{"family":"Novoa","given":"Ana"},{"family":"Jeschke","given":"Jonathan M."},{"family":"Essl","given":"Franz"},{"family":"Gallardo","given":"Belinda"},{"family":"Geist","given":"Juergen"},{"family":"Jarić","given":"Ivan"},{"family":"Lambin","given":"Xavier"},{"family":"Musseau","given":"Camille"},{"family":"Pergl","given":"Jan"},{"family":"Pyšek","given":"Petr"},{"family":"Rabitsch","given":"Wolfgang"},{"family":"Schmalensee","given":"Menja","non-dropping-particle":"von"},{"family":"Shirley","given":"Mark"},{"family":"Strayer","given":"David L."},{"family":"Stefansson","given":"Robert A."},{"family":"Smith","given":"Kevin"},{"family":"Booy","given":"Olaf"}],"accessed":{"date-parts":[["2020",8,31]]},"issued":{"date-parts":[["2020",9,1]]}}}],"schema":"https://github.com/citation-style-language/schema/raw/master/csl-citation.json"} </w:instrText>
      </w:r>
      <w:r w:rsidR="00BF6C11" w:rsidRPr="00837161">
        <w:rPr>
          <w:rFonts w:eastAsia="Calibri"/>
        </w:rPr>
        <w:fldChar w:fldCharType="end"/>
      </w:r>
      <w:r w:rsidR="6254BCC6" w:rsidRPr="00837161">
        <w:rPr>
          <w:rFonts w:eastAsia="Times New Roman"/>
        </w:rPr>
        <w:t>post</w:t>
      </w:r>
      <w:r w:rsidR="4857CDC2" w:rsidRPr="00837161">
        <w:rPr>
          <w:rFonts w:eastAsia="Times New Roman"/>
        </w:rPr>
        <w:t xml:space="preserve">-entry management of invasive alien species is generally ineffective </w:t>
      </w:r>
      <w:r w:rsidR="00BF6C11" w:rsidRPr="00837161">
        <w:rPr>
          <w:rFonts w:eastAsia="Times New Roman"/>
        </w:rPr>
        <w:fldChar w:fldCharType="begin"/>
      </w:r>
      <w:r w:rsidR="000F35EB">
        <w:rPr>
          <w:rFonts w:eastAsia="Times New Roman"/>
        </w:rPr>
        <w:instrText xml:space="preserve"> ADDIN ZOTERO_ITEM CSL_CITATION {"citationID":"8lv2oxD8","properties":{"formattedCitation":"(Booy et al., 2020; Lehtiniemi et al., 2015)","plainCitation":"(Booy et al., 2020; Lehtiniemi et al., 2015)","noteIndex":0},"citationItems":[{"id":52439,"uris":["http://zotero.org/groups/2352922/items/XKFD66H3"],"itemData":{"id":52439,"type":"article-journal","container-title":"Global Change Biology","DOI":"10.1111/gcb.15280","ISSN":"1354-1013, 1365-2486","issue":"11","journalAbbreviation":"Global Change Biology","language":"en","page":"6235-6250","source":"DOI.org (Crossref)","title":"Using structured eradication feasibility assessment to prioritize the management of new and emerging invasive alien species in Europe","URL":"https://onlinelibrary.wiley.com/doi/10.1111/gcb.15280","volume":"26","author":[{"family":"Booy","given":"Olaf"},{"family":"Robertson","given":"Pete A."},{"family":"Moore","given":"Niall"},{"family":"Ward","given":"Jess"},{"family":"Roy","given":"Helen E."},{"family":"Adriaens","given":"Tim"},{"family":"Shaw","given":"Richard"},{"family":"Van Valkenburg","given":"Johan"},{"family":"Wyn","given":"Gabrielle"},{"family":"Bertolino","given":"Sandro"},{"family":"Blight","given":"Olivier"},{"family":"Branquart","given":"Etienne"},{"family":"Brundu","given":"Giuseppe"},{"family":"Caffrey","given":"Joe"},{"family":"Capizzi","given":"Dario"},{"family":"Casaer","given":"Jim"},{"family":"De Clerck","given":"Olivier"},{"family":"Coughlan","given":"Neil E."},{"family":"Davis","given":"Eithne"},{"family":"Dick","given":"Jaimie T. A."},{"family":"Essl","given":"Franz"},{"family":"Fried","given":"Guillaume"},{"family":"Genovesi","given":"Piero"},{"family":"González</w:instrText>
      </w:r>
      <w:r w:rsidR="000F35EB">
        <w:rPr>
          <w:rFonts w:eastAsia="Times New Roman" w:hint="eastAsia"/>
        </w:rPr>
        <w:instrText>‐</w:instrText>
      </w:r>
      <w:r w:rsidR="000F35EB">
        <w:rPr>
          <w:rFonts w:eastAsia="Times New Roman"/>
        </w:rPr>
        <w:instrText>Moreno","given":"Pablo"},{"family":"Huysentruyt","given":"Frank"},{"family":"Jenkins","given":"Stuart R."},{"family":"Kerckhof","given":"Francis"},{"family":"Lucy","given":"Frances E."},{"family":"Nentwig","given":"Wolfgang"},{"family":"Newman","given":"Jonathan"},{"family":"Rabitsch","given":"Wolfgang"},{"family":"Roy","given":"Sugoto"},{"family":"Starfinger","given":"Uwe"},{"family":"Stebbing","given":"Paul D."},{"family":"Stuyck","given":"Jan"},{"family":"Sutton</w:instrText>
      </w:r>
      <w:r w:rsidR="000F35EB">
        <w:rPr>
          <w:rFonts w:eastAsia="Times New Roman" w:hint="eastAsia"/>
        </w:rPr>
        <w:instrText>‐</w:instrText>
      </w:r>
      <w:r w:rsidR="000F35EB">
        <w:rPr>
          <w:rFonts w:eastAsia="Times New Roman"/>
        </w:rPr>
        <w:instrText xml:space="preserve">Croft","given":"Mike"},{"family":"Tricarico","given":"Elena"},{"family":"Vanderhoeven","given":"Sonia"},{"family":"Verreycken","given":"Hugo"},{"family":"Mill","given":"Aileen C."}],"accessed":{"date-parts":[["2022",6,3]]},"issued":{"date-parts":[["2020",11]]}},"label":"page"},{"id":29576,"uris":["http://zotero.org/groups/2352922/items/ZJRYDSU2"],"itemData":{"id":29576,"type":"article-journal","abstract":"Non-indigenous species (NIS) are recognized as a global threat to biodiversity and monitoring their presence and impacts is considered a prerequisite for marine environmental management and sustainable development. However, monitoring for NIS seldom takes place except for a few baseline surveys. With the goal of serving the requirements of the EU Marine Strategy Framework Directive and the EU Regulation on the prevention and management of the introduction and spread of invasive alien species, the paper highlights the importance of early detection of NIS in dispersal hubs for a rapid management response, and of long-term monitoring for tracking the effects of NIS within recipient ecosystems, including coastal systems especially vulnerable to introductions. The conceptual framework also demonstrates the need for port monitoring, which should serve the above mentioned requirements but also provide the required information for implementation of the International Convention for the Control and Management of Ships Ballast Water and Sediments. Large scale monitoring of native, cryptogenic and NIS in natural and man-made habitats will collectively lead to meeting international requirements. Cost-efﬁcient rapid assessments of target species may provide timely information for managers and policy-advisers focusing on particular NIS at particular localities, but this cannot replace long-term monitoring. To support legislative requirements, collected data should be veriﬁed and stored in a publicly accessible and routinely updated database/information system. Public involvement should be encouraged as part of monitoring programs where feasible.","container-title":"Marine Policy","DOI":"10.1016/j.marpol.2014.12.015","ISSN":"0308597X","journalAbbreviation":"Marine Policy","language":"en","page":"26-35","source":"DOI.org (Crossref)","title":"Dose of truth-Monitoring marine non-indigenous species to serve legislative requirements","URL":"https://linkinghub.elsevier.com/retrieve/pii/S0308597X14003522","volume":"54","author":[{"family":"Lehtiniemi","given":"Maiju"},{"family":"Ojaveer","given":"Henn"},{"family":"David","given":"Matej"},{"family":"Galil","given":"Bella"},{"family":"Gollasch","given":"Stephan"},{"family":"McKenzie","given":"Cynthia"},{"family":"Minchin","given":"Dan"},{"family":"Occhipinti-Ambrogi","given":"Anna"},{"family":"Olenin","given":"Sergej"},{"family":"Pederson","given":"Judith"}],"accessed":{"date-parts":[["2021",7,26]]},"issued":{"date-parts":[["2015",4]]}},"label":"page"}],"schema":"https://github.com/citation-style-language/schema/raw/master/csl-citation.json"} </w:instrText>
      </w:r>
      <w:r w:rsidR="00BF6C11" w:rsidRPr="00837161">
        <w:rPr>
          <w:rFonts w:eastAsia="Times New Roman"/>
        </w:rPr>
        <w:fldChar w:fldCharType="separate"/>
      </w:r>
      <w:r w:rsidR="00271B78" w:rsidRPr="00271B78">
        <w:t>(Booy et al., 2020; Lehtiniemi et al., 2015)</w:t>
      </w:r>
      <w:r w:rsidR="00BF6C11" w:rsidRPr="00837161">
        <w:rPr>
          <w:rFonts w:eastAsia="Times New Roman"/>
        </w:rPr>
        <w:fldChar w:fldCharType="end"/>
      </w:r>
      <w:r w:rsidR="24A18C6F" w:rsidRPr="00837161">
        <w:rPr>
          <w:rFonts w:eastAsia="Times New Roman"/>
        </w:rPr>
        <w:t>.</w:t>
      </w:r>
      <w:r w:rsidR="4857CDC2" w:rsidRPr="00837161">
        <w:rPr>
          <w:rFonts w:eastAsia="Times New Roman"/>
        </w:rPr>
        <w:t xml:space="preserve"> Therefore, prevention at the pre-entry phase</w:t>
      </w:r>
      <w:r w:rsidR="00C16EEB">
        <w:rPr>
          <w:rFonts w:eastAsia="Times New Roman"/>
        </w:rPr>
        <w:t xml:space="preserve"> and</w:t>
      </w:r>
      <w:r w:rsidR="4857CDC2" w:rsidRPr="00837161">
        <w:rPr>
          <w:rFonts w:eastAsia="Times New Roman"/>
        </w:rPr>
        <w:t xml:space="preserve"> surveillance and early detection before the establishment stage are the </w:t>
      </w:r>
      <w:r w:rsidR="3B19BDE6" w:rsidRPr="00837161">
        <w:rPr>
          <w:rFonts w:eastAsia="Times New Roman"/>
        </w:rPr>
        <w:t>most</w:t>
      </w:r>
      <w:r w:rsidR="4857CDC2" w:rsidRPr="00837161">
        <w:rPr>
          <w:rFonts w:eastAsia="Times New Roman"/>
        </w:rPr>
        <w:t xml:space="preserve"> effective management options in these ecosystems. </w:t>
      </w:r>
      <w:r w:rsidR="143BA6EB" w:rsidRPr="00837161">
        <w:rPr>
          <w:rFonts w:eastAsia="Times New Roman"/>
        </w:rPr>
        <w:t>In th</w:t>
      </w:r>
      <w:r w:rsidR="4C86CF80" w:rsidRPr="00837161">
        <w:rPr>
          <w:rFonts w:eastAsia="Times New Roman"/>
        </w:rPr>
        <w:t>e marine</w:t>
      </w:r>
      <w:r w:rsidR="143BA6EB" w:rsidRPr="00837161">
        <w:rPr>
          <w:rFonts w:eastAsia="Times New Roman"/>
        </w:rPr>
        <w:t xml:space="preserve"> context</w:t>
      </w:r>
      <w:r w:rsidR="2E83925D" w:rsidRPr="00837161">
        <w:rPr>
          <w:rFonts w:eastAsia="Times New Roman"/>
        </w:rPr>
        <w:t>,</w:t>
      </w:r>
      <w:r w:rsidR="143BA6EB" w:rsidRPr="00837161">
        <w:rPr>
          <w:rFonts w:eastAsia="Times New Roman"/>
        </w:rPr>
        <w:t xml:space="preserve"> site</w:t>
      </w:r>
      <w:r w:rsidR="4C86CF80" w:rsidRPr="00837161">
        <w:rPr>
          <w:rFonts w:eastAsia="Times New Roman"/>
        </w:rPr>
        <w:t xml:space="preserve">-based activities </w:t>
      </w:r>
      <w:r w:rsidR="78484F29" w:rsidRPr="00837161">
        <w:rPr>
          <w:rFonts w:eastAsia="Times New Roman"/>
        </w:rPr>
        <w:t xml:space="preserve">mainly </w:t>
      </w:r>
      <w:r w:rsidR="245AA8CD" w:rsidRPr="00837161">
        <w:rPr>
          <w:rFonts w:eastAsia="Times New Roman"/>
        </w:rPr>
        <w:t>consist of surv</w:t>
      </w:r>
      <w:r w:rsidR="4C86CF80" w:rsidRPr="00837161">
        <w:rPr>
          <w:rFonts w:eastAsia="Times New Roman"/>
        </w:rPr>
        <w:t>e</w:t>
      </w:r>
      <w:r w:rsidR="245AA8CD" w:rsidRPr="00837161">
        <w:rPr>
          <w:rFonts w:eastAsia="Times New Roman"/>
        </w:rPr>
        <w:t xml:space="preserve">illance </w:t>
      </w:r>
      <w:r w:rsidR="143BA6EB" w:rsidRPr="00837161">
        <w:rPr>
          <w:rFonts w:eastAsia="Times New Roman"/>
        </w:rPr>
        <w:t xml:space="preserve">(e.g., </w:t>
      </w:r>
      <w:r w:rsidR="00D20EF2" w:rsidRPr="00837161">
        <w:rPr>
          <w:rFonts w:eastAsia="Times New Roman"/>
        </w:rPr>
        <w:t xml:space="preserve">in </w:t>
      </w:r>
      <w:r w:rsidR="143BA6EB" w:rsidRPr="00837161">
        <w:rPr>
          <w:rFonts w:eastAsia="Times New Roman"/>
        </w:rPr>
        <w:t xml:space="preserve">ports, </w:t>
      </w:r>
      <w:r w:rsidR="00837161" w:rsidRPr="00837161">
        <w:rPr>
          <w:rFonts w:eastAsia="Times New Roman"/>
        </w:rPr>
        <w:t>harbours</w:t>
      </w:r>
      <w:r w:rsidR="143BA6EB" w:rsidRPr="00837161">
        <w:rPr>
          <w:rFonts w:eastAsia="Times New Roman"/>
        </w:rPr>
        <w:t>, mariculture facilities and marine protected areas)</w:t>
      </w:r>
      <w:r w:rsidR="6631E393" w:rsidRPr="00837161">
        <w:rPr>
          <w:rFonts w:eastAsia="Times New Roman"/>
        </w:rPr>
        <w:t>.</w:t>
      </w:r>
      <w:r w:rsidR="143BA6EB" w:rsidRPr="00837161">
        <w:rPr>
          <w:rFonts w:eastAsia="Times New Roman"/>
        </w:rPr>
        <w:t xml:space="preserve"> </w:t>
      </w:r>
      <w:r w:rsidR="4BD40979" w:rsidRPr="00837161">
        <w:rPr>
          <w:rFonts w:eastAsia="Times New Roman"/>
        </w:rPr>
        <w:t>E</w:t>
      </w:r>
      <w:r w:rsidR="4857CDC2" w:rsidRPr="00837161">
        <w:rPr>
          <w:rFonts w:eastAsia="Times New Roman"/>
        </w:rPr>
        <w:t xml:space="preserve">radication </w:t>
      </w:r>
      <w:r w:rsidR="6B180989" w:rsidRPr="00837161">
        <w:rPr>
          <w:rFonts w:eastAsia="Times New Roman"/>
        </w:rPr>
        <w:t>of established invasive alien species is rarely achiev</w:t>
      </w:r>
      <w:r w:rsidR="2AFD570A" w:rsidRPr="00837161">
        <w:rPr>
          <w:rFonts w:eastAsia="Times New Roman"/>
        </w:rPr>
        <w:t>ed in these ecosystems and</w:t>
      </w:r>
      <w:r w:rsidR="4857CDC2" w:rsidRPr="00837161">
        <w:rPr>
          <w:rFonts w:eastAsia="Times New Roman"/>
        </w:rPr>
        <w:t xml:space="preserve"> may be possible only for sessile or low mobility </w:t>
      </w:r>
      <w:r w:rsidR="7A68BA1A" w:rsidRPr="00837161">
        <w:rPr>
          <w:rFonts w:eastAsia="Times New Roman"/>
        </w:rPr>
        <w:t xml:space="preserve">organisms </w:t>
      </w:r>
      <w:r w:rsidR="00BF6C11" w:rsidRPr="00837161">
        <w:rPr>
          <w:rFonts w:eastAsia="Times New Roman"/>
        </w:rPr>
        <w:fldChar w:fldCharType="begin"/>
      </w:r>
      <w:r w:rsidR="000F35EB">
        <w:rPr>
          <w:rFonts w:eastAsia="Times New Roman"/>
        </w:rPr>
        <w:instrText xml:space="preserve"> ADDIN ZOTERO_ITEM CSL_CITATION {"citationID":"6fk5rZBI","properties":{"formattedCitation":"(Lehtiniemi et al., 2015)","plainCitation":"(Lehtiniemi et al., 2015)","noteIndex":0},"citationItems":[{"id":29576,"uris":["http://zotero.org/groups/2352922/items/ZJRYDSU2"],"itemData":{"id":29576,"type":"article-journal","abstract":"Non-indigenous species (NIS) are recognized as a global threat to biodiversity and monitoring their presence and impacts is considered a prerequisite for marine environmental management and sustainable development. However, monitoring for NIS seldom takes place except for a few baseline surveys. With the goal of serving the requirements of the EU Marine Strategy Framework Directive and the EU Regulation on the prevention and management of the introduction and spread of invasive alien species, the paper highlights the importance of early detection of NIS in dispersal hubs for a rapid management response, and of long-term monitoring for tracking the effects of NIS within recipient ecosystems, including coastal systems especially vulnerable to introductions. The conceptual framework also demonstrates the need for port monitoring, which should serve the above mentioned requirements but also provide the required information for implementation of the International Convention for the Control and Management of Ships Ballast Water and Sediments. Large scale monitoring of native, cryptogenic and NIS in natural and man-made habitats will collectively lead to meeting international requirements. Cost-efﬁcient rapid assessments of target species may provide timely information for managers and policy-advisers focusing on particular NIS at particular localities, but this cannot replace long-term monitoring. To support legislative requirements, collected data should be veriﬁed and stored in a publicly accessible and routinely updated database/information system. Public involvement should be encouraged as part of monitoring programs where feasible.","container-title":"Marine Policy","DOI":"10.1016/j.marpol.2014.12.015","ISSN":"0308597X","journalAbbreviation":"Marine Policy","language":"en","page":"26-35","source":"DOI.org (Crossref)","title":"Dose of truth-Monitoring marine non-indigenous species to serve legislative requirements","URL":"https://linkinghub.elsevier.com/retrieve/pii/S0308597X14003522","volume":"54","author":[{"family":"Lehtiniemi","given":"Maiju"},{"family":"Ojaveer","given":"Henn"},{"family":"David","given":"Matej"},{"family":"Galil","given":"Bella"},{"family":"Gollasch","given":"Stephan"},{"family":"McKenzie","given":"Cynthia"},{"family":"Minchin","given":"Dan"},{"family":"Occhipinti-Ambrogi","given":"Anna"},{"family":"Olenin","given":"Sergej"},{"family":"Pederson","given":"Judith"}],"accessed":{"date-parts":[["2021",7,26]]},"issued":{"date-parts":[["2015",4]]}},"label":"page"}],"schema":"https://github.com/citation-style-language/schema/raw/master/csl-citation.json"} </w:instrText>
      </w:r>
      <w:r w:rsidR="00BF6C11" w:rsidRPr="00837161">
        <w:rPr>
          <w:rFonts w:eastAsia="Times New Roman"/>
        </w:rPr>
        <w:fldChar w:fldCharType="separate"/>
      </w:r>
      <w:r w:rsidR="00271B78" w:rsidRPr="00271B78">
        <w:t>(Lehtiniemi et al., 2015)</w:t>
      </w:r>
      <w:r w:rsidR="00BF6C11" w:rsidRPr="00837161">
        <w:rPr>
          <w:rFonts w:eastAsia="Times New Roman"/>
        </w:rPr>
        <w:fldChar w:fldCharType="end"/>
      </w:r>
      <w:r w:rsidR="01C9A723" w:rsidRPr="00837161">
        <w:rPr>
          <w:rFonts w:eastAsia="Times New Roman"/>
        </w:rPr>
        <w:t xml:space="preserve">, </w:t>
      </w:r>
      <w:r w:rsidR="66F4DEFB" w:rsidRPr="00837161">
        <w:rPr>
          <w:rFonts w:eastAsia="Times New Roman"/>
        </w:rPr>
        <w:t xml:space="preserve">with few examples </w:t>
      </w:r>
      <w:r w:rsidR="01C9A723" w:rsidRPr="00837161">
        <w:rPr>
          <w:rFonts w:eastAsia="Times New Roman"/>
        </w:rPr>
        <w:t>of</w:t>
      </w:r>
      <w:r w:rsidR="4AF1E77D" w:rsidRPr="00837161">
        <w:rPr>
          <w:rFonts w:eastAsia="Times New Roman"/>
        </w:rPr>
        <w:t xml:space="preserve"> </w:t>
      </w:r>
      <w:r w:rsidR="01C9A723" w:rsidRPr="00837161">
        <w:rPr>
          <w:rFonts w:eastAsia="Times New Roman"/>
        </w:rPr>
        <w:t>chemical control (</w:t>
      </w:r>
      <w:r w:rsidR="01C9A723" w:rsidRPr="00636579">
        <w:rPr>
          <w:rFonts w:eastAsia="Times New Roman"/>
          <w:b/>
          <w:iCs/>
        </w:rPr>
        <w:t xml:space="preserve">section </w:t>
      </w:r>
      <w:r w:rsidR="00186DB4" w:rsidRPr="00636579">
        <w:rPr>
          <w:rFonts w:eastAsia="Times New Roman"/>
          <w:b/>
          <w:iCs/>
        </w:rPr>
        <w:t>5.5.3</w:t>
      </w:r>
      <w:r w:rsidR="01C9A723" w:rsidRPr="00837161">
        <w:rPr>
          <w:rFonts w:eastAsia="Times New Roman"/>
        </w:rPr>
        <w:t>)</w:t>
      </w:r>
      <w:r w:rsidR="3684A725" w:rsidRPr="00837161">
        <w:rPr>
          <w:rFonts w:eastAsia="Times New Roman"/>
        </w:rPr>
        <w:t xml:space="preserve"> in small bays or enclosed </w:t>
      </w:r>
      <w:r w:rsidR="54FBE743" w:rsidRPr="00837161">
        <w:rPr>
          <w:rFonts w:eastAsia="Times New Roman"/>
        </w:rPr>
        <w:t>waters</w:t>
      </w:r>
      <w:r w:rsidR="01C9A723" w:rsidRPr="00837161">
        <w:rPr>
          <w:rFonts w:eastAsia="Times New Roman"/>
        </w:rPr>
        <w:t xml:space="preserve">. </w:t>
      </w:r>
      <w:r w:rsidR="6E44ACCF" w:rsidRPr="00837161">
        <w:rPr>
          <w:rFonts w:eastAsia="Times New Roman"/>
        </w:rPr>
        <w:t>Nonetheless</w:t>
      </w:r>
      <w:r w:rsidR="01C9A723" w:rsidRPr="00837161">
        <w:rPr>
          <w:rFonts w:eastAsia="Times New Roman"/>
        </w:rPr>
        <w:t xml:space="preserve">, prevention is the </w:t>
      </w:r>
      <w:r w:rsidR="333B182F" w:rsidRPr="00837161">
        <w:rPr>
          <w:rFonts w:eastAsia="Times New Roman"/>
        </w:rPr>
        <w:t>optimal</w:t>
      </w:r>
      <w:r w:rsidR="01C9A723" w:rsidRPr="00837161">
        <w:rPr>
          <w:rFonts w:eastAsia="Times New Roman"/>
        </w:rPr>
        <w:t xml:space="preserve"> viable option to avoid negative consequences of </w:t>
      </w:r>
      <w:r w:rsidR="00B05859">
        <w:t xml:space="preserve">invasive alien species </w:t>
      </w:r>
      <w:r w:rsidR="00BF6C11" w:rsidRPr="00837161">
        <w:rPr>
          <w:color w:val="000000" w:themeColor="text1"/>
        </w:rPr>
        <w:fldChar w:fldCharType="begin"/>
      </w:r>
      <w:r w:rsidR="000F35EB">
        <w:rPr>
          <w:color w:val="000000" w:themeColor="text1"/>
        </w:rPr>
        <w:instrText xml:space="preserve"> ADDIN ZOTERO_ITEM CSL_CITATION {"citationID":"NFjB63cy","properties":{"formattedCitation":"(Galil, Danovaro, et al., 2019)","plainCitation":"(Galil, Danovaro, et al., 2019)","noteIndex":0},"citationItems":[{"id":29809,"uris":["http://zotero.org/groups/2352922/items/ZKNMZTLN"],"itemData":{"id":29809,"type":"article-journal","container-title":"Biological Invasions","DOI":"10.1007/s10530-018-1826-9","ISSN":"1387-3547, 1573-1464","issue":"2","journalAbbreviation":"Biol Invasions","language":"en","page":"281-288","source":"DOI.org (Crossref)","title":"Invasive biota in the deep-sea Mediterranean: an emerging issue in marine conservation and management","title-short":"Invasive biota in the deep-sea Mediterranean","URL":"http://link.springer.com/10.1007/s10530-018-1826-9","volume":"21","author":[{"family":"Galil","given":"Bella S."},{"family":"Danovaro","given":"R."},{"family":"Rothman","given":"S. B. S."},{"family":"Gevili","given":"R."},{"family":"Goren","given":"M."}],"accessed":{"date-parts":[["2019",10,30]]},"issued":{"date-parts":[["2019",2]]}},"label":"page"}],"schema":"https://github.com/citation-style-language/schema/raw/master/csl-citation.json"} </w:instrText>
      </w:r>
      <w:r w:rsidR="00BF6C11" w:rsidRPr="00837161">
        <w:rPr>
          <w:color w:val="000000" w:themeColor="text1"/>
        </w:rPr>
        <w:fldChar w:fldCharType="separate"/>
      </w:r>
      <w:r w:rsidR="00271B78" w:rsidRPr="00271B78">
        <w:t>(Galil, Danovaro, et al., 2019)</w:t>
      </w:r>
      <w:r w:rsidR="00BF6C11" w:rsidRPr="00837161">
        <w:rPr>
          <w:color w:val="000000" w:themeColor="text1"/>
        </w:rPr>
        <w:fldChar w:fldCharType="end"/>
      </w:r>
      <w:r w:rsidR="01C9A723" w:rsidRPr="00837161">
        <w:t xml:space="preserve"> in marine systems</w:t>
      </w:r>
      <w:r w:rsidR="01C9A723" w:rsidRPr="00837161">
        <w:rPr>
          <w:rFonts w:eastAsia="Times New Roman"/>
        </w:rPr>
        <w:t xml:space="preserve"> g</w:t>
      </w:r>
      <w:r w:rsidR="01C9A723" w:rsidRPr="00837161">
        <w:t xml:space="preserve">iven the complex nature </w:t>
      </w:r>
      <w:r w:rsidR="002502C4" w:rsidRPr="00837161">
        <w:t>(</w:t>
      </w:r>
      <w:r w:rsidR="00636579">
        <w:rPr>
          <w:b/>
          <w:iCs/>
        </w:rPr>
        <w:t>G</w:t>
      </w:r>
      <w:r w:rsidR="0014078C" w:rsidRPr="00636579">
        <w:rPr>
          <w:b/>
          <w:iCs/>
        </w:rPr>
        <w:t>lossary</w:t>
      </w:r>
      <w:r w:rsidR="0014078C" w:rsidRPr="00837161">
        <w:t xml:space="preserve">) </w:t>
      </w:r>
      <w:r w:rsidR="01C9A723" w:rsidRPr="00837161">
        <w:t>and vastness of these environments for implementing management procedures</w:t>
      </w:r>
      <w:r w:rsidR="4857CDC2" w:rsidRPr="00837161">
        <w:rPr>
          <w:rFonts w:eastAsia="Times New Roman"/>
        </w:rPr>
        <w:t>.</w:t>
      </w:r>
      <w:r w:rsidR="4857CDC2" w:rsidRPr="00837161">
        <w:rPr>
          <w:rFonts w:eastAsia="Times New Roman"/>
          <w:color w:val="FF0000"/>
        </w:rPr>
        <w:t xml:space="preserve"> </w:t>
      </w:r>
      <w:r w:rsidR="4857CDC2" w:rsidRPr="00837161">
        <w:rPr>
          <w:rFonts w:eastAsia="Times New Roman"/>
        </w:rPr>
        <w:t xml:space="preserve">Early detection is important, even if eradication is not achievable, to explore the possibility of mitigation </w:t>
      </w:r>
      <w:r w:rsidR="00BF6C11" w:rsidRPr="00837161">
        <w:rPr>
          <w:rFonts w:eastAsia="Times New Roman"/>
        </w:rPr>
        <w:fldChar w:fldCharType="begin"/>
      </w:r>
      <w:r w:rsidR="000F35EB">
        <w:rPr>
          <w:rFonts w:eastAsia="Times New Roman"/>
        </w:rPr>
        <w:instrText xml:space="preserve"> ADDIN ZOTERO_ITEM CSL_CITATION {"citationID":"cDLabcIj","properties":{"formattedCitation":"(Lehtiniemi et al., 2015)","plainCitation":"(Lehtiniemi et al., 2015)","noteIndex":0},"citationItems":[{"id":29576,"uris":["http://zotero.org/groups/2352922/items/ZJRYDSU2"],"itemData":{"id":29576,"type":"article-journal","abstract":"Non-indigenous species (NIS) are recognized as a global threat to biodiversity and monitoring their presence and impacts is considered a prerequisite for marine environmental management and sustainable development. However, monitoring for NIS seldom takes place except for a few baseline surveys. With the goal of serving the requirements of the EU Marine Strategy Framework Directive and the EU Regulation on the prevention and management of the introduction and spread of invasive alien species, the paper highlights the importance of early detection of NIS in dispersal hubs for a rapid management response, and of long-term monitoring for tracking the effects of NIS within recipient ecosystems, including coastal systems especially vulnerable to introductions. The conceptual framework also demonstrates the need for port monitoring, which should serve the above mentioned requirements but also provide the required information for implementation of the International Convention for the Control and Management of Ships Ballast Water and Sediments. Large scale monitoring of native, cryptogenic and NIS in natural and man-made habitats will collectively lead to meeting international requirements. Cost-efﬁcient rapid assessments of target species may provide timely information for managers and policy-advisers focusing on particular NIS at particular localities, but this cannot replace long-term monitoring. To support legislative requirements, collected data should be veriﬁed and stored in a publicly accessible and routinely updated database/information system. Public involvement should be encouraged as part of monitoring programs where feasible.","container-title":"Marine Policy","DOI":"10.1016/j.marpol.2014.12.015","ISSN":"0308597X","journalAbbreviation":"Marine Policy","language":"en","page":"26-35","source":"DOI.org (Crossref)","title":"Dose of truth-Monitoring marine non-indigenous species to serve legislative requirements","URL":"https://linkinghub.elsevier.com/retrieve/pii/S0308597X14003522","volume":"54","author":[{"family":"Lehtiniemi","given":"Maiju"},{"family":"Ojaveer","given":"Henn"},{"family":"David","given":"Matej"},{"family":"Galil","given":"Bella"},{"family":"Gollasch","given":"Stephan"},{"family":"McKenzie","given":"Cynthia"},{"family":"Minchin","given":"Dan"},{"family":"Occhipinti-Ambrogi","given":"Anna"},{"family":"Olenin","given":"Sergej"},{"family":"Pederson","given":"Judith"}],"accessed":{"date-parts":[["2021",7,26]]},"issued":{"date-parts":[["2015",4]]}}}],"schema":"https://github.com/citation-style-language/schema/raw/master/csl-citation.json"} </w:instrText>
      </w:r>
      <w:r w:rsidR="00BF6C11" w:rsidRPr="00837161">
        <w:rPr>
          <w:rFonts w:eastAsia="Times New Roman"/>
        </w:rPr>
        <w:fldChar w:fldCharType="separate"/>
      </w:r>
      <w:r w:rsidR="00271B78" w:rsidRPr="00271B78">
        <w:t>(Lehtiniemi et al., 2015)</w:t>
      </w:r>
      <w:r w:rsidR="00BF6C11" w:rsidRPr="00837161">
        <w:rPr>
          <w:rFonts w:eastAsia="Times New Roman"/>
        </w:rPr>
        <w:fldChar w:fldCharType="end"/>
      </w:r>
      <w:r w:rsidR="4857CDC2" w:rsidRPr="00837161">
        <w:rPr>
          <w:rFonts w:eastAsia="Times New Roman"/>
        </w:rPr>
        <w:t>.</w:t>
      </w:r>
      <w:r w:rsidRPr="00B05859">
        <w:t xml:space="preserve"> </w:t>
      </w:r>
      <w:bookmarkStart w:id="32" w:name="_Hlk110327112"/>
      <w:r w:rsidRPr="00B05859">
        <w:t>In any case, all management actions would need resourcing for the costs of stakeholder engagement and communication, implementation of techniques and tools, restoration and long-term evaluation.</w:t>
      </w:r>
      <w:bookmarkEnd w:id="32"/>
    </w:p>
    <w:p w14:paraId="000000CA" w14:textId="77777777" w:rsidR="00A758FD" w:rsidRPr="00C0338D" w:rsidRDefault="00C81287" w:rsidP="002F2F42">
      <w:pPr>
        <w:pStyle w:val="Heading2"/>
      </w:pPr>
      <w:bookmarkStart w:id="33" w:name="_Toc146810101"/>
      <w:bookmarkStart w:id="34" w:name="_Toc69313953"/>
      <w:bookmarkStart w:id="35" w:name="_Toc87623124"/>
      <w:bookmarkStart w:id="36" w:name="_Toc131681626"/>
      <w:bookmarkStart w:id="37" w:name="_Toc149555466"/>
      <w:bookmarkStart w:id="38" w:name="_Toc26705983"/>
      <w:r w:rsidRPr="00B05859">
        <w:t>Scope of the chapter</w:t>
      </w:r>
      <w:bookmarkEnd w:id="33"/>
      <w:bookmarkEnd w:id="34"/>
      <w:bookmarkEnd w:id="35"/>
      <w:bookmarkEnd w:id="36"/>
      <w:bookmarkEnd w:id="37"/>
    </w:p>
    <w:p w14:paraId="3F1AFC91" w14:textId="3338D52F" w:rsidR="00B05859" w:rsidRDefault="00C81287" w:rsidP="00C11DFA">
      <w:pPr>
        <w:pStyle w:val="BodyText"/>
        <w:spacing w:before="240" w:line="240" w:lineRule="auto"/>
        <w:ind w:right="245"/>
        <w:rPr>
          <w:rFonts w:ascii="Times New Roman" w:hAnsi="Times New Roman"/>
          <w:lang w:val="en-GB"/>
        </w:rPr>
      </w:pPr>
      <w:r w:rsidRPr="00AC1F76">
        <w:rPr>
          <w:rFonts w:ascii="Times New Roman" w:hAnsi="Times New Roman"/>
          <w:b/>
          <w:color w:val="000000" w:themeColor="text1"/>
        </w:rPr>
        <w:t>Chapter 5</w:t>
      </w:r>
      <w:r w:rsidRPr="00AC1F76">
        <w:rPr>
          <w:rFonts w:ascii="Times New Roman" w:hAnsi="Times New Roman"/>
          <w:color w:val="000000" w:themeColor="text1"/>
        </w:rPr>
        <w:t>, which covers all the key elements of management</w:t>
      </w:r>
      <w:r w:rsidR="5A7C5823" w:rsidRPr="00AC1F76">
        <w:rPr>
          <w:rFonts w:ascii="Times New Roman" w:hAnsi="Times New Roman"/>
          <w:color w:val="000000" w:themeColor="text1"/>
        </w:rPr>
        <w:t xml:space="preserve"> </w:t>
      </w:r>
      <w:r w:rsidR="7CC0C9FF" w:rsidRPr="00B05859">
        <w:rPr>
          <w:rFonts w:ascii="Times New Roman" w:hAnsi="Times New Roman"/>
        </w:rPr>
        <w:t>of biological invasions</w:t>
      </w:r>
      <w:r w:rsidRPr="00B05859">
        <w:rPr>
          <w:rFonts w:ascii="Times New Roman" w:hAnsi="Times New Roman"/>
        </w:rPr>
        <w:t xml:space="preserve"> </w:t>
      </w:r>
      <w:r w:rsidRPr="00AC1F76">
        <w:rPr>
          <w:rFonts w:ascii="Times New Roman" w:hAnsi="Times New Roman"/>
          <w:color w:val="000000" w:themeColor="text1"/>
        </w:rPr>
        <w:t xml:space="preserve">along the management-invasion continuum </w:t>
      </w:r>
      <w:r w:rsidR="00DF5C49" w:rsidRPr="00B05859">
        <w:rPr>
          <w:rFonts w:ascii="Times New Roman" w:hAnsi="Times New Roman"/>
          <w:lang w:val="en-GB"/>
        </w:rPr>
        <w:t>(</w:t>
      </w:r>
      <w:r w:rsidR="00191A6E" w:rsidRPr="00191A6E">
        <w:rPr>
          <w:rFonts w:ascii="Times New Roman" w:hAnsi="Times New Roman"/>
          <w:b/>
          <w:iCs/>
        </w:rPr>
        <w:t>Figure 5.1</w:t>
      </w:r>
      <w:r w:rsidR="00DF5C49" w:rsidRPr="00B05859">
        <w:rPr>
          <w:rFonts w:ascii="Times New Roman" w:hAnsi="Times New Roman"/>
          <w:lang w:val="en-GB"/>
        </w:rPr>
        <w:t>),</w:t>
      </w:r>
      <w:r w:rsidRPr="00B05859">
        <w:rPr>
          <w:rFonts w:ascii="Times New Roman" w:hAnsi="Times New Roman"/>
          <w:lang w:val="en-GB"/>
        </w:rPr>
        <w:t xml:space="preserve"> consists of an introduction section (</w:t>
      </w:r>
      <w:r w:rsidRPr="00B05859">
        <w:rPr>
          <w:rFonts w:ascii="Times New Roman" w:hAnsi="Times New Roman"/>
          <w:b/>
          <w:lang w:val="en-GB"/>
        </w:rPr>
        <w:t>section 5.1</w:t>
      </w:r>
      <w:r w:rsidRPr="00B05859">
        <w:rPr>
          <w:rFonts w:ascii="Times New Roman" w:hAnsi="Times New Roman"/>
          <w:lang w:val="en-GB"/>
        </w:rPr>
        <w:t>) and five theme-specific sections (</w:t>
      </w:r>
      <w:r w:rsidRPr="00B05859">
        <w:rPr>
          <w:rFonts w:ascii="Times New Roman" w:hAnsi="Times New Roman"/>
          <w:b/>
          <w:lang w:val="en-GB"/>
        </w:rPr>
        <w:t xml:space="preserve">sections 5.2 </w:t>
      </w:r>
      <w:r w:rsidRPr="00B05859">
        <w:rPr>
          <w:rFonts w:ascii="Times New Roman" w:hAnsi="Times New Roman"/>
          <w:lang w:val="en-GB"/>
        </w:rPr>
        <w:t>to</w:t>
      </w:r>
      <w:r w:rsidRPr="00B05859">
        <w:rPr>
          <w:rFonts w:ascii="Times New Roman" w:hAnsi="Times New Roman"/>
          <w:b/>
          <w:lang w:val="en-GB"/>
        </w:rPr>
        <w:t xml:space="preserve"> 5.6</w:t>
      </w:r>
      <w:r w:rsidRPr="00B05859">
        <w:rPr>
          <w:rFonts w:ascii="Times New Roman" w:hAnsi="Times New Roman"/>
          <w:lang w:val="en-GB"/>
        </w:rPr>
        <w:t xml:space="preserve">), with the relationships between each shown in </w:t>
      </w:r>
      <w:r w:rsidR="00C468EC" w:rsidRPr="00B05859">
        <w:rPr>
          <w:rFonts w:ascii="Times New Roman" w:hAnsi="Times New Roman"/>
          <w:b/>
          <w:bCs/>
          <w:lang w:val="en-GB"/>
        </w:rPr>
        <w:t>Figure</w:t>
      </w:r>
      <w:r w:rsidRPr="00B05859">
        <w:rPr>
          <w:rFonts w:ascii="Times New Roman" w:hAnsi="Times New Roman"/>
          <w:b/>
          <w:lang w:val="en-GB"/>
        </w:rPr>
        <w:t xml:space="preserve"> 5.2</w:t>
      </w:r>
      <w:r w:rsidRPr="00B05859">
        <w:rPr>
          <w:rFonts w:ascii="Times New Roman" w:hAnsi="Times New Roman"/>
          <w:lang w:val="en-GB"/>
        </w:rPr>
        <w:t xml:space="preserve">. This solution-focused chapter has strong links to other chapters of the assessment, since management and decision-making </w:t>
      </w:r>
      <w:r w:rsidR="003D6524">
        <w:rPr>
          <w:rFonts w:ascii="Times New Roman" w:hAnsi="Times New Roman"/>
          <w:lang w:val="en-GB"/>
        </w:rPr>
        <w:t>are</w:t>
      </w:r>
      <w:r w:rsidR="003D6524" w:rsidRPr="00B05859">
        <w:rPr>
          <w:rFonts w:ascii="Times New Roman" w:hAnsi="Times New Roman"/>
          <w:lang w:val="en-GB"/>
        </w:rPr>
        <w:t xml:space="preserve"> </w:t>
      </w:r>
      <w:r w:rsidRPr="00B05859">
        <w:rPr>
          <w:rFonts w:ascii="Times New Roman" w:hAnsi="Times New Roman"/>
          <w:lang w:val="en-GB"/>
        </w:rPr>
        <w:t>intrinsically dependent on knowledge of the impacts of invasive alien species (</w:t>
      </w:r>
      <w:r w:rsidRPr="00B05859">
        <w:rPr>
          <w:rFonts w:ascii="Times New Roman" w:hAnsi="Times New Roman"/>
          <w:b/>
          <w:lang w:val="en-GB"/>
        </w:rPr>
        <w:t>Chapter 4</w:t>
      </w:r>
      <w:r w:rsidRPr="00B05859">
        <w:rPr>
          <w:rFonts w:ascii="Times New Roman" w:hAnsi="Times New Roman"/>
          <w:lang w:val="en-GB"/>
        </w:rPr>
        <w:t>), their status and trends (</w:t>
      </w:r>
      <w:r w:rsidRPr="00B05859">
        <w:rPr>
          <w:rFonts w:ascii="Times New Roman" w:hAnsi="Times New Roman"/>
          <w:b/>
          <w:lang w:val="en-GB"/>
        </w:rPr>
        <w:t>Chapter 2</w:t>
      </w:r>
      <w:r w:rsidRPr="00B05859">
        <w:rPr>
          <w:rFonts w:ascii="Times New Roman" w:hAnsi="Times New Roman"/>
          <w:lang w:val="en-GB"/>
        </w:rPr>
        <w:t>;</w:t>
      </w:r>
      <w:r w:rsidRPr="00B05859">
        <w:rPr>
          <w:rFonts w:ascii="Times New Roman" w:hAnsi="Times New Roman"/>
          <w:b/>
          <w:lang w:val="en-GB"/>
        </w:rPr>
        <w:t xml:space="preserve"> </w:t>
      </w:r>
      <w:r w:rsidR="00636579" w:rsidRPr="00B05859">
        <w:rPr>
          <w:rFonts w:ascii="Times New Roman" w:hAnsi="Times New Roman"/>
          <w:b/>
          <w:iCs/>
          <w:lang w:val="en-GB"/>
        </w:rPr>
        <w:t>G</w:t>
      </w:r>
      <w:r w:rsidR="00C14DAD" w:rsidRPr="00B05859">
        <w:rPr>
          <w:rFonts w:ascii="Times New Roman" w:hAnsi="Times New Roman"/>
          <w:b/>
          <w:iCs/>
          <w:lang w:val="en-GB"/>
        </w:rPr>
        <w:t>lossary</w:t>
      </w:r>
      <w:r w:rsidRPr="00B05859">
        <w:rPr>
          <w:rFonts w:ascii="Times New Roman" w:hAnsi="Times New Roman"/>
          <w:lang w:val="en-GB"/>
        </w:rPr>
        <w:t xml:space="preserve">) and how to manage </w:t>
      </w:r>
      <w:r w:rsidRPr="00AC1F76">
        <w:rPr>
          <w:rFonts w:ascii="Times New Roman" w:hAnsi="Times New Roman"/>
          <w:color w:val="000000" w:themeColor="text1"/>
        </w:rPr>
        <w:t>direct and indirect drivers of change that impact invasion (</w:t>
      </w:r>
      <w:r w:rsidRPr="00AC1F76">
        <w:rPr>
          <w:rFonts w:ascii="Times New Roman" w:hAnsi="Times New Roman"/>
          <w:b/>
          <w:color w:val="000000" w:themeColor="text1"/>
        </w:rPr>
        <w:t>Chapter 3</w:t>
      </w:r>
      <w:r w:rsidRPr="00AC1F76">
        <w:rPr>
          <w:rFonts w:ascii="Times New Roman" w:hAnsi="Times New Roman"/>
          <w:color w:val="000000" w:themeColor="text1"/>
        </w:rPr>
        <w:t xml:space="preserve">). Collective community management decisions are also supported by good understanding of Indigenous and local </w:t>
      </w:r>
      <w:r w:rsidRPr="00B05859">
        <w:rPr>
          <w:rFonts w:ascii="Times New Roman" w:hAnsi="Times New Roman"/>
          <w:color w:val="000000" w:themeColor="text1"/>
        </w:rPr>
        <w:t xml:space="preserve">knowledge and how invasive alien species impact good quality of life </w:t>
      </w:r>
      <w:r w:rsidRPr="00B05859">
        <w:rPr>
          <w:rFonts w:ascii="Times New Roman" w:hAnsi="Times New Roman"/>
          <w:lang w:val="en-GB"/>
        </w:rPr>
        <w:t>(</w:t>
      </w:r>
      <w:r w:rsidR="00636579" w:rsidRPr="00B05859">
        <w:rPr>
          <w:rFonts w:ascii="Times New Roman" w:hAnsi="Times New Roman"/>
          <w:b/>
          <w:iCs/>
          <w:lang w:val="en-GB"/>
        </w:rPr>
        <w:t>G</w:t>
      </w:r>
      <w:r w:rsidR="001A2107" w:rsidRPr="00B05859">
        <w:rPr>
          <w:rFonts w:ascii="Times New Roman" w:hAnsi="Times New Roman"/>
          <w:b/>
          <w:iCs/>
          <w:lang w:val="en-GB"/>
        </w:rPr>
        <w:t>lossary</w:t>
      </w:r>
      <w:r w:rsidRPr="00B05859">
        <w:rPr>
          <w:rFonts w:ascii="Times New Roman" w:hAnsi="Times New Roman"/>
          <w:lang w:val="en-GB"/>
        </w:rPr>
        <w:t>;</w:t>
      </w:r>
      <w:r w:rsidRPr="00B05859">
        <w:rPr>
          <w:rFonts w:ascii="Times New Roman" w:hAnsi="Times New Roman"/>
          <w:b/>
          <w:lang w:val="en-GB"/>
        </w:rPr>
        <w:t xml:space="preserve"> Chapter </w:t>
      </w:r>
      <w:r w:rsidRPr="00B05859">
        <w:rPr>
          <w:rFonts w:ascii="Times New Roman" w:hAnsi="Times New Roman"/>
          <w:b/>
          <w:lang w:val="en-GB"/>
        </w:rPr>
        <w:lastRenderedPageBreak/>
        <w:t>4</w:t>
      </w:r>
      <w:r w:rsidRPr="00B05859">
        <w:rPr>
          <w:rFonts w:ascii="Times New Roman" w:hAnsi="Times New Roman"/>
          <w:lang w:val="en-GB"/>
        </w:rPr>
        <w:t>,</w:t>
      </w:r>
      <w:r w:rsidRPr="00B05859">
        <w:rPr>
          <w:rFonts w:ascii="Times New Roman" w:hAnsi="Times New Roman"/>
          <w:b/>
          <w:lang w:val="en-GB"/>
        </w:rPr>
        <w:t xml:space="preserve"> sections 4.5</w:t>
      </w:r>
      <w:r w:rsidRPr="00B05859">
        <w:rPr>
          <w:rFonts w:ascii="Times New Roman" w:hAnsi="Times New Roman"/>
          <w:lang w:val="en-GB"/>
        </w:rPr>
        <w:t>,</w:t>
      </w:r>
      <w:r w:rsidRPr="00B05859">
        <w:rPr>
          <w:rFonts w:ascii="Times New Roman" w:hAnsi="Times New Roman"/>
          <w:b/>
          <w:lang w:val="en-GB"/>
        </w:rPr>
        <w:t xml:space="preserve"> 4.6</w:t>
      </w:r>
      <w:r w:rsidRPr="00B05859">
        <w:rPr>
          <w:rFonts w:ascii="Times New Roman" w:hAnsi="Times New Roman"/>
          <w:lang w:val="en-GB"/>
        </w:rPr>
        <w:t>;</w:t>
      </w:r>
      <w:r w:rsidRPr="00B05859">
        <w:rPr>
          <w:rFonts w:ascii="Times New Roman" w:hAnsi="Times New Roman"/>
          <w:b/>
          <w:lang w:val="en-GB"/>
        </w:rPr>
        <w:t xml:space="preserve"> Chapter 1</w:t>
      </w:r>
      <w:r w:rsidRPr="00B05859">
        <w:rPr>
          <w:rFonts w:ascii="Times New Roman" w:hAnsi="Times New Roman"/>
          <w:lang w:val="en-GB"/>
        </w:rPr>
        <w:t>,</w:t>
      </w:r>
      <w:r w:rsidRPr="00B05859">
        <w:rPr>
          <w:rFonts w:ascii="Times New Roman" w:hAnsi="Times New Roman"/>
          <w:b/>
          <w:lang w:val="en-GB"/>
        </w:rPr>
        <w:t xml:space="preserve"> section 1.6.7.1</w:t>
      </w:r>
      <w:r w:rsidRPr="00B05859">
        <w:rPr>
          <w:rFonts w:ascii="Times New Roman" w:hAnsi="Times New Roman"/>
          <w:lang w:val="en-GB"/>
        </w:rPr>
        <w:t>). Lessons that can be learned from previous and current management efforts and control options presented in this chapter can inform and improve future policy options (</w:t>
      </w:r>
      <w:r w:rsidR="00636579" w:rsidRPr="00B05859">
        <w:rPr>
          <w:rFonts w:ascii="Times New Roman" w:hAnsi="Times New Roman"/>
          <w:b/>
          <w:iCs/>
          <w:lang w:val="en-GB"/>
        </w:rPr>
        <w:t>G</w:t>
      </w:r>
      <w:r w:rsidR="00F3740D" w:rsidRPr="00B05859">
        <w:rPr>
          <w:rFonts w:ascii="Times New Roman" w:hAnsi="Times New Roman"/>
          <w:b/>
          <w:iCs/>
          <w:lang w:val="en-GB"/>
        </w:rPr>
        <w:t>lossary</w:t>
      </w:r>
      <w:r w:rsidRPr="00B05859">
        <w:rPr>
          <w:rFonts w:ascii="Times New Roman" w:hAnsi="Times New Roman"/>
          <w:lang w:val="en-GB"/>
        </w:rPr>
        <w:t>;</w:t>
      </w:r>
      <w:r w:rsidRPr="00B05859">
        <w:rPr>
          <w:rFonts w:ascii="Times New Roman" w:hAnsi="Times New Roman"/>
          <w:b/>
          <w:lang w:val="en-GB"/>
        </w:rPr>
        <w:t xml:space="preserve"> Chapter 6</w:t>
      </w:r>
      <w:r w:rsidRPr="00B05859">
        <w:rPr>
          <w:rFonts w:ascii="Times New Roman" w:hAnsi="Times New Roman"/>
          <w:lang w:val="en-GB"/>
        </w:rPr>
        <w:t>).</w:t>
      </w:r>
      <w:bookmarkStart w:id="39" w:name="_Ref104969623"/>
      <w:bookmarkStart w:id="40" w:name="_Toc87623098"/>
      <w:r w:rsidR="00B05859">
        <w:rPr>
          <w:noProof/>
        </w:rPr>
        <w:drawing>
          <wp:inline distT="0" distB="0" distL="0" distR="0" wp14:anchorId="1F71CD23" wp14:editId="0C96EE29">
            <wp:extent cx="6115050" cy="3842385"/>
            <wp:effectExtent l="0" t="0" r="6350" b="5715"/>
            <wp:docPr id="1971555460" name="image23.png" descr="A diagram of a puzz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3.png" descr="A diagram of a puzzle&#10;&#10;Description automatically generated"/>
                    <pic:cNvPicPr preferRelativeResize="0"/>
                  </pic:nvPicPr>
                  <pic:blipFill>
                    <a:blip r:embed="rId26"/>
                    <a:srcRect/>
                    <a:stretch>
                      <a:fillRect/>
                    </a:stretch>
                  </pic:blipFill>
                  <pic:spPr>
                    <a:xfrm>
                      <a:off x="0" y="0"/>
                      <a:ext cx="6115050" cy="3842385"/>
                    </a:xfrm>
                    <a:prstGeom prst="rect">
                      <a:avLst/>
                    </a:prstGeom>
                    <a:ln/>
                  </pic:spPr>
                </pic:pic>
              </a:graphicData>
            </a:graphic>
          </wp:inline>
        </w:drawing>
      </w:r>
      <w:bookmarkStart w:id="41" w:name="_Ref131672826"/>
    </w:p>
    <w:p w14:paraId="1D3A98E4" w14:textId="6227E0B1" w:rsidR="00A266D0" w:rsidRPr="00837161" w:rsidRDefault="000E0ACA" w:rsidP="00C11DFA">
      <w:pPr>
        <w:pStyle w:val="BodyText"/>
        <w:spacing w:before="240" w:line="240" w:lineRule="auto"/>
        <w:ind w:right="245"/>
        <w:rPr>
          <w:rFonts w:ascii="Times New Roman" w:hAnsi="Times New Roman"/>
          <w:b/>
          <w:bCs/>
          <w:lang w:val="en-GB"/>
        </w:rPr>
      </w:pPr>
      <w:bookmarkStart w:id="42" w:name="_Toc147489355"/>
      <w:r w:rsidRPr="00837161">
        <w:rPr>
          <w:rFonts w:ascii="Times New Roman" w:hAnsi="Times New Roman"/>
          <w:b/>
          <w:bCs/>
          <w:lang w:val="en-GB"/>
        </w:rPr>
        <w:t>Figure 5.</w:t>
      </w:r>
      <w:r w:rsidRPr="00837161">
        <w:rPr>
          <w:rFonts w:ascii="Times New Roman" w:hAnsi="Times New Roman"/>
          <w:b/>
          <w:bCs/>
          <w:lang w:val="en-GB"/>
        </w:rPr>
        <w:fldChar w:fldCharType="begin"/>
      </w:r>
      <w:r w:rsidRPr="00837161">
        <w:rPr>
          <w:rFonts w:ascii="Times New Roman" w:hAnsi="Times New Roman"/>
          <w:b/>
          <w:bCs/>
          <w:lang w:val="en-GB"/>
        </w:rPr>
        <w:instrText>SEQ Figure_5. \* ARABIC</w:instrText>
      </w:r>
      <w:r w:rsidRPr="00837161">
        <w:rPr>
          <w:rFonts w:ascii="Times New Roman" w:hAnsi="Times New Roman"/>
          <w:b/>
          <w:bCs/>
          <w:lang w:val="en-GB"/>
        </w:rPr>
        <w:fldChar w:fldCharType="separate"/>
      </w:r>
      <w:r w:rsidR="00DC77F8">
        <w:rPr>
          <w:rFonts w:ascii="Times New Roman" w:hAnsi="Times New Roman"/>
          <w:b/>
          <w:bCs/>
          <w:noProof/>
          <w:lang w:val="en-GB"/>
        </w:rPr>
        <w:t>2</w:t>
      </w:r>
      <w:r w:rsidRPr="00837161">
        <w:rPr>
          <w:rFonts w:ascii="Times New Roman" w:hAnsi="Times New Roman"/>
          <w:b/>
          <w:bCs/>
          <w:lang w:val="en-GB"/>
        </w:rPr>
        <w:fldChar w:fldCharType="end"/>
      </w:r>
      <w:bookmarkEnd w:id="39"/>
      <w:bookmarkEnd w:id="41"/>
      <w:r w:rsidR="00DB1249" w:rsidRPr="00837161">
        <w:rPr>
          <w:rFonts w:ascii="Times New Roman" w:hAnsi="Times New Roman"/>
          <w:b/>
          <w:bCs/>
          <w:lang w:val="en-GB"/>
        </w:rPr>
        <w:t>.</w:t>
      </w:r>
      <w:r w:rsidR="106D9F22" w:rsidRPr="00837161">
        <w:rPr>
          <w:rFonts w:ascii="Times New Roman" w:hAnsi="Times New Roman"/>
          <w:lang w:val="en-GB"/>
        </w:rPr>
        <w:t xml:space="preserve"> Content of sections in this chapter and their linkages with the other chapters of the assessment.</w:t>
      </w:r>
      <w:bookmarkEnd w:id="40"/>
      <w:r w:rsidR="106D9F22" w:rsidRPr="00837161">
        <w:rPr>
          <w:rFonts w:ascii="Times New Roman" w:hAnsi="Times New Roman"/>
          <w:b/>
          <w:bCs/>
          <w:lang w:val="en-GB"/>
        </w:rPr>
        <w:t xml:space="preserve"> </w:t>
      </w:r>
      <w:r w:rsidR="4A902BE7" w:rsidRPr="00837161">
        <w:rPr>
          <w:rFonts w:ascii="Times New Roman" w:hAnsi="Times New Roman"/>
          <w:lang w:val="en-GB" w:eastAsia="ja-JP"/>
        </w:rPr>
        <w:t xml:space="preserve">This figure shows the structure of </w:t>
      </w:r>
      <w:r w:rsidR="00636579">
        <w:rPr>
          <w:rFonts w:ascii="Times New Roman" w:hAnsi="Times New Roman"/>
          <w:iCs/>
          <w:lang w:val="en-GB" w:eastAsia="ja-JP"/>
        </w:rPr>
        <w:t>C</w:t>
      </w:r>
      <w:r w:rsidR="4A902BE7" w:rsidRPr="00636579">
        <w:rPr>
          <w:rFonts w:ascii="Times New Roman" w:hAnsi="Times New Roman"/>
          <w:iCs/>
          <w:lang w:val="en-GB" w:eastAsia="ja-JP"/>
        </w:rPr>
        <w:t>hapter 5</w:t>
      </w:r>
      <w:r w:rsidR="4A902BE7" w:rsidRPr="00837161">
        <w:rPr>
          <w:rFonts w:ascii="Times New Roman" w:hAnsi="Times New Roman"/>
          <w:lang w:val="en-GB" w:eastAsia="ja-JP"/>
        </w:rPr>
        <w:t>, a</w:t>
      </w:r>
      <w:r w:rsidR="6F740F99" w:rsidRPr="00837161">
        <w:rPr>
          <w:rFonts w:ascii="Times New Roman" w:hAnsi="Times New Roman"/>
          <w:lang w:val="en-GB" w:eastAsia="ja-JP"/>
        </w:rPr>
        <w:t>nd</w:t>
      </w:r>
      <w:r w:rsidR="00B62203" w:rsidRPr="00837161">
        <w:rPr>
          <w:rFonts w:ascii="Times New Roman" w:hAnsi="Times New Roman"/>
          <w:lang w:val="en-GB" w:eastAsia="ja-JP"/>
        </w:rPr>
        <w:t xml:space="preserve"> </w:t>
      </w:r>
      <w:r w:rsidR="4A902BE7" w:rsidRPr="00837161">
        <w:rPr>
          <w:rFonts w:ascii="Times New Roman" w:hAnsi="Times New Roman"/>
          <w:lang w:val="en-GB" w:eastAsia="ja-JP"/>
        </w:rPr>
        <w:t xml:space="preserve">how </w:t>
      </w:r>
      <w:r w:rsidR="66E87424" w:rsidRPr="00837161">
        <w:rPr>
          <w:rFonts w:ascii="Times New Roman" w:hAnsi="Times New Roman"/>
          <w:lang w:val="en-GB" w:eastAsia="ja-JP"/>
        </w:rPr>
        <w:t>it</w:t>
      </w:r>
      <w:r w:rsidR="00B62203" w:rsidRPr="00837161">
        <w:rPr>
          <w:rFonts w:ascii="Times New Roman" w:hAnsi="Times New Roman"/>
          <w:lang w:val="en-GB" w:eastAsia="ja-JP"/>
        </w:rPr>
        <w:t xml:space="preserve"> </w:t>
      </w:r>
      <w:r w:rsidR="63DAF07C" w:rsidRPr="00837161">
        <w:rPr>
          <w:rFonts w:ascii="Times New Roman" w:hAnsi="Times New Roman"/>
          <w:lang w:val="en-GB" w:eastAsia="ja-JP"/>
        </w:rPr>
        <w:t>connects</w:t>
      </w:r>
      <w:r w:rsidR="5FE3C376" w:rsidRPr="00837161">
        <w:rPr>
          <w:rFonts w:ascii="Times New Roman" w:hAnsi="Times New Roman"/>
          <w:lang w:val="en-GB" w:eastAsia="ja-JP"/>
        </w:rPr>
        <w:t xml:space="preserve"> to </w:t>
      </w:r>
      <w:r w:rsidR="00636579">
        <w:rPr>
          <w:rFonts w:ascii="Times New Roman" w:hAnsi="Times New Roman"/>
          <w:iCs/>
          <w:lang w:val="en-GB" w:eastAsia="ja-JP"/>
        </w:rPr>
        <w:t>C</w:t>
      </w:r>
      <w:r w:rsidR="5FE3C376" w:rsidRPr="00636579">
        <w:rPr>
          <w:rFonts w:ascii="Times New Roman" w:hAnsi="Times New Roman"/>
          <w:iCs/>
          <w:lang w:val="en-GB" w:eastAsia="ja-JP"/>
        </w:rPr>
        <w:t>hapter 2</w:t>
      </w:r>
      <w:r w:rsidR="5FE3C376" w:rsidRPr="00837161">
        <w:rPr>
          <w:rFonts w:ascii="Times New Roman" w:hAnsi="Times New Roman"/>
          <w:lang w:val="en-GB" w:eastAsia="ja-JP"/>
        </w:rPr>
        <w:t xml:space="preserve"> (status and trends of </w:t>
      </w:r>
      <w:r w:rsidR="0059121B" w:rsidRPr="00837161">
        <w:rPr>
          <w:rFonts w:ascii="Times New Roman" w:hAnsi="Times New Roman"/>
          <w:lang w:val="en-GB" w:eastAsia="ja-JP"/>
        </w:rPr>
        <w:t xml:space="preserve">biological </w:t>
      </w:r>
      <w:r w:rsidR="5FE3C376" w:rsidRPr="00837161">
        <w:rPr>
          <w:rFonts w:ascii="Times New Roman" w:hAnsi="Times New Roman"/>
          <w:lang w:val="en-GB" w:eastAsia="ja-JP"/>
        </w:rPr>
        <w:t>invasion</w:t>
      </w:r>
      <w:r w:rsidR="0059121B" w:rsidRPr="00837161">
        <w:rPr>
          <w:rFonts w:ascii="Times New Roman" w:hAnsi="Times New Roman"/>
          <w:lang w:val="en-GB" w:eastAsia="ja-JP"/>
        </w:rPr>
        <w:t>s</w:t>
      </w:r>
      <w:r w:rsidR="5FE3C376" w:rsidRPr="00837161">
        <w:rPr>
          <w:rFonts w:ascii="Times New Roman" w:hAnsi="Times New Roman"/>
          <w:lang w:val="en-GB" w:eastAsia="ja-JP"/>
        </w:rPr>
        <w:t>)</w:t>
      </w:r>
      <w:r w:rsidR="004D38BB">
        <w:rPr>
          <w:rFonts w:ascii="Times New Roman" w:hAnsi="Times New Roman"/>
          <w:lang w:val="en-GB" w:eastAsia="ja-JP"/>
        </w:rPr>
        <w:t>,</w:t>
      </w:r>
      <w:r w:rsidR="5FE3C376" w:rsidRPr="00837161">
        <w:rPr>
          <w:rFonts w:ascii="Times New Roman" w:hAnsi="Times New Roman"/>
          <w:lang w:val="en-GB" w:eastAsia="ja-JP"/>
        </w:rPr>
        <w:t xml:space="preserve"> </w:t>
      </w:r>
      <w:r w:rsidR="00636579">
        <w:rPr>
          <w:rFonts w:ascii="Times New Roman" w:hAnsi="Times New Roman"/>
          <w:iCs/>
          <w:lang w:val="en-GB" w:eastAsia="ja-JP"/>
        </w:rPr>
        <w:t>C</w:t>
      </w:r>
      <w:r w:rsidR="5FE3C376" w:rsidRPr="00636579">
        <w:rPr>
          <w:rFonts w:ascii="Times New Roman" w:hAnsi="Times New Roman"/>
          <w:iCs/>
          <w:lang w:val="en-GB" w:eastAsia="ja-JP"/>
        </w:rPr>
        <w:t>hapter 3</w:t>
      </w:r>
      <w:r w:rsidR="5FE3C376" w:rsidRPr="00837161">
        <w:rPr>
          <w:rFonts w:ascii="Times New Roman" w:hAnsi="Times New Roman"/>
          <w:lang w:val="en-GB" w:eastAsia="ja-JP"/>
        </w:rPr>
        <w:t xml:space="preserve"> (</w:t>
      </w:r>
      <w:r w:rsidR="29F04CD8" w:rsidRPr="00837161">
        <w:rPr>
          <w:rFonts w:ascii="Times New Roman" w:hAnsi="Times New Roman"/>
          <w:lang w:val="en-GB" w:eastAsia="ja-JP"/>
        </w:rPr>
        <w:t xml:space="preserve">direct and indirect </w:t>
      </w:r>
      <w:r w:rsidR="5FE3C376" w:rsidRPr="00837161">
        <w:rPr>
          <w:rFonts w:ascii="Times New Roman" w:hAnsi="Times New Roman"/>
          <w:lang w:val="en-GB" w:eastAsia="ja-JP"/>
        </w:rPr>
        <w:t xml:space="preserve">drivers </w:t>
      </w:r>
      <w:r w:rsidR="66F8B886" w:rsidRPr="00837161">
        <w:rPr>
          <w:rFonts w:ascii="Times New Roman" w:hAnsi="Times New Roman"/>
          <w:lang w:val="en-GB" w:eastAsia="ja-JP"/>
        </w:rPr>
        <w:t>affecting</w:t>
      </w:r>
      <w:r w:rsidR="5FE3C376" w:rsidRPr="00837161">
        <w:rPr>
          <w:rFonts w:ascii="Times New Roman" w:hAnsi="Times New Roman"/>
          <w:lang w:val="en-GB" w:eastAsia="ja-JP"/>
        </w:rPr>
        <w:t xml:space="preserve"> </w:t>
      </w:r>
      <w:r w:rsidR="0059121B" w:rsidRPr="00837161">
        <w:rPr>
          <w:rFonts w:ascii="Times New Roman" w:hAnsi="Times New Roman"/>
          <w:lang w:val="en-GB" w:eastAsia="ja-JP"/>
        </w:rPr>
        <w:t xml:space="preserve">biological </w:t>
      </w:r>
      <w:r w:rsidR="5FE3C376" w:rsidRPr="00837161">
        <w:rPr>
          <w:rFonts w:ascii="Times New Roman" w:hAnsi="Times New Roman"/>
          <w:lang w:val="en-GB" w:eastAsia="ja-JP"/>
        </w:rPr>
        <w:t>inv</w:t>
      </w:r>
      <w:r w:rsidR="709B1F65" w:rsidRPr="00837161">
        <w:rPr>
          <w:rFonts w:ascii="Times New Roman" w:hAnsi="Times New Roman"/>
          <w:lang w:val="en-GB" w:eastAsia="ja-JP"/>
        </w:rPr>
        <w:t>a</w:t>
      </w:r>
      <w:r w:rsidR="5FE3C376" w:rsidRPr="00837161">
        <w:rPr>
          <w:rFonts w:ascii="Times New Roman" w:hAnsi="Times New Roman"/>
          <w:lang w:val="en-GB" w:eastAsia="ja-JP"/>
        </w:rPr>
        <w:t>sion</w:t>
      </w:r>
      <w:r w:rsidR="0059121B" w:rsidRPr="00837161">
        <w:rPr>
          <w:rFonts w:ascii="Times New Roman" w:hAnsi="Times New Roman"/>
          <w:lang w:val="en-GB" w:eastAsia="ja-JP"/>
        </w:rPr>
        <w:t>s</w:t>
      </w:r>
      <w:r w:rsidR="36E21C14" w:rsidRPr="00837161">
        <w:rPr>
          <w:rFonts w:ascii="Times New Roman" w:hAnsi="Times New Roman"/>
          <w:lang w:val="en-GB" w:eastAsia="ja-JP"/>
        </w:rPr>
        <w:t>)</w:t>
      </w:r>
      <w:r w:rsidR="5FE3C376" w:rsidRPr="00837161">
        <w:rPr>
          <w:rFonts w:ascii="Times New Roman" w:hAnsi="Times New Roman"/>
          <w:lang w:val="en-GB" w:eastAsia="ja-JP"/>
        </w:rPr>
        <w:t xml:space="preserve">, </w:t>
      </w:r>
      <w:r w:rsidR="00636579">
        <w:rPr>
          <w:rFonts w:ascii="Times New Roman" w:hAnsi="Times New Roman"/>
          <w:iCs/>
          <w:lang w:val="en-GB" w:eastAsia="ja-JP"/>
        </w:rPr>
        <w:t>C</w:t>
      </w:r>
      <w:r w:rsidR="299123A1" w:rsidRPr="00636579">
        <w:rPr>
          <w:rFonts w:ascii="Times New Roman" w:hAnsi="Times New Roman"/>
          <w:iCs/>
          <w:lang w:val="en-GB" w:eastAsia="ja-JP"/>
        </w:rPr>
        <w:t>h</w:t>
      </w:r>
      <w:r w:rsidR="4A789761" w:rsidRPr="00636579">
        <w:rPr>
          <w:rFonts w:ascii="Times New Roman" w:hAnsi="Times New Roman"/>
          <w:iCs/>
          <w:lang w:val="en-GB" w:eastAsia="ja-JP"/>
        </w:rPr>
        <w:t>apter 4</w:t>
      </w:r>
      <w:r w:rsidR="4A789761" w:rsidRPr="00837161">
        <w:rPr>
          <w:rFonts w:ascii="Times New Roman" w:hAnsi="Times New Roman"/>
          <w:lang w:val="en-GB" w:eastAsia="ja-JP"/>
        </w:rPr>
        <w:t xml:space="preserve"> (impacts</w:t>
      </w:r>
      <w:r w:rsidR="00B05859" w:rsidRPr="00B05859">
        <w:rPr>
          <w:rFonts w:ascii="Times New Roman" w:hAnsi="Times New Roman"/>
          <w:lang w:val="en-GB" w:eastAsia="ja-JP"/>
        </w:rPr>
        <w:t xml:space="preserve"> of invasive alien species</w:t>
      </w:r>
      <w:r w:rsidR="4A789761" w:rsidRPr="00837161">
        <w:rPr>
          <w:rFonts w:ascii="Times New Roman" w:hAnsi="Times New Roman"/>
          <w:lang w:val="en-GB" w:eastAsia="ja-JP"/>
        </w:rPr>
        <w:t xml:space="preserve">) and </w:t>
      </w:r>
      <w:r w:rsidR="00636579">
        <w:rPr>
          <w:rFonts w:ascii="Times New Roman" w:hAnsi="Times New Roman"/>
          <w:iCs/>
          <w:lang w:val="en-GB" w:eastAsia="ja-JP"/>
        </w:rPr>
        <w:t>C</w:t>
      </w:r>
      <w:r w:rsidR="6119A878" w:rsidRPr="00636579">
        <w:rPr>
          <w:rFonts w:ascii="Times New Roman" w:hAnsi="Times New Roman"/>
          <w:iCs/>
          <w:lang w:val="en-GB" w:eastAsia="ja-JP"/>
        </w:rPr>
        <w:t>hapter 6</w:t>
      </w:r>
      <w:r w:rsidR="6119A878" w:rsidRPr="00837161">
        <w:rPr>
          <w:rFonts w:ascii="Times New Roman" w:hAnsi="Times New Roman"/>
          <w:lang w:val="en-GB" w:eastAsia="ja-JP"/>
        </w:rPr>
        <w:t xml:space="preserve"> (</w:t>
      </w:r>
      <w:r w:rsidR="4A789761" w:rsidRPr="00837161">
        <w:rPr>
          <w:rFonts w:ascii="Times New Roman" w:hAnsi="Times New Roman"/>
          <w:lang w:val="en-GB" w:eastAsia="ja-JP"/>
        </w:rPr>
        <w:t xml:space="preserve">future policy options to </w:t>
      </w:r>
      <w:r w:rsidR="188CD485" w:rsidRPr="00837161">
        <w:rPr>
          <w:rFonts w:ascii="Times New Roman" w:hAnsi="Times New Roman"/>
          <w:lang w:val="en-GB" w:eastAsia="ja-JP"/>
        </w:rPr>
        <w:t xml:space="preserve">manage </w:t>
      </w:r>
      <w:r w:rsidR="0059121B" w:rsidRPr="00837161">
        <w:rPr>
          <w:rFonts w:ascii="Times New Roman" w:hAnsi="Times New Roman"/>
          <w:lang w:val="en-GB" w:eastAsia="ja-JP"/>
        </w:rPr>
        <w:t xml:space="preserve">biological </w:t>
      </w:r>
      <w:r w:rsidR="4A789761" w:rsidRPr="00837161">
        <w:rPr>
          <w:rFonts w:ascii="Times New Roman" w:hAnsi="Times New Roman"/>
          <w:lang w:val="en-GB" w:eastAsia="ja-JP"/>
        </w:rPr>
        <w:t>invas</w:t>
      </w:r>
      <w:r w:rsidR="4C076251" w:rsidRPr="00837161">
        <w:rPr>
          <w:rFonts w:ascii="Times New Roman" w:hAnsi="Times New Roman"/>
          <w:lang w:val="en-GB" w:eastAsia="ja-JP"/>
        </w:rPr>
        <w:t>ions</w:t>
      </w:r>
      <w:r w:rsidR="2BABA341" w:rsidRPr="00837161">
        <w:rPr>
          <w:rFonts w:ascii="Times New Roman" w:hAnsi="Times New Roman"/>
          <w:lang w:val="en-GB" w:eastAsia="ja-JP"/>
        </w:rPr>
        <w:t>)</w:t>
      </w:r>
      <w:r w:rsidR="4A128EC1" w:rsidRPr="00837161">
        <w:rPr>
          <w:rFonts w:ascii="Times New Roman" w:hAnsi="Times New Roman"/>
          <w:lang w:val="en-GB" w:eastAsia="ja-JP"/>
        </w:rPr>
        <w:t>.</w:t>
      </w:r>
      <w:r w:rsidR="63DAF07C" w:rsidRPr="00837161">
        <w:rPr>
          <w:rFonts w:ascii="Times New Roman" w:hAnsi="Times New Roman"/>
          <w:lang w:val="en-GB" w:eastAsia="ja-JP"/>
        </w:rPr>
        <w:t xml:space="preserve"> </w:t>
      </w:r>
      <w:r w:rsidR="2B83F5F1" w:rsidRPr="00837161">
        <w:rPr>
          <w:rFonts w:ascii="Times New Roman" w:hAnsi="Times New Roman"/>
          <w:lang w:val="en-GB" w:eastAsia="ja-JP"/>
        </w:rPr>
        <w:t xml:space="preserve">It also </w:t>
      </w:r>
      <w:r w:rsidR="4A902BE7" w:rsidRPr="00837161">
        <w:rPr>
          <w:rFonts w:ascii="Times New Roman" w:hAnsi="Times New Roman"/>
          <w:lang w:val="en-GB" w:eastAsia="ja-JP"/>
        </w:rPr>
        <w:t>inform</w:t>
      </w:r>
      <w:r w:rsidR="1EE37EF6" w:rsidRPr="00837161">
        <w:rPr>
          <w:rFonts w:ascii="Times New Roman" w:hAnsi="Times New Roman"/>
          <w:lang w:val="en-GB" w:eastAsia="ja-JP"/>
        </w:rPr>
        <w:t>s</w:t>
      </w:r>
      <w:r w:rsidR="4A902BE7" w:rsidRPr="00837161">
        <w:rPr>
          <w:rFonts w:ascii="Times New Roman" w:hAnsi="Times New Roman"/>
          <w:lang w:val="en-GB" w:eastAsia="ja-JP"/>
        </w:rPr>
        <w:t xml:space="preserve"> and provide</w:t>
      </w:r>
      <w:r w:rsidR="49D68BC0" w:rsidRPr="00837161">
        <w:rPr>
          <w:rFonts w:ascii="Times New Roman" w:hAnsi="Times New Roman"/>
          <w:lang w:val="en-GB" w:eastAsia="ja-JP"/>
        </w:rPr>
        <w:t>s</w:t>
      </w:r>
      <w:r w:rsidR="4A902BE7" w:rsidRPr="00837161">
        <w:rPr>
          <w:rFonts w:ascii="Times New Roman" w:hAnsi="Times New Roman"/>
          <w:lang w:val="en-GB" w:eastAsia="ja-JP"/>
        </w:rPr>
        <w:t xml:space="preserve"> feedback </w:t>
      </w:r>
      <w:r w:rsidR="19459960" w:rsidRPr="00837161">
        <w:rPr>
          <w:rFonts w:ascii="Times New Roman" w:hAnsi="Times New Roman"/>
          <w:lang w:val="en-GB" w:eastAsia="ja-JP"/>
        </w:rPr>
        <w:t xml:space="preserve">and clarity </w:t>
      </w:r>
      <w:r w:rsidR="4A902BE7" w:rsidRPr="00837161">
        <w:rPr>
          <w:rFonts w:ascii="Times New Roman" w:hAnsi="Times New Roman"/>
          <w:lang w:val="en-GB" w:eastAsia="ja-JP"/>
        </w:rPr>
        <w:t xml:space="preserve">to </w:t>
      </w:r>
      <w:r w:rsidR="1D139642" w:rsidRPr="00837161">
        <w:rPr>
          <w:rFonts w:ascii="Times New Roman" w:hAnsi="Times New Roman"/>
          <w:lang w:val="en-GB" w:eastAsia="ja-JP"/>
        </w:rPr>
        <w:t>all these</w:t>
      </w:r>
      <w:r w:rsidR="00B62203" w:rsidRPr="00837161">
        <w:rPr>
          <w:rFonts w:ascii="Times New Roman" w:hAnsi="Times New Roman"/>
          <w:lang w:val="en-GB" w:eastAsia="ja-JP"/>
        </w:rPr>
        <w:t xml:space="preserve"> </w:t>
      </w:r>
      <w:r w:rsidR="4A902BE7" w:rsidRPr="00837161">
        <w:rPr>
          <w:rFonts w:ascii="Times New Roman" w:hAnsi="Times New Roman"/>
          <w:lang w:val="en-GB" w:eastAsia="ja-JP"/>
        </w:rPr>
        <w:t>chapters.</w:t>
      </w:r>
      <w:bookmarkEnd w:id="38"/>
      <w:bookmarkEnd w:id="42"/>
      <w:r w:rsidR="00512B17" w:rsidRPr="00837161">
        <w:rPr>
          <w:rFonts w:ascii="Times New Roman" w:hAnsi="Times New Roman"/>
          <w:lang w:val="en-GB"/>
        </w:rPr>
        <w:fldChar w:fldCharType="begin"/>
      </w:r>
      <w:r w:rsidR="000F35EB">
        <w:rPr>
          <w:rFonts w:ascii="Times New Roman" w:hAnsi="Times New Roman"/>
          <w:lang w:val="en-GB"/>
        </w:rPr>
        <w:instrText xml:space="preserve"> ADDIN ZOTERO_ITEM CSL_CITATION {"citationID":"OJsRHHgZ","properties":{"formattedCitation":"(Peter A. Robertson et al., 2020)","plainCitation":"(Peter A. Robertson et al., 2020)","dontUpdate":true,"noteIndex":0},"citationItems":[{"id":25002,"uris":["http://zotero.org/groups/2352922/items/2UZE9THK"],"itemData":{"id":25002,"type":"article-journal","abstract":"Managing the impacts of invasive alien species (IAS) is a great societal challenge. A wide variety of terms have been used to describe the management of invasive alien species and the sequence in which they might be applied. This variety and lack of consistency creates uncertainty in the presentation and description of management in policy, science and practice. Here we expand on the existing description of the invasion process to develop an IAS management framework. We define the different forms of active management using a novel approach based on changes in species status, avoiding the need for stand-alone descriptions of management types, and provide a complete set of potential management activities. We propose a standardised set of management terminology as an emergent feature of this framework. We identified eight key forms of management: (1) pathway management, (2) interception, (3) limits to keeping, (4) secure keeping, (5) eradication, (6) complete reproductive removal, (7) containment and (8) suppression. We recognise four associated terms: prevention; captive management; rapid eradication; and long-term management, and note the use of impact mitigation and restoration as associated forms of management. We discuss the wider use of this framework and the supporting activities required to ensure management is well-targeted, cost-effective and makes best use of limited resources.","container-title":"Biological Invasions","DOI":"10.1007/s10530-020-02298-2","ISSN":"1573-1464","issue":"9","journalAbbreviation":"Biol Invasions","language":"en","page":"2633-2645","source":"Springer Link","title":"A proposed unified framework to describe the management of biological invasions","URL":"https://doi.org/10.1007/s10530-020-02298-2","volume":"22","author":[{"family":"Robertson","given":"Peter A."},{"family":"Mill","given":"Aileen"},{"family":"Novoa","given":"Ana"},{"family":"Jeschke","given":"Jonathan M."},{"family":"Essl","given":"Franz"},{"family":"Gallardo","given":"Belinda"},{"family":"Geist","given":"Juergen"},{"family":"Jarić","given":"Ivan"},{"family":"Lambin","given":"Xavier"},{"family":"Musseau","given":"Camille"},{"family":"Pergl","given":"Jan"},{"family":"Pyšek","given":"Petr"},{"family":"Rabitsch","given":"Wolfgang"},{"family":"Schmalensee","given":"Menja","non-dropping-particle":"von"},{"family":"Shirley","given":"Mark"},{"family":"Strayer","given":"David L."},{"family":"Stefansson","given":"Robert A."},{"family":"Smith","given":"Kevin"},{"family":"Booy","given":"Olaf"}],"accessed":{"date-parts":[["2020",8,31]]},"issued":{"date-parts":[["2020",9,1]]}}}],"schema":"https://github.com/citation-style-language/schema/raw/master/csl-citation.json"} </w:instrText>
      </w:r>
      <w:r w:rsidR="00512B17" w:rsidRPr="00837161">
        <w:rPr>
          <w:rFonts w:ascii="Times New Roman" w:hAnsi="Times New Roman"/>
          <w:lang w:val="en-GB"/>
        </w:rPr>
        <w:fldChar w:fldCharType="end"/>
      </w:r>
    </w:p>
    <w:p w14:paraId="000000CE" w14:textId="5DA2A46B" w:rsidR="00A758FD" w:rsidRPr="00B05859" w:rsidRDefault="00C81287" w:rsidP="002F2F42">
      <w:pPr>
        <w:pStyle w:val="Heading2"/>
      </w:pPr>
      <w:bookmarkStart w:id="43" w:name="_heading=h.2s8eyo1" w:colFirst="0" w:colLast="0"/>
      <w:bookmarkStart w:id="44" w:name="_Toc146810102"/>
      <w:bookmarkStart w:id="45" w:name="_Toc87623125"/>
      <w:bookmarkStart w:id="46" w:name="_Toc131681627"/>
      <w:bookmarkStart w:id="47" w:name="_Toc149555467"/>
      <w:bookmarkEnd w:id="43"/>
      <w:r w:rsidRPr="00B05859">
        <w:t>Management: challenges and opportunities</w:t>
      </w:r>
      <w:bookmarkEnd w:id="44"/>
      <w:bookmarkEnd w:id="45"/>
      <w:bookmarkEnd w:id="46"/>
      <w:bookmarkEnd w:id="47"/>
    </w:p>
    <w:p w14:paraId="000000CF" w14:textId="284878C7" w:rsidR="00A758FD" w:rsidRPr="00B05859" w:rsidRDefault="00C81287">
      <w:pPr>
        <w:spacing w:before="240" w:after="120" w:line="240" w:lineRule="auto"/>
      </w:pPr>
      <w:r w:rsidRPr="00B05859">
        <w:t xml:space="preserve">Throughout </w:t>
      </w:r>
      <w:r w:rsidRPr="00B05859">
        <w:rPr>
          <w:b/>
        </w:rPr>
        <w:t xml:space="preserve">sections 5.2 </w:t>
      </w:r>
      <w:r w:rsidRPr="00B05859">
        <w:t>to</w:t>
      </w:r>
      <w:r w:rsidRPr="00B05859">
        <w:rPr>
          <w:b/>
        </w:rPr>
        <w:t xml:space="preserve"> 5.6</w:t>
      </w:r>
      <w:r w:rsidRPr="00B05859">
        <w:t xml:space="preserve"> </w:t>
      </w:r>
      <w:r w:rsidR="00A266D0" w:rsidRPr="00837161">
        <w:t>(</w:t>
      </w:r>
      <w:r w:rsidR="00191A6E">
        <w:rPr>
          <w:b/>
          <w:bCs/>
          <w:iCs/>
        </w:rPr>
        <w:t>Box 5.1</w:t>
      </w:r>
      <w:r w:rsidR="00A266D0" w:rsidRPr="00837161">
        <w:t>),</w:t>
      </w:r>
      <w:r w:rsidRPr="00B05859">
        <w:t xml:space="preserve"> various challenges, case studies and future opportunities have been identified and distilled as lessons to be learned. </w:t>
      </w:r>
    </w:p>
    <w:p w14:paraId="6236C0D0" w14:textId="1CF0CF6A" w:rsidR="00A266D0" w:rsidRPr="00837161" w:rsidRDefault="3C197D9A" w:rsidP="00C11DFA">
      <w:pPr>
        <w:spacing w:before="240" w:after="120" w:line="240" w:lineRule="auto"/>
      </w:pPr>
      <w:r w:rsidRPr="00837161">
        <w:t>C</w:t>
      </w:r>
      <w:r w:rsidR="7D138014" w:rsidRPr="00837161">
        <w:t>hallenges</w:t>
      </w:r>
      <w:r w:rsidR="411B6901" w:rsidRPr="00837161">
        <w:t xml:space="preserve"> that managers </w:t>
      </w:r>
      <w:r w:rsidR="00B05859">
        <w:t>of biological invasions</w:t>
      </w:r>
      <w:r w:rsidR="00B05859" w:rsidRPr="00837161">
        <w:t xml:space="preserve"> </w:t>
      </w:r>
      <w:r w:rsidR="411B6901" w:rsidRPr="00837161">
        <w:t xml:space="preserve">face are jurisdictional boundaries </w:t>
      </w:r>
      <w:r w:rsidRPr="00837161">
        <w:fldChar w:fldCharType="begin"/>
      </w:r>
      <w:r w:rsidR="000F35EB">
        <w:instrText xml:space="preserve"> ADDIN ZOTERO_ITEM CSL_CITATION {"citationID":"pZeLkAYn","properties":{"formattedCitation":"(Flueck, 2010; Stokes et al., 2006)","plainCitation":"(Flueck, 2010; Stokes et al., 2006)","noteIndex":0},"citationItems":[{"id":15488,"uris":["http://zotero.org/groups/2352922/items/87M9XAVF"],"itemData":{"id":15488,"type":"article-journal","container-title":"Biological Invasions","DOI":"10.1007/s10530-009-9590-5","ISSN":"1387-3547, 1573-1464","issue":"6","journalAbbreviation":"Biol Invasions","language":"en","page":"1467-1475","source":"DOI.org (Crossref)","title":"The slippery slope of exporting invasive species: the case of Himalayan tahr arriving in South America","title-short":"The slippery slope of exporting invasive species","URL":"http://link.springer.com/10.1007/s10530-009-9590-5","volume":"12","author":[{"family":"Flueck","given":"Werner T."}],"accessed":{"date-parts":[["2019",10,7]]},"issued":{"date-parts":[["2010",6]]}},"label":"page"},{"id":11405,"uris":["http://zotero.org/groups/2352922/items/SEVKE7N7"],"itemData":{"id":11405,"type":"article-journal","abstract":"The management of invasive non-native species is a frequent cause of conﬂict in the ﬁeld of biodiversity conservation because perceptions of their costs and beneﬁts diﬀer among stakeholder groups. A lack of cohesion between scientiﬁc researchers, the commercial sector and policy makers lies at the root of a widespread failure to develop and implement sustainable management practices for invasive species. The crisis of this situation is intensiﬁed by drivers stemming from international conventions and directives to address invasive species issues. There are further direct conﬂicts between legislative instruments promoting biodiversity conservation on the one hand while liberalizing trade at the national, European and global level on the other. The island of Ireland provides graphic illustration of the importance of cross-jurisdictional approaches to biological invasions. Using primarily Irish examples in this review, we emphasize the importance of approaching risk assessment, risk reduction and control or eradication policies from a cost-eﬃcient, highly ﬂexible perspective, incorporating linkages between environmental, economic and social objectives. The need for consolidated policies between Northern Ireland and the Republic of Ireland is particularly acute, though few model cross-border mechanisms for such consolidation are available. The importance of engaging aﬀected stakeholders through positive interactions is discussed with regard to reducing the currently fragmented nature of invasive species management between the two jurisdictions.","container-title":"Biodiversity and Conservation","DOI":"10.1007/s10531-005-3137-6","ISSN":"0960-3115, 1572-9710","issue":"8","journalAbbreviation":"Biodivers Conserv","language":"en","page":"2829-2852","source":"DOI.org (Crossref)","title":"The Importance of Stakeholder Engagement in Invasive Species Management: A Cross-jurisdictional Perspective in Ireland","title-short":"The Importance of Stakeholder Engagement in Invasive Species Management","URL":"https://doi.org/10.1007/s10531-005-3137-6","volume":"15","author":[{"family":"Stokes","given":"K. E."},{"family":"O℉Neill","given":"K. P."},{"family":"Montgomery","given":"W. I."},{"family":"Dick","given":"J. T. A."},{"family":"Maggs","given":"C. A."},{"family":"McDonald","given":"R. A."}],"accessed":{"date-parts":[["2019",10,7]]},"issued":{"date-parts":[["2006",7]]}},"label":"page"}],"schema":"https://github.com/citation-style-language/schema/raw/master/csl-citation.json"} </w:instrText>
      </w:r>
      <w:r w:rsidRPr="00837161">
        <w:fldChar w:fldCharType="separate"/>
      </w:r>
      <w:r w:rsidR="00271B78" w:rsidRPr="00271B78">
        <w:t>(Flueck, 2010; Stokes et al., 2006)</w:t>
      </w:r>
      <w:r w:rsidRPr="00837161">
        <w:fldChar w:fldCharType="end"/>
      </w:r>
      <w:r w:rsidR="411B6901" w:rsidRPr="00837161">
        <w:t xml:space="preserve">, inadequacy of regulations </w:t>
      </w:r>
      <w:r w:rsidRPr="00837161">
        <w:fldChar w:fldCharType="begin"/>
      </w:r>
      <w:r w:rsidR="000F35EB">
        <w:instrText xml:space="preserve"> ADDIN ZOTERO_ITEM CSL_CITATION {"citationID":"JyU1EWEA","properties":{"formattedCitation":"(Burgiel et al., 2006; Garcia-de-Lomas &amp; Vil\\uc0\\u224{}, 2015)","plainCitation":"(Burgiel et al., 2006; Garcia-de-Lomas &amp; Vilà, 2015)","noteIndex":0},"citationItems":[{"id":11263,"uris":["http://zotero.org/groups/2352922/items/Q7V7YYIU"],"itemData":{"id":11263,"type":"report","language":"en","page":"54","publisher":"Center for International Environmental Law (CIEL) and Defenders of Wildlife","source":"Zotero","title":"Invasive Alien Species and Trade: Integrating Prevention Measures and International Trade Rules","URL":"https://cleantrade.typepad.com/clean_trade/files/invasives_trade_paper_0106.pdf","author":[{"family":"Burgiel","given":"Stas"},{"family":"Foote","given":"Greg"},{"family":"Orellana","given":"Marcos"},{"family":"Perrault","given":"Anne"}],"accessed":{"date-parts":[["2020",5,11]]},"issued":{"date-parts":[["2006"]]}},"label":"page"},{"id":24142,"uris":["http://zotero.org/groups/2352922/items/A72QGVJD"],"itemData":{"id":24142,"type":"article-journal","abstract":"Legislation on biological invasions has been evolving in recent decades. The use of lists of harmful alien organisms (LHAO) is becoming a widespread policy practice in many countries. LHAO aims to prevent the introduction of undesirable organisms at the pre-border level, regulate their use within the country and deter their spread. However, a systematic review and comparison of the current legislations is lacking. It remains unknown whether there are gaps or weaknesses that may compromise and effective strategy against biological invasions. In this study, a total of 77 LHAO from Australia, Japan, New Zealand, Spain, South Africa, Switzerland, the United Kingdom and the United States of America were evaluated and compared in terms of the taxonomic criteria of inclusion, the impacts of concern and the activities regulated. The number of LHAO has increased exponentially since 1924. Countries widely varied in the number of lists. Within a country, LHAO are scattered across different regulations that consider different impacts and regulate activities from introduction to management. The number of taxa ranged between 0.15 and 55.4 taxa km(-2) in the USA and New Zealand, respectively. These lists totaled 21,029 records of 18,149 different taxa, showing a prevalence of taxa listed as species (rather than genera of higher ranks). Primary attention is paid to the kingdoms Animalia and Plantae. Taxa affecting livelihood/uses were more prevalent than those related to biodiversity and human health impacts. The most common regulations concern trade and tenure followed by use. This study reveals the need for more comprehensive (intersectoral) regulations on invasive alien species within countries as well as the development of homogeneous regulations adapted to the globalized world.","archive_location":"WOS:000361797900002","container-title":"Biological Invasions","DOI":"10.1007/s10530-015-0939-7","ISSN":"1387-3547","issue":"11","journalAbbreviation":"Biol Invasions","language":"English","page":"3081-3091","title":"Lists of harmful alien organisms: Are the national regulations adapted to the global world?","URL":"://WOS:000361797900002","volume":"17","author":[{"family":"Garcia-de-Lomas","given":"J."},{"family":"Vilà","given":"M."}],"issued":{"date-parts":[["2015"]]}},"label":"page"}],"schema":"https://github.com/citation-style-language/schema/raw/master/csl-citation.json"} </w:instrText>
      </w:r>
      <w:r w:rsidRPr="00837161">
        <w:fldChar w:fldCharType="separate"/>
      </w:r>
      <w:r w:rsidR="00271B78" w:rsidRPr="00271B78">
        <w:t>(Burgiel et al., 2006; Garcia-de-Lomas &amp; Vilà, 2015)</w:t>
      </w:r>
      <w:r w:rsidRPr="00837161">
        <w:fldChar w:fldCharType="end"/>
      </w:r>
      <w:r w:rsidR="411B6901" w:rsidRPr="00837161">
        <w:t xml:space="preserve">, lack of expertise </w:t>
      </w:r>
      <w:r w:rsidRPr="00837161">
        <w:fldChar w:fldCharType="begin"/>
      </w:r>
      <w:r w:rsidR="000F35EB">
        <w:instrText xml:space="preserve"> ADDIN ZOTERO_ITEM CSL_CITATION {"citationID":"l7Bh7Hlj","properties":{"formattedCitation":"(Shine, 2005)","plainCitation":"(Shine, 2005)","noteIndex":0},"citationItems":[{"id":22854,"uris":["http://zotero.org/groups/2352922/items/3DH8JS65"],"itemData":{"id":22854,"type":"chapter","container-title":": Identification of risks and management of invasive alien species using the IPPC framework. Proceedings of the workshop on invasive alien species and the International Plant Protection Convention (IPPC), IPPC Secretariat, Braunschweig, Germany, 22-26 September 2003. Rome, Italy, FAO","page":"xii + 301","title":"Overview of the management of invasive alien species from the environmental perspective","URL":"https://assets.ippc.int/static/media/files/publications/en/1065703408882_FRANCE_IUCN_Clare_Shine_1.pdf","author":[{"family":"Shine","given":"C."}],"issued":{"date-parts":[["2005"]]}},"label":"page"}],"schema":"https://github.com/citation-style-language/schema/raw/master/csl-citation.json"} </w:instrText>
      </w:r>
      <w:r w:rsidRPr="00837161">
        <w:fldChar w:fldCharType="separate"/>
      </w:r>
      <w:r w:rsidR="00271B78" w:rsidRPr="00271B78">
        <w:t>(Shine, 2005)</w:t>
      </w:r>
      <w:r w:rsidRPr="00837161">
        <w:fldChar w:fldCharType="end"/>
      </w:r>
      <w:r w:rsidR="411B6901" w:rsidRPr="00837161">
        <w:t xml:space="preserve">, poor stakeholder engagement </w:t>
      </w:r>
      <w:r w:rsidRPr="00837161">
        <w:fldChar w:fldCharType="begin"/>
      </w:r>
      <w:r w:rsidR="000F35EB">
        <w:instrText xml:space="preserve"> ADDIN ZOTERO_ITEM CSL_CITATION {"citationID":"3whpvGEJ","properties":{"formattedCitation":"(Driscoll et al., 2014; Simberloff et al., 2005)","plainCitation":"(Driscoll et al., 2014; Simberloff et al., 2005)","dontUpdate":true,"noteIndex":0},"citationItems":[{"id":31179,"uris":["http://zotero.org/groups/2352922/items/7WJ3HEZW"],"itemData":{"id":31179,"type":"article-journal","abstract":"Agricultural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label":"page"},{"id":29149,"uris":["http://zotero.org/groups/2352922/items/P3WI2WYU"],"itemData":{"id":29149,"type":"article-journal","abstract":"Introduced species represent an accelerated global change, and current efforts to manage them, though effective in particular situations, are not controlling the general problem. In the US, this failure is the result of insufficient policy, inadequate research and management funding, and gaps in scientific knowledge. Comparative policy analysis is urgently needed; the main US shortcoming is the absence of a coherent set of policies to address the entire issue, rather than individual invaders. Deliberate introductions should be more stringently regulated and risk assessments must become more predictive. Monitoring and attempts to identify new invasions (both deliberate and inadvertent) are technically feasible but not sufficiently funded and coordinated. Techniques to manage established invaders have often succeeded, but have been hamstrung by inconsistent funding. All of these problems could be improved by more fundamental research, ranging from basic natural history and simple advances in control technologies to more sophisticated ecological modeling and remote sensing techniques.","container-title":"Frontiers in Ecology and the Environment","DOI":"10.1890/1540-9295(2005)003[0012:ISPMAF]2.0.CO;2","ISSN":"1540-9295","issue":"1","journalAbbreviation":"Frontiers in Ecology and the Environment","language":"en","page":"12-20","source":"DOI.org (Crossref)","title":"Introduced species policy, management, and future research needs","URL":"http://doi.wiley.com/10.1890/1540-9295(2005)003[0012:ISPMAF]2.0.CO;2","volume":"3","author":[{"family":"Simberloff","given":"Daniel"},{"family":"Parker","given":"Ingrid M."},{"family":"Windle","given":"Phyllis N."}],"accessed":{"date-parts":[["2019",10,23]]},"issued":{"date-parts":[["2005",2]]}},"label":"page"}],"schema":"https://github.com/citation-style-language/schema/raw/master/csl-citation.json"} </w:instrText>
      </w:r>
      <w:r w:rsidRPr="00837161">
        <w:fldChar w:fldCharType="separate"/>
      </w:r>
      <w:r w:rsidR="00317179" w:rsidRPr="00837161">
        <w:t>(Driscoll et al., 2014; Simberloff et al., 2005</w:t>
      </w:r>
      <w:r w:rsidRPr="00837161">
        <w:fldChar w:fldCharType="end"/>
      </w:r>
      <w:r w:rsidR="00F747C5" w:rsidRPr="00837161">
        <w:t>;</w:t>
      </w:r>
      <w:r w:rsidR="00F747C5" w:rsidRPr="00636579">
        <w:rPr>
          <w:b/>
        </w:rPr>
        <w:t xml:space="preserve"> </w:t>
      </w:r>
      <w:r w:rsidR="00636579">
        <w:rPr>
          <w:b/>
          <w:iCs/>
        </w:rPr>
        <w:t>C</w:t>
      </w:r>
      <w:r w:rsidR="00F747C5" w:rsidRPr="00636579">
        <w:rPr>
          <w:b/>
          <w:iCs/>
        </w:rPr>
        <w:t>hapter 6</w:t>
      </w:r>
      <w:r w:rsidR="00F747C5" w:rsidRPr="00636579">
        <w:rPr>
          <w:iCs/>
        </w:rPr>
        <w:t xml:space="preserve">, </w:t>
      </w:r>
      <w:r w:rsidR="00F747C5" w:rsidRPr="00636579">
        <w:rPr>
          <w:b/>
          <w:iCs/>
        </w:rPr>
        <w:t>section 6.4</w:t>
      </w:r>
      <w:r w:rsidR="00F747C5" w:rsidRPr="00837161">
        <w:t>)</w:t>
      </w:r>
      <w:r w:rsidR="411B6901" w:rsidRPr="00837161">
        <w:t xml:space="preserve"> and uncertainty on where to </w:t>
      </w:r>
      <w:r w:rsidR="7F589E8E" w:rsidRPr="00837161">
        <w:t>allocate</w:t>
      </w:r>
      <w:r w:rsidR="411B6901" w:rsidRPr="00837161">
        <w:t xml:space="preserve"> limited resources </w:t>
      </w:r>
      <w:r w:rsidRPr="00837161">
        <w:fldChar w:fldCharType="begin"/>
      </w:r>
      <w:r w:rsidR="000F35EB">
        <w:instrText xml:space="preserve"> ADDIN ZOTERO_ITEM CSL_CITATION {"citationID":"q4ivBzgc","properties":{"formattedCitation":"(Prior et al., 2018)","plainCitation":"(Prior et al., 2018)","dontUpdate":true,"noteIndex":0},"citationItems":[{"id":54172,"uris":["http://zotero.org/groups/2352922/items/AEQWG66S"],"itemData":{"id":54172,"type":"article-journal","container-title":"Biological Invasions","issue":"2","note":"ISBN: 1573-1464\npublisher: Springer","page":"267-283","title":"When does invasive species removal lead to ecological recovery? Implications for management success","volume":"20","author":[{"family":"Prior","given":"Kirsten M."},{"family":"Adams","given":"Damian C."},{"family":"Klepzig","given":"Kier D."},{"family":"Hulcr","given":"Jiri"}],"issued":{"date-parts":[["2018"]]}}}],"schema":"https://github.com/citation-style-language/schema/raw/master/csl-citation.json"} </w:instrText>
      </w:r>
      <w:r w:rsidRPr="00837161">
        <w:fldChar w:fldCharType="separate"/>
      </w:r>
      <w:r w:rsidR="00A34438" w:rsidRPr="00837161">
        <w:t>(Prior et al., 2018</w:t>
      </w:r>
      <w:r w:rsidR="00F747C5" w:rsidRPr="00837161">
        <w:t xml:space="preserve">; </w:t>
      </w:r>
      <w:r w:rsidRPr="00837161">
        <w:fldChar w:fldCharType="end"/>
      </w:r>
      <w:r w:rsidR="431980EE" w:rsidRPr="00636579">
        <w:rPr>
          <w:b/>
          <w:iCs/>
        </w:rPr>
        <w:t xml:space="preserve">section </w:t>
      </w:r>
      <w:r w:rsidR="411B6901" w:rsidRPr="00636579">
        <w:rPr>
          <w:b/>
          <w:iCs/>
        </w:rPr>
        <w:t>5.</w:t>
      </w:r>
      <w:r w:rsidR="231159C5" w:rsidRPr="00636579">
        <w:rPr>
          <w:b/>
          <w:iCs/>
        </w:rPr>
        <w:t>6</w:t>
      </w:r>
      <w:r w:rsidR="411B6901" w:rsidRPr="00837161">
        <w:t xml:space="preserve">). Some </w:t>
      </w:r>
      <w:r w:rsidR="2374C566" w:rsidRPr="00837161">
        <w:t>decision</w:t>
      </w:r>
      <w:r w:rsidR="003D6524">
        <w:t xml:space="preserve"> </w:t>
      </w:r>
      <w:r w:rsidR="2374C566" w:rsidRPr="00837161">
        <w:t>makers</w:t>
      </w:r>
      <w:r w:rsidR="411B6901" w:rsidRPr="00837161">
        <w:t xml:space="preserve"> are hesitant to attempt prevention </w:t>
      </w:r>
      <w:r w:rsidR="6D201051" w:rsidRPr="00837161">
        <w:t xml:space="preserve">given </w:t>
      </w:r>
      <w:r w:rsidR="77A8E681" w:rsidRPr="00837161">
        <w:t>only a small pr</w:t>
      </w:r>
      <w:r w:rsidR="2374C566" w:rsidRPr="00837161">
        <w:t>oportion of</w:t>
      </w:r>
      <w:r w:rsidR="411B6901" w:rsidRPr="00837161">
        <w:t xml:space="preserve"> alien species</w:t>
      </w:r>
      <w:r w:rsidR="2374C566" w:rsidRPr="00837161">
        <w:t xml:space="preserve"> arriving </w:t>
      </w:r>
      <w:r w:rsidR="40C3E533" w:rsidRPr="00837161">
        <w:t>may</w:t>
      </w:r>
      <w:r w:rsidR="2374C566" w:rsidRPr="00837161">
        <w:t xml:space="preserve"> </w:t>
      </w:r>
      <w:r w:rsidR="0059121B" w:rsidRPr="00837161">
        <w:t xml:space="preserve">ultimately </w:t>
      </w:r>
      <w:r w:rsidR="2374C566" w:rsidRPr="00837161">
        <w:t>become invasive</w:t>
      </w:r>
      <w:r w:rsidR="00896666" w:rsidRPr="00837161">
        <w:t xml:space="preserve"> </w:t>
      </w:r>
      <w:r w:rsidR="002502C4" w:rsidRPr="00837161">
        <w:t>(</w:t>
      </w:r>
      <w:r w:rsidR="00636579">
        <w:rPr>
          <w:b/>
          <w:iCs/>
        </w:rPr>
        <w:t>C</w:t>
      </w:r>
      <w:r w:rsidR="00896666" w:rsidRPr="00636579">
        <w:rPr>
          <w:b/>
          <w:iCs/>
        </w:rPr>
        <w:t>hapter 1</w:t>
      </w:r>
      <w:r w:rsidR="00896666" w:rsidRPr="00636579">
        <w:rPr>
          <w:iCs/>
        </w:rPr>
        <w:t xml:space="preserve">, </w:t>
      </w:r>
      <w:r w:rsidR="00896666" w:rsidRPr="00636579">
        <w:rPr>
          <w:b/>
          <w:iCs/>
        </w:rPr>
        <w:t>Figure 1.1</w:t>
      </w:r>
      <w:r w:rsidR="00896666" w:rsidRPr="00837161">
        <w:t>)</w:t>
      </w:r>
      <w:r w:rsidR="6D201051" w:rsidRPr="00837161">
        <w:t xml:space="preserve">, so </w:t>
      </w:r>
      <w:r w:rsidR="0059121B" w:rsidRPr="00837161">
        <w:t xml:space="preserve">in some cases </w:t>
      </w:r>
      <w:r w:rsidR="6D201051" w:rsidRPr="00837161">
        <w:t xml:space="preserve">it is </w:t>
      </w:r>
      <w:r w:rsidR="34B4691A" w:rsidRPr="00837161">
        <w:t>perceived as</w:t>
      </w:r>
      <w:r w:rsidR="6D201051" w:rsidRPr="00837161">
        <w:t xml:space="preserve"> best to wait </w:t>
      </w:r>
      <w:r w:rsidR="0BD32C63" w:rsidRPr="00837161">
        <w:t>until the</w:t>
      </w:r>
      <w:r w:rsidR="2374C566" w:rsidRPr="00837161">
        <w:t xml:space="preserve"> impacts of the </w:t>
      </w:r>
      <w:r w:rsidR="0059121B" w:rsidRPr="00837161">
        <w:t xml:space="preserve">alien </w:t>
      </w:r>
      <w:r w:rsidR="411B6901" w:rsidRPr="00837161">
        <w:t>species</w:t>
      </w:r>
      <w:r w:rsidR="0BD32C63" w:rsidRPr="00837161">
        <w:t xml:space="preserve"> are understood</w:t>
      </w:r>
      <w:r w:rsidR="411B6901" w:rsidRPr="00837161">
        <w:t xml:space="preserve"> </w:t>
      </w:r>
      <w:r w:rsidRPr="00837161">
        <w:fldChar w:fldCharType="begin"/>
      </w:r>
      <w:r w:rsidR="000F35EB">
        <w:instrText xml:space="preserve"> ADDIN ZOTERO_ITEM CSL_CITATION {"citationID":"uHUvlgTu","properties":{"formattedCitation":"(Finnoff et al., 2007)","plainCitation":"(Finnoff et al., 2007)","dontUpdate":true,"noteIndex":0},"citationItems":[{"id":22546,"uris":["http://zotero.org/groups/2352922/items/M7FNRKA3"],"itemData":{"id":22546,"type":"article-journal","container-title":"Ecological Economics","DOI":"10.1016/j.ecolecon.2006.03.025","ISSN":"09218009","issue":"2","journalAbbreviation":"Ecological Economics","language":"en","page":"216-222","source":"DOI.org (Crossref)","title":"Take a risk: Preferring prevention over control of biological invaders","title-short":"Take a risk","URL":"https://linkinghub.elsevier.com/retrieve/pii/S092180090600262X","volume":"62","author":[{"family":"Finnoff","given":"David"},{"family":"Shogren","given":"Jason F."},{"family":"Leung","given":"Brian"},{"family":"Lodge","given":"David"}],"accessed":{"date-parts":[["2020",6,25]]},"issued":{"date-parts":[["2007",4]]}},"label":"page"}],"schema":"https://github.com/citation-style-language/schema/raw/master/csl-citation.json"} </w:instrText>
      </w:r>
      <w:r w:rsidRPr="00837161">
        <w:fldChar w:fldCharType="separate"/>
      </w:r>
      <w:r w:rsidR="00740002" w:rsidRPr="00837161">
        <w:t>(Finnoff et al., 2007</w:t>
      </w:r>
      <w:r w:rsidRPr="00837161">
        <w:fldChar w:fldCharType="end"/>
      </w:r>
      <w:r w:rsidR="00740002" w:rsidRPr="00837161">
        <w:t xml:space="preserve">; </w:t>
      </w:r>
      <w:r w:rsidR="00636579">
        <w:rPr>
          <w:b/>
          <w:iCs/>
        </w:rPr>
        <w:t>C</w:t>
      </w:r>
      <w:r w:rsidR="00740002" w:rsidRPr="00636579">
        <w:rPr>
          <w:b/>
          <w:iCs/>
        </w:rPr>
        <w:t>hapter 4, section 4.2</w:t>
      </w:r>
      <w:r w:rsidR="00740002" w:rsidRPr="00837161">
        <w:t>)</w:t>
      </w:r>
      <w:r w:rsidR="0059121B" w:rsidRPr="00837161">
        <w:t xml:space="preserve"> but this can result in delays rendering subsequent management costly or even impractical</w:t>
      </w:r>
      <w:r w:rsidR="00F4483B" w:rsidRPr="00837161">
        <w:t>.</w:t>
      </w:r>
      <w:r w:rsidR="411B6901" w:rsidRPr="00837161">
        <w:t xml:space="preserve"> Additionally, implementing some </w:t>
      </w:r>
      <w:r w:rsidR="7D138014" w:rsidRPr="00837161">
        <w:t xml:space="preserve">of the </w:t>
      </w:r>
      <w:r w:rsidR="411B6901" w:rsidRPr="00837161">
        <w:t xml:space="preserve">management </w:t>
      </w:r>
      <w:r w:rsidR="7BEE3D91" w:rsidRPr="00837161">
        <w:t>approaches may</w:t>
      </w:r>
      <w:r w:rsidR="411B6901" w:rsidRPr="00837161">
        <w:t xml:space="preserve"> not </w:t>
      </w:r>
      <w:r w:rsidR="7BEE3D91" w:rsidRPr="00837161">
        <w:t xml:space="preserve">be </w:t>
      </w:r>
      <w:r w:rsidR="411B6901" w:rsidRPr="00837161">
        <w:t>acceptable to all the stakeholders</w:t>
      </w:r>
      <w:r w:rsidR="782260AE" w:rsidRPr="00837161">
        <w:t xml:space="preserve"> and </w:t>
      </w:r>
      <w:r w:rsidR="00765E32" w:rsidRPr="00837161">
        <w:t>I</w:t>
      </w:r>
      <w:r w:rsidR="782260AE" w:rsidRPr="00837161">
        <w:t>n</w:t>
      </w:r>
      <w:r w:rsidR="2BEF097C" w:rsidRPr="00837161">
        <w:t xml:space="preserve">digenous </w:t>
      </w:r>
      <w:r w:rsidR="00765E32" w:rsidRPr="00837161">
        <w:t>P</w:t>
      </w:r>
      <w:r w:rsidR="2BEF097C" w:rsidRPr="00837161">
        <w:t>eople</w:t>
      </w:r>
      <w:r w:rsidR="00765E32" w:rsidRPr="00837161">
        <w:t>s</w:t>
      </w:r>
      <w:r w:rsidR="2BEF097C" w:rsidRPr="00837161">
        <w:t xml:space="preserve"> and local communities</w:t>
      </w:r>
      <w:r w:rsidR="411B6901" w:rsidRPr="00837161">
        <w:t xml:space="preserve">. For example, there </w:t>
      </w:r>
      <w:r w:rsidR="18944890" w:rsidRPr="00837161">
        <w:t>is increasing</w:t>
      </w:r>
      <w:r w:rsidR="411B6901" w:rsidRPr="00837161">
        <w:t xml:space="preserve"> opposition to some control methods</w:t>
      </w:r>
      <w:r w:rsidR="0059121B" w:rsidRPr="00837161">
        <w:t>,</w:t>
      </w:r>
      <w:r w:rsidR="411B6901" w:rsidRPr="00837161">
        <w:t xml:space="preserve"> e.g., </w:t>
      </w:r>
      <w:r w:rsidR="7D138014" w:rsidRPr="00837161">
        <w:t xml:space="preserve">use of </w:t>
      </w:r>
      <w:r w:rsidR="18944890" w:rsidRPr="00837161">
        <w:t>chem</w:t>
      </w:r>
      <w:r w:rsidR="70C5C1BE" w:rsidRPr="00837161">
        <w:t>ic</w:t>
      </w:r>
      <w:r w:rsidR="18944890" w:rsidRPr="00837161">
        <w:t xml:space="preserve">al pesticides </w:t>
      </w:r>
      <w:r w:rsidR="09EE2486" w:rsidRPr="00837161">
        <w:t xml:space="preserve">or </w:t>
      </w:r>
      <w:r w:rsidR="18944890" w:rsidRPr="00837161">
        <w:t>lethal control of alien vertebrates using toxins</w:t>
      </w:r>
      <w:r w:rsidR="002C4888" w:rsidRPr="00837161">
        <w:t xml:space="preserve"> </w:t>
      </w:r>
      <w:r w:rsidRPr="00837161">
        <w:fldChar w:fldCharType="begin"/>
      </w:r>
      <w:r w:rsidR="000F35EB">
        <w:instrText xml:space="preserve"> ADDIN ZOTERO_ITEM CSL_CITATION {"citationID":"aMm9trrX","properties":{"formattedCitation":"(Genovesi &amp; Bertolino, 2001; Longcore et al., 2009)","plainCitation":"(Genovesi &amp; Bertolino, 2001; Longcore et al., 2009)","noteIndex":0},"citationItems":[{"id":24269,"uris":["http://zotero.org/groups/2352922/items/IFVDXC8B"],"itemData":{"id":24269,"type":"chapter","abstract":"The American grey squirrel, introduced to Italy and the British Isles as a pet species, replaces the native red squirrel through competitive exclusion. The potential expansion of the Italian population to the Alps and to a large portion of Eurasia represents a major threat to biodiversity at a continental scale. An eradication project of the Italian population, supported by most non-government organisations, failed because of the strong opposition by radical animal rights groups. In mainland eradications, time is constrained and delays caused by opposition can determine the failure of the entire campaign. Information\nmay be irrelevant for reducing conflicts, because primary differences exist between animal rights and conservation groups. In these cases, a political decision needs to be taken. Awareness raising, revision of the legal framework, consultation  rocesses, and the creation of biosecurity agencies, appear fundamental steps for effectively\naddressing the threats posed by invasive alien species.","container-title":"The Great Reshuffling: Human Dimensions of Invasive Alien Species","ISBN":"2-8317-0602-5","page":"113-119","publisher":"IUCN – The World Conservation Union","title":"Human dimension aspects in invasive alien species issues: the case of the failure of the grey squirrel eradication project in Italy","URL":"https://www.researchgate.net/publication/233809634_Human_dimension_aspects_in_invasive_alien_species_issues_the_case_of_the_failure_of_the_grey_squirrel_eradication_project_in_Italy","author":[{"family":"Genovesi","given":"Piero"},{"family":"Bertolino","given":"Sandro"}],"editor":[{"family":"McNeely","given":"Jeffrey A."}],"issued":{"date-parts":[["2001"]]}},"label":"page"},{"id":15487,"uris":["http://zotero.org/groups/2352922/items/667DX8B4"],"itemData":{"id":15487,"type":"article-journal","abstract":"Many jurisdictions have adopted programs to manage feral cats by trap–neuter–return (TNR), in which cats are trapped and sterilized, then returned to the environment to be fed and cared for by volunteer caretakers. Most conservation biologists probably do not realize the extent and growth of this practice and that the goal of some leading TNR advocates is that cats ultimately be recognized and treated as “protected wildlife.” We compared the arguments put forth in support of TNR by many feral cat advocates with the scientific literature. Advocates promoting TNR often claim that feral cats harm wildlife only on islands and not on continents; fill a natural or realized niche; do not contribute to the decline of native species; and are insignificant vectors or reservoirs of disease. Advocates also frequently make claims about the effectiveness of TNR, including claims that colonies of feral cats are eventually eliminated by TNR and that managed colonies resist invasion by other cats. The scientific literature contradicts each of these claims. TNR of feral cats is primarily viewed and regulated as an animal welfare issue, but it should be seen as an environmental issue, and decisions to implement it should receive formal environmental assessment. Conservation scientists have a role to play by conducting additional research on the effects of feral cats on wildlife and by communicating sound scientific information about this problem to policy makers.","container-title":"Conservation Biology","DOI":"10.1111/j.1523-1739.2009.01174.x","ISSN":"08888892, 15231739","issue":"4","language":"en","page":"887-894","source":"DOI.org (Crossref)","title":"Critical Assessment of Claims Regarding Management of Feral Cats by Trap-Neuter-Return","URL":"http://doi.wiley.com/10.1111/j.1523-1739.2009.01174.x","volume":"23","author":[{"family":"Longcore","given":"Travis"},{"family":"Rich","given":"Catherine"},{"family":"Sullivan","given":"Lauren M."}],"accessed":{"date-parts":[["2019",10,7]]},"issued":{"date-parts":[["2009",8]]}},"label":"page"}],"schema":"https://github.com/citation-style-language/schema/raw/master/csl-citation.json"} </w:instrText>
      </w:r>
      <w:r w:rsidRPr="00837161">
        <w:fldChar w:fldCharType="separate"/>
      </w:r>
      <w:r w:rsidR="00271B78" w:rsidRPr="00271B78">
        <w:t>(Genovesi &amp; Bertolino, 2001; Longcore et al., 2009)</w:t>
      </w:r>
      <w:r w:rsidRPr="00837161">
        <w:fldChar w:fldCharType="end"/>
      </w:r>
      <w:r w:rsidR="3BE68753" w:rsidRPr="00837161">
        <w:t>;</w:t>
      </w:r>
      <w:r w:rsidR="411B6901" w:rsidRPr="00837161">
        <w:t xml:space="preserve"> concern </w:t>
      </w:r>
      <w:r w:rsidR="0059121B" w:rsidRPr="00837161">
        <w:t xml:space="preserve">about </w:t>
      </w:r>
      <w:r w:rsidR="7D138014" w:rsidRPr="00837161">
        <w:t xml:space="preserve">the </w:t>
      </w:r>
      <w:r w:rsidR="0059121B" w:rsidRPr="00837161">
        <w:t>non</w:t>
      </w:r>
      <w:r w:rsidR="7D138014" w:rsidRPr="00837161">
        <w:t>-target effect</w:t>
      </w:r>
      <w:r w:rsidR="003D6524">
        <w:t>s</w:t>
      </w:r>
      <w:r w:rsidR="7D138014" w:rsidRPr="00837161">
        <w:t xml:space="preserve"> of</w:t>
      </w:r>
      <w:r w:rsidR="00F26EC4" w:rsidRPr="00837161">
        <w:t xml:space="preserve"> </w:t>
      </w:r>
      <w:r w:rsidR="411B6901" w:rsidRPr="00837161">
        <w:t xml:space="preserve">certain methods (e.g., biological control, </w:t>
      </w:r>
      <w:r w:rsidR="09EE2486" w:rsidRPr="00837161">
        <w:t>genetic</w:t>
      </w:r>
      <w:r w:rsidR="411B6901" w:rsidRPr="00837161">
        <w:t xml:space="preserve"> control</w:t>
      </w:r>
      <w:r w:rsidR="09EE2486" w:rsidRPr="00837161">
        <w:t xml:space="preserve"> options</w:t>
      </w:r>
      <w:r w:rsidR="411B6901" w:rsidRPr="00837161">
        <w:t xml:space="preserve">), high costs of management and the paucity of funds for continuous management </w:t>
      </w:r>
      <w:r w:rsidR="4B4570F3" w:rsidRPr="00837161">
        <w:t xml:space="preserve">and monitoring </w:t>
      </w:r>
      <w:r w:rsidRPr="00837161">
        <w:fldChar w:fldCharType="begin"/>
      </w:r>
      <w:r w:rsidR="000F35EB">
        <w:instrText xml:space="preserve"> ADDIN ZOTERO_ITEM CSL_CITATION {"citationID":"T4MTQDZX","properties":{"formattedCitation":"(Wittenberg &amp; Cock, 2003)","plainCitation":"(Wittenberg &amp; Cock, 2003)","noteIndex":0},"citationItems":[{"id":30901,"uris":["http://zotero.org/groups/2352922/items/BF78N7XH"],"itemData":{"id":30901,"type":"book","abstract":"Invasive alien species are recognised as one of the leading threats to biodiversity and also impose enormous costs on agriculture, forestry, fisheries, and other\nhuman enterprises, as well as on human health. Rapidly accelerating human trade, tourism, transport, and travel over the past century have dramatically enhanced the spread of invasive species, allowing them to surmount natural geographic barriers. Not all non-indigenous species are harmful. In fact the majority of species used in agriculture, forestry and fisheries are alien species.\nThus, the initial step in a national programme must be to distinguish the harmful from the harmless alien species and identify the impacts of the former on native biodiversity.\nDevelopment of a national strategy summarizing goals and objectives should be the first step in formulating an alien species plan. The ultimate goal of the strategy should be preservation or restoration of healthy ecosystems. An initial assessment, including a survey of native and alien species (and their impacts) will help define the starting-point and serve as a base for comparison as the programme progresses. The support of all stakeholders must be engaged during the entire programme, ideally using a social marketing campaign. Legal and institutional frameworks will define the basic opportunities for prevention and management of invasive alien species. There are four major options (or better, steps) for dealing with alien species: 1) prevention, 2) early detection, 3)\neradication, and 4) control (Figure 1).\nPrevention of introductions is the first and most cost-effective option. This lesson has been learned the hard way from several cases of highly destructive and costly invasive organisms such as the zebra mussel in the Great Lakes. Had such species\nbeen intercepted at the outset, an enormous loss of native species and/or money could have been prevented. Exclusion methods based on pathways rather than on\nindividual species provide the most efficient way to concentrate efforts at sites where pests are most likely to enter national boundaries and to intercept several potential invaders linked to a single pathway. Three major possibilities to prevent\nfurther invasions exist: 1) interception based on regulations enforced with\ninspections and fees, 2) treatment of material suspected to be  contaminated with\nnon-indigenous species, and 3) prohibition of particular commodities in accordance with international regulations. Deliberate introductions of non-indigenous species should all be subject to an import risk assessment.\nEarly detection of a potential invasive species is often crucial in determining\nwhether eradication of the species is feasible. The possibility of early eradication or at least of effectively containing a new coloniser makes investment in early detection worthwhile. Early detection in the form of surveys may focus on a\nspecies of concern or on a specific site. Species-specific surveys are designed, adapted or developed for a specific situation, taking into consideration the ecology of the target species. Site-specific surveys are targeted to detect invaders in the\nvicinity of high-risk entry points or in high value biodiversity areas.","event-place":"Wallingford, Oxon, UK","ISBN":"0 85199 569 1","language":"English","number-of-pages":"228","publisher":"CAB International","publisher-place":"Wallingford, Oxon, UK","title":"Invasive Alien Species: A Toolkit of Best Prevention and Management Practices","URL":"https://www.cabidigitallibrary.org/doi/10.1079/9780851995694.0000","author":[{"family":"Wittenberg","given":"R"},{"family":"Cock","given":"Matthew J. W."}],"issued":{"date-parts":[["2003"]]}},"label":"page"}],"schema":"https://github.com/citation-style-language/schema/raw/master/csl-citation.json"} </w:instrText>
      </w:r>
      <w:r w:rsidRPr="00837161">
        <w:fldChar w:fldCharType="separate"/>
      </w:r>
      <w:r w:rsidR="00271B78" w:rsidRPr="00271B78">
        <w:t>(Wittenberg &amp; Cock, 2003)</w:t>
      </w:r>
      <w:r w:rsidRPr="00837161">
        <w:fldChar w:fldCharType="end"/>
      </w:r>
      <w:r w:rsidR="411B6901" w:rsidRPr="00837161">
        <w:t xml:space="preserve">. </w:t>
      </w:r>
      <w:r w:rsidR="2CC5193C" w:rsidRPr="00837161">
        <w:t>Some i</w:t>
      </w:r>
      <w:r w:rsidR="411B6901" w:rsidRPr="00837161">
        <w:t xml:space="preserve">nvasive alien species </w:t>
      </w:r>
      <w:r w:rsidR="2CC5193C" w:rsidRPr="00837161">
        <w:t>are</w:t>
      </w:r>
      <w:r w:rsidR="411B6901" w:rsidRPr="00837161">
        <w:t xml:space="preserve"> </w:t>
      </w:r>
      <w:r w:rsidR="05C9CEAF" w:rsidRPr="00837161">
        <w:t>also</w:t>
      </w:r>
      <w:r w:rsidR="411B6901" w:rsidRPr="00837161">
        <w:t xml:space="preserve"> </w:t>
      </w:r>
      <w:r w:rsidR="411B6901" w:rsidRPr="00837161">
        <w:lastRenderedPageBreak/>
        <w:t xml:space="preserve">considered by </w:t>
      </w:r>
      <w:r w:rsidR="39BA8690" w:rsidRPr="00837161">
        <w:t>some s</w:t>
      </w:r>
      <w:r w:rsidR="3B1BFD40" w:rsidRPr="00837161">
        <w:t>takeholders</w:t>
      </w:r>
      <w:r w:rsidR="411B6901" w:rsidRPr="00837161">
        <w:t xml:space="preserve"> as beneficial </w:t>
      </w:r>
      <w:r w:rsidRPr="00837161">
        <w:fldChar w:fldCharType="begin"/>
      </w:r>
      <w:r w:rsidR="000F35EB">
        <w:instrText xml:space="preserve"> ADDIN ZOTERO_ITEM CSL_CITATION {"citationID":"cqREliMO","properties":{"formattedCitation":"(Niemiera &amp; Holle, 2009; Scasta et al., 2015)","plainCitation":"(Niemiera &amp; Holle, 2009; Scasta et al., 2015)","dontUpdate":true,"noteIndex":0},"citationItems":[{"id":24118,"uris":["http://zotero.org/groups/2352922/items/AQQBNYLJ"],"itemData":{"id":24118,"type":"chapter","abstract":"The ornamental horticulture industry is responsible for the introduction, propagation, and transport of thousands of nonnative plant species, most of which stay in their intended locations or spread without significant environmental impacts. However, some nonindigenous plant species have proved to be particularly invasive and quite environmentally deleterious. The economically and politically powerful horticulture industry is faced with the dichotomous dilemma of the freedom to import and propagate plant species juxtaposed with the responsibility to be a diligent land steward. We discuss the various fundamental biological factors of plant invasion, as well as the environmental impacts, probability, prediction, and ranking of invasive species. We also review the role of the nursery industry in importing nonnative species, the perception of the problem by nursery personnel, and the impact of governmental and self-regulation. We conclude with recommendations for the ornamental plant industry to mitigate its role in dispersing invasive, nonnative plant species.","collection-title":"Invading Nature – Springer Series In Invasion Ecology","container-title":"Management of Invasive Weeds","event-place":"Dordrecht","ISBN":"978-1-4020-9201-5","language":"en","note":"DOI: 10.1007/978-1-4020-9202-2_9","page":"167-187","publisher":"Springer Netherlands","publisher-place":"Dordrecht","source":"DOI.org (Crossref)","title":"Invasive Plant Species and the Ornamental Horticulture Industry","URL":"http://link.springer.com/10.1007/978-1-4020-9202-2_9","volume":"5","editor":[{"literal":"Inderjit"}],"author":[{"family":"Niemiera","given":"Alex X."},{"family":"Holle","given":"Betsy Von"}],"accessed":{"date-parts":[["2019",10,7]]},"issued":{"date-parts":[["2009"]]}},"label":"page"},{"id":17231,"uris":["http://zotero.org/groups/2352922/items/MFUK4CNL"],"itemData":{"id":17231,"type":"article-journal","abstract":"Abstract\n            \n              Introducing exotic forages in the attempt to enhance livestock and wildlife forage has been practiced widely for over a century. These forage species are selected for traits conferring persistence under stress, potentially yielding invaders that transform native plant communities. Using standardized systematic review guidelines and meta-analytical techniques we quantified effects of exotic forage invasion on change of native plant community structure, and compared the magnitude and direction of change across exotic forage species, plant functional groups, and structure of plant communities. Our study of 13 exotic forage species in North America (six C\n              4\n              grasses, three C\n              3\n              grasses, and four legumes) yielded 35 papers with quantitative data from 64 case studies. Nine of the 13 species met our inclusion criteria for meta-analysis. The overall effect of exotic forage invasion on native plant communities was negative (\n              Ē̄\n              = −0.74; 95% confidence interval [CI]: −0.29 to −0.25). The effect size was most negative for two C\n              4\n              grasses, Lehmann lovegrass and Old World bluestems. A negative effect was also expressed by C\n              3\n              and C\n              4\n              grass functional groups, and these effects were stronger than for legumes. Effect size differed among measures of plant community structure, with the greatest negative effect on native plant biomass and the least negative effect on species evenness. Weighted fail-safe numbers indicated publication bias was not an issue. Exotic forage species are important for agricultural production but may threaten complex multi-functioning landscapes and should be considered as a subset of potentially invasive exotic species. Characteristics making exotic forages different from other exotic plants hinge on pathways of selection and dispersion: selection is based on persistence mechanisms similar to characteristics of invasive plants; dispersion by humans is intentional across expansive geographic regions. Exotic forages present a complex socio-ecological problem exacerbated by disconnected scientific disciplines, competing interests between policy and science, and organized efforts to increase food production.","container-title":"Invasive Plant Science and Management","DOI":"10.1614/IPSM-D-14-00076.1","ISSN":"1939-7291, 1939-747X","issue":"3","journalAbbreviation":"Invasive plant sci. manag.","language":"en","page":"292-306","source":"DOI.org (Crossref)","title":"Meta-Analysis of Exotic Forages as Invasive Plants in Complex Multi-Functioning Landscapes","URL":"https://www.cambridge.org/core/product/identifier/S1939729100004508/type/journal_article","volume":"8","author":[{"family":"Scasta","given":"John Derek"},{"family":"Engle","given":"David M."},{"family":"Fuhlendorf","given":"Samuel D."},{"family":"Redfearn","given":"Daren D."},{"family":"Bidwell","given":"Terrance G."}],"accessed":{"date-parts":[["2019",10,7]]},"issued":{"date-parts":[["2015",9]]}},"label":"page"}],"schema":"https://github.com/citation-style-language/schema/raw/master/csl-citation.json"} </w:instrText>
      </w:r>
      <w:r w:rsidRPr="00837161">
        <w:fldChar w:fldCharType="separate"/>
      </w:r>
      <w:r w:rsidR="00517327" w:rsidRPr="00837161">
        <w:t>(Niemiera &amp; Holle, 2009; Scasta et al., 2015</w:t>
      </w:r>
      <w:r w:rsidRPr="00837161">
        <w:fldChar w:fldCharType="end"/>
      </w:r>
      <w:r w:rsidR="00517327" w:rsidRPr="00837161">
        <w:t xml:space="preserve">; </w:t>
      </w:r>
      <w:r w:rsidR="00517327" w:rsidRPr="00636579">
        <w:rPr>
          <w:b/>
          <w:iCs/>
        </w:rPr>
        <w:t>section 5.6</w:t>
      </w:r>
      <w:r w:rsidR="002B4599" w:rsidRPr="00636579">
        <w:t>;</w:t>
      </w:r>
      <w:r w:rsidR="00517327" w:rsidRPr="00636579">
        <w:rPr>
          <w:b/>
        </w:rPr>
        <w:t xml:space="preserve"> </w:t>
      </w:r>
      <w:r w:rsidR="00636579">
        <w:rPr>
          <w:b/>
          <w:iCs/>
        </w:rPr>
        <w:t>C</w:t>
      </w:r>
      <w:r w:rsidR="00517327" w:rsidRPr="00636579">
        <w:rPr>
          <w:b/>
          <w:iCs/>
        </w:rPr>
        <w:t>hapter 4</w:t>
      </w:r>
      <w:r w:rsidR="00517327" w:rsidRPr="00636579">
        <w:rPr>
          <w:iCs/>
        </w:rPr>
        <w:t xml:space="preserve">, </w:t>
      </w:r>
      <w:r w:rsidR="00517327" w:rsidRPr="00636579">
        <w:rPr>
          <w:b/>
          <w:iCs/>
        </w:rPr>
        <w:t>sections 4.3</w:t>
      </w:r>
      <w:r w:rsidR="00517327" w:rsidRPr="00636579">
        <w:rPr>
          <w:iCs/>
        </w:rPr>
        <w:t>,</w:t>
      </w:r>
      <w:r w:rsidR="00517327" w:rsidRPr="00636579">
        <w:rPr>
          <w:b/>
          <w:iCs/>
        </w:rPr>
        <w:t xml:space="preserve"> 4.4, 4.5</w:t>
      </w:r>
      <w:r w:rsidR="00517327" w:rsidRPr="00837161">
        <w:t>)</w:t>
      </w:r>
      <w:r w:rsidR="411B6901" w:rsidRPr="00837161">
        <w:t xml:space="preserve">. </w:t>
      </w:r>
      <w:r w:rsidR="6F2DF588" w:rsidRPr="00837161">
        <w:t>Removal</w:t>
      </w:r>
      <w:r w:rsidR="411B6901" w:rsidRPr="00837161">
        <w:t xml:space="preserve"> of invasive alien species w</w:t>
      </w:r>
      <w:r w:rsidR="1F79536C" w:rsidRPr="00837161">
        <w:t xml:space="preserve">hich </w:t>
      </w:r>
      <w:r w:rsidR="6F2DF588" w:rsidRPr="00837161">
        <w:t xml:space="preserve">have </w:t>
      </w:r>
      <w:r w:rsidR="411B6901" w:rsidRPr="00837161">
        <w:t xml:space="preserve">commercial or cultural values can deprive people who utilize these for livelihood and other </w:t>
      </w:r>
      <w:r w:rsidR="738DED83" w:rsidRPr="00837161">
        <w:t>adapted</w:t>
      </w:r>
      <w:r w:rsidR="411B6901" w:rsidRPr="00837161">
        <w:t xml:space="preserve"> uses </w:t>
      </w:r>
      <w:r w:rsidRPr="00837161">
        <w:fldChar w:fldCharType="begin"/>
      </w:r>
      <w:r w:rsidR="000F35EB">
        <w:instrText xml:space="preserve"> ADDIN ZOTERO_ITEM CSL_CITATION {"citationID":"PZZ3rdrx","properties":{"formattedCitation":"(Grechi et al., 2014; N. A. Marshall et al., 2011; van Wilgen, 2012)","plainCitation":"(Grechi et al., 2014; N. A. Marshall et al., 2011; van Wilgen, 2012)","noteIndex":0},"citationItems":[{"id":30162,"uris":["http://zotero.org/groups/2352922/items/LTHNRJQ5"],"itemData":{"id":30162,"type":"article-journal","abstract":"The management of introduced species that are both invasive and commercially valuable is contentious. While such species provide substantial economic beneﬁts to some, they pose considerable costs to others due to negative impacts on ecosystems. We propose a decision framework to help balance conﬂicting objectives and support the management of commercially valuable invasive species. We illustrate our framework using the buffel grass (Pennisetum ciliare syn. Cenchrus ciliaris L.) invasion in Australia. In rangelands worldwide, buffel grass is amongst a suite of commercially valuable invasive species, highly valued by some graziers as a pasture species but widely unpopular among those concerned with the threat it poses for native biodiversity. The framework comprises four components. First we develop a state and transition model to represent the invasion dynamics of buffel grass and the effect of management actions. Second we construct utility functions to represent the relative values of buffel grass cover in terms of production and biodiversity utilities (indicative of grazier’s and conservationist’s relative ‘happiness’ regarding buffel grass cover). We draw on expert and empirical data for the construction of the model and utility functions. Third, we present management strategies that minimize losses in production and biodiversity utilities in the absence of budget constraints. We use stochastic dynamic programming and multi-criteria decision analysis which explicitly account for trade-offs between production and biodiversity conservation concerns. Finally, we conduct a sensitivity analysis to assess the impact of assumptions of the model and utility functions. Management complexity arises from biodiversity-production trade-off situations in which the desirable state of buffel grass cover and effective actions to achieve this state depend on the utility functions. Management solutions were particularly sensitive to the shape of the utility functions for biodiversity. Solutions were less sensitive to uncertainty surrounding the effectiveness of management actions. We found in most biodiversity-production tradeoff situations a compromise solution led to management for an intermediate level (&gt;0–50%) of buffel grass cover. However, when maximal values for both biodiversity and production are high, it may be more practical to manage for one value rather than ﬁnd a compromise solution where concessions from both sides are high. Our decision framework does not attempt to optimize economic outcomes but provides a guide for formulating trade-offs between opposing views, something that is relevant to the management of any natural resource management problem where there are conﬂicting objectives.","container-title":"Agricultural Systems","DOI":"10.1016/j.agsy.2013.11.005","ISSN":"0308521X","journalAbbreviation":"Agricultural Systems","language":"en","page":"1-11","source":"DOI.org (Crossref)","title":"A decision framework for management of conflicting production and biodiversity goals for a commercially valuable invasive species","URL":"https://linkinghub.elsevier.com/retrieve/pii/S0308521X13001509","volume":"125","author":[{"family":"Grechi","given":"Isabelle"},{"family":"Chadès","given":"Iadine"},{"family":"Buckley","given":"Yvonne M."},{"family":"Friedel","given":"Margaret H."},{"family":"Grice","given":"Anthony C."},{"family":"Possingham","given":"Hugh P."},{"family":"Klinken","given":"Rieks D.","non-dropping-particle":"van"},{"family":"Martin","given":"Tara G."}],"accessed":{"date-parts":[["2020",5,22]]},"issued":{"date-parts":[["2014",3]]}},"label":"page"},{"id":26485,"uris":["http://zotero.org/groups/2352922/items/FBCJLEXW"],"itemData":{"id":26485,"type":"article-journal","abstract":"The status of many invasive plant species that are also of high commercial value is contentious. Management of negative impacts depends on the support and co-operation of people who regard the species as an asset. For example, buffel grass (Cenchrus ciliaris) is highly prized by many pastoralists in Australia as an introduced pasture grass for livestock but it also has signiﬁcant and deleterious environmental impacts. Identifying management strategies that minimise environmental impacts yet support production beneﬁts is crucial for achieving sustainable outcomes. We present and operationalise a framework for assessing social and economic dependency on buffel grass and the capacity of pastoralists to change their buffel grass management. We interviewed 85 pastoralists across four diverse regions in Australian rangelands and found that pastoralists are dependent on buffel grass for a range of social and economic reasons and to varying degrees. These social and economic components of resource dependency were signiﬁcantly correlated with the capacity to cope with, and adapt to, change and with attitudes towards managing buffel grass on grazing lands and on public land of high environmental value such as National Parks. Understanding how pastoralists identiﬁed the costs and beneﬁts of buffel grass also enabled us to understand pastoralist perceptions of acceptable management strategies. Building strong social networks amongst buffel grass stakeholders will be a priority for the development of sustainable buffel grass management strategies. We argue that dealing with contentious environmental species will not be possible without considering the social dimension.","container-title":"Environmental Science &amp; Policy","DOI":"10.1016/j.envsci.2010.10.005","ISSN":"14629011","issue":"3","journalAbbreviation":"Environmental Science &amp; Policy","language":"en","page":"327-338","source":"DOI.org (Crossref)","title":"Considering the social dimension of invasive species: the case of buffel grass","title-short":"Considering the social dimension of invasive species","URL":"https://linkinghub.elsevier.com/retrieve/pii/S1462901110001358","volume":"14","author":[{"family":"Marshall","given":"N.A."},{"family":"Friedel","given":"M."},{"family":"Klinken","given":"R.D.","non-dropping-particle":"van"},{"family":"Grice","given":"A.C."}],"accessed":{"date-parts":[["2019",11,7]]},"issued":{"date-parts":[["2011",5]]}},"label":"page"},{"id":29573,"uris":["http://zotero.org/groups/2352922/items/GX7CJR53"],"itemData":{"id":29573,"type":"article-journal","abstract":"The Table Mountain National Park is a 265 km2 protected area embedded within a city of 3.5 million people. The park contains an extremely diverse flora with many endemic species, and has been granted World Heritage Site status in recognition of this unique biodiversity. Invasive alien plants are arguably the most significant threat to the conservation of this biodiversity, and the past decade has seen the implementation of aggressive programs aimed at the removal of invasions by these plants. These invasive alien plants include several species of trees, notably pines (Pinus species) and eucalypts (Eucalyptus species), which historically have been grown in plantations, and which are utilized for recreation by the city’s residents. In addition, many citizens regard the trees as attractive and ecologically beneficial, and for these reasons the alien plant control programs have been controversial. I briefly outline the legal obligations to deal with invasive alien plants, the history of control operations and the scientific rationale for their implementation, and the concerns that have been raised about the operations. Evidence in support of control includes the aggressive invasive nature of many species, and the fact that they displace native biodiversity (often irreversibly) and have negative impacts on hydrology, fire intensity, and soil stability. Those against control cite aesthetic concerns, the value of pine plantations for recreation, the (perceived) unattractive nature of the treeless natural vegetation, and the (incorrect) belief that trees bring additional rainfall. The debate has been conducted through the press, and examples of perceptions and official responses are given. Despite opposition, the policy promoting alien plant removal has remained in place, and considerable progress has been made towards clearing pine plantations and invasive populations. This conservation success story owes much to political support, arising largely from job creation, and a strong body of scientific evidence that could be cited in support of the program.","container-title":"Ecology and Society","DOI":"10.5751/ES-04590-170223","ISSN":"1708-3087","issue":"2","journalAbbreviation":"E&amp;S","language":"en","page":"23","source":"DOI.org (Crossref)","title":"Evidence, perceptions, and trade-offs associated with invasive alien plant control in the Table Mountain National Park, South Africa","URL":"http://www.ecologyandsociety.org/vol17/iss2/art23/","volume":"17","author":[{"family":"Wilgen","given":"Brian W.","non-dropping-particle":"van"}],"accessed":{"date-parts":[["2021",7,27]]},"issued":{"date-parts":[["2012"]]}},"label":"page"}],"schema":"https://github.com/citation-style-language/schema/raw/master/csl-citation.json"} </w:instrText>
      </w:r>
      <w:r w:rsidRPr="00837161">
        <w:fldChar w:fldCharType="separate"/>
      </w:r>
      <w:r w:rsidR="00271B78" w:rsidRPr="00271B78">
        <w:t>(Grechi et al., 2014; N. A. Marshall et al., 2011; van Wilgen, 2012)</w:t>
      </w:r>
      <w:r w:rsidRPr="00837161">
        <w:fldChar w:fldCharType="end"/>
      </w:r>
      <w:r w:rsidR="411B6901" w:rsidRPr="00837161">
        <w:t xml:space="preserve">, though other benefits through management of invasive alien species can also contribute to </w:t>
      </w:r>
      <w:r w:rsidR="3D368BF2" w:rsidRPr="00837161">
        <w:t>nature</w:t>
      </w:r>
      <w:r w:rsidR="05C9CEAF" w:rsidRPr="00837161">
        <w:t>’</w:t>
      </w:r>
      <w:r w:rsidR="3D368BF2" w:rsidRPr="00837161">
        <w:t xml:space="preserve">s contributions to people </w:t>
      </w:r>
      <w:r w:rsidR="3E584B23" w:rsidRPr="00837161">
        <w:t>and</w:t>
      </w:r>
      <w:r w:rsidR="3D368BF2" w:rsidRPr="00837161">
        <w:t xml:space="preserve"> to </w:t>
      </w:r>
      <w:r w:rsidR="411B6901" w:rsidRPr="00837161">
        <w:t xml:space="preserve">good quality of life. As the concept of an invasive alien species is a human construct, </w:t>
      </w:r>
      <w:r w:rsidR="008E6A83" w:rsidRPr="00837161">
        <w:t xml:space="preserve">interests and perceptions of invasive alien species for different stakeholders and Indigenous Peoples and local communities may differ and </w:t>
      </w:r>
      <w:r w:rsidR="411B6901" w:rsidRPr="00837161">
        <w:t xml:space="preserve">the management </w:t>
      </w:r>
      <w:r w:rsidR="008E6A83" w:rsidRPr="00837161">
        <w:t>of some invasive alien species may</w:t>
      </w:r>
      <w:r w:rsidR="411B6901" w:rsidRPr="00837161">
        <w:t xml:space="preserve"> result in conflicting values </w:t>
      </w:r>
      <w:r w:rsidR="002502C4" w:rsidRPr="00837161">
        <w:t>(</w:t>
      </w:r>
      <w:r w:rsidR="00636579">
        <w:rPr>
          <w:b/>
          <w:iCs/>
        </w:rPr>
        <w:t>C</w:t>
      </w:r>
      <w:r w:rsidR="00816268" w:rsidRPr="00636579">
        <w:rPr>
          <w:b/>
          <w:iCs/>
        </w:rPr>
        <w:t>hapter 1</w:t>
      </w:r>
      <w:r w:rsidR="00816268" w:rsidRPr="00636579">
        <w:rPr>
          <w:iCs/>
        </w:rPr>
        <w:t>,</w:t>
      </w:r>
      <w:r w:rsidR="00816268" w:rsidRPr="00636579">
        <w:rPr>
          <w:b/>
          <w:iCs/>
        </w:rPr>
        <w:t xml:space="preserve"> section 1.5.2</w:t>
      </w:r>
      <w:r w:rsidR="00816268" w:rsidRPr="00837161">
        <w:t>)</w:t>
      </w:r>
      <w:r w:rsidR="411B6901" w:rsidRPr="00837161">
        <w:t>.</w:t>
      </w:r>
    </w:p>
    <w:p w14:paraId="698FE372" w14:textId="06943FAE" w:rsidR="00054958" w:rsidRPr="00837161" w:rsidRDefault="3E5F5EC2" w:rsidP="17544868">
      <w:pPr>
        <w:spacing w:before="240" w:after="120" w:line="240" w:lineRule="auto"/>
        <w:rPr>
          <w:rFonts w:eastAsiaTheme="majorEastAsia"/>
          <w:b/>
          <w:bCs/>
          <w:spacing w:val="-10"/>
          <w:kern w:val="28"/>
          <w:sz w:val="28"/>
          <w:szCs w:val="28"/>
        </w:rPr>
      </w:pPr>
      <w:r w:rsidRPr="00837161">
        <w:rPr>
          <w:color w:val="000000" w:themeColor="text1"/>
        </w:rPr>
        <w:t>T</w:t>
      </w:r>
      <w:r w:rsidRPr="00837161">
        <w:t xml:space="preserve">here are many opportunities for </w:t>
      </w:r>
      <w:r w:rsidR="47C1D68D" w:rsidRPr="00837161">
        <w:t xml:space="preserve">the </w:t>
      </w:r>
      <w:r w:rsidRPr="00837161">
        <w:t xml:space="preserve">successful </w:t>
      </w:r>
      <w:r w:rsidR="47C1D68D" w:rsidRPr="00837161">
        <w:t xml:space="preserve">prevention and </w:t>
      </w:r>
      <w:r w:rsidRPr="00837161">
        <w:t xml:space="preserve">management of </w:t>
      </w:r>
      <w:r w:rsidR="00B05859">
        <w:t>biological invasions</w:t>
      </w:r>
      <w:r w:rsidRPr="00837161">
        <w:t xml:space="preserve">. Modern tools and techniques, combined with long-standing </w:t>
      </w:r>
      <w:r w:rsidR="47C1D68D" w:rsidRPr="00837161">
        <w:t xml:space="preserve">proven </w:t>
      </w:r>
      <w:r w:rsidRPr="00837161">
        <w:t>management methods</w:t>
      </w:r>
      <w:r w:rsidR="47C1D68D" w:rsidRPr="00837161">
        <w:t>, often</w:t>
      </w:r>
      <w:r w:rsidRPr="00837161">
        <w:t xml:space="preserve"> involving </w:t>
      </w:r>
      <w:r w:rsidR="00A91F9F">
        <w:t>I</w:t>
      </w:r>
      <w:r w:rsidRPr="00837161">
        <w:t>ndigenous and local knowledge, can reduce the impacts</w:t>
      </w:r>
      <w:r w:rsidR="00622E34" w:rsidRPr="00837161">
        <w:t xml:space="preserve"> of </w:t>
      </w:r>
      <w:r w:rsidR="00B05859">
        <w:t xml:space="preserve">invasive alien species </w:t>
      </w:r>
      <w:r w:rsidRPr="00837161">
        <w:t>in many instances. There is an increasing g</w:t>
      </w:r>
      <w:r w:rsidRPr="00837161">
        <w:rPr>
          <w:color w:val="000000" w:themeColor="text1"/>
        </w:rPr>
        <w:t xml:space="preserve">lobal willingness and desire </w:t>
      </w:r>
      <w:r w:rsidR="5B853F58" w:rsidRPr="00837161">
        <w:rPr>
          <w:color w:val="000000" w:themeColor="text1"/>
        </w:rPr>
        <w:t xml:space="preserve">among stakeholders </w:t>
      </w:r>
      <w:r w:rsidRPr="00837161">
        <w:rPr>
          <w:color w:val="000000" w:themeColor="text1"/>
        </w:rPr>
        <w:t xml:space="preserve">to </w:t>
      </w:r>
      <w:r w:rsidR="006166EA" w:rsidRPr="00837161">
        <w:rPr>
          <w:color w:val="000000" w:themeColor="text1"/>
        </w:rPr>
        <w:t>co</w:t>
      </w:r>
      <w:r w:rsidRPr="00837161">
        <w:rPr>
          <w:color w:val="000000" w:themeColor="text1"/>
        </w:rPr>
        <w:t>operate on management, undertake collaborative research and b</w:t>
      </w:r>
      <w:r w:rsidRPr="00837161">
        <w:t>uild awareness on the impacts of invasive alien species</w:t>
      </w:r>
      <w:r w:rsidR="5B853F58" w:rsidRPr="00837161">
        <w:t>.</w:t>
      </w:r>
      <w:r w:rsidR="3DD51722" w:rsidRPr="00837161">
        <w:t xml:space="preserve"> </w:t>
      </w:r>
      <w:r w:rsidR="6AD94CCA" w:rsidRPr="00837161">
        <w:t>P</w:t>
      </w:r>
      <w:r w:rsidRPr="00837161">
        <w:t xml:space="preserve">romoting </w:t>
      </w:r>
      <w:r w:rsidR="0761AD2D" w:rsidRPr="00837161">
        <w:t>such</w:t>
      </w:r>
      <w:r w:rsidRPr="00837161">
        <w:t xml:space="preserve"> collective efforts to address issues are important in th</w:t>
      </w:r>
      <w:r w:rsidR="6B94234D" w:rsidRPr="00837161">
        <w:t xml:space="preserve">e management </w:t>
      </w:r>
      <w:r w:rsidRPr="00837161">
        <w:t>process (</w:t>
      </w:r>
      <w:r w:rsidRPr="00636579">
        <w:rPr>
          <w:b/>
          <w:iCs/>
        </w:rPr>
        <w:t>sections 5.4</w:t>
      </w:r>
      <w:r w:rsidRPr="00636579">
        <w:rPr>
          <w:iCs/>
        </w:rPr>
        <w:t>,</w:t>
      </w:r>
      <w:r w:rsidRPr="00636579">
        <w:rPr>
          <w:b/>
          <w:iCs/>
        </w:rPr>
        <w:t xml:space="preserve"> 5.5</w:t>
      </w:r>
      <w:r w:rsidRPr="00837161">
        <w:t xml:space="preserve">). Scientific information and </w:t>
      </w:r>
      <w:r w:rsidRPr="00837161">
        <w:rPr>
          <w:color w:val="000000" w:themeColor="text1"/>
        </w:rPr>
        <w:t>databases (</w:t>
      </w:r>
      <w:r w:rsidRPr="00636579">
        <w:rPr>
          <w:b/>
          <w:iCs/>
          <w:color w:val="000000" w:themeColor="text1"/>
        </w:rPr>
        <w:t>section 5.4</w:t>
      </w:r>
      <w:r w:rsidRPr="00837161">
        <w:rPr>
          <w:color w:val="000000" w:themeColor="text1"/>
        </w:rPr>
        <w:t xml:space="preserve">) </w:t>
      </w:r>
      <w:r w:rsidR="3525D33C" w:rsidRPr="00837161">
        <w:rPr>
          <w:color w:val="000000" w:themeColor="text1"/>
        </w:rPr>
        <w:t>an</w:t>
      </w:r>
      <w:r w:rsidR="063C9EB8" w:rsidRPr="00837161">
        <w:rPr>
          <w:color w:val="000000" w:themeColor="text1"/>
        </w:rPr>
        <w:t>d decision-making tools (</w:t>
      </w:r>
      <w:r w:rsidR="063C9EB8" w:rsidRPr="00636579">
        <w:rPr>
          <w:b/>
          <w:iCs/>
          <w:color w:val="000000" w:themeColor="text1"/>
        </w:rPr>
        <w:t>section 5.2</w:t>
      </w:r>
      <w:r w:rsidR="063C9EB8" w:rsidRPr="00837161">
        <w:rPr>
          <w:color w:val="000000" w:themeColor="text1"/>
        </w:rPr>
        <w:t xml:space="preserve">) </w:t>
      </w:r>
      <w:r w:rsidRPr="00837161">
        <w:rPr>
          <w:color w:val="000000" w:themeColor="text1"/>
        </w:rPr>
        <w:t xml:space="preserve">are being made openly available to </w:t>
      </w:r>
      <w:r w:rsidR="006166EA" w:rsidRPr="00837161">
        <w:rPr>
          <w:color w:val="000000" w:themeColor="text1"/>
        </w:rPr>
        <w:t>policy</w:t>
      </w:r>
      <w:r w:rsidRPr="00837161">
        <w:rPr>
          <w:color w:val="000000" w:themeColor="text1"/>
        </w:rPr>
        <w:t xml:space="preserve">makers and resource managers to enable informed </w:t>
      </w:r>
      <w:r w:rsidR="005B7C20" w:rsidRPr="00837161">
        <w:rPr>
          <w:color w:val="000000" w:themeColor="text1"/>
        </w:rPr>
        <w:t>decision-making</w:t>
      </w:r>
      <w:r w:rsidRPr="00837161">
        <w:rPr>
          <w:color w:val="000000" w:themeColor="text1"/>
        </w:rPr>
        <w:t>. Colla</w:t>
      </w:r>
      <w:r w:rsidRPr="00837161">
        <w:t xml:space="preserve">boration among governments, </w:t>
      </w:r>
      <w:r w:rsidR="00091F0B" w:rsidRPr="00837161">
        <w:t xml:space="preserve">agricultural </w:t>
      </w:r>
      <w:r w:rsidRPr="00837161">
        <w:t>industr</w:t>
      </w:r>
      <w:r w:rsidR="00091F0B" w:rsidRPr="00837161">
        <w:t>ies</w:t>
      </w:r>
      <w:r w:rsidRPr="00837161">
        <w:t>, the general public</w:t>
      </w:r>
      <w:r w:rsidR="063C9EB8" w:rsidRPr="00837161">
        <w:t>,</w:t>
      </w:r>
      <w:r w:rsidRPr="00837161">
        <w:t xml:space="preserve"> including </w:t>
      </w:r>
      <w:r w:rsidR="00875C95" w:rsidRPr="00837161">
        <w:t>Indigenous Peoples</w:t>
      </w:r>
      <w:r w:rsidRPr="00837161">
        <w:t xml:space="preserve"> and local communities, non-government institutions and land users, and concerted actions by all parties will a</w:t>
      </w:r>
      <w:r w:rsidR="28F24464" w:rsidRPr="00837161">
        <w:t>ssist</w:t>
      </w:r>
      <w:r w:rsidR="000A2F19">
        <w:t xml:space="preserve"> in</w:t>
      </w:r>
      <w:r w:rsidRPr="00837161">
        <w:t xml:space="preserve"> addressing the </w:t>
      </w:r>
      <w:r w:rsidR="28F24464" w:rsidRPr="00837161">
        <w:t>challenge</w:t>
      </w:r>
      <w:r w:rsidRPr="00837161">
        <w:t xml:space="preserve"> in a strategic, holistic and timely manner </w:t>
      </w:r>
      <w:r w:rsidR="00A266D0" w:rsidRPr="00837161">
        <w:fldChar w:fldCharType="begin"/>
      </w:r>
      <w:r w:rsidR="000F35EB">
        <w:instrText xml:space="preserve"> ADDIN ZOTERO_ITEM CSL_CITATION {"citationID":"xGuGAF0d","properties":{"formattedCitation":"(Reaser, 2003)","plainCitation":"(Reaser, 2003)","noteIndex":0},"citationItems":[{"id":15591,"uris":["http://zotero.org/groups/2352922/items/9GDRR94J"],"itemData":{"id":15591,"type":"chapter","container-title":"Prevention and Management of Invasive Alien Species: Proceedings of a Workshop on Forging Cooperation throughout South and Southeast Asia","event-place":"Cape Town, South Africa","language":"en","page":"11-18","publisher":"Global Invasive Species Programme","publisher-place":"Cape Town, South Africa","source":"Zotero","title":"Invasive alien species: definitions, causes, consequences, and the way forward","URL":"https://giasipartnership.myspecies.info/en/content/pallewatta-n-jk-reaser-gutierrez-eds-2003-prevention-and-management-invasive-alien-species","author":[{"family":"Reaser","given":"Jamie K."}],"editor":[{"family":"Pallewatta","given":"N"},{"family":"Reaser","given":"J K"},{"family":"Gutierrez","given":"A"}],"issued":{"date-parts":[["2003"]]}},"label":"page"}],"schema":"https://github.com/citation-style-language/schema/raw/master/csl-citation.json"} </w:instrText>
      </w:r>
      <w:r w:rsidR="00A266D0" w:rsidRPr="00837161">
        <w:fldChar w:fldCharType="separate"/>
      </w:r>
      <w:r w:rsidR="00271B78" w:rsidRPr="00271B78">
        <w:t>(Reaser, 2003)</w:t>
      </w:r>
      <w:r w:rsidR="00A266D0" w:rsidRPr="00837161">
        <w:fldChar w:fldCharType="end"/>
      </w:r>
      <w:r w:rsidRPr="00837161">
        <w:t xml:space="preserve"> at the most </w:t>
      </w:r>
      <w:r w:rsidR="3069D560" w:rsidRPr="00837161">
        <w:t>app</w:t>
      </w:r>
      <w:r w:rsidR="6C173051" w:rsidRPr="00837161">
        <w:t>r</w:t>
      </w:r>
      <w:r w:rsidR="3069D560" w:rsidRPr="00837161">
        <w:t>opriate</w:t>
      </w:r>
      <w:r w:rsidRPr="00837161">
        <w:t xml:space="preserve"> scales </w:t>
      </w:r>
      <w:r w:rsidR="00A266D0" w:rsidRPr="00837161">
        <w:fldChar w:fldCharType="begin"/>
      </w:r>
      <w:r w:rsidR="000F35EB">
        <w:instrText xml:space="preserve"> ADDIN ZOTERO_ITEM CSL_CITATION {"citationID":"bhF9acFE","properties":{"formattedCitation":"(Glen et al., 2017)","plainCitation":"(Glen et al., 2017)","noteIndex":0},"citationItems":[{"id":24710,"uris":["http://zotero.org/groups/2352922/items/ZRWJGBNK"],"itemData":{"id":24710,"type":"article-journal","container-title":"Biological Invasions","DOI":"10.1007/s10530-016-1282-3","ISSN":"1387-3547, 1573-1464","issue":"1","journalAbbreviation":"Biol Invasions","language":"en","page":"329-338","source":"DOI.org (Crossref)","title":"Landholder participation in regional-scale control of invasive predators: an adaptable landscape model","title-short":"Landholder participation in regional-scale control of invasive predators","URL":"http://link.springer.com/10.1007/s10530-016-1282-3","volume":"19","author":[{"family":"Glen","given":"A. S."},{"family":"Latham","given":"M. C."},{"family":"Anderson","given":"D."},{"family":"Leckie","given":"C."},{"family":"Niemiec","given":"R."},{"family":"Pech","given":"R. P."},{"family":"Byrom","given":"A. E."}],"accessed":{"date-parts":[["2021",3,9]]},"issued":{"date-parts":[["2017",1]]}},"label":"page"}],"schema":"https://github.com/citation-style-language/schema/raw/master/csl-citation.json"} </w:instrText>
      </w:r>
      <w:r w:rsidR="00A266D0" w:rsidRPr="00837161">
        <w:fldChar w:fldCharType="separate"/>
      </w:r>
      <w:r w:rsidR="00271B78" w:rsidRPr="00271B78">
        <w:t>(Glen et al., 2017)</w:t>
      </w:r>
      <w:r w:rsidR="00A266D0" w:rsidRPr="00837161">
        <w:fldChar w:fldCharType="end"/>
      </w:r>
      <w:r w:rsidRPr="00837161">
        <w:t>.</w:t>
      </w:r>
      <w:r w:rsidR="00C60620">
        <w:t xml:space="preserve"> </w:t>
      </w:r>
      <w:r w:rsidRPr="00837161">
        <w:t xml:space="preserve">There is evidence to suggest that even less extensive cooperation and coordination among independent landowners can have a profound positive effect on managing invasive alien species </w:t>
      </w:r>
      <w:r w:rsidR="00A266D0" w:rsidRPr="00837161">
        <w:fldChar w:fldCharType="begin"/>
      </w:r>
      <w:r w:rsidR="000F35EB">
        <w:instrText xml:space="preserve"> ADDIN ZOTERO_ITEM CSL_CITATION {"citationID":"eFPPiBNV","properties":{"formattedCitation":"(Epanchin-Niell &amp; Wilen, 2015)","plainCitation":"(Epanchin-Niell &amp; Wilen, 2015)","noteIndex":0},"citationItems":[{"id":23923,"uris":["http://zotero.org/groups/2352922/items/6CA4DV74"],"itemData":{"id":23923,"type":"article-journal","abstract":"As a bioinvasion spreads across a landscape from its point of introduction, damages rise roughly with the square of the distance from the original invasion. It is thus generally beneﬁcial, at the landscape scale, to apply eradication or containment controls early if not immediately upon discovery. However, an individual property owner only has incentives to consider the costs and beneﬁts of control on his/her own property rather than potential landscape-scale damages. Bioinvasions will therefore generally be under-controlled in a landscape of independent owners operating under a laissez-faire system. A mechanism is thus needed to induce early cooperative contributions to control costs from beneﬁciaries who would, without them, be invaded later. We develop a spatially-explicit, integrated model of invasion spread and human behavior to examine how different degrees of spatial cooperation affect patterns of invasion spread and the total costs and damages imposed. We compare individual laissez-faire, cooperative control by adjacent neighbors, and cooperative control by groups including more distant but nearby neighbors. As expected, private laissez-faire control decisions tend to under-control the invasion relative to socially optimal control under most circumstances. But a reasonably high fraction of ﬁrst best payoffs can be achieved with only a modest geographical reach of cooperation. We also ﬁnd that less extensive cooperation is needed to control invasions whose costs and damages otherwise lead to the largest externalities (circumstances with costs that are relatively low compared with damages). This suggests that even small amounts of cooperation to control bioinvasions can provide large social beneﬁts.","container-title":"American Journal of Agricultural Economics","DOI":"10.1093/ajae/aau058","ISSN":"0002-9092, 1467-8276","issue":"1","journalAbbreviation":"American Journal of Agricultural Economics","language":"en","page":"180-198","source":"DOI.org (Crossref)","title":"Individual and Cooperative Management of Invasive Species in Human-mediated Landscapes","URL":"https://academic.oup.com/ajae/article-lookup/doi/10.1093/ajae/aau058","volume":"97","author":[{"family":"Epanchin-Niell","given":"R. S."},{"family":"Wilen","given":"J. E."}],"accessed":{"date-parts":[["2019",10,31]]},"issued":{"date-parts":[["2015",1]]}},"label":"page"}],"schema":"https://github.com/citation-style-language/schema/raw/master/csl-citation.json"} </w:instrText>
      </w:r>
      <w:r w:rsidR="00A266D0" w:rsidRPr="00837161">
        <w:fldChar w:fldCharType="separate"/>
      </w:r>
      <w:r w:rsidR="00271B78" w:rsidRPr="00271B78">
        <w:t>(Epanchin-Niell &amp; Wilen, 2015)</w:t>
      </w:r>
      <w:r w:rsidR="00A266D0" w:rsidRPr="00837161">
        <w:fldChar w:fldCharType="end"/>
      </w:r>
      <w:r w:rsidRPr="00837161">
        <w:t xml:space="preserve">. </w:t>
      </w:r>
      <w:r w:rsidR="0C02462D" w:rsidRPr="00837161">
        <w:t xml:space="preserve">Clear objective-driven </w:t>
      </w:r>
      <w:r w:rsidR="482F7F19" w:rsidRPr="00837161">
        <w:rPr>
          <w:lang w:eastAsia="ja-JP"/>
        </w:rPr>
        <w:t>invasive alien species</w:t>
      </w:r>
      <w:r w:rsidRPr="00837161">
        <w:rPr>
          <w:lang w:eastAsia="ja-JP"/>
        </w:rPr>
        <w:t xml:space="preserve"> management involving, and agreed upon by relevant stakeholders can bring substantial ecological and social benefits, and can eventually open new opportunities for improving </w:t>
      </w:r>
      <w:r w:rsidR="00F747C5" w:rsidRPr="00837161">
        <w:rPr>
          <w:lang w:eastAsia="ja-JP"/>
        </w:rPr>
        <w:t>good quality of life</w:t>
      </w:r>
      <w:r w:rsidRPr="00837161">
        <w:rPr>
          <w:lang w:eastAsia="ja-JP"/>
        </w:rPr>
        <w:t xml:space="preserve"> </w:t>
      </w:r>
      <w:r w:rsidR="00A266D0" w:rsidRPr="00837161">
        <w:rPr>
          <w:lang w:eastAsia="ja-JP"/>
        </w:rPr>
        <w:fldChar w:fldCharType="begin"/>
      </w:r>
      <w:r w:rsidR="000F35EB">
        <w:rPr>
          <w:lang w:eastAsia="ja-JP"/>
        </w:rPr>
        <w:instrText xml:space="preserve"> ADDIN ZOTERO_ITEM CSL_CITATION {"citationID":"MHJIwlLI","properties":{"formattedCitation":"(Chikoye et al., 2006; H. P. Jones et al., 2016; Samways et al., 2010)","plainCitation":"(Chikoye et al., 2006; H. P. Jones et al., 2016; Samways et al., 2010)","dontUpdate":true,"noteIndex":0},"citationItems":[{"id":25582,"uris":["http://zotero.org/groups/2352922/items/HX5MLJ9V"],"itemData":{"id":25582,"type":"article-journal","abstract":"Speargrass severely constraints crop production in the sub-humid lowlands of West Africa. Researchers have identified and demonstrated effective management techniques but the adoption rate among farmers is still low. Data were collected from 41 communities in Cross River, Kogi and Benue States in Nigeria using rural rapid appraisal techniques. The objectives were to assess the importance of agriculture in the livelihoods of each community, identify priority crops, assess perceptions of the speargrass problem, identify existing speargrass control strategies and local institutions/farmers with the capacity to implement speargrass control trials. Crop production was the main source of livelihood for all households. The most important crops from the perspectives of both food security and cash sale were cassava and yam, and these were most affected by the weed. Speargrass was the major constraint to crop production because of lack of capital for hiring labour and purchasing inputs, declining soil fertility, bush burning, deforestation, continuous cropping and lack of required skills. Slashing, hand-pulling, burning, deep digging and fallowing were the most common control methods used by farmers, but these were very labour intensive and ultimately not effective. Farmers assessed speargrass control measures through labour and cash requirements, material availability, effectiveness, time span to achieve control and crop yields. They rated chemical control most highly. Longer fallow periods and re-afforestation were effective but impractical as pressure on land intensifies from population growth. From the results of this study, we conclude that the use of community-based participatory approaches is essential to identify various technologies for combating speargrass.","container-title":"Journal of Food, Agriculture &amp; Environment","issue":"3&amp;4","language":"en","page":"118-126","source":"Zotero","title":"Farmers’ perceptions of the speargrass (&lt;i&gt;Imperata cylindrica&lt;/i&gt;) problem and its control in the lowland sub-humid savannah of Nigeria","URL":"https://www.academia.edu/48826875/Farmers_perceptions_of_the_speargrass_Imperata_cylindrica_problem_and_its_control_in_the_lowland_sub_humid_savannah_of_Nigeria","volume":"4","author":[{"family":"Chikoye","given":"David"},{"family":"Ellis-Jones","given":"Jim"},{"family":"Tarawali","given":"Gbassey"},{"family":"Kormawa","given":"Patrick"},{"family":"Nielsen","given":"Ole"},{"family":"Ibana","given":"Simon"},{"family":"Avav","given":"Ter-Rumun"}],"issued":{"date-parts":[["2006"]]}},"label":"page"},{"id":30455,"uris":["http://zotero.org/groups/2352922/items/M2IGIBMJ"],"itemData":{"id":30455,"type":"article-journal","abstract":"More than US$21 billion is spent annually on biodiversity conservation. Despite their importance for preventing or slowing extinctions and preserving biodiversity, conservation interventions are rarely assessed systematically for their global impact. Islands house a disproportionately higher amount of biodiversity compared with mainlands, much of which is highly threatened with extinction. Indeed, island species make up nearly two-thirds of recent extinctions. Islands therefore are critical targets of conservation. We used an extensive literature and database review paired with expert interviews to estimate the global benefits of an increasingly used conservation action to stem biodiversity loss: eradication of invasive mammals on islands. We found 236 native terrestrial insular faunal species (596 populations) that benefitted through positive demographic and/or distributional responses from 251 eradications of invasive mammals on 181 islands. Seven native species (eight populations) were negatively impacted by invasive mammal eradication. Four threatened species had their International Union for the Conservation of Nature (IUCN) Red List extinction-risk categories reduced as a direct result of invasive mammal eradication, and no species moved to a higher extinction-risk category. We predict that 107 highly threatened birds, mammals, and reptiles on the IUCN Red List—6% of all these highly threatened species—likely have benefitted from invasive mammal eradications on islands. Because monitoring of eradication outcomes is sporadic and limited, the impacts of global eradications are likely greater than we report here. Our results highlight the importance of invasive mammal eradication on islands for protecting the world's most imperiled fauna.","container-title":"Proceedings of the National Academy of Sciences","DOI":"10.1073/pnas.1521179113","ISSN":"0027-8424, 1091-6490","issue":"15","journalAbbreviation":"Proc Natl Acad Sci USA","language":"en","page":"4033-4038","source":"DOI.org (Crossref)","title":"Invasive mammal eradication on islands results in substantial conservation gains","URL":"http://www.pnas.org/lookup/doi/10.1073/pnas.1521179113","volume":"113","author":[{"family":"Jones","given":"Holly P."},{"family":"Holmes","given":"Nick D."},{"family":"Butchart","given":"Stuart H. M."},{"family":"Tershy","given":"Bernie R."},{"family":"Kappes","given":"Peter J."},{"family":"Corkery","given":"Ilse"},{"family":"Aguirre-Muñoz","given":"Alfonso"},{"family":"Armstrong","given":"Doug P."},{"family":"Bonnaud","given":"Elsa"},{"family":"Burbidge","given":"Andrew A."},{"family":"Campbell","given":"Karl"},{"family":"Courchamp","given":"Franck"},{"family":"Cowan","given":"Philip E."},{"family":"Cuthbert","given":"Richard J."},{"family":"Ebbert","given":"Steve"},{"family":"Genovesi","given":"Piero"},{"family":"Howald","given":"Gregg R."},{"family":"Keitt","given":"Bradford S."},{"family":"Kress","given":"Stephen W."},{"family":"Miskelly","given":"Colin M."},{"family":"Oppel","given":"Steffen"},{"family":"Poncet","given":"Sally"},{"family":"Rauzon","given":"Mark J."},{"family":"Rocamora","given":"Gérard"},{"family":"Russell","given":"James C."},{"family":"Samaniego-Herrera","given":"Araceli"},{"family":"Seddon","given":"Philip J."},{"family":"Spatz","given":"Dena R."},{"family":"Towns","given":"David R."},{"family":"Croll","given":"Donald A."}],"accessed":{"date-parts":[["2020",5,8]]},"issued":{"date-parts":[["2016",4,12]]}},"label":"page"},{"id":16155,"uris":["http://zotero.org/groups/2352922/items/SD6ZW2JE"],"itemData":{"id":16155,"type":"article-journal","container-title":"Biodiversity and Conservation","DOI":"10.1007/s10531-008-9524-z","ISSN":"0960-3115, 1572-9710","issue":"2","journalAbbreviation":"Biodivers Conserv","language":"en","page":"425-434","source":"DOI.org (Crossref)","title":"Restoration of a tropical island: Cousine Island, Seychelles","title-short":"Restoration of a tropical island","URL":"http://link.springer.com/10.1007/s10531-008-9524-z","volume":"19","author":[{"family":"Samways","given":"Michael J."},{"family":"Hitchins","given":"Peter M."},{"family":"Bourquin","given":"Orty"},{"family":"Henwood","given":"Jock"}],"accessed":{"date-parts":[["2019",11,20]]},"issued":{"date-parts":[["2010",2]]}},"label":"page"}],"schema":"https://github.com/citation-style-language/schema/raw/master/csl-citation.json"} </w:instrText>
      </w:r>
      <w:r w:rsidR="00A266D0" w:rsidRPr="00837161">
        <w:rPr>
          <w:lang w:eastAsia="ja-JP"/>
        </w:rPr>
        <w:fldChar w:fldCharType="separate"/>
      </w:r>
      <w:r w:rsidR="00E66247" w:rsidRPr="00837161">
        <w:t>(Chikoye et al., 2006; H. P. Jones et al., 2016; Samways et al., 2010;</w:t>
      </w:r>
      <w:r w:rsidR="00A266D0" w:rsidRPr="00837161">
        <w:rPr>
          <w:lang w:eastAsia="ja-JP"/>
        </w:rPr>
        <w:fldChar w:fldCharType="end"/>
      </w:r>
      <w:r w:rsidR="00517327" w:rsidRPr="00837161">
        <w:rPr>
          <w:lang w:eastAsia="ja-JP"/>
        </w:rPr>
        <w:t xml:space="preserve"> </w:t>
      </w:r>
      <w:r w:rsidR="00636579">
        <w:rPr>
          <w:b/>
          <w:iCs/>
          <w:lang w:eastAsia="ja-JP"/>
        </w:rPr>
        <w:t>C</w:t>
      </w:r>
      <w:r w:rsidR="00517327" w:rsidRPr="00636579">
        <w:rPr>
          <w:b/>
          <w:iCs/>
          <w:lang w:eastAsia="ja-JP"/>
        </w:rPr>
        <w:t>hapter 6</w:t>
      </w:r>
      <w:r w:rsidR="00517327" w:rsidRPr="00636579">
        <w:rPr>
          <w:iCs/>
          <w:lang w:eastAsia="ja-JP"/>
        </w:rPr>
        <w:t>,</w:t>
      </w:r>
      <w:r w:rsidR="00517327" w:rsidRPr="00636579">
        <w:rPr>
          <w:b/>
          <w:iCs/>
          <w:lang w:eastAsia="ja-JP"/>
        </w:rPr>
        <w:t xml:space="preserve"> section 6.4</w:t>
      </w:r>
      <w:r w:rsidR="00517327" w:rsidRPr="00837161">
        <w:rPr>
          <w:lang w:eastAsia="ja-JP"/>
        </w:rPr>
        <w:t>)</w:t>
      </w:r>
      <w:r w:rsidR="00C56BCD" w:rsidRPr="00837161">
        <w:rPr>
          <w:lang w:eastAsia="ja-JP"/>
        </w:rPr>
        <w:t>.</w:t>
      </w:r>
      <w:bookmarkStart w:id="48" w:name="_Toc69313955"/>
      <w:bookmarkStart w:id="49" w:name="_Toc26520284"/>
      <w:r w:rsidR="00054958" w:rsidRPr="00837161">
        <w:br w:type="page"/>
      </w:r>
    </w:p>
    <w:p w14:paraId="000000D2" w14:textId="5891FC22" w:rsidR="00A758FD" w:rsidRPr="00B05859" w:rsidRDefault="00C81287" w:rsidP="002F2F42">
      <w:pPr>
        <w:pStyle w:val="Heading1"/>
      </w:pPr>
      <w:bookmarkStart w:id="50" w:name="_heading=h.3rdcrjn" w:colFirst="0" w:colLast="0"/>
      <w:bookmarkStart w:id="51" w:name="_Toc146810103"/>
      <w:bookmarkStart w:id="52" w:name="_Toc131681628"/>
      <w:bookmarkStart w:id="53" w:name="_Toc149555468"/>
      <w:bookmarkStart w:id="54" w:name="_Toc87623126"/>
      <w:bookmarkEnd w:id="50"/>
      <w:r w:rsidRPr="00B05859">
        <w:lastRenderedPageBreak/>
        <w:t>Evidence based decision-making</w:t>
      </w:r>
      <w:bookmarkEnd w:id="51"/>
      <w:bookmarkEnd w:id="52"/>
      <w:bookmarkEnd w:id="53"/>
      <w:r w:rsidRPr="00B05859">
        <w:t xml:space="preserve"> </w:t>
      </w:r>
      <w:bookmarkEnd w:id="48"/>
      <w:bookmarkEnd w:id="54"/>
    </w:p>
    <w:p w14:paraId="639873E6" w14:textId="559B2CDA" w:rsidR="00A929B4" w:rsidRPr="00837161" w:rsidRDefault="6F37074E" w:rsidP="00C11DFA">
      <w:pPr>
        <w:spacing w:before="240" w:after="120" w:line="240" w:lineRule="auto"/>
      </w:pPr>
      <w:bookmarkStart w:id="55" w:name="_heading=h.lnxbz9" w:colFirst="0" w:colLast="0"/>
      <w:bookmarkEnd w:id="55"/>
      <w:r w:rsidRPr="00837161">
        <w:rPr>
          <w:shd w:val="clear" w:color="auto" w:fill="FFFFFF"/>
        </w:rPr>
        <w:t xml:space="preserve">Attaining good community collaboration, co-development and governance of any form of environmental management has many challenges </w:t>
      </w:r>
      <w:r w:rsidR="001B0409" w:rsidRPr="00837161">
        <w:rPr>
          <w:shd w:val="clear" w:color="auto" w:fill="FFFFFF"/>
        </w:rPr>
        <w:fldChar w:fldCharType="begin"/>
      </w:r>
      <w:r w:rsidR="000F35EB">
        <w:rPr>
          <w:shd w:val="clear" w:color="auto" w:fill="FFFFFF"/>
        </w:rPr>
        <w:instrText xml:space="preserve"> ADDIN ZOTERO_ITEM CSL_CITATION {"citationID":"FShKYT9Z","properties":{"formattedCitation":"(Margerum &amp; Robinson, 2016)","plainCitation":"(Margerum &amp; Robinson, 2016)","noteIndex":0},"citationItems":[{"id":22680,"uris":["http://zotero.org/groups/2352922/items/ZX5G3XMC"],"itemData":{"id":22680,"type":"book","abstract":"Collaborative approaches to governance are being used to address some of the most difficult environmental issues across the world, but there is limited focus on the challenges of practice. Leading scholars from the United States, Europe and Australia explore the theory and practice in a range of contexts, highlighting the lessons from practice, the potential limitations of collaboration and the potential strategies for addressing these challenges.","ISBN":"978-1-78536-041-1","language":"en","note":"Google-Books-ID: ooIwDQAAQBAJ","number-of-pages":"425","publisher":"Edward Elgar Publishing","source":"Google Books","title":"The Challenges of Collaboration in Environmental Governance: Barriers and Responses","title-short":"The Challenges of Collaboration in Environmental Governance","editor":[{"family":"Margerum","given":"Richard D."},{"family":"Robinson","given":"Cathy J."}],"issued":{"date-parts":[["2016",9,28]]}},"label":"page"}],"schema":"https://github.com/citation-style-language/schema/raw/master/csl-citation.json"} </w:instrText>
      </w:r>
      <w:r w:rsidR="001B0409" w:rsidRPr="00837161">
        <w:rPr>
          <w:shd w:val="clear" w:color="auto" w:fill="FFFFFF"/>
        </w:rPr>
        <w:fldChar w:fldCharType="separate"/>
      </w:r>
      <w:r w:rsidR="00271B78" w:rsidRPr="00271B78">
        <w:t>(Margerum &amp; Robinson, 2016)</w:t>
      </w:r>
      <w:r w:rsidR="001B0409" w:rsidRPr="00837161">
        <w:rPr>
          <w:shd w:val="clear" w:color="auto" w:fill="FFFFFF"/>
        </w:rPr>
        <w:fldChar w:fldCharType="end"/>
      </w:r>
      <w:r w:rsidRPr="00837161">
        <w:t>.</w:t>
      </w:r>
      <w:r w:rsidRPr="00837161">
        <w:rPr>
          <w:shd w:val="clear" w:color="auto" w:fill="FFFFFF"/>
        </w:rPr>
        <w:t xml:space="preserve"> </w:t>
      </w:r>
      <w:r w:rsidR="00B05859" w:rsidRPr="40428A01">
        <w:rPr>
          <w:highlight w:val="white"/>
        </w:rPr>
        <w:t>I</w:t>
      </w:r>
      <w:r w:rsidR="00B05859">
        <w:t>nvasive alien species</w:t>
      </w:r>
      <w:r w:rsidRPr="00837161">
        <w:rPr>
          <w:shd w:val="clear" w:color="auto" w:fill="FFFFFF"/>
        </w:rPr>
        <w:t xml:space="preserve"> are </w:t>
      </w:r>
      <w:r w:rsidR="104CE79E" w:rsidRPr="00837161">
        <w:t>the result of human activities, situations or event</w:t>
      </w:r>
      <w:r w:rsidR="77E1A621" w:rsidRPr="00837161">
        <w:t>s</w:t>
      </w:r>
      <w:r w:rsidR="104CE79E" w:rsidRPr="00837161">
        <w:t xml:space="preserve"> that</w:t>
      </w:r>
      <w:r w:rsidRPr="00837161">
        <w:t xml:space="preserve"> are </w:t>
      </w:r>
      <w:r w:rsidRPr="00837161">
        <w:rPr>
          <w:shd w:val="clear" w:color="auto" w:fill="FFFFFF"/>
        </w:rPr>
        <w:t xml:space="preserve">subject to human experiences, </w:t>
      </w:r>
      <w:r w:rsidR="000433A2" w:rsidRPr="00837161">
        <w:rPr>
          <w:shd w:val="clear" w:color="auto" w:fill="FFFFFF"/>
        </w:rPr>
        <w:t>concerns</w:t>
      </w:r>
      <w:r w:rsidR="00C16EEB">
        <w:rPr>
          <w:shd w:val="clear" w:color="auto" w:fill="FFFFFF"/>
        </w:rPr>
        <w:t xml:space="preserve"> and</w:t>
      </w:r>
      <w:r w:rsidRPr="00837161">
        <w:rPr>
          <w:shd w:val="clear" w:color="auto" w:fill="FFFFFF"/>
        </w:rPr>
        <w:t xml:space="preserve"> values</w:t>
      </w:r>
      <w:r w:rsidR="0069669A" w:rsidRPr="00837161">
        <w:rPr>
          <w:shd w:val="clear" w:color="auto" w:fill="FFFFFF"/>
        </w:rPr>
        <w:t xml:space="preserve"> (</w:t>
      </w:r>
      <w:r w:rsidR="00636579">
        <w:rPr>
          <w:b/>
          <w:iCs/>
          <w:shd w:val="clear" w:color="auto" w:fill="FFFFFF"/>
        </w:rPr>
        <w:t>C</w:t>
      </w:r>
      <w:r w:rsidR="0069669A" w:rsidRPr="00636579">
        <w:rPr>
          <w:b/>
          <w:iCs/>
          <w:shd w:val="clear" w:color="auto" w:fill="FFFFFF"/>
        </w:rPr>
        <w:t>hapter 3</w:t>
      </w:r>
      <w:r w:rsidR="0069669A" w:rsidRPr="00636579">
        <w:rPr>
          <w:shd w:val="clear" w:color="auto" w:fill="FFFFFF"/>
        </w:rPr>
        <w:t>,</w:t>
      </w:r>
      <w:r w:rsidR="0069669A" w:rsidRPr="00636579">
        <w:rPr>
          <w:b/>
          <w:iCs/>
          <w:shd w:val="clear" w:color="auto" w:fill="FFFFFF"/>
        </w:rPr>
        <w:t xml:space="preserve"> section 3.2.1</w:t>
      </w:r>
      <w:r w:rsidR="0069669A" w:rsidRPr="00837161">
        <w:rPr>
          <w:shd w:val="clear" w:color="auto" w:fill="FFFFFF"/>
        </w:rPr>
        <w:t>)</w:t>
      </w:r>
      <w:r w:rsidR="100DB2E6" w:rsidRPr="00837161">
        <w:rPr>
          <w:shd w:val="clear" w:color="auto" w:fill="FFFFFF"/>
        </w:rPr>
        <w:t xml:space="preserve">. </w:t>
      </w:r>
      <w:bookmarkStart w:id="56" w:name="_Hlk110327175"/>
      <w:r w:rsidR="100DB2E6" w:rsidRPr="00837161">
        <w:rPr>
          <w:shd w:val="clear" w:color="auto" w:fill="FFFFFF"/>
        </w:rPr>
        <w:t>Thus,</w:t>
      </w:r>
      <w:r w:rsidRPr="00837161">
        <w:rPr>
          <w:shd w:val="clear" w:color="auto" w:fill="FFFFFF"/>
        </w:rPr>
        <w:t xml:space="preserve"> the management of their threats and impacts </w:t>
      </w:r>
      <w:r w:rsidR="022B4729" w:rsidRPr="00837161">
        <w:t>implies</w:t>
      </w:r>
      <w:r w:rsidR="212539A4" w:rsidRPr="00837161">
        <w:t xml:space="preserve"> </w:t>
      </w:r>
      <w:r w:rsidRPr="00837161">
        <w:rPr>
          <w:shd w:val="clear" w:color="auto" w:fill="FFFFFF"/>
        </w:rPr>
        <w:t xml:space="preserve">effective </w:t>
      </w:r>
      <w:r w:rsidRPr="00837161">
        <w:t xml:space="preserve">multiway stakeholder community </w:t>
      </w:r>
      <w:r w:rsidRPr="00837161">
        <w:rPr>
          <w:shd w:val="clear" w:color="auto" w:fill="FFFFFF"/>
        </w:rPr>
        <w:t xml:space="preserve">engagement in </w:t>
      </w:r>
      <w:r w:rsidRPr="00837161">
        <w:t>communication, knowledge sharing</w:t>
      </w:r>
      <w:r w:rsidR="00C16EEB">
        <w:t xml:space="preserve"> and</w:t>
      </w:r>
      <w:r w:rsidRPr="00837161">
        <w:t xml:space="preserve"> co-development</w:t>
      </w:r>
      <w:r w:rsidRPr="00837161">
        <w:rPr>
          <w:shd w:val="clear" w:color="auto" w:fill="FFFFFF"/>
        </w:rPr>
        <w:t xml:space="preserve"> around goal setting, decision-making and intervention through action</w:t>
      </w:r>
      <w:r w:rsidR="212539A4" w:rsidRPr="00837161">
        <w:t xml:space="preserve"> </w:t>
      </w:r>
      <w:r w:rsidR="002502C4" w:rsidRPr="00837161">
        <w:t>(</w:t>
      </w:r>
      <w:r w:rsidR="00636579">
        <w:rPr>
          <w:b/>
          <w:iCs/>
        </w:rPr>
        <w:t>C</w:t>
      </w:r>
      <w:r w:rsidR="00C71A2B" w:rsidRPr="00636579">
        <w:rPr>
          <w:b/>
          <w:iCs/>
        </w:rPr>
        <w:t>hapter</w:t>
      </w:r>
      <w:r w:rsidR="30770CCF" w:rsidRPr="00636579">
        <w:rPr>
          <w:b/>
          <w:iCs/>
        </w:rPr>
        <w:t xml:space="preserve"> </w:t>
      </w:r>
      <w:r w:rsidR="001B0409" w:rsidRPr="00636579">
        <w:rPr>
          <w:b/>
          <w:iCs/>
        </w:rPr>
        <w:t>6</w:t>
      </w:r>
      <w:r w:rsidR="001B0409" w:rsidRPr="00636579">
        <w:rPr>
          <w:iCs/>
        </w:rPr>
        <w:t>,</w:t>
      </w:r>
      <w:r w:rsidR="001B0409" w:rsidRPr="00636579">
        <w:rPr>
          <w:b/>
          <w:iCs/>
        </w:rPr>
        <w:t xml:space="preserve"> </w:t>
      </w:r>
      <w:r w:rsidR="0E3F0983" w:rsidRPr="00636579">
        <w:rPr>
          <w:b/>
          <w:iCs/>
        </w:rPr>
        <w:t>section</w:t>
      </w:r>
      <w:r w:rsidR="6D4476BA" w:rsidRPr="00636579">
        <w:rPr>
          <w:b/>
          <w:iCs/>
        </w:rPr>
        <w:t xml:space="preserve"> </w:t>
      </w:r>
      <w:r w:rsidR="212539A4" w:rsidRPr="00636579">
        <w:rPr>
          <w:b/>
          <w:iCs/>
        </w:rPr>
        <w:t>6.4.2</w:t>
      </w:r>
      <w:r w:rsidR="212539A4" w:rsidRPr="00837161">
        <w:t>)</w:t>
      </w:r>
      <w:r w:rsidRPr="00837161">
        <w:rPr>
          <w:shd w:val="clear" w:color="auto" w:fill="FFFFFF"/>
        </w:rPr>
        <w:t xml:space="preserve">. </w:t>
      </w:r>
      <w:bookmarkEnd w:id="56"/>
      <w:r w:rsidRPr="00837161">
        <w:rPr>
          <w:rFonts w:eastAsia="Calibri"/>
        </w:rPr>
        <w:t xml:space="preserve">As for many environmental issues, there are also a wide variety </w:t>
      </w:r>
      <w:r w:rsidR="29088110" w:rsidRPr="00837161">
        <w:rPr>
          <w:rFonts w:eastAsia="Calibri"/>
        </w:rPr>
        <w:t xml:space="preserve">of </w:t>
      </w:r>
      <w:r w:rsidRPr="00837161">
        <w:rPr>
          <w:rFonts w:eastAsia="Calibri"/>
        </w:rPr>
        <w:t>actions to address invasive alien species, for example</w:t>
      </w:r>
      <w:r w:rsidR="0E3F0983" w:rsidRPr="00837161">
        <w:rPr>
          <w:rFonts w:eastAsia="Calibri"/>
        </w:rPr>
        <w:t>,</w:t>
      </w:r>
      <w:r w:rsidRPr="00837161">
        <w:rPr>
          <w:rFonts w:eastAsia="Calibri"/>
        </w:rPr>
        <w:t xml:space="preserve"> technical, legal, economic, social, </w:t>
      </w:r>
      <w:r w:rsidR="00837161" w:rsidRPr="00837161">
        <w:rPr>
          <w:rFonts w:eastAsia="Calibri"/>
        </w:rPr>
        <w:t>behavioural</w:t>
      </w:r>
      <w:r w:rsidRPr="00837161">
        <w:rPr>
          <w:rFonts w:eastAsia="Calibri"/>
        </w:rPr>
        <w:t xml:space="preserve">, cultural or </w:t>
      </w:r>
      <w:r w:rsidR="000433A2" w:rsidRPr="00837161">
        <w:rPr>
          <w:rFonts w:eastAsia="Calibri"/>
        </w:rPr>
        <w:t>knowledge based</w:t>
      </w:r>
      <w:r w:rsidRPr="00837161">
        <w:rPr>
          <w:rFonts w:eastAsia="Calibri"/>
        </w:rPr>
        <w:t>. Whatever</w:t>
      </w:r>
      <w:r w:rsidR="1326E246" w:rsidRPr="00837161">
        <w:rPr>
          <w:rFonts w:eastAsia="Calibri"/>
        </w:rPr>
        <w:t xml:space="preserve"> </w:t>
      </w:r>
      <w:r w:rsidRPr="00837161">
        <w:rPr>
          <w:rFonts w:eastAsia="Calibri"/>
        </w:rPr>
        <w:t>the</w:t>
      </w:r>
      <w:r w:rsidR="1326E246" w:rsidRPr="00837161">
        <w:rPr>
          <w:rFonts w:eastAsia="Calibri"/>
        </w:rPr>
        <w:t xml:space="preserve"> </w:t>
      </w:r>
      <w:r w:rsidRPr="00837161">
        <w:rPr>
          <w:rFonts w:eastAsia="Calibri"/>
        </w:rPr>
        <w:t>action</w:t>
      </w:r>
      <w:r w:rsidR="1326E246" w:rsidRPr="00837161">
        <w:rPr>
          <w:rFonts w:eastAsia="Calibri"/>
        </w:rPr>
        <w:t xml:space="preserve"> is</w:t>
      </w:r>
      <w:r w:rsidRPr="00837161">
        <w:rPr>
          <w:rFonts w:eastAsia="Calibri"/>
        </w:rPr>
        <w:t>, decision</w:t>
      </w:r>
      <w:r w:rsidR="238DE462" w:rsidRPr="00837161">
        <w:rPr>
          <w:rFonts w:eastAsia="Calibri"/>
        </w:rPr>
        <w:t xml:space="preserve">s </w:t>
      </w:r>
      <w:r w:rsidR="22A3D1F1" w:rsidRPr="00837161">
        <w:rPr>
          <w:rFonts w:eastAsia="Calibri"/>
        </w:rPr>
        <w:t>are</w:t>
      </w:r>
      <w:r w:rsidRPr="00837161">
        <w:rPr>
          <w:rFonts w:eastAsia="Calibri"/>
        </w:rPr>
        <w:t xml:space="preserve"> taken by representatives of societies, communities and individuals confronted with invasive alien species</w:t>
      </w:r>
      <w:r w:rsidR="6D0C81BD" w:rsidRPr="00837161">
        <w:rPr>
          <w:rFonts w:eastAsia="Calibri"/>
        </w:rPr>
        <w:t xml:space="preserve"> using</w:t>
      </w:r>
      <w:r w:rsidR="6DCF8DCE" w:rsidRPr="00837161">
        <w:rPr>
          <w:rFonts w:eastAsia="Calibri"/>
        </w:rPr>
        <w:t xml:space="preserve"> a</w:t>
      </w:r>
      <w:r w:rsidR="6D0C81BD" w:rsidRPr="00837161">
        <w:rPr>
          <w:rFonts w:eastAsia="Calibri"/>
        </w:rPr>
        <w:t xml:space="preserve"> precautionary approach</w:t>
      </w:r>
      <w:r w:rsidRPr="00837161">
        <w:rPr>
          <w:rFonts w:eastAsia="Calibri"/>
        </w:rPr>
        <w:t>. Decision makers may be public or private, including pol</w:t>
      </w:r>
      <w:r w:rsidR="0E3F0983" w:rsidRPr="00837161">
        <w:rPr>
          <w:rFonts w:eastAsia="Calibri"/>
        </w:rPr>
        <w:t>icy</w:t>
      </w:r>
      <w:r w:rsidRPr="00837161">
        <w:rPr>
          <w:rFonts w:eastAsia="Calibri"/>
        </w:rPr>
        <w:t xml:space="preserve">makers, land and waterway managers, </w:t>
      </w:r>
      <w:r w:rsidR="00875C95" w:rsidRPr="00837161">
        <w:rPr>
          <w:rFonts w:eastAsia="Calibri"/>
        </w:rPr>
        <w:t>Indigenous Peoples</w:t>
      </w:r>
      <w:r w:rsidR="79106FE8" w:rsidRPr="00837161">
        <w:rPr>
          <w:rFonts w:eastAsia="Calibri"/>
        </w:rPr>
        <w:t xml:space="preserve"> </w:t>
      </w:r>
      <w:r w:rsidRPr="00837161">
        <w:rPr>
          <w:rFonts w:eastAsia="Calibri"/>
        </w:rPr>
        <w:t xml:space="preserve">and local </w:t>
      </w:r>
      <w:r w:rsidR="451F0A0A" w:rsidRPr="00837161">
        <w:rPr>
          <w:rFonts w:eastAsia="Calibri"/>
        </w:rPr>
        <w:t>communities</w:t>
      </w:r>
      <w:r w:rsidRPr="00837161">
        <w:rPr>
          <w:rFonts w:eastAsia="Calibri"/>
        </w:rPr>
        <w:t xml:space="preserve">, volunteers working on public land, private tenants, non-governmental </w:t>
      </w:r>
      <w:r w:rsidR="0E3F0983" w:rsidRPr="00837161">
        <w:rPr>
          <w:rFonts w:eastAsia="Calibri"/>
        </w:rPr>
        <w:t>organization</w:t>
      </w:r>
      <w:r w:rsidRPr="00837161">
        <w:rPr>
          <w:rFonts w:eastAsia="Calibri"/>
        </w:rPr>
        <w:t>s or community groups</w:t>
      </w:r>
      <w:r w:rsidR="5C48F66C" w:rsidRPr="00837161">
        <w:rPr>
          <w:rFonts w:eastAsia="Calibri"/>
        </w:rPr>
        <w:t xml:space="preserve"> </w:t>
      </w:r>
      <w:r w:rsidR="0095550E" w:rsidRPr="00837161">
        <w:rPr>
          <w:rFonts w:eastAsia="Calibri"/>
        </w:rPr>
        <w:fldChar w:fldCharType="begin"/>
      </w:r>
      <w:r w:rsidR="000F35EB">
        <w:rPr>
          <w:rFonts w:eastAsia="Calibri"/>
        </w:rPr>
        <w:instrText xml:space="preserve"> ADDIN ZOTERO_ITEM CSL_CITATION {"citationID":"UjVtJnWI","properties":{"formattedCitation":"(IPBES,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0095550E" w:rsidRPr="00837161">
        <w:rPr>
          <w:rFonts w:eastAsia="Calibri"/>
        </w:rPr>
        <w:fldChar w:fldCharType="separate"/>
      </w:r>
      <w:r w:rsidR="00271B78" w:rsidRPr="00271B78">
        <w:t>(IPBES, 2020)</w:t>
      </w:r>
      <w:r w:rsidR="0095550E" w:rsidRPr="00837161">
        <w:rPr>
          <w:rFonts w:eastAsia="Calibri"/>
        </w:rPr>
        <w:fldChar w:fldCharType="end"/>
      </w:r>
      <w:r w:rsidRPr="00837161">
        <w:rPr>
          <w:rFonts w:eastAsia="Calibri"/>
        </w:rPr>
        <w:t xml:space="preserve">. </w:t>
      </w:r>
      <w:r w:rsidR="407E3758" w:rsidRPr="00837161">
        <w:rPr>
          <w:rFonts w:eastAsia="Calibri"/>
        </w:rPr>
        <w:t>D</w:t>
      </w:r>
      <w:r w:rsidR="28A9D4A4" w:rsidRPr="00837161">
        <w:rPr>
          <w:rFonts w:eastAsia="Calibri"/>
        </w:rPr>
        <w:t xml:space="preserve">ecision-making </w:t>
      </w:r>
      <w:r w:rsidR="407E3758" w:rsidRPr="00837161">
        <w:rPr>
          <w:rFonts w:eastAsia="Calibri"/>
        </w:rPr>
        <w:t xml:space="preserve">can also be </w:t>
      </w:r>
      <w:r w:rsidR="28A9D4A4" w:rsidRPr="00837161">
        <w:rPr>
          <w:rFonts w:eastAsia="Calibri"/>
        </w:rPr>
        <w:t>differential between communities and gender</w:t>
      </w:r>
      <w:r w:rsidR="60071E61" w:rsidRPr="00837161">
        <w:rPr>
          <w:rFonts w:eastAsia="Calibri"/>
        </w:rPr>
        <w:t>. For exa</w:t>
      </w:r>
      <w:r w:rsidR="7BCFC5D6" w:rsidRPr="00837161">
        <w:rPr>
          <w:rFonts w:eastAsia="Calibri"/>
        </w:rPr>
        <w:t>mple</w:t>
      </w:r>
      <w:r w:rsidR="3FF0D894" w:rsidRPr="00837161">
        <w:rPr>
          <w:rFonts w:eastAsia="Calibri"/>
        </w:rPr>
        <w:t>,</w:t>
      </w:r>
      <w:r w:rsidR="7BCFC5D6" w:rsidRPr="00837161">
        <w:rPr>
          <w:rFonts w:eastAsia="Calibri"/>
        </w:rPr>
        <w:t xml:space="preserve"> in many parts of the world </w:t>
      </w:r>
      <w:r w:rsidR="28A9D4A4" w:rsidRPr="00837161">
        <w:rPr>
          <w:rFonts w:eastAsia="Calibri"/>
        </w:rPr>
        <w:t xml:space="preserve">women </w:t>
      </w:r>
      <w:r w:rsidR="2C700A5F" w:rsidRPr="00837161">
        <w:rPr>
          <w:rFonts w:eastAsia="Calibri"/>
        </w:rPr>
        <w:t xml:space="preserve">are </w:t>
      </w:r>
      <w:r w:rsidR="762B7757" w:rsidRPr="00837161">
        <w:rPr>
          <w:rFonts w:eastAsia="Calibri"/>
        </w:rPr>
        <w:t xml:space="preserve">action takers </w:t>
      </w:r>
      <w:r w:rsidR="74DB8C17" w:rsidRPr="00837161">
        <w:rPr>
          <w:rFonts w:eastAsia="Calibri"/>
        </w:rPr>
        <w:t>while</w:t>
      </w:r>
      <w:r w:rsidR="762B7757" w:rsidRPr="00837161">
        <w:rPr>
          <w:rFonts w:eastAsia="Calibri"/>
        </w:rPr>
        <w:t xml:space="preserve"> men </w:t>
      </w:r>
      <w:r w:rsidR="74DB8C17" w:rsidRPr="00837161">
        <w:rPr>
          <w:rFonts w:eastAsia="Calibri"/>
        </w:rPr>
        <w:t>make most of</w:t>
      </w:r>
      <w:r w:rsidR="762B7757" w:rsidRPr="00837161">
        <w:rPr>
          <w:rFonts w:eastAsia="Calibri"/>
        </w:rPr>
        <w:t xml:space="preserve"> the</w:t>
      </w:r>
      <w:r w:rsidR="0EE4F055" w:rsidRPr="00837161">
        <w:rPr>
          <w:rFonts w:eastAsia="Calibri"/>
        </w:rPr>
        <w:t xml:space="preserve"> </w:t>
      </w:r>
      <w:r w:rsidR="4BEF4A05" w:rsidRPr="00837161">
        <w:rPr>
          <w:rFonts w:eastAsia="Calibri"/>
        </w:rPr>
        <w:t>decisions</w:t>
      </w:r>
      <w:r w:rsidR="0EE4F055" w:rsidRPr="00837161">
        <w:rPr>
          <w:rFonts w:eastAsia="Calibri"/>
        </w:rPr>
        <w:t xml:space="preserve"> </w:t>
      </w:r>
      <w:r w:rsidR="1FA748A8" w:rsidRPr="00837161">
        <w:rPr>
          <w:rFonts w:eastAsia="Calibri"/>
        </w:rPr>
        <w:t>(</w:t>
      </w:r>
      <w:r w:rsidR="1A50B0BE" w:rsidRPr="00837161">
        <w:rPr>
          <w:rFonts w:eastAsia="Calibri"/>
        </w:rPr>
        <w:t xml:space="preserve">e.g., </w:t>
      </w:r>
      <w:r w:rsidR="6E5FB6BE" w:rsidRPr="00837161">
        <w:rPr>
          <w:rFonts w:eastAsia="Calibri"/>
        </w:rPr>
        <w:t xml:space="preserve">in </w:t>
      </w:r>
      <w:r w:rsidR="1FA748A8" w:rsidRPr="00837161">
        <w:rPr>
          <w:rFonts w:eastAsia="Calibri"/>
        </w:rPr>
        <w:t xml:space="preserve">smallholder </w:t>
      </w:r>
      <w:r w:rsidR="28A9D4A4" w:rsidRPr="00837161">
        <w:rPr>
          <w:rFonts w:eastAsia="Calibri"/>
        </w:rPr>
        <w:t>crop management</w:t>
      </w:r>
      <w:r w:rsidR="00CF6F49" w:rsidRPr="00837161">
        <w:rPr>
          <w:rFonts w:eastAsia="Calibri"/>
        </w:rPr>
        <w:fldChar w:fldCharType="begin"/>
      </w:r>
      <w:r w:rsidR="000F35EB">
        <w:rPr>
          <w:rFonts w:eastAsia="Calibri"/>
        </w:rPr>
        <w:instrText xml:space="preserve"> ADDIN ZOTERO_ITEM CSL_CITATION {"citationID":"59xBRRLM","properties":{"formattedCitation":"(Fish et al., 2010; Upadhyay et al., 2020)","plainCitation":"(Fish et al., 2010; Upadhyay et al., 2020)","dontUpdate":true,"noteIndex":0},"citationItems":[{"id":32862,"uris":["http://zotero.org/groups/2352922/items/E7FM7ITB"],"itemData":{"id":32862,"type":"book","abstract":"The overall aim of this study is to bring together information on the subject of gender and invasive species, and thereby inform and strengthen future projects, activities and interventions in relation to invasive species prevention and management. The information will be of interest to all those involved in research, policy and practice of invasive species prevention and management.","event-place":"Washington DC, US, Nairobi, Kenya","ISBN":"978-92-9059-288-4","language":"en","publisher":"Global Invasive Species Programme (GISP)","publisher-place":"Washington DC, US, Nairobi, Kenya","source":"portals.iucn.org","title":"Mainstreaming gender into prevention and management of invasive species","URL":"https://portals.iucn.org/library/node/9837","author":[{"family":"Fish","given":"Jennifer"},{"family":"Chiche","given":"Yeshi"},{"family":"Day","given":"Roger"},{"family":"Efa","given":"Negussie"},{"family":"Witt","given":"Arne"},{"family":"Fessehaie","given":"Rezene"},{"family":"De Graft Johnson","given":"Kweku"},{"family":"Gumisizira","given":"Gadi"},{"family":"Nkandu","given":"Brian"}],"accessed":{"date-parts":[["2019",11,12]]},"issued":{"date-parts":[["2010"]]}},"label":"page"},{"id":24538,"uris":["http://zotero.org/groups/2352922/items/9RQUH2UM"],"itemData":{"id":24538,"type":"article-journal","abstract":"Farmers’ knowledge, attitudes, and beliefs are of paramount importance in shaping the on-farm adoption and diffusion of integrated pest management (IPM). In particular, for invasive pests, this (gendered) knowledge base can dictate how fast and effective farmers respond to emerging threats. In this study, we employ qualitative and quantitative methods to assess agro-ecological knowledge and pest management behavior of small-scale cassava growers in rural Vietnam and Laos, when faced with two new biotic threats, i.e., the invasive cassava mealybug Phenacoccus manihoti and cassava witches broom disease. Despite their pronounced impact on crop yields, farmers overall had limited knowledge of recent invaders and regularly ascribed their appearance to “climate change\". Growers were largely unaware of preventative tactics for pest control, and resorted to curative measures (e.g., unguided pesticide sprays) at the P. manihoti invasion front. Farmers’ attitudes toward invasive pests were highly context- and locality-dependent, and knowledge scores differed between households positioned along a gender continuum. Though women assumed a minor role in IPM decision-making and possessed comparatively deficient knowledge, they favored agro-ecological approaches and took on key tasks in the selection of propagation material. Gender roles in cassava crop protection are equally context-dependent, yet women may be well-positioned to promote IPM practices such as the use of disease-free planting material. Future extension should thus pay attention to (a) strengthening (women) farmers’ knowledge base, to empower them as change agents and drive IPM adoption, and (b) transferring local innovations between sites, eventually through visual educational aids. Given the increasing importance of invasive pests in many developing countries, our work emphasizes how adult education and (adaptive) co-learning should become core components of mitigation programs.","container-title":"Environment, Development and Sustainability","DOI":"10.1007/s10668-018-0208-x","ISSN":"1387-585X, 1573-2975","issue":"1","journalAbbreviation":"Environ Dev Sustain","language":"en","page":"425-445","source":"DOI.org (Crossref)","title":"Caught off guard: folk knowledge proves deficient when addressing invasive pests in Asian cassava systems","title-short":"Caught off guard","URL":"http://link.springer.com/10.1007/s10668-018-0208-x","volume":"22","author":[{"family":"Upadhyay","given":"Bhawana"},{"family":"Burra","given":"Dharani D."},{"family":"Nguyen","given":"Than Thi"},{"family":"Wyckhuys","given":"Kris A. G."}],"accessed":{"date-parts":[["2021",2,25]]},"issued":{"date-parts":[["2020",1]]}},"label":"page"}],"schema":"https://github.com/citation-style-language/schema/raw/master/csl-citation.json"} </w:instrText>
      </w:r>
      <w:r w:rsidR="00CF6F49" w:rsidRPr="00837161">
        <w:rPr>
          <w:rFonts w:eastAsia="Calibri"/>
        </w:rPr>
        <w:fldChar w:fldCharType="separate"/>
      </w:r>
      <w:r w:rsidR="0069669A" w:rsidRPr="00837161">
        <w:t xml:space="preserve">; </w:t>
      </w:r>
      <w:r w:rsidR="006909A2" w:rsidRPr="00837161">
        <w:t>Fish et al., 2010; Upadhyay et al., 2020)</w:t>
      </w:r>
      <w:r w:rsidR="00CF6F49" w:rsidRPr="00837161">
        <w:rPr>
          <w:rFonts w:eastAsia="Calibri"/>
        </w:rPr>
        <w:fldChar w:fldCharType="end"/>
      </w:r>
      <w:r w:rsidR="130F2C30" w:rsidRPr="00837161">
        <w:rPr>
          <w:rFonts w:eastAsia="Calibri"/>
        </w:rPr>
        <w:t>.</w:t>
      </w:r>
      <w:r w:rsidRPr="00837161">
        <w:rPr>
          <w:rFonts w:eastAsia="Calibri"/>
        </w:rPr>
        <w:t xml:space="preserve"> </w:t>
      </w:r>
      <w:r w:rsidR="005B7C20" w:rsidRPr="00837161">
        <w:rPr>
          <w:rFonts w:eastAsia="Calibri"/>
        </w:rPr>
        <w:t>Decision-making</w:t>
      </w:r>
      <w:r w:rsidRPr="00837161">
        <w:rPr>
          <w:rFonts w:eastAsia="Calibri"/>
        </w:rPr>
        <w:t xml:space="preserve"> relies on available evidence, respective values</w:t>
      </w:r>
      <w:r w:rsidR="008E6A83" w:rsidRPr="00837161">
        <w:rPr>
          <w:rFonts w:eastAsia="Calibri"/>
        </w:rPr>
        <w:t>, interest</w:t>
      </w:r>
      <w:r w:rsidR="00373995">
        <w:rPr>
          <w:rFonts w:eastAsia="Calibri"/>
        </w:rPr>
        <w:t xml:space="preserve"> </w:t>
      </w:r>
      <w:r w:rsidR="008E6A83" w:rsidRPr="00837161">
        <w:rPr>
          <w:rFonts w:eastAsia="Calibri"/>
        </w:rPr>
        <w:t xml:space="preserve">and responsibilities of </w:t>
      </w:r>
      <w:r w:rsidR="1F5621C0" w:rsidRPr="00837161">
        <w:rPr>
          <w:rFonts w:eastAsia="Calibri"/>
        </w:rPr>
        <w:t>stakeholder</w:t>
      </w:r>
      <w:r w:rsidR="008E6A83" w:rsidRPr="00837161">
        <w:rPr>
          <w:rFonts w:eastAsia="Calibri"/>
        </w:rPr>
        <w:t>s</w:t>
      </w:r>
      <w:r w:rsidRPr="00837161">
        <w:t xml:space="preserve">, </w:t>
      </w:r>
      <w:r w:rsidR="2559A483" w:rsidRPr="00837161">
        <w:t xml:space="preserve">available </w:t>
      </w:r>
      <w:r w:rsidR="23105DEC" w:rsidRPr="00837161">
        <w:t xml:space="preserve">management </w:t>
      </w:r>
      <w:r w:rsidR="2559A483" w:rsidRPr="00837161">
        <w:t xml:space="preserve">resources </w:t>
      </w:r>
      <w:r w:rsidR="001B0409" w:rsidRPr="00837161">
        <w:fldChar w:fldCharType="begin"/>
      </w:r>
      <w:r w:rsidR="000F35EB">
        <w:instrText xml:space="preserve"> ADDIN ZOTERO_ITEM CSL_CITATION {"citationID":"0mPA9ihR","properties":{"formattedCitation":"(D. L. Larson et al., 2011; Piria et al., 2017)","plainCitation":"(D. L. Larson et al., 2011; Piria et al., 2017)","noteIndex":0},"citationItems":[{"id":11261,"uris":["http://zotero.org/groups/2352922/items/VP6Q9WDH"],"itemData":{"id":11261,"type":"article-journal","abstract":"Applying the concept of sustainability to invasive species management (ISM) is challenging but necessary, given the increasing rates of invasion and the high costs of invasion impacts and control. To be sustainable, ISM must address environmental, social, and economic factors (or “pillars”) that inﬂuence the causes, impacts, and control of invasive species across multiple spatial and temporal scales. Although these pillars are generally acknowledged, their implementation is often limited by insufﬁcient control options and signiﬁcant economic and political constraints. In this paper, we outline speciﬁc objectives in each of these three “pillars” that, if incorporated into a management plan, will improve the plan’s likelihood of sustainability. We then examine three case studies that illustrate how these objectives can be effectively implemented. Each pillar reinforces the others, such that the inclusion of even a few of the outlined objectives will lead to more effective management that achieves ecological goals, while generating social support and long-term funding to maintain projects to completion. We encourage agency directors and policy-makers to consider sustainability principles when developing funding schemes, management agendas, and policy.","container-title":"Journal of Environmental Management","DOI":"10.1016/j.jenvman.2010.08.025","ISSN":"03014797","issue":"1","journalAbbreviation":"Journal of Environmental Management","language":"en","page":"14-22","source":"DOI.org (Crossref)","title":"A framework for sustainable invasive species management: Environmental, social, and economic objectives","title-short":"A framework for sustainable invasive species management","URL":"https://linkinghub.elsevier.com/retrieve/pii/S0301479710002732","volume":"92","author":[{"family":"Larson","given":"Diane L."},{"family":"Phillips-Mao","given":"Laura"},{"family":"Quiram","given":"Gina"},{"family":"Sharpe","given":"Leah"},{"family":"Stark","given":"Rebecca"},{"family":"Sugita","given":"Shinya"},{"family":"Weiler","given":"Annie"}],"accessed":{"date-parts":[["2019",11,3]]},"issued":{"date-parts":[["2011",1]]}},"label":"page"},{"id":29919,"uris":["http://zotero.org/groups/2352922/items/T4CQIE5T"],"itemData":{"id":29919,"type":"article-journal","container-title":"Management of Biological Invasions","DOI":"10.3391/mbi.2017.8.3.02","ISSN":"19898649","issue":"3","journalAbbreviation":"MBI","page":"273-286","source":"DOI.org (Crossref)","title":"Tackling invasive alien species in Europe II: threats and opportunities until 2020","title-short":"Tackling invasive alien species in Europe II","URL":"http://www.reabic.net/journals/mbi/2017/Issue3.aspx","volume":"8","author":[{"family":"Piria","given":"Marina"},{"family":"Copp","given":"Gordon H."},{"family":"Dick","given":"Jaimie T. A."},{"family":"Duplić","given":"Aljoša"},{"family":"Groom","given":"Quentin"},{"family":"Jelić","given":"Dušan"},{"family":"Lucy","given":"Frances E."},{"family":"Roy","given":"Helen E."},{"family":"Sarat","given":"Emmanuelle"},{"family":"Simonović","given":"Predrag"},{"family":"Tomljanović","given":"Tea"},{"family":"Tricarico","given":"Elena"},{"family":"Weinlander","given":"Martin"},{"family":"Adámek","given":"Zdeněk"},{"literal":"Sarah Bedolfe"},{"family":"Coughlan","given":"Neil E."},{"family":"Davis","given":"Eithne"},{"family":"Dobrzycka-Krahel","given":"Aldona"},{"family":"Grgić","given":"Zoran"},{"family":"Kırankaya","given":"</w:instrText>
      </w:r>
      <w:r w:rsidR="000F35EB">
        <w:rPr>
          <w:rFonts w:hint="eastAsia"/>
        </w:rPr>
        <w:instrText>Ş</w:instrText>
      </w:r>
      <w:r w:rsidR="000F35EB">
        <w:instrText xml:space="preserve">erıfe G."},{"family":"Ekmekçi","given":"F. Güler"},{"family":"Lajtner","given":"Jasna"},{"family":"Lukas","given":"Juliane A.Y."},{"family":"Koutsikos","given":"Nicholas"},{"family":"Mennen","given":"Gloria J."},{"family":"Mitić","given":"Božena"},{"family":"Pastorino","given":"Paolo"},{"family":"Ruokonen","given":"Timo J."},{"family":"Skóra","given":"Michał E."},{"family":"Smith","given":"Emily R.C."},{"family":"Šprem","given":"Nikica"},{"family":"Tarkan","given":"Ali Serhan"},{"family":"Treer","given":"Tomislav"},{"family":"Vardakas","given":"Leonidas"},{"family":"Vehanen","given":"Teppo"},{"family":"Vilizzi","given":"Lorenzo"},{"family":"Zanella","given":"Davor"},{"family":"Caffrey","given":"Joe M."}],"accessed":{"date-parts":[["2021",7,13]]},"issued":{"date-parts":[["2017"]]}},"label":"page"}],"schema":"https://github.com/citation-style-language/schema/raw/master/csl-citation.json"} </w:instrText>
      </w:r>
      <w:r w:rsidR="001B0409" w:rsidRPr="00837161">
        <w:fldChar w:fldCharType="separate"/>
      </w:r>
      <w:r w:rsidR="00271B78" w:rsidRPr="00271B78">
        <w:t>(D. L. Larson et al., 2011; Piria et al., 2017)</w:t>
      </w:r>
      <w:r w:rsidR="001B0409" w:rsidRPr="00837161">
        <w:fldChar w:fldCharType="end"/>
      </w:r>
      <w:r w:rsidRPr="00837161">
        <w:t xml:space="preserve">, and </w:t>
      </w:r>
      <w:r w:rsidR="23105DEC" w:rsidRPr="00837161">
        <w:t>likely</w:t>
      </w:r>
      <w:r w:rsidRPr="00837161">
        <w:t xml:space="preserve"> trade</w:t>
      </w:r>
      <w:r w:rsidR="003D6524">
        <w:t>-</w:t>
      </w:r>
      <w:r w:rsidRPr="00837161">
        <w:t>off</w:t>
      </w:r>
      <w:r w:rsidR="5261DF95" w:rsidRPr="00837161">
        <w:t>s</w:t>
      </w:r>
      <w:r w:rsidRPr="00837161">
        <w:t xml:space="preserve">. </w:t>
      </w:r>
    </w:p>
    <w:p w14:paraId="6AA32FEB" w14:textId="5953378C" w:rsidR="001B0409" w:rsidRPr="00837161" w:rsidRDefault="001B0409" w:rsidP="00C11DFA">
      <w:pPr>
        <w:spacing w:before="240" w:after="120" w:line="240" w:lineRule="auto"/>
      </w:pPr>
      <w:r w:rsidRPr="00837161">
        <w:t>A variety of frameworks and decision</w:t>
      </w:r>
      <w:r w:rsidR="00A91F9F">
        <w:t>-</w:t>
      </w:r>
      <w:r w:rsidRPr="00837161">
        <w:t xml:space="preserve">support tools </w:t>
      </w:r>
      <w:r w:rsidR="00A40084" w:rsidRPr="00837161">
        <w:t xml:space="preserve">and systems </w:t>
      </w:r>
      <w:r w:rsidRPr="00837161">
        <w:t>have been developed to facilitate the decision</w:t>
      </w:r>
      <w:r w:rsidR="048034FF" w:rsidRPr="00837161">
        <w:t>-</w:t>
      </w:r>
      <w:r w:rsidRPr="00837161">
        <w:t xml:space="preserve">making process, linking science, policy and management </w:t>
      </w:r>
      <w:r w:rsidRPr="00837161">
        <w:fldChar w:fldCharType="begin"/>
      </w:r>
      <w:r w:rsidR="000F35EB">
        <w:instrText xml:space="preserve"> ADDIN ZOTERO_ITEM CSL_CITATION {"citationID":"QoEiODXS","properties":{"formattedCitation":"(Matthies et al., 2007; J. R. U. Wilson et al., 2020)","plainCitation":"(Matthies et al., 2007; J. R. U. Wilson et al., 2020)","noteIndex":0},"citationItems":[{"id":23758,"uris":["http://zotero.org/groups/2352922/items/I6I2N7YN"],"itemData":{"id":23758,"type":"article-journal","abstract":"Development of environmental decision support systems (EDSS) is rapidly progressing. The sustainable management of natural resources has a growing research focus as the awareness of the complexity of interactions between socio-cultural, economical and biophysical system components is increasingly acknowledged. As better data and methods become available, the complexity of the system representation is augmenting. At the same time realism and relevance are increasing and allowing direct support for management and policy development. This article gives the background of recent developments in EDSS and summarises a selected set of papers that were presented at the 2nd Biennial Conference of the International Society of Environmental Modelling and Software (IEMSS 2004). Recent developments show a continuum between integrated assessment modelling and EDSS with varying levels of stakeholder participation in both EDSS development and application. There is a general tendency towards better utilisation of interdisciplinary data, integration and visualisation of temporal and spatial results. Future developments appear directed towards better representation of reality in models, improving user-friendliness and use in a negotiation or group discussion context.","collection-title":"Environmental Decision Support Systems","container-title":"Environmental Modelling &amp; Software","DOI":"10.1016/j.envsoft.2005.09.005","ISSN":"1364-8152","issue":"2","journalAbbreviation":"Environmental Modelling &amp; Software","language":"en","page":"123-127","source":"ScienceDirect","title":"Environmental decision support systems: Current issues, methods and tools","title-short":"Environmental decision support systems","URL":"http://www.sciencedirect.com/science/article/pii/S1364815205001726","volume":"22","author":[{"family":"Matthies","given":"Michael"},{"family":"Giupponi","given":"Carlo"},{"family":"Ostendorf","given":"Bertram"}],"accessed":{"date-parts":[["2020",8,20]]},"issued":{"date-parts":[["2007",2,1]]}},"label":"page"},{"id":29738,"uris":["http://zotero.org/groups/2352922/items/MZ35CLEU"],"itemData":{"id":29738,"type":"article-journal","abstract":"Our understanding and management of biological invasions relies on our ability to classify and conceptualise the phenomenon. This need has stimulated the development of a plethora of frameworks, ranging in nature from conceptual to applied. However, most of these frameworks have not been widely tested and their general applicability is unknown. In order to critically evaluate frameworks in invasion science, we held a workshop on ‘Frameworks used in Invasion Science’ hosted by the DSI-NRF Centre of Excellence for Invasion Biology in Stellenbosch, South Africa, in November 2019, which led to this special issue. For the purpose of the workshop we defined a framework as “a way of organising things that can be easily communicated to allow for shared understanding or that can be implemented to allow for generalisations useful for research, policy or management”. Further, we developed the Stellenbosch Challenge for Invasion Science: “Can invasion science develop and improve frameworks that are useful for research, policy or management, and that are clear as to the contexts in which the frameworks do and do not apply?”. Particular considerations identified among meeting participants included the need to identify the limitations of a framework, specify how frameworks link to each other and broader issues, and to improve how frameworks can facilitate communication. We believe that the 24 papers in this special issue do much to meet this challenge. The papers apply existing frameworks to new data and contexts, review how the frameworks have been adopted and used, develop useable protocols and guidelines for applying frameworks to different contexts, refine the frameworks in light of experience, integrate frameworks for new purposes, identify gaps, and develop new frameworks to address issues that are currently not adequately dealt with. Frameworks in invasion science must continue to be developed, tested as broadly as possible, revised, and retired as contexts and needs change. However, frameworks dealing with pathways of introduction, progress along the introduction-naturalisation-invasion continuum, and the assessment of impacts are being increasingly formalised and set as standards. This, we argue, is an important step as invasion science starts to mature as a discipline.","container-title":"NeoBiota","DOI":"10.3897/neobiota.62.58738","ISSN":"1314-2488, 1619-0033","journalAbbreviation":"NB","page":"1-30","source":"DOI.org (Crossref)","title":"Frameworks used in invasion science: progress and prospects","title-short":"Frameworks used in invasion science","URL":"https://neobiota.pensoft.net/article/58738/","volume":"62","author":[{"family":"Wilson","given":"John R. U."},{"family":"Bacher","given":"Sven"},{"family":"Daehler","given":"Curtis C."},{"family":"Groom","given":"Quentin J."},{"family":"Kumschick","given":"Sabrina"},{"family":"Lockwood","given":"Julie L."},{"family":"Robinson","given":"Tamara B."},{"family":"Zengeya","given":"Tsungai A."},{"family":"Richardson","given":"David M."}],"accessed":{"date-parts":[["2021",3,16]]},"issued":{"date-parts":[["2020",10,15]]}},"label":"page"}],"schema":"https://github.com/citation-style-language/schema/raw/master/csl-citation.json"} </w:instrText>
      </w:r>
      <w:r w:rsidRPr="00837161">
        <w:fldChar w:fldCharType="separate"/>
      </w:r>
      <w:r w:rsidR="00271B78" w:rsidRPr="00271B78">
        <w:t>(Matthies et al., 2007; J. R. U. Wilson et al., 2020)</w:t>
      </w:r>
      <w:r w:rsidRPr="00837161">
        <w:fldChar w:fldCharType="end"/>
      </w:r>
      <w:r w:rsidRPr="00837161">
        <w:t xml:space="preserve">. </w:t>
      </w:r>
      <w:r w:rsidRPr="00837161">
        <w:rPr>
          <w:color w:val="000000" w:themeColor="text1"/>
        </w:rPr>
        <w:t xml:space="preserve">These can help </w:t>
      </w:r>
      <w:r w:rsidR="00003599" w:rsidRPr="00837161">
        <w:rPr>
          <w:color w:val="000000" w:themeColor="text1"/>
        </w:rPr>
        <w:t>cho</w:t>
      </w:r>
      <w:r w:rsidR="00E9596B" w:rsidRPr="00837161">
        <w:rPr>
          <w:color w:val="000000" w:themeColor="text1"/>
        </w:rPr>
        <w:t>o</w:t>
      </w:r>
      <w:r w:rsidR="00003599" w:rsidRPr="00837161">
        <w:rPr>
          <w:color w:val="000000" w:themeColor="text1"/>
        </w:rPr>
        <w:t>se</w:t>
      </w:r>
      <w:r w:rsidRPr="00837161">
        <w:rPr>
          <w:color w:val="000000" w:themeColor="text1"/>
        </w:rPr>
        <w:t xml:space="preserve"> between particular </w:t>
      </w:r>
      <w:r w:rsidR="0084042B" w:rsidRPr="00837161">
        <w:rPr>
          <w:color w:val="000000" w:themeColor="text1"/>
        </w:rPr>
        <w:t>stra</w:t>
      </w:r>
      <w:r w:rsidR="0059785D" w:rsidRPr="00837161">
        <w:rPr>
          <w:color w:val="000000" w:themeColor="text1"/>
        </w:rPr>
        <w:t>tegies</w:t>
      </w:r>
      <w:r w:rsidRPr="00837161">
        <w:rPr>
          <w:color w:val="000000" w:themeColor="text1"/>
        </w:rPr>
        <w:t xml:space="preserve"> and treatment options for </w:t>
      </w:r>
      <w:r w:rsidR="00B05859" w:rsidRPr="5E4965FB">
        <w:rPr>
          <w:color w:val="000000" w:themeColor="text1"/>
        </w:rPr>
        <w:t xml:space="preserve">management </w:t>
      </w:r>
      <w:r w:rsidR="00B05859">
        <w:t xml:space="preserve">of biological invasions </w:t>
      </w:r>
      <w:r w:rsidRPr="00837161">
        <w:rPr>
          <w:color w:val="000000" w:themeColor="text1"/>
        </w:rPr>
        <w:fldChar w:fldCharType="begin"/>
      </w:r>
      <w:r w:rsidR="000F35EB">
        <w:rPr>
          <w:color w:val="000000" w:themeColor="text1"/>
        </w:rPr>
        <w:instrText xml:space="preserve"> ADDIN ZOTERO_ITEM CSL_CITATION {"citationID":"9AtncM08","properties":{"formattedCitation":"(Kriticos et al., 2018)","plainCitation":"(Kriticos et al., 2018)","noteIndex":0},"citationItems":[{"id":22658,"uris":["http://zotero.org/groups/2352922/items/4BRSH569"],"itemData":{"id":22658,"type":"article-journal","abstract":"The number and diversity of introduced invasive plants, coupled with limited weed management budgets, require biosecurity managers to employ systems to prioritise weeds for management attention. To assist this process, an analytical protocol and spreadsheet tool were previously developed for post-border weed risk management (PBWRM). The popular PBWRM tool utilises a framework that ignores any spatial variation in risk factors within the geographical area of risk concern. However, invasive plants vary in risk factors such as invasiveness, potential impacts and feasibility of control as a function of spatially variable factors. Logically, the assessment of weed risks should also be spatially explicit, in order to best understand them and to target management appropriately. To address these concerns, we took the PBRWM logic and spatialised it, to allow weed managers to assess weed risks and management across geographical space. We illustrate this new spatial system using a case study of Senecio glastifolius in New Zealand, comparing the results of a spatial and an aspatial analysis of the risks it poses and the logical management options. The spatial view of risks revealed locations of higher and lower risk and suitability for management attention that were hidden by blanket, aspatial weed risk scores of the current PBWRM system. The national level risk was also significantly higher when considered in the light of the results from the spatial tool. The spatial tool, WRASP, takes its name from Weed Risk Assessment SPatial.","container-title":"Weed Research","DOI":"10.1111/wre.12327","ISSN":"1365-3180","issue":"6","language":"en","license":"© 2018 European Weed Research Society","note":"_eprint: https://onlinelibrary.wiley.com/doi/pdf/10.1111/wre.12327","page":"398-412","source":"Wiley Online Library","title":"WRASP: A spatial strategic weed risk analysis tool reveals important subnational variations in weed risks","title-short":"WRASP","URL":"https://onlinelibrary.wiley.com/doi/abs/10.1111/wre.12327","volume":"58","author":[{"family":"Kriticos","given":"D. J."},{"family":"Beautrais","given":"J. R."},{"family":"Dodd","given":"M. B."}],"accessed":{"date-parts":[["2020",6,14]]},"issued":{"date-parts":[["2018"]]}},"label":"page"}],"schema":"https://github.com/citation-style-language/schema/raw/master/csl-citation.json"} </w:instrText>
      </w:r>
      <w:r w:rsidRPr="00837161">
        <w:rPr>
          <w:color w:val="000000" w:themeColor="text1"/>
        </w:rPr>
        <w:fldChar w:fldCharType="separate"/>
      </w:r>
      <w:r w:rsidR="00271B78" w:rsidRPr="00271B78">
        <w:t>(Kriticos et al., 2018)</w:t>
      </w:r>
      <w:r w:rsidRPr="00837161">
        <w:rPr>
          <w:color w:val="000000" w:themeColor="text1"/>
        </w:rPr>
        <w:fldChar w:fldCharType="end"/>
      </w:r>
      <w:r w:rsidR="00C16EEB">
        <w:rPr>
          <w:color w:val="000000" w:themeColor="text1"/>
        </w:rPr>
        <w:t xml:space="preserve"> and</w:t>
      </w:r>
      <w:r w:rsidRPr="00837161">
        <w:rPr>
          <w:color w:val="000000" w:themeColor="text1"/>
        </w:rPr>
        <w:t xml:space="preserve"> can support </w:t>
      </w:r>
      <w:r w:rsidR="00E86296" w:rsidRPr="00837161">
        <w:rPr>
          <w:color w:val="000000" w:themeColor="text1"/>
        </w:rPr>
        <w:t>adaptive management “</w:t>
      </w:r>
      <w:r w:rsidRPr="00837161">
        <w:rPr>
          <w:color w:val="000000" w:themeColor="text1"/>
        </w:rPr>
        <w:t>learn as you go</w:t>
      </w:r>
      <w:r w:rsidR="00E86296" w:rsidRPr="00837161">
        <w:rPr>
          <w:color w:val="000000" w:themeColor="text1"/>
        </w:rPr>
        <w:t>”</w:t>
      </w:r>
      <w:r w:rsidRPr="00837161">
        <w:rPr>
          <w:color w:val="000000" w:themeColor="text1"/>
        </w:rPr>
        <w:t xml:space="preserve"> systems</w:t>
      </w:r>
      <w:r w:rsidR="001A00C5" w:rsidRPr="00837161">
        <w:rPr>
          <w:color w:val="000000" w:themeColor="text1"/>
        </w:rPr>
        <w:t xml:space="preserve"> (</w:t>
      </w:r>
      <w:r w:rsidR="001A00C5" w:rsidRPr="00636579">
        <w:rPr>
          <w:b/>
          <w:iCs/>
          <w:color w:val="000000" w:themeColor="text1"/>
        </w:rPr>
        <w:t>s</w:t>
      </w:r>
      <w:r w:rsidR="00E86296" w:rsidRPr="00636579">
        <w:rPr>
          <w:b/>
          <w:iCs/>
          <w:color w:val="000000" w:themeColor="text1"/>
        </w:rPr>
        <w:t>ection 5.4.</w:t>
      </w:r>
      <w:r w:rsidR="00175037" w:rsidRPr="00636579">
        <w:rPr>
          <w:b/>
          <w:iCs/>
          <w:color w:val="000000" w:themeColor="text1"/>
        </w:rPr>
        <w:t>3</w:t>
      </w:r>
      <w:r w:rsidR="00930C91" w:rsidRPr="00636579">
        <w:rPr>
          <w:b/>
          <w:iCs/>
          <w:color w:val="000000" w:themeColor="text1"/>
        </w:rPr>
        <w:t>.3</w:t>
      </w:r>
      <w:r w:rsidR="00930C91" w:rsidRPr="00837161">
        <w:rPr>
          <w:color w:val="000000" w:themeColor="text1"/>
        </w:rPr>
        <w:t>)</w:t>
      </w:r>
      <w:r w:rsidRPr="00837161">
        <w:rPr>
          <w:color w:val="000000" w:themeColor="text1"/>
        </w:rPr>
        <w:t>. When direct management actions are required, these</w:t>
      </w:r>
      <w:r w:rsidRPr="00837161">
        <w:rPr>
          <w:color w:val="000000" w:themeColor="text1"/>
          <w:lang w:eastAsia="ja-JP"/>
        </w:rPr>
        <w:t xml:space="preserve"> tools can assist</w:t>
      </w:r>
      <w:r w:rsidR="428B1910" w:rsidRPr="00837161">
        <w:rPr>
          <w:color w:val="000000" w:themeColor="text1"/>
          <w:lang w:eastAsia="ja-JP"/>
        </w:rPr>
        <w:t xml:space="preserve"> in</w:t>
      </w:r>
      <w:r w:rsidRPr="00837161">
        <w:rPr>
          <w:color w:val="000000" w:themeColor="text1"/>
          <w:lang w:eastAsia="ja-JP"/>
        </w:rPr>
        <w:t xml:space="preserve"> evaluating the progress or success of management </w:t>
      </w:r>
      <w:r w:rsidRPr="00837161">
        <w:rPr>
          <w:color w:val="000000" w:themeColor="text1"/>
          <w:lang w:eastAsia="ja-JP"/>
        </w:rPr>
        <w:fldChar w:fldCharType="begin"/>
      </w:r>
      <w:r w:rsidR="000F35EB">
        <w:rPr>
          <w:color w:val="000000" w:themeColor="text1"/>
          <w:lang w:eastAsia="ja-JP"/>
        </w:rPr>
        <w:instrText xml:space="preserve"> ADDIN ZOTERO_ITEM CSL_CITATION {"citationID":"fjPWp8cy","properties":{"formattedCitation":"(Garner &amp; Beckett, 2005)","plainCitation":"(Garner &amp; Beckett, 2005)","noteIndex":0},"citationItems":[{"id":17229,"uris":["http://zotero.org/groups/2352922/items/5W4ZRVII"],"itemData":{"id":17229,"type":"article-journal","abstract":"Preparedness for an incursion of an exotic animal disease is of key importance to government, industry, producers and the Australian community. An important aspect of Australia's preparedness for a possible incursion of foot-and-mouth disease is investigation into the likely effectiveness and cost-efficiency of eradication strategies when applied to different regional outbreak scenarios. Disease modelling is a tool that can be used to study diseases such as foot-and-mouth disease to better understand potential disease spread and control under different conditions. The Australian Government Department of Agriculture, Fisheries and Forestry has been involved with epidemiologic simulation modelling for more than 10 years, and has developed a sophisticated spatial model for foot-and-mouth disease (AusSpread) that operates within a geographic information system framework. The model accommodates real farm boundary or point-location data, as well as synthesised data based on agricultural census and land use information. The model also allows for interactions between herds or flocks of different animal species and production type, and considers the role that such interactions are likely to play in the epidemiology of a regional outbreak of foot-and-mouth disease. The user can choose mitigations and eradication strategies from those that are currently described in Australia's veterinary emergency plan. The model also allows the user to evaluate the impact of constraints on the availability of resources for mitigations or eradication measures. Outputs include a range of maps and tabulated outbreak statistics describing the geographic extent of the outbreak and its duration, the numbers of affected, slaughtered, and, as relevant, vaccinated herds or flocks, and the cost of control and eradication. Cost-related outputs are based on budgets of the value of stock and the cost of mitigations, each of which can be varied by the user. These outputs are a valuable resource to assist with policy development and disease management.","container-title":"Australian Veterinary Journal","DOI":"10.1111/j.1751-0813.2005.tb11589.x","ISSN":"1751-0813","issue":"12","language":"en","page":"758-766","source":"Wiley Online Library","title":"Modelling the spread of foot-and-mouth disease in Australia","URL":"https://onlinelibrary.wiley.com/doi/abs/10.1111/j.1751-0813.2005.tb11589.x","volume":"83","author":[{"family":"Garner","given":"M G"},{"family":"Beckett","given":"S D"}],"accessed":{"date-parts":[["2019",12,9]]},"issued":{"date-parts":[["2005"]]}},"label":"page"}],"schema":"https://github.com/citation-style-language/schema/raw/master/csl-citation.json"} </w:instrText>
      </w:r>
      <w:r w:rsidRPr="00837161">
        <w:rPr>
          <w:color w:val="000000" w:themeColor="text1"/>
          <w:lang w:eastAsia="ja-JP"/>
        </w:rPr>
        <w:fldChar w:fldCharType="separate"/>
      </w:r>
      <w:r w:rsidR="00271B78" w:rsidRPr="00271B78">
        <w:t>(Garner &amp; Beckett, 2005)</w:t>
      </w:r>
      <w:r w:rsidRPr="00837161">
        <w:rPr>
          <w:color w:val="000000" w:themeColor="text1"/>
          <w:lang w:eastAsia="ja-JP"/>
        </w:rPr>
        <w:fldChar w:fldCharType="end"/>
      </w:r>
      <w:r w:rsidRPr="00837161">
        <w:rPr>
          <w:color w:val="44546A" w:themeColor="text2"/>
          <w:lang w:eastAsia="ja-JP"/>
        </w:rPr>
        <w:t>.</w:t>
      </w:r>
      <w:r w:rsidRPr="00837161">
        <w:t xml:space="preserve"> This section describes stakeholder community engagement and knowledge-sharing frameworks, </w:t>
      </w:r>
      <w:r w:rsidR="009C7C55" w:rsidRPr="00837161">
        <w:t xml:space="preserve">prioritization processes </w:t>
      </w:r>
      <w:r w:rsidRPr="00837161">
        <w:t xml:space="preserve">and available methodologies and tools for </w:t>
      </w:r>
      <w:r w:rsidR="00B53BD5" w:rsidRPr="00837161">
        <w:t xml:space="preserve">management </w:t>
      </w:r>
      <w:r w:rsidRPr="00837161">
        <w:t xml:space="preserve">decision-making </w:t>
      </w:r>
      <w:r w:rsidR="3ED07471" w:rsidRPr="00837161">
        <w:t>to combat</w:t>
      </w:r>
      <w:r w:rsidRPr="00837161">
        <w:t xml:space="preserve"> invasive alien species. </w:t>
      </w:r>
    </w:p>
    <w:p w14:paraId="117243C2" w14:textId="77777777" w:rsidR="001B0409" w:rsidRPr="00837161" w:rsidRDefault="22336C5D" w:rsidP="002F2F42">
      <w:pPr>
        <w:pStyle w:val="Heading2"/>
      </w:pPr>
      <w:bookmarkStart w:id="57" w:name="_Toc87623127"/>
      <w:bookmarkStart w:id="58" w:name="_Toc131681629"/>
      <w:bookmarkStart w:id="59" w:name="_Toc149555469"/>
      <w:r w:rsidRPr="00837161">
        <w:t>Stakeholder community engagement and knowledge-sharing frameworks for developing communities of practice</w:t>
      </w:r>
      <w:bookmarkEnd w:id="57"/>
      <w:bookmarkEnd w:id="58"/>
      <w:bookmarkEnd w:id="59"/>
    </w:p>
    <w:p w14:paraId="679E26D7" w14:textId="3E136B80" w:rsidR="008729DB" w:rsidRPr="00837161" w:rsidRDefault="00F877C2" w:rsidP="00C11DFA">
      <w:pPr>
        <w:spacing w:before="240" w:after="120" w:line="240" w:lineRule="auto"/>
      </w:pPr>
      <w:r>
        <w:t>Approaches involving c</w:t>
      </w:r>
      <w:r w:rsidRPr="00837161">
        <w:t>ollaborative governance network</w:t>
      </w:r>
      <w:r>
        <w:t>s</w:t>
      </w:r>
      <w:r w:rsidRPr="00837161">
        <w:t xml:space="preserve"> of stakeholder communities </w:t>
      </w:r>
      <w:r>
        <w:t xml:space="preserve">to mitigate the impacts of different invasive alien species will vary depending on context </w:t>
      </w:r>
      <w:r w:rsidR="002502C4" w:rsidRPr="00837161">
        <w:t>(</w:t>
      </w:r>
      <w:r w:rsidR="00636579">
        <w:rPr>
          <w:b/>
          <w:iCs/>
        </w:rPr>
        <w:t>C</w:t>
      </w:r>
      <w:r w:rsidR="00A8781D" w:rsidRPr="00636579">
        <w:rPr>
          <w:b/>
          <w:iCs/>
        </w:rPr>
        <w:t xml:space="preserve">hapter </w:t>
      </w:r>
      <w:r w:rsidR="00584DAA" w:rsidRPr="00636579">
        <w:rPr>
          <w:b/>
          <w:iCs/>
        </w:rPr>
        <w:t>1</w:t>
      </w:r>
      <w:r w:rsidR="00584DAA" w:rsidRPr="00636579">
        <w:rPr>
          <w:iCs/>
        </w:rPr>
        <w:t>,</w:t>
      </w:r>
      <w:r w:rsidR="00A8781D" w:rsidRPr="00636579">
        <w:rPr>
          <w:iCs/>
        </w:rPr>
        <w:t xml:space="preserve"> </w:t>
      </w:r>
      <w:r w:rsidR="00A8781D" w:rsidRPr="00636579">
        <w:rPr>
          <w:b/>
          <w:iCs/>
        </w:rPr>
        <w:t>section 1.5.1</w:t>
      </w:r>
      <w:r w:rsidR="001A1D4F" w:rsidRPr="00636579">
        <w:rPr>
          <w:iCs/>
        </w:rPr>
        <w:t>;</w:t>
      </w:r>
      <w:r w:rsidR="00A8781D" w:rsidRPr="00636579">
        <w:rPr>
          <w:b/>
          <w:iCs/>
        </w:rPr>
        <w:t xml:space="preserve"> </w:t>
      </w:r>
      <w:r w:rsidR="00636579">
        <w:rPr>
          <w:b/>
          <w:iCs/>
        </w:rPr>
        <w:t>C</w:t>
      </w:r>
      <w:r w:rsidR="00A8781D" w:rsidRPr="00636579">
        <w:rPr>
          <w:b/>
          <w:iCs/>
        </w:rPr>
        <w:t xml:space="preserve">hapter </w:t>
      </w:r>
      <w:r w:rsidR="00584DAA" w:rsidRPr="00636579">
        <w:rPr>
          <w:b/>
          <w:iCs/>
        </w:rPr>
        <w:t>6</w:t>
      </w:r>
      <w:r w:rsidR="00584DAA" w:rsidRPr="00636579">
        <w:rPr>
          <w:iCs/>
        </w:rPr>
        <w:t>,</w:t>
      </w:r>
      <w:r w:rsidR="00A8781D" w:rsidRPr="00636579">
        <w:rPr>
          <w:iCs/>
        </w:rPr>
        <w:t xml:space="preserve"> </w:t>
      </w:r>
      <w:r w:rsidR="00E85114" w:rsidRPr="00636579">
        <w:rPr>
          <w:b/>
          <w:iCs/>
        </w:rPr>
        <w:t xml:space="preserve">section </w:t>
      </w:r>
      <w:r w:rsidR="00A8781D" w:rsidRPr="00636579">
        <w:rPr>
          <w:b/>
          <w:iCs/>
        </w:rPr>
        <w:t>6</w:t>
      </w:r>
      <w:r w:rsidR="00E85114" w:rsidRPr="00636579">
        <w:rPr>
          <w:b/>
          <w:iCs/>
        </w:rPr>
        <w:t>.4.4</w:t>
      </w:r>
      <w:r w:rsidR="00E85114" w:rsidRPr="00837161">
        <w:t>)</w:t>
      </w:r>
      <w:r w:rsidR="4795DB47" w:rsidRPr="00837161">
        <w:t>, with each community having different a) perspectives and engagement reasons (directly and indirectly affected communities), b) knowledge bases (understanding of drivers, processes, trends and impacts of invasive alien species)</w:t>
      </w:r>
      <w:r w:rsidR="00C16EEB">
        <w:t xml:space="preserve"> and</w:t>
      </w:r>
      <w:r w:rsidR="4795DB47" w:rsidRPr="00837161">
        <w:t xml:space="preserve"> c) roles in the response (resourcing, governing and implementing</w:t>
      </w:r>
      <w:r w:rsidR="00024C63" w:rsidRPr="00837161">
        <w:t xml:space="preserve">; </w:t>
      </w:r>
      <w:r w:rsidR="00636579">
        <w:rPr>
          <w:b/>
          <w:iCs/>
        </w:rPr>
        <w:t>C</w:t>
      </w:r>
      <w:r w:rsidR="00BC16E2" w:rsidRPr="00636579">
        <w:rPr>
          <w:b/>
          <w:iCs/>
        </w:rPr>
        <w:t xml:space="preserve">hapter </w:t>
      </w:r>
      <w:r w:rsidR="00584DAA" w:rsidRPr="00636579">
        <w:rPr>
          <w:b/>
          <w:iCs/>
        </w:rPr>
        <w:t>1</w:t>
      </w:r>
      <w:r w:rsidR="00584DAA" w:rsidRPr="00636579">
        <w:rPr>
          <w:iCs/>
        </w:rPr>
        <w:t>,</w:t>
      </w:r>
      <w:r w:rsidR="00BC16E2" w:rsidRPr="00636579">
        <w:rPr>
          <w:b/>
          <w:iCs/>
        </w:rPr>
        <w:t xml:space="preserve"> section 1</w:t>
      </w:r>
      <w:r w:rsidR="008929AA" w:rsidRPr="00636579">
        <w:rPr>
          <w:b/>
          <w:iCs/>
        </w:rPr>
        <w:t>.5</w:t>
      </w:r>
      <w:r w:rsidR="008929AA" w:rsidRPr="00837161">
        <w:t>)</w:t>
      </w:r>
      <w:r w:rsidR="4795DB47" w:rsidRPr="00837161">
        <w:t xml:space="preserve">. </w:t>
      </w:r>
      <w:r w:rsidR="5E541D03" w:rsidRPr="00837161">
        <w:t>E</w:t>
      </w:r>
      <w:r w:rsidR="15B50DF6" w:rsidRPr="00837161">
        <w:t xml:space="preserve">ffective environmental, </w:t>
      </w:r>
      <w:r w:rsidR="000433A2" w:rsidRPr="00837161">
        <w:t>social</w:t>
      </w:r>
      <w:r w:rsidR="00C16EEB">
        <w:t xml:space="preserve"> and</w:t>
      </w:r>
      <w:r w:rsidR="15B50DF6" w:rsidRPr="00837161">
        <w:t xml:space="preserve"> cultural </w:t>
      </w:r>
      <w:r w:rsidR="47224486" w:rsidRPr="00837161">
        <w:t xml:space="preserve">knowledge </w:t>
      </w:r>
      <w:r w:rsidR="15B50DF6" w:rsidRPr="00837161">
        <w:t>and governance</w:t>
      </w:r>
      <w:r w:rsidR="5E541D03" w:rsidRPr="00837161">
        <w:t xml:space="preserve"> </w:t>
      </w:r>
      <w:r w:rsidR="002502C4" w:rsidRPr="00837161">
        <w:t>(</w:t>
      </w:r>
      <w:r w:rsidR="00636579">
        <w:rPr>
          <w:b/>
          <w:iCs/>
        </w:rPr>
        <w:t>G</w:t>
      </w:r>
      <w:r w:rsidR="00024C63" w:rsidRPr="00636579">
        <w:rPr>
          <w:b/>
          <w:iCs/>
        </w:rPr>
        <w:t>lossary</w:t>
      </w:r>
      <w:r w:rsidR="002502C4" w:rsidRPr="00636579">
        <w:t>;</w:t>
      </w:r>
      <w:r w:rsidR="002502C4" w:rsidRPr="00636579">
        <w:rPr>
          <w:b/>
        </w:rPr>
        <w:t xml:space="preserve"> </w:t>
      </w:r>
      <w:r w:rsidR="00636579">
        <w:rPr>
          <w:b/>
          <w:iCs/>
        </w:rPr>
        <w:t>C</w:t>
      </w:r>
      <w:r w:rsidR="00896666" w:rsidRPr="00636579">
        <w:rPr>
          <w:b/>
          <w:iCs/>
        </w:rPr>
        <w:t>hapter 6</w:t>
      </w:r>
      <w:r w:rsidR="00024C63" w:rsidRPr="00837161">
        <w:t xml:space="preserve">) </w:t>
      </w:r>
      <w:r w:rsidR="47224486" w:rsidRPr="00837161">
        <w:t>support</w:t>
      </w:r>
      <w:r w:rsidR="2AD6F7D4" w:rsidRPr="00837161">
        <w:t>s</w:t>
      </w:r>
      <w:r w:rsidR="47224486" w:rsidRPr="00837161">
        <w:t xml:space="preserve"> </w:t>
      </w:r>
      <w:r w:rsidR="2AD6F7D4" w:rsidRPr="00837161">
        <w:t>effective stakeholder community engagement and c</w:t>
      </w:r>
      <w:r w:rsidR="5E541D03" w:rsidRPr="00837161">
        <w:t>ollaboration</w:t>
      </w:r>
      <w:r w:rsidR="15B50DF6" w:rsidRPr="00837161">
        <w:t xml:space="preserve">. </w:t>
      </w:r>
      <w:r w:rsidR="0A288BF1" w:rsidRPr="00837161">
        <w:t>The foundation of community engagement is building trust and understanding through knowledge sharing. For invasive alien species, this concerns knowledge of impacts on nature, good quality of life</w:t>
      </w:r>
      <w:r w:rsidR="00C16EEB">
        <w:t xml:space="preserve"> and</w:t>
      </w:r>
      <w:r w:rsidR="0A288BF1" w:rsidRPr="00837161">
        <w:t xml:space="preserve"> nature’s contributions to people</w:t>
      </w:r>
      <w:r w:rsidR="0014078C" w:rsidRPr="00837161">
        <w:t xml:space="preserve"> </w:t>
      </w:r>
      <w:r w:rsidR="002502C4" w:rsidRPr="00837161">
        <w:t>(</w:t>
      </w:r>
      <w:r w:rsidR="00636579">
        <w:rPr>
          <w:b/>
          <w:iCs/>
        </w:rPr>
        <w:t>G</w:t>
      </w:r>
      <w:r w:rsidR="00636579" w:rsidRPr="00636579">
        <w:rPr>
          <w:b/>
          <w:iCs/>
        </w:rPr>
        <w:t>lossary</w:t>
      </w:r>
      <w:r w:rsidR="0014078C" w:rsidRPr="00837161">
        <w:t>)</w:t>
      </w:r>
      <w:r w:rsidR="00C34C28" w:rsidRPr="00837161">
        <w:t>;</w:t>
      </w:r>
      <w:r w:rsidR="0A288BF1" w:rsidRPr="00837161">
        <w:t xml:space="preserve"> </w:t>
      </w:r>
      <w:r w:rsidR="00C34C28" w:rsidRPr="00837161">
        <w:t>and</w:t>
      </w:r>
      <w:r w:rsidR="0A288BF1" w:rsidRPr="00837161">
        <w:t xml:space="preserve"> the likelihood that impacts can be mitigated with high benefit-cost and cost-effective management actions and that long-term system resilience </w:t>
      </w:r>
      <w:r w:rsidR="002502C4" w:rsidRPr="00837161">
        <w:t>(</w:t>
      </w:r>
      <w:r w:rsidR="00636579">
        <w:rPr>
          <w:b/>
          <w:iCs/>
        </w:rPr>
        <w:t>G</w:t>
      </w:r>
      <w:r w:rsidR="00636579" w:rsidRPr="00636579">
        <w:rPr>
          <w:b/>
          <w:iCs/>
        </w:rPr>
        <w:t>lossary</w:t>
      </w:r>
      <w:r w:rsidR="00CA13DF" w:rsidRPr="00837161">
        <w:t xml:space="preserve">) </w:t>
      </w:r>
      <w:r w:rsidR="0A288BF1" w:rsidRPr="00837161">
        <w:t xml:space="preserve">benefits can result from these actions. </w:t>
      </w:r>
      <w:r w:rsidR="760B01DD" w:rsidRPr="00837161">
        <w:t xml:space="preserve">Stakeholder engagement systems need to address the challenges of community collaboration </w:t>
      </w:r>
      <w:r w:rsidR="004A587C" w:rsidRPr="00837161">
        <w:rPr>
          <w:color w:val="000000" w:themeColor="text1"/>
        </w:rPr>
        <w:fldChar w:fldCharType="begin"/>
      </w:r>
      <w:r w:rsidR="000F35EB">
        <w:rPr>
          <w:color w:val="000000" w:themeColor="text1"/>
        </w:rPr>
        <w:instrText xml:space="preserve"> ADDIN ZOTERO_ITEM CSL_CITATION {"citationID":"5OZLGQso","properties":{"formattedCitation":"(McAllister et al., 2017)","plainCitation":"(McAllister et al., 2017)","noteIndex":0},"citationItems":[{"id":22750,"uris":["http://zotero.org/groups/2352922/items/NWR4FP53"],"itemData":{"id":22750,"type":"article-journal","abstract":"The logistical challenge of coordinating natural resource management actions across large scales is typically complicated by the diversity of stakeholders’ interests. Devising a plan is difficult. Getting diverse stakeholders to agree to and adhere to any logistical solution is harder still. Hence logistical solutions to large-scale problems involve a combination of coordination, and trust-building and contestation which are two key features of collaboration. We studied networks based on stakeholder participation in institutional responses to agricultural pest and disease incursions, where the spatial complexity of response is further challenged by the need to design and implement plans quickly in order to stop the spread of incursions. Using data from the 2010 Australian myrtle rust incursion, we used novel statistical network methods which showed that policy forums at national scales, where higher-level decisions are made, were associated with denser overlapping stakeholder interactions signifying collaboration (bondingcapital, high transaction-costs). Our qualitative data unpacked this, showing how at times uncertainty in process and information is used by some stakeholders to contest decisions at national scales. We failed to find statistical evidence that at local scales, where plans are implemented more-or-less at face value, networks exhibited lower-transaction cost interactions associated with the socially cheaper task of coordination (bridging-capital, low transaction-costs). By identifying the mix of coordination and collaboration in networks for solving environmental problems, capacity building can be more targeted, and rules-of-behaviour can be developed that better fit the requirements of the diverse tasks involved.","archive_location":"Network and qualitative data","container-title":"International Journal of the Commons","DOI":"10.18352/ijc.701","ISSN":"1875-0281","issue":"1","language":"eng","license":"Authors who publish with this journal agree to the following terms:    Authors retain copyright and grant the journal right of first publication with the work simultaneously licensed under a  Creative Commons Attribution License  that allows others to share the work with an acknowledgement of the work's authorship and initial publication in this journal.  Authors are able to enter into separate, additional contractual arrangements for the non-exclusive distribution of the journal's published version of the work (e.g., post it to an institutional repository or publish it in a book), with an acknowledgement of its initial publication in this journal.  Authors are permitted and encouraged to post their work online (e.g., in institutional repositories or on their website) prior to and during the submission process, as it can lead to productive exchanges, as well as earlier and greater citation of published work (See  The Effect of Open Access ).  All third-party images reproduced on this journal are shared under Educational Fair Use. For more information on  Educational Fair Use , please see  this useful checklist prepared by Columbia University Libraries .   All copyright  of third-party content posted here for research purposes belongs to its original owners.  Unless otherwise stated all references to characters and comic art presented on this journal are ©, ® or ™ of their respective owners. No challenge to any owner’s rights is intended or should be inferred.","note":"number: 1","page":"330-354","source":"www.thecommonsjournal.org","title":"Balancing collaboration with coordination: Contesting eradication in the Australian plant pest and disease biosecurity system","title-short":"Balancing collaboration with coordination","URL":"http://www.thecommonsjournal.org/articles/10.18352/ijc.701/","volume":"11","author":[{"family":"McAllister","given":"Ryan R. J."},{"family":"Robinson","given":"Catherine J."},{"family":"Brown","given":"Alinta"},{"family":"Maclean","given":"Kirsten"},{"family":"Perry","given":"Suzy"},{"family":"Liu","given":"Shuang"}],"accessed":{"date-parts":[["2020",6,12]]},"issued":{"date-parts":[["2017",3,17]]}},"label":"page"}],"schema":"https://github.com/citation-style-language/schema/raw/master/csl-citation.json"} </w:instrText>
      </w:r>
      <w:r w:rsidR="004A587C" w:rsidRPr="00837161">
        <w:rPr>
          <w:color w:val="000000" w:themeColor="text1"/>
        </w:rPr>
        <w:fldChar w:fldCharType="separate"/>
      </w:r>
      <w:r w:rsidR="00271B78" w:rsidRPr="00271B78">
        <w:t>(McAllister et al., 2017)</w:t>
      </w:r>
      <w:r w:rsidR="004A587C" w:rsidRPr="00837161">
        <w:rPr>
          <w:color w:val="000000" w:themeColor="text1"/>
        </w:rPr>
        <w:fldChar w:fldCharType="end"/>
      </w:r>
      <w:r w:rsidR="760B01DD" w:rsidRPr="00837161">
        <w:rPr>
          <w:color w:val="000000" w:themeColor="text1"/>
        </w:rPr>
        <w:t xml:space="preserve">, be </w:t>
      </w:r>
      <w:r w:rsidR="760B01DD" w:rsidRPr="00837161">
        <w:t xml:space="preserve">cost-effective </w:t>
      </w:r>
      <w:r w:rsidR="004A587C" w:rsidRPr="00837161">
        <w:fldChar w:fldCharType="begin"/>
      </w:r>
      <w:r w:rsidR="000F35EB">
        <w:instrText xml:space="preserve"> ADDIN ZOTERO_ITEM CSL_CITATION {"citationID":"M955QYSe","properties":{"formattedCitation":"(S. Liu et al., 2019)","plainCitation":"(S. Liu et al., 2019)","noteIndex":0},"citationItems":[{"id":22774,"uris":["http://zotero.org/groups/2352922/items/EN8H6WZC"],"itemData":{"id":22774,"type":"article-journal","abstract":"Stakeholder participation is increasingly being embedded into decision-making processes from the local to the global scale. With limited resources to engage stakeholders, frameworks that allow decision-makers to make cost-effective choices are greatly needed. In this paper, we present a structured decision-making (SDM) framework that enables environmental decision-makers to prioritise different engagement options by assessing their relative cost-effectiveness. We demonstrate the application of this framework using a case study in biosecurity management. Drawing on a scenario of Panama Disease Tropical Race 4 (TR4) invasion in the Australian banana industry, we conducted 25 semi-structured interviews and held a workshop with key stakeholders to elicit their key concerns and convert them into four objectives-making more informed decisions, maximising buy-in, empowering people, and minimising the stress of biosecurity incidents. We also identified ten engagement alternatives at local, State/Territory, and National scales. Our results showed that options to engage local stakeholders and enable capacity to undertake adaptive approaches to biosecurity management are more cost-effective than engagement efforts that seek to build capacities at higher decision-making levels. More interestingly, using the weights provided by different stakeholder groups does not significantly affect the cost-effectiveness ranking of the ten options considered. Even though the results are contingent on the context of this biosecurity study, the SDM framework developed for maximising cost-effectiveness is transferable to other areas of environmental management. The efficient frontier generated by this framework allows decision-makers to examine the trade-offs between the costs and benefits and select the best portfolio for their investment. This approach provides a practical and transparent estimate of the return on investment for stakeholder engagement in highly complex or uncertain situations, as is usually the case for environmental issues.","container-title":"EURO Journal on Decision Processes","DOI":"10.1007/s40070-019-00103-7","ISSN":"2193-9438, 2193-9446","issue":"3-4","journalAbbreviation":"EURO J Decis Process","language":"en","page":"221-241","source":"DOI.org (Crossref)","title":"A cost-effective framework to prioritise stakeholder participation options","URL":"https://doi.org/10.1007/s40070-019-00103-7","volume":"7","author":[{"family":"Liu","given":"Shuang"},{"family":"Maclean","given":"Kirsten"},{"family":"Robinson","given":"Cathy"}],"accessed":{"date-parts":[["2020",5,8]]},"issued":{"date-parts":[["2019",11]]}},"label":"page"}],"schema":"https://github.com/citation-style-language/schema/raw/master/csl-citation.json"} </w:instrText>
      </w:r>
      <w:r w:rsidR="004A587C" w:rsidRPr="00837161">
        <w:fldChar w:fldCharType="separate"/>
      </w:r>
      <w:r w:rsidR="00271B78" w:rsidRPr="00271B78">
        <w:t>(S. Liu et al., 2019)</w:t>
      </w:r>
      <w:r w:rsidR="004A587C" w:rsidRPr="00837161">
        <w:fldChar w:fldCharType="end"/>
      </w:r>
      <w:r w:rsidR="00B1579F" w:rsidRPr="00837161">
        <w:t>,</w:t>
      </w:r>
      <w:r w:rsidR="760B01DD" w:rsidRPr="00837161">
        <w:t xml:space="preserve"> and grow social resilience to </w:t>
      </w:r>
      <w:r w:rsidR="00B05859">
        <w:t xml:space="preserve">invasive alien species </w:t>
      </w:r>
      <w:r w:rsidR="004A587C" w:rsidRPr="00837161">
        <w:fldChar w:fldCharType="begin"/>
      </w:r>
      <w:r w:rsidR="000F35EB">
        <w:instrText xml:space="preserve"> ADDIN ZOTERO_ITEM CSL_CITATION {"citationID":"Oj41qxkq","properties":{"formattedCitation":"(Maclean et al., 2018)","plainCitation":"(Maclean et al., 2018)","noteIndex":0},"citationItems":[{"id":23914,"uris":["http://zotero.org/groups/2352922/items/UJI9YBPU"],"itemData":{"id":23914,"type":"article-journal","abstract":"Biosecurity is often conceptualised and managed as an issue of biological risk. However, biosecurity policy and programs need to also manage for the social risks and impacts of biological invasions. This paper applies theory on the social aspects of social-ecological system resilience to understand how growers from the Queensland Banana industry in north east Australia coped with the social impacts of the Panama Tropical Race 4 incursion. We present a conceptual framework that highlights how emergency responses can also support programs to build and enhance the social resilience of aﬀected actors. Management programs and activities can be designed to support aﬀected actors to cope with the impacts of the invasion, at the same time as working to eradicate or contain the invasive species. Short term immediate management actions coupled with developing institutions and process to support and build social resilience of actors in the longer-term, may enable them to learn to live with a new species in the landscape, and, or be able to better cope with the social impacts of future invasions.","container-title":"Geoforum","DOI":"10.1016/j.geoforum.2018.10.018","ISSN":"00167185","journalAbbreviation":"Geoforum","language":"en","page":"95-105","source":"DOI.org (Crossref)","title":"Building social resilience to biological invasions. A case study of Panama Tropical Race 4 in the Australian Banana Industry","URL":"https://linkinghub.elsevier.com/retrieve/pii/S0016718518303221","volume":"97","author":[{"family":"Maclean","given":"Kirsten"},{"family":"Farbotko","given":"Carol"},{"family":"Mankad","given":"Aditi"},{"family":"Robinson","given":"Cathy J."},{"family":"Curnock","given":"Matt"},{"family":"Collins","given":"Kerry"},{"family":"McAllister","given":"Ryan R.J."}],"accessed":{"date-parts":[["2019",11,28]]},"issued":{"date-parts":[["2018",12]]}},"label":"page"}],"schema":"https://github.com/citation-style-language/schema/raw/master/csl-citation.json"} </w:instrText>
      </w:r>
      <w:r w:rsidR="004A587C" w:rsidRPr="00837161">
        <w:fldChar w:fldCharType="separate"/>
      </w:r>
      <w:r w:rsidR="00271B78" w:rsidRPr="00271B78">
        <w:t>(Maclean et al., 2018)</w:t>
      </w:r>
      <w:r w:rsidR="004A587C" w:rsidRPr="00837161">
        <w:fldChar w:fldCharType="end"/>
      </w:r>
      <w:r w:rsidR="760B01DD" w:rsidRPr="00837161">
        <w:t xml:space="preserve">. </w:t>
      </w:r>
      <w:r w:rsidR="00875C95" w:rsidRPr="00837161">
        <w:t>Indigenous Peoples</w:t>
      </w:r>
      <w:r w:rsidR="4795DB47" w:rsidRPr="00837161">
        <w:t xml:space="preserve"> and local communities </w:t>
      </w:r>
      <w:r w:rsidR="501E2611" w:rsidRPr="00837161">
        <w:t xml:space="preserve">often have </w:t>
      </w:r>
      <w:r w:rsidR="0E62B48B" w:rsidRPr="00837161">
        <w:t>different</w:t>
      </w:r>
      <w:r w:rsidR="501E2611" w:rsidRPr="00837161">
        <w:t xml:space="preserve"> motives for engagement </w:t>
      </w:r>
      <w:r w:rsidR="0E62B48B" w:rsidRPr="00837161">
        <w:t xml:space="preserve">than </w:t>
      </w:r>
      <w:r w:rsidR="00B05859">
        <w:t>other stakeholders (</w:t>
      </w:r>
      <w:r w:rsidR="00B05859">
        <w:rPr>
          <w:b/>
        </w:rPr>
        <w:t>Supplementary material 5.1</w:t>
      </w:r>
      <w:r w:rsidR="00B05859">
        <w:t>), and manage biological invasions</w:t>
      </w:r>
      <w:r w:rsidR="00B05859" w:rsidRPr="00837161">
        <w:t xml:space="preserve"> </w:t>
      </w:r>
      <w:r w:rsidR="6F67D9E7" w:rsidRPr="00837161">
        <w:t xml:space="preserve">for multiple purposes which are closely related to each other </w:t>
      </w:r>
      <w:r w:rsidR="002B76DD" w:rsidRPr="00837161">
        <w:fldChar w:fldCharType="begin"/>
      </w:r>
      <w:r w:rsidR="000F35EB">
        <w:instrText xml:space="preserve"> ADDIN ZOTERO_ITEM CSL_CITATION {"citationID":"5kG224n8","properties":{"formattedCitation":"(IPBES, 2022b)","plainCitation":"(IPBES, 2022b)","noteIndex":0},"citationItems":[{"id":53340,"uris":["http://zotero.org/groups/2352922/items/BZSKBXEC"],"itemData":{"id":53340,"type":"report","event-place":"Online,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002B76DD" w:rsidRPr="00837161">
        <w:fldChar w:fldCharType="separate"/>
      </w:r>
      <w:r w:rsidR="00271B78" w:rsidRPr="00271B78">
        <w:t>(IPBES, 2022b)</w:t>
      </w:r>
      <w:r w:rsidR="002B76DD" w:rsidRPr="00837161">
        <w:fldChar w:fldCharType="end"/>
      </w:r>
      <w:r w:rsidR="28691F54" w:rsidRPr="00837161">
        <w:t>. It may be noted that</w:t>
      </w:r>
      <w:r w:rsidR="00F26EC4" w:rsidRPr="00837161">
        <w:t xml:space="preserve"> </w:t>
      </w:r>
      <w:r w:rsidR="00053E58" w:rsidRPr="00837161">
        <w:t xml:space="preserve">spirituality is an overarching </w:t>
      </w:r>
      <w:r w:rsidR="00053E58" w:rsidRPr="00837161">
        <w:lastRenderedPageBreak/>
        <w:t xml:space="preserve">motivation for </w:t>
      </w:r>
      <w:r w:rsidR="00875C95" w:rsidRPr="00837161">
        <w:t>Indigenous Peoples</w:t>
      </w:r>
      <w:r w:rsidR="00053E58" w:rsidRPr="00837161">
        <w:t xml:space="preserve"> and local communities to protect their land and assets from invasive alien species, even though </w:t>
      </w:r>
      <w:r w:rsidR="003D6524">
        <w:t>this</w:t>
      </w:r>
      <w:r w:rsidR="003D6524" w:rsidRPr="00837161">
        <w:t xml:space="preserve"> </w:t>
      </w:r>
      <w:r w:rsidR="00053E58" w:rsidRPr="00837161">
        <w:t xml:space="preserve">is often underreported </w:t>
      </w:r>
      <w:r w:rsidR="002B76DD" w:rsidRPr="00837161">
        <w:fldChar w:fldCharType="begin"/>
      </w:r>
      <w:r w:rsidR="000F35EB">
        <w:instrText xml:space="preserve"> ADDIN ZOTERO_ITEM CSL_CITATION {"citationID":"b1THaOjT","properties":{"formattedCitation":"(IPBES, 2022b)","plainCitation":"(IPBES, 2022b)","dontUpdate":true,"noteIndex":0},"citationItems":[{"id":53340,"uris":["http://zotero.org/groups/2352922/items/BZSKBXEC"],"itemData":{"id":53340,"type":"report","event-place":"Online,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002B76DD" w:rsidRPr="00837161">
        <w:fldChar w:fldCharType="separate"/>
      </w:r>
      <w:r w:rsidR="006C3864" w:rsidRPr="00837161">
        <w:t>(IPBES, 2022b</w:t>
      </w:r>
      <w:r w:rsidR="002B76DD" w:rsidRPr="00837161">
        <w:fldChar w:fldCharType="end"/>
      </w:r>
      <w:r w:rsidR="002B76DD" w:rsidRPr="00837161">
        <w:t xml:space="preserve">; </w:t>
      </w:r>
      <w:r w:rsidR="00636579">
        <w:rPr>
          <w:b/>
          <w:iCs/>
        </w:rPr>
        <w:t>C</w:t>
      </w:r>
      <w:r w:rsidR="0092771F" w:rsidRPr="00636579">
        <w:rPr>
          <w:b/>
          <w:iCs/>
        </w:rPr>
        <w:t>hapter 4</w:t>
      </w:r>
      <w:r w:rsidR="00C34C28" w:rsidRPr="00636579">
        <w:rPr>
          <w:iCs/>
        </w:rPr>
        <w:t>,</w:t>
      </w:r>
      <w:r w:rsidR="00C34C28" w:rsidRPr="00636579">
        <w:rPr>
          <w:b/>
          <w:iCs/>
        </w:rPr>
        <w:t xml:space="preserve"> </w:t>
      </w:r>
      <w:r w:rsidR="0092771F" w:rsidRPr="00636579">
        <w:rPr>
          <w:b/>
          <w:iCs/>
        </w:rPr>
        <w:t>section 4.6</w:t>
      </w:r>
      <w:r w:rsidR="0092771F" w:rsidRPr="00837161">
        <w:t>)</w:t>
      </w:r>
      <w:r w:rsidR="00053E58" w:rsidRPr="00837161">
        <w:t>.</w:t>
      </w:r>
      <w:r w:rsidR="6F67D9E7" w:rsidRPr="00837161">
        <w:t xml:space="preserve"> Therefore,</w:t>
      </w:r>
      <w:r w:rsidR="501E2611" w:rsidRPr="00837161">
        <w:t xml:space="preserve"> they </w:t>
      </w:r>
      <w:r w:rsidR="4795DB47" w:rsidRPr="00837161">
        <w:t xml:space="preserve">can provide unique knowledge and </w:t>
      </w:r>
      <w:r w:rsidR="11889646" w:rsidRPr="00837161">
        <w:t xml:space="preserve">management </w:t>
      </w:r>
      <w:r w:rsidR="64C3B57C" w:rsidRPr="00837161">
        <w:t xml:space="preserve">response </w:t>
      </w:r>
      <w:r w:rsidR="4795DB47" w:rsidRPr="00837161">
        <w:t>capacity</w:t>
      </w:r>
      <w:r w:rsidR="3801A716" w:rsidRPr="00837161">
        <w:t xml:space="preserve"> </w:t>
      </w:r>
      <w:r w:rsidR="00606BA9" w:rsidRPr="00837161">
        <w:fldChar w:fldCharType="begin"/>
      </w:r>
      <w:r w:rsidR="000F35EB">
        <w:instrText xml:space="preserve"> ADDIN ZOTERO_ITEM CSL_CITATION {"citationID":"lTRc7uBu","properties":{"formattedCitation":"(Bach et al., 2019; Kannan et al., 2016; Madegowda &amp; Rao, 2014)","plainCitation":"(Bach et al., 2019; Kannan et al., 2016; Madegowda &amp; Rao, 2014)","noteIndex":0},"citationItems":[{"id":11330,"uris":["http://zotero.org/groups/2352922/items/CDMLAWFF"],"itemData":{"id":11330,"type":"article-journal","abstract":"The Australian Government's funding of land management by Aboriginal communities aims to enable them to manage natural and cultural resources according to their values and aspirations. But this approach is countered in the case of weed management, where the emphasis is on killing plants that are identified on invasive alien species lists prepared by government agencies. Based on field research with Bardi-Jawi, Bunuba, Ngurrara, Nyikina Mangala and Wunggurr land managers in the Kimberley region of Western Australia, we observed that 27 of 35 weed control projects followed the government agency weed lists for species-led control. Of these 27 projects, only two were considered successful in meeting Aboriginal cultural aspirations. In most of the other cases, the list-based approach generated frustration among Aboriginal rangers who felt they were engaged in purposeless killing. In contrast, we found that elders and rangers preferred site-based approaches that considered landscape and vegetation management from their culturally specific and highly contextual geographies of ‘healthy country’. We outline instances where ranger groups have adopted site-based management that has been informed by geographies of healthy country and argue that such an approach offers a better alternative to current list-based weed control and produces positive outcomes for Aboriginal communities.","collection-title":"The human and social dimensions of invasion science and management","container-title":"Journal of Environmental Management","DOI":"10.1016/j.jenvman.2018.06.050","ISSN":"0301-4797","journalAbbreviation":"Journal of Environmental Management","language":"en","page":"182-192","source":"ScienceDirect","title":"From killing lists to healthy country: Aboriginal approaches to weed control in the Kimberley, Western Australia","title-short":"From killing lists to healthy country","URL":"http://www.sciencedirect.com/science/article/pii/S0301479718306984","volume":"229","author":[{"family":"Bach","given":"Thomas M."},{"family":"Kull","given":"Christian A."},{"family":"Rangan","given":"Haripriya"}],"accessed":{"date-parts":[["2019",10,14]]},"issued":{"date-parts":[["2019",1,1]]}},"label":"page"},{"id":15881,"uris":["http://zotero.org/groups/2352922/items/HLKZIPQY"],"itemData":{"id":15881,"type":"article-journal","abstract":"Many invasive alien species (IAS) are used by local communities for a variety of subsistence and income generating purposes. This frequently poses a conﬂict of interest for their removal due to forest conservation and biodiversity concerns. However, if local use can simultaneously check or control speciﬁc IAS, the conﬂict can be avoided and both development and forest conservation perspectives accommodated in the short to medium term. We examine this for Lantana camara invasion in southern India through assessment of the demand for and impacts of harvesting on this globally problematic IAS. We interviewed local artisans regarding their knowledge and quantities of Lantana used, along with forest surveys to estimate Lantana densities and size classes in harvested and unharvested sites, and lastly we undertook controlled cutting in moist and dry deciduous forests in both the wet and dry seasons to examine rate of regrowth and mortality. Over the entire study area the abundance of Lantana far outweighed local demand, but at small scales around villages, density and size classes were signiﬁcantly reduced through harvesting. The controlled cutting experiment showed marked seasonal differences, with the most severe cutting intensity resulting in signiﬁcant mortality when Lantana plants were cut in the wet season, but with limited effect when cut in the dry season. We conclude that promoting local use of IAS may be a feasible approach in controlling them and thereby limiting their impacts in forests.","container-title":"Forest Ecology and Management","DOI":"10.1016/j.foreco.2016.06.016","ISSN":"03781127","journalAbbreviation":"Forest Ecology and Management","language":"en","page":"166-173","source":"DOI.org (Crossref)","title":"Can local use assist in controlling invasive alien species in tropical forests? The case of &lt;i&gt;Lantana camara&lt;/i&gt; in southern India","title-short":"Can local use assist in controlling invasive alien species in tropical forests?","URL":"https://linkinghub.elsevier.com/retrieve/pii/S0378112716303139","volume":"376","author":[{"family":"Kannan","given":"Ramesh"},{"family":"Shackleton","given":"Charlie M."},{"family":"Krishnan","given":"Smitha"},{"family":"Shaanker","given":"R. Uma"}],"accessed":{"date-parts":[["2019",11,7]]},"issued":{"date-parts":[["2016",9]]}},"label":"page"},{"id":15805,"uris":["http://zotero.org/groups/2352922/items/3T95E4SW"],"itemData":{"id":15805,"type":"article-journal","abstract":"The Lantana camara weed is wildly spreading in Biligiri Rangaswamy Temple Wildlife Sanctuary and it has made a negative impact on animals and plant species, because these animals are facing food insecurity. The Soliga tribals livelihood depends on the forest for Non–timber forest products and the daily consumption of items like tubers, leaves, fruits, mushrooms etc. lantana weed can be controlled through removing the lantana weed in the same places of the forest for a minimum of five years and they observed that native species are growing back where the lantana was removed. It helps both, the biodiversity conservation as well as the livelihood of the Soligas. The Lantana camara can be removed under the scheme of the Mahatma Gandhi National Rural Employment Guarantee Act.","container-title":"Antrocom Online Journal of Anthropology","ISSN":"1973 – 2880","issue":"2","page":"163-173","title":"The Traditional Ecological Knowledge of Soliga Tribe on Eradication of &lt;i&gt;Lantana camara&lt;/i&gt; and their Livelihood","URL":"http://www.antrocom.net/archives/2014/100214/05-Antrocom.pdf","volume":"10","author":[{"family":"Madegowda","given":"C."},{"family":"Rao","given":"C.U."}],"issued":{"date-parts":[["2014"]]}},"label":"page"}],"schema":"https://github.com/citation-style-language/schema/raw/master/csl-citation.json"} </w:instrText>
      </w:r>
      <w:r w:rsidR="00606BA9" w:rsidRPr="00837161">
        <w:fldChar w:fldCharType="separate"/>
      </w:r>
      <w:r w:rsidR="00271B78" w:rsidRPr="00271B78">
        <w:t>(Bach et al., 2019; Kannan et al., 2016; Madegowda &amp; Rao, 2014)</w:t>
      </w:r>
      <w:r w:rsidR="00606BA9" w:rsidRPr="00837161">
        <w:fldChar w:fldCharType="end"/>
      </w:r>
      <w:r w:rsidR="3801A716" w:rsidRPr="00837161">
        <w:t xml:space="preserve">. </w:t>
      </w:r>
      <w:r w:rsidR="4795DB47" w:rsidRPr="00837161">
        <w:t xml:space="preserve">These stakeholder community engagement systems can be highly context </w:t>
      </w:r>
      <w:r w:rsidR="318B2E4F" w:rsidRPr="00837161">
        <w:t>specific</w:t>
      </w:r>
      <w:r w:rsidR="4795DB47" w:rsidRPr="00837161">
        <w:t xml:space="preserve"> (</w:t>
      </w:r>
      <w:r w:rsidR="073EE087" w:rsidRPr="00837161">
        <w:t xml:space="preserve">e.g., </w:t>
      </w:r>
      <w:r w:rsidR="4795DB47" w:rsidRPr="00837161">
        <w:t>low vs</w:t>
      </w:r>
      <w:r w:rsidR="003C116D" w:rsidRPr="00837161">
        <w:t>.</w:t>
      </w:r>
      <w:r w:rsidR="4795DB47" w:rsidRPr="00837161">
        <w:t xml:space="preserve"> high income countries, peri-urban vs</w:t>
      </w:r>
      <w:r w:rsidR="003C116D" w:rsidRPr="00837161">
        <w:t>.</w:t>
      </w:r>
      <w:r w:rsidR="4795DB47" w:rsidRPr="00837161">
        <w:t xml:space="preserve"> rural situations, terrestrial vs</w:t>
      </w:r>
      <w:r w:rsidR="003C116D" w:rsidRPr="00837161">
        <w:t>.</w:t>
      </w:r>
      <w:r w:rsidR="4795DB47" w:rsidRPr="00837161">
        <w:t xml:space="preserve"> marine environments, </w:t>
      </w:r>
      <w:r w:rsidR="00587C3C" w:rsidRPr="00837161">
        <w:t>public vs</w:t>
      </w:r>
      <w:r w:rsidR="003C116D" w:rsidRPr="00837161">
        <w:t>.</w:t>
      </w:r>
      <w:r w:rsidR="00587C3C" w:rsidRPr="00837161">
        <w:t xml:space="preserve"> private, </w:t>
      </w:r>
      <w:r w:rsidR="4795DB47" w:rsidRPr="00837161">
        <w:t>etc.) but are vital to create co-developed communities of practice around effective community-led responses that support prevention, preparedness</w:t>
      </w:r>
      <w:r w:rsidR="00CC09B6" w:rsidRPr="00837161">
        <w:t xml:space="preserve"> </w:t>
      </w:r>
      <w:r w:rsidR="002502C4" w:rsidRPr="00837161">
        <w:t>(</w:t>
      </w:r>
      <w:r w:rsidR="00636579">
        <w:rPr>
          <w:b/>
          <w:iCs/>
        </w:rPr>
        <w:t>G</w:t>
      </w:r>
      <w:r w:rsidR="00CC09B6" w:rsidRPr="00636579">
        <w:rPr>
          <w:b/>
          <w:iCs/>
        </w:rPr>
        <w:t>lossary</w:t>
      </w:r>
      <w:r w:rsidR="00A52BAA" w:rsidRPr="00636579">
        <w:rPr>
          <w:iCs/>
        </w:rPr>
        <w:t>;</w:t>
      </w:r>
      <w:r w:rsidR="00A52BAA" w:rsidRPr="00636579">
        <w:rPr>
          <w:b/>
          <w:iCs/>
        </w:rPr>
        <w:t xml:space="preserve"> </w:t>
      </w:r>
      <w:r w:rsidR="00896666" w:rsidRPr="00636579">
        <w:rPr>
          <w:b/>
          <w:iCs/>
        </w:rPr>
        <w:t>section 5.4.</w:t>
      </w:r>
      <w:r w:rsidR="0040569A" w:rsidRPr="00636579">
        <w:rPr>
          <w:b/>
          <w:iCs/>
        </w:rPr>
        <w:t>2</w:t>
      </w:r>
      <w:r w:rsidR="00CC09B6" w:rsidRPr="00837161">
        <w:t>)</w:t>
      </w:r>
      <w:r w:rsidR="4795DB47" w:rsidRPr="00837161">
        <w:t>, rapid response and widespread contr</w:t>
      </w:r>
      <w:r w:rsidR="358896CF" w:rsidRPr="00837161">
        <w:t>ol.</w:t>
      </w:r>
    </w:p>
    <w:p w14:paraId="3944FD3E" w14:textId="4375DD45" w:rsidR="00D645CF" w:rsidRPr="00837161" w:rsidRDefault="558CF2E6" w:rsidP="00C11DFA">
      <w:pPr>
        <w:spacing w:before="240" w:after="120" w:line="240" w:lineRule="auto"/>
      </w:pPr>
      <w:r w:rsidRPr="00837161">
        <w:t>Colla</w:t>
      </w:r>
      <w:r w:rsidR="5B922F83" w:rsidRPr="00837161">
        <w:t xml:space="preserve">boration </w:t>
      </w:r>
      <w:r w:rsidR="499EFC26" w:rsidRPr="00837161">
        <w:t xml:space="preserve">and knowledge sharing </w:t>
      </w:r>
      <w:r w:rsidR="5B922F83" w:rsidRPr="00837161">
        <w:t>among s</w:t>
      </w:r>
      <w:r w:rsidR="125C7C00" w:rsidRPr="00837161">
        <w:t>takeholder communit</w:t>
      </w:r>
      <w:r w:rsidR="003D6524">
        <w:t>ies</w:t>
      </w:r>
      <w:r w:rsidR="125C7C00" w:rsidRPr="00837161">
        <w:t xml:space="preserve"> (governments, scientists and non-governmental organizations) </w:t>
      </w:r>
      <w:r w:rsidR="5B922F83" w:rsidRPr="00837161">
        <w:t xml:space="preserve">and </w:t>
      </w:r>
      <w:r w:rsidR="00875C95" w:rsidRPr="00837161">
        <w:t>Indigenous Peoples</w:t>
      </w:r>
      <w:r w:rsidR="4E6232B0" w:rsidRPr="00837161">
        <w:t xml:space="preserve"> and local communities</w:t>
      </w:r>
      <w:r w:rsidR="2A3AE952" w:rsidRPr="00837161">
        <w:t xml:space="preserve"> </w:t>
      </w:r>
      <w:r w:rsidR="125C7C00" w:rsidRPr="00837161">
        <w:t xml:space="preserve">also </w:t>
      </w:r>
      <w:r w:rsidR="2A3AE952" w:rsidRPr="00837161">
        <w:t>help manage</w:t>
      </w:r>
      <w:r w:rsidR="125C7C00" w:rsidRPr="00837161">
        <w:t>ment of,</w:t>
      </w:r>
      <w:r w:rsidR="2A3AE952" w:rsidRPr="00837161">
        <w:t xml:space="preserve"> or if needed adap</w:t>
      </w:r>
      <w:r w:rsidR="125C7C00" w:rsidRPr="00837161">
        <w:t>t</w:t>
      </w:r>
      <w:r w:rsidR="0096041B">
        <w:t>ation</w:t>
      </w:r>
      <w:r w:rsidR="2A3AE952" w:rsidRPr="00837161">
        <w:t xml:space="preserve"> to</w:t>
      </w:r>
      <w:r w:rsidR="003D5C88" w:rsidRPr="00837161">
        <w:t>,</w:t>
      </w:r>
      <w:r w:rsidR="2A3AE952" w:rsidRPr="00837161">
        <w:t xml:space="preserve"> new invasive alien species in localities and regions </w:t>
      </w:r>
      <w:r w:rsidR="6AA5AF00" w:rsidRPr="00837161">
        <w:fldChar w:fldCharType="begin"/>
      </w:r>
      <w:r w:rsidR="000F35EB">
        <w:instrText xml:space="preserve"> ADDIN ZOTERO_ITEM CSL_CITATION {"citationID":"5UDUMA85","properties":{"formattedCitation":"(IPBES,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6AA5AF00" w:rsidRPr="00837161">
        <w:fldChar w:fldCharType="separate"/>
      </w:r>
      <w:r w:rsidR="00271B78" w:rsidRPr="00271B78">
        <w:t>(IPBES, 2020)</w:t>
      </w:r>
      <w:r w:rsidR="6AA5AF00" w:rsidRPr="00837161">
        <w:fldChar w:fldCharType="end"/>
      </w:r>
      <w:r w:rsidR="2A3AE952" w:rsidRPr="00837161">
        <w:t>.</w:t>
      </w:r>
      <w:r w:rsidR="2F64E7C0" w:rsidRPr="00837161">
        <w:t xml:space="preserve"> </w:t>
      </w:r>
      <w:r w:rsidR="06B06099" w:rsidRPr="00837161">
        <w:t>For example, t</w:t>
      </w:r>
      <w:r w:rsidR="33076889" w:rsidRPr="00837161">
        <w:t>he volunteering program</w:t>
      </w:r>
      <w:r w:rsidR="0C41886C" w:rsidRPr="00837161">
        <w:t>me</w:t>
      </w:r>
      <w:r w:rsidR="33076889" w:rsidRPr="00837161">
        <w:t xml:space="preserve"> at the Horus Institute for Environmental Conservation and Development of Brazil with the Federal University of Santa Catarina engages u</w:t>
      </w:r>
      <w:r w:rsidR="12CE949A" w:rsidRPr="00837161">
        <w:rPr>
          <w:color w:val="000000" w:themeColor="text1"/>
        </w:rPr>
        <w:t xml:space="preserve">niversity students and the local community </w:t>
      </w:r>
      <w:r w:rsidR="003D5C88" w:rsidRPr="00837161">
        <w:rPr>
          <w:color w:val="000000" w:themeColor="text1"/>
        </w:rPr>
        <w:t xml:space="preserve">to </w:t>
      </w:r>
      <w:r w:rsidR="12CE949A" w:rsidRPr="00837161">
        <w:rPr>
          <w:color w:val="000000" w:themeColor="text1"/>
        </w:rPr>
        <w:t xml:space="preserve">do hands on work controlling invasive </w:t>
      </w:r>
      <w:r w:rsidR="00700598" w:rsidRPr="00837161">
        <w:rPr>
          <w:color w:val="000000" w:themeColor="text1"/>
        </w:rPr>
        <w:t xml:space="preserve">alien </w:t>
      </w:r>
      <w:r w:rsidR="12CE949A" w:rsidRPr="00837161">
        <w:rPr>
          <w:color w:val="000000" w:themeColor="text1"/>
        </w:rPr>
        <w:t>pines and restoring coastal areas in the Dunas da Lagoa da Conceição Natural Municipal Park (Florianópolis, Santa Catarina state, Brazil), one of the most impacted ecosystems in the Atlantic Forest Biome in Brazil where some 470 thousand pines have been eliminated. Without the program</w:t>
      </w:r>
      <w:r w:rsidR="0C41886C" w:rsidRPr="00837161">
        <w:rPr>
          <w:color w:val="000000" w:themeColor="text1"/>
        </w:rPr>
        <w:t>me</w:t>
      </w:r>
      <w:r w:rsidR="12CE949A" w:rsidRPr="00837161">
        <w:rPr>
          <w:color w:val="000000" w:themeColor="text1"/>
        </w:rPr>
        <w:t xml:space="preserve">, invasive </w:t>
      </w:r>
      <w:r w:rsidR="00700598" w:rsidRPr="00837161">
        <w:rPr>
          <w:color w:val="000000" w:themeColor="text1"/>
        </w:rPr>
        <w:t xml:space="preserve">alien </w:t>
      </w:r>
      <w:r w:rsidR="12CE949A" w:rsidRPr="00837161">
        <w:rPr>
          <w:color w:val="000000" w:themeColor="text1"/>
        </w:rPr>
        <w:t xml:space="preserve">pine trees would have degraded half of the total area of the park in two </w:t>
      </w:r>
      <w:r w:rsidR="12CE949A" w:rsidRPr="00837161">
        <w:t xml:space="preserve">decades </w:t>
      </w:r>
      <w:r w:rsidR="6AA5AF00" w:rsidRPr="00837161">
        <w:fldChar w:fldCharType="begin"/>
      </w:r>
      <w:r w:rsidR="000F35EB">
        <w:instrText xml:space="preserve"> ADDIN ZOTERO_ITEM CSL_CITATION {"citationID":"Y1evJYuP","properties":{"formattedCitation":"(Dechoum et al., 2019)","plainCitation":"(Dechoum et al., 2019)","noteIndex":0},"citationItems":[{"id":17099,"uris":["http://zotero.org/groups/2352922/items/24S7DRWD"],"itemData":{"id":17099,"type":"article-journal","abstract":"Civil society can play a relevant role in supporting local environmental management, as volunteer efforts can be carried out at low cost and therefore be sustained over time. We present in this paper the assessment of the effectiveness of a volunteer program for the control of invasive pines in a protected area (PA) in a coastal zone of southern Brazil. Volunteer work has been ongoing for 8 years and the current state of invasion was compared with three simulation scenarios of species distribution that considered suitable habitats for pine invasion. Our results suggest that management actions have been effective. In the absence of any control efforts, pine trees would cover a high percentage of suitable habitats within the PA. Eliminating adult pine trees that function as seed sources and not allowing the next generation to reach maturity has been an efficient control strategy that has led to changes in the population structure of pines in the PA. Reaching neighboring private property owners is key for the future effective control of pines in the area, as all sources of pine seeds need to be eliminated. The approach used in our study may be applied to broader spatial scales to provide a baseline for management efforts needed to effectively control non-native invasive species.","container-title":"Biological Invasions","DOI":"10.1007/s10530-018-1814-0","ISSN":"1573-1464","issue":"1","journalAbbreviation":"Biol Invasions","language":"en","page":"175-188","source":"Springer Link","title":"Citizen engagement in the management of non-native invasive pines: Does it make a difference?","title-short":"Citizen engagement in the management of non-native invasive pines","URL":"https://doi.org/10.1007/s10530-018-1814-0","volume":"21","author":[{"family":"Dechoum","given":"Michele de Sá"},{"family":"Giehl","given":"Eduardo L. Hettwer"},{"family":"Sühs","given":"Rafael Barbizan"},{"family":"Silveira","given":"Thiago Cesar Lima"},{"family":"Ziller","given":"Sílvia R."}],"accessed":{"date-parts":[["2019",11,25]]},"issued":{"date-parts":[["2019",1,1]]}},"label":"page"}],"schema":"https://github.com/citation-style-language/schema/raw/master/csl-citation.json"} </w:instrText>
      </w:r>
      <w:r w:rsidR="6AA5AF00" w:rsidRPr="00837161">
        <w:fldChar w:fldCharType="separate"/>
      </w:r>
      <w:r w:rsidR="00271B78" w:rsidRPr="00271B78">
        <w:t>(Dechoum et al., 2019)</w:t>
      </w:r>
      <w:r w:rsidR="6AA5AF00" w:rsidRPr="00837161">
        <w:fldChar w:fldCharType="end"/>
      </w:r>
      <w:r w:rsidR="12CE949A" w:rsidRPr="00837161">
        <w:t>. In another</w:t>
      </w:r>
      <w:r w:rsidR="3945B36E" w:rsidRPr="00837161">
        <w:t xml:space="preserve"> example</w:t>
      </w:r>
      <w:r w:rsidR="03B0702F" w:rsidRPr="00837161">
        <w:t>,</w:t>
      </w:r>
      <w:r w:rsidR="12CE949A" w:rsidRPr="00837161">
        <w:t xml:space="preserve"> by organizing tournaments or derbies since 2009, volunteers from Colombia, Bahamas and Florida (United States of America) helped raise awareness of </w:t>
      </w:r>
      <w:r w:rsidR="12CE949A" w:rsidRPr="00837161">
        <w:rPr>
          <w:i/>
          <w:iCs/>
        </w:rPr>
        <w:t>Pterois volitans</w:t>
      </w:r>
      <w:r w:rsidR="009B0F0C" w:rsidRPr="00837161">
        <w:rPr>
          <w:i/>
          <w:iCs/>
        </w:rPr>
        <w:t xml:space="preserve"> </w:t>
      </w:r>
      <w:r w:rsidR="009B0F0C" w:rsidRPr="00837161">
        <w:rPr>
          <w:iCs/>
        </w:rPr>
        <w:t>(red lionfish)</w:t>
      </w:r>
      <w:r w:rsidR="12CE949A" w:rsidRPr="00837161">
        <w:rPr>
          <w:i/>
          <w:iCs/>
        </w:rPr>
        <w:t xml:space="preserve"> </w:t>
      </w:r>
      <w:r w:rsidR="12CE949A" w:rsidRPr="00837161">
        <w:t xml:space="preserve">and </w:t>
      </w:r>
      <w:r w:rsidR="00CF2920" w:rsidRPr="00837161">
        <w:rPr>
          <w:i/>
          <w:iCs/>
        </w:rPr>
        <w:t>Pterois</w:t>
      </w:r>
      <w:r w:rsidR="12CE949A" w:rsidRPr="00837161">
        <w:rPr>
          <w:i/>
          <w:iCs/>
        </w:rPr>
        <w:t xml:space="preserve"> miles</w:t>
      </w:r>
      <w:r w:rsidR="76385E00" w:rsidRPr="00837161">
        <w:t xml:space="preserve"> (lionfish)</w:t>
      </w:r>
      <w:r w:rsidR="12CE949A" w:rsidRPr="00837161">
        <w:rPr>
          <w:i/>
          <w:iCs/>
        </w:rPr>
        <w:t xml:space="preserve">, </w:t>
      </w:r>
      <w:r w:rsidR="12CE949A" w:rsidRPr="00837161">
        <w:t xml:space="preserve">an Indo-Pacific </w:t>
      </w:r>
      <w:r w:rsidR="317902A7" w:rsidRPr="00837161">
        <w:t>invasive</w:t>
      </w:r>
      <w:r w:rsidR="12CE949A" w:rsidRPr="00837161">
        <w:t xml:space="preserve"> </w:t>
      </w:r>
      <w:r w:rsidR="002C3FAB" w:rsidRPr="00837161">
        <w:t xml:space="preserve">alien </w:t>
      </w:r>
      <w:r w:rsidR="12CE949A" w:rsidRPr="00837161">
        <w:t xml:space="preserve">species widespread in the Caribbean region </w:t>
      </w:r>
      <w:r w:rsidR="6AA5AF00" w:rsidRPr="00837161">
        <w:fldChar w:fldCharType="begin"/>
      </w:r>
      <w:r w:rsidR="000F35EB">
        <w:instrText xml:space="preserve"> ADDIN ZOTERO_ITEM CSL_CITATION {"citationID":"bBWf0gnS","properties":{"formattedCitation":"(Green et al., 2017)","plainCitation":"(Green et al., 2017)","noteIndex":0},"citationItems":[{"id":11541,"uris":["http://zotero.org/groups/2352922/items/DDF7QWDW"],"itemData":{"id":11541,"type":"article-journal","abstract":"Species invasions often occur at geographic scales that preclude complete eradication, setting up long-term battles for population control. To understand the extent to which exotic species removal by volunteers can contribute to local invasion suppression and alleviate invasion eﬀects, we studied the activities of volunteers culling invasive lionﬁsh during annual “derby” events in the Atlantic. From 2012 to 2014, single-day derbies reduced lionﬁsh densities by 52% over 192 km2 on average each year. Diﬀerences in recolonization and productivity between regions meant that annual events were suﬃcient to suppress the invasion below levels predicted to cause declines in native species in one region, but not the other. Population reduction was not related to catch per unit eﬀort, conﬁrming the importance of in situ monitoring to gauge control eﬀectiveness. Culling by volunteers may be a useful tool in areas where exotic species are easily identiﬁed and safely captured, and culling can be promoted as an ongoing recreational activity. Strategically guiding volunteer eﬀort toward sensitive or underserved habitats could aid practitioners in optimizing their use of limited resources for invasion management.","container-title":"Conservation Letters","DOI":"10.1111/conl.12426","ISSN":"1755263X","issue":"6","journalAbbreviation":"CONSERVATION LETTERS","language":"en","page":"726-735","source":"DOI.org (Crossref)","title":"Mobilizing volunteers to sustain local suppression of a global marine invasion","URL":"http://doi.wiley.com/10.1111/conl.12426","volume":"10","author":[{"family":"Green","given":"Stephanie J."},{"family":"Underwood","given":"Elizabeth B."},{"family":"Akins","given":"John L."}],"accessed":{"date-parts":[["2020",8,4]]},"issued":{"date-parts":[["2017",11]]}},"label":"page"}],"schema":"https://github.com/citation-style-language/schema/raw/master/csl-citation.json"} </w:instrText>
      </w:r>
      <w:r w:rsidR="6AA5AF00" w:rsidRPr="00837161">
        <w:fldChar w:fldCharType="separate"/>
      </w:r>
      <w:r w:rsidR="00271B78" w:rsidRPr="00271B78">
        <w:t>(Green et al., 2017)</w:t>
      </w:r>
      <w:r w:rsidR="6AA5AF00" w:rsidRPr="00837161">
        <w:fldChar w:fldCharType="end"/>
      </w:r>
      <w:r w:rsidR="6EF2F408" w:rsidRPr="00837161">
        <w:t>. There are two other similar initiatives</w:t>
      </w:r>
      <w:r w:rsidR="003D6524">
        <w:t xml:space="preserve"> described by </w:t>
      </w:r>
      <w:r w:rsidR="00564FA0" w:rsidRPr="00837161">
        <w:t xml:space="preserve">Anderson et al. </w:t>
      </w:r>
      <w:r w:rsidR="00F4211C" w:rsidRPr="00837161">
        <w:fldChar w:fldCharType="begin"/>
      </w:r>
      <w:r w:rsidR="000F35EB">
        <w:instrText xml:space="preserve"> ADDIN ZOTERO_ITEM CSL_CITATION {"citationID":"RCbpo6s1","properties":{"formattedCitation":"(2017)","plainCitation":"(2017)","noteIndex":0},"citationItems":[{"id":11304,"uris":["http://zotero.org/groups/2352922/items/RDXMGQUY"],"itemData":{"id":11304,"type":"article-journal","abstract":"Across the Caribbean, targeted fishing is gaining momentum as a cost-effective method to control invasive alien lionfish (Pterois volitans and Pterois miles) by suppressing population numbers below site-specific threshold levels i.e. a population density that is predicted to cause declines in native fish biomass. Yet in marine reserve no take zones (NTZs) or reefs at depths of &gt;18 m) where commercial fishing is either not permitted or impractical, alternative methods of lionfish control are required. This study evaluates the potential for conservation volunteers to act as citizen scientists monitoring invasive lionfish populations and to support removal efforts in Bacalar Chico Marine Reserve (BCMR), Belize. Two underwater visual census techniques were trialled with conservation volunteers, each with associated benefits and drawbacks. A log of opportunistic lionfish sightings on SCUBA dives has been used to record sightings per unit effort (SPUE) data 2011–2015. In 2014, more rigorous lionfish focused searches (lionfish-adapted belt transects) were introduced. Opportunistic lionfish sightings contributed to a five year SPUE dataset that suggests that lionfish population growth rate has slowed in BCMR, where a lionfish removal program was also carried out by conservation volunteers over the same timeframe. However, lionfish focused searches showed that the mean density in 2014 was high (mean = 27.05 ± 8.77 fish ha-1, 1–30 m) relative to lionfish populations in their native ranges, particularly at sites at depths &gt; 18m (mean = 43.39 ± 13.76 fish ha-1, 18–30 m). Drawing on lessons from Belize, we discuss the potential for conservation volunteers to support invasive alien species (IAS) monitoring and control efforts in marine environments.","container-title":"Management of Biological Invasions","DOI":"10.3391/mbi.2017.8.4.14","ISSN":"19898649","issue":"4","journalAbbreviation":"MBI","language":"en","page":"589-598","source":"DOI.org (Crossref)","title":"The role of conservation volunteers in the detection, monitoring and management of invasive alien lionfish","URL":"http://www.reabic.net/journals/mbi/2017/Issue4.aspx","volume":"8","author":[{"family":"Anderson","given":"L. G."},{"family":"Chapman","given":"Jennifer K."},{"family":"Escontrela","given":"Daniela"},{"family":"Gough","given":"Charlotte L A"}],"accessed":{"date-parts":[["2020",8,4]]},"issued":{"date-parts":[["2017"]]}},"label":"page","suppress-author":true}],"schema":"https://github.com/citation-style-language/schema/raw/master/csl-citation.json"} </w:instrText>
      </w:r>
      <w:r w:rsidR="00F4211C" w:rsidRPr="00837161">
        <w:fldChar w:fldCharType="separate"/>
      </w:r>
      <w:r w:rsidR="00271B78" w:rsidRPr="00271B78">
        <w:t>(2017)</w:t>
      </w:r>
      <w:r w:rsidR="00F4211C" w:rsidRPr="00837161">
        <w:fldChar w:fldCharType="end"/>
      </w:r>
      <w:r w:rsidR="00F4211C" w:rsidRPr="00837161">
        <w:t xml:space="preserve"> </w:t>
      </w:r>
      <w:r w:rsidR="00EF4898" w:rsidRPr="00837161">
        <w:t xml:space="preserve">and Kleitou et al. </w:t>
      </w:r>
      <w:r w:rsidR="6AA5AF00" w:rsidRPr="00837161">
        <w:fldChar w:fldCharType="begin"/>
      </w:r>
      <w:r w:rsidR="000F35EB">
        <w:instrText xml:space="preserve"> ADDIN ZOTERO_ITEM CSL_CITATION {"citationID":"K4XsXdnT","properties":{"formattedCitation":"(2021)","plainCitation":"(2021)","noteIndex":0},"citationItems":[{"id":31738,"uris":["http://zotero.org/groups/2352922/items/CPJ2LV9I"],"itemData":{"id":31738,"type":"article-journal","container-title":"Aquatic Conservation: Marine and Freshwater Ecosystems","DOI":"10.1002/aqc.3669","ISSN":"1052-7613, 1099-0755","issue":"10","journalAbbreviation":"Aquatic Conserv: Mar Freshw Ecosyst","language":"en","page":"2870-2882","source":"DOI.org (Crossref)","title":"Regular monitoring and targeted removals can control lionfish in Mediterranean Marine Protected Areas","URL":"https://onlinelibrary.wiley.com/doi/10.1002/aqc.3669","volume":"31","author":[{"family":"Kleitou","giv</w:instrText>
      </w:r>
      <w:r w:rsidR="000F35EB">
        <w:rPr>
          <w:rFonts w:hint="eastAsia"/>
        </w:rPr>
        <w:instrText>en":"Periklis"},{"family":"Rees","given":"Sian"},{"family":"Cecconi","given":"Francesco"},{"family":"Kletou","given":"Demetris"},{"family":"Savva","given":"Ioannis"},{"family":"Cai","given":"Leda L."},{"family":"Hall</w:instrText>
      </w:r>
      <w:r w:rsidR="000F35EB">
        <w:rPr>
          <w:rFonts w:hint="eastAsia"/>
        </w:rPr>
        <w:instrText>‐</w:instrText>
      </w:r>
      <w:r w:rsidR="000F35EB">
        <w:rPr>
          <w:rFonts w:hint="eastAsia"/>
        </w:rPr>
        <w:instrText>Spencer","given":"Jason M."}],"accesse</w:instrText>
      </w:r>
      <w:r w:rsidR="000F35EB">
        <w:instrText xml:space="preserve">d":{"date-parts":[["2021",11,16]]},"issued":{"date-parts":[["2021",10]]}},"label":"page","suppress-author":true}],"schema":"https://github.com/citation-style-language/schema/raw/master/csl-citation.json"} </w:instrText>
      </w:r>
      <w:r w:rsidR="6AA5AF00" w:rsidRPr="00837161">
        <w:fldChar w:fldCharType="separate"/>
      </w:r>
      <w:r w:rsidR="00271B78" w:rsidRPr="00271B78">
        <w:t>(2021)</w:t>
      </w:r>
      <w:r w:rsidR="6AA5AF00" w:rsidRPr="00837161">
        <w:fldChar w:fldCharType="end"/>
      </w:r>
      <w:r w:rsidR="6EF2F408" w:rsidRPr="00837161">
        <w:t>.</w:t>
      </w:r>
      <w:r w:rsidR="12CE949A" w:rsidRPr="00837161">
        <w:t xml:space="preserve"> </w:t>
      </w:r>
    </w:p>
    <w:p w14:paraId="26B40605" w14:textId="792AB08A" w:rsidR="00031405" w:rsidRPr="00837161" w:rsidRDefault="7CD6C8B4" w:rsidP="00C11DFA">
      <w:pPr>
        <w:spacing w:before="240" w:after="120" w:line="240" w:lineRule="auto"/>
        <w:rPr>
          <w:rFonts w:eastAsia="Times New Roman"/>
        </w:rPr>
      </w:pPr>
      <w:r w:rsidRPr="00837161">
        <w:t>Community-based m</w:t>
      </w:r>
      <w:r w:rsidR="2961FF26" w:rsidRPr="00837161">
        <w:t>anag</w:t>
      </w:r>
      <w:r w:rsidRPr="00837161">
        <w:t xml:space="preserve">ement of </w:t>
      </w:r>
      <w:r w:rsidR="00B05859">
        <w:t xml:space="preserve">biological invasions </w:t>
      </w:r>
      <w:r w:rsidRPr="00837161">
        <w:t>often happens th</w:t>
      </w:r>
      <w:r w:rsidR="1668FE2D" w:rsidRPr="00837161">
        <w:t>rough</w:t>
      </w:r>
      <w:r w:rsidRPr="00837161">
        <w:t xml:space="preserve"> </w:t>
      </w:r>
      <w:r w:rsidR="535C05DF" w:rsidRPr="00837161">
        <w:t>profit</w:t>
      </w:r>
      <w:r w:rsidR="50154CBC" w:rsidRPr="00837161">
        <w:t>-</w:t>
      </w:r>
      <w:r w:rsidR="535C05DF" w:rsidRPr="00837161">
        <w:t>making activities such as h</w:t>
      </w:r>
      <w:r w:rsidR="7CFE58D2" w:rsidRPr="00837161">
        <w:t xml:space="preserve">arvesting </w:t>
      </w:r>
      <w:r w:rsidR="11360670" w:rsidRPr="00837161">
        <w:t xml:space="preserve">for sale in new markets </w:t>
      </w:r>
      <w:r w:rsidR="39A09AFC" w:rsidRPr="00837161">
        <w:t>or by en</w:t>
      </w:r>
      <w:r w:rsidR="7D7552AD" w:rsidRPr="00837161">
        <w:t xml:space="preserve">couraging recreational </w:t>
      </w:r>
      <w:r w:rsidR="39A09AFC" w:rsidRPr="00837161">
        <w:t xml:space="preserve">hunters </w:t>
      </w:r>
      <w:r w:rsidR="30F60A67" w:rsidRPr="00837161">
        <w:t xml:space="preserve">to act as </w:t>
      </w:r>
      <w:r w:rsidR="7D7552AD" w:rsidRPr="00837161">
        <w:t>management agents</w:t>
      </w:r>
      <w:r w:rsidR="57B9ED78" w:rsidRPr="00837161">
        <w:t xml:space="preserve">, however </w:t>
      </w:r>
      <w:r w:rsidR="31E161B9" w:rsidRPr="00837161">
        <w:t>this can create conflicts (</w:t>
      </w:r>
      <w:r w:rsidR="31E161B9" w:rsidRPr="00636579">
        <w:rPr>
          <w:b/>
          <w:iCs/>
        </w:rPr>
        <w:t>s</w:t>
      </w:r>
      <w:r w:rsidR="57B9ED78" w:rsidRPr="00636579">
        <w:rPr>
          <w:b/>
          <w:iCs/>
        </w:rPr>
        <w:t xml:space="preserve">ection </w:t>
      </w:r>
      <w:r w:rsidR="11128310" w:rsidRPr="00636579">
        <w:rPr>
          <w:b/>
          <w:iCs/>
        </w:rPr>
        <w:t>5.6.1.2</w:t>
      </w:r>
      <w:r w:rsidR="11128310" w:rsidRPr="00837161">
        <w:t>)</w:t>
      </w:r>
      <w:r w:rsidR="7D7552AD" w:rsidRPr="00837161">
        <w:t xml:space="preserve">. </w:t>
      </w:r>
      <w:r w:rsidR="2B4C176E" w:rsidRPr="00837161">
        <w:rPr>
          <w:rFonts w:eastAsia="Times New Roman"/>
          <w:i/>
          <w:iCs/>
        </w:rPr>
        <w:t>Paralithodes camtschaticus</w:t>
      </w:r>
      <w:r w:rsidR="2B4C176E" w:rsidRPr="00837161">
        <w:t xml:space="preserve"> </w:t>
      </w:r>
      <w:r w:rsidR="63210DD1" w:rsidRPr="00837161">
        <w:rPr>
          <w:rFonts w:eastAsia="Times New Roman"/>
        </w:rPr>
        <w:t>(</w:t>
      </w:r>
      <w:r w:rsidR="2B4C176E" w:rsidRPr="00837161">
        <w:rPr>
          <w:rFonts w:eastAsia="Times New Roman"/>
        </w:rPr>
        <w:t>red king crab</w:t>
      </w:r>
      <w:r w:rsidR="63210DD1" w:rsidRPr="00837161">
        <w:rPr>
          <w:rFonts w:eastAsia="Times New Roman"/>
        </w:rPr>
        <w:t xml:space="preserve">) was introduced in the Barents Sea affecting local fisheries. </w:t>
      </w:r>
      <w:r w:rsidR="468D32AA" w:rsidRPr="00837161">
        <w:rPr>
          <w:rFonts w:eastAsia="Times New Roman"/>
        </w:rPr>
        <w:t xml:space="preserve">The </w:t>
      </w:r>
      <w:r w:rsidR="63210DD1" w:rsidRPr="00837161">
        <w:rPr>
          <w:rFonts w:eastAsia="Times New Roman"/>
        </w:rPr>
        <w:t xml:space="preserve">Saami community and other coastal fishermen communities of Norway played an important role adapting to this invasive alien species and participating in management </w:t>
      </w:r>
      <w:r w:rsidR="3045C93C" w:rsidRPr="00837161">
        <w:rPr>
          <w:rFonts w:eastAsia="Times New Roman"/>
        </w:rPr>
        <w:t xml:space="preserve">actions </w:t>
      </w:r>
      <w:r w:rsidR="63210DD1" w:rsidRPr="00837161">
        <w:rPr>
          <w:rFonts w:eastAsia="Times New Roman"/>
        </w:rPr>
        <w:t xml:space="preserve">with financial return and </w:t>
      </w:r>
      <w:r w:rsidR="3045C93C" w:rsidRPr="00837161">
        <w:rPr>
          <w:rFonts w:eastAsia="Times New Roman"/>
        </w:rPr>
        <w:t>changing</w:t>
      </w:r>
      <w:r w:rsidR="63210DD1" w:rsidRPr="00837161">
        <w:rPr>
          <w:rFonts w:eastAsia="Times New Roman"/>
        </w:rPr>
        <w:t xml:space="preserve"> the fishing system</w:t>
      </w:r>
      <w:r w:rsidR="7C11E04A" w:rsidRPr="00837161">
        <w:rPr>
          <w:rFonts w:eastAsia="Times New Roman"/>
        </w:rPr>
        <w:t xml:space="preserve"> </w:t>
      </w:r>
      <w:r w:rsidR="00E20CFD" w:rsidRPr="00837161">
        <w:rPr>
          <w:rFonts w:eastAsia="Times New Roman"/>
        </w:rPr>
        <w:fldChar w:fldCharType="begin"/>
      </w:r>
      <w:r w:rsidR="000F35EB">
        <w:rPr>
          <w:rFonts w:eastAsia="Times New Roman"/>
        </w:rPr>
        <w:instrText xml:space="preserve"> ADDIN ZOTERO_ITEM CSL_CITATION {"citationID":"5HnYyLnM","properties":{"formattedCitation":"(Broderstad &amp; Eyth\\uc0\\u243{}rsson, 2014)","plainCitation":"(Broderstad &amp; Eythórsson, 2014)","noteIndex":0},"citationItems":[{"id":24889,"uris":["http://zotero.org/groups/2352922/items/MCZTVNPJ"],"itemData":{"id":24889,"type":"article-journal","abstract":"Fisheries-dependent Sami communities in the Norwegian Arctic face major challenges adapting and responding to socialecological changes. On a local scale, communities and households continually adapt and respond to interacting changes in natural conditions and governance frameworks. Degradation of the marine environment and decline in coastal settlements can move socialecological systems beyond critical thresholds or tipping points, where the system irreversibly enters a different state. We examined the recent social-ecological history of 2 fjords in Finnmark, North Norway, which have coped, over the past 30 years, with the collapse of local fish stocks, harp seal (Pagophilus groenlandicus) and red king crab (Paralithodes camtschaticus) invasions, and increasingly restrictive resource management regimes. Further, we explored similarities and differences in their social-ecological histories and discuss how the concepts of resilience and tipping points can be applied as analytical tools in empirical studies of community response to socialecological change. We show that although the ecological changes in the 2 communities have consisted of similar developments, they have been temporally different in ways that may have affected coping strategies and influenced the available options at different times. The apparent resilience of Sami fishing communities can be understood as the result of response strategies employed by communities and households, and the economic opportunities that have opened up as a result of a combination of ecological change and institutional and political reforms.","container-title":"Ecology and Society","DOI":"10.5751/ES-06533-190301","ISSN":"1708-3087","issue":"3","journalAbbreviation":"E&amp;S","language":"en","page":"1","title":"Resilient communities? Collapse and recovery of a social-ecological system in Arctic Norway","title-short":"Resilient communities?","URL":"http://www.ecologyandsociety.org/vol19/iss3/art1/","volume":"19","author":[{"family":"Broderstad","given":"Else Grete"},{"family":"Eythórsson","given":"Einar"}],"accessed":{"date-parts":[["2021",3,10]]},"issued":{"date-parts":[["2014"]]}},"label":"page"}],"schema":"https://github.com/citation-style-language/schema/raw/master/csl-citation.json"} </w:instrText>
      </w:r>
      <w:r w:rsidR="00E20CFD" w:rsidRPr="00837161">
        <w:rPr>
          <w:rFonts w:eastAsia="Times New Roman"/>
        </w:rPr>
        <w:fldChar w:fldCharType="separate"/>
      </w:r>
      <w:r w:rsidR="00271B78" w:rsidRPr="00271B78">
        <w:t>(Broderstad &amp; Eythórsson, 2014)</w:t>
      </w:r>
      <w:r w:rsidR="00E20CFD" w:rsidRPr="00837161">
        <w:rPr>
          <w:rFonts w:eastAsia="Times New Roman"/>
        </w:rPr>
        <w:fldChar w:fldCharType="end"/>
      </w:r>
      <w:r w:rsidR="0BFFCFD1" w:rsidRPr="00837161">
        <w:rPr>
          <w:rFonts w:eastAsia="Times New Roman"/>
        </w:rPr>
        <w:t>.</w:t>
      </w:r>
      <w:r w:rsidR="2C49AD8C" w:rsidRPr="00837161">
        <w:rPr>
          <w:rFonts w:eastAsia="Times New Roman"/>
        </w:rPr>
        <w:t xml:space="preserve"> Stakeholder communities </w:t>
      </w:r>
      <w:r w:rsidR="6A2B7F93" w:rsidRPr="00837161">
        <w:rPr>
          <w:rFonts w:eastAsia="Times New Roman"/>
        </w:rPr>
        <w:t xml:space="preserve">can </w:t>
      </w:r>
      <w:r w:rsidR="59DC5D32" w:rsidRPr="00837161">
        <w:rPr>
          <w:rFonts w:eastAsia="Times New Roman"/>
        </w:rPr>
        <w:t>collectively</w:t>
      </w:r>
      <w:r w:rsidR="2C49AD8C" w:rsidRPr="00837161">
        <w:rPr>
          <w:rFonts w:eastAsia="Times New Roman"/>
        </w:rPr>
        <w:t xml:space="preserve"> plan options and </w:t>
      </w:r>
      <w:r w:rsidR="6A2B7F93" w:rsidRPr="00837161">
        <w:rPr>
          <w:rFonts w:eastAsia="Times New Roman"/>
        </w:rPr>
        <w:t xml:space="preserve">select </w:t>
      </w:r>
      <w:r w:rsidR="2C49AD8C" w:rsidRPr="00837161">
        <w:rPr>
          <w:rFonts w:eastAsia="Times New Roman"/>
        </w:rPr>
        <w:t xml:space="preserve">management interventions and </w:t>
      </w:r>
      <w:r w:rsidR="10CFC427" w:rsidRPr="00837161">
        <w:rPr>
          <w:rFonts w:eastAsia="Times New Roman"/>
        </w:rPr>
        <w:t xml:space="preserve">evaluate </w:t>
      </w:r>
      <w:r w:rsidR="73EE58C4" w:rsidRPr="00837161">
        <w:rPr>
          <w:rFonts w:eastAsia="Times New Roman"/>
        </w:rPr>
        <w:t xml:space="preserve">and transparently communicate </w:t>
      </w:r>
      <w:r w:rsidR="2C49AD8C" w:rsidRPr="00837161">
        <w:rPr>
          <w:rFonts w:eastAsia="Times New Roman"/>
        </w:rPr>
        <w:t>outcomes</w:t>
      </w:r>
      <w:r w:rsidR="7EE4BFFB" w:rsidRPr="00837161">
        <w:rPr>
          <w:rFonts w:eastAsia="Times New Roman"/>
        </w:rPr>
        <w:t>,</w:t>
      </w:r>
      <w:r w:rsidR="2C49AD8C" w:rsidRPr="00837161">
        <w:rPr>
          <w:rFonts w:eastAsia="Times New Roman"/>
        </w:rPr>
        <w:t xml:space="preserve"> </w:t>
      </w:r>
      <w:r w:rsidR="2BF654B5" w:rsidRPr="00837161">
        <w:rPr>
          <w:rFonts w:eastAsia="Times New Roman"/>
        </w:rPr>
        <w:t>recognizing</w:t>
      </w:r>
      <w:r w:rsidR="2C49AD8C" w:rsidRPr="00837161">
        <w:rPr>
          <w:rFonts w:eastAsia="Times New Roman"/>
        </w:rPr>
        <w:t xml:space="preserve"> potential negative and positive impacts. </w:t>
      </w:r>
      <w:r w:rsidR="0017B616" w:rsidRPr="00837161">
        <w:rPr>
          <w:rFonts w:eastAsia="Times New Roman"/>
        </w:rPr>
        <w:t xml:space="preserve">Societal and political support for </w:t>
      </w:r>
      <w:r w:rsidR="4BD797E2" w:rsidRPr="00837161">
        <w:rPr>
          <w:rFonts w:eastAsia="Times New Roman"/>
        </w:rPr>
        <w:t xml:space="preserve">management </w:t>
      </w:r>
      <w:r w:rsidR="005B7C20" w:rsidRPr="00837161">
        <w:rPr>
          <w:rFonts w:eastAsia="Times New Roman"/>
        </w:rPr>
        <w:t>decision-making</w:t>
      </w:r>
      <w:r w:rsidR="74E864BC" w:rsidRPr="00837161">
        <w:rPr>
          <w:rFonts w:eastAsia="Times New Roman"/>
        </w:rPr>
        <w:t xml:space="preserve"> </w:t>
      </w:r>
      <w:r w:rsidR="4BD797E2" w:rsidRPr="00837161">
        <w:rPr>
          <w:rFonts w:eastAsia="Times New Roman"/>
        </w:rPr>
        <w:t xml:space="preserve">and </w:t>
      </w:r>
      <w:r w:rsidR="47B2DD3A" w:rsidRPr="00837161">
        <w:rPr>
          <w:rFonts w:eastAsia="Times New Roman"/>
        </w:rPr>
        <w:t>engagement</w:t>
      </w:r>
      <w:r w:rsidR="4ABF2FE2" w:rsidRPr="00837161">
        <w:rPr>
          <w:rFonts w:eastAsia="Times New Roman"/>
        </w:rPr>
        <w:t xml:space="preserve"> with </w:t>
      </w:r>
      <w:r w:rsidR="00875C95" w:rsidRPr="00837161">
        <w:rPr>
          <w:rFonts w:eastAsia="Times New Roman"/>
        </w:rPr>
        <w:t>Indigenous Peoples</w:t>
      </w:r>
      <w:r w:rsidR="79106FE8" w:rsidRPr="00837161">
        <w:rPr>
          <w:rFonts w:eastAsia="Times New Roman"/>
        </w:rPr>
        <w:t xml:space="preserve"> and local </w:t>
      </w:r>
      <w:r w:rsidR="4ABF2FE2" w:rsidRPr="00837161">
        <w:rPr>
          <w:rFonts w:eastAsia="Times New Roman"/>
        </w:rPr>
        <w:t xml:space="preserve">communities </w:t>
      </w:r>
      <w:r w:rsidR="001C2F4E" w:rsidRPr="00837161">
        <w:rPr>
          <w:rFonts w:eastAsia="Times New Roman"/>
        </w:rPr>
        <w:t>can be achieved through</w:t>
      </w:r>
      <w:r w:rsidR="4ABF2FE2" w:rsidRPr="00837161">
        <w:rPr>
          <w:rFonts w:eastAsia="Times New Roman"/>
        </w:rPr>
        <w:t xml:space="preserve"> </w:t>
      </w:r>
      <w:r w:rsidR="0C331AFA" w:rsidRPr="00837161">
        <w:rPr>
          <w:rFonts w:eastAsia="Times New Roman"/>
        </w:rPr>
        <w:t xml:space="preserve">participatory </w:t>
      </w:r>
      <w:r w:rsidR="005B7C20" w:rsidRPr="00837161">
        <w:rPr>
          <w:rFonts w:eastAsia="Times New Roman"/>
        </w:rPr>
        <w:t>decision-making</w:t>
      </w:r>
      <w:r w:rsidR="0C331AFA" w:rsidRPr="00837161">
        <w:rPr>
          <w:rFonts w:eastAsia="Times New Roman"/>
        </w:rPr>
        <w:t xml:space="preserve"> to ensure </w:t>
      </w:r>
      <w:r w:rsidR="09E716D7" w:rsidRPr="00837161">
        <w:rPr>
          <w:rFonts w:eastAsia="Times New Roman"/>
        </w:rPr>
        <w:t xml:space="preserve">a </w:t>
      </w:r>
      <w:r w:rsidR="0C331AFA" w:rsidRPr="00837161">
        <w:rPr>
          <w:rFonts w:eastAsia="Times New Roman"/>
        </w:rPr>
        <w:t xml:space="preserve">common understanding of the pros and cons </w:t>
      </w:r>
      <w:r w:rsidR="09E716D7" w:rsidRPr="00837161">
        <w:rPr>
          <w:rFonts w:eastAsia="Times New Roman"/>
        </w:rPr>
        <w:t>of dec</w:t>
      </w:r>
      <w:r w:rsidR="72A9D266" w:rsidRPr="00837161">
        <w:rPr>
          <w:rFonts w:eastAsia="Times New Roman"/>
        </w:rPr>
        <w:t>isions and actions</w:t>
      </w:r>
      <w:r w:rsidR="171C3832" w:rsidRPr="00837161">
        <w:rPr>
          <w:rFonts w:eastAsia="Times New Roman"/>
        </w:rPr>
        <w:t xml:space="preserve"> </w:t>
      </w:r>
      <w:r w:rsidR="00E20CFD" w:rsidRPr="00837161">
        <w:rPr>
          <w:rFonts w:eastAsia="Times New Roman"/>
        </w:rPr>
        <w:fldChar w:fldCharType="begin"/>
      </w:r>
      <w:r w:rsidR="000F35EB">
        <w:rPr>
          <w:rFonts w:eastAsia="Times New Roman"/>
        </w:rPr>
        <w:instrText xml:space="preserve"> ADDIN ZOTERO_ITEM CSL_CITATION {"citationID":"xItQrNtc","properties":{"formattedCitation":"(S. Liu et al., 2019)","plainCitation":"(S. Liu et al., 2019)","noteIndex":0},"citationItems":[{"id":22774,"uris":["http://zotero.org/groups/2352922/items/EN8H6WZC"],"itemData":{"id":22774,"type":"article-journal","abstract":"Stakeholder participation is increasingly being embedded into decision-making processes from the local to the global scale. With limited resources to engage stakeholders, frameworks that allow decision-makers to make cost-effective choices are greatly needed. In this paper, we present a structured decision-making (SDM) framework that enables environmental decision-makers to prioritise different engagement options by assessing their relative cost-effectiveness. We demonstrate the application of this framework using a case study in biosecurity management. Drawing on a scenario of Panama Disease Tropical Race 4 (TR4) invasion in the Australian banana industry, we conducted 25 semi-structured interviews and held a workshop with key stakeholders to elicit their key concerns and convert them into four objectives-making more informed decisions, maximising buy-in, empowering people, and minimising the stress of biosecurity incidents. We also identified ten engagement alternatives at local, State/Territory, and National scales. Our results showed that options to engage local stakeholders and enable capacity to undertake adaptive approaches to biosecurity management are more cost-effective than engagement efforts that seek to build capacities at higher decision-making levels. More interestingly, using the weights provided by different stakeholder groups does not significantly affect the cost-effectiveness ranking of the ten options considered. Even though the results are contingent on the context of this biosecurity study, the SDM framework developed for maximising cost-effectiveness is transferable to other areas of environmental management. The efficient frontier generated by this framework allows decision-makers to examine the trade-offs between the costs and benefits and select the best portfolio for their investment. This approach provides a practical and transparent estimate of the return on investment for stakeholder engagement in highly complex or uncertain situations, as is usually the case for environmental issues.","container-title":"EURO Journal on Decision Processes","DOI":"10.1007/s40070-019-00103-7","ISSN":"2193-9438, 2193-9446","issue":"3-4","journalAbbreviation":"EURO J Decis Process","language":"en","page":"221-241","source":"DOI.org (Crossref)","title":"A cost-effective framework to prioritise stakeholder participation options","URL":"https://doi.org/10.1007/s40070-019-00103-7","volume":"7","author":[{"family":"Liu","given":"Shuang"},{"family":"Maclean","given":"Kirsten"},{"family":"Robinson","given":"Cathy"}],"accessed":{"date-parts":[["2020",5,8]]},"issued":{"date-parts":[["2019",11]]}},"label":"page"}],"schema":"https://github.com/citation-style-language/schema/raw/master/csl-citation.json"} </w:instrText>
      </w:r>
      <w:r w:rsidR="00E20CFD" w:rsidRPr="00837161">
        <w:rPr>
          <w:rFonts w:eastAsia="Times New Roman"/>
        </w:rPr>
        <w:fldChar w:fldCharType="separate"/>
      </w:r>
      <w:r w:rsidR="00271B78" w:rsidRPr="00271B78">
        <w:t>(S. Liu et al., 2019)</w:t>
      </w:r>
      <w:r w:rsidR="00E20CFD" w:rsidRPr="00837161">
        <w:rPr>
          <w:rFonts w:eastAsia="Times New Roman"/>
        </w:rPr>
        <w:fldChar w:fldCharType="end"/>
      </w:r>
      <w:r w:rsidR="0C331AFA" w:rsidRPr="00837161">
        <w:rPr>
          <w:rFonts w:eastAsia="Times New Roman"/>
        </w:rPr>
        <w:t>.</w:t>
      </w:r>
      <w:r w:rsidR="1240D677" w:rsidRPr="00837161">
        <w:rPr>
          <w:rFonts w:eastAsia="Times New Roman"/>
        </w:rPr>
        <w:t xml:space="preserve"> It is important that t</w:t>
      </w:r>
      <w:r w:rsidR="0CAB1882" w:rsidRPr="00837161">
        <w:rPr>
          <w:rFonts w:eastAsia="Times New Roman"/>
        </w:rPr>
        <w:t xml:space="preserve">hese </w:t>
      </w:r>
      <w:r w:rsidR="4ABF2FE2" w:rsidRPr="00837161">
        <w:rPr>
          <w:rFonts w:eastAsia="Times New Roman"/>
        </w:rPr>
        <w:t>participatory mechanisms respect social structure</w:t>
      </w:r>
      <w:r w:rsidR="00AC5A0B">
        <w:rPr>
          <w:rFonts w:eastAsia="Times New Roman"/>
        </w:rPr>
        <w:t>s</w:t>
      </w:r>
      <w:r w:rsidR="4ABF2FE2" w:rsidRPr="00837161">
        <w:rPr>
          <w:rFonts w:eastAsia="Times New Roman"/>
        </w:rPr>
        <w:t xml:space="preserve">, </w:t>
      </w:r>
      <w:r w:rsidR="2BBA791A" w:rsidRPr="00837161">
        <w:rPr>
          <w:rFonts w:eastAsia="Times New Roman"/>
        </w:rPr>
        <w:t>intel</w:t>
      </w:r>
      <w:r w:rsidR="2F71B18C" w:rsidRPr="00837161">
        <w:rPr>
          <w:rFonts w:eastAsia="Times New Roman"/>
        </w:rPr>
        <w:t>l</w:t>
      </w:r>
      <w:r w:rsidR="2BBA791A" w:rsidRPr="00837161">
        <w:rPr>
          <w:rFonts w:eastAsia="Times New Roman"/>
        </w:rPr>
        <w:t>ectual property</w:t>
      </w:r>
      <w:r w:rsidR="2F71B18C" w:rsidRPr="00837161">
        <w:rPr>
          <w:rFonts w:eastAsia="Times New Roman"/>
        </w:rPr>
        <w:t>,</w:t>
      </w:r>
      <w:r w:rsidR="2BBA791A" w:rsidRPr="00837161">
        <w:rPr>
          <w:rFonts w:eastAsia="Times New Roman"/>
        </w:rPr>
        <w:t xml:space="preserve"> </w:t>
      </w:r>
      <w:r w:rsidR="4ABF2FE2" w:rsidRPr="00837161">
        <w:rPr>
          <w:rFonts w:eastAsia="Times New Roman"/>
        </w:rPr>
        <w:t>land rights and self</w:t>
      </w:r>
      <w:r w:rsidR="64F570E7" w:rsidRPr="00837161">
        <w:rPr>
          <w:rFonts w:eastAsia="Times New Roman"/>
        </w:rPr>
        <w:t>-</w:t>
      </w:r>
      <w:r w:rsidR="4ABF2FE2" w:rsidRPr="00837161">
        <w:rPr>
          <w:rFonts w:eastAsia="Times New Roman"/>
        </w:rPr>
        <w:t>determination</w:t>
      </w:r>
      <w:r w:rsidR="3B3AF11B" w:rsidRPr="00837161">
        <w:rPr>
          <w:rFonts w:eastAsia="Times New Roman"/>
        </w:rPr>
        <w:t xml:space="preserve"> through </w:t>
      </w:r>
      <w:r w:rsidR="4ABF2FE2" w:rsidRPr="00837161">
        <w:rPr>
          <w:rFonts w:eastAsia="Times New Roman"/>
        </w:rPr>
        <w:t>free, prior and informed consent</w:t>
      </w:r>
      <w:r w:rsidR="116F9DA7" w:rsidRPr="00837161">
        <w:rPr>
          <w:rFonts w:eastAsia="Times New Roman"/>
        </w:rPr>
        <w:t xml:space="preserve">, </w:t>
      </w:r>
      <w:r w:rsidR="1AF93F9E" w:rsidRPr="00837161">
        <w:rPr>
          <w:rFonts w:eastAsia="Times New Roman"/>
        </w:rPr>
        <w:t>respect</w:t>
      </w:r>
      <w:r w:rsidR="2BBA791A" w:rsidRPr="00837161">
        <w:rPr>
          <w:rFonts w:eastAsia="Times New Roman"/>
        </w:rPr>
        <w:t xml:space="preserve"> </w:t>
      </w:r>
      <w:r w:rsidR="4ABF2FE2" w:rsidRPr="00837161">
        <w:rPr>
          <w:rFonts w:eastAsia="Times New Roman"/>
        </w:rPr>
        <w:t>spiritual values and processes</w:t>
      </w:r>
      <w:r w:rsidR="47ED5B2F" w:rsidRPr="00837161">
        <w:rPr>
          <w:rFonts w:eastAsia="Times New Roman"/>
        </w:rPr>
        <w:t xml:space="preserve">, </w:t>
      </w:r>
      <w:r w:rsidR="4ABF2FE2" w:rsidRPr="00837161">
        <w:rPr>
          <w:rFonts w:eastAsia="Times New Roman"/>
        </w:rPr>
        <w:t>including prayers, ceremonies and other ways</w:t>
      </w:r>
      <w:r w:rsidR="686F4F04" w:rsidRPr="00837161">
        <w:rPr>
          <w:rFonts w:eastAsia="Times New Roman"/>
        </w:rPr>
        <w:t xml:space="preserve"> thr</w:t>
      </w:r>
      <w:r w:rsidR="5D4D33AE" w:rsidRPr="00837161">
        <w:rPr>
          <w:rFonts w:eastAsia="Times New Roman"/>
        </w:rPr>
        <w:t>ough which</w:t>
      </w:r>
      <w:r w:rsidR="4ABF2FE2" w:rsidRPr="00837161">
        <w:rPr>
          <w:rFonts w:eastAsia="Times New Roman"/>
        </w:rPr>
        <w:t xml:space="preserve"> </w:t>
      </w:r>
      <w:r w:rsidR="51C614EC" w:rsidRPr="00837161">
        <w:rPr>
          <w:rFonts w:eastAsia="Times New Roman"/>
        </w:rPr>
        <w:t xml:space="preserve">relationships between humans and nature </w:t>
      </w:r>
      <w:r w:rsidR="2FEE1E5E" w:rsidRPr="00837161">
        <w:rPr>
          <w:rFonts w:eastAsia="Times New Roman"/>
        </w:rPr>
        <w:t>are balanced</w:t>
      </w:r>
      <w:r w:rsidR="4ABF2FE2" w:rsidRPr="00837161">
        <w:rPr>
          <w:rFonts w:eastAsia="Times New Roman"/>
        </w:rPr>
        <w:t xml:space="preserve"> </w:t>
      </w:r>
      <w:r w:rsidR="00E20CFD" w:rsidRPr="00837161">
        <w:rPr>
          <w:rFonts w:eastAsia="Times New Roman"/>
        </w:rPr>
        <w:fldChar w:fldCharType="begin"/>
      </w:r>
      <w:r w:rsidR="00E25D54">
        <w:rPr>
          <w:rFonts w:eastAsia="Times New Roman"/>
        </w:rPr>
        <w:instrText xml:space="preserve"> ADDIN ZOTERO_ITEM CSL_CITATION {"citationID":"i8AkSpay","properties":{"formattedCitation":"(Bajwa et al., 2019; IPBES, 2020; Pretty Paint-Small, 2013)","plainCitation":"(Bajwa et al., 2019; IPBES, 2020; Pretty Paint-Small, 2013)","noteIndex":0},"citationItems":[{"id":11520,"uris":["http://zotero.org/groups/2352922/items/CS3A6V53"],"itemData":{"id":11520,"type":"article-journal","container-title":"Biological Invasions","DOI":"10.1007/s10530-019-02047-0","ISSN":"1387-3547, 1573-1464","issue":"11","journalAbbreviation":"Biol Invasions","language":"en","page":"3285-3304","source":"DOI.org (Crossref)","title":"Impact of invasive plant species on the livelihoods of farming households: evidence from &lt;i&gt;Parthenium hysterophorus&lt;/i&gt; invasion in rural Punjab, Pakistan","title-short":"Impact of invasive plant species on the livelihoods of farming households","URL":"http://link.springer.com/10.1007/s10530-019-02047-0","volume":"21","author":[{"family":"Bajwa","given":"Ali Ahsan"},{"family":"Farooq","given":"Muhammad"},{"family":"Nawaz","given":"Ahmad"},{"family":"Yadav","given":"Lava"},{"family":"Chauhan","given":"Bhagirath Singh"},{"family":"Adkins","given":"Steve"}],"accessed":{"date-parts":[["2019",11,18]]},"issued":{"date-parts":[["2019",11]]}},"label":"page"},{"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id":31021,"uris":["http://zotero.org/groups/2352922/items/7BLQTIYW"],"itemData":{"id":31021,"type":"thesis","abstract":"Native plant diversity in riparian systems is currently threatened by the invasive Russian olive (Elaeagnus angustifolia L.) replacing woody riparian species, including plains cottonwood (Populus deltoides Marsh), used for centuries by the Apsáalooke or Crow Tribe of south-central Montana.  The Dawes Act of 1887, also known as the Allotment Act, created a land tenure system that restricted ownership rights and forced an unfamiliar agro-economy on the Crow people.  Land cessations, illegal land sales and/or leases over the last century resulted in a mosaic of private non-Indian land ownership parcels interspersed within Crow tribal and individual allotment lands.  Crow Tribe and individual land allotments are held in trust by the federal government and managed by the federal trust agent, U.S Department of Interior-Bureau of Indian Affairs (BIA). Elaeagnus angustifolia was intentionally planted in the early 20th century along the floodplains of the Little Bighorn and Bighorn Rivers to support a largely non-Indian owned agro-economy.  Mapped presence points of E. angustifolia trees within land use type and land ownership status were used as an indirect measure of policy induced invasion. Stem density of E. angustifolia (stem/km2) varied significantly by land use type (13 predictor variables) (p &lt; 0.001), and densities were significantly higher in wetlands, crop/pasture, mixed rangeland, residential and transportation (p &lt; 0.001), and grass rangeland (p &lt; 0.01), and mean stem density was highest in wetlands than other land use types. Fee patent (private non-Indian) land had marginally higher stem numbers than tribal and Reservation trust lands combined, although not significant. The Bighorn and Little Bighorn Rivers of Montana are highly regulated with diversion dams, irrigation canals and ditches heavily dominated by E. angustifolia. The Crow people use cottonwoods for socio-cultural and ritual purposes; however they have witnessed a decline in availability to harvest specific size classes of cottonwood. Further, given predicted climate changes of warmer mean annual temperatures and increased precipitation for Montana, I used Maximum Entropy Modeling (MaxEnt) to predict suitable habitat and future spread of E. angustifolia along riparian corridors of the Little Bighorn and Bighorn Rivers. Climate variables (n = 22) used in the model contributed significantly to the model (AUC &gt; 1.0) suggesting that near-term climate changes may influence the spread of E. angustifolia, particularly downstream from diversion dams used for irrigation purposes. Personal interviews of Crow Elders overwhelmingly agreed (~80%) that sub-adult cottonwood trees were the most difficult to find now compared to 25 years ago. Maximum distances to travel to obtain sub-adult size classes used exclusively in ceremony increased in present-day by 30 km compared to recent history. Plot data comparing near and far from ceremonial and Crow Fair campground sites indicated that cottonwood stem heights (from 7.32 m plots where n=10) were significantly shorter near ceremony sites (&lt; 150 m near) compared to sites farther away (&gt; 2.4 km away; p &lt; 0.01). There were more cottonwood trees with diameter at breast height (dbh) &lt; 5 cm in plots located far from ceremony sites than near (p &lt; 0.05). Near-term (10 years) climate change predictions, coupled with reduced cottonwood availability to harvest indicated that mid-sized cottonwoods will continue to decline, while E. angustifolia populations will spread. Personal interviews with Elders and Crow community surveys reported 23 uses of cottonwood with the branch as the most often used plant part. Elders also mentioned Pine (Pinus sp.) and buffaloberry (Shepherdia canadensis (L.) Nutt. argentea) woody species are equally important to Crow culture. Traditional food sources such as chokecherry (Prunus virginiana L.) are also mentioned as becoming more difficult to find for traditional harvest. Elaeagnus angustifolia is not used by the Crow people who consider this species to be problematic, changing the visual landscape and making it difficult to find historical home sites and sacred places. Gender differences in knowledge of E. angustifolia were significant, as males had more knowledge than females, and the oldest age groups (&gt; 55 years) had higher knowledge than younger age groups. Taken in total, I conclude that E. angustifolia is displacing culturally important native biota harvested by the Crow people, and has heavily invaded private or fee-patent lands. Density of this species in allotted lands, however, is not managed by the Crow, as approximately two thirds are leased to non-Indians for farming or ranching operations. Lack of access and management oversight by the Crow Tribe for all lands within the reservation boundaries resulted in drastic changes in vegetation from the once dominant plains cottonwood to an almost mono-culture of E. angustifolia. Growth of this thorny shrub severely restricts the ability to harvest important woody species used in the expression of Crow culture through ceremony. Traditional Crow knowledge related to harvesting practices of culturally important native biota may be in the initial stages of erosion. Future land policy should reflect the ability of the Crow Tribe to manage invasive species within reservation boundaries, regardless of ownership class. To preserve traditional knowledge of native biota, E. angustifolia removal projects coupled with re-vegetation of culturally important species closer to Crow communities will allow access by Elders, and hence preserve their rich cultural knowledge for generations to come.","genre":"Thesis","language":"eng","license":"Copyright of the original work is retained by the author.","publisher":"Colorado State University. Libraries","source":"mountainscholar.org","title":"Linking culture, ecology and policy : the invasion of Russian-olive (&lt;i&gt;Elaeagnus angustifolia&lt;/i&gt; l.) on the Crow Indian Reservation, south-central Montana, USA","title-short":"Linking culture, ecology and policy","URL":"https://mountainscholar.org/handle/10217/78865","author":[{"family":"Pretty Paint-Small","given":"Valerie"}],"accessed":{"date-parts":[["2019",6,21]]},"issued":{"date-parts":[["2013"]]}},"label":"page"}],"schema":"https://github.com/citation-style-language/schema/raw/master/csl-citation.json"} </w:instrText>
      </w:r>
      <w:r w:rsidR="00E20CFD" w:rsidRPr="00837161">
        <w:rPr>
          <w:rFonts w:eastAsia="Times New Roman"/>
        </w:rPr>
        <w:fldChar w:fldCharType="separate"/>
      </w:r>
      <w:r w:rsidR="00271B78" w:rsidRPr="00271B78">
        <w:t>(Bajwa et al., 2019; IPBES, 2020; Pretty Paint-Small, 2013)</w:t>
      </w:r>
      <w:r w:rsidR="00E20CFD" w:rsidRPr="00837161">
        <w:rPr>
          <w:rFonts w:eastAsia="Times New Roman"/>
        </w:rPr>
        <w:fldChar w:fldCharType="end"/>
      </w:r>
      <w:r w:rsidR="4ABF2FE2" w:rsidRPr="00837161">
        <w:rPr>
          <w:rFonts w:eastAsia="Times New Roman"/>
        </w:rPr>
        <w:t xml:space="preserve">. </w:t>
      </w:r>
      <w:r w:rsidR="112919D5" w:rsidRPr="00837161">
        <w:rPr>
          <w:rFonts w:eastAsia="Times New Roman"/>
        </w:rPr>
        <w:t>Once action has been decided, a</w:t>
      </w:r>
      <w:r w:rsidR="6F105883" w:rsidRPr="00837161">
        <w:rPr>
          <w:rFonts w:eastAsia="Times New Roman"/>
        </w:rPr>
        <w:t xml:space="preserve">daptive management </w:t>
      </w:r>
      <w:r w:rsidR="2947C438" w:rsidRPr="00837161">
        <w:rPr>
          <w:rFonts w:eastAsia="Times New Roman"/>
        </w:rPr>
        <w:t>involves</w:t>
      </w:r>
      <w:r w:rsidR="6F105883" w:rsidRPr="00837161">
        <w:rPr>
          <w:rFonts w:eastAsia="Times New Roman"/>
        </w:rPr>
        <w:t xml:space="preserve"> observation</w:t>
      </w:r>
      <w:r w:rsidR="3F72B565" w:rsidRPr="00837161">
        <w:rPr>
          <w:rFonts w:eastAsia="Times New Roman"/>
        </w:rPr>
        <w:t>,</w:t>
      </w:r>
      <w:r w:rsidR="2CEC1F3F" w:rsidRPr="00837161">
        <w:rPr>
          <w:rFonts w:eastAsia="Times New Roman"/>
        </w:rPr>
        <w:t xml:space="preserve"> </w:t>
      </w:r>
      <w:r w:rsidR="3F72B565" w:rsidRPr="00837161">
        <w:rPr>
          <w:rFonts w:eastAsia="Times New Roman"/>
        </w:rPr>
        <w:t xml:space="preserve">experimentation </w:t>
      </w:r>
      <w:r w:rsidR="26183209" w:rsidRPr="00837161">
        <w:rPr>
          <w:rFonts w:eastAsia="Times New Roman"/>
        </w:rPr>
        <w:t xml:space="preserve">and collective learning </w:t>
      </w:r>
      <w:r w:rsidR="6F105883" w:rsidRPr="00837161">
        <w:rPr>
          <w:rFonts w:eastAsia="Times New Roman"/>
        </w:rPr>
        <w:t xml:space="preserve">to optimize outcomes </w:t>
      </w:r>
      <w:r w:rsidR="00E20CFD" w:rsidRPr="00837161">
        <w:rPr>
          <w:rFonts w:eastAsia="Times New Roman"/>
        </w:rPr>
        <w:fldChar w:fldCharType="begin"/>
      </w:r>
      <w:r w:rsidR="000F35EB">
        <w:rPr>
          <w:rFonts w:eastAsia="Times New Roman"/>
        </w:rPr>
        <w:instrText xml:space="preserve"> ADDIN ZOTERO_ITEM CSL_CITATION {"citationID":"qw8e3lMP","properties":{"formattedCitation":"(Alexander et al., 2017)","plainCitation":"(Alexander et al., 2017)","noteIndex":0},"citationItems":[{"id":29725,"uris":["http://zotero.org/groups/2352922/items/8V4JKAFH"],"itemData":{"id":29725,"type":"article-journal","abstract":"Invasive species know no boundaries; they spread regardless of ownership, and actions by neighboring landowners can inﬂuence local and regional populations and impacts. Native Americans and mainstream Western society (representing the prevalent attitudes, values, and practices of US society) both depend on forests for food, ﬁber, and emotional well-being, but in different ways. We surveyed Native American and nontribal environmental leaders in California to gauge differences in importance, impacts, and control strategies for invasive species and management of forest health. There were differences between Native American and nontribal responses in the pests of highest concern and in the understanding and perceived application of integrated pest management (IPM) techniques. Native American respondents prioritized established weed species, whereas nontribal participants highlighted recently introduced, quarantine pests or insects and pathogens with limited distribution but potentially high impact. These differences may stem from divergence in both cultural values and interpretations of terminology. Forest management based on traditional ecological knowledge has fundamental similarities to programs following IPM; increasing agency and Native American awareness of these connections can capitalize on areas of agreement, thereby assisting Native Americans, tribes, and agencies.","container-title":"Journal of Forestry","DOI":"10.5849/jof.16-018","ISSN":"0022-1201","issue":"5","journalAbbreviation":"Journal of Forestry","language":"en","page":"473-479","source":"DOI.org (Crossref)","title":"Working across Cultures to Protect Native American Natural and Cultural Resources from Invasive Species in California","URL":"https://academic.oup.com/jof/article/115/5/473-479/4599914","volume":"115","author":[{"family":"Alexander","given":"Janice M."},{"family":"Frankel","given":"Susan J."},{"family":"Hapner","given":"Nina"},{"family":"Phillips","given":"John L."},{"family":"Dupuis","given":"Virgil"}],"accessed":{"date-parts":[["2021",8,10]]},"issued":{"date-parts":[["2017",9,17]]}},"label":"page"}],"schema":"https://github.com/citation-style-language/schema/raw/master/csl-citation.json"} </w:instrText>
      </w:r>
      <w:r w:rsidR="00E20CFD" w:rsidRPr="00837161">
        <w:rPr>
          <w:rFonts w:eastAsia="Times New Roman"/>
        </w:rPr>
        <w:fldChar w:fldCharType="separate"/>
      </w:r>
      <w:r w:rsidR="00271B78" w:rsidRPr="00271B78">
        <w:t>(Alexander et al., 2017)</w:t>
      </w:r>
      <w:r w:rsidR="00E20CFD" w:rsidRPr="00837161">
        <w:rPr>
          <w:rFonts w:eastAsia="Times New Roman"/>
        </w:rPr>
        <w:fldChar w:fldCharType="end"/>
      </w:r>
      <w:r w:rsidR="6F105883" w:rsidRPr="00837161">
        <w:rPr>
          <w:rFonts w:eastAsia="Times New Roman"/>
        </w:rPr>
        <w:t xml:space="preserve">. </w:t>
      </w:r>
      <w:r w:rsidR="12AB4921" w:rsidRPr="00837161">
        <w:rPr>
          <w:rFonts w:eastAsia="Times New Roman"/>
        </w:rPr>
        <w:t xml:space="preserve">Communication activities </w:t>
      </w:r>
      <w:r w:rsidR="4F85A1F3" w:rsidRPr="00837161">
        <w:rPr>
          <w:rFonts w:eastAsia="Times New Roman"/>
        </w:rPr>
        <w:t>imply</w:t>
      </w:r>
      <w:r w:rsidR="12AB4921" w:rsidRPr="00837161">
        <w:rPr>
          <w:rFonts w:eastAsia="Times New Roman"/>
        </w:rPr>
        <w:t xml:space="preserve"> consultation to understand and respect </w:t>
      </w:r>
      <w:r w:rsidR="00875C95" w:rsidRPr="00837161">
        <w:rPr>
          <w:rFonts w:eastAsia="Times New Roman"/>
        </w:rPr>
        <w:t>Indigenous Peoples</w:t>
      </w:r>
      <w:r w:rsidR="79106FE8" w:rsidRPr="00837161">
        <w:rPr>
          <w:rFonts w:eastAsia="Times New Roman"/>
        </w:rPr>
        <w:t xml:space="preserve"> </w:t>
      </w:r>
      <w:r w:rsidR="12AB4921" w:rsidRPr="00837161">
        <w:rPr>
          <w:rFonts w:eastAsia="Times New Roman"/>
        </w:rPr>
        <w:t xml:space="preserve">and local community perspectives </w:t>
      </w:r>
      <w:r w:rsidR="00E20CFD" w:rsidRPr="00837161">
        <w:rPr>
          <w:rFonts w:eastAsia="Times New Roman"/>
        </w:rPr>
        <w:fldChar w:fldCharType="begin"/>
      </w:r>
      <w:r w:rsidR="000F35EB">
        <w:rPr>
          <w:rFonts w:eastAsia="Times New Roman"/>
        </w:rPr>
        <w:instrText xml:space="preserve"> ADDIN ZOTERO_ITEM CSL_CITATION {"citationID":"3im9qsCy","properties":{"formattedCitation":"(IPBES,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00E20CFD" w:rsidRPr="00837161">
        <w:rPr>
          <w:rFonts w:eastAsia="Times New Roman"/>
        </w:rPr>
        <w:fldChar w:fldCharType="separate"/>
      </w:r>
      <w:r w:rsidR="00271B78" w:rsidRPr="00271B78">
        <w:t>(IPBES, 2020)</w:t>
      </w:r>
      <w:r w:rsidR="00E20CFD" w:rsidRPr="00837161">
        <w:rPr>
          <w:rFonts w:eastAsia="Times New Roman"/>
        </w:rPr>
        <w:fldChar w:fldCharType="end"/>
      </w:r>
      <w:r w:rsidR="12AB4921" w:rsidRPr="00837161">
        <w:rPr>
          <w:rFonts w:eastAsia="Times New Roman"/>
        </w:rPr>
        <w:t xml:space="preserve">. </w:t>
      </w:r>
      <w:r w:rsidR="05993A06" w:rsidRPr="00837161">
        <w:rPr>
          <w:rFonts w:eastAsia="Times New Roman"/>
        </w:rPr>
        <w:t>Without such engagement, conflict</w:t>
      </w:r>
      <w:r w:rsidR="3D427F05" w:rsidRPr="00837161">
        <w:rPr>
          <w:rFonts w:eastAsia="Times New Roman"/>
        </w:rPr>
        <w:t>s</w:t>
      </w:r>
      <w:r w:rsidR="05993A06" w:rsidRPr="00837161">
        <w:rPr>
          <w:rFonts w:eastAsia="Times New Roman"/>
        </w:rPr>
        <w:t xml:space="preserve"> </w:t>
      </w:r>
      <w:r w:rsidR="5F6DAD1A" w:rsidRPr="00837161">
        <w:rPr>
          <w:rFonts w:eastAsia="Times New Roman"/>
        </w:rPr>
        <w:t>may result</w:t>
      </w:r>
      <w:r w:rsidR="05993A06" w:rsidRPr="00837161">
        <w:rPr>
          <w:rFonts w:eastAsia="Times New Roman"/>
        </w:rPr>
        <w:t xml:space="preserve"> </w:t>
      </w:r>
      <w:r w:rsidR="51308CC0" w:rsidRPr="00837161">
        <w:rPr>
          <w:rFonts w:eastAsia="Times New Roman"/>
        </w:rPr>
        <w:t xml:space="preserve">leading potentially to loss of livelihoods, threats </w:t>
      </w:r>
      <w:r w:rsidR="5108041D" w:rsidRPr="00837161">
        <w:rPr>
          <w:rFonts w:eastAsia="Times New Roman"/>
        </w:rPr>
        <w:t xml:space="preserve">to </w:t>
      </w:r>
      <w:r w:rsidR="51308CC0" w:rsidRPr="00837161">
        <w:rPr>
          <w:rFonts w:eastAsia="Times New Roman"/>
        </w:rPr>
        <w:t xml:space="preserve">cultural systems, </w:t>
      </w:r>
      <w:r w:rsidR="111E505A" w:rsidRPr="00837161">
        <w:rPr>
          <w:rFonts w:eastAsia="Times New Roman"/>
        </w:rPr>
        <w:t xml:space="preserve">displacement from lands, </w:t>
      </w:r>
      <w:r w:rsidR="51308CC0" w:rsidRPr="00837161">
        <w:rPr>
          <w:rFonts w:eastAsia="Times New Roman"/>
        </w:rPr>
        <w:t xml:space="preserve">marginalization and gender inequity </w:t>
      </w:r>
      <w:r w:rsidR="6DC90319" w:rsidRPr="00837161">
        <w:rPr>
          <w:rFonts w:eastAsia="Times New Roman"/>
        </w:rPr>
        <w:t>(</w:t>
      </w:r>
      <w:r w:rsidR="1A50B0BE" w:rsidRPr="00837161">
        <w:rPr>
          <w:rFonts w:eastAsia="Times New Roman"/>
        </w:rPr>
        <w:t xml:space="preserve">e.g., </w:t>
      </w:r>
      <w:r w:rsidR="088CEDF1" w:rsidRPr="00837161">
        <w:rPr>
          <w:rFonts w:eastAsia="Times New Roman"/>
        </w:rPr>
        <w:t xml:space="preserve">as occurred with </w:t>
      </w:r>
      <w:r w:rsidR="69432D2C" w:rsidRPr="00837161">
        <w:rPr>
          <w:rFonts w:eastAsia="Times New Roman"/>
        </w:rPr>
        <w:t xml:space="preserve">the </w:t>
      </w:r>
      <w:r w:rsidR="0CFABD96" w:rsidRPr="00837161">
        <w:rPr>
          <w:rFonts w:eastAsia="Times New Roman"/>
        </w:rPr>
        <w:t xml:space="preserve">Il Chamus in </w:t>
      </w:r>
      <w:r w:rsidR="69432D2C" w:rsidRPr="00837161">
        <w:rPr>
          <w:rFonts w:eastAsia="Times New Roman"/>
        </w:rPr>
        <w:t>Ng’ambo</w:t>
      </w:r>
      <w:r w:rsidR="0CFABD96" w:rsidRPr="00837161">
        <w:rPr>
          <w:rFonts w:eastAsia="Times New Roman"/>
        </w:rPr>
        <w:t xml:space="preserve"> </w:t>
      </w:r>
      <w:r w:rsidR="25AE46BF" w:rsidRPr="00837161">
        <w:rPr>
          <w:rFonts w:eastAsia="Times New Roman"/>
        </w:rPr>
        <w:t xml:space="preserve">pastoralists in </w:t>
      </w:r>
      <w:r w:rsidR="0CFABD96" w:rsidRPr="00837161">
        <w:rPr>
          <w:rFonts w:eastAsia="Times New Roman"/>
        </w:rPr>
        <w:t>Kenya</w:t>
      </w:r>
      <w:r w:rsidR="072B6C39" w:rsidRPr="00837161">
        <w:rPr>
          <w:rFonts w:eastAsia="Times New Roman"/>
        </w:rPr>
        <w:t>;</w:t>
      </w:r>
      <w:r w:rsidR="38A24507" w:rsidRPr="00837161">
        <w:rPr>
          <w:rFonts w:eastAsia="Times New Roman"/>
        </w:rPr>
        <w:t xml:space="preserve"> </w:t>
      </w:r>
      <w:r w:rsidR="00E20CFD" w:rsidRPr="00837161">
        <w:rPr>
          <w:rFonts w:eastAsia="Times New Roman"/>
        </w:rPr>
        <w:fldChar w:fldCharType="begin"/>
      </w:r>
      <w:r w:rsidR="00E25D54">
        <w:rPr>
          <w:rFonts w:eastAsia="Times New Roman"/>
        </w:rPr>
        <w:instrText xml:space="preserve"> ADDIN ZOTERO_ITEM CSL_CITATION {"citationID":"P5xgT6fR","properties":{"formattedCitation":"(Mwangi &amp; Swallow, 2005)","plainCitation":"(Mwangi &amp; Swallow, 2005)","dontUpdate":true,"noteIndex":0},"citationItems":[{"id":31022,"uris":["http://zotero.org/groups/2352922/items/M8R5UZ7G"],"itemData":{"id":31022,"type":"document","publisher":"ICRAF Working Paper – no. 3. Nairobi: World Agroforestry Centre","title":"Invasion of &lt;i&gt;Prosopis juliflora&lt;/i&gt; and local livelihoods: Case study from the lake Baringo area of Kenya","URL":"http://apps.worldagroforestry.org/downloads/Publications/PDFS/WP13657.pdf","author":[{"family":"Mwangi","given":"Esther"},{"family":"Swallow","given":"Brent"}],"accessed":{"date-parts":[["2021",11,1]]},"issued":{"date-parts":[["2005",6]]}},"label":"page"}],"schema":"https://github.com/citation-style-language/schema/raw/master/csl-citation.json"} </w:instrText>
      </w:r>
      <w:r w:rsidR="00E20CFD" w:rsidRPr="00837161">
        <w:rPr>
          <w:rFonts w:eastAsia="Times New Roman"/>
        </w:rPr>
        <w:fldChar w:fldCharType="separate"/>
      </w:r>
      <w:r w:rsidR="003B654B" w:rsidRPr="00837161">
        <w:t>Mwangi &amp; Swallow, 2005)</w:t>
      </w:r>
      <w:r w:rsidR="00E20CFD" w:rsidRPr="00837161">
        <w:rPr>
          <w:rFonts w:eastAsia="Times New Roman"/>
        </w:rPr>
        <w:fldChar w:fldCharType="end"/>
      </w:r>
      <w:r w:rsidR="0CFABD96" w:rsidRPr="00837161">
        <w:rPr>
          <w:rFonts w:eastAsia="Times New Roman"/>
        </w:rPr>
        <w:t xml:space="preserve">. </w:t>
      </w:r>
    </w:p>
    <w:p w14:paraId="6357C721" w14:textId="75C38E13" w:rsidR="001B0409" w:rsidRPr="00837161" w:rsidRDefault="001B0409" w:rsidP="00C11DFA">
      <w:pPr>
        <w:spacing w:before="240" w:after="120" w:line="240" w:lineRule="auto"/>
      </w:pPr>
      <w:r w:rsidRPr="00837161">
        <w:t xml:space="preserve">Standardized frameworks </w:t>
      </w:r>
      <w:r w:rsidR="00965184" w:rsidRPr="00837161">
        <w:t>can</w:t>
      </w:r>
      <w:r w:rsidRPr="00837161">
        <w:t xml:space="preserve"> support stakeholder community engagement, but still need </w:t>
      </w:r>
      <w:r w:rsidR="0022110C" w:rsidRPr="00837161">
        <w:t>improvement</w:t>
      </w:r>
      <w:r w:rsidRPr="00837161">
        <w:t xml:space="preserve"> </w:t>
      </w:r>
      <w:r w:rsidRPr="00837161">
        <w:fldChar w:fldCharType="begin"/>
      </w:r>
      <w:r w:rsidR="000F35EB">
        <w:instrText xml:space="preserve"> ADDIN ZOTERO_ITEM CSL_CITATION {"citationID":"6N2SuwKA","properties":{"formattedCitation":"(Novoa et al., 2018; R. T. Shackleton, Larson, et al., 2019)","plainCitation":"(Novoa et al., 2018; R. T. Shackleton, Larson, et al., 2019)","noteIndex":0},"citationItems":[{"id":22772,"uris":["http://zotero.org/groups/2352922/items/AQZERH3B"],"itemData":{"id":22772,"type":"article-journal","abstract":"Alien species can have major ecological and socioeconomic impacts in their novel ranges and so effective management actions are needed. However, management can be contentious and create conﬂicts, especially when stakeholders who beneﬁt from alien species are different from those who incur costs. Such conﬂicts of interests mean that management strategies can often not be implemented. There is, therefore, increasing interest in engaging stakeholders affected by alien species or by their management. Through a facilitated workshop and consultation process including academics and managers working on a variety of organisms and in different areas (urban and rural) and ecosystems (terrestrial and aquatic), we developed a framework for engaging stakeholders in the management of alien species. The proposed framework for stakeholder engagement consists of 12 steps: (1) identify stakeholders; (2) select key stakeholders for engagement; (3) explore key stakeholders' perceptions and develop initial aims for management; (4) engage key stakeholders in the development of a draft management strategy; (5) reexplore key stakeholders' perceptions and revise the aims of the strategy; (6) co-design general aims, management objectives and time frames with key stakeholders; (7) co-design a management strategy; (8) facilitate stakeholders' ownership of the strategy and adapt as required; and (9) implement the strategy and monitor management actions to evaluate the need for additional or future actions. In case additional management is needed after these actions take place, some extra steps should be taken: (10) identify any new stakeholders, beneﬁts, and costs; (11) monitor engagement; and (12) revise management strategy. Overall, we believe that our framework provides an effective approach to minimize the impact of conﬂicts created by alien species management.","container-title":"Journal of Environmental Management","DOI":"10.1016/j.jenvman.2017.09.059","ISSN":"03014797","journalAbbreviation":"Journal of Environmental Management","language":"en","page":"286-297","source":"DOI.org (Crossref)","title":"A framework for engaging stakeholders on the management of alien species","URL":"https://linkinghub.elsevier.com/retrieve/pii/S0301479717309283","volume":"205","author":[{"family":"Novoa","given":"Ana"},{"family":"Shackleton","given":"Ross"},{"family":"Canavan","given":"Susan"},{"family":"Cybèle","given":"Cathleen"},{"family":"Davies","given":"Sarah J."},{"family":"Dehnen-Schmutz","given":"Katharina"},{"family":"Fried","given":"Jana"},{"family":"Gaertner","given":"Mirijam"},{"family":"Geerts","given":"Sjirk"},{"family":"Griffiths","given":"Charles L."},{"family":"Kaplan","given":"Haylee"},{"family":"Kumschick","given":"Sabrina"},{"family":"Le Maitre","given":"David C."},{"family":"Measey","given":"G. John"},{"family":"Nunes","given":"Ana L."},{"family":"Richardson","given":"David M."},{"family":"Robinson","given":"Tamara B."},{"family":"Touza","given":"Julia"},{"family":"Wilson","given":"John R.U."}],"accessed":{"date-parts":[["2019",11,6]]},"issued":{"date-parts":[["2018",1]]}},"label":"page"},{"id":56686,"uris":["http://zotero.org/groups/2352922/items/LN5TJKE6","http://zotero.org/groups/2352922/items/E3NGYTY4"],"itemData":{"id":56686,"type":"article-journal","container-title":"Journal of Environmental Management","DOI":"10.1016/j.jenvman.2018.08.041","ISSN":"03014797","journalAbbreviation":"Journal of Environmental Management","language":"en","page":"1-9","source":"DOI.org (Crossref)","title":"The human and social dimensions of invasion science and management","URL":"https://linkinghub.elsevier.com/retrieve/pii/S0301479718309125","volume":"229","author":[{"family":"Shackleton","given":"Ross T."},{"family":"Larson","given":"Brendon M.H."},{"family":"Novoa","given":"Ana"},{"family":"Richardson","given":"David M."},{"family":"Kull","given":"Christian A."}],"accessed":{"date-parts":[["2023",6,8]]},"issued":{"date-parts":[["2019",1]]}},"label":"page"}],"schema":"https://github.com/citation-style-language/schema/raw/master/csl-citation.json"} </w:instrText>
      </w:r>
      <w:r w:rsidRPr="00837161">
        <w:fldChar w:fldCharType="separate"/>
      </w:r>
      <w:r w:rsidR="00271B78" w:rsidRPr="00271B78">
        <w:t>(Novoa et al., 2018; R. T. Shackleton, Larson, et al., 2019)</w:t>
      </w:r>
      <w:r w:rsidRPr="00837161">
        <w:fldChar w:fldCharType="end"/>
      </w:r>
      <w:r w:rsidRPr="00837161">
        <w:t xml:space="preserve">. Context-specific frameworks have been developed and analysed </w:t>
      </w:r>
      <w:r w:rsidRPr="00837161">
        <w:fldChar w:fldCharType="begin"/>
      </w:r>
      <w:r w:rsidR="000F35EB">
        <w:instrText xml:space="preserve"> ADDIN ZOTERO_ITEM CSL_CITATION {"citationID":"hljmb5Fa","properties":{"formattedCitation":"(Lansink et al., 2018; McAllister et al., 2015)","plainCitation":"(Lansink et al., 2018; McAllister et al., 2015)","noteIndex":0},"citationItems":[{"id":11227,"uris":["http://zotero.org/groups/2352922/items/VSGNZ7DP"],"itemData":{"id":11227,"type":"article-journal","abstract":"One of the key determinants of success in managing natural resources is “institutional fit,” i.e., how well the suite of required actions collectively match the scale of the environmental problem. The effective management of pest and pathogen threats to plants is a natural resource problem of particular economic, social, and environmental importance. Responses to incursions are managed by a network of decision makers and managers acting at different spatial and temporal scales. We applied novel network theoretical methods to assess the propensity of growers, local industry, local state government, and state and national government head offices to foster either within- or across-scale coordination during the successful 2001 Australian response to the outbreak of the fungal pathogen black sigatoka (Mycosphaerella fijiensis). We also reconstructed the response network to proxy what that network would look like today under the Australian government’s revised response system. We illustrate a structural move in the plant biosecurity response system from one that was locally driven to the current top-down system, in which the national government leads coordination of a highly partitioned engagement process. For biological incursions that spread widely across regions, nationally rather than locally managed responses may improve coordination of diverse tasks. However, in dealing with such challenges of institutional fit, local engagement will always be critical in deploying flexible and adaptive local responses based on a national system. The methods we propose detect where and how network structures foster cross-scale interactions, which will contribute to stronger empirical studies of cross-scale environmental governance.","container-title":"Ecology and Society","DOI":"10.5751/ES-07469-200167","ISSN":"1708-3087","issue":"1","journalAbbreviation":"E&amp;S","language":"en","page":"67","source":"DOI.org (Crossref)","title":"From local to central: a network analysis of who manages plant pest and disease outbreaks across scales","title-short":"From local to central","URL":"http://www.ecologyandsociety.org/vol20/iss1/art67/","volume":"20","author":[{"family":"McAllister","given":"Ryan R. J."},{"family":"Robinson","given":"Catherine J."},{"family":"Maclean","given":"Kirsten"},{"family":"Guerrero","given":"Angela M."},{"family":"Collins","given":"Kerry"},{"family":"Taylor","given":"Bruce M."},{"family":"De Barro","given":"Paul J."}],"accessed":{"date-parts":[["2019",11,9]]},"issued":{"date-parts":[["2015"]]}},"label":"page"},{"id":53409,"uris":["http://zotero.org/groups/2352922/items/XS3NCSK5"],"itemData":{"id":53409,"type":"article-journal","abstract":"Invasive species such as Ambrosia (an annual weed) pose a biosecurity risk whose management depends on the knowledge, attitudes and practices of many stakeholders. It can therefore be considered a complex policy and risk governance problem. Complex policy problems are characterised by high uncertainty, multiple dimensions, interactions across different spatial and policy levels, and the involvement of a multitude of actors and organisations. This paper provides a conceptual framework for analysing the multi-level and multi-actor dimensions of Ambrosia management. Potential and existing public, private and public–private management strategies are identified to address the interests and needs of different actor groups across different levels. We conclude that policies that promote a mix of public and private Ambrosia management strategies may respond better to the needs and interests of different actor groups across different levels than a one-size-fits-all approach. However, multiple policy strategies need to be aligned in order to lead to synergies and spreading coherent messages to the public. Collaboration may enhance the likelihood of biosecurity management and risk governance of Ambrosia being adequately implemented and enforced.","container-title":"Journal of Risk Research","DOI":"10.1080/13669877.2016.1247376","ISSN":"1366-9877","issue":"6","journalAbbreviation":"Journal of Risk Research","language":"en","page":"780-799","title":"A multi-level and multi-actor approach to risk governance: a conceptual framework to support policy development for Ambrosia weed control","URL":"https://doi.org/10.1080/13669877.2016.1247376","volume":"21","author":[{"family":"Lansink","given":"Alfons Oude"},{"family":"Schut","given":"Marc"},{"family":"Kamanda","given":"Josey"},{"family":"Klerkx","given":"Laurens"}],"issued":{"date-parts":[["2018"]]}},"label":"page"}],"schema":"https://github.com/citation-style-language/schema/raw/master/csl-citation.json"} </w:instrText>
      </w:r>
      <w:r w:rsidRPr="00837161">
        <w:fldChar w:fldCharType="separate"/>
      </w:r>
      <w:r w:rsidR="00271B78" w:rsidRPr="00271B78">
        <w:t>(Lansink et al., 2018; McAllister et al., 2015)</w:t>
      </w:r>
      <w:r w:rsidRPr="00837161">
        <w:fldChar w:fldCharType="end"/>
      </w:r>
      <w:r w:rsidRPr="00837161">
        <w:t xml:space="preserve">. There are a number of approaches that have been developed and applied to </w:t>
      </w:r>
      <w:r w:rsidR="00B05859">
        <w:t xml:space="preserve">management of biological invasions </w:t>
      </w:r>
      <w:r w:rsidRPr="00837161">
        <w:t xml:space="preserve">which also support effective </w:t>
      </w:r>
      <w:r w:rsidR="005B7C20" w:rsidRPr="00837161">
        <w:t>decision-making</w:t>
      </w:r>
      <w:r w:rsidRPr="00837161">
        <w:t xml:space="preserve"> across multiple management options </w:t>
      </w:r>
      <w:r w:rsidRPr="00837161">
        <w:fldChar w:fldCharType="begin"/>
      </w:r>
      <w:r w:rsidR="00E25D54">
        <w:instrText xml:space="preserve"> ADDIN ZOTERO_ITEM CSL_CITATION {"citationID":"9yfdh9et","properties":{"unsorted":true,"formattedCitation":"(Firn et al., 2015; Carwardine et al., 2019)","plainCitation":"(Firn et al., 2015; Carwardine et al., 2019)","noteIndex":0},"citationItems":[{"id":16479,"uris":["http://zotero.org/groups/2352922/items/7WINFHG7"],"itemData":{"id":16479,"type":"article-journal","abstract":"Invasive non-native plants have negatively impacted on biodiversity and ecosystem functions world-wide. Because of the large number of species, their wide distributions and varying degrees of impact, we need a more effective method for prioritizing control strategies for cost-effective investment across heterogeneous landscapes. Here, we develop a prioritization framework that synthesizes scientific data, elicits knowledge from experts and stakeholders to identify control strategies, and appraises the cost-effectiveness of strategies. Our objective was to identify the most cost-effective strategies for reducing the total area dominated by high-impact non-native plants in the Lake Eyre Basin (LEB). We use a case study of the 120 million ha Lake Eyre Basin that comprises some of the most distinctive Australian landscapes, including Uluru-Kata Tjuta National Park. More than 240 non-native plant species are recorded in the Lake Eyre Basin, with many predicted to spread, but there are insufficient resources to control all species. Lake Eyre Basin experts identified 12 strategies to control, contain or eradicate non-native species over the next 50 years. The total cost of the proposed Lake Eyre Basin strategies was estimated at AU$1·7 billion, an average of AU$34 million annually. Implementation of these strategies is estimated to reduce non-native plant dominance by 17 million ha - there would be a 32% reduction in the likely area dominated by non-native plants within 50 years if these strategies were implemented. The three most cost-effective strategies were controlling Parkinsonia aculeata, Ziziphus mauritiana and Prosopis spp. These three strategies combined were estimated to cost only 0·01% of total cost of all the strategies, but would provide 20% of the total benefits. Over 50 years, cost-effective spending of AU$2·3 million could eradicate all non-native plant species from the only threatened ecological community within the Lake Eyre Basin, the Great Artesian Basin discharge springs. Synthesis and applications. Our framework, based on a case study of the 120 million ha Lake Eyre Basin in Australia, provides a rationale for financially efficient investment in non-native plant management and reveals combinations of strategies that are optimal for different budgets. It also highlights knowledge gaps and incidental findings that could improve effective management of non-native plants, for example addressing the reliability of species distribution data and prevalence of information sharing across states and regions. Our framework, based on a case study of the 120 million ha Lake Eyre Basin in Australia, provides a rationale for financially efficient investment in non-native plant management and reveals combinations of strategies that are optimal for different budgets. It also highlights knowledge gaps and incidental findings that could improve effective management of non-native plants, for example addressing the reliability of species distribution data and prevalence of information sharing across states and regions. © 2015 British Ecological Society.","container-title":"Journal of Applied Ecology","DOI":"10.1111/1365-2664.12500","issue":"5","page":"1135-1144","title":"Priority threat management of non-native plants to maintain ecosystem integrity across heterogeneous landscapes","URL":"https://www.scopus.com/inward/record.uri?eid=2-s2.0-84941191090&amp;doi=10.1111%2f1365-2664.12500&amp;partnerID=40&amp;md5=2535be9e5c2525cb33cab74ffd793d48","volume":"52","author":[{"family":"Firn","given":"Jennifer"},{"family":"Martin","given":"T.G."},{"family":"Chadès","given":"I."},{"family":"Walters","given":"B."},{"family":"Hayes","given":"J."},{"family":"Nicol","given":"S."},{"family":"Carwardine","given":"J."}],"issued":{"date-parts":[["2015"]]}},"label":"page"},{"id":22679,"uris":["http://zotero.org/groups/2352922/items/INSGQ2NW"],"itemData":{"id":22679,"type":"article-journal","abstract":"Threats to biodiversity and the integrity of ecological systems are escalating globally, both within and outside of protected areas. Decision makers have inadequate resources to manage all threats and typically lack information on the likely outcomes and cost-effectiveness of possible management strategies. Priority Threat Management (PTM) is an emerging approach designed to address this challenge, by defining and appraising cost-effective strategies for mitigating threats to biodiversity across regions. The scientific and practical impacts of PTM are increasing, with a growing number of case study applications across the globe. Here, we provide guidance and resource material for conducting the PTM process based on our experience delivering six large-scale projects across Australia and Canada. Our handbook describes the four stages of PTM: scoping and planning; defining and collecting key elements; analysing the cost-effectiveness of strategies; and communicating and integrating recommendations. We summarise critical tips, strengths, and limitations and scope for possible enhancements of the approach. Priority Threat Management harnesses scientific and expert-derived information to prioritise management strategies based on their benefit to biodiversity, management costs and feasibility. The approach involves collaboration with key experts and stakeholders in a region to improve knowledge sharing and conservation support. The PTM approach identifies sets of regional level strategies that together provide the greatest benefits for multiple species under a limited budget, which can be used to inform existing processes for decision-making. The PTM approach applies some generalisations in management strategies and resolution, in order to address complex challenges. Further developments of the approach include testing in a greater range of socioecological systems with adaptations that cater for multiobjective decisions. Synthesis and applications. Priority Threat Management is a decision science approach that brings people together to define and prioritise strategies for managing threats to biodiversity across broad regions. It delivers a prospectus for investment in the biodiversity of a region that is transparent, repeatable, participatory, and based on the best available information. Our handbook provides the necessary guidance and resources for expanding the Priority Threat Management approach to new locations, contexts, and challenges.","container-title":"Journal of Applied Ecology","DOI":"10.1111/1365-2664.13268","ISSN":"1365-2664","issue":"2","language":"en","note":"_eprint: https://besjournals.onlinelibrary.wiley.com/doi/pdf/10.1111/1365-2664.13268","page":"481-490","source":"Wiley Online Library","title":"Priority Threat Management for biodiversity conservation: A handbook","title-short":"Priority Threat Management for biodiversity conservation","URL":"https://besjournals.onlinelibrary.wiley.com/doi/abs/10.1111/1365-2664.13268","volume":"56","author":[{"family":"Carwardine","given":"Josie"},{"family":"Martin","given":"Tara G."},{"family":"Firn","given":"Jennifer"},{"family":"Reyes","given":"Rocio Ponce"},{"family":"Nicol","given":"Sam"},{"family":"Reeson","given":"Andrew"},{"family":"Grantham","given":"Hedley S."},{"family":"Stratford","given":"Danial"},{"family":"Kehoe","given":"Laura"},{"family":"Chadès","given":"Iadine"}],"accessed":{"date-parts":[["2020",6,12]]},"issued":{"date-parts":[["2019"]]}},"label":"page"}],"schema":"https://github.com/citation-style-language/schema/raw/master/csl-citation.json"} </w:instrText>
      </w:r>
      <w:r w:rsidRPr="00837161">
        <w:fldChar w:fldCharType="separate"/>
      </w:r>
      <w:r w:rsidR="00271B78" w:rsidRPr="00271B78">
        <w:t xml:space="preserve">(Firn </w:t>
      </w:r>
      <w:r w:rsidR="00271B78" w:rsidRPr="00271B78">
        <w:lastRenderedPageBreak/>
        <w:t>et al., 2015; Carwardine et al., 2019)</w:t>
      </w:r>
      <w:r w:rsidRPr="00837161">
        <w:fldChar w:fldCharType="end"/>
      </w:r>
      <w:r w:rsidRPr="00837161">
        <w:t xml:space="preserve">. Shackleton et al. </w:t>
      </w:r>
      <w:r w:rsidRPr="00837161">
        <w:rPr>
          <w:color w:val="FF0000"/>
        </w:rPr>
        <w:fldChar w:fldCharType="begin"/>
      </w:r>
      <w:r w:rsidR="000F35EB">
        <w:rPr>
          <w:color w:val="FF0000"/>
        </w:rPr>
        <w:instrText xml:space="preserve"> ADDIN ZOTERO_ITEM CSL_CITATION {"citationID":"AmVs6B8o","properties":{"formattedCitation":"(2019)","plainCitation":"(2019)","noteIndex":0},"citationItems":[{"id":29948,"uris":["http://zotero.org/groups/2352922/items/AVRETIRN"],"itemData":{"id":29948,"type":"article-journal","container-title":"Journal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M."}],"accessed":{"date-parts":[["2021",8,16]]},"issued":{"date-parts":[["2019",1]]}},"label":"page","suppress-author":true}],"schema":"https://github.com/citation-style-language/schema/raw/master/csl-citation.json"} </w:instrText>
      </w:r>
      <w:r w:rsidRPr="00837161">
        <w:rPr>
          <w:color w:val="FF0000"/>
        </w:rPr>
        <w:fldChar w:fldCharType="separate"/>
      </w:r>
      <w:r w:rsidR="00271B78" w:rsidRPr="00271B78">
        <w:t>(2019)</w:t>
      </w:r>
      <w:r w:rsidRPr="00837161">
        <w:rPr>
          <w:color w:val="FF0000"/>
        </w:rPr>
        <w:fldChar w:fldCharType="end"/>
      </w:r>
      <w:r w:rsidRPr="00837161">
        <w:t xml:space="preserve"> argue that “</w:t>
      </w:r>
      <w:r w:rsidR="00A72DA5" w:rsidRPr="00837161">
        <w:t xml:space="preserve">to make stakeholder </w:t>
      </w:r>
      <w:r w:rsidRPr="00837161">
        <w:t>involvement more useful, we encourage more integrative an</w:t>
      </w:r>
      <w:r w:rsidR="00A72DA5" w:rsidRPr="00837161">
        <w:t xml:space="preserve">d collaborative engagement </w:t>
      </w:r>
      <w:r w:rsidR="00493A64" w:rsidRPr="00837161">
        <w:t xml:space="preserve">to (1) </w:t>
      </w:r>
      <w:r w:rsidRPr="00837161">
        <w:t xml:space="preserve">improve co-design, co-creation and co-implementation of research and management actions; </w:t>
      </w:r>
      <w:r w:rsidR="00493A64" w:rsidRPr="00837161">
        <w:t xml:space="preserve">(2) </w:t>
      </w:r>
      <w:r w:rsidRPr="00837161">
        <w:t xml:space="preserve">promote social learning and provide feedback to stakeholders; </w:t>
      </w:r>
      <w:r w:rsidR="00493A64" w:rsidRPr="00837161">
        <w:t xml:space="preserve">(3) </w:t>
      </w:r>
      <w:r w:rsidRPr="00837161">
        <w:t xml:space="preserve">enhance collaboration and partnerships beyond the natural sciences and academia (interdisciplinary and transdisciplinary collaboration); and </w:t>
      </w:r>
      <w:r w:rsidR="00493A64" w:rsidRPr="00837161">
        <w:t xml:space="preserve">(4) </w:t>
      </w:r>
      <w:r w:rsidRPr="00837161">
        <w:t xml:space="preserve">discuss some practical and policy suggestions for improving stakeholder engagement in </w:t>
      </w:r>
      <w:r w:rsidR="00700598" w:rsidRPr="00837161">
        <w:t xml:space="preserve">[biological] </w:t>
      </w:r>
      <w:r w:rsidRPr="00837161">
        <w:t xml:space="preserve">invasion science research and management”. </w:t>
      </w:r>
    </w:p>
    <w:p w14:paraId="000000DA" w14:textId="77777777" w:rsidR="00A758FD" w:rsidRPr="00B05859" w:rsidRDefault="00C81287" w:rsidP="002F2F42">
      <w:pPr>
        <w:pStyle w:val="Heading2"/>
      </w:pPr>
      <w:bookmarkStart w:id="60" w:name="_Toc146810105"/>
      <w:bookmarkStart w:id="61" w:name="_Toc69313956"/>
      <w:bookmarkStart w:id="62" w:name="_Toc87623128"/>
      <w:bookmarkStart w:id="63" w:name="_Toc131681630"/>
      <w:bookmarkStart w:id="64" w:name="_Toc149555470"/>
      <w:r w:rsidRPr="00B05859">
        <w:t>Evidence based decision-making framework vs. ad hoc decision-making</w:t>
      </w:r>
      <w:bookmarkEnd w:id="49"/>
      <w:bookmarkEnd w:id="60"/>
      <w:bookmarkEnd w:id="61"/>
      <w:bookmarkEnd w:id="62"/>
      <w:bookmarkEnd w:id="63"/>
      <w:bookmarkEnd w:id="64"/>
    </w:p>
    <w:p w14:paraId="000000DB" w14:textId="3AAB0527" w:rsidR="00A758FD" w:rsidRPr="00B05859" w:rsidRDefault="00C81287">
      <w:pPr>
        <w:spacing w:before="240" w:after="120" w:line="240" w:lineRule="auto"/>
      </w:pPr>
      <w:r w:rsidRPr="00B05859">
        <w:t xml:space="preserve">How decision-making is undertaken with regards to what, where and how to manage </w:t>
      </w:r>
      <w:r w:rsidR="4F7A5A73">
        <w:t>biological invasions</w:t>
      </w:r>
      <w:r w:rsidR="4F7A5A73" w:rsidRPr="00C0338D">
        <w:t xml:space="preserve"> </w:t>
      </w:r>
      <w:r w:rsidRPr="00C0338D">
        <w:t>is rarely explicitly stated in most management contexts. Many management action decisions are done in an ad hoc way as a flexible emergency response to new incursions, a belated observed impact, or as a political</w:t>
      </w:r>
      <w:r w:rsidRPr="00B05859">
        <w:t xml:space="preserve"> imperative </w:t>
      </w:r>
      <w:r w:rsidR="001B0409" w:rsidRPr="00837161">
        <w:rPr>
          <w:color w:val="000000" w:themeColor="text1"/>
        </w:rPr>
        <w:fldChar w:fldCharType="begin"/>
      </w:r>
      <w:r w:rsidR="000F35EB">
        <w:rPr>
          <w:color w:val="000000" w:themeColor="text1"/>
        </w:rPr>
        <w:instrText xml:space="preserve"> ADDIN ZOTERO_ITEM CSL_CITATION {"citationID":"oOZ7rmX5","properties":{"formattedCitation":"(Sheail, 2003)","plainCitation":"(Sheail, 2003)","noteIndex":0},"citationItems":[{"id":24235,"uris":["http://zotero.org/groups/2352922/items/YMY29A8U"],"itemData":{"id":24235,"type":"article-journal","container-title":"Landscape Research","DOI":"10.1080/01426390306528","ISSN":"0142-6397, 1469-9710","issue":"1","journalAbbreviation":"Landscape Research","language":"en","page":"101-111","source":"DOI.org (Crossref)","title":"Government and the Management of an Alien Pest Species: A British perspective","title-short":"Government and the Management of an Alien Pest Species","URL":"http://www.tandfonline.com/doi/abs/10.1080/01426390306528","volume":"28","author":[{"family":"Sheail","given":"John"}],"accessed":{"date-parts":[["2020",12,1]]},"issued":{"date-parts":[["2003",1]]}},"label":"page"}],"schema":"https://github.com/citation-style-language/schema/raw/master/csl-citation.json"} </w:instrText>
      </w:r>
      <w:r w:rsidR="001B0409" w:rsidRPr="00837161">
        <w:rPr>
          <w:color w:val="000000" w:themeColor="text1"/>
        </w:rPr>
        <w:fldChar w:fldCharType="separate"/>
      </w:r>
      <w:r w:rsidR="00271B78" w:rsidRPr="00271B78">
        <w:t>(Sheail, 2003)</w:t>
      </w:r>
      <w:r w:rsidR="001B0409" w:rsidRPr="00837161">
        <w:rPr>
          <w:color w:val="000000" w:themeColor="text1"/>
        </w:rPr>
        <w:fldChar w:fldCharType="end"/>
      </w:r>
      <w:r w:rsidR="001B0409" w:rsidRPr="00837161">
        <w:rPr>
          <w:color w:val="000000" w:themeColor="text1"/>
        </w:rPr>
        <w:t>.</w:t>
      </w:r>
      <w:r w:rsidRPr="00B05859">
        <w:rPr>
          <w:color w:val="000000" w:themeColor="text1"/>
        </w:rPr>
        <w:t xml:space="preserve"> Often decisions on actions need to be </w:t>
      </w:r>
      <w:r w:rsidRPr="00B05859">
        <w:t xml:space="preserve">made under a degree of uncertainty, such as when containing new incursion to avoid spread. Sometimes the science lags behind the operational tools required. </w:t>
      </w:r>
      <w:r w:rsidRPr="00B05859">
        <w:rPr>
          <w:color w:val="000000" w:themeColor="text1"/>
        </w:rPr>
        <w:t>Less often</w:t>
      </w:r>
      <w:r w:rsidRPr="00B05859">
        <w:t xml:space="preserve"> is there a formal community or government framework in place for decision-making. </w:t>
      </w:r>
    </w:p>
    <w:p w14:paraId="000000DC" w14:textId="52DBD1CF" w:rsidR="00A758FD" w:rsidRPr="00B05859" w:rsidRDefault="00C81287">
      <w:pPr>
        <w:spacing w:before="240" w:after="120" w:line="240" w:lineRule="auto"/>
      </w:pPr>
      <w:r w:rsidRPr="00B05859">
        <w:t xml:space="preserve">Preparedness is improved through adopting a systems-based adaptive management approach allowing learning to lead to improvements. Explicitly addressing the rationale behind decision-making allows for transparency, repeatability, learning as well as endorsement and support for the actions resulting from the decision-making process </w:t>
      </w:r>
      <w:r w:rsidR="7BED4A64" w:rsidRPr="00837161">
        <w:rPr>
          <w:rFonts w:eastAsia="Calibri"/>
        </w:rPr>
        <w:fldChar w:fldCharType="begin"/>
      </w:r>
      <w:r w:rsidR="000F35EB">
        <w:rPr>
          <w:rFonts w:eastAsia="Calibri"/>
        </w:rPr>
        <w:instrText xml:space="preserve"> ADDIN ZOTERO_ITEM CSL_CITATION {"citationID":"UlB8N11t","properties":{"formattedCitation":"(De Fine Licht, 2014; Est\\uc0\\u233{}vez et al., 2013; Moon et al., 2015, 2017; Vanderhoeven et al., 2017)","plainCitation":"(De Fine Licht, 2014; Estévez et al., 2013; Moon et al., 2015, 2017; Vanderhoeven et al., 2017)","noteIndex":0},"citationItems":[{"id":24233,"uris":["http://zotero.org/groups/2352922/items/H3LC479H"],"itemData":{"id":24233,"type":"article-journal","abstract":"Building on a widely held account of transparency as integral to legitimate and successful governance, this article addresses the question of how transparency in decision-making can influence public perceptions of political decision-making. An original experiment with 1099 participants shows that people who perceive political decision-making to be transparent judge the degree of procedural fairness highly and are more willing to accept the final decision. Perceptions of transparency are, however, largely shaped by transparency cues (e.g. statements provided by external sources) rather than by the degree of actual transparency, and no direct effect of actual transparency can be found on decision acceptance. The implication is that it is difficult to influence people's acceptance of political decisions by means of transparency reforms, as people base their assessments of political decisions largely on considerations other than evalutations of actual decision-making procedures.","container-title":"European Political Science Review","DOI":"10.1017/S1755773913000131","ISSN":"1755-7739, 1755-7747","issue":"2","journalAbbreviation":"Eur. Pol. Sci. Rev.","language":"en","page":"309-330","source":"DOI.org (Crossref)","title":"Transparency actually: how transparency affects public perceptions of political decision-making","title-short":"Transparency actually","URL":"https://www.cambridge.org/core/product/identifier/S1755773913000131/type/journal_article","volume":"6","author":[{"family":"De Fine Licht","given":"Jenny"}],"accessed":{"date-parts":[["2020",12,3]]},"issued":{"date-parts":[["2014",5]]}},"label":"page"},{"id":21541,"uris":["http://zotero.org/groups/2352922/items/XFG337CM"],"itemData":{"id":21541,"type":"article-journal","container-title":"Diversity and Distributions","DOI":"10.1111/ddi.12058","ISSN":"13669516","issue":"5-6","journalAbbreviation":"Diversity Distrib.","language":"en","page":"608-616","source":"DOI.org (Crossref)","title":"Capturing social impacts for decision-making: a Multicriteria Decision Analysis perspective","title-short":"Capturing social impacts for decision-making","URL":"http://doi.wiley.com/10.1111/ddi.12058","volume":"19","author":[{"family":"Estévez","given":"Rodrigo A."},{"family":"Walshe","given":"Terry"},{"family":"Burgman","given":"Mark A."}],"editor":[{"family":"Yemshanov","given":"Denys"}],"accessed":{"date-parts":[["2020",4,3]]},"issued":{"date-parts":[["2013",5]]}},"label":"page"},{"id":11438,"uris":["http://zotero.org/groups/2352922/items/P5EALT95"],"itemData":{"id":11438,"type":"article-journal","container-title":"Biological Invasions","DOI":"10.1007/s10530-015-0904-5","ISSN":"1387-3547, 1573-1464","issue":"9","journalAbbreviation":"Biol Invasions","language":"en","page":"2675-2689","source":"DOI.org (Crossref)","title":"Understanding and integrating knowledge to improve invasive species management","URL":"http://link.springer.com/10.1007/s10530-015-0904-5","volume":"17","author":[{"family":"Moon","given":"Katie"},{"family":"Blackman","given":"Deborah A."},{"family":"Brewer","given":"Tom D."}],"accessed":{"date-parts":[["2019",9,11]]},"issued":{"date-parts":[["2015",9]]}},"label":"page"},{"id":11270,"uris":["http://zotero.org/groups/2352922/items/M4V4ZWXW"],"itemData":{"id":11270,"type":"article-journal","container-title":"Biological Invasions","DOI":"10.1007/s10530-016-1351-7","ISSN":"1387-3547, 1573-1464","issue":"3","journalAbbreviation":"Biol Invasions","language":"en","page":"785-797","source":"DOI.org (Crossref)","title":"Environmental governance for urgent and uncertain problems","URL":"http://link.springer.com/10.1007/s10530-016-1351-7","volume":"19","author":[{"family":"Moon","given":"Katie"},{"family":"Blackman","given":"Deborah"},{"family":"Brewer","given":"Tom D."},{"family":"Sarre","given":"Stephen D."}],"accessed":{"date-parts":[["2020",12,3]]},"issued":{"date-parts":[["2017",3]]}},"label":"page"},{"id":22747,"uris":["http://zotero.org/groups/2352922/items/EY32RN7C"],"itemData":{"id":22747,"type":"article-journal","abstract":"Risk assessment tools for listing invasive alien species need to incorporate all available evidence and expertise. Beyond the wealth of protocols developed to date, we argue that the current way of performing risk analysis has several shortcomings. In particular, lack of data on ecological impacts, transparency and repeatability of assessments as well as the incorporation of uncertainty should all be explicitly considered. We recommend improved quality control of risk assessments through formalized peer review with clear feedback between assessors and reviewers. Alternatively, a consensus building process can be applied to better capture opinions of different experts, thereby maximizing the evidential basis. Elaborating on manageability of invasive species is further needed to fully answer all risk analysis requirements. Tackling the issue of invasive species urges better handling of the acquired information on risk and the exploration of improved methods for decision making on biodiversity management. This is crucial for efficient conservation resource allocation and uptake by stakeholders and the public. © 2017, The Author(s).","container-title":"Biological Invasions","DOI":"10.1007/s10530-017-1434-0","ISSN":"1573-1464","issue":"9","journalAbbreviation":"Biol Invasions","language":"en","page":"2507-2517","source":"Springer Link","title":"Beyond protocols: improving the reliability of expert-based risk analysis underpinning invasive species policies","title-short":"Beyond protocols","URL":"https://doi.org/10.1007/s10530-017-1434-0","volume":"19","author":[{"family":"Vanderhoeven","given":"Sonia"},{"family":"Branquart","given":"Etienne"},{"family":"Casaer","given":"Jim"},{"family":"D’hondt","given":"Bram"},{"family":"Hulme","given":"Philip E."},{"family":"Shwartz","given":"Assaf"},{"family":"Strubbe","given":"Diederik"},{"family":"Turbé","given":"Anne"},{"family":"Verreycken","given":"Hugo"},{"family":"Adriaens","given":"Tim"}],"accessed":{"date-parts":[["2019",8,12]]},"issued":{"date-parts":[["2017",9,1]]}},"label":"page"}],"schema":"https://github.com/citation-style-language/schema/raw/master/csl-citation.json"} </w:instrText>
      </w:r>
      <w:r w:rsidR="7BED4A64" w:rsidRPr="00837161">
        <w:rPr>
          <w:rFonts w:eastAsia="Calibri"/>
        </w:rPr>
        <w:fldChar w:fldCharType="separate"/>
      </w:r>
      <w:r w:rsidR="00271B78" w:rsidRPr="00271B78">
        <w:t>(De Fine Licht, 2014; Estévez et al., 2013; Moon et al., 2015, 2017; Vanderhoeven et al., 2017)</w:t>
      </w:r>
      <w:r w:rsidR="7BED4A64" w:rsidRPr="00837161">
        <w:rPr>
          <w:rFonts w:eastAsia="Calibri"/>
        </w:rPr>
        <w:fldChar w:fldCharType="end"/>
      </w:r>
      <w:r w:rsidR="30FAA686" w:rsidRPr="00767086">
        <w:rPr>
          <w:rFonts w:eastAsia="Calibri"/>
          <w:lang w:val="es-ES"/>
        </w:rPr>
        <w:t xml:space="preserve">. </w:t>
      </w:r>
      <w:r w:rsidR="30FAA686" w:rsidRPr="00837161">
        <w:rPr>
          <w:rFonts w:eastAsia="Calibri"/>
        </w:rPr>
        <w:t xml:space="preserve">This practice is the basis of some international standards such as the </w:t>
      </w:r>
      <w:r w:rsidR="00EA1A63" w:rsidRPr="00837161">
        <w:rPr>
          <w:rFonts w:eastAsia="Calibri"/>
        </w:rPr>
        <w:t xml:space="preserve">International Standards for Phytosanitary Measures (ISPM) of the </w:t>
      </w:r>
      <w:r w:rsidR="30FAA686" w:rsidRPr="00837161">
        <w:rPr>
          <w:rFonts w:eastAsia="Calibri"/>
        </w:rPr>
        <w:t xml:space="preserve">International Plant Protection Convention </w:t>
      </w:r>
      <w:r w:rsidR="00196544" w:rsidRPr="00837161">
        <w:rPr>
          <w:rFonts w:eastAsia="Calibri"/>
        </w:rPr>
        <w:t>(IPPC</w:t>
      </w:r>
      <w:r w:rsidR="00ED5EBE" w:rsidRPr="00837161">
        <w:rPr>
          <w:rFonts w:eastAsia="Calibri"/>
        </w:rPr>
        <w:t>;</w:t>
      </w:r>
      <w:r w:rsidR="00196544" w:rsidRPr="00837161">
        <w:rPr>
          <w:rFonts w:eastAsia="Calibri"/>
        </w:rPr>
        <w:t xml:space="preserve"> </w:t>
      </w:r>
      <w:r w:rsidR="7BED4A64" w:rsidRPr="00837161">
        <w:rPr>
          <w:rFonts w:eastAsia="Calibri"/>
        </w:rPr>
        <w:fldChar w:fldCharType="begin"/>
      </w:r>
      <w:r w:rsidR="000F35EB">
        <w:rPr>
          <w:rFonts w:eastAsia="Calibri"/>
        </w:rPr>
        <w:instrText xml:space="preserve"> ADDIN ZOTERO_ITEM CSL_CITATION {"citationID":"nzF6eUij","properties":{"formattedCitation":"(IPPC, 2019)","plainCitation":"(IPPC, 2019)","dontUpdate":true,"noteIndex":0},"citationItems":[{"id":32978,"uris":["http://zotero.org/groups/2352922/items/DKAU3SJB"],"itemData":{"id":32978,"type":"report","collection-title":"International standards for phytosanitary measures","number":"ISPM 2","publisher":"Secretariat of the International Plant Protection Convention (IPPC)","title":"Framework for pest risk analysis","URL":"https://www.fao.org/3/k0125e/k0125e.pdf","author":[{"literal":"IPPC"}],"issued":{"date-parts":[["2019"]]}},"label":"page"}],"schema":"https://github.com/citation-style-language/schema/raw/master/csl-citation.json"} </w:instrText>
      </w:r>
      <w:r w:rsidR="7BED4A64" w:rsidRPr="00837161">
        <w:rPr>
          <w:rFonts w:eastAsia="Calibri"/>
        </w:rPr>
        <w:fldChar w:fldCharType="separate"/>
      </w:r>
      <w:r w:rsidR="00995432" w:rsidRPr="00837161">
        <w:t>IPPC, 2019</w:t>
      </w:r>
      <w:r w:rsidR="0071682A">
        <w:t xml:space="preserve">; </w:t>
      </w:r>
      <w:r w:rsidR="0071682A" w:rsidRPr="009A04E6">
        <w:rPr>
          <w:b/>
          <w:bCs/>
        </w:rPr>
        <w:t>Supplementary material 5.8</w:t>
      </w:r>
      <w:r w:rsidR="00995432" w:rsidRPr="0071682A">
        <w:t>)</w:t>
      </w:r>
      <w:r w:rsidR="7BED4A64" w:rsidRPr="00837161">
        <w:rPr>
          <w:rFonts w:eastAsia="Calibri"/>
        </w:rPr>
        <w:fldChar w:fldCharType="end"/>
      </w:r>
      <w:r w:rsidR="30FAA686" w:rsidRPr="00837161">
        <w:rPr>
          <w:rFonts w:eastAsia="Calibri"/>
        </w:rPr>
        <w:t xml:space="preserve"> and World </w:t>
      </w:r>
      <w:r w:rsidR="00FF1A32" w:rsidRPr="00837161">
        <w:rPr>
          <w:rFonts w:eastAsia="Calibri"/>
        </w:rPr>
        <w:t xml:space="preserve">Organisation for </w:t>
      </w:r>
      <w:r w:rsidR="30FAA686" w:rsidRPr="00837161">
        <w:rPr>
          <w:rFonts w:eastAsia="Calibri"/>
        </w:rPr>
        <w:t xml:space="preserve">Animal Health </w:t>
      </w:r>
      <w:r w:rsidR="00A644BA" w:rsidRPr="00837161">
        <w:t xml:space="preserve">(WOAH, founded as OIE) </w:t>
      </w:r>
      <w:r w:rsidR="30FAA686" w:rsidRPr="00837161">
        <w:rPr>
          <w:rFonts w:eastAsia="Calibri"/>
        </w:rPr>
        <w:t xml:space="preserve">standards </w:t>
      </w:r>
      <w:r w:rsidR="7BED4A64" w:rsidRPr="00837161">
        <w:rPr>
          <w:rFonts w:eastAsia="Calibri"/>
        </w:rPr>
        <w:fldChar w:fldCharType="begin"/>
      </w:r>
      <w:r w:rsidR="000F35EB">
        <w:rPr>
          <w:rFonts w:eastAsia="Calibri"/>
        </w:rPr>
        <w:instrText xml:space="preserve"> ADDIN ZOTERO_ITEM CSL_CITATION {"citationID":"rFCOS9Nt","properties":{"formattedCitation":"(World Organisation for Animal Health, 2020)","plainCitation":"(World Organisation for Animal Health, 2020)","noteIndex":0},"citationItems":[{"id":31019,"uris":["http://zotero.org/groups/2352922/items/ZRCZ98T8"],"itemData":{"id":31019,"type":"post-weblog","abstract":"The work of the four OIE’s Specialist Commissions was presented by their respective Presidents. Here are the key outcomes since the last OIE General Session in May 2019.","container-title":"OIE - World Organisation for Animal Health","language":"en-GB","title":"Overview of the activities of the OIE Specialist Commissions","URL":"https://www.oie.int/en/overview-of-the-activities-of-the-oie-specialist-commissions/","author":[{"literal":"World Organisation for Animal Health"}],"accessed":{"date-parts":[["2021",11,1]]},"issued":{"date-parts":[["2020",6,18]]}},"label":"page"}],"schema":"https://github.com/citation-style-language/schema/raw/master/csl-citation.json"} </w:instrText>
      </w:r>
      <w:r w:rsidR="7BED4A64" w:rsidRPr="00837161">
        <w:rPr>
          <w:rFonts w:eastAsia="Calibri"/>
        </w:rPr>
        <w:fldChar w:fldCharType="separate"/>
      </w:r>
      <w:r w:rsidR="00271B78" w:rsidRPr="00271B78">
        <w:t>(World Organisation for Animal Health, 2020)</w:t>
      </w:r>
      <w:r w:rsidR="7BED4A64" w:rsidRPr="00837161">
        <w:rPr>
          <w:rFonts w:eastAsia="Calibri"/>
        </w:rPr>
        <w:fldChar w:fldCharType="end"/>
      </w:r>
      <w:r w:rsidR="252AE19B" w:rsidRPr="00837161">
        <w:rPr>
          <w:rFonts w:eastAsia="Calibri"/>
        </w:rPr>
        <w:t>.</w:t>
      </w:r>
      <w:r w:rsidRPr="00B05859">
        <w:t xml:space="preserve"> </w:t>
      </w:r>
    </w:p>
    <w:p w14:paraId="000000DD" w14:textId="3E0F5F83" w:rsidR="00A758FD" w:rsidRPr="00B05859" w:rsidRDefault="00C81287">
      <w:pPr>
        <w:spacing w:before="240" w:after="120" w:line="240" w:lineRule="auto"/>
      </w:pPr>
      <w:r w:rsidRPr="00B05859">
        <w:t xml:space="preserve">Conceptually, actions are often categorized into three main approaches </w:t>
      </w:r>
      <w:r w:rsidR="001B0409" w:rsidRPr="00837161">
        <w:t>(</w:t>
      </w:r>
      <w:r w:rsidR="00191A6E">
        <w:rPr>
          <w:b/>
          <w:iCs/>
        </w:rPr>
        <w:t>Figure 5.3</w:t>
      </w:r>
      <w:r w:rsidR="001B0409" w:rsidRPr="00837161">
        <w:t>)</w:t>
      </w:r>
      <w:r w:rsidRPr="00B05859">
        <w:t xml:space="preserve"> all of which are underpinned by decision-making to identify and prioritize targets and management actions: </w:t>
      </w:r>
    </w:p>
    <w:p w14:paraId="000000DE" w14:textId="6B5B1544" w:rsidR="00A758FD" w:rsidRPr="00B05859" w:rsidRDefault="00C81287" w:rsidP="00B05859">
      <w:pPr>
        <w:numPr>
          <w:ilvl w:val="0"/>
          <w:numId w:val="7"/>
        </w:numPr>
        <w:pBdr>
          <w:top w:val="nil"/>
          <w:left w:val="nil"/>
          <w:bottom w:val="nil"/>
          <w:right w:val="nil"/>
          <w:between w:val="nil"/>
        </w:pBdr>
        <w:spacing w:before="240" w:line="240" w:lineRule="auto"/>
        <w:rPr>
          <w:color w:val="000000"/>
        </w:rPr>
      </w:pPr>
      <w:r w:rsidRPr="00B05859">
        <w:rPr>
          <w:color w:val="000000" w:themeColor="text1"/>
        </w:rPr>
        <w:t xml:space="preserve">Focusing on the </w:t>
      </w:r>
      <w:r w:rsidRPr="00B05859">
        <w:rPr>
          <w:color w:val="000000" w:themeColor="text1"/>
          <w:u w:val="single"/>
        </w:rPr>
        <w:t>pathways</w:t>
      </w:r>
      <w:r w:rsidRPr="00B05859">
        <w:rPr>
          <w:color w:val="000000" w:themeColor="text1"/>
        </w:rPr>
        <w:t xml:space="preserve"> of introduction of alien/invasive</w:t>
      </w:r>
      <w:r w:rsidRPr="40428A01">
        <w:rPr>
          <w:rFonts w:eastAsia="Times New Roman"/>
          <w:color w:val="000000" w:themeColor="text1"/>
        </w:rPr>
        <w:t xml:space="preserve"> </w:t>
      </w:r>
      <w:r w:rsidR="63EAD3F9" w:rsidRPr="40428A01">
        <w:rPr>
          <w:rFonts w:eastAsia="Times New Roman"/>
          <w:color w:val="000000" w:themeColor="text1"/>
        </w:rPr>
        <w:t>alien</w:t>
      </w:r>
      <w:r w:rsidR="63EAD3F9" w:rsidRPr="00AC1F76">
        <w:rPr>
          <w:color w:val="000000" w:themeColor="text1"/>
        </w:rPr>
        <w:t xml:space="preserve"> </w:t>
      </w:r>
      <w:r w:rsidRPr="00AC1F76">
        <w:rPr>
          <w:color w:val="000000" w:themeColor="text1"/>
        </w:rPr>
        <w:t>species: this approach aims to answer questions such as “Is pathway ‘X’ a major source of supply of alien species for a given area?”; “Which are the most high-risk pathways for the arrival of invasive alien species?”; and “What is likely the most effective way to reduce the introduction of species via this pathway?”</w:t>
      </w:r>
    </w:p>
    <w:p w14:paraId="000000DF" w14:textId="77777777" w:rsidR="00A758FD" w:rsidRPr="00B05859" w:rsidRDefault="00C81287" w:rsidP="00B05859">
      <w:pPr>
        <w:numPr>
          <w:ilvl w:val="0"/>
          <w:numId w:val="7"/>
        </w:numPr>
        <w:pBdr>
          <w:top w:val="nil"/>
          <w:left w:val="nil"/>
          <w:bottom w:val="nil"/>
          <w:right w:val="nil"/>
          <w:between w:val="nil"/>
        </w:pBdr>
        <w:spacing w:line="240" w:lineRule="auto"/>
        <w:rPr>
          <w:color w:val="000000"/>
        </w:rPr>
      </w:pPr>
      <w:r w:rsidRPr="00B05859">
        <w:rPr>
          <w:color w:val="000000"/>
        </w:rPr>
        <w:t xml:space="preserve">Focusing on the alien and/or invasive alien </w:t>
      </w:r>
      <w:r w:rsidRPr="00B05859">
        <w:rPr>
          <w:color w:val="000000"/>
          <w:u w:val="single"/>
        </w:rPr>
        <w:t>species</w:t>
      </w:r>
      <w:r w:rsidRPr="00B05859">
        <w:rPr>
          <w:color w:val="000000"/>
        </w:rPr>
        <w:t xml:space="preserve"> of interest: this approach aims to answer questions such as “Is species ‘X’ impacting a given region?”; “Which species is most at risk of entry and establishment in a given jurisdiction?”; “Which species is most impactful?”; “How established or spread is this species?”; “Can it be contained or eradicated?”; “What is likely to be the most effective management action?”; or “How much will it cost?”</w:t>
      </w:r>
    </w:p>
    <w:p w14:paraId="000000E0" w14:textId="77777777" w:rsidR="00A758FD" w:rsidRPr="00B05859" w:rsidRDefault="00C81287" w:rsidP="00B05859">
      <w:pPr>
        <w:numPr>
          <w:ilvl w:val="0"/>
          <w:numId w:val="7"/>
        </w:numPr>
        <w:pBdr>
          <w:top w:val="nil"/>
          <w:left w:val="nil"/>
          <w:bottom w:val="nil"/>
          <w:right w:val="nil"/>
          <w:between w:val="nil"/>
        </w:pBdr>
        <w:spacing w:after="120" w:line="240" w:lineRule="auto"/>
        <w:rPr>
          <w:color w:val="000000"/>
        </w:rPr>
      </w:pPr>
      <w:r w:rsidRPr="00B05859">
        <w:rPr>
          <w:color w:val="000000"/>
        </w:rPr>
        <w:t xml:space="preserve">Focusing on invaded </w:t>
      </w:r>
      <w:r w:rsidRPr="00B05859">
        <w:rPr>
          <w:color w:val="000000"/>
          <w:u w:val="single"/>
        </w:rPr>
        <w:t>sites</w:t>
      </w:r>
      <w:r w:rsidRPr="00B05859">
        <w:rPr>
          <w:color w:val="000000"/>
        </w:rPr>
        <w:t>: this approach aims to answer questions such as “What sites harbour the most sensitive habitats prone to invasive alien species establishment?”; “Does this site similarly include site Y which provides important ecosystem services to livelihoods?”; “Which sites are a high priority for management based on the level of invasion or the value of the biodiversity and ecological assets at that site?”; and “What are the best actions to manage high priority sites?”</w:t>
      </w:r>
    </w:p>
    <w:p w14:paraId="000000E1" w14:textId="761C84CE" w:rsidR="00A758FD" w:rsidRDefault="002B520D">
      <w:pPr>
        <w:pBdr>
          <w:top w:val="nil"/>
          <w:left w:val="nil"/>
          <w:bottom w:val="nil"/>
          <w:right w:val="nil"/>
          <w:between w:val="nil"/>
        </w:pBdr>
        <w:spacing w:before="120" w:after="120" w:line="264" w:lineRule="auto"/>
        <w:jc w:val="center"/>
        <w:rPr>
          <w:rFonts w:ascii="Calibri" w:eastAsia="Calibri" w:hAnsi="Calibri" w:cs="Calibri"/>
          <w:color w:val="000000"/>
        </w:rPr>
      </w:pPr>
      <w:r w:rsidRPr="002B520D">
        <w:rPr>
          <w:noProof/>
        </w:rPr>
        <w:lastRenderedPageBreak/>
        <w:t xml:space="preserve"> </w:t>
      </w:r>
      <w:r w:rsidR="00315FE0" w:rsidRPr="00315FE0">
        <w:rPr>
          <w:noProof/>
        </w:rPr>
        <w:drawing>
          <wp:inline distT="0" distB="0" distL="0" distR="0" wp14:anchorId="3F1FD92F" wp14:editId="7049EC52">
            <wp:extent cx="6115050" cy="3703320"/>
            <wp:effectExtent l="0" t="0" r="6350" b="5080"/>
            <wp:docPr id="1"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27"/>
                    <a:stretch>
                      <a:fillRect/>
                    </a:stretch>
                  </pic:blipFill>
                  <pic:spPr>
                    <a:xfrm>
                      <a:off x="0" y="0"/>
                      <a:ext cx="6115050" cy="3703320"/>
                    </a:xfrm>
                    <a:prstGeom prst="rect">
                      <a:avLst/>
                    </a:prstGeom>
                  </pic:spPr>
                </pic:pic>
              </a:graphicData>
            </a:graphic>
          </wp:inline>
        </w:drawing>
      </w:r>
    </w:p>
    <w:p w14:paraId="000000E2" w14:textId="4DF17359" w:rsidR="00A758FD" w:rsidRPr="00B05859" w:rsidRDefault="00C81287" w:rsidP="00B05859">
      <w:pPr>
        <w:keepNext/>
        <w:pBdr>
          <w:top w:val="nil"/>
          <w:left w:val="nil"/>
          <w:bottom w:val="nil"/>
          <w:right w:val="nil"/>
          <w:between w:val="nil"/>
        </w:pBdr>
        <w:spacing w:before="240" w:after="120" w:line="240" w:lineRule="auto"/>
        <w:rPr>
          <w:b/>
          <w:color w:val="000000"/>
        </w:rPr>
      </w:pPr>
      <w:bookmarkStart w:id="65" w:name="_heading=h.44sinio" w:colFirst="0" w:colLast="0"/>
      <w:bookmarkStart w:id="66" w:name="_Ref104969954"/>
      <w:bookmarkStart w:id="67" w:name="_Toc87623099"/>
      <w:bookmarkStart w:id="68" w:name="_Toc147489356"/>
      <w:bookmarkEnd w:id="65"/>
      <w:r w:rsidRPr="00B05859">
        <w:rPr>
          <w:b/>
          <w:color w:val="000000" w:themeColor="text1"/>
        </w:rPr>
        <w:t>Figure 5</w:t>
      </w:r>
      <w:r w:rsidR="000E0ACA" w:rsidRPr="00B05859">
        <w:rPr>
          <w:b/>
        </w:rPr>
        <w:t>.</w:t>
      </w:r>
      <w:r w:rsidR="000E0ACA" w:rsidRPr="00B05859">
        <w:rPr>
          <w:b/>
        </w:rPr>
        <w:fldChar w:fldCharType="begin"/>
      </w:r>
      <w:r w:rsidR="000E0ACA" w:rsidRPr="00B05859">
        <w:rPr>
          <w:b/>
        </w:rPr>
        <w:instrText>SEQ Figure_5. \* ARABIC</w:instrText>
      </w:r>
      <w:r w:rsidR="000E0ACA" w:rsidRPr="00B05859">
        <w:rPr>
          <w:b/>
        </w:rPr>
        <w:fldChar w:fldCharType="separate"/>
      </w:r>
      <w:r w:rsidR="00DC77F8" w:rsidRPr="00B05859">
        <w:rPr>
          <w:b/>
          <w:noProof/>
        </w:rPr>
        <w:t>3</w:t>
      </w:r>
      <w:r w:rsidR="000E0ACA" w:rsidRPr="00B05859">
        <w:rPr>
          <w:b/>
        </w:rPr>
        <w:fldChar w:fldCharType="end"/>
      </w:r>
      <w:bookmarkEnd w:id="66"/>
      <w:r w:rsidR="00FC1BB2" w:rsidRPr="00B05859">
        <w:rPr>
          <w:b/>
        </w:rPr>
        <w:t>.</w:t>
      </w:r>
      <w:r w:rsidRPr="00B05859">
        <w:rPr>
          <w:b/>
          <w:color w:val="000000" w:themeColor="text1"/>
        </w:rPr>
        <w:t xml:space="preserve"> </w:t>
      </w:r>
      <w:r w:rsidRPr="00B05859">
        <w:rPr>
          <w:color w:val="000000" w:themeColor="text1"/>
        </w:rPr>
        <w:t xml:space="preserve">The three main approaches to support decision-making actions on </w:t>
      </w:r>
      <w:r w:rsidRPr="00AC1F76">
        <w:rPr>
          <w:color w:val="000000" w:themeColor="text1"/>
        </w:rPr>
        <w:t>management</w:t>
      </w:r>
      <w:r w:rsidRPr="5E4965FB">
        <w:rPr>
          <w:rFonts w:eastAsia="Times New Roman"/>
          <w:color w:val="000000" w:themeColor="text1"/>
        </w:rPr>
        <w:t xml:space="preserve"> </w:t>
      </w:r>
      <w:r w:rsidR="0D7A0984">
        <w:t>of biological invasions</w:t>
      </w:r>
      <w:r w:rsidR="5A7C5823" w:rsidRPr="00B05859">
        <w:rPr>
          <w:color w:val="000000" w:themeColor="text1"/>
        </w:rPr>
        <w:t xml:space="preserve"> </w:t>
      </w:r>
      <w:r w:rsidRPr="00B05859">
        <w:rPr>
          <w:color w:val="000000" w:themeColor="text1"/>
        </w:rPr>
        <w:t>and examples of contributing tools</w:t>
      </w:r>
      <w:bookmarkEnd w:id="67"/>
      <w:r w:rsidRPr="00B05859">
        <w:rPr>
          <w:color w:val="000000" w:themeColor="text1"/>
        </w:rPr>
        <w:t>. Decision-making relies on a sequence of steps consisting of the hazard identification, the prioritization of threats and the identification of the best management options. This applies whether the decision deals with pathways, species, or sites.</w:t>
      </w:r>
      <w:bookmarkEnd w:id="68"/>
    </w:p>
    <w:p w14:paraId="3DA61ACF" w14:textId="0FB818E2" w:rsidR="001B0409" w:rsidRPr="00767086" w:rsidRDefault="77BCB9E3" w:rsidP="00C11DFA">
      <w:pPr>
        <w:spacing w:before="240" w:after="120" w:line="240" w:lineRule="auto"/>
        <w:rPr>
          <w:lang w:val="es-ES"/>
        </w:rPr>
      </w:pPr>
      <w:bookmarkStart w:id="69" w:name="_heading=h.2jxsxqh" w:colFirst="0" w:colLast="0"/>
      <w:bookmarkEnd w:id="69"/>
      <w:r w:rsidRPr="00837161">
        <w:t>A</w:t>
      </w:r>
      <w:r w:rsidR="001B0409" w:rsidRPr="00837161">
        <w:t xml:space="preserve"> </w:t>
      </w:r>
      <w:r w:rsidR="00BC187C" w:rsidRPr="00837161">
        <w:t>“</w:t>
      </w:r>
      <w:r w:rsidR="001B0409" w:rsidRPr="00837161">
        <w:t>site</w:t>
      </w:r>
      <w:r w:rsidR="00BC187C" w:rsidRPr="00837161">
        <w:t>”</w:t>
      </w:r>
      <w:r w:rsidR="001B0409" w:rsidRPr="00837161">
        <w:t xml:space="preserve"> </w:t>
      </w:r>
      <w:r w:rsidR="6F5B8E22" w:rsidRPr="00837161">
        <w:t>here is</w:t>
      </w:r>
      <w:r w:rsidR="001B0409" w:rsidRPr="00837161">
        <w:t xml:space="preserve"> </w:t>
      </w:r>
      <w:r w:rsidR="3390F069" w:rsidRPr="00837161">
        <w:t>a</w:t>
      </w:r>
      <w:r w:rsidR="001B0409" w:rsidRPr="00837161">
        <w:t xml:space="preserve"> </w:t>
      </w:r>
      <w:r w:rsidR="65467B2C" w:rsidRPr="00837161">
        <w:t xml:space="preserve">clearly defined </w:t>
      </w:r>
      <w:r w:rsidR="001B0409" w:rsidRPr="00837161">
        <w:t xml:space="preserve">land/freshwater/marine </w:t>
      </w:r>
      <w:r w:rsidR="73EF855D" w:rsidRPr="00837161">
        <w:t>area</w:t>
      </w:r>
      <w:r w:rsidR="6616E773" w:rsidRPr="00837161">
        <w:t xml:space="preserve"> </w:t>
      </w:r>
      <w:r w:rsidR="175F9621" w:rsidRPr="00837161">
        <w:t xml:space="preserve">including </w:t>
      </w:r>
      <w:r w:rsidR="3B4F376C" w:rsidRPr="00837161">
        <w:t xml:space="preserve">the </w:t>
      </w:r>
      <w:r w:rsidR="00E90B81" w:rsidRPr="00837161">
        <w:t>sociolo</w:t>
      </w:r>
      <w:r w:rsidR="001B0409" w:rsidRPr="00837161">
        <w:t>gical system</w:t>
      </w:r>
      <w:r w:rsidR="3B4F376C" w:rsidRPr="00837161">
        <w:t xml:space="preserve"> (i.e.</w:t>
      </w:r>
      <w:r w:rsidR="690D1EC0" w:rsidRPr="00837161">
        <w:t>,</w:t>
      </w:r>
      <w:r w:rsidR="3B4F376C" w:rsidRPr="00837161">
        <w:t xml:space="preserve"> the</w:t>
      </w:r>
      <w:r w:rsidR="001B0409" w:rsidRPr="00837161">
        <w:t xml:space="preserve"> social, institutional and cultural contexts of</w:t>
      </w:r>
      <w:r w:rsidR="2D45A71F" w:rsidRPr="00837161">
        <w:t xml:space="preserve"> the relationship between </w:t>
      </w:r>
      <w:r w:rsidR="001B0409" w:rsidRPr="00837161">
        <w:t>people</w:t>
      </w:r>
      <w:r w:rsidR="2D45A71F" w:rsidRPr="00837161">
        <w:t xml:space="preserve"> and the </w:t>
      </w:r>
      <w:r w:rsidR="001B0409" w:rsidRPr="00837161">
        <w:t>environment</w:t>
      </w:r>
      <w:r w:rsidR="690D1EC0" w:rsidRPr="00837161">
        <w:t>;</w:t>
      </w:r>
      <w:r w:rsidR="001B0409" w:rsidRPr="00837161">
        <w:t xml:space="preserve"> </w:t>
      </w:r>
      <w:r w:rsidR="00870B94" w:rsidRPr="00837161">
        <w:fldChar w:fldCharType="begin"/>
      </w:r>
      <w:r w:rsidR="00115E42">
        <w:instrText xml:space="preserve"> ADDIN ZOTERO_ITEM CSL_CITATION {"citationID":"oojgYOhX","properties":{"formattedCitation":"(Stokols, 1996)","plainCitation":"(Stokols, 1996)","dontUpdate":true,"noteIndex":0},"citationItems":[{"id":25070,"uris":["http://zotero.org/groups/2352922/items/T9XZJ846"],"itemData":{"id":25070,"type":"article-journal","abstract":"Health promotion programs often lack a clearly specified theoretical foundation or are based on narrowly conceived conceptual models. For example, lifestyle modification programs typically emphasize individually focused behavior change strategies, while neglecting the environmental underpinnings of health and illness. This article compares three distinct, yet complementary, theoretical perspectives on health promotion: behavioral change, environmental enhancement, and social ecological models. Key strengths and limitations of each perspective are examined, and core principles of social ecological theory are used to derive practical guidelines for designing and evaluating community health promotion programs. Directions for future health promotion research are discussed, including studies examining the role of intermediaries (e.g., corporate decision-makers, legislators) in promoting the well-being of others, and those evaluating the duration and scope of intervention outcomes.","container-title":"American Journal of Health Promotion","DOI":"10.4278/0890-1171-10.4.282","ISSN":"0890-1171, 2168-6602","issue":"4","journalAbbreviation":"Am J Health Promot","language":"en","page":"282-298","source":"DOI.org (Crossref)","title":"Translating Social Ecological Theory into Guidelines for Community Health Promotion","URL":"http://journals.sagepub.com/doi/10.4278/0890-1171-10.4.282","volume":"10","author":[{"family":"Stokols","given":"Daniel"}],"accessed":{"date-parts":[["2021",3,18]]},"issued":{"date-parts":[["1996",3]]}},"label":"page"}],"schema":"https://github.com/citation-style-language/schema/raw/master/csl-citation.json"} </w:instrText>
      </w:r>
      <w:r w:rsidR="00870B94" w:rsidRPr="00837161">
        <w:fldChar w:fldCharType="separate"/>
      </w:r>
      <w:r w:rsidR="00271B78" w:rsidRPr="00271B78">
        <w:t>Stokols, 1996)</w:t>
      </w:r>
      <w:r w:rsidR="00870B94" w:rsidRPr="00837161">
        <w:fldChar w:fldCharType="end"/>
      </w:r>
      <w:r w:rsidR="001B0409" w:rsidRPr="00837161">
        <w:t>.</w:t>
      </w:r>
      <w:r w:rsidR="03BDD4FC" w:rsidRPr="00837161">
        <w:t xml:space="preserve"> </w:t>
      </w:r>
      <w:r w:rsidR="00B05859">
        <w:t xml:space="preserve">Management of biological invasions </w:t>
      </w:r>
      <w:r w:rsidR="001B0409" w:rsidRPr="00837161">
        <w:t xml:space="preserve">is also considered </w:t>
      </w:r>
      <w:r w:rsidR="03BDD4FC" w:rsidRPr="00837161">
        <w:t xml:space="preserve">holistically </w:t>
      </w:r>
      <w:r w:rsidR="001B0409" w:rsidRPr="00837161">
        <w:t xml:space="preserve">in decision-making frameworks for ecosystem-based management, increasingly applied </w:t>
      </w:r>
      <w:r w:rsidR="00870B94" w:rsidRPr="00837161">
        <w:fldChar w:fldCharType="begin"/>
      </w:r>
      <w:r w:rsidR="000F35EB">
        <w:instrText xml:space="preserve"> ADDIN ZOTERO_ITEM CSL_CITATION {"citationID":"7XUxQLSu","properties":{"formattedCitation":"(Espinosa-Romero et al., 2011; Lampert et al., 2014; Tanentzap et al., 2009)","plainCitation":"(Espinosa-Romero et al., 2011; Lampert et al., 2014; Tanentzap et al., 2009)","noteIndex":0},"citationItems":[{"id":11610,"uris":["http://zotero.org/groups/2352922/items/736DL5YH"],"itemData":{"id":11610,"type":"article-journal","container-title":"Marine Policy","DOI":"10.1016/j.marpol.2011.01.019","ISSN":"0308597X","issue":"5","journalAbbreviation":"Marine Policy","language":"en","page":"575-583","source":"DOI.org (Crossref)","title":"Structuring decision-making for ecosystem-based management","URL":"https://linkinghub.elsevier.com/retrieve/pii/S0308597X11000200","volume":"35","author":[{"family":"Espinosa-Romero","given":"Maria J."},{"family":"Chan","given":"Kai M.A."},{"family":"McDaniels","given":"Timothy"},{"family":"Dalmer","given":"Denise M."}],"accessed":{"date-parts":[["2020",7,10]]},"issued":{"date-parts":[["2011",9]]}},"label":"page"},{"id":24097,"uris":["http://zotero.org/groups/2352922/items/VCWQD9EF"],"itemData":{"id":24097,"type":"article-journal","container-title":"Science","DOI":"10.1126/science.1250763","ISSN":"0036-8075, 1095-9203","issue":"6187","journalAbbreviation":"Science","language":"en","page":"1028-1031","source":"DOI.org (Crossref)","title":"Optimal approaches for balancing invasive species eradication and endangered species management","URL":"https://www.sciencemag.org/lookup/doi/10.1126/science.1250763","volume":"344","author":[{"family":"Lampert","given":"A."},{"family":"Hastings","given":"A."},{"family":"Grosholz","given":"E. D."},{"family":"Jardine","given":"S. L."},{"family":"Sanchirico","given":"J. N."}],"accessed":{"date-parts":[["2020",6,21]]},"issued":{"date-parts":[["2014",5,30]]}},"label":"page"},{"id":22769,"uris":["http://zotero.org/groups/2352922/items/NVARK385"],"itemData":{"id":22769,"type":"article-journal","abstract":"Few individuals or governments have suggested that invasions by nonindigenous species are relevant to the broader issue of human security, despite a growing awareness of the ecological, economic, and societal impacts associated with invasive nonindigenous species (INIS). We propose that by framing management actions in a human and environmental security context, the threats (and benefits) posed by INIS to individuals and communities can be explicitly articulated and debated. This framework allows multiple stakeholders to bring their concerns to bear upon specific policy, and attempts to integrate broad environmental concerns within its parameters. We use the case of ecosystem-based management of invasive nonindigenous plants as an example of the utility of a human security framework. The dominant management approach to these species remains focused on the individual species, despite increasing calls for the implementation of ecosystem-based management strategies. Ecosystem-based management is supported by generalized and widely accepted mechanisms of plant community dynamics, such as succession, disturbance, and interspecific competition, but these scientific arguments do not consistently carry weight at the policy level and with the broader public. A human security framework may provide an approach for overcoming this resistance by placing the debate over management within the social and political context of the wider community. Overall, human security can allow applied ecologists to be better positioned to meet the challenges of communicating the need for science-based management.","container-title":"Invasive Plant Science and Management","DOI":"10.1614/IPSM-08-127.1","ISSN":"1939-7291, 1939-747X","issue":"2","journalAbbreviation":"Invasive plant sci. manag.","language":"en","page":"99-109","source":"DOI.org (Crossref)","title":"A Human Security Framework for the Management of Invasive Nonindigenous Plants","URL":"https://www.cambridge.org/core/product/identifier/S1939729100000717/type/journal_article","volume":"2","author":[{"family":"Tanentzap","given":"Andrew J."},{"family":"Bazely","given":"Dawn R."},{"family":"Williams","given":"Peter A."},{"family":"Hoogensen","given":"Gunhild"}],"accessed":{"date-parts":[["2020",2,22]]},"issued":{"date-parts":[["2009",4]]}},"label":"page"}],"schema":"https://github.com/citation-style-language/schema/raw/master/csl-citation.json"} </w:instrText>
      </w:r>
      <w:r w:rsidR="00870B94" w:rsidRPr="00837161">
        <w:fldChar w:fldCharType="separate"/>
      </w:r>
      <w:r w:rsidR="00271B78" w:rsidRPr="00271B78">
        <w:t>(Espinosa-Romero et al., 2011; Lampert et al., 2014; Tanentzap et al., 2009)</w:t>
      </w:r>
      <w:r w:rsidR="00870B94" w:rsidRPr="00837161">
        <w:fldChar w:fldCharType="end"/>
      </w:r>
      <w:r w:rsidR="001B0409" w:rsidRPr="00767086">
        <w:rPr>
          <w:lang w:val="es-ES"/>
        </w:rPr>
        <w:t>.</w:t>
      </w:r>
      <w:bookmarkStart w:id="70" w:name="_Toc26520285"/>
    </w:p>
    <w:p w14:paraId="000000E4" w14:textId="4213DBA6" w:rsidR="00A758FD" w:rsidRPr="00B05859" w:rsidRDefault="00C81287" w:rsidP="002F2F42">
      <w:pPr>
        <w:pStyle w:val="Heading3"/>
      </w:pPr>
      <w:bookmarkStart w:id="71" w:name="_heading=h.z337ya" w:colFirst="0" w:colLast="0"/>
      <w:bookmarkStart w:id="72" w:name="_Toc69313957"/>
      <w:bookmarkStart w:id="73" w:name="_Toc87623129"/>
      <w:bookmarkStart w:id="74" w:name="_Toc131681631"/>
      <w:bookmarkEnd w:id="70"/>
      <w:bookmarkEnd w:id="71"/>
      <w:r w:rsidRPr="00B05859">
        <w:t xml:space="preserve">Analytical approaches, methods and tools </w:t>
      </w:r>
      <w:bookmarkEnd w:id="72"/>
      <w:r w:rsidRPr="00B05859">
        <w:t>for decision-making support</w:t>
      </w:r>
      <w:bookmarkEnd w:id="73"/>
      <w:bookmarkEnd w:id="74"/>
    </w:p>
    <w:p w14:paraId="000000E5" w14:textId="63AD7831" w:rsidR="00A758FD" w:rsidRPr="00B05859" w:rsidRDefault="00C81287">
      <w:pPr>
        <w:spacing w:before="240" w:after="120" w:line="240" w:lineRule="auto"/>
      </w:pPr>
      <w:r w:rsidRPr="00B05859">
        <w:t>Many analytical approaches, methods and tools are available to address the types of decisions under species, pathways</w:t>
      </w:r>
      <w:r w:rsidR="00C16EEB">
        <w:t xml:space="preserve"> and</w:t>
      </w:r>
      <w:r w:rsidRPr="00B05859">
        <w:t xml:space="preserve"> site management approaches, aimed at mobilizing existing knowledge around the three analytical elements. These are hazard identification, prioritization</w:t>
      </w:r>
      <w:r w:rsidR="00C16EEB">
        <w:t xml:space="preserve"> and</w:t>
      </w:r>
      <w:r w:rsidRPr="00B05859">
        <w:t xml:space="preserve"> identification of best management options </w:t>
      </w:r>
      <w:r w:rsidR="3C552F3E" w:rsidRPr="00837161">
        <w:t>(</w:t>
      </w:r>
      <w:r w:rsidR="00191A6E">
        <w:rPr>
          <w:b/>
          <w:iCs/>
        </w:rPr>
        <w:t>Figure 5.3</w:t>
      </w:r>
      <w:r w:rsidR="3C552F3E" w:rsidRPr="00636579">
        <w:rPr>
          <w:iCs/>
        </w:rPr>
        <w:t>;</w:t>
      </w:r>
      <w:r w:rsidR="3C552F3E" w:rsidRPr="00636579">
        <w:rPr>
          <w:b/>
          <w:iCs/>
        </w:rPr>
        <w:t xml:space="preserve"> </w:t>
      </w:r>
      <w:r w:rsidR="00191A6E">
        <w:rPr>
          <w:b/>
          <w:iCs/>
        </w:rPr>
        <w:t>Table 5.1</w:t>
      </w:r>
      <w:r w:rsidR="3C552F3E" w:rsidRPr="00837161">
        <w:t>).</w:t>
      </w:r>
      <w:r w:rsidRPr="00B05859">
        <w:t xml:space="preserve"> </w:t>
      </w:r>
      <w:r w:rsidR="00AC5A0B">
        <w:t>Approaches, methods and</w:t>
      </w:r>
      <w:r w:rsidR="00AC5A0B" w:rsidRPr="00B05859">
        <w:t xml:space="preserve"> </w:t>
      </w:r>
      <w:r w:rsidRPr="00B05859">
        <w:t>tools may be used in isolation or in a complementary manner for answering common questions across the different approaches. The analytical approaches, methods and tools presented below align with the conceptual biological invasion process (</w:t>
      </w:r>
      <w:r w:rsidRPr="00B05859">
        <w:rPr>
          <w:b/>
        </w:rPr>
        <w:t>Chapter 1</w:t>
      </w:r>
      <w:r w:rsidRPr="00B05859">
        <w:t>,</w:t>
      </w:r>
      <w:r w:rsidRPr="00B05859">
        <w:rPr>
          <w:b/>
        </w:rPr>
        <w:t xml:space="preserve"> </w:t>
      </w:r>
      <w:r w:rsidR="3C552F3E" w:rsidRPr="00636579">
        <w:rPr>
          <w:b/>
          <w:iCs/>
        </w:rPr>
        <w:t>Fig</w:t>
      </w:r>
      <w:r w:rsidR="48ACBA2F" w:rsidRPr="00636579">
        <w:rPr>
          <w:b/>
          <w:iCs/>
        </w:rPr>
        <w:t>ure</w:t>
      </w:r>
      <w:r w:rsidR="3C552F3E" w:rsidRPr="00636579">
        <w:rPr>
          <w:b/>
          <w:iCs/>
        </w:rPr>
        <w:t xml:space="preserve"> 1.</w:t>
      </w:r>
      <w:r w:rsidR="00EE6990" w:rsidRPr="00636579">
        <w:rPr>
          <w:b/>
          <w:iCs/>
        </w:rPr>
        <w:t>6</w:t>
      </w:r>
      <w:r w:rsidR="2A204075" w:rsidRPr="00636579">
        <w:rPr>
          <w:iCs/>
        </w:rPr>
        <w:t>;</w:t>
      </w:r>
      <w:r w:rsidR="3C552F3E" w:rsidRPr="00636579">
        <w:rPr>
          <w:b/>
          <w:iCs/>
        </w:rPr>
        <w:t xml:space="preserve"> </w:t>
      </w:r>
      <w:r w:rsidR="00191A6E">
        <w:rPr>
          <w:b/>
          <w:iCs/>
        </w:rPr>
        <w:t>Figure 5.4</w:t>
      </w:r>
      <w:r w:rsidR="3C552F3E" w:rsidRPr="00837161">
        <w:t>).</w:t>
      </w:r>
      <w:r w:rsidRPr="00B05859">
        <w:t xml:space="preserve"> Several tools rely on information in previous chapters, including up to date knowledge of species distribution and abundance (</w:t>
      </w:r>
      <w:r w:rsidRPr="00B05859">
        <w:rPr>
          <w:b/>
        </w:rPr>
        <w:t>Chapter 2</w:t>
      </w:r>
      <w:r w:rsidRPr="00B05859">
        <w:t>), direct and indirect drivers facilitating biological invasions across the invasion continuum (</w:t>
      </w:r>
      <w:r w:rsidRPr="00B05859">
        <w:rPr>
          <w:b/>
        </w:rPr>
        <w:t>Chapter 3</w:t>
      </w:r>
      <w:r w:rsidRPr="00B05859">
        <w:t>)</w:t>
      </w:r>
      <w:r w:rsidR="00C16EEB">
        <w:t xml:space="preserve"> and</w:t>
      </w:r>
      <w:r w:rsidRPr="00B05859">
        <w:t xml:space="preserve"> invasive alien species impacts (</w:t>
      </w:r>
      <w:r w:rsidRPr="00B05859">
        <w:rPr>
          <w:b/>
        </w:rPr>
        <w:t>Chapter 4</w:t>
      </w:r>
      <w:r w:rsidRPr="00B05859">
        <w:t>). This highlights the importance of knowledge and data for evidence-based decision-making on management.</w:t>
      </w:r>
    </w:p>
    <w:p w14:paraId="000000E6" w14:textId="77777777" w:rsidR="00A758FD" w:rsidRPr="00B05859" w:rsidRDefault="00C81287">
      <w:pPr>
        <w:spacing w:before="240" w:after="120" w:line="240" w:lineRule="auto"/>
      </w:pPr>
      <w:r w:rsidRPr="00B05859">
        <w:t>The range of tools presented below is not intended to be exhaustive but to illustrate the diversity of tools available to meet different decision-making objectives.</w:t>
      </w:r>
    </w:p>
    <w:p w14:paraId="000000E7" w14:textId="1BEE84FE" w:rsidR="00A758FD" w:rsidRPr="00B05859" w:rsidRDefault="00C81287" w:rsidP="00B05859">
      <w:pPr>
        <w:pStyle w:val="Caption"/>
        <w:rPr>
          <w:bCs w:val="0"/>
          <w:color w:val="000000"/>
        </w:rPr>
      </w:pPr>
      <w:bookmarkStart w:id="75" w:name="_heading=h.3j2qqm3" w:colFirst="0" w:colLast="0"/>
      <w:bookmarkStart w:id="76" w:name="_Ref104971583"/>
      <w:bookmarkStart w:id="77" w:name="_Toc147489078"/>
      <w:bookmarkStart w:id="78" w:name="_Toc87553784"/>
      <w:bookmarkStart w:id="79" w:name="_Toc87623083"/>
      <w:bookmarkEnd w:id="75"/>
      <w:r w:rsidRPr="00B05859">
        <w:rPr>
          <w:bCs w:val="0"/>
        </w:rPr>
        <w:lastRenderedPageBreak/>
        <w:t>Table 5</w:t>
      </w:r>
      <w:r w:rsidR="5DFC0825" w:rsidRPr="00B05859">
        <w:rPr>
          <w:bCs w:val="0"/>
          <w:lang w:val="en-GB"/>
        </w:rPr>
        <w:t>.</w:t>
      </w:r>
      <w:r w:rsidR="00A67396" w:rsidRPr="00B05859">
        <w:rPr>
          <w:bCs w:val="0"/>
          <w:lang w:val="en-GB"/>
        </w:rPr>
        <w:fldChar w:fldCharType="begin"/>
      </w:r>
      <w:r w:rsidR="00A67396" w:rsidRPr="00B05859">
        <w:rPr>
          <w:bCs w:val="0"/>
          <w:lang w:val="en-GB"/>
        </w:rPr>
        <w:instrText>SEQ Table_5. \* ARABIC</w:instrText>
      </w:r>
      <w:r w:rsidR="00A67396" w:rsidRPr="00B05859">
        <w:rPr>
          <w:bCs w:val="0"/>
          <w:lang w:val="en-GB"/>
        </w:rPr>
        <w:fldChar w:fldCharType="separate"/>
      </w:r>
      <w:r w:rsidR="00DC77F8" w:rsidRPr="00B05859">
        <w:rPr>
          <w:bCs w:val="0"/>
          <w:noProof/>
          <w:lang w:val="en-GB"/>
        </w:rPr>
        <w:t>1</w:t>
      </w:r>
      <w:r w:rsidR="00A67396" w:rsidRPr="00B05859">
        <w:rPr>
          <w:bCs w:val="0"/>
          <w:lang w:val="en-GB"/>
        </w:rPr>
        <w:fldChar w:fldCharType="end"/>
      </w:r>
      <w:bookmarkEnd w:id="76"/>
      <w:r w:rsidR="00737918" w:rsidRPr="00B05859">
        <w:rPr>
          <w:bCs w:val="0"/>
          <w:lang w:val="en-GB"/>
        </w:rPr>
        <w:t>.</w:t>
      </w:r>
      <w:r w:rsidRPr="00B05859">
        <w:rPr>
          <w:bCs w:val="0"/>
          <w:color w:val="000000"/>
        </w:rPr>
        <w:t xml:space="preserve"> </w:t>
      </w:r>
      <w:r w:rsidRPr="00B05859">
        <w:rPr>
          <w:b w:val="0"/>
          <w:color w:val="000000"/>
        </w:rPr>
        <w:t>Analytical approaches, tools</w:t>
      </w:r>
      <w:r w:rsidR="00C16EEB">
        <w:rPr>
          <w:b w:val="0"/>
          <w:color w:val="000000"/>
        </w:rPr>
        <w:t xml:space="preserve"> and</w:t>
      </w:r>
      <w:r w:rsidRPr="00B05859">
        <w:rPr>
          <w:b w:val="0"/>
          <w:color w:val="000000"/>
        </w:rPr>
        <w:t xml:space="preserve"> methods available to making decisions about biological invasions</w:t>
      </w:r>
      <w:bookmarkEnd w:id="77"/>
    </w:p>
    <w:p w14:paraId="000000E8" w14:textId="0A652E79" w:rsidR="00A758FD" w:rsidRPr="00B05859" w:rsidRDefault="00C81287">
      <w:pPr>
        <w:keepNext/>
        <w:spacing w:line="240" w:lineRule="auto"/>
      </w:pPr>
      <w:bookmarkStart w:id="80" w:name="_heading=h.1y810tw" w:colFirst="0" w:colLast="0"/>
      <w:bookmarkEnd w:id="80"/>
      <w:r w:rsidRPr="00B05859">
        <w:t>This table shows the different analytical approaches, tools</w:t>
      </w:r>
      <w:r w:rsidR="00C16EEB">
        <w:t xml:space="preserve"> and</w:t>
      </w:r>
      <w:r w:rsidRPr="00B05859">
        <w:t xml:space="preserve"> methods available to decision makers to tackle biological invasions as well as their respective utility and different levels of governance to which they apply.</w:t>
      </w:r>
      <w:bookmarkStart w:id="81" w:name="_Toc26520286"/>
      <w:bookmarkEnd w:id="78"/>
      <w:bookmarkEnd w:id="79"/>
    </w:p>
    <w:tbl>
      <w:tblPr>
        <w:tblW w:w="962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6A0" w:firstRow="1" w:lastRow="0" w:firstColumn="1" w:lastColumn="0" w:noHBand="1" w:noVBand="1"/>
      </w:tblPr>
      <w:tblGrid>
        <w:gridCol w:w="3475"/>
        <w:gridCol w:w="2347"/>
        <w:gridCol w:w="1741"/>
        <w:gridCol w:w="2057"/>
      </w:tblGrid>
      <w:tr w:rsidR="00A758FD" w14:paraId="7B707199" w14:textId="77777777" w:rsidTr="00B05859">
        <w:trPr>
          <w:trHeight w:val="300"/>
        </w:trPr>
        <w:tc>
          <w:tcPr>
            <w:tcW w:w="3475" w:type="dxa"/>
            <w:vMerge w:val="restart"/>
          </w:tcPr>
          <w:p w14:paraId="000000E9" w14:textId="77777777" w:rsidR="00A758FD" w:rsidRPr="00B05859" w:rsidRDefault="00C81287">
            <w:pPr>
              <w:rPr>
                <w:i/>
                <w:color w:val="000000"/>
              </w:rPr>
            </w:pPr>
            <w:r w:rsidRPr="00B05859">
              <w:t xml:space="preserve"> </w:t>
            </w:r>
            <w:r w:rsidRPr="00B05859">
              <w:rPr>
                <w:i/>
              </w:rPr>
              <w:t>Tools and Methods</w:t>
            </w:r>
          </w:p>
          <w:p w14:paraId="000000EA" w14:textId="77777777" w:rsidR="00A758FD" w:rsidRPr="00B05859" w:rsidRDefault="00A758FD"/>
        </w:tc>
        <w:tc>
          <w:tcPr>
            <w:tcW w:w="6145" w:type="dxa"/>
            <w:gridSpan w:val="3"/>
            <w:tcBorders>
              <w:bottom w:val="single" w:sz="4" w:space="0" w:color="808080"/>
            </w:tcBorders>
            <w:vAlign w:val="center"/>
          </w:tcPr>
          <w:p w14:paraId="000000EB" w14:textId="77777777" w:rsidR="00A758FD" w:rsidRPr="00B05859" w:rsidRDefault="00C81287">
            <w:r w:rsidRPr="00B05859">
              <w:rPr>
                <w:i/>
              </w:rPr>
              <w:t>Utility</w:t>
            </w:r>
          </w:p>
        </w:tc>
      </w:tr>
      <w:tr w:rsidR="00A758FD" w14:paraId="23C2EF3F" w14:textId="77777777" w:rsidTr="00B05859">
        <w:tc>
          <w:tcPr>
            <w:tcW w:w="3475" w:type="dxa"/>
            <w:vMerge/>
          </w:tcPr>
          <w:p w14:paraId="000000EE" w14:textId="77777777" w:rsidR="00A758FD" w:rsidRPr="00B05859" w:rsidRDefault="00A758FD" w:rsidP="00B05859">
            <w:pPr>
              <w:widowControl w:val="0"/>
              <w:pBdr>
                <w:top w:val="nil"/>
                <w:left w:val="nil"/>
                <w:bottom w:val="nil"/>
                <w:right w:val="nil"/>
                <w:between w:val="nil"/>
              </w:pBdr>
              <w:spacing w:line="276" w:lineRule="auto"/>
            </w:pPr>
          </w:p>
        </w:tc>
        <w:tc>
          <w:tcPr>
            <w:tcW w:w="2347" w:type="dxa"/>
            <w:tcBorders>
              <w:top w:val="single" w:sz="4" w:space="0" w:color="808080"/>
              <w:bottom w:val="single" w:sz="4" w:space="0" w:color="808080"/>
            </w:tcBorders>
          </w:tcPr>
          <w:p w14:paraId="000000EF" w14:textId="77777777" w:rsidR="00A758FD" w:rsidRPr="00B05859" w:rsidRDefault="00C81287">
            <w:pPr>
              <w:rPr>
                <w:b/>
              </w:rPr>
            </w:pPr>
            <w:r w:rsidRPr="00B05859">
              <w:rPr>
                <w:b/>
              </w:rPr>
              <w:t>Hazard identification</w:t>
            </w:r>
          </w:p>
        </w:tc>
        <w:tc>
          <w:tcPr>
            <w:tcW w:w="1741" w:type="dxa"/>
            <w:tcBorders>
              <w:top w:val="single" w:sz="4" w:space="0" w:color="808080"/>
              <w:bottom w:val="single" w:sz="4" w:space="0" w:color="808080"/>
            </w:tcBorders>
          </w:tcPr>
          <w:p w14:paraId="000000F0" w14:textId="77777777" w:rsidR="00A758FD" w:rsidRPr="00B05859" w:rsidRDefault="00C81287">
            <w:pPr>
              <w:rPr>
                <w:b/>
              </w:rPr>
            </w:pPr>
            <w:r w:rsidRPr="00B05859">
              <w:rPr>
                <w:b/>
              </w:rPr>
              <w:t>Prioritization</w:t>
            </w:r>
          </w:p>
        </w:tc>
        <w:tc>
          <w:tcPr>
            <w:tcW w:w="2057" w:type="dxa"/>
            <w:tcBorders>
              <w:top w:val="single" w:sz="4" w:space="0" w:color="808080"/>
              <w:bottom w:val="single" w:sz="4" w:space="0" w:color="808080"/>
            </w:tcBorders>
          </w:tcPr>
          <w:p w14:paraId="000000F1" w14:textId="77777777" w:rsidR="00A758FD" w:rsidRPr="00B05859" w:rsidRDefault="00C81287">
            <w:pPr>
              <w:rPr>
                <w:b/>
              </w:rPr>
            </w:pPr>
            <w:r w:rsidRPr="00B05859">
              <w:rPr>
                <w:b/>
              </w:rPr>
              <w:t>Identification of best management options</w:t>
            </w:r>
          </w:p>
        </w:tc>
      </w:tr>
      <w:tr w:rsidR="003666A4" w14:paraId="086116B0" w14:textId="77777777" w:rsidTr="00A758FD">
        <w:tc>
          <w:tcPr>
            <w:tcW w:w="3475" w:type="dxa"/>
            <w:tcBorders>
              <w:top w:val="single" w:sz="4" w:space="0" w:color="808080"/>
            </w:tcBorders>
          </w:tcPr>
          <w:p w14:paraId="000000F2" w14:textId="77777777" w:rsidR="00A758FD" w:rsidRPr="00B05859" w:rsidRDefault="00C81287">
            <w:pPr>
              <w:rPr>
                <w:sz w:val="20"/>
              </w:rPr>
            </w:pPr>
            <w:r w:rsidRPr="00B05859">
              <w:rPr>
                <w:sz w:val="20"/>
              </w:rPr>
              <w:t>Horizon scanning</w:t>
            </w:r>
          </w:p>
        </w:tc>
        <w:tc>
          <w:tcPr>
            <w:tcW w:w="2347" w:type="dxa"/>
            <w:tcBorders>
              <w:top w:val="single" w:sz="4" w:space="0" w:color="808080"/>
            </w:tcBorders>
            <w:shd w:val="clear" w:color="auto" w:fill="767171"/>
          </w:tcPr>
          <w:p w14:paraId="000000F3" w14:textId="77777777" w:rsidR="00A758FD" w:rsidRPr="00B05859" w:rsidRDefault="00C81287">
            <w:pPr>
              <w:rPr>
                <w:sz w:val="20"/>
                <w:highlight w:val="darkGray"/>
              </w:rPr>
            </w:pPr>
            <w:r w:rsidRPr="00B05859">
              <w:rPr>
                <w:sz w:val="20"/>
              </w:rPr>
              <w:t>x</w:t>
            </w:r>
          </w:p>
        </w:tc>
        <w:tc>
          <w:tcPr>
            <w:tcW w:w="1741" w:type="dxa"/>
            <w:tcBorders>
              <w:top w:val="single" w:sz="4" w:space="0" w:color="808080"/>
            </w:tcBorders>
            <w:shd w:val="clear" w:color="auto" w:fill="767171"/>
          </w:tcPr>
          <w:p w14:paraId="000000F4" w14:textId="77777777" w:rsidR="00A758FD" w:rsidRPr="00B05859" w:rsidRDefault="00C81287">
            <w:pPr>
              <w:rPr>
                <w:sz w:val="20"/>
                <w:highlight w:val="darkGray"/>
              </w:rPr>
            </w:pPr>
            <w:r w:rsidRPr="00B05859">
              <w:rPr>
                <w:sz w:val="20"/>
              </w:rPr>
              <w:t>X</w:t>
            </w:r>
          </w:p>
        </w:tc>
        <w:tc>
          <w:tcPr>
            <w:tcW w:w="2057" w:type="dxa"/>
            <w:tcBorders>
              <w:top w:val="single" w:sz="4" w:space="0" w:color="808080"/>
            </w:tcBorders>
          </w:tcPr>
          <w:p w14:paraId="000000F5" w14:textId="77777777" w:rsidR="00A758FD" w:rsidRPr="00B05859" w:rsidRDefault="00A758FD">
            <w:pPr>
              <w:rPr>
                <w:sz w:val="20"/>
              </w:rPr>
            </w:pPr>
          </w:p>
        </w:tc>
      </w:tr>
      <w:tr w:rsidR="003666A4" w14:paraId="0FB00667" w14:textId="77777777" w:rsidTr="00A758FD">
        <w:tc>
          <w:tcPr>
            <w:tcW w:w="3475" w:type="dxa"/>
          </w:tcPr>
          <w:p w14:paraId="000000F6" w14:textId="77777777" w:rsidR="00A758FD" w:rsidRPr="00B05859" w:rsidRDefault="00C81287">
            <w:pPr>
              <w:rPr>
                <w:sz w:val="20"/>
              </w:rPr>
            </w:pPr>
            <w:r w:rsidRPr="00B05859">
              <w:rPr>
                <w:sz w:val="20"/>
              </w:rPr>
              <w:t>Pathway analysis</w:t>
            </w:r>
          </w:p>
        </w:tc>
        <w:tc>
          <w:tcPr>
            <w:tcW w:w="2347" w:type="dxa"/>
            <w:shd w:val="clear" w:color="auto" w:fill="767171"/>
          </w:tcPr>
          <w:p w14:paraId="000000F7" w14:textId="77777777" w:rsidR="00A758FD" w:rsidRPr="00B05859" w:rsidRDefault="00C81287">
            <w:pPr>
              <w:rPr>
                <w:sz w:val="20"/>
                <w:highlight w:val="darkGray"/>
              </w:rPr>
            </w:pPr>
            <w:r w:rsidRPr="00B05859">
              <w:rPr>
                <w:sz w:val="20"/>
              </w:rPr>
              <w:t>x</w:t>
            </w:r>
          </w:p>
        </w:tc>
        <w:tc>
          <w:tcPr>
            <w:tcW w:w="1741" w:type="dxa"/>
            <w:shd w:val="clear" w:color="auto" w:fill="767171"/>
          </w:tcPr>
          <w:p w14:paraId="000000F8" w14:textId="77777777" w:rsidR="00A758FD" w:rsidRPr="00B05859" w:rsidRDefault="00C81287">
            <w:pPr>
              <w:rPr>
                <w:sz w:val="20"/>
                <w:highlight w:val="darkGray"/>
              </w:rPr>
            </w:pPr>
            <w:r w:rsidRPr="00B05859">
              <w:rPr>
                <w:sz w:val="20"/>
              </w:rPr>
              <w:t>X</w:t>
            </w:r>
          </w:p>
        </w:tc>
        <w:tc>
          <w:tcPr>
            <w:tcW w:w="2057" w:type="dxa"/>
          </w:tcPr>
          <w:p w14:paraId="000000F9" w14:textId="77777777" w:rsidR="00A758FD" w:rsidRPr="00B05859" w:rsidRDefault="00A758FD">
            <w:pPr>
              <w:rPr>
                <w:sz w:val="20"/>
              </w:rPr>
            </w:pPr>
          </w:p>
        </w:tc>
      </w:tr>
      <w:tr w:rsidR="003666A4" w14:paraId="6EF25430" w14:textId="77777777" w:rsidTr="00A758FD">
        <w:tc>
          <w:tcPr>
            <w:tcW w:w="3475" w:type="dxa"/>
          </w:tcPr>
          <w:p w14:paraId="000000FA" w14:textId="77777777" w:rsidR="00A758FD" w:rsidRPr="00B05859" w:rsidRDefault="00C81287">
            <w:pPr>
              <w:rPr>
                <w:sz w:val="20"/>
              </w:rPr>
            </w:pPr>
            <w:r w:rsidRPr="00B05859">
              <w:rPr>
                <w:sz w:val="20"/>
              </w:rPr>
              <w:t>Impact assessment</w:t>
            </w:r>
          </w:p>
        </w:tc>
        <w:tc>
          <w:tcPr>
            <w:tcW w:w="2347" w:type="dxa"/>
          </w:tcPr>
          <w:p w14:paraId="000000FB" w14:textId="77777777" w:rsidR="00A758FD" w:rsidRPr="00B05859" w:rsidRDefault="00A758FD">
            <w:pPr>
              <w:rPr>
                <w:sz w:val="20"/>
              </w:rPr>
            </w:pPr>
          </w:p>
        </w:tc>
        <w:tc>
          <w:tcPr>
            <w:tcW w:w="1741" w:type="dxa"/>
            <w:shd w:val="clear" w:color="auto" w:fill="767171"/>
          </w:tcPr>
          <w:p w14:paraId="000000FC" w14:textId="77777777" w:rsidR="00A758FD" w:rsidRPr="00B05859" w:rsidRDefault="00C81287">
            <w:pPr>
              <w:rPr>
                <w:sz w:val="20"/>
              </w:rPr>
            </w:pPr>
            <w:r w:rsidRPr="00B05859">
              <w:rPr>
                <w:sz w:val="20"/>
              </w:rPr>
              <w:t>X</w:t>
            </w:r>
          </w:p>
        </w:tc>
        <w:tc>
          <w:tcPr>
            <w:tcW w:w="2057" w:type="dxa"/>
          </w:tcPr>
          <w:p w14:paraId="000000FD" w14:textId="77777777" w:rsidR="00A758FD" w:rsidRPr="00B05859" w:rsidRDefault="00A758FD">
            <w:pPr>
              <w:rPr>
                <w:sz w:val="20"/>
              </w:rPr>
            </w:pPr>
          </w:p>
        </w:tc>
      </w:tr>
      <w:tr w:rsidR="003666A4" w14:paraId="6194AD2C" w14:textId="77777777" w:rsidTr="00A758FD">
        <w:tc>
          <w:tcPr>
            <w:tcW w:w="3475" w:type="dxa"/>
          </w:tcPr>
          <w:p w14:paraId="000000FE" w14:textId="77777777" w:rsidR="00A758FD" w:rsidRPr="00B05859" w:rsidRDefault="00C81287">
            <w:pPr>
              <w:rPr>
                <w:sz w:val="20"/>
              </w:rPr>
            </w:pPr>
            <w:r w:rsidRPr="00B05859">
              <w:rPr>
                <w:sz w:val="20"/>
              </w:rPr>
              <w:t>Risk analysis</w:t>
            </w:r>
          </w:p>
        </w:tc>
        <w:tc>
          <w:tcPr>
            <w:tcW w:w="2347" w:type="dxa"/>
            <w:shd w:val="clear" w:color="auto" w:fill="767171"/>
          </w:tcPr>
          <w:p w14:paraId="000000FF" w14:textId="77777777" w:rsidR="00A758FD" w:rsidRPr="00B05859" w:rsidRDefault="00C81287">
            <w:pPr>
              <w:rPr>
                <w:sz w:val="20"/>
              </w:rPr>
            </w:pPr>
            <w:r w:rsidRPr="00B05859">
              <w:rPr>
                <w:sz w:val="20"/>
              </w:rPr>
              <w:t>x</w:t>
            </w:r>
          </w:p>
        </w:tc>
        <w:tc>
          <w:tcPr>
            <w:tcW w:w="1741" w:type="dxa"/>
            <w:shd w:val="clear" w:color="auto" w:fill="767171"/>
          </w:tcPr>
          <w:p w14:paraId="00000100" w14:textId="77777777" w:rsidR="00A758FD" w:rsidRPr="00B05859" w:rsidRDefault="00C81287">
            <w:pPr>
              <w:rPr>
                <w:sz w:val="20"/>
              </w:rPr>
            </w:pPr>
            <w:r w:rsidRPr="00B05859">
              <w:rPr>
                <w:sz w:val="20"/>
              </w:rPr>
              <w:t>X</w:t>
            </w:r>
          </w:p>
        </w:tc>
        <w:tc>
          <w:tcPr>
            <w:tcW w:w="2057" w:type="dxa"/>
            <w:shd w:val="clear" w:color="auto" w:fill="767171"/>
          </w:tcPr>
          <w:p w14:paraId="00000101" w14:textId="77777777" w:rsidR="00A758FD" w:rsidRPr="00B05859" w:rsidRDefault="00C81287">
            <w:pPr>
              <w:rPr>
                <w:sz w:val="20"/>
              </w:rPr>
            </w:pPr>
            <w:r w:rsidRPr="00B05859">
              <w:rPr>
                <w:sz w:val="20"/>
              </w:rPr>
              <w:t>x</w:t>
            </w:r>
          </w:p>
        </w:tc>
      </w:tr>
      <w:tr w:rsidR="003666A4" w14:paraId="1FC45504" w14:textId="77777777" w:rsidTr="00A758FD">
        <w:tc>
          <w:tcPr>
            <w:tcW w:w="3475" w:type="dxa"/>
          </w:tcPr>
          <w:p w14:paraId="00000102" w14:textId="77777777" w:rsidR="00A758FD" w:rsidRPr="00B05859" w:rsidRDefault="00C81287">
            <w:pPr>
              <w:ind w:left="720"/>
              <w:rPr>
                <w:sz w:val="20"/>
              </w:rPr>
            </w:pPr>
            <w:r w:rsidRPr="00B05859">
              <w:rPr>
                <w:sz w:val="20"/>
              </w:rPr>
              <w:t>Risk assessment</w:t>
            </w:r>
          </w:p>
        </w:tc>
        <w:tc>
          <w:tcPr>
            <w:tcW w:w="2347" w:type="dxa"/>
            <w:shd w:val="clear" w:color="auto" w:fill="767171"/>
          </w:tcPr>
          <w:p w14:paraId="00000103" w14:textId="77777777" w:rsidR="00A758FD" w:rsidRPr="00B05859" w:rsidRDefault="00C81287">
            <w:pPr>
              <w:rPr>
                <w:sz w:val="20"/>
              </w:rPr>
            </w:pPr>
            <w:r w:rsidRPr="00B05859">
              <w:rPr>
                <w:sz w:val="20"/>
              </w:rPr>
              <w:t>x</w:t>
            </w:r>
          </w:p>
        </w:tc>
        <w:tc>
          <w:tcPr>
            <w:tcW w:w="1741" w:type="dxa"/>
            <w:shd w:val="clear" w:color="auto" w:fill="767171"/>
          </w:tcPr>
          <w:p w14:paraId="00000104" w14:textId="77777777" w:rsidR="00A758FD" w:rsidRPr="00B05859" w:rsidRDefault="00C81287">
            <w:pPr>
              <w:rPr>
                <w:sz w:val="20"/>
              </w:rPr>
            </w:pPr>
            <w:r w:rsidRPr="00B05859">
              <w:rPr>
                <w:sz w:val="20"/>
              </w:rPr>
              <w:t>X</w:t>
            </w:r>
          </w:p>
        </w:tc>
        <w:tc>
          <w:tcPr>
            <w:tcW w:w="2057" w:type="dxa"/>
          </w:tcPr>
          <w:p w14:paraId="00000105" w14:textId="77777777" w:rsidR="00A758FD" w:rsidRPr="00B05859" w:rsidRDefault="00A758FD">
            <w:pPr>
              <w:rPr>
                <w:sz w:val="20"/>
              </w:rPr>
            </w:pPr>
          </w:p>
        </w:tc>
      </w:tr>
      <w:tr w:rsidR="003666A4" w14:paraId="49FE40BC" w14:textId="77777777" w:rsidTr="00A758FD">
        <w:tc>
          <w:tcPr>
            <w:tcW w:w="3475" w:type="dxa"/>
          </w:tcPr>
          <w:p w14:paraId="00000106" w14:textId="77777777" w:rsidR="00A758FD" w:rsidRPr="00B05859" w:rsidRDefault="00C81287">
            <w:pPr>
              <w:ind w:left="720"/>
              <w:rPr>
                <w:sz w:val="20"/>
              </w:rPr>
            </w:pPr>
            <w:r w:rsidRPr="00B05859">
              <w:rPr>
                <w:sz w:val="20"/>
              </w:rPr>
              <w:t>Risk modelling and mapping</w:t>
            </w:r>
          </w:p>
        </w:tc>
        <w:tc>
          <w:tcPr>
            <w:tcW w:w="2347" w:type="dxa"/>
            <w:shd w:val="clear" w:color="auto" w:fill="767171"/>
          </w:tcPr>
          <w:p w14:paraId="00000107" w14:textId="77777777" w:rsidR="00A758FD" w:rsidRPr="00B05859" w:rsidRDefault="00C81287">
            <w:pPr>
              <w:rPr>
                <w:sz w:val="20"/>
              </w:rPr>
            </w:pPr>
            <w:r w:rsidRPr="00B05859">
              <w:rPr>
                <w:sz w:val="20"/>
              </w:rPr>
              <w:t>x</w:t>
            </w:r>
          </w:p>
        </w:tc>
        <w:tc>
          <w:tcPr>
            <w:tcW w:w="1741" w:type="dxa"/>
            <w:shd w:val="clear" w:color="auto" w:fill="767171"/>
          </w:tcPr>
          <w:p w14:paraId="00000108" w14:textId="77777777" w:rsidR="00A758FD" w:rsidRPr="00B05859" w:rsidRDefault="00C81287">
            <w:pPr>
              <w:rPr>
                <w:sz w:val="20"/>
              </w:rPr>
            </w:pPr>
            <w:r w:rsidRPr="00B05859">
              <w:rPr>
                <w:sz w:val="20"/>
              </w:rPr>
              <w:t>X</w:t>
            </w:r>
          </w:p>
        </w:tc>
        <w:tc>
          <w:tcPr>
            <w:tcW w:w="2057" w:type="dxa"/>
          </w:tcPr>
          <w:p w14:paraId="00000109" w14:textId="77777777" w:rsidR="00A758FD" w:rsidRPr="00B05859" w:rsidRDefault="00A758FD">
            <w:pPr>
              <w:rPr>
                <w:sz w:val="20"/>
              </w:rPr>
            </w:pPr>
          </w:p>
        </w:tc>
      </w:tr>
      <w:tr w:rsidR="003666A4" w14:paraId="3A0654AC" w14:textId="77777777" w:rsidTr="00A758FD">
        <w:tc>
          <w:tcPr>
            <w:tcW w:w="3475" w:type="dxa"/>
          </w:tcPr>
          <w:p w14:paraId="0000010A" w14:textId="77777777" w:rsidR="00A758FD" w:rsidRPr="00B05859" w:rsidRDefault="00C81287">
            <w:pPr>
              <w:ind w:left="720"/>
              <w:rPr>
                <w:sz w:val="20"/>
              </w:rPr>
            </w:pPr>
            <w:r w:rsidRPr="00B05859">
              <w:rPr>
                <w:sz w:val="20"/>
              </w:rPr>
              <w:t>Risk management</w:t>
            </w:r>
          </w:p>
        </w:tc>
        <w:tc>
          <w:tcPr>
            <w:tcW w:w="2347" w:type="dxa"/>
          </w:tcPr>
          <w:p w14:paraId="0000010B" w14:textId="77777777" w:rsidR="00A758FD" w:rsidRPr="00B05859" w:rsidRDefault="00A758FD">
            <w:pPr>
              <w:rPr>
                <w:sz w:val="20"/>
              </w:rPr>
            </w:pPr>
          </w:p>
        </w:tc>
        <w:tc>
          <w:tcPr>
            <w:tcW w:w="1741" w:type="dxa"/>
            <w:shd w:val="clear" w:color="auto" w:fill="767171"/>
          </w:tcPr>
          <w:p w14:paraId="0000010C" w14:textId="77777777" w:rsidR="00A758FD" w:rsidRPr="00B05859" w:rsidRDefault="00C81287">
            <w:pPr>
              <w:rPr>
                <w:sz w:val="20"/>
              </w:rPr>
            </w:pPr>
            <w:r w:rsidRPr="00B05859">
              <w:rPr>
                <w:sz w:val="20"/>
              </w:rPr>
              <w:t>X</w:t>
            </w:r>
          </w:p>
        </w:tc>
        <w:tc>
          <w:tcPr>
            <w:tcW w:w="2057" w:type="dxa"/>
            <w:shd w:val="clear" w:color="auto" w:fill="767171"/>
          </w:tcPr>
          <w:p w14:paraId="0000010D" w14:textId="77777777" w:rsidR="00A758FD" w:rsidRPr="00B05859" w:rsidRDefault="00C81287">
            <w:pPr>
              <w:rPr>
                <w:sz w:val="20"/>
              </w:rPr>
            </w:pPr>
            <w:r w:rsidRPr="00B05859">
              <w:rPr>
                <w:sz w:val="20"/>
              </w:rPr>
              <w:t>x</w:t>
            </w:r>
          </w:p>
        </w:tc>
      </w:tr>
      <w:tr w:rsidR="003666A4" w14:paraId="1FEB254D" w14:textId="77777777" w:rsidTr="00A758FD">
        <w:tc>
          <w:tcPr>
            <w:tcW w:w="3475" w:type="dxa"/>
          </w:tcPr>
          <w:p w14:paraId="0000010E" w14:textId="77777777" w:rsidR="00A758FD" w:rsidRPr="00B05859" w:rsidRDefault="00C81287">
            <w:pPr>
              <w:rPr>
                <w:sz w:val="20"/>
              </w:rPr>
            </w:pPr>
            <w:r w:rsidRPr="00B05859">
              <w:rPr>
                <w:sz w:val="20"/>
              </w:rPr>
              <w:t>Economic approaches</w:t>
            </w:r>
          </w:p>
        </w:tc>
        <w:tc>
          <w:tcPr>
            <w:tcW w:w="2347" w:type="dxa"/>
          </w:tcPr>
          <w:p w14:paraId="0000010F" w14:textId="77777777" w:rsidR="00A758FD" w:rsidRPr="00B05859" w:rsidRDefault="00A758FD">
            <w:pPr>
              <w:rPr>
                <w:sz w:val="20"/>
              </w:rPr>
            </w:pPr>
          </w:p>
        </w:tc>
        <w:tc>
          <w:tcPr>
            <w:tcW w:w="1741" w:type="dxa"/>
            <w:shd w:val="clear" w:color="auto" w:fill="767171"/>
          </w:tcPr>
          <w:p w14:paraId="00000110" w14:textId="77777777" w:rsidR="00A758FD" w:rsidRPr="00B05859" w:rsidRDefault="00C81287">
            <w:pPr>
              <w:rPr>
                <w:sz w:val="20"/>
              </w:rPr>
            </w:pPr>
            <w:r w:rsidRPr="00B05859">
              <w:rPr>
                <w:sz w:val="20"/>
              </w:rPr>
              <w:t>X</w:t>
            </w:r>
          </w:p>
        </w:tc>
        <w:tc>
          <w:tcPr>
            <w:tcW w:w="2057" w:type="dxa"/>
            <w:shd w:val="clear" w:color="auto" w:fill="767171"/>
          </w:tcPr>
          <w:p w14:paraId="00000111" w14:textId="77777777" w:rsidR="00A758FD" w:rsidRPr="00B05859" w:rsidRDefault="00C81287">
            <w:pPr>
              <w:rPr>
                <w:sz w:val="20"/>
              </w:rPr>
            </w:pPr>
            <w:r w:rsidRPr="00B05859">
              <w:rPr>
                <w:sz w:val="20"/>
              </w:rPr>
              <w:t>x</w:t>
            </w:r>
          </w:p>
        </w:tc>
      </w:tr>
      <w:tr w:rsidR="003666A4" w14:paraId="1B02B425" w14:textId="77777777" w:rsidTr="00A758FD">
        <w:tc>
          <w:tcPr>
            <w:tcW w:w="3475" w:type="dxa"/>
          </w:tcPr>
          <w:p w14:paraId="00000112" w14:textId="77777777" w:rsidR="00A758FD" w:rsidRPr="00B05859" w:rsidRDefault="00C81287">
            <w:pPr>
              <w:rPr>
                <w:sz w:val="20"/>
              </w:rPr>
            </w:pPr>
            <w:r w:rsidRPr="00B05859">
              <w:rPr>
                <w:sz w:val="20"/>
              </w:rPr>
              <w:t>Multi-criteria analyses</w:t>
            </w:r>
          </w:p>
        </w:tc>
        <w:tc>
          <w:tcPr>
            <w:tcW w:w="2347" w:type="dxa"/>
            <w:shd w:val="clear" w:color="auto" w:fill="767171"/>
          </w:tcPr>
          <w:p w14:paraId="00000113" w14:textId="77777777" w:rsidR="00A758FD" w:rsidRPr="00B05859" w:rsidRDefault="00C81287">
            <w:pPr>
              <w:rPr>
                <w:sz w:val="20"/>
              </w:rPr>
            </w:pPr>
            <w:r w:rsidRPr="00B05859">
              <w:rPr>
                <w:sz w:val="20"/>
              </w:rPr>
              <w:t>x</w:t>
            </w:r>
          </w:p>
        </w:tc>
        <w:tc>
          <w:tcPr>
            <w:tcW w:w="1741" w:type="dxa"/>
            <w:shd w:val="clear" w:color="auto" w:fill="767171"/>
          </w:tcPr>
          <w:p w14:paraId="00000114" w14:textId="77777777" w:rsidR="00A758FD" w:rsidRPr="00B05859" w:rsidRDefault="00C81287">
            <w:pPr>
              <w:rPr>
                <w:sz w:val="20"/>
              </w:rPr>
            </w:pPr>
            <w:r w:rsidRPr="00B05859">
              <w:rPr>
                <w:sz w:val="20"/>
              </w:rPr>
              <w:t>X</w:t>
            </w:r>
          </w:p>
        </w:tc>
        <w:tc>
          <w:tcPr>
            <w:tcW w:w="2057" w:type="dxa"/>
            <w:shd w:val="clear" w:color="auto" w:fill="767171"/>
          </w:tcPr>
          <w:p w14:paraId="00000115" w14:textId="77777777" w:rsidR="00A758FD" w:rsidRPr="00B05859" w:rsidRDefault="00C81287">
            <w:pPr>
              <w:rPr>
                <w:sz w:val="20"/>
              </w:rPr>
            </w:pPr>
            <w:r w:rsidRPr="00B05859">
              <w:rPr>
                <w:sz w:val="20"/>
              </w:rPr>
              <w:t>x</w:t>
            </w:r>
          </w:p>
        </w:tc>
      </w:tr>
      <w:tr w:rsidR="003666A4" w14:paraId="51C5B99F" w14:textId="77777777" w:rsidTr="00A758FD">
        <w:tc>
          <w:tcPr>
            <w:tcW w:w="3475" w:type="dxa"/>
          </w:tcPr>
          <w:p w14:paraId="00000116" w14:textId="77777777" w:rsidR="00A758FD" w:rsidRPr="00B05859" w:rsidRDefault="00C81287">
            <w:pPr>
              <w:rPr>
                <w:sz w:val="20"/>
              </w:rPr>
            </w:pPr>
            <w:r w:rsidRPr="00B05859">
              <w:rPr>
                <w:sz w:val="20"/>
              </w:rPr>
              <w:t>Case study learnings from past successes/failures</w:t>
            </w:r>
          </w:p>
        </w:tc>
        <w:tc>
          <w:tcPr>
            <w:tcW w:w="2347" w:type="dxa"/>
          </w:tcPr>
          <w:p w14:paraId="00000117" w14:textId="77777777" w:rsidR="00A758FD" w:rsidRPr="00B05859" w:rsidRDefault="00A758FD">
            <w:pPr>
              <w:rPr>
                <w:sz w:val="20"/>
              </w:rPr>
            </w:pPr>
          </w:p>
        </w:tc>
        <w:tc>
          <w:tcPr>
            <w:tcW w:w="1741" w:type="dxa"/>
          </w:tcPr>
          <w:p w14:paraId="00000118" w14:textId="77777777" w:rsidR="00A758FD" w:rsidRPr="00B05859" w:rsidRDefault="00A758FD">
            <w:pPr>
              <w:rPr>
                <w:sz w:val="20"/>
              </w:rPr>
            </w:pPr>
          </w:p>
        </w:tc>
        <w:tc>
          <w:tcPr>
            <w:tcW w:w="2057" w:type="dxa"/>
            <w:shd w:val="clear" w:color="auto" w:fill="767171"/>
          </w:tcPr>
          <w:p w14:paraId="00000119" w14:textId="77777777" w:rsidR="00A758FD" w:rsidRPr="00B05859" w:rsidRDefault="00C81287">
            <w:r w:rsidRPr="00B05859">
              <w:rPr>
                <w:sz w:val="20"/>
              </w:rPr>
              <w:t>x</w:t>
            </w:r>
          </w:p>
        </w:tc>
      </w:tr>
      <w:tr w:rsidR="003666A4" w14:paraId="296EDBDC" w14:textId="77777777" w:rsidTr="00A758FD">
        <w:tc>
          <w:tcPr>
            <w:tcW w:w="3475" w:type="dxa"/>
          </w:tcPr>
          <w:p w14:paraId="0000011A" w14:textId="77777777" w:rsidR="00A758FD" w:rsidRPr="00B05859" w:rsidRDefault="00C81287">
            <w:pPr>
              <w:rPr>
                <w:sz w:val="20"/>
              </w:rPr>
            </w:pPr>
            <w:r w:rsidRPr="00B05859">
              <w:rPr>
                <w:sz w:val="20"/>
              </w:rPr>
              <w:t>Evidence synthesis</w:t>
            </w:r>
          </w:p>
        </w:tc>
        <w:tc>
          <w:tcPr>
            <w:tcW w:w="2347" w:type="dxa"/>
          </w:tcPr>
          <w:p w14:paraId="0000011B" w14:textId="77777777" w:rsidR="00A758FD" w:rsidRPr="00B05859" w:rsidRDefault="00A758FD">
            <w:pPr>
              <w:rPr>
                <w:sz w:val="20"/>
              </w:rPr>
            </w:pPr>
          </w:p>
        </w:tc>
        <w:tc>
          <w:tcPr>
            <w:tcW w:w="1741" w:type="dxa"/>
          </w:tcPr>
          <w:p w14:paraId="0000011C" w14:textId="77777777" w:rsidR="00A758FD" w:rsidRPr="00B05859" w:rsidRDefault="00A758FD">
            <w:pPr>
              <w:rPr>
                <w:sz w:val="20"/>
              </w:rPr>
            </w:pPr>
          </w:p>
        </w:tc>
        <w:tc>
          <w:tcPr>
            <w:tcW w:w="2057" w:type="dxa"/>
            <w:shd w:val="clear" w:color="auto" w:fill="767171"/>
          </w:tcPr>
          <w:p w14:paraId="0000011D" w14:textId="77777777" w:rsidR="00A758FD" w:rsidRPr="00B05859" w:rsidRDefault="00C81287">
            <w:pPr>
              <w:rPr>
                <w:sz w:val="20"/>
              </w:rPr>
            </w:pPr>
            <w:r w:rsidRPr="00B05859">
              <w:rPr>
                <w:sz w:val="20"/>
              </w:rPr>
              <w:t>x</w:t>
            </w:r>
          </w:p>
        </w:tc>
      </w:tr>
      <w:tr w:rsidR="003666A4" w14:paraId="1CF54B42" w14:textId="77777777" w:rsidTr="00A758FD">
        <w:tc>
          <w:tcPr>
            <w:tcW w:w="3475" w:type="dxa"/>
          </w:tcPr>
          <w:p w14:paraId="0000011E" w14:textId="77777777" w:rsidR="00A758FD" w:rsidRPr="00B05859" w:rsidRDefault="00C81287">
            <w:pPr>
              <w:rPr>
                <w:sz w:val="20"/>
              </w:rPr>
            </w:pPr>
            <w:r w:rsidRPr="00B05859">
              <w:rPr>
                <w:sz w:val="20"/>
              </w:rPr>
              <w:t>Best management practices</w:t>
            </w:r>
          </w:p>
        </w:tc>
        <w:tc>
          <w:tcPr>
            <w:tcW w:w="2347" w:type="dxa"/>
          </w:tcPr>
          <w:p w14:paraId="0000011F" w14:textId="77777777" w:rsidR="00A758FD" w:rsidRPr="00B05859" w:rsidRDefault="00A758FD">
            <w:pPr>
              <w:rPr>
                <w:sz w:val="20"/>
              </w:rPr>
            </w:pPr>
          </w:p>
        </w:tc>
        <w:tc>
          <w:tcPr>
            <w:tcW w:w="1741" w:type="dxa"/>
          </w:tcPr>
          <w:p w14:paraId="00000120" w14:textId="77777777" w:rsidR="00A758FD" w:rsidRPr="00B05859" w:rsidRDefault="00A758FD">
            <w:pPr>
              <w:rPr>
                <w:sz w:val="20"/>
              </w:rPr>
            </w:pPr>
          </w:p>
        </w:tc>
        <w:tc>
          <w:tcPr>
            <w:tcW w:w="2057" w:type="dxa"/>
            <w:shd w:val="clear" w:color="auto" w:fill="767171"/>
          </w:tcPr>
          <w:p w14:paraId="00000121" w14:textId="77777777" w:rsidR="00A758FD" w:rsidRPr="00B05859" w:rsidRDefault="00C81287">
            <w:pPr>
              <w:rPr>
                <w:sz w:val="20"/>
              </w:rPr>
            </w:pPr>
            <w:r w:rsidRPr="00B05859">
              <w:rPr>
                <w:sz w:val="20"/>
              </w:rPr>
              <w:t>x</w:t>
            </w:r>
          </w:p>
        </w:tc>
      </w:tr>
    </w:tbl>
    <w:p w14:paraId="00000122" w14:textId="77777777" w:rsidR="00A758FD" w:rsidRPr="00B05859" w:rsidRDefault="00A758FD">
      <w:pPr>
        <w:ind w:right="240"/>
      </w:pPr>
    </w:p>
    <w:p w14:paraId="5BB79AA7" w14:textId="152AE0C7" w:rsidR="00FF69B9" w:rsidRDefault="004D38BB" w:rsidP="00315FE0">
      <w:pPr>
        <w:keepNext/>
        <w:pBdr>
          <w:top w:val="nil"/>
          <w:left w:val="nil"/>
          <w:bottom w:val="nil"/>
          <w:right w:val="nil"/>
          <w:between w:val="nil"/>
        </w:pBdr>
        <w:spacing w:before="120" w:after="120" w:line="264" w:lineRule="auto"/>
        <w:rPr>
          <w:rFonts w:ascii="Calibri" w:eastAsia="Calibri" w:hAnsi="Calibri" w:cs="Calibri"/>
          <w:color w:val="000000"/>
        </w:rPr>
      </w:pPr>
      <w:r w:rsidRPr="004D38BB">
        <w:rPr>
          <w:rFonts w:ascii="Calibri" w:eastAsia="Calibri" w:hAnsi="Calibri" w:cs="Calibri"/>
          <w:noProof/>
          <w:color w:val="000000"/>
        </w:rPr>
        <w:lastRenderedPageBreak/>
        <w:drawing>
          <wp:inline distT="0" distB="0" distL="0" distR="0" wp14:anchorId="3C95E802" wp14:editId="0319FCA4">
            <wp:extent cx="6115050" cy="6033770"/>
            <wp:effectExtent l="0" t="0" r="6350" b="0"/>
            <wp:docPr id="8" name="Picture 8" descr="A diagram of water syste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water systems&#10;&#10;Description automatically generated"/>
                    <pic:cNvPicPr/>
                  </pic:nvPicPr>
                  <pic:blipFill>
                    <a:blip r:embed="rId28"/>
                    <a:stretch>
                      <a:fillRect/>
                    </a:stretch>
                  </pic:blipFill>
                  <pic:spPr>
                    <a:xfrm>
                      <a:off x="0" y="0"/>
                      <a:ext cx="6115050" cy="6033770"/>
                    </a:xfrm>
                    <a:prstGeom prst="rect">
                      <a:avLst/>
                    </a:prstGeom>
                  </pic:spPr>
                </pic:pic>
              </a:graphicData>
            </a:graphic>
          </wp:inline>
        </w:drawing>
      </w:r>
    </w:p>
    <w:p w14:paraId="00000124" w14:textId="07D1E45E" w:rsidR="00A758FD" w:rsidRPr="00B05859" w:rsidRDefault="00C81287" w:rsidP="00B05859">
      <w:pPr>
        <w:keepNext/>
        <w:pBdr>
          <w:top w:val="nil"/>
          <w:left w:val="nil"/>
          <w:bottom w:val="nil"/>
          <w:right w:val="nil"/>
          <w:between w:val="nil"/>
        </w:pBdr>
        <w:spacing w:before="240" w:after="120" w:line="240" w:lineRule="auto"/>
        <w:rPr>
          <w:b/>
          <w:color w:val="000000"/>
        </w:rPr>
      </w:pPr>
      <w:bookmarkStart w:id="82" w:name="_heading=h.4i7ojhp" w:colFirst="0" w:colLast="0"/>
      <w:bookmarkStart w:id="83" w:name="_Ref104970037"/>
      <w:bookmarkStart w:id="84" w:name="_Toc87623100"/>
      <w:bookmarkStart w:id="85" w:name="_Toc147489357"/>
      <w:bookmarkEnd w:id="82"/>
      <w:r w:rsidRPr="00B05859">
        <w:rPr>
          <w:b/>
          <w:color w:val="000000" w:themeColor="text1"/>
        </w:rPr>
        <w:t>Figure 5</w:t>
      </w:r>
      <w:r w:rsidR="335BF9A5" w:rsidRPr="00837161">
        <w:t>.</w:t>
      </w:r>
      <w:r w:rsidR="335BF9A5" w:rsidRPr="00B05859">
        <w:rPr>
          <w:b/>
          <w:bCs/>
        </w:rPr>
        <w:fldChar w:fldCharType="begin"/>
      </w:r>
      <w:r w:rsidR="335BF9A5" w:rsidRPr="00B05859">
        <w:rPr>
          <w:b/>
          <w:bCs/>
        </w:rPr>
        <w:instrText xml:space="preserve"> SEQ Figure_5. \* ARABIC </w:instrText>
      </w:r>
      <w:r w:rsidR="335BF9A5" w:rsidRPr="00B05859">
        <w:rPr>
          <w:b/>
          <w:bCs/>
        </w:rPr>
        <w:fldChar w:fldCharType="separate"/>
      </w:r>
      <w:r w:rsidR="00DC77F8" w:rsidRPr="00B05859">
        <w:rPr>
          <w:b/>
          <w:bCs/>
          <w:noProof/>
        </w:rPr>
        <w:t>4</w:t>
      </w:r>
      <w:r w:rsidR="335BF9A5" w:rsidRPr="00B05859">
        <w:rPr>
          <w:b/>
          <w:bCs/>
        </w:rPr>
        <w:fldChar w:fldCharType="end"/>
      </w:r>
      <w:bookmarkEnd w:id="83"/>
      <w:r w:rsidR="00FC1BB2" w:rsidRPr="00B05859">
        <w:rPr>
          <w:b/>
          <w:bCs/>
        </w:rPr>
        <w:t>.</w:t>
      </w:r>
      <w:r w:rsidRPr="00B05859">
        <w:rPr>
          <w:b/>
          <w:color w:val="000000" w:themeColor="text1"/>
        </w:rPr>
        <w:t xml:space="preserve"> </w:t>
      </w:r>
      <w:r w:rsidRPr="00B05859">
        <w:rPr>
          <w:color w:val="000000" w:themeColor="text1"/>
        </w:rPr>
        <w:t xml:space="preserve">Applicability of different tools and methods along the conceptual diagram of management along the invasion curve which provides a continuum for management interventions. This shows how tools and methods support decision-making in relation to the management targets for </w:t>
      </w:r>
      <w:r w:rsidR="00AC5A0B">
        <w:rPr>
          <w:color w:val="000000" w:themeColor="text1"/>
        </w:rPr>
        <w:t xml:space="preserve">A) </w:t>
      </w:r>
      <w:r w:rsidRPr="00B05859">
        <w:rPr>
          <w:color w:val="000000" w:themeColor="text1"/>
        </w:rPr>
        <w:t xml:space="preserve">terrestrial and closed water systems (including coastal systems and salt marshes) and </w:t>
      </w:r>
      <w:r w:rsidR="00AC5A0B">
        <w:rPr>
          <w:color w:val="000000" w:themeColor="text1"/>
        </w:rPr>
        <w:t xml:space="preserve">B) in </w:t>
      </w:r>
      <w:r w:rsidRPr="00B05859">
        <w:rPr>
          <w:color w:val="000000" w:themeColor="text1"/>
        </w:rPr>
        <w:t xml:space="preserve">marine and connected water systems. </w:t>
      </w:r>
      <w:r w:rsidR="57686F81" w:rsidRPr="1CC6FE4C">
        <w:rPr>
          <w:rFonts w:eastAsia="Times New Roman"/>
          <w:color w:val="000000" w:themeColor="text1"/>
        </w:rPr>
        <w:t>G</w:t>
      </w:r>
      <w:r w:rsidRPr="1CC6FE4C">
        <w:rPr>
          <w:rFonts w:eastAsia="Times New Roman"/>
          <w:color w:val="000000" w:themeColor="text1"/>
        </w:rPr>
        <w:t>radient</w:t>
      </w:r>
      <w:r w:rsidR="00E87F41">
        <w:rPr>
          <w:rFonts w:eastAsia="Times New Roman"/>
          <w:color w:val="000000" w:themeColor="text1"/>
        </w:rPr>
        <w:t>s</w:t>
      </w:r>
      <w:r w:rsidRPr="00B05859">
        <w:rPr>
          <w:color w:val="000000" w:themeColor="text1"/>
        </w:rPr>
        <w:t xml:space="preserve"> indicate the management target and the associated tools and methods necessary to support management decision-making, as well as their relative focus changing as invasion progresses. This figure is conceptual, and the curves do not represent actual population dynamics of invasive alien species.</w:t>
      </w:r>
      <w:bookmarkEnd w:id="84"/>
      <w:bookmarkEnd w:id="85"/>
    </w:p>
    <w:p w14:paraId="00000125" w14:textId="77777777" w:rsidR="00A758FD" w:rsidRPr="00B05859" w:rsidRDefault="00C81287" w:rsidP="00604A0A">
      <w:pPr>
        <w:pStyle w:val="Heading4"/>
      </w:pPr>
      <w:bookmarkStart w:id="86" w:name="_heading=h.2xcytpi" w:colFirst="0" w:colLast="0"/>
      <w:bookmarkStart w:id="87" w:name="_Toc69313958"/>
      <w:bookmarkEnd w:id="86"/>
      <w:r w:rsidRPr="00B05859">
        <w:t>Horizon scanning</w:t>
      </w:r>
      <w:bookmarkEnd w:id="87"/>
      <w:r w:rsidRPr="00B05859">
        <w:t xml:space="preserve"> </w:t>
      </w:r>
    </w:p>
    <w:p w14:paraId="6983924E" w14:textId="79876835" w:rsidR="001B0409" w:rsidRPr="00837161" w:rsidRDefault="6F37074E" w:rsidP="00C11DFA">
      <w:pPr>
        <w:spacing w:before="240" w:after="120" w:line="240" w:lineRule="auto"/>
        <w:rPr>
          <w:rFonts w:eastAsia="Times New Roman"/>
        </w:rPr>
      </w:pPr>
      <w:r w:rsidRPr="00837161">
        <w:rPr>
          <w:lang w:eastAsia="en-AU"/>
        </w:rPr>
        <w:t>Horizon scanning is the systematic examination of</w:t>
      </w:r>
      <w:r w:rsidR="5A303FC8" w:rsidRPr="00837161">
        <w:rPr>
          <w:lang w:eastAsia="en-AU"/>
        </w:rPr>
        <w:t xml:space="preserve"> emerging and</w:t>
      </w:r>
      <w:r w:rsidRPr="00837161">
        <w:rPr>
          <w:lang w:eastAsia="en-AU"/>
        </w:rPr>
        <w:t xml:space="preserve"> future potential threats and opportunities within a given context </w:t>
      </w:r>
      <w:r w:rsidR="001B0409" w:rsidRPr="00837161">
        <w:rPr>
          <w:lang w:eastAsia="en-AU"/>
        </w:rPr>
        <w:fldChar w:fldCharType="begin"/>
      </w:r>
      <w:r w:rsidR="000F35EB">
        <w:rPr>
          <w:lang w:eastAsia="en-AU"/>
        </w:rPr>
        <w:instrText xml:space="preserve"> ADDIN ZOTERO_ITEM CSL_CITATION {"citationID":"bZYCSfVP","properties":{"formattedCitation":"(Food Standard Agency, 2018)","plainCitation":"(Food Standard Agency, 2018)","noteIndex":0},"citationItems":[{"id":16463,"uris":["http://zotero.org/groups/2352922/items/8XKJAVPJ"],"itemData":{"id":16463,"type":"document","title":"Glossary of terms","URL":"https://cot.food.gov.uk/moreinfo/cotglossary","author":[{"literal":"Food Standard Agency"}],"issued":{"date-parts":[["2018"]]}},"label":"page"}],"schema":"https://github.com/citation-style-language/schema/raw/master/csl-citation.json"} </w:instrText>
      </w:r>
      <w:r w:rsidR="001B0409" w:rsidRPr="00837161">
        <w:rPr>
          <w:lang w:eastAsia="en-AU"/>
        </w:rPr>
        <w:fldChar w:fldCharType="separate"/>
      </w:r>
      <w:r w:rsidR="00271B78" w:rsidRPr="00271B78">
        <w:t>(Food Standard Agency, 2018)</w:t>
      </w:r>
      <w:r w:rsidR="001B0409" w:rsidRPr="00837161">
        <w:rPr>
          <w:lang w:eastAsia="en-AU"/>
        </w:rPr>
        <w:fldChar w:fldCharType="end"/>
      </w:r>
      <w:r w:rsidR="502997B7" w:rsidRPr="00837161">
        <w:rPr>
          <w:lang w:eastAsia="en-AU"/>
        </w:rPr>
        <w:t xml:space="preserve"> and</w:t>
      </w:r>
      <w:r w:rsidR="3AAE7E0D" w:rsidRPr="00837161">
        <w:rPr>
          <w:lang w:eastAsia="en-AU"/>
        </w:rPr>
        <w:t xml:space="preserve"> has</w:t>
      </w:r>
      <w:r w:rsidRPr="00837161">
        <w:rPr>
          <w:lang w:eastAsia="en-AU"/>
        </w:rPr>
        <w:t xml:space="preserve"> been used to prioritize </w:t>
      </w:r>
      <w:r w:rsidR="05D80C39" w:rsidRPr="00837161">
        <w:rPr>
          <w:lang w:eastAsia="en-AU"/>
        </w:rPr>
        <w:t xml:space="preserve">potentially new alien species </w:t>
      </w:r>
      <w:r w:rsidRPr="00837161">
        <w:rPr>
          <w:lang w:eastAsia="en-AU"/>
        </w:rPr>
        <w:t>threat</w:t>
      </w:r>
      <w:r w:rsidR="05D80C39" w:rsidRPr="00837161">
        <w:rPr>
          <w:lang w:eastAsia="en-AU"/>
        </w:rPr>
        <w:t>s</w:t>
      </w:r>
      <w:r w:rsidRPr="00837161">
        <w:rPr>
          <w:lang w:eastAsia="en-AU"/>
        </w:rPr>
        <w:t xml:space="preserve"> </w:t>
      </w:r>
      <w:r w:rsidR="1E6B1902" w:rsidRPr="00837161">
        <w:rPr>
          <w:lang w:eastAsia="en-AU"/>
        </w:rPr>
        <w:t>in</w:t>
      </w:r>
      <w:r w:rsidRPr="00837161">
        <w:rPr>
          <w:lang w:eastAsia="en-AU"/>
        </w:rPr>
        <w:t xml:space="preserve"> jurisdiction</w:t>
      </w:r>
      <w:r w:rsidR="1E6B1902" w:rsidRPr="00837161">
        <w:rPr>
          <w:lang w:eastAsia="en-AU"/>
        </w:rPr>
        <w:t xml:space="preserve">s supporting </w:t>
      </w:r>
      <w:r w:rsidRPr="00837161">
        <w:rPr>
          <w:lang w:eastAsia="en-AU"/>
        </w:rPr>
        <w:t>preventi</w:t>
      </w:r>
      <w:r w:rsidR="0B4C7A7D" w:rsidRPr="00837161">
        <w:rPr>
          <w:lang w:eastAsia="en-AU"/>
        </w:rPr>
        <w:t xml:space="preserve">on and preparedness </w:t>
      </w:r>
      <w:r w:rsidR="001B0409" w:rsidRPr="00837161">
        <w:rPr>
          <w:lang w:eastAsia="en-AU"/>
        </w:rPr>
        <w:fldChar w:fldCharType="begin"/>
      </w:r>
      <w:r w:rsidR="000F35EB">
        <w:rPr>
          <w:lang w:eastAsia="en-AU"/>
        </w:rPr>
        <w:instrText xml:space="preserve"> ADDIN ZOTERO_ITEM CSL_CITATION {"citationID":"a4O1BrPy","properties":{"formattedCitation":"(Copp et al., 2007; H. E. Roy et al., 2014)","plainCitation":"(Copp et al., 2007; H. E. Roy et al., 2014)","noteIndex":0},"citationItems":[{"id":16462,"uris":["http://zotero.org/groups/2352922/items/UGLXHHYY"],"itemData":{"id":16462,"type":"article-journal","container-title":"Journal of Fish Biology","DOI":"10.1111/j.1095-8649.2007.01680.x","ISSN":"00221112","issue":"sd","language":"en","page":"148-159","source":"DOI.org (Crossref)","title":"Propagule pressure and the invasion risks of non-native freshwater fishes: a case study in England","title-short":"Propagule pressure and the invasion risks of non-native freshwater fishes","URL":"http://doi.wiley.com/10.1111/j.1095-8649.2007.01680.x","volume":"71","author":[{"family":"Copp","given":"G. H."},{"family":"Templeton","given":"M."},{"family":"Gozlan","given":"R. E."}],"accessed":{"date-parts":[["2019",11,27]]},"issued":{"date-parts":[["2007",12,12]]}},"label":"page"},{"id":29206,"uris":["http://zotero.org/groups/2352922/items/5DTUMWU6"],"itemData":{"id":29206,"type":"article-journal","abstract":"Abstract Invasive alien species (IAS) are considered one of the greatest threats to biodiversity, particularly through their interactions with other drivers of change. Horizon scanning, the systematic examination of future potential threats and opportunities, leading to prioritization of IAS threats is seen as an essential component of IAS management. Our aim was to consider IAS that were likely to impact on native biodiversity but were not yet established in the wild in Great Britain. To achieve this, we developed an approach which coupled consensus methods (which have previously been used for collaboratively identifying priorities in other contexts) with rapid risk assessment. The process involved two distinct phases: Preliminary consultation with experts within five groups (plants, terrestrial invertebrates, freshwater invertebrates, vertebrates and marine species) to derive ranked lists of potential IAS. Consensus-building across expert groups to compile and rank the entire list of potential IAS. Five hundred and ninety-one species not native to Great Britain were considered. Ninety-three of these species were agreed to constitute at least a medium risk (based on score and consensus) with respect to them arriving, establishing and posing a threat to native biodiversity. The quagga mussel, Dreissena rostriformis bugensis, received maximum scores for risk of arrival, establishment and impact; following discussions the unanimous consensus was to rank it in the top position. A further 29 species were considered to constitute a high risk and were grouped according to their ranked risk. The remaining 63 species were considered as medium risk, and included in an unranked long list. The information collated through this novel extension of the consensus method for horizon scanning provides evidence for underpinning and prioritizing management both for the species and, perhaps more importantly, their pathways of arrival. Although our study focused on Great Britain, we suggest that the methods adopted are applicable globally.","container-title":"Global Change Biology","DOI":"10.1111/gcb.12603","ISSN":"13541013","issue":"12","journalAbbreviation":"Glob Change Biol","language":"en","page":"3859-3871","source":"DOI.org (Crossref)","title":"Horizon scanning for invasive alien species with the potential to threaten biodiversity in Great Britain","URL":"http://doi.wiley.com/10.1111/gcb.12603","volume":"20","author":[{"family":"Roy","given":"Helen E."},{"family":"Peyton","given":"Jodey M."},{"family":"Aldridge","given":"David C."},{"family":"Bantock","given":"Tristan"},{"family":"Blackburn","given":"Tim M."},{"family":"Britton","given":"Robert"},{"family":"Clark","given":"Paul"},{"family":"Cook","given":"Elizabeth"},{"family":"Dehnen-Schmutz","given":"Katharina"},{"family":"Dines","given":"Trevor"},{"family":"Dobson","given":"Michael"},{"family":"Edwards","given":"François"},{"family":"Harrower","given":"Colin"},{"family":"Harvey","given":"Martin C."},{"family":"Minchin","given":"Dan"},{"family":"Noble","given":"David G."},{"family":"Parrott","given":"Dave"},{"family":"Pocock","given":"Michael J. O."},{"family":"Preston","given":"Chris D."},{"family":"Roy","given":"Sugoto"},{"family":"Salisbury","given":"Andrew"},{"family":"Schönrogge","given":"Karsten"},{"family":"Sewell","given":"Jack"},{"family":"Shaw","given":"Richard H."},{"family":"Stebbing","given":"Paul"},{"family":"Stewart","given":"Alan J. A."},{"family":"Walker","given":"Kevin J."}],"accessed":{"date-parts":[["2019",10,12]]},"issued":{"date-parts":[["2014",12]]}},"label":"page"}],"schema":"https://github.com/citation-style-language/schema/raw/master/csl-citation.json"} </w:instrText>
      </w:r>
      <w:r w:rsidR="001B0409" w:rsidRPr="00837161">
        <w:rPr>
          <w:lang w:eastAsia="en-AU"/>
        </w:rPr>
        <w:fldChar w:fldCharType="separate"/>
      </w:r>
      <w:r w:rsidR="00271B78" w:rsidRPr="00271B78">
        <w:t>(Copp et al., 2007; H. E. Roy et al., 2014)</w:t>
      </w:r>
      <w:r w:rsidR="001B0409" w:rsidRPr="00837161">
        <w:rPr>
          <w:lang w:eastAsia="en-AU"/>
        </w:rPr>
        <w:fldChar w:fldCharType="end"/>
      </w:r>
      <w:r w:rsidRPr="00837161">
        <w:rPr>
          <w:lang w:eastAsia="en-AU"/>
        </w:rPr>
        <w:t xml:space="preserve">. </w:t>
      </w:r>
      <w:r w:rsidR="5F46FBBA" w:rsidRPr="00837161">
        <w:rPr>
          <w:lang w:eastAsia="en-AU"/>
        </w:rPr>
        <w:t>H</w:t>
      </w:r>
      <w:r w:rsidRPr="00837161">
        <w:rPr>
          <w:lang w:eastAsia="en-AU"/>
        </w:rPr>
        <w:t>orizon</w:t>
      </w:r>
      <w:r w:rsidR="17156DDF" w:rsidRPr="00837161">
        <w:rPr>
          <w:lang w:eastAsia="en-AU"/>
        </w:rPr>
        <w:t xml:space="preserve"> </w:t>
      </w:r>
      <w:r w:rsidRPr="00837161">
        <w:rPr>
          <w:lang w:eastAsia="en-AU"/>
        </w:rPr>
        <w:t xml:space="preserve">scanning </w:t>
      </w:r>
      <w:r w:rsidR="5F46FBBA" w:rsidRPr="00837161">
        <w:rPr>
          <w:lang w:eastAsia="en-AU"/>
        </w:rPr>
        <w:t xml:space="preserve">has </w:t>
      </w:r>
      <w:r w:rsidR="63CEE4CD" w:rsidRPr="00837161">
        <w:rPr>
          <w:lang w:eastAsia="en-AU"/>
        </w:rPr>
        <w:t xml:space="preserve">been </w:t>
      </w:r>
      <w:r w:rsidR="5FFE8945" w:rsidRPr="00837161">
        <w:rPr>
          <w:lang w:eastAsia="en-AU"/>
        </w:rPr>
        <w:t>considered for</w:t>
      </w:r>
      <w:r w:rsidRPr="00837161">
        <w:rPr>
          <w:lang w:eastAsia="en-AU"/>
        </w:rPr>
        <w:t xml:space="preserve"> discrete taxonomic groups, such as plants </w:t>
      </w:r>
      <w:r w:rsidR="001B0409" w:rsidRPr="00837161">
        <w:rPr>
          <w:lang w:eastAsia="en-AU"/>
        </w:rPr>
        <w:fldChar w:fldCharType="begin"/>
      </w:r>
      <w:r w:rsidR="000F35EB">
        <w:rPr>
          <w:lang w:eastAsia="en-AU"/>
        </w:rPr>
        <w:instrText xml:space="preserve"> ADDIN ZOTERO_ITEM CSL_CITATION {"citationID":"BHdSweX5","properties":{"formattedCitation":"(Andreu &amp; Vil\\uc0\\u224{}, 2010)","plainCitation":"(Andreu &amp; Vilà, 2010)","noteIndex":0},"citationItems":[{"id":16465,"uris":["http://zotero.org/groups/2352922/items/U9NZYZUF"],"itemData":{"id":16465,"type":"article-journal","container-title":"Journal for Nature Conservation","DOI":"10.1016/j.jnc.2009.02.002","ISSN":"16171381","issue":"1","journalAbbreviation":"Journal for Nature Conservation","language":"en","page":"34-44","source":"DOI.org (Crossref)","title":"Risk analysis of potential invasive plants in Spain","URL":"https://linkinghub.elsevier.com/retrieve/pii/S161713810900017X","volume":"18","author":[{"family":"Andreu","given":"Jara"},{"family":"Vilà","given":"Montserrat"}],"accessed":{"date-parts":[["2019",11,27]]},"issued":{"date-parts":[["2010",1]]}},"label":"page"}],"schema":"https://github.com/citation-style-language/schema/raw/master/csl-citation.json"} </w:instrText>
      </w:r>
      <w:r w:rsidR="001B0409" w:rsidRPr="00837161">
        <w:rPr>
          <w:lang w:eastAsia="en-AU"/>
        </w:rPr>
        <w:fldChar w:fldCharType="separate"/>
      </w:r>
      <w:r w:rsidR="00271B78" w:rsidRPr="00271B78">
        <w:t>(Andreu &amp; Vilà, 2010)</w:t>
      </w:r>
      <w:r w:rsidR="001B0409" w:rsidRPr="00837161">
        <w:rPr>
          <w:lang w:eastAsia="en-AU"/>
        </w:rPr>
        <w:fldChar w:fldCharType="end"/>
      </w:r>
      <w:r w:rsidRPr="00837161">
        <w:rPr>
          <w:lang w:eastAsia="en-AU"/>
        </w:rPr>
        <w:t xml:space="preserve"> or animals </w:t>
      </w:r>
      <w:r w:rsidR="001B0409" w:rsidRPr="00837161">
        <w:rPr>
          <w:lang w:eastAsia="en-AU"/>
        </w:rPr>
        <w:fldChar w:fldCharType="begin"/>
      </w:r>
      <w:r w:rsidR="000F35EB">
        <w:rPr>
          <w:lang w:eastAsia="en-AU"/>
        </w:rPr>
        <w:instrText xml:space="preserve"> ADDIN ZOTERO_ITEM CSL_CITATION {"citationID":"CfWmFH0i","properties":{"formattedCitation":"(Parrot et al., 2009)","plainCitation":"(Parrot et al., 2009)","noteIndex":0},"citationItems":[{"id":11216,"uris":["http://zotero.org/groups/2352922/items/5JK6WATP"],"itemData":{"id":11216,"type":"report","note":"ISSN 2040-5545","number":"Natural England Commissioned Report NECR009","page":"121","publisher":"Natural England","title":"Horizon scanning for new invasive non-native animal species in England","URL":"http://publications.naturalengland.org.uk/publication/43005","author":[{"family":"Parrot","given":"Dave"},{"family":"Roy","given":"Sugoto"},{"family":"Baker","given":"Richard"},{"family":"Cannon","given":"Ray"},{"family":"Eyre","given":"Dominic"},{"family":"Hill","given":"Mark"},{"family":"Wagner","given":"Marcus"},{"family":"Preston","given":"Chris"},{"family":"Roy","given":"Helen"},{"family":"Beckmann","given":"Björn"},{"family":"Copp","given":"Gordon H."},{"family":"Edmonds","given":"Nathan"},{"family":"Ellis","given":"Jim"},{"family":"Laing","given":"Ian"},{"family":"Britton","given":"J. Robert"},{"family":"Gozlan","given":"Rodolphe E."},{"family":"Mumford","given":"John"}],"issued":{"date-parts":[["2009"]]}},"label":"page"}],"schema":"https://github.com/citation-style-language/schema/raw/master/csl-citation.json"} </w:instrText>
      </w:r>
      <w:r w:rsidR="001B0409" w:rsidRPr="00837161">
        <w:rPr>
          <w:lang w:eastAsia="en-AU"/>
        </w:rPr>
        <w:fldChar w:fldCharType="separate"/>
      </w:r>
      <w:r w:rsidR="00271B78" w:rsidRPr="00271B78">
        <w:t>(Parrot et al., 2009)</w:t>
      </w:r>
      <w:r w:rsidR="001B0409" w:rsidRPr="00837161">
        <w:rPr>
          <w:lang w:eastAsia="en-AU"/>
        </w:rPr>
        <w:fldChar w:fldCharType="end"/>
      </w:r>
      <w:r w:rsidRPr="00837161">
        <w:rPr>
          <w:lang w:eastAsia="en-AU"/>
        </w:rPr>
        <w:t xml:space="preserve">, </w:t>
      </w:r>
      <w:r w:rsidR="0062292D">
        <w:rPr>
          <w:lang w:eastAsia="en-AU"/>
        </w:rPr>
        <w:t xml:space="preserve">and </w:t>
      </w:r>
      <w:r w:rsidRPr="00837161">
        <w:rPr>
          <w:lang w:eastAsia="en-AU"/>
        </w:rPr>
        <w:t xml:space="preserve">specific environments such as freshwater </w:t>
      </w:r>
      <w:r w:rsidR="001B0409" w:rsidRPr="00837161">
        <w:rPr>
          <w:lang w:eastAsia="en-AU"/>
        </w:rPr>
        <w:fldChar w:fldCharType="begin"/>
      </w:r>
      <w:r w:rsidR="000F35EB">
        <w:rPr>
          <w:lang w:eastAsia="en-AU"/>
        </w:rPr>
        <w:instrText xml:space="preserve"> ADDIN ZOTERO_ITEM CSL_CITATION {"citationID":"Oet5iRIF","properties":{"formattedCitation":"(Gallardo &amp; Aldridge, 2013)","plainCitation":"(Gallardo &amp; Aldridge, 2013)","noteIndex":0},"citationItems":[{"id":29372,"uris":["http://zotero.org/groups/2352922/items/EJA5SJKC"],"itemData":{"id":29372,"type":"article-journal","abstract":"Aquatic invasive species are a growing concern to environmental managers because of their diverse impacts on aquatic biodiversity and high eradication costs, necessitating effective management policies. In this study, we evaluate the ability of environmental and socio-economic factors to predict the risk of invasion in Great Britain and Ireland of 12 potential aquatic invaders covering all major aquatic groups. Despite their potential to inform risk assessments, this is the first time socio-economic factors related to propagule pressure have been specifically integrated in distribution modelling. Species distribution models (SDM, MaxEnt algorithm) were calibrated with a set of environmental factors (e.g. bioclimatic, geographical and geological) and integrated with socio-economic (e.g. human influence index, population density, closeness to ports) predictors. The inclusion of socio-economic factors in SDM did not affect accuracy scores (AUC already &gt;0·90), but their effects were more pronounced in spatial predictions, resulting in up to a sixfold amplification of the area predicted suitable for each species. Despite the inclusion of potential surrogates of water chemistry (e.g. geology) and propagule pressure (e.g. population density), temperature-related variables were most important predictors of aquatic species' distributions. According to SDM, the environmental suitability for a suite of invaders belonging to different taxonomic groups and regions of origin is greatest in east and south-east England and decreases towards the north and west. Multiple invasions in this region are of special concern, as species are known to modify their habitat facilitating subsequent invasions, thereby potentially exacerbating their impacts. Major management regions to be prioritized in monitoring programmes include the Humber, Thames and Anglian River Basin Districts. Species of special concern include a mysid (Hemimysis anomala), a gammarid (Dikerogammarus villosus), a plant (Ludwigia grandiflora) and two crayfishes (Procambarus clarkii and P. fallax). Synthesis and Applications. The inclusion of socio-economic factors in species distribution models has the potential to improve predictions of areas under a highest risk of multiple invasions and to help disentangle the complex interplay between biological invasions and global environmental and socio-economic processes. Such understanding is pivotal to prioritize limited resources for the optimum prevention and control of biological invasions.","container-title":"Journal of Applied Ecology","DOI":"10.1111/1365-2664.12079","ISSN":"1365-2664","issue":"3","journalAbbreviation":"J Appl Ecol","language":"en","license":"© 2013 The Authors. Journal of Applied Ecology © 2013 British Ecological Society","page":"757-766","source":"Wiley Online Library","title":"The ‘dirty dozen’: socio-economic factors amplify the invasion potential of 12 high-risk aquatic invasive species in Great Britain and Ireland","title-short":"The ‘dirty dozen’","URL":"https://besjournals.onlinelibrary.wiley.com/doi/abs/10.1111/1365-2664.12079","volume":"50","author":[{"family":"Gallardo","given":"Belinda"},{"family":"Aldridge","given":"David C."}],"accessed":{"date-parts":[["2019",10,24]]},"issued":{"date-parts":[["2013"]]}},"label":"page"}],"schema":"https://github.com/citation-style-language/schema/raw/master/csl-citation.json"} </w:instrText>
      </w:r>
      <w:r w:rsidR="001B0409" w:rsidRPr="00837161">
        <w:rPr>
          <w:lang w:eastAsia="en-AU"/>
        </w:rPr>
        <w:fldChar w:fldCharType="separate"/>
      </w:r>
      <w:r w:rsidR="00271B78" w:rsidRPr="00271B78">
        <w:t>(Gallardo &amp; Aldridge, 2013)</w:t>
      </w:r>
      <w:r w:rsidR="001B0409" w:rsidRPr="00837161">
        <w:rPr>
          <w:lang w:eastAsia="en-AU"/>
        </w:rPr>
        <w:fldChar w:fldCharType="end"/>
      </w:r>
      <w:r w:rsidRPr="00837161">
        <w:rPr>
          <w:lang w:eastAsia="en-AU"/>
        </w:rPr>
        <w:t xml:space="preserve">, at the </w:t>
      </w:r>
      <w:r w:rsidR="5FFE8945" w:rsidRPr="00837161">
        <w:rPr>
          <w:lang w:eastAsia="en-AU"/>
        </w:rPr>
        <w:t xml:space="preserve">national </w:t>
      </w:r>
      <w:r w:rsidRPr="00837161">
        <w:rPr>
          <w:lang w:eastAsia="en-AU"/>
        </w:rPr>
        <w:t xml:space="preserve">level </w:t>
      </w:r>
      <w:r w:rsidR="001B0409" w:rsidRPr="00837161">
        <w:rPr>
          <w:lang w:eastAsia="en-AU"/>
        </w:rPr>
        <w:fldChar w:fldCharType="begin"/>
      </w:r>
      <w:r w:rsidR="000F35EB">
        <w:rPr>
          <w:lang w:eastAsia="en-AU"/>
        </w:rPr>
        <w:instrText xml:space="preserve"> ADDIN ZOTERO_ITEM CSL_CITATION {"citationID":"8IzPlWCa","properties":{"formattedCitation":"(Lucy et al., 2020; Peyton et al., 2019)","plainCitation":"(Lucy et al., 2020; Peyton et al., 2019)","noteIndex":0},"citationItems":[{"id":22696,"uris":["http://zotero.org/groups/2352922/items/Y8H3MAP9"],"itemData":{"id":22696,"type":"article-journal","container-title":"Management of Biological Invasions","DOI":"10.3391/mbi.2020.11.2.01","ISSN":"19898649","issue":"2","journalAbbreviation":"MBI","page":"155-177","source":"DOI.org (Crossref)","title":"Horizon scan of invasive alien species for the island of Ireland","URL":"https://www.reabic.net/journals/mbi/2020/Issue2.aspx","volume":"11","author":[{"family":"Lucy","given":"F. E."},{"family":"Davis","given":"Eithne"},{"family":"Anderson","given":"R"},{"family":"Booy","given":"Olaf"},{"family":"Bradley","given":"Ken"},{"family":"Britton","given":"J. Robert"},{"family":"Byrne","given":"Colin"},{"family":"Caffrey","given":"Joseph M."},{"family":"Coughlan","given":"Neil E."},{"family":"Crane","given":"Kate"},{"family":"Cuthbert","given":"Ross N."},{"family":"Dick","given":"Jaimie T.A."},{"family":"Dickey","given":"James W.E."},{"family":"Fisher","given":"Jeffrey"},{"family":"Gallagher","given":"Cathal"},{"family":"Harrison","given":"Simon"},{"family":"Jebb","given":"Matthew"},{"family":"Johnson","given":"Mark"},{"family":"Lawton","given":"Colin"},{"family":"Lyons","given":"Dave"},{"family":"Mackie","given":"Tim"},{"family":"Maggs","given":"Christine"},{"family":"Marnell","given":"Ferdia"},{"family":"McLoughlin","given":"Tom"},{"family":"Minchin","given":"Dan"},{"family":"Monaghan","given":"Oonagh"},{"family":"Montgomery","given":"Ian"},{"family":"Moore","given":"Niall"},{"family":"Morrison","given":"Liam"},{"family":"Muir","given":"Rose"},{"family":"Nelson","given":"Brian"},{"family":"Niven","given":"Art"},{"family":"O’Flynn","given":"Colette"},{"family":"Osborne","given":"Bruce"},{"family":"O’Riordan","given":"Ruth M."},{"family":"Reid","given":"Neil"},{"family":"Roy","given":"Helen"},{"family":"Sheehan","given":"Rory"},{"family":"Stewart","given":"Dorothy"},{"family":"Sullivan","given":"Monica"},{"family":"Tierney","given":"Paula"},{"family":"Treacy","given":"Paula"},{"family":"Tricarico","given":"Elena"},{"family":"Trodd","given":"Wayne"}],"accessed":{"date-parts":[["2020",6,9]]},"issued":{"date-parts":[["2020"]]}},"label":"page"},{"id":52612,"uris":["http://zotero.org/groups/2352922/items/IC93DJC2"],"itemData":{"id":52612,"type":"article-journal","abstract":"Invasive alien species (IAS) are one of the major drivers of change that can negatively affect biodiversity, ecosystem functions and services and human health; islands are particularly vulnerable to biological invasions. Horizon scanning can lead to prioritisation of IAS to inform decision-making and action; its scale and scope can vary depending on the need. We focussed on IAS likely to arrive, establish and affect biodiversity and human health on the Mediterranean island of Cyprus. The scope of the horizon scanning was the entire island of Cyprus. We used a two-step consensus-building process in which experts reviewed and scored lists of alien species on their likelihood of arrival, establishment and potential to affect biodiversity, ecosystems and/or human health in the next 10 years. We reviewed 225 alien species, considered to be currently absent on Cyprus, across taxa and environments. We agreed upon 100 species that constituted very high, high or medium biodiversity risk, often arriving through multiple pathways of introduction. The remaining 125 species were ranked as low risk. The potential impacts on human health were documented for all 225 species; 82 species were considered to have a potentially negative impact on human health ranging from nuisance to disease transmission. The scope of the horizon scanning was the entire island of Cyprus, but the thematic groups also considered the relevance of the top 100 species to the Sovereign Base Areas of Cyprus, given their differing governance. This horizon scan provides the first systematic exercise to identify invasive alien species of potential concern to biodiversity and ecosystems but also human health within the Mediterranean region. The process and outcomes should provide other islands in the region and beyond with baseline data to improve IAS prioritisation and management.","container-title":"Biological Invasions","DOI":"10.1007/s10530-019-01961-7","ISSN":"1573-1464","issue":"6","journalAbbreviation":"Biol Invasions","language":"en","page":"2107-2125","source":"Springer Link","title":"Horizon scanning for invasive alien species with the potential to threaten biodiversity and human health on a Mediterranean island","URL":"https://doi.org/10.1007/s10530-019-01961-7","volume":"21","author":[{"family":"Peyton","given":"Jodey"},{"family":"Martinou","given":"Angeliki F."},{"family":"Pescott","given":"Oliver L."},{"family":"Demetriou","given":"Monica"},{"family":"Adriaens","given":"Tim"},{"family":"Arianoutsou","given":"Margarita"},{"family":"Bazos","given":"Ioannis"},{"family":"Bean","given":"Colin W."},{"family":"Booy","given":"Olaf"},{"family":"Botham","given":"Marc"},{"family":"Britton","given":"J. Robert"},{"family":"Cervia","given":"Javier Lobon"},{"family":"Charilaou","given":"Pantelis"},{"family":"Chartosia","given":"Niki"},{"family":"Dean","given":"Hannah J."},{"family":"Delipetrou","given":"Pinelopi"},{"family":"Dimitriou","given":"Andreas C."},{"family":"Dörflinger","given":"Gerald"},{"family":"Fawcett","given":"Jim"},{"family":"Fyttis","given":"Georgios"},{"family":"Galanidis","given":"Alexandros"},{"family":"Galil","given":"Bella"},{"family":"Hadjikyriakou","given":"Thomas"},{"family":"Hadjistylli","given":"Margarita"},{"family":"Ieronymidou","given":"Christina"},{"family":"Jimenez","given":"Carlos"},{"family":"Karachle","given":"Paraskevi"},{"family":"Kassinis","given":"Nikos"},{"family":"Kerametsidis","given":"George"},{"family":"Kirschel","given":"Alexander N. G."},{"family":"Kleitou","given":"Periklis"},{"family":"Kleitou","given":"Demetris"},{"family":"Manolaki","given":"Paraskevi"},{"family":"Michailidis","given":"Nikolas"},{"family":"Mountford","given":"J. Owen"},{"family":"Nikolaou","given":"Charis"},{"family":"Papatheodoulou","given":"Athina"},{"family":"Payiatas","given":"Giorgios"},{"family":"Ribeiro","given":"Filipe"},{"family":"Rorke","given":"Stephanie L."},{"family":"Samuel","given":"Yianna"},{"family":"Savvides","given":"Pantelis"},{"family":"Schafer","given":"Stefanie M."},{"family":"Tarkan","given":"Ali Serhan"},{"family":"Silva-Rocha","given":"Iolanda"},{"family":"Top","given":"Nildeniz"},{"family":"Tricarico","given":"Elena"},{"family":"Turvey","given":"Katherine"},{"family":"Tziortzis","given":"Iakovos"},{"family":"Tzirkalli","given":"Elli"},{"family":"Verreycken","given":"Hugo"},{"family":"Winfield","given":"Ian J."},{"family":"Zenetos","given":"Argyro"},{"family":"Roy","given":"Helen E."}],"accessed":{"date-parts":[["2022",7,26]]},"issued":{"date-parts":[["2019",6,1]]}},"label":"page"}],"schema":"https://github.com/citation-style-language/schema/raw/master/csl-citation.json"} </w:instrText>
      </w:r>
      <w:r w:rsidR="001B0409" w:rsidRPr="00837161">
        <w:rPr>
          <w:lang w:eastAsia="en-AU"/>
        </w:rPr>
        <w:fldChar w:fldCharType="separate"/>
      </w:r>
      <w:r w:rsidR="00271B78" w:rsidRPr="00271B78">
        <w:t>(Lucy et al., 2020; Peyton et al., 2019)</w:t>
      </w:r>
      <w:r w:rsidR="001B0409" w:rsidRPr="00837161">
        <w:rPr>
          <w:lang w:eastAsia="en-AU"/>
        </w:rPr>
        <w:fldChar w:fldCharType="end"/>
      </w:r>
      <w:r w:rsidRPr="00837161">
        <w:rPr>
          <w:lang w:eastAsia="en-AU"/>
        </w:rPr>
        <w:t xml:space="preserve"> or for a wider region </w:t>
      </w:r>
      <w:r w:rsidR="001B0409" w:rsidRPr="00837161">
        <w:rPr>
          <w:lang w:eastAsia="en-AU"/>
        </w:rPr>
        <w:fldChar w:fldCharType="begin"/>
      </w:r>
      <w:r w:rsidR="000F35EB">
        <w:rPr>
          <w:lang w:eastAsia="en-AU"/>
        </w:rPr>
        <w:instrText xml:space="preserve"> ADDIN ZOTERO_ITEM CSL_CITATION {"citationID":"4mJVb9jE","properties":{"formattedCitation":"(H. E. Roy, Bacher, et al., 2018)","plainCitation":"(H. E. Roy, Bacher, et al., 2018)","noteIndex":0},"citationItems":[{"id":11384,"uris":["http://zotero.org/groups/2352922/items/N8IFHGIK"],"itemData":{"id":11384,"type":"article-journal","abstract":"The European Union (EU) has recently published its first list of invasive alien species (IAS) of EU concern to which current legislation must apply. The list comprises species known to pose great threats to biodiversity and needs to be maintained and updated. Horizon scanning is seen as critical to identify the most threatening potential IAS that do not yet occur in Europe to be subsequently risk assessed for future listing. Accordingly, we present a systematic consensus horizon scanning procedure to derive a ranked list of potential IAS likely to arrive, establish, spread and have an impact on biodiversity in the region over the next decade. The approach is unique in the continental scale examined, the breadth of taxonomic groups and environments considered, and the methods and data sources used. International experts were brought together to address five broad thematic groups of potential IAS. For each thematic group the experts first independently assembled lists of potential IAS not yet established in the EU but potentially threatening biodiversity if introduced. Experts were asked to score the species within their thematic group for their separate likelihoods of i) arrival, ii) establishment, iii) spread, and iv) magnitude of the potential negative impact on biodiversity within the EU. Experts then convened for a 2-day workshop applying consensus methods to compile a ranked list of potential IAS. From an initial working list of 329 species, a list of 66 species not yet established in the EU that were considered to be very high (8 species), high (40 species) or medium (18 species) risk species was derived. Here, we present these species highlighting the potential negative impacts and the most likely biogeographic regions to be affected by these potential IAS.","container-title":"Global Change Biology","DOI":"10.1111/gcb.14527","ISSN":"1354-1013, 1365-2486","issue":"3","journalAbbreviation":"Glob Change Biol","language":"en","page":"1032-1048","source":"DOI.org (Crossref)","title":"Developing a list of invasive alien species likely to threaten biodiversity and ecosystems in the European Union","URL":"https://onlinelibrary.wiley.com/doi/abs/10.1111/gcb.14527","volume":"25","author":[{"family":"Roy","given":"Helen E."},{"family":"Bacher","given":"Sven"},{"family":"Essl","given":"Franz"},{"family":"Adriaens","given":"Tim"},{"family":"Aldridge","given":"David C."},{"family":"Bishop","given":"John D. D."},{"family":"Blackburn","given":"Tim M."},{"family":"Branquart","given":"Etienne"},{"family":"Brodie","given":"Juliet"},{"family":"Carboneras","given":"Carles"},{"family":"Cottier-Cook","given":"Elizabeth J."},{"family":"Copp","given":"Gordon H."},{"family":"Dean","given":</w:instrText>
      </w:r>
      <w:r w:rsidR="000F35EB">
        <w:rPr>
          <w:rFonts w:hint="eastAsia"/>
          <w:lang w:eastAsia="en-AU"/>
        </w:rPr>
        <w:instrText>"Hannah J."},{"family":"Eilenberg","given":"Jørgen"},{"family":"Gallardo","given":"Belinda"},{"family":"Garcia","given":"Mariana"},{"family":"García</w:instrText>
      </w:r>
      <w:r w:rsidR="000F35EB">
        <w:rPr>
          <w:rFonts w:hint="eastAsia"/>
          <w:lang w:eastAsia="en-AU"/>
        </w:rPr>
        <w:instrText>‐</w:instrText>
      </w:r>
      <w:r w:rsidR="000F35EB">
        <w:rPr>
          <w:rFonts w:hint="eastAsia"/>
          <w:lang w:eastAsia="en-AU"/>
        </w:rPr>
        <w:instrText>Berthou","given":"Emili"},{"family":"Genovesi","given":"Piero"},{"family":"Hulme","given":"Philip E."},{"f</w:instrText>
      </w:r>
      <w:r w:rsidR="000F35EB">
        <w:rPr>
          <w:lang w:eastAsia="en-AU"/>
        </w:rPr>
        <w:instrText xml:space="preserve">amily":"Kenis","given":"Marc"},{"family":"Kerckhof","given":"Francis"},{"family":"Kettunen","given":"Marianne"},{"family":"Minchin","given":"Dan"},{"family":"Nentwig","given":"Wolfgang"},{"family":"Nieto","given":"Ana"},{"family":"Pergl","given":"Jan"},{"family":"Pescott","given":"Oliver L."},{"family":"Peyton","given":"Jodey M."},{"family":"Preda","given":"Cristina"},{"family":"Roques","given":"Alain"},{"family":"Rorke","given":"Steph L."},{"family":"Scalera","given":"Riccardo"},{"family":"Schindler","given":"Stefan"},{"family":"Schönrogge","given":"Karsten"},{"family":"Sewell","given":"Jack"},{"family":"Solarz","given":"Wojciech"},{"family":"Stewart","given":"Alan J. A."},{"family":"Tricarico","given":"Elena"},{"family":"Vanderhoeven","given":"Sonia"},{"family":"Velde","given":"Gerard","non-dropping-particle":"van der"},{"family":"Vilà","given":"Montserrat"},{"family":"Wood","given":"Christine A."},{"family":"Zenetos","given":"Argyro"},{"family":"Rabitsch","given":"Wolfgang"}],"accessed":{"date-parts":[["2019",11,27]]},"issued":{"date-parts":[["2018",12,12]]}},"label":"page"}],"schema":"https://github.com/citation-style-language/schema/raw/master/csl-citation.json"} </w:instrText>
      </w:r>
      <w:r w:rsidR="001B0409" w:rsidRPr="00837161">
        <w:rPr>
          <w:lang w:eastAsia="en-AU"/>
        </w:rPr>
        <w:fldChar w:fldCharType="separate"/>
      </w:r>
      <w:r w:rsidR="00271B78" w:rsidRPr="00271B78">
        <w:t>(H. E. Roy, Bacher, et al., 2018)</w:t>
      </w:r>
      <w:r w:rsidR="001B0409" w:rsidRPr="00837161">
        <w:rPr>
          <w:lang w:eastAsia="en-AU"/>
        </w:rPr>
        <w:fldChar w:fldCharType="end"/>
      </w:r>
      <w:r w:rsidR="00700598" w:rsidRPr="00837161">
        <w:rPr>
          <w:lang w:eastAsia="en-AU"/>
        </w:rPr>
        <w:t xml:space="preserve"> and globally </w:t>
      </w:r>
      <w:r w:rsidR="00EB1B6F" w:rsidRPr="00837161">
        <w:rPr>
          <w:lang w:eastAsia="en-AU"/>
        </w:rPr>
        <w:lastRenderedPageBreak/>
        <w:fldChar w:fldCharType="begin"/>
      </w:r>
      <w:r w:rsidR="007746C5">
        <w:rPr>
          <w:lang w:eastAsia="en-AU"/>
        </w:rPr>
        <w:instrText xml:space="preserve"> ADDIN ZOTERO_ITEM CSL_CITATION {"citationID":"XpT3dMp7","properties":{"formattedCitation":"(Dawson et al., 2022)","plainCitation":"(Dawson et al., 2022)","noteIndex":0},"citationItems":[{"id":54397,"uris":["http://zotero.org/groups/2352922/items/P59ND93S","http://zotero.org/groups/2352922/items/26CMM7YP","http://zotero.org/groups/2352922/items/XVZBLMUE"],"itemData":{"id":54397,"type":"article-journal","container-title":"Conservation Letters","DOI":"10.1111/conl.12928","ISSN":"1755-263X, 1755-263X","journ</w:instrText>
      </w:r>
      <w:r w:rsidR="007746C5">
        <w:rPr>
          <w:rFonts w:hint="eastAsia"/>
          <w:lang w:eastAsia="en-AU"/>
        </w:rPr>
        <w:instrText>alAbbreviation":"Conservation Letters.","language":"en","source":"DOI.org (Crossref)","title":"Horizon scanning for potential invasive non</w:instrText>
      </w:r>
      <w:r w:rsidR="007746C5">
        <w:rPr>
          <w:rFonts w:hint="eastAsia"/>
          <w:lang w:eastAsia="en-AU"/>
        </w:rPr>
        <w:instrText>‐</w:instrText>
      </w:r>
      <w:r w:rsidR="007746C5">
        <w:rPr>
          <w:rFonts w:hint="eastAsia"/>
          <w:lang w:eastAsia="en-AU"/>
        </w:rPr>
        <w:instrText>native species across the United Kingdom Overseas Territories","URL":"https://onlinelibrary.wiley.com/doi/10.1111/conl.12928","author":[{"family":"Dawson","given":"Wayne"},{"family":"Peyton","given":"Jodey M."},{"family":"Pescott","given":"Oliver L."},{"family":"Adriaens","given":"Tim"},{"family":"Cottier</w:instrText>
      </w:r>
      <w:r w:rsidR="007746C5">
        <w:rPr>
          <w:rFonts w:hint="eastAsia"/>
          <w:lang w:eastAsia="en-AU"/>
        </w:rPr>
        <w:instrText>‐</w:instrText>
      </w:r>
      <w:r w:rsidR="007746C5">
        <w:rPr>
          <w:rFonts w:hint="eastAsia"/>
          <w:lang w:eastAsia="en-AU"/>
        </w:rPr>
        <w:instrText>Cook","given":"Elizabeth J."},{"family":"Frohlich","given":"Dani</w:instrText>
      </w:r>
      <w:r w:rsidR="007746C5">
        <w:rPr>
          <w:lang w:eastAsia="en-AU"/>
        </w:rPr>
        <w:instrText>elle S."},{"family":"Key","given":"Gillian"},{"family":"Malumphy","given":"Chris"},{"family":"Martinou","given":"Angeliki F."},{"family":"Minchin","given":"Dan"},{"family":"Moore","given":"Niall"},{"family":"Rabitsch","given":"Wolfgang"},{"family":"Rorke","given":"Stephanie L."},{"family":"Tricarico","given":"Elena"},{"family":"Turvey","given":"Katharine M. A."},{"family":"Winfield","given":"Ian J."},{"family":"Barnes","given":"David K. A."},{"family":"Baum","given":"Diane"},{"family":"Bensusan","given":"</w:instrText>
      </w:r>
      <w:r w:rsidR="007746C5">
        <w:rPr>
          <w:rFonts w:hint="eastAsia"/>
          <w:lang w:eastAsia="en-AU"/>
        </w:rPr>
        <w:instrText>Keith"},{"family":"Burton","given":"Frederic J."},{"family":"Carr","given":"Peter"},{"family":"Convey","given":"Peter"},{"family":"Copeland","given":"Alison I."},{"family":"Fa","given":"Darren A."},{"family":"Fowler","given":"Liza"},{"family":"García</w:instrText>
      </w:r>
      <w:r w:rsidR="007746C5">
        <w:rPr>
          <w:rFonts w:hint="eastAsia"/>
          <w:lang w:eastAsia="en-AU"/>
        </w:rPr>
        <w:instrText>‐</w:instrText>
      </w:r>
      <w:r w:rsidR="007746C5">
        <w:rPr>
          <w:rFonts w:hint="eastAsia"/>
          <w:lang w:eastAsia="en-AU"/>
        </w:rPr>
        <w:instrText>Berthou","given":"Emili"},{"family":"Gonzalez","given":"Albert"},{"family":"González</w:instrText>
      </w:r>
      <w:r w:rsidR="007746C5">
        <w:rPr>
          <w:rFonts w:hint="eastAsia"/>
          <w:lang w:eastAsia="en-AU"/>
        </w:rPr>
        <w:instrText>‐</w:instrText>
      </w:r>
      <w:r w:rsidR="007746C5">
        <w:rPr>
          <w:rFonts w:hint="eastAsia"/>
          <w:lang w:eastAsia="en-AU"/>
        </w:rPr>
        <w:instrText>Moreno","given":"Pablo"},{"family":"Gray","given":"Alan"},{"family":"Griffiths","given":"Richard W."},{"family":"Guillem","given":"Rhian"},{"family":"Guzman","given":"Antenor</w:instrText>
      </w:r>
      <w:r w:rsidR="007746C5">
        <w:rPr>
          <w:lang w:eastAsia="en-AU"/>
        </w:rPr>
        <w:instrText xml:space="preserve"> N."},{"family":"Haakonsson","given":"Jane"},{"family":"Hughes","given":"Kevin A."},{"family":"James","given":"Ross"},{"family":"Linares","given":"Leslie"},{"family":"Maczey","given":"Norbert"},{"family":"Mailer","given":"Stuart"},{"family":"Manco","given</w:instrText>
      </w:r>
      <w:r w:rsidR="007746C5">
        <w:rPr>
          <w:rFonts w:hint="eastAsia"/>
          <w:lang w:eastAsia="en-AU"/>
        </w:rPr>
        <w:instrText>":"Bryan Naqqi"},{"family":"Martin","given":"Stephanie"},{"family":"Monaco","given":"Andrea"},{"family":"Moverley","given":"David G."},{"family":"Rose</w:instrText>
      </w:r>
      <w:r w:rsidR="007746C5">
        <w:rPr>
          <w:rFonts w:hint="eastAsia"/>
          <w:lang w:eastAsia="en-AU"/>
        </w:rPr>
        <w:instrText>‐</w:instrText>
      </w:r>
      <w:r w:rsidR="007746C5">
        <w:rPr>
          <w:rFonts w:hint="eastAsia"/>
          <w:lang w:eastAsia="en-AU"/>
        </w:rPr>
        <w:instrText>Smyth","given":"Christine"},{"family":"Shanklin","given":"Jonathan"},{"family":"Stevens","given":"Natash</w:instrText>
      </w:r>
      <w:r w:rsidR="007746C5">
        <w:rPr>
          <w:lang w:eastAsia="en-AU"/>
        </w:rPr>
        <w:instrText xml:space="preserve">a"},{"family":"Stewart","given":"Alan J."},{"family":"Vaux","given":"Alexander G. C."},{"family":"Warr","given":"Stephen J."},{"family":"Werenkaut","given":"Victoria"},{"family":"Roy","given":"Helen E."}],"accessed":{"date-parts":[["2023",2,7]]},"issued":{"date-parts":[["2022",11,28]]}},"label":"page"}],"schema":"https://github.com/citation-style-language/schema/raw/master/csl-citation.json"} </w:instrText>
      </w:r>
      <w:r w:rsidR="00EB1B6F" w:rsidRPr="00837161">
        <w:rPr>
          <w:lang w:eastAsia="en-AU"/>
        </w:rPr>
        <w:fldChar w:fldCharType="separate"/>
      </w:r>
      <w:r w:rsidR="00271B78" w:rsidRPr="00271B78">
        <w:t>(Dawson et al., 2022)</w:t>
      </w:r>
      <w:r w:rsidR="00EB1B6F" w:rsidRPr="00837161">
        <w:rPr>
          <w:lang w:eastAsia="en-AU"/>
        </w:rPr>
        <w:fldChar w:fldCharType="end"/>
      </w:r>
      <w:r w:rsidR="00EB1B6F" w:rsidRPr="00837161">
        <w:rPr>
          <w:lang w:eastAsia="en-AU"/>
        </w:rPr>
        <w:t xml:space="preserve">. </w:t>
      </w:r>
      <w:r w:rsidR="2D3D6B67" w:rsidRPr="00837161">
        <w:rPr>
          <w:lang w:eastAsia="en-AU"/>
        </w:rPr>
        <w:t>H</w:t>
      </w:r>
      <w:r w:rsidRPr="00837161">
        <w:rPr>
          <w:lang w:eastAsia="en-AU"/>
        </w:rPr>
        <w:t>orizon scanning usually follow</w:t>
      </w:r>
      <w:r w:rsidR="5A89EC59" w:rsidRPr="00837161">
        <w:rPr>
          <w:lang w:eastAsia="en-AU"/>
        </w:rPr>
        <w:t>s</w:t>
      </w:r>
      <w:r w:rsidRPr="00837161">
        <w:rPr>
          <w:lang w:eastAsia="en-AU"/>
        </w:rPr>
        <w:t xml:space="preserve"> a structured process</w:t>
      </w:r>
      <w:r w:rsidR="5E69AD6E" w:rsidRPr="00837161">
        <w:rPr>
          <w:lang w:eastAsia="en-AU"/>
        </w:rPr>
        <w:t xml:space="preserve"> based on some form of </w:t>
      </w:r>
      <w:r w:rsidR="00700598" w:rsidRPr="00837161">
        <w:rPr>
          <w:lang w:eastAsia="en-AU"/>
        </w:rPr>
        <w:t xml:space="preserve">impact or </w:t>
      </w:r>
      <w:r w:rsidR="5E69AD6E" w:rsidRPr="00837161">
        <w:rPr>
          <w:lang w:eastAsia="en-AU"/>
        </w:rPr>
        <w:t>risk assessment</w:t>
      </w:r>
      <w:r w:rsidR="53D7208D" w:rsidRPr="00837161">
        <w:rPr>
          <w:lang w:eastAsia="en-AU"/>
        </w:rPr>
        <w:t>,</w:t>
      </w:r>
      <w:r w:rsidRPr="00837161">
        <w:rPr>
          <w:lang w:eastAsia="en-AU"/>
        </w:rPr>
        <w:t xml:space="preserve"> often involving expert elicitation</w:t>
      </w:r>
      <w:r w:rsidR="53D7208D" w:rsidRPr="00837161">
        <w:rPr>
          <w:lang w:eastAsia="en-AU"/>
        </w:rPr>
        <w:t>,</w:t>
      </w:r>
      <w:r w:rsidRPr="00837161">
        <w:rPr>
          <w:lang w:eastAsia="en-AU"/>
        </w:rPr>
        <w:t xml:space="preserve"> to reduce </w:t>
      </w:r>
      <w:r w:rsidR="53D7208D" w:rsidRPr="00837161">
        <w:rPr>
          <w:lang w:eastAsia="en-AU"/>
        </w:rPr>
        <w:t xml:space="preserve">and simplify </w:t>
      </w:r>
      <w:r w:rsidRPr="00837161">
        <w:rPr>
          <w:lang w:eastAsia="en-AU"/>
        </w:rPr>
        <w:t xml:space="preserve">a </w:t>
      </w:r>
      <w:r w:rsidR="53D7208D" w:rsidRPr="00837161">
        <w:rPr>
          <w:lang w:eastAsia="en-AU"/>
        </w:rPr>
        <w:t xml:space="preserve">long </w:t>
      </w:r>
      <w:r w:rsidR="00700598" w:rsidRPr="00837161">
        <w:rPr>
          <w:lang w:eastAsia="en-AU"/>
        </w:rPr>
        <w:t xml:space="preserve">list of potential invasive alien </w:t>
      </w:r>
      <w:r w:rsidR="4D71EE01" w:rsidRPr="00837161">
        <w:rPr>
          <w:lang w:eastAsia="en-AU"/>
        </w:rPr>
        <w:t xml:space="preserve">species </w:t>
      </w:r>
      <w:r w:rsidRPr="00837161">
        <w:rPr>
          <w:lang w:eastAsia="en-AU"/>
        </w:rPr>
        <w:t>to a prioritized subset</w:t>
      </w:r>
      <w:r w:rsidR="08E2AFB6" w:rsidRPr="00837161">
        <w:rPr>
          <w:lang w:eastAsia="en-AU"/>
        </w:rPr>
        <w:t xml:space="preserve">. </w:t>
      </w:r>
      <w:r w:rsidR="31B61271" w:rsidRPr="00837161">
        <w:rPr>
          <w:lang w:eastAsia="en-AU"/>
        </w:rPr>
        <w:t xml:space="preserve">The inherent lack of evidence for horizon scanning, </w:t>
      </w:r>
      <w:r w:rsidRPr="00837161">
        <w:rPr>
          <w:lang w:eastAsia="en-AU"/>
        </w:rPr>
        <w:t xml:space="preserve">compared to risk assessment of </w:t>
      </w:r>
      <w:r w:rsidR="31B61271" w:rsidRPr="00837161">
        <w:rPr>
          <w:lang w:eastAsia="en-AU"/>
        </w:rPr>
        <w:t>e</w:t>
      </w:r>
      <w:r w:rsidRPr="00837161">
        <w:rPr>
          <w:lang w:eastAsia="en-AU"/>
        </w:rPr>
        <w:t>stablished species, results in uncertainty</w:t>
      </w:r>
      <w:r w:rsidR="00700598" w:rsidRPr="00837161">
        <w:rPr>
          <w:lang w:eastAsia="en-AU"/>
        </w:rPr>
        <w:t xml:space="preserve"> but this can be documented through the process </w:t>
      </w:r>
      <w:r w:rsidR="00EB1B6F" w:rsidRPr="00837161">
        <w:rPr>
          <w:lang w:eastAsia="en-AU"/>
        </w:rPr>
        <w:fldChar w:fldCharType="begin"/>
      </w:r>
      <w:r w:rsidR="007746C5">
        <w:rPr>
          <w:lang w:eastAsia="en-AU"/>
        </w:rPr>
        <w:instrText xml:space="preserve"> ADDIN ZOTERO_ITEM CSL_CITATION {"citationID":"zwxzwuXH","properties":{"formattedCitation":"(H. E. Roy et al., 2020)","plainCitation":"(H. E. Roy et al., 2020)","noteIndex":0},"citationItems":[{"id":56589,"uris":["http://zotero.org/groups/2352922/items/7Y5U9MFM","http://zotero.org/groups/2352922/items/8EKYFJ28","http://zotero.org/groups/2352922/items/YNIYV3PG"],"itemData":{"id":56589,"type":"article-journal","container-title":"Global Change Biology","DOI":"10.1111/gcb.15062","ISSN":"1354-1013, 1365-2486",</w:instrText>
      </w:r>
      <w:r w:rsidR="007746C5">
        <w:rPr>
          <w:rFonts w:hint="eastAsia"/>
          <w:lang w:eastAsia="en-AU"/>
        </w:rPr>
        <w:instrText>"issue":"6","journalAbbreviation":"Glob Change Biol","language":"en","page":"3181-3184","source":"DOI.org (Crossref)","title":"Guiding principles for utilizing social influence within expert</w:instrText>
      </w:r>
      <w:r w:rsidR="007746C5">
        <w:rPr>
          <w:rFonts w:hint="eastAsia"/>
          <w:lang w:eastAsia="en-AU"/>
        </w:rPr>
        <w:instrText>‐</w:instrText>
      </w:r>
      <w:r w:rsidR="007746C5">
        <w:rPr>
          <w:rFonts w:hint="eastAsia"/>
          <w:lang w:eastAsia="en-AU"/>
        </w:rPr>
        <w:instrText>elicitation to inform conservation decision</w:instrText>
      </w:r>
      <w:r w:rsidR="007746C5">
        <w:rPr>
          <w:rFonts w:hint="eastAsia"/>
          <w:lang w:eastAsia="en-AU"/>
        </w:rPr>
        <w:instrText>‐</w:instrText>
      </w:r>
      <w:r w:rsidR="007746C5">
        <w:rPr>
          <w:rFonts w:hint="eastAsia"/>
          <w:lang w:eastAsia="en-AU"/>
        </w:rPr>
        <w:instrText>making","URL":"https</w:instrText>
      </w:r>
      <w:r w:rsidR="007746C5">
        <w:rPr>
          <w:lang w:eastAsia="en-AU"/>
        </w:rPr>
        <w:instrText xml:space="preserve">://onlinelibrary.wiley.com/doi/10.1111/gcb.15062","volume":"26","author":[{"family":"Roy","given":"Helen E."},{"family":"Peyton","given":"Jodey M."},{"family":"Booy","given":"Olaf"}],"accessed":{"date-parts":[["2023",6,8]]},"issued":{"date-parts":[["2020",6]]}},"label":"page"}],"schema":"https://github.com/citation-style-language/schema/raw/master/csl-citation.json"} </w:instrText>
      </w:r>
      <w:r w:rsidR="00EB1B6F" w:rsidRPr="00837161">
        <w:rPr>
          <w:lang w:eastAsia="en-AU"/>
        </w:rPr>
        <w:fldChar w:fldCharType="separate"/>
      </w:r>
      <w:r w:rsidR="00271B78" w:rsidRPr="00271B78">
        <w:t>(H. E. Roy et al., 2020)</w:t>
      </w:r>
      <w:r w:rsidR="00EB1B6F" w:rsidRPr="00837161">
        <w:rPr>
          <w:lang w:eastAsia="en-AU"/>
        </w:rPr>
        <w:fldChar w:fldCharType="end"/>
      </w:r>
      <w:r w:rsidR="00EB1B6F" w:rsidRPr="00837161">
        <w:rPr>
          <w:lang w:eastAsia="en-AU"/>
        </w:rPr>
        <w:t xml:space="preserve">. </w:t>
      </w:r>
      <w:r w:rsidR="3AF29D99" w:rsidRPr="00837161">
        <w:rPr>
          <w:lang w:eastAsia="en-AU"/>
        </w:rPr>
        <w:t>This has been applied in the U</w:t>
      </w:r>
      <w:r w:rsidR="4796963E" w:rsidRPr="00837161">
        <w:rPr>
          <w:lang w:eastAsia="en-AU"/>
        </w:rPr>
        <w:t xml:space="preserve">nited </w:t>
      </w:r>
      <w:r w:rsidR="3AF29D99" w:rsidRPr="00837161">
        <w:rPr>
          <w:lang w:eastAsia="en-AU"/>
        </w:rPr>
        <w:t>K</w:t>
      </w:r>
      <w:r w:rsidR="4796963E" w:rsidRPr="00837161">
        <w:rPr>
          <w:lang w:eastAsia="en-AU"/>
        </w:rPr>
        <w:t>ingdom</w:t>
      </w:r>
      <w:r w:rsidR="3AF29D99" w:rsidRPr="00837161">
        <w:rPr>
          <w:lang w:eastAsia="en-AU"/>
        </w:rPr>
        <w:t xml:space="preserve"> </w:t>
      </w:r>
      <w:r w:rsidR="001B0409" w:rsidRPr="00837161">
        <w:rPr>
          <w:lang w:eastAsia="en-AU"/>
        </w:rPr>
        <w:fldChar w:fldCharType="begin"/>
      </w:r>
      <w:r w:rsidR="000F35EB">
        <w:rPr>
          <w:lang w:eastAsia="en-AU"/>
        </w:rPr>
        <w:instrText xml:space="preserve"> ADDIN ZOTERO_ITEM CSL_CITATION {"citationID":"edIZbzOM","properties":{"formattedCitation":"(H. E. Roy et al., 2014)","plainCitation":"(H. E. Roy et al., 2014)","noteIndex":0},"citationItems":[{"id":29206,"uris":["http://zotero.org/groups/2352922/items/5DTUMWU6"],"itemData":{"id":29206,"type":"article-journal","abstract":"Abstract Invasive alien species (IAS) are considered one of the greatest threats to biodiversity, particularly through their interactions with other drivers of change. Horizon scanning, the systematic examination of future potential threats and opportunities, leading to prioritization of IAS threats is seen as an essential component of IAS management. Our aim was to consider IAS that were likely to impact on native biodiversity but were not yet established in the wild in Great Britain. To achieve this, we developed an approach which coupled consensus methods (which have previously been used for collaboratively identifying priorities in other contexts) with rapid risk assessment. The process involved two distinct phases: Preliminary consultation with experts within five groups (plants, terrestrial invertebrates, freshwater invertebrates, vertebrates and marine species) to derive ranked lists of potential IAS. Consensus-building across expert groups to compile and rank the entire list of potential IAS. Five hundred and ninety-one species not native to Great Britain were considered. Ninety-three of these species were agreed to constitute at least a medium risk (based on score and consensus) with respect to them arriving, establishing and posing a threat to native biodiversity. The quagga mussel, Dreissena rostriformis bugensis, received maximum scores for risk of arrival, establishment and impact; following discussions the unanimous consensus was to rank it in the top position. A further 29 species were considered to constitute a high risk and were grouped according to their ranked risk. The remaining 63 species were considered as medium risk, and included in an unranked long list. The information collated through this novel extension of the consensus method for horizon scanning provides evidence for underpinning and prioritizing management both for the species and, perhaps more importantly, their pathways of arrival. Although our study focused on Great Britain, we suggest that the methods adopted are applicable globally.","container-title":"Global Change Biology","DOI":"10.1111/gcb.12603","ISSN":"13541013","issue":"12","journalAbbreviation":"Glob Change Biol","language":"en","page":"3859-3871","source":"DOI.org (Crossref)","title":"Horizon scanning for invasive alien species with the potential to threaten biodiversity in Great Britain","URL":"http://doi.wiley.com/10.1111/gcb.12603","volume":"20","author":[{"family":"Roy","given":"Helen E."},{"family":"Peyton","given":"Jodey M."},{"family":"Aldridge","given":"David C."},{"family":"Bantock","given":"Tristan"},{"family":"Blackburn","given":"Tim M."},{"family":"Britton","given":"Robert"},{"family":"Clark","given":"Paul"},{"family":"Cook","given":"Elizabeth"},{"family":"Dehnen-Schmutz","given":"Katharina"},{"family":"Dines","given":"Trevor"},{"family":"Dobson","given":"Michael"},{"family":"Edwards","given":"François"},{"family":"Harrower","given":"Colin"},{"family":"Harvey","given":"Martin C."},{"family":"Minchin","given":"Dan"},{"family":"Noble","given":"David G."},{"family":"Parrott","given":"Dave"},{"family":"Pocock","given":"Michael J. O."},{"family":"Preston","given":"Chris D."},{"family":"Roy","given":"Sugoto"},{"family":"Salisbury","given":"Andrew"},{"family":"Schönrogge","given":"Karsten"},{"family":"Sewell","given":"Jack"},{"family":"Shaw","given":"Richard H."},{"family":"Stebbing","given":"Paul"},{"family":"Stewart","given":"Alan J. A."},{"family":"Walker","given":"Kevin J."}],"accessed":{"date-parts":[["2019",10,12]]},"issued":{"date-parts":[["2014",12]]}},"label":"page"}],"schema":"https://github.com/citation-style-language/schema/raw/master/csl-citation.json"} </w:instrText>
      </w:r>
      <w:r w:rsidR="001B0409" w:rsidRPr="00837161">
        <w:rPr>
          <w:lang w:eastAsia="en-AU"/>
        </w:rPr>
        <w:fldChar w:fldCharType="separate"/>
      </w:r>
      <w:r w:rsidR="00271B78" w:rsidRPr="00271B78">
        <w:t>(H. E. Roy et al., 2014)</w:t>
      </w:r>
      <w:r w:rsidR="001B0409" w:rsidRPr="00837161">
        <w:rPr>
          <w:lang w:eastAsia="en-AU"/>
        </w:rPr>
        <w:fldChar w:fldCharType="end"/>
      </w:r>
      <w:r w:rsidR="42C10845" w:rsidRPr="00837161">
        <w:rPr>
          <w:lang w:eastAsia="en-AU"/>
        </w:rPr>
        <w:t xml:space="preserve">, where predictions subsequently supported </w:t>
      </w:r>
      <w:r w:rsidR="5621C775" w:rsidRPr="00837161">
        <w:rPr>
          <w:lang w:eastAsia="en-AU"/>
        </w:rPr>
        <w:t xml:space="preserve">future </w:t>
      </w:r>
      <w:r w:rsidR="42C10845" w:rsidRPr="00837161">
        <w:rPr>
          <w:lang w:eastAsia="en-AU"/>
        </w:rPr>
        <w:t>arrival</w:t>
      </w:r>
      <w:r w:rsidR="5621C775" w:rsidRPr="00837161">
        <w:rPr>
          <w:lang w:eastAsia="en-AU"/>
        </w:rPr>
        <w:t>s</w:t>
      </w:r>
      <w:r w:rsidR="42C10845" w:rsidRPr="00837161">
        <w:rPr>
          <w:lang w:eastAsia="en-AU"/>
        </w:rPr>
        <w:t xml:space="preserve"> of </w:t>
      </w:r>
      <w:r w:rsidR="5621C775" w:rsidRPr="00837161">
        <w:rPr>
          <w:lang w:eastAsia="en-AU"/>
        </w:rPr>
        <w:t>eight</w:t>
      </w:r>
      <w:r w:rsidR="42C10845" w:rsidRPr="00837161">
        <w:rPr>
          <w:lang w:eastAsia="en-AU"/>
        </w:rPr>
        <w:t xml:space="preserve"> out of the top </w:t>
      </w:r>
      <w:r w:rsidR="1923CFE5" w:rsidRPr="00837161">
        <w:rPr>
          <w:lang w:eastAsia="en-AU"/>
        </w:rPr>
        <w:t>ten</w:t>
      </w:r>
      <w:r w:rsidR="42C10845" w:rsidRPr="00837161">
        <w:rPr>
          <w:lang w:eastAsia="en-AU"/>
        </w:rPr>
        <w:t xml:space="preserve"> species</w:t>
      </w:r>
      <w:r w:rsidR="63E948BE" w:rsidRPr="00837161">
        <w:rPr>
          <w:lang w:eastAsia="en-AU"/>
        </w:rPr>
        <w:t xml:space="preserve">, including </w:t>
      </w:r>
      <w:r w:rsidR="5CDCBDA1" w:rsidRPr="00837161">
        <w:rPr>
          <w:i/>
          <w:iCs/>
          <w:lang w:eastAsia="en-AU"/>
        </w:rPr>
        <w:t>Dreissena rostriformis</w:t>
      </w:r>
      <w:r w:rsidR="5CDCBDA1" w:rsidRPr="00837161">
        <w:rPr>
          <w:lang w:eastAsia="en-AU"/>
        </w:rPr>
        <w:t xml:space="preserve"> </w:t>
      </w:r>
      <w:r w:rsidR="5CDCBDA1" w:rsidRPr="00837161">
        <w:rPr>
          <w:i/>
          <w:iCs/>
          <w:lang w:eastAsia="en-AU"/>
        </w:rPr>
        <w:t>bugensis</w:t>
      </w:r>
      <w:r w:rsidR="5CDCBDA1" w:rsidRPr="00837161">
        <w:rPr>
          <w:lang w:eastAsia="en-AU"/>
        </w:rPr>
        <w:t xml:space="preserve"> (</w:t>
      </w:r>
      <w:r w:rsidR="42C10845" w:rsidRPr="00837161">
        <w:rPr>
          <w:lang w:eastAsia="en-AU"/>
        </w:rPr>
        <w:t>quagga mussel</w:t>
      </w:r>
      <w:r w:rsidR="00BC00FD" w:rsidRPr="00837161">
        <w:rPr>
          <w:lang w:eastAsia="en-AU"/>
        </w:rPr>
        <w:t xml:space="preserve">; </w:t>
      </w:r>
      <w:r w:rsidR="001B0409" w:rsidRPr="00837161">
        <w:rPr>
          <w:lang w:eastAsia="en-AU"/>
        </w:rPr>
        <w:fldChar w:fldCharType="begin"/>
      </w:r>
      <w:r w:rsidR="00E25D54">
        <w:rPr>
          <w:lang w:eastAsia="en-AU"/>
        </w:rPr>
        <w:instrText xml:space="preserve"> ADDIN ZOTERO_ITEM CSL_CITATION {"citationID":"EeHzavY6","properties":{"formattedCitation":"(Aldridge et al., 2014)","plainCitation":"(Aldridge et al., 2014)","dontUpdate":true,"noteIndex":0},"citationItems":[{"id":21567,"uris":["http://zotero.org/groups/2352922/items/DQ32HYFL"],"itemData":{"id":21567,"type":"article-journal","container-title":"Aquatic Invasions","DOI":"10.3391/ai.2014.9.4.11","ISSN":"18185487","issue":"4","journalAbbreviation":"AI","page":"529-535","source":"DOI.org (Crossref)","title":"The Ponto-Caspian quagga mussel, &lt;i&gt;Dreissena rostriformis bugensis&lt;/i&gt; (Andrusov, 1897), invades Great Britain","URL":"http://www.aquaticinvasions.net/2014/issue4.html","volume":"9","author":[{"family":"Aldridge","given":"D. C."},{"family":"Ho","given":"Samantha"},{"family":"Froufe","given":"Elsa"}],"accessed":{"date-parts":[["2020",3,30]]},"issued":{"date-parts":[["2014",11]]}},"label":"page"}],"schema":"https://github.com/citation-style-language/schema/raw/master/csl-citation.json"} </w:instrText>
      </w:r>
      <w:r w:rsidR="001B0409" w:rsidRPr="00837161">
        <w:rPr>
          <w:lang w:eastAsia="en-AU"/>
        </w:rPr>
        <w:fldChar w:fldCharType="separate"/>
      </w:r>
      <w:r w:rsidR="00E25D54" w:rsidRPr="00E25D54">
        <w:t>Aldridge et al., 2014)</w:t>
      </w:r>
      <w:r w:rsidR="001B0409" w:rsidRPr="00837161">
        <w:rPr>
          <w:lang w:eastAsia="en-AU"/>
        </w:rPr>
        <w:fldChar w:fldCharType="end"/>
      </w:r>
      <w:r w:rsidR="42C10845" w:rsidRPr="00837161">
        <w:rPr>
          <w:lang w:eastAsia="en-AU"/>
        </w:rPr>
        <w:t xml:space="preserve"> and </w:t>
      </w:r>
      <w:r w:rsidR="5CDCBDA1" w:rsidRPr="00837161">
        <w:rPr>
          <w:i/>
          <w:iCs/>
          <w:lang w:eastAsia="en-AU"/>
        </w:rPr>
        <w:t>Vespa velutina</w:t>
      </w:r>
      <w:r w:rsidR="5CDCBDA1" w:rsidRPr="00837161">
        <w:rPr>
          <w:lang w:eastAsia="en-AU"/>
        </w:rPr>
        <w:t xml:space="preserve"> (</w:t>
      </w:r>
      <w:r w:rsidR="42C10845" w:rsidRPr="00837161">
        <w:rPr>
          <w:lang w:eastAsia="en-AU"/>
        </w:rPr>
        <w:t>Asian hornet</w:t>
      </w:r>
      <w:r w:rsidR="00BC00FD" w:rsidRPr="00837161">
        <w:rPr>
          <w:lang w:eastAsia="en-AU"/>
        </w:rPr>
        <w:t>;</w:t>
      </w:r>
      <w:r w:rsidR="001B0409" w:rsidRPr="00837161">
        <w:rPr>
          <w:lang w:eastAsia="en-AU"/>
        </w:rPr>
        <w:t xml:space="preserve"> </w:t>
      </w:r>
      <w:r w:rsidR="001B0409" w:rsidRPr="00837161">
        <w:rPr>
          <w:lang w:eastAsia="en-AU"/>
        </w:rPr>
        <w:fldChar w:fldCharType="begin"/>
      </w:r>
      <w:r w:rsidR="000F35EB">
        <w:rPr>
          <w:lang w:eastAsia="en-AU"/>
        </w:rPr>
        <w:instrText xml:space="preserve"> ADDIN ZOTERO_ITEM CSL_CITATION {"citationID":"qctjKe59","properties":{"formattedCitation":"(Keeling et al., 2017)","plainCitation":"(Keeling et al., 2017)","dontUpdate":true,"noteIndex":0},"citationItems":[{"id":11233,"uris":["http://zotero.org/groups/2352922/items/YPZSNW2R"],"itemData":{"id":11233,"type":"article-journal","container-title":"Scientific Reports","DOI":"10.1038/s41598-017-06212-0","ISSN":"2045-2322","issue":"1","journalAbbreviation":"Sci Rep","language":"en","page":"6240","source":"DOI.org (Crossref)","title":"Predicting the spread of the Asian hornet (&lt;i&gt;Vespa velutina&lt;/i&gt;) following its incursion into Great Britain","URL":"http://www.nature.com/articles/s41598-017-06212-0","volume":"7","author":[{"family":"Keeling","given":"Matt J."},{"family":"Franklin","given":"Daniel N."},{"family":"Datta","given":"Samik"},{"family":"Brown","given":"Mike A."},{"family":"Budge","given":"Giles E."}],"accessed":{"date-parts":[["2020",3,30]]},"issued":{"date-parts":[["2017",12]]}},"label":"page"}],"schema":"https://github.com/citation-style-language/schema/raw/master/csl-citation.json"} </w:instrText>
      </w:r>
      <w:r w:rsidR="001B0409" w:rsidRPr="00837161">
        <w:rPr>
          <w:lang w:eastAsia="en-AU"/>
        </w:rPr>
        <w:fldChar w:fldCharType="separate"/>
      </w:r>
      <w:r w:rsidR="00087371" w:rsidRPr="00837161">
        <w:t>Keeling et al., 2017)</w:t>
      </w:r>
      <w:r w:rsidR="001B0409" w:rsidRPr="00837161">
        <w:rPr>
          <w:lang w:eastAsia="en-AU"/>
        </w:rPr>
        <w:fldChar w:fldCharType="end"/>
      </w:r>
      <w:r w:rsidR="42C10845" w:rsidRPr="00837161">
        <w:rPr>
          <w:lang w:eastAsia="en-AU"/>
        </w:rPr>
        <w:t>.</w:t>
      </w:r>
      <w:r w:rsidR="4B75A7C9" w:rsidRPr="00837161">
        <w:rPr>
          <w:lang w:eastAsia="en-AU"/>
        </w:rPr>
        <w:t xml:space="preserve"> </w:t>
      </w:r>
      <w:r w:rsidR="00AC5A0B">
        <w:rPr>
          <w:lang w:eastAsia="en-AU"/>
        </w:rPr>
        <w:t xml:space="preserve">The </w:t>
      </w:r>
      <w:r w:rsidR="006C5674" w:rsidRPr="00837161">
        <w:t>Centre for Agriculture and Bioscience International</w:t>
      </w:r>
      <w:r w:rsidR="006C5674" w:rsidRPr="00837161">
        <w:rPr>
          <w:lang w:eastAsia="en-AU"/>
        </w:rPr>
        <w:t xml:space="preserve"> (</w:t>
      </w:r>
      <w:r w:rsidR="58F05D07" w:rsidRPr="00837161">
        <w:rPr>
          <w:rFonts w:eastAsia="Times New Roman"/>
          <w:lang w:eastAsia="en-AU"/>
        </w:rPr>
        <w:t>CABI</w:t>
      </w:r>
      <w:r w:rsidR="006C5674" w:rsidRPr="00837161">
        <w:rPr>
          <w:rFonts w:eastAsia="Times New Roman"/>
          <w:lang w:eastAsia="en-AU"/>
        </w:rPr>
        <w:t>)</w:t>
      </w:r>
      <w:r w:rsidR="58F05D07" w:rsidRPr="00837161">
        <w:rPr>
          <w:rFonts w:eastAsia="Times New Roman"/>
          <w:lang w:eastAsia="en-AU"/>
        </w:rPr>
        <w:t xml:space="preserve"> has developed an online Horizon Scanning Tool quickly allowing identif</w:t>
      </w:r>
      <w:r w:rsidR="0B46BE6B" w:rsidRPr="00837161">
        <w:rPr>
          <w:rFonts w:eastAsia="Times New Roman"/>
          <w:lang w:eastAsia="en-AU"/>
        </w:rPr>
        <w:t xml:space="preserve">ication and </w:t>
      </w:r>
      <w:r w:rsidR="00E80FB5" w:rsidRPr="00837161">
        <w:rPr>
          <w:rFonts w:eastAsia="Times New Roman"/>
          <w:lang w:eastAsia="en-AU"/>
        </w:rPr>
        <w:t>categori</w:t>
      </w:r>
      <w:r w:rsidR="000B6B30" w:rsidRPr="00837161">
        <w:rPr>
          <w:rFonts w:eastAsia="Times New Roman"/>
          <w:lang w:eastAsia="en-AU"/>
        </w:rPr>
        <w:t>z</w:t>
      </w:r>
      <w:r w:rsidR="00A03F71" w:rsidRPr="00837161">
        <w:rPr>
          <w:rFonts w:eastAsia="Times New Roman"/>
          <w:lang w:eastAsia="en-AU"/>
        </w:rPr>
        <w:t>ation</w:t>
      </w:r>
      <w:r w:rsidR="0B46BE6B" w:rsidRPr="00837161">
        <w:rPr>
          <w:rFonts w:eastAsia="Times New Roman"/>
          <w:lang w:eastAsia="en-AU"/>
        </w:rPr>
        <w:t xml:space="preserve"> of</w:t>
      </w:r>
      <w:r w:rsidR="58F05D07" w:rsidRPr="00837161">
        <w:rPr>
          <w:rFonts w:eastAsia="Times New Roman"/>
          <w:lang w:eastAsia="en-AU"/>
        </w:rPr>
        <w:t xml:space="preserve"> species that might enter </w:t>
      </w:r>
      <w:r w:rsidR="05E1C056" w:rsidRPr="00837161">
        <w:rPr>
          <w:rFonts w:eastAsia="Times New Roman"/>
          <w:lang w:eastAsia="en-AU"/>
        </w:rPr>
        <w:t xml:space="preserve">one </w:t>
      </w:r>
      <w:r w:rsidR="58F05D07" w:rsidRPr="00837161">
        <w:rPr>
          <w:rFonts w:eastAsia="Times New Roman"/>
          <w:lang w:eastAsia="en-AU"/>
        </w:rPr>
        <w:t xml:space="preserve">geographic area from another </w:t>
      </w:r>
      <w:r w:rsidR="001B0409" w:rsidRPr="00837161">
        <w:rPr>
          <w:rFonts w:eastAsia="Times New Roman"/>
          <w:lang w:eastAsia="en-AU"/>
        </w:rPr>
        <w:fldChar w:fldCharType="begin"/>
      </w:r>
      <w:r w:rsidR="000F35EB">
        <w:rPr>
          <w:rFonts w:eastAsia="Times New Roman"/>
          <w:lang w:eastAsia="en-AU"/>
        </w:rPr>
        <w:instrText xml:space="preserve"> ADDIN ZOTERO_ITEM CSL_CITATION {"citationID":"PRZZiz64","properties":{"formattedCitation":"(CABI, 2021)","plainCitation":"(CABI, 2021)","noteIndex":0},"citationItems":[{"id":31018,"uris":["http://zotero.org/groups/2352922/items/R64ZVEWF"],"itemData":{"id":31018,"type":"webpage","title":"Horizon Scanning Tool - Free version","URL":"https://www.cabi.org/HorizonScanningTool/?auth=true","author":[{"literal":"CABI"}],"accessed":{"date-parts":[["2021",11,1]]},"issued":{"date-parts":[["2021"]]}},"label":"page"}],"schema":"https://github.com/citation-style-language/schema/raw/master/csl-citation.json"} </w:instrText>
      </w:r>
      <w:r w:rsidR="001B0409" w:rsidRPr="00837161">
        <w:rPr>
          <w:rFonts w:eastAsia="Times New Roman"/>
          <w:lang w:eastAsia="en-AU"/>
        </w:rPr>
        <w:fldChar w:fldCharType="separate"/>
      </w:r>
      <w:r w:rsidR="00271B78" w:rsidRPr="00271B78">
        <w:t>(CABI, 2021)</w:t>
      </w:r>
      <w:r w:rsidR="001B0409" w:rsidRPr="00837161">
        <w:rPr>
          <w:rFonts w:eastAsia="Times New Roman"/>
          <w:lang w:eastAsia="en-AU"/>
        </w:rPr>
        <w:fldChar w:fldCharType="end"/>
      </w:r>
      <w:r w:rsidR="58F05D07" w:rsidRPr="00837161">
        <w:rPr>
          <w:rFonts w:eastAsia="Times New Roman"/>
          <w:lang w:eastAsia="en-AU"/>
        </w:rPr>
        <w:t>.</w:t>
      </w:r>
      <w:r w:rsidR="35097598" w:rsidRPr="00837161">
        <w:rPr>
          <w:rFonts w:eastAsia="Times New Roman"/>
          <w:lang w:eastAsia="en-AU"/>
        </w:rPr>
        <w:t xml:space="preserve"> </w:t>
      </w:r>
      <w:r w:rsidR="3CB6D10E" w:rsidRPr="00837161">
        <w:rPr>
          <w:rFonts w:eastAsia="Times New Roman"/>
          <w:lang w:eastAsia="en-AU"/>
        </w:rPr>
        <w:t>I</w:t>
      </w:r>
      <w:r w:rsidR="10A2845F" w:rsidRPr="00837161">
        <w:rPr>
          <w:rFonts w:eastAsia="Times New Roman"/>
          <w:lang w:eastAsia="en-AU"/>
        </w:rPr>
        <w:t>mprovements to</w:t>
      </w:r>
      <w:r w:rsidR="53EEA35A" w:rsidRPr="00837161">
        <w:rPr>
          <w:lang w:eastAsia="en-AU"/>
        </w:rPr>
        <w:t xml:space="preserve"> the</w:t>
      </w:r>
      <w:r w:rsidRPr="00837161">
        <w:rPr>
          <w:lang w:eastAsia="en-AU"/>
        </w:rPr>
        <w:t xml:space="preserve"> </w:t>
      </w:r>
      <w:r w:rsidR="2F990073" w:rsidRPr="00837161">
        <w:rPr>
          <w:lang w:eastAsia="en-AU"/>
        </w:rPr>
        <w:t>process</w:t>
      </w:r>
      <w:r w:rsidRPr="00837161">
        <w:rPr>
          <w:lang w:eastAsia="en-AU"/>
        </w:rPr>
        <w:t xml:space="preserve"> to quantify the likelihood</w:t>
      </w:r>
      <w:r w:rsidR="76D7C454" w:rsidRPr="00837161">
        <w:rPr>
          <w:lang w:eastAsia="en-AU"/>
        </w:rPr>
        <w:t>s</w:t>
      </w:r>
      <w:r w:rsidRPr="00837161">
        <w:rPr>
          <w:lang w:eastAsia="en-AU"/>
        </w:rPr>
        <w:t xml:space="preserve"> of economic, environmental and social impact</w:t>
      </w:r>
      <w:r w:rsidR="76D7C454" w:rsidRPr="00837161">
        <w:rPr>
          <w:lang w:eastAsia="en-AU"/>
        </w:rPr>
        <w:t>s</w:t>
      </w:r>
      <w:r w:rsidRPr="00837161">
        <w:rPr>
          <w:lang w:eastAsia="en-AU"/>
        </w:rPr>
        <w:t xml:space="preserve"> of species with no prior history of introduction outside their native range </w:t>
      </w:r>
      <w:r w:rsidR="002502C4" w:rsidRPr="00837161">
        <w:t>(</w:t>
      </w:r>
      <w:r w:rsidR="000F6653">
        <w:rPr>
          <w:b/>
          <w:iCs/>
        </w:rPr>
        <w:t>G</w:t>
      </w:r>
      <w:r w:rsidR="007C28F3" w:rsidRPr="000F6653">
        <w:rPr>
          <w:b/>
          <w:iCs/>
        </w:rPr>
        <w:t>lossary</w:t>
      </w:r>
      <w:r w:rsidR="007C28F3" w:rsidRPr="00837161">
        <w:t xml:space="preserve">) </w:t>
      </w:r>
      <w:r w:rsidR="40F4B8A2" w:rsidRPr="00837161">
        <w:rPr>
          <w:lang w:eastAsia="en-AU"/>
        </w:rPr>
        <w:t xml:space="preserve">are </w:t>
      </w:r>
      <w:r w:rsidR="331A850C" w:rsidRPr="00837161">
        <w:rPr>
          <w:lang w:eastAsia="en-AU"/>
        </w:rPr>
        <w:t xml:space="preserve">now </w:t>
      </w:r>
      <w:r w:rsidR="02B4E1B8" w:rsidRPr="00837161">
        <w:rPr>
          <w:lang w:eastAsia="en-AU"/>
        </w:rPr>
        <w:t xml:space="preserve">starting to </w:t>
      </w:r>
      <w:r w:rsidR="331A850C" w:rsidRPr="00837161">
        <w:rPr>
          <w:lang w:eastAsia="en-AU"/>
        </w:rPr>
        <w:t xml:space="preserve">be included </w:t>
      </w:r>
      <w:r w:rsidR="00332AF5" w:rsidRPr="00837161">
        <w:rPr>
          <w:lang w:eastAsia="en-AU"/>
        </w:rPr>
        <w:fldChar w:fldCharType="begin"/>
      </w:r>
      <w:r w:rsidR="000F35EB">
        <w:rPr>
          <w:lang w:eastAsia="en-AU"/>
        </w:rPr>
        <w:instrText xml:space="preserve"> ADDIN ZOTERO_ITEM CSL_CITATION {"citationID":"gMZnlX6e","properties":{"formattedCitation":"(Peyton et al., 2019, 2020)","plainCitation":"(Peyton et al., 2019, 2020)","noteIndex":0},"citationItems":[{"id":52612,"uris":["http://zotero.org/groups/2352922/items/IC93DJC2"],"itemData":{"id":52612,"type":"article-journal","abstract":"Invasive alien species (IAS) are one of the major drivers of change that can negatively affect biodiversity, ecosystem functions and services and human health; islands are particularly vulnerable to biological invasions. Horizon scanning can lead to prioritisation of IAS to inform decision-making and action; its scale and scope can vary depending on the need. We focussed on IAS likely to arrive, establish and affect biodiversity and human health on the Mediterranean island of Cyprus. The scope of the horizon scanning was the entire island of Cyprus. We used a two-step consensus-building process in which experts reviewed and scored lists of alien species on their likelihood of arrival, establishment and potential to affect biodiversity, ecosystems and/or human health in the next 10 years. We reviewed 225 alien species, considered to be currently absent on Cyprus, across taxa and environments. We agreed upon 100 species that constituted very high, high or medium biodiversity risk, often arriving through multiple pathways of introduction. The remaining 125 species were ranked as low risk. The potential impacts on human health were documented for all 225 species; 82 species were considered to have a potentially negative impact on human health ranging from nuisance to disease transmission. The scope of the horizon scanning was the entire island of Cyprus, but the thematic groups also considered the relevance of the top 100 species to the Sovereign Base Areas of Cyprus, given their differing governance. This horizon scan provides the first systematic exercise to identify invasive alien species of potential concern to biodiversity and ecosystems but also human health within the Mediterranean region. The process and outcomes should provide other islands in the region and beyond with baseline data to improve IAS prioritisation and management.","container-title":"Biological Invasions","DOI":"10.1007/s10530-019-01961-7","ISSN":"1573-1464","issue":"6","journalAbbreviation":"Biol Invasions","language":"en","page":"2107-2125","source":"Springer Link","title":"Horizon scanning for invasive alien species with the potential to threaten biodiversity and human health on a Mediterranean island","URL":"https://doi.org/10.1007/s10530-019-01961-7","volume":"21","author":[{"family":"Peyton","given":"Jodey"},{"family":"Martinou","given":"Angeliki F."},{"family":"Pescott","given":"Oliver L."},{"family":"Demetriou","given":"Monica"},{"family":"Adriaens","given":"Tim"},{"family":"Arianoutsou","given":"Margarita"},{"family":"Bazos","given":"Ioannis"},{"family":"Bean","given":"Colin W."},{"family":"Booy","given":"Olaf"},{"family":"Botham","given":"Marc"},{"family":"Britton","given":"J. Robert"},{"family":"Cervia","given":"Javier Lobon"},{"family":"Charilaou","given":"Pantelis"},{"family":"Chartosia","given":"Niki"},{"family":"Dean","given":"Hannah J."},{"family":"Delipetrou","given":"Pinelopi"},{"family":"Dimitriou","given":"Andreas C."},{"family":"Dörflinger","given":"Gerald"},{"family":"Fawcett","given":"Jim"},{"family":"Fyttis","given":"Georgios"},{"family":"Galanidis","given":"Alexandros"},{"family":"Galil","given":"Bella"},{"family":"Hadjikyriakou","given":"Thomas"},{"family":"Hadjistylli","given":"Margarita"},{"family":"Ieronymidou","given":"Christina"},{"family":"Jimenez","given":"Carlos"},{"family":"Karachle","given":"Paraskevi"},{"family":"Kassinis","given":"Nikos"},{"family":"Kerametsidis","given":"George"},{"family":"Kirschel","given":"Alexander N. G."},{"family":"Kleitou","given":"Periklis"},{"family":"Kleitou","given":"Demetris"},{"family":"Manolaki","given":"Paraskevi"},{"family":"Michailidis","given":"Nikolas"},{"family":"Mountford","given":"J. Owen"},{"family":"Nikolaou","given":"Charis"},{"family":"Papatheodoulou","given":"Athina"},{"family":"Payiatas","given":"Giorgios"},{"family":"Ribeiro","given":"Filipe"},{"family":"Rorke","given":"Stephanie L."},{"family":"Samuel","given":"Yianna"},{"family":"Savvides","given":"Pantelis"},{"family":"Schafer","given":"Stefanie M."},{"family":"Tarkan","given":"Ali Serhan"},{"family":"Silva-Rocha","given":"Iolanda"},{"family":"Top","given":"Nildeniz"},{"family":"Tricarico","given":"Elena"},{"family":"Turvey","given":"Katherine"},{"family":"Tziortzis","given":"Iakovos"},{"family":"Tzirkalli","given":"Elli"},{"family":"Verreycken","given":"Hugo"},{"family":"Winfield","given":"Ian J."},{"family":"Zenetos","given":"Argyro"},{"family":"Roy","given":"Helen E."}],"accessed":{"date-parts":[["2022",7,26]]},"issued":{"date-parts":[["2019",6,1]]}},"label":"page"},{"id":52443,"uris":["http://zotero.org/groups/2352922/items/GDAUM7EG"],"itemData":{"id":52443,"type":"article-journal","abstract":"Invasive alien species (IAS) are known to be a major threat to biodiversity and ecosystem function and there is increasing evidence of their impacts on human health and economies globally. We undertook horizon scanning using expert-elicitation to predict arrivals of IAS that could have adverse human health or economic impacts on the island of Cyprus. Three hundred and twenty five IAS comprising 89 plants, 37 freshwater animals, 61 terrestrial invertebrates, 93 terrestrial vertebrates, and 45 marine species, were assessed during a two-day workshop involving 39 participants to derive two ranked lists: (1) IAS with potential human health impacts (20 species ranked within two bands: 1–10 species or 11–20 species); and, (2) IAS with potential economic impacts (50 species ranked in three bands of 1–10, 11–20, and 21–50). Five species of mosquitoes (Aedes aegypti, Aedes albopictus, Aedes flavopictus, Aedes japonicus, and Culex quinquefasciatus) were considered a potential threat to both human health and economies. It was evident that the IAS identified through this process could potentially arrive through many pathways (25 and 23 pathways were noted for the top 20 IAS on the human health and economic impact lists respectively). The Convention on Biological Diversity Level II (subcategory) pathways Contaminant on plants, pet/aquarium/terrarium species (including live food for such species), hitchhikers in or on aeroplanes, hitchhikers in or on ship/boats, and vehicles were the main pathways that arose across both lists. We discuss the potential of horizon scanning lists to inform biosecurity policies and communication around IAS, highlighting the importance of increasing understanding amongst all stakeholders, including the public, to reduce the risks associated with predicted IAS arrivals.","container-title":"Frontiers in Ecology and Evolution","DOI":"10.3389/fevo.2020.566281","ISSN":"2296-701X","source":"Frontiers","title":"Horizon Scanning to Predict and Prioritize Invasive Alien Species With the Potential to Threaten Human Health and Economies on Cyprus","URL":"https://doi.org/10.3389/fevo.2020.566281","volume":"8","author":[{"family":"Peyton","given":"Jodey"},{"family":"Martinou","given":"Angeliki F."},{"family":"Adriaens","given":"Tim"},{"family":"Chartosia","given":"Niki"},{"family":"Karachle","given":"Paraskevi K."},{"family":"Rabitsch","given":"Wolfgang"},{"family":"Tricarico","given":"Elena"},{"family":"Arianoutsou","given":"Margarita"},{"family":"Bacher","given":"Sven"},{"family":"Bazos","given":"Ioannis"},{"family":"Brundu","given":"Giuseppe"},{"family":"Bruno-McClung","given":"Elizabeth"},{"family":"Charalambidou","given":"Iris"},{"family":"Demetriou","given":"Monica"},{"family":"Galanidi","given":"Marika"},{"family":"Galil","given":"Bella"},{"family":"Guillem","given":"Rhian"},{"family":"Hadjiafxentis","given":"Kypros"},{"family":"Hadjioannou","given":"Louis"},{"family":"Hadjistylli","given":"Margarita"},{"family":"Hall-Spencer","given":"Jason Michael"},{"family":"Jimenez","given":"Carlos"},{"family":"Johnstone","given":"Graham"},{"family":"Kleitou","given":"Periklis"},{"family":"Kletou","given":"Demetris"},{"family":"Koukkoularidou","given":"Despina"},{"family":"Leontiou","given":"Stalo"},{"family":"Maczey","given":"Norbert"},{"family":"Michailidis","given":"Nikolas"},{"family":"Mountford","given":"John Owen"},{"family":"Papatheodoulou","given":"Athina"},{"family":"Pescott","given":"Oliver L."},{"family":"Phanis","given":"Constantinos"},{"family":"Preda","given":"Cristina"},{"family":"Rorke","given":"Steph"},{"family":"Shaw","given":"Richard"},{"family":"Solarz","given":"Wojciech"},{"family":"Taylor","given":"Chris D."},{"family":"Trajanovski","given":"Saso"},{"family":"Tziortzis","given":"Iakovos"},{"family":"Tzirkalli","given":"Elli"},{"family":"Uludag","given":"Ahmet"},{"family":"Vimercati","given":"Giovanni"},{"family":"Zdraveski","given":"Konstantin"},{"family":"Zenetos","given":"Argyro"},{"family":"Roy","given":"Helen E."}],"accessed":{"date-parts":[["2022",6,3]]},"issued":{"date-parts":[["2020"]]}},"label":"page"}],"schema":"https://github.com/citation-style-language/schema/raw/master/csl-citation.json"} </w:instrText>
      </w:r>
      <w:r w:rsidR="00332AF5" w:rsidRPr="00837161">
        <w:rPr>
          <w:lang w:eastAsia="en-AU"/>
        </w:rPr>
        <w:fldChar w:fldCharType="separate"/>
      </w:r>
      <w:r w:rsidR="00271B78" w:rsidRPr="00271B78">
        <w:t>(Peyton et al., 2019, 2020)</w:t>
      </w:r>
      <w:r w:rsidR="00332AF5" w:rsidRPr="00837161">
        <w:rPr>
          <w:lang w:eastAsia="en-AU"/>
        </w:rPr>
        <w:fldChar w:fldCharType="end"/>
      </w:r>
      <w:r w:rsidR="00332AF5" w:rsidRPr="00837161">
        <w:rPr>
          <w:lang w:eastAsia="en-AU"/>
        </w:rPr>
        <w:t>.</w:t>
      </w:r>
      <w:r w:rsidR="3AF29D99" w:rsidRPr="00837161">
        <w:rPr>
          <w:lang w:eastAsia="en-AU"/>
        </w:rPr>
        <w:t xml:space="preserve"> </w:t>
      </w:r>
    </w:p>
    <w:p w14:paraId="00000127" w14:textId="77777777" w:rsidR="00A758FD" w:rsidRPr="00B05859" w:rsidRDefault="00C81287" w:rsidP="00604A0A">
      <w:pPr>
        <w:pStyle w:val="Heading4"/>
      </w:pPr>
      <w:bookmarkStart w:id="88" w:name="_heading=h.1ci93xb" w:colFirst="0" w:colLast="0"/>
      <w:bookmarkStart w:id="89" w:name="_Toc69313959"/>
      <w:bookmarkEnd w:id="81"/>
      <w:bookmarkEnd w:id="88"/>
      <w:r w:rsidRPr="00B05859">
        <w:t xml:space="preserve">Pathway risk analysis </w:t>
      </w:r>
      <w:bookmarkEnd w:id="89"/>
    </w:p>
    <w:p w14:paraId="77909A9E" w14:textId="135D991B" w:rsidR="00C678F0" w:rsidRPr="00837161" w:rsidRDefault="00B01635" w:rsidP="00C11DFA">
      <w:pPr>
        <w:spacing w:before="240" w:after="120" w:line="240" w:lineRule="auto"/>
        <w:rPr>
          <w:rFonts w:eastAsia="Times New Roman"/>
        </w:rPr>
      </w:pPr>
      <w:r w:rsidRPr="00837161">
        <w:rPr>
          <w:lang w:eastAsia="en-US"/>
        </w:rPr>
        <w:t xml:space="preserve">Introduction pathway </w:t>
      </w:r>
      <w:r w:rsidR="002502C4" w:rsidRPr="00837161">
        <w:t>(</w:t>
      </w:r>
      <w:r w:rsidR="000F6653">
        <w:rPr>
          <w:b/>
          <w:iCs/>
        </w:rPr>
        <w:t>G</w:t>
      </w:r>
      <w:r w:rsidR="000F6653" w:rsidRPr="000F6653">
        <w:rPr>
          <w:b/>
          <w:iCs/>
        </w:rPr>
        <w:t>lossary</w:t>
      </w:r>
      <w:r w:rsidR="004C32A4" w:rsidRPr="00837161">
        <w:t xml:space="preserve">) </w:t>
      </w:r>
      <w:r w:rsidRPr="00837161">
        <w:rPr>
          <w:lang w:eastAsia="en-US"/>
        </w:rPr>
        <w:t>risk assessment</w:t>
      </w:r>
      <w:r w:rsidR="0044360C" w:rsidRPr="00837161">
        <w:rPr>
          <w:lang w:eastAsia="en-US"/>
        </w:rPr>
        <w:t>,</w:t>
      </w:r>
      <w:r w:rsidRPr="00837161">
        <w:rPr>
          <w:lang w:eastAsia="en-US"/>
        </w:rPr>
        <w:t xml:space="preserve"> </w:t>
      </w:r>
      <w:r w:rsidR="008E1136" w:rsidRPr="00837161">
        <w:rPr>
          <w:lang w:eastAsia="en-US"/>
        </w:rPr>
        <w:t>supported by standardized pathway categorization</w:t>
      </w:r>
      <w:r w:rsidRPr="00837161">
        <w:rPr>
          <w:lang w:eastAsia="en-US"/>
        </w:rPr>
        <w:t xml:space="preserve"> </w:t>
      </w:r>
      <w:r w:rsidR="00332AF5" w:rsidRPr="00837161">
        <w:rPr>
          <w:lang w:eastAsia="en-US"/>
        </w:rPr>
        <w:fldChar w:fldCharType="begin"/>
      </w:r>
      <w:r w:rsidR="000F35EB">
        <w:rPr>
          <w:lang w:eastAsia="en-US"/>
        </w:rPr>
        <w:instrText xml:space="preserve"> ADDIN ZOTERO_ITEM CSL_CITATION {"citationID":"XWhqbPCt","properties":{"formattedCitation":"(IUCN, 2017)","plainCitation":"(IUCN, 2017)","noteIndex":0},"citationItems":[{"id":30885,"uris":["http://zotero.org/groups/2352922/items/W4XHWW6S"],"itemData":{"id":30885,"type":"report","genre":"Technical note prepared by IUCN for the European Commission","note":"publisher: European Commision","publisher":"International Union for Conservation of Nature","title":"Guidance for interpretation of CBD categories on introduction pathways","URL":"https://nora.nerc.ac.uk/id/eprint/519129/1/N519129CR.pdf","author":[{"literal":"IUCN"}],"issued":{"date-parts":[["2017"]]}},"label":"page"}],"schema":"https://github.com/citation-style-language/schema/raw/master/csl-citation.json"} </w:instrText>
      </w:r>
      <w:r w:rsidR="00332AF5" w:rsidRPr="00837161">
        <w:rPr>
          <w:lang w:eastAsia="en-US"/>
        </w:rPr>
        <w:fldChar w:fldCharType="separate"/>
      </w:r>
      <w:r w:rsidR="00271B78" w:rsidRPr="00271B78">
        <w:t>(IUCN, 2017)</w:t>
      </w:r>
      <w:r w:rsidR="00332AF5" w:rsidRPr="00837161">
        <w:rPr>
          <w:lang w:eastAsia="en-US"/>
        </w:rPr>
        <w:fldChar w:fldCharType="end"/>
      </w:r>
      <w:r w:rsidR="0044360C" w:rsidRPr="00837161">
        <w:rPr>
          <w:lang w:eastAsia="en-US"/>
        </w:rPr>
        <w:t>,</w:t>
      </w:r>
      <w:r w:rsidR="00085A25" w:rsidRPr="00837161">
        <w:rPr>
          <w:lang w:eastAsia="en-US"/>
        </w:rPr>
        <w:t xml:space="preserve"> is</w:t>
      </w:r>
      <w:r w:rsidR="0044360C" w:rsidRPr="00837161">
        <w:rPr>
          <w:lang w:eastAsia="en-US"/>
        </w:rPr>
        <w:t xml:space="preserve"> </w:t>
      </w:r>
      <w:r w:rsidR="00085A25" w:rsidRPr="00837161">
        <w:rPr>
          <w:lang w:eastAsia="en-US"/>
        </w:rPr>
        <w:t xml:space="preserve">needed </w:t>
      </w:r>
      <w:r w:rsidR="00FB63B0" w:rsidRPr="00837161">
        <w:rPr>
          <w:lang w:eastAsia="en-US"/>
        </w:rPr>
        <w:t xml:space="preserve">to support pathway management </w:t>
      </w:r>
      <w:r w:rsidR="005B7C20" w:rsidRPr="00837161">
        <w:rPr>
          <w:lang w:eastAsia="en-US"/>
        </w:rPr>
        <w:t>decision-making</w:t>
      </w:r>
      <w:r w:rsidR="00F17B92" w:rsidRPr="00837161">
        <w:rPr>
          <w:lang w:eastAsia="en-US"/>
        </w:rPr>
        <w:t>,</w:t>
      </w:r>
      <w:r w:rsidR="00FB63B0" w:rsidRPr="00837161">
        <w:rPr>
          <w:lang w:eastAsia="en-US"/>
        </w:rPr>
        <w:t xml:space="preserve"> </w:t>
      </w:r>
      <w:r w:rsidR="008E1136" w:rsidRPr="00837161">
        <w:rPr>
          <w:lang w:eastAsia="en-US"/>
        </w:rPr>
        <w:t>r</w:t>
      </w:r>
      <w:r w:rsidR="001B0409" w:rsidRPr="00837161">
        <w:rPr>
          <w:lang w:eastAsia="en-US"/>
        </w:rPr>
        <w:t>egardless of the geographical context</w:t>
      </w:r>
      <w:r w:rsidR="00F17B92" w:rsidRPr="00837161">
        <w:rPr>
          <w:lang w:eastAsia="en-US"/>
        </w:rPr>
        <w:t xml:space="preserve"> </w:t>
      </w:r>
      <w:r w:rsidR="0044360C" w:rsidRPr="00837161">
        <w:rPr>
          <w:lang w:eastAsia="en-US"/>
        </w:rPr>
        <w:t>or</w:t>
      </w:r>
      <w:r w:rsidR="00085A25" w:rsidRPr="00837161">
        <w:rPr>
          <w:lang w:eastAsia="en-US"/>
        </w:rPr>
        <w:t xml:space="preserve"> </w:t>
      </w:r>
      <w:r w:rsidR="00F17B92" w:rsidRPr="00837161">
        <w:rPr>
          <w:lang w:eastAsia="en-US"/>
        </w:rPr>
        <w:t>the many potential taxon–pathway combinations</w:t>
      </w:r>
      <w:r w:rsidR="00FB12D7" w:rsidRPr="00837161">
        <w:rPr>
          <w:lang w:eastAsia="en-US"/>
        </w:rPr>
        <w:t xml:space="preserve"> </w:t>
      </w:r>
      <w:r w:rsidRPr="00837161">
        <w:rPr>
          <w:lang w:eastAsia="en-US"/>
        </w:rPr>
        <w:fldChar w:fldCharType="begin"/>
      </w:r>
      <w:r w:rsidR="000F35EB">
        <w:rPr>
          <w:lang w:eastAsia="en-US"/>
        </w:rPr>
        <w:instrText xml:space="preserve"> ADDIN ZOTERO_ITEM CSL_CITATION {"citationID":"LKaDx6rL","properties":{"formattedCitation":"(A. P. Robinson et al., 2017)","plainCitation":"(A. P. Robinson et al., 2017)","noteIndex":0},"citationItems":[{"id":12444,"uris":["http://zotero.org/groups/2352922/items/XXASS7XP"],"itemData":{"id":12444,"type":"book","event-place":"Cambridge","ISBN":"978-1-139-01960-6","note":"DOI: 10.1017/9781139019606","publisher":"Cambridge University Press","publisher-place":"Cambridge","source":"DOI.org (Crossref)","title":"Invasive Species: Risk Assessment and Management","title-short":"Invasive Species","URL":"http://ebooks.cambridge.org/ref/id/CBO9781139019606","editor":[{"family":"Robinson","given":"Andrew P."},{"family":"Walshe","given":"Terry"},{"family":"Burgman","given":"Mark A."},{"family":"Nunn","given":"Mike"}],"accessed":{"date-parts":[["2019",11,27]]},"issued":{"date-parts":[["2017"]]}},"label":"page"}],"schema":"https://github.com/citation-style-language/schema/raw/master/csl-citation.json"} </w:instrText>
      </w:r>
      <w:r w:rsidRPr="00837161">
        <w:rPr>
          <w:lang w:eastAsia="en-US"/>
        </w:rPr>
        <w:fldChar w:fldCharType="separate"/>
      </w:r>
      <w:r w:rsidR="00271B78" w:rsidRPr="00271B78">
        <w:t>(A. P. Robinson et al., 2017)</w:t>
      </w:r>
      <w:r w:rsidRPr="00837161">
        <w:rPr>
          <w:lang w:eastAsia="en-US"/>
        </w:rPr>
        <w:fldChar w:fldCharType="end"/>
      </w:r>
      <w:r w:rsidR="00723A54" w:rsidRPr="00837161">
        <w:rPr>
          <w:lang w:eastAsia="en-US"/>
        </w:rPr>
        <w:t xml:space="preserve">. </w:t>
      </w:r>
      <w:r w:rsidR="00C678F0" w:rsidRPr="00837161">
        <w:rPr>
          <w:lang w:eastAsia="en-US"/>
        </w:rPr>
        <w:t xml:space="preserve">The use of standard </w:t>
      </w:r>
      <w:r w:rsidR="00700598" w:rsidRPr="00837161">
        <w:rPr>
          <w:lang w:eastAsia="en-US"/>
        </w:rPr>
        <w:t xml:space="preserve">pathway categories </w:t>
      </w:r>
      <w:r w:rsidR="00C678F0" w:rsidRPr="00837161">
        <w:rPr>
          <w:lang w:eastAsia="en-US"/>
        </w:rPr>
        <w:t>allows to readily collate and compare introductions to priorit</w:t>
      </w:r>
      <w:r w:rsidR="00D31B23">
        <w:rPr>
          <w:lang w:eastAsia="en-US"/>
        </w:rPr>
        <w:t>ize</w:t>
      </w:r>
      <w:r w:rsidR="00C678F0" w:rsidRPr="00837161">
        <w:rPr>
          <w:lang w:eastAsia="en-US"/>
        </w:rPr>
        <w:t xml:space="preserve"> pathways </w:t>
      </w:r>
      <w:r w:rsidR="00332AF5" w:rsidRPr="00837161">
        <w:rPr>
          <w:lang w:eastAsia="en-US"/>
        </w:rPr>
        <w:fldChar w:fldCharType="begin"/>
      </w:r>
      <w:r w:rsidR="000F35EB">
        <w:rPr>
          <w:lang w:eastAsia="en-US"/>
        </w:rPr>
        <w:instrText xml:space="preserve"> ADDIN ZOTERO_ITEM CSL_CITATION {"citationID":"nUF5FeW6","properties":{"formattedCitation":"(Faulkner et al., 2020; McGrannachan et al., 2021; Saul et al., 2017)","plainCitation":"(Faulkner et al., 2020; McGrannachan et al., 2021; Saul et al., 2017)","noteIndex":0},"citationItems":[{"id":24819,"uris":["http://zotero.org/groups/2352922/items/IED93IWH"],"itemData":{"id":24819,"type":"article-journal","abstract":"Alien species are introduced to new regions in many different ways and for different purposes. A number of frameworks have been developed to group such pathways of introduction into discrete categories in order to improve our understanding of biological invasions, provide information for interventions that aim to prevent introductions, enable reporting to national and international organisations and facilitate the prediction of threats. The introduction pathway classification framework proposed by the Convention on Biological Diversity (CBD) as a global standard is comprised of six main categories and 44 sub-categories. However, issues have arisen with its implementation. In this position paper, we outline five desirable properties of an introduction pathway classification framework – it should be compatible (i.e. the level of detail of the categories is similar to that of the available data), actionable (i.e. categories link to specific interventions), general (i.e. categories are applicable across the contexts that are of interest (e.g. taxa, habitats and regions)), equivalent (i.e. categories are equivalent in their level of detail) and distinct (i.e. categories are discrete and easily distinguished) – termed the CAGED properties. The six main categories of the CBD framework have all of the CAGED properties, but the detailed sub-categories have few. Therefore, while the framework has been proposed by the CBD as a global standard and efforts have been made to put it into practice, we argue that there is room for improvement. We conclude by presenting scenarios for how the issues identified could be addressed, noting that a hybrid model might be most appropriate.","container-title":"NeoBiota","DOI":"10.3897/neobiota.62.53543","ISSN":"1314-2488, 1619-0033","journalAbbreviation":"NB","page":"143-159","source":"DOI.org (Crossref)","title":"Classifying the introduction pathways of alien species: are we moving in the right direction?","title-short":"Classifying the introduction pathways of alien species","URL":"https://neobiota.pensoft.net/article/53543/","volume":"62","author":[{"family":"Faulkner","given":"Katelyn T."},{"family":"Hulme","given":"Philip E."},{"family":"Pagad","given":"Shyama"},{"family":"Wilson","given":"John R. U."},{"family":"Robertson","given":"Mark P."}],"accessed":{"date-parts":[["2021",3,16]]},"issued":{"date-parts":[["2020",10,15]]}},"label":"page"},{"id":53072,"uris":["http://zotero.org/groups/2352922/items/TUSUKX5I"],"itemData":{"id":53072,"type":"article-journal","abstract":"Information on the pathways by which alien taxa are introduced to new regions is vital for prioritising policy and management responses to invasions. However, available datasets are often compiled using disparate methods, making comparison and collation of pathway data difficult. Using a standardised framework for recording and categorising pathway data can help to rectify this problem and provide the information necessary to develop indicators for reporting on alien introductions. We combine the Convention on Biological Diversity’s Pathways Categorisation Scheme (CPC) with data compiled by the Invasive Species Specialist Group (ISSG) to report on multiregional trends on alien introduction pathways over the past 200+ years. We found a significant increase in the documented number of multiregional alien introduction events across all pathways of the CPC’s three hierarchical levels. The ‘escape’ pathway is the most common documented pathway used by alien taxa. Transport stowaways via shipping-related pathways are a rapidly increasing contribution to alien introductions. Most alien introduction events were of unknown pathway origin, highlighting the challenge of information gaps in pathway data and reiterating the need for standardised information-gathering practices. Combining the CPC framework with alien introduction pathways data will standardise pathway information and facilitate the development of global indicators of trends in alien introductions and the pathways they use. These indicators have the potential to inform policy and management strategies for preventing future biological invasions and can be downscaled to national and regional levels that are applicable across taxa and ecosystems.","container-title":"NeoBiota","DOI":"10.3897/neobiota.64.60642","ISSN":"1314-2488","language":"en","license":"2022 Chris M. McGrannachan, Shyama Pagad, Melodie A. McGeoch","note":"publisher: Pensoft Publishers","page":"43-67","source":"neobiota.pensoft.net","title":"A multiregional assessment of transnational pathways of introduction","URL":"https://neobiota.pensoft.net/article/60642/","volume":"64","author":[{"family":"McGrannachan","given":"Chris M."},{"family":"Pagad","given":"Shyama"},{"family":"McGeoch","given":"Melodie A."}],"accessed":{"date-parts":[["2022",8,31]]},"issued":{"date-parts":[["2021",1,20]]}},"label":"page"},{"id":56579,"uris":["http://zotero.org/groups/2352922/items/6K6T66JS","http://zotero.org/groups/2352922/items/LLURJVC9"],"itemData":{"id":56579,"type":"article-journal","container-title":"Journal of Applied Ecology","DOI":"10.1111/1365-2664.12819","ISSN":"00218901","issue":"2","journalAbbreviation":"J Appl Ecol","language":"en","page":"657-669","source":"DOI.org (Crossref)","title":"Assessing patterns in introduction pathways of alien species by linking major invasion data bases","URL":"https://onlinelibrary.wiley.com/doi/10.1111/1365-2664.12819","volume":"54","author":[{"family":"Saul","given":"Wolf-Christian"},{"family":"Roy","given":"Helen E."},{"family":"Booy","given":"Olaf"},{"family":"Carnevali","given":"Lucilla"},{"family":"Chen","given":"Hsuan-Ju"},{"family":"Genovesi","given":"Piero"},{"family":"Harrower","given":"Colin A."},{"family":"Hulme","given":"Philip E."},{"family":"Pagad","given":"Shyama"},{"family":"Pergl","given":"Jan"},{"family":"Jeschke","given":"Jonathan M."}],"editor":[{"family":"Beggs","given":"Jacqueline"}],"accessed":{"date-parts":[["2023",6,8]]},"issued":{"date-parts":[["2017",4]]}},"label":"page"}],"schema":"https://github.com/citation-style-language/schema/raw/master/csl-citation.json"} </w:instrText>
      </w:r>
      <w:r w:rsidR="00332AF5" w:rsidRPr="00837161">
        <w:rPr>
          <w:lang w:eastAsia="en-US"/>
        </w:rPr>
        <w:fldChar w:fldCharType="separate"/>
      </w:r>
      <w:r w:rsidR="00271B78" w:rsidRPr="00271B78">
        <w:t>(Faulkner et al., 2020; McGrannachan et al., 2021; Saul et al., 2017)</w:t>
      </w:r>
      <w:r w:rsidR="00332AF5" w:rsidRPr="00837161">
        <w:rPr>
          <w:lang w:eastAsia="en-US"/>
        </w:rPr>
        <w:fldChar w:fldCharType="end"/>
      </w:r>
      <w:r w:rsidR="00C678F0" w:rsidRPr="00837161">
        <w:rPr>
          <w:lang w:eastAsia="en-US"/>
        </w:rPr>
        <w:t>.</w:t>
      </w:r>
    </w:p>
    <w:p w14:paraId="018888E7" w14:textId="05C9B4B8" w:rsidR="001B0409" w:rsidRPr="00837161" w:rsidRDefault="00700598" w:rsidP="00C11DFA">
      <w:pPr>
        <w:spacing w:before="240" w:after="120" w:line="240" w:lineRule="auto"/>
        <w:rPr>
          <w:lang w:eastAsia="en-US"/>
        </w:rPr>
      </w:pPr>
      <w:r w:rsidRPr="00837161">
        <w:rPr>
          <w:lang w:eastAsia="en-US"/>
        </w:rPr>
        <w:t xml:space="preserve">Analysis and prioritization of pathways </w:t>
      </w:r>
      <w:r w:rsidR="2E78B620" w:rsidRPr="00837161">
        <w:rPr>
          <w:lang w:eastAsia="en-US"/>
        </w:rPr>
        <w:t>support</w:t>
      </w:r>
      <w:r w:rsidR="10978C54" w:rsidRPr="00837161">
        <w:rPr>
          <w:lang w:eastAsia="en-US"/>
        </w:rPr>
        <w:t>s</w:t>
      </w:r>
      <w:r w:rsidR="67FCC273" w:rsidRPr="00837161">
        <w:rPr>
          <w:lang w:eastAsia="en-US"/>
        </w:rPr>
        <w:t xml:space="preserve"> </w:t>
      </w:r>
      <w:r w:rsidR="2E78B620" w:rsidRPr="00837161">
        <w:rPr>
          <w:lang w:eastAsia="en-US"/>
        </w:rPr>
        <w:t xml:space="preserve">regulatory approaches </w:t>
      </w:r>
      <w:r w:rsidR="333F4FA3" w:rsidRPr="00837161">
        <w:rPr>
          <w:lang w:eastAsia="en-US"/>
        </w:rPr>
        <w:t xml:space="preserve">likely </w:t>
      </w:r>
      <w:r w:rsidR="49139607" w:rsidRPr="00837161">
        <w:rPr>
          <w:lang w:eastAsia="en-US"/>
        </w:rPr>
        <w:t>t</w:t>
      </w:r>
      <w:r w:rsidR="4F411130" w:rsidRPr="00837161">
        <w:rPr>
          <w:lang w:eastAsia="en-US"/>
        </w:rPr>
        <w:t xml:space="preserve">o </w:t>
      </w:r>
      <w:r w:rsidR="6CB28231" w:rsidRPr="00837161">
        <w:rPr>
          <w:lang w:eastAsia="en-US"/>
        </w:rPr>
        <w:t xml:space="preserve">also </w:t>
      </w:r>
      <w:r w:rsidR="4F411130" w:rsidRPr="00837161">
        <w:rPr>
          <w:lang w:eastAsia="en-US"/>
        </w:rPr>
        <w:t xml:space="preserve">use and compare </w:t>
      </w:r>
      <w:r w:rsidR="112C0212" w:rsidRPr="00837161">
        <w:rPr>
          <w:lang w:eastAsia="en-US"/>
        </w:rPr>
        <w:t xml:space="preserve">pathway </w:t>
      </w:r>
      <w:r w:rsidR="4F411130" w:rsidRPr="00837161">
        <w:rPr>
          <w:lang w:eastAsia="en-US"/>
        </w:rPr>
        <w:t>data</w:t>
      </w:r>
      <w:r w:rsidR="5CB31E7A" w:rsidRPr="00837161">
        <w:rPr>
          <w:lang w:eastAsia="en-US"/>
        </w:rPr>
        <w:t xml:space="preserve"> on commodities and vectors</w:t>
      </w:r>
      <w:r w:rsidR="4F411130" w:rsidRPr="00837161">
        <w:rPr>
          <w:lang w:eastAsia="en-US"/>
        </w:rPr>
        <w:t xml:space="preserve"> </w:t>
      </w:r>
      <w:r w:rsidR="00723A54" w:rsidRPr="00837161">
        <w:rPr>
          <w:lang w:eastAsia="en-US"/>
        </w:rPr>
        <w:fldChar w:fldCharType="begin"/>
      </w:r>
      <w:r w:rsidR="000F35EB">
        <w:rPr>
          <w:lang w:eastAsia="en-US"/>
        </w:rPr>
        <w:instrText xml:space="preserve"> ADDIN ZOTERO_ITEM CSL_CITATION {"citationID":"bel3BKcW","properties":{"formattedCitation":"(McGeoch, Genovesi, et al., 2016)","plainCitation":"(McGeoch, Genovesi, et al., 2016)","dontUpdate":true,"noteIndex":0},"citationItems":[{"id":26532,"uris":["http://zotero.org/groups/2352922/items/SK35934W"],"itemData":{"id":26532,"type":"article-journal","abstract":"Prioritization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J."},{"family":"McGrannachan","given":"C."},{"family":"Sheppard","given":"A."}],"issued":{"date-parts":[["2016",2]]}}}],"schema":"https://github.com/citation-style-language/schema/raw/master/csl-citation.json"} </w:instrText>
      </w:r>
      <w:r w:rsidR="00723A54" w:rsidRPr="00837161">
        <w:rPr>
          <w:lang w:eastAsia="en-US"/>
        </w:rPr>
        <w:fldChar w:fldCharType="separate"/>
      </w:r>
      <w:r w:rsidR="6F4E27CC" w:rsidRPr="00AC5A0B">
        <w:rPr>
          <w:lang w:eastAsia="en-AU"/>
        </w:rPr>
        <w:t>(</w:t>
      </w:r>
      <w:r w:rsidR="2C713CA6" w:rsidRPr="00AC5A0B">
        <w:rPr>
          <w:lang w:eastAsia="en-AU"/>
        </w:rPr>
        <w:t xml:space="preserve">McGeoch, Genovesi, et al., 2016; </w:t>
      </w:r>
      <w:r w:rsidR="00AC5A0B">
        <w:rPr>
          <w:b/>
          <w:bCs/>
          <w:lang w:eastAsia="en-AU"/>
        </w:rPr>
        <w:t>C</w:t>
      </w:r>
      <w:r w:rsidR="2139670A" w:rsidRPr="00AC1F76">
        <w:rPr>
          <w:b/>
          <w:bCs/>
          <w:lang w:eastAsia="en-AU"/>
        </w:rPr>
        <w:t>hapter</w:t>
      </w:r>
      <w:r w:rsidR="30E6DA57" w:rsidRPr="00AC1F76">
        <w:rPr>
          <w:b/>
          <w:bCs/>
          <w:lang w:eastAsia="en-AU"/>
        </w:rPr>
        <w:t xml:space="preserve"> 3,</w:t>
      </w:r>
      <w:r w:rsidR="4F411130" w:rsidRPr="00AC1F76">
        <w:rPr>
          <w:b/>
          <w:bCs/>
          <w:lang w:eastAsia="en-AU"/>
        </w:rPr>
        <w:t xml:space="preserve"> </w:t>
      </w:r>
      <w:r w:rsidR="1F20361B" w:rsidRPr="00AC1F76">
        <w:rPr>
          <w:b/>
          <w:bCs/>
          <w:lang w:eastAsia="en-AU"/>
        </w:rPr>
        <w:t xml:space="preserve">section </w:t>
      </w:r>
      <w:r w:rsidR="4F411130" w:rsidRPr="00AC1F76">
        <w:rPr>
          <w:b/>
          <w:bCs/>
          <w:lang w:eastAsia="en-AU"/>
        </w:rPr>
        <w:t>3</w:t>
      </w:r>
      <w:r w:rsidR="1F20361B" w:rsidRPr="00AC1F76">
        <w:rPr>
          <w:b/>
          <w:bCs/>
          <w:lang w:eastAsia="en-AU"/>
        </w:rPr>
        <w:t>.</w:t>
      </w:r>
      <w:r w:rsidR="00E333E2" w:rsidRPr="00AC1F76">
        <w:rPr>
          <w:b/>
          <w:bCs/>
          <w:lang w:eastAsia="en-AU"/>
        </w:rPr>
        <w:t>1.1</w:t>
      </w:r>
      <w:r w:rsidR="007E0E51" w:rsidRPr="00AC5A0B">
        <w:rPr>
          <w:lang w:eastAsia="en-AU"/>
        </w:rPr>
        <w:t>;</w:t>
      </w:r>
      <w:r w:rsidR="005B239A" w:rsidRPr="00AC1F76">
        <w:rPr>
          <w:b/>
          <w:bCs/>
          <w:lang w:eastAsia="en-AU"/>
        </w:rPr>
        <w:t xml:space="preserve"> </w:t>
      </w:r>
      <w:r w:rsidR="00AC5A0B">
        <w:rPr>
          <w:b/>
          <w:bCs/>
          <w:lang w:eastAsia="en-AU"/>
        </w:rPr>
        <w:t>G</w:t>
      </w:r>
      <w:r w:rsidR="005B239A" w:rsidRPr="00AC1F76">
        <w:rPr>
          <w:b/>
          <w:bCs/>
          <w:lang w:eastAsia="en-AU"/>
        </w:rPr>
        <w:t>lossary</w:t>
      </w:r>
      <w:r w:rsidR="4F411130" w:rsidRPr="00837161">
        <w:rPr>
          <w:lang w:eastAsia="en-AU"/>
        </w:rPr>
        <w:t>)</w:t>
      </w:r>
      <w:r w:rsidR="00723A54" w:rsidRPr="00837161">
        <w:rPr>
          <w:lang w:eastAsia="en-US"/>
        </w:rPr>
        <w:fldChar w:fldCharType="end"/>
      </w:r>
      <w:r w:rsidR="4F411130" w:rsidRPr="00837161">
        <w:rPr>
          <w:lang w:eastAsia="en-US"/>
        </w:rPr>
        <w:t>.</w:t>
      </w:r>
      <w:r w:rsidR="6C34DF9E" w:rsidRPr="00837161">
        <w:rPr>
          <w:lang w:eastAsia="en-US"/>
        </w:rPr>
        <w:t xml:space="preserve"> Quantitative pathway </w:t>
      </w:r>
      <w:r w:rsidR="00E64C0F" w:rsidRPr="00837161">
        <w:rPr>
          <w:lang w:eastAsia="en-US"/>
        </w:rPr>
        <w:t>risk</w:t>
      </w:r>
      <w:r w:rsidR="6C34DF9E" w:rsidRPr="00837161">
        <w:rPr>
          <w:lang w:eastAsia="en-US"/>
        </w:rPr>
        <w:t xml:space="preserve"> </w:t>
      </w:r>
      <w:r w:rsidRPr="00837161">
        <w:rPr>
          <w:lang w:eastAsia="en-US"/>
        </w:rPr>
        <w:t>analysis</w:t>
      </w:r>
      <w:r w:rsidR="6C34DF9E" w:rsidRPr="00837161">
        <w:rPr>
          <w:lang w:eastAsia="en-US"/>
        </w:rPr>
        <w:t xml:space="preserve"> requires a</w:t>
      </w:r>
      <w:r w:rsidR="4F411130" w:rsidRPr="00837161">
        <w:rPr>
          <w:lang w:eastAsia="en-US"/>
        </w:rPr>
        <w:t xml:space="preserve"> set of key variables </w:t>
      </w:r>
      <w:r w:rsidR="00723A54" w:rsidRPr="00837161">
        <w:rPr>
          <w:lang w:eastAsia="en-US"/>
        </w:rPr>
        <w:fldChar w:fldCharType="begin"/>
      </w:r>
      <w:r w:rsidR="000F35EB">
        <w:rPr>
          <w:lang w:eastAsia="en-US"/>
        </w:rPr>
        <w:instrText xml:space="preserve"> ADDIN ZOTERO_ITEM CSL_CITATION {"citationID":"Ckswg4ZZ","properties":{"formattedCitation":"(Essl et al., 2015; Hulme, 2009)","plainCitation":"(Essl et al., 2015; Hulme, 2009)","noteIndex":0},"citationItems":[{"id":9832,"uris":["http://zotero.org/groups/2352922/items/KXDKRH3W"],"itemData":{"id":9832,"type":"article-journal","abstract":"Abstract.  Substantial progress has been made in understanding how pathways underlie and mediate biological invasions. However, key features of their role in in","container-title":"BioScience","DOI":"10.1093/biosci/biv082","ISSN":"15253244 00063568","issue":"8","journalAbbreviation":"BioScience","language":"en","page":"769-782","source":"DOI.org (Crossref)","title":"Crossing Frontiers in Tackling Pathways of Biological Invasions","URL":"https://academic.oup.com/bioscience/article/65/8/769/240282","volume":"65","author":[{"family":"Essl","given":"Franz"},{"family":"Bacher","given":"Sven"},{"family":"Blackburn","given":"Tim M."},{"family":"Booy","given":"Olaf"},{"family":"Brundu","given":"Giuseppe"},{"family":"Brunel","given":"Sarah"},{"family":"Cardoso","given":"Ana-Cristina."},{"family":"Eschen","given":"René"},{"family":"Gallardo","given":"Belinda"},{"family":"Galil","given":"Bella"},{"family":"García-Berthou","given":"Emili"},{"family":"Genovesi","given":"Piero"},{"family":"Groom","given":"Quentin"},{"family":"Harrower","given":"Colin"},{"family":"Hulme","given":"Philip E."},{"family":"Katsanevakis","given":"Stelios"},{"family":"Kenis","given":"Marc"},{"family":"Kühn","given":"Ingolf"},{"family":"Kumschick","given":"Sabrina"},{"family":"Martinou","given":"Angeliki F."},{"family":"Nentwig","given":"Wolfgang"},{"family":"O'Flynn","given":"Colette"},{"family":"Pagad","given":"Shyama"},{"family":"Pergl","given":"Jan"},{"family":"Pyšek","given":"Petr"},{"family":"Rabitsch","given":"Wolfgang"},{"family":"Richardson","given":"David M."},{"family":"Roques","given":"Alain"},{"family":"Roy","given":"Helen E."},{"family":"Scalera","given":"Riccardo"},{"family":"Schindler","given":"Stefan"},{"family":"Seebens","given":"Hanno"},{"family":"Vanderhoeven","given":"Sonia"},{"family":"Vilà","given":"Montserrat"},{"family":"Wilson","given":"John R.U."},{"family":"Zenetos","given":"Argyro"},{"family":"Jeschke","given":"Jeschke M."}],"issued":{"date-parts":[["2015",7,11]]}},"label":"page"},{"id":32387,"uris":["http://zotero.org/groups/2352922/items/M3KQUD2U"],"itemData":{"id":32387,"type":"article-journal","abstract":"1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00723A54" w:rsidRPr="00837161">
        <w:rPr>
          <w:lang w:eastAsia="en-US"/>
        </w:rPr>
        <w:fldChar w:fldCharType="separate"/>
      </w:r>
      <w:r w:rsidR="00271B78" w:rsidRPr="00271B78">
        <w:t>(Essl et al., 2015; Hulme, 2009)</w:t>
      </w:r>
      <w:r w:rsidR="00723A54" w:rsidRPr="00837161">
        <w:rPr>
          <w:lang w:eastAsia="en-US"/>
        </w:rPr>
        <w:fldChar w:fldCharType="end"/>
      </w:r>
      <w:r w:rsidR="4F411130" w:rsidRPr="00837161">
        <w:rPr>
          <w:lang w:eastAsia="en-US"/>
        </w:rPr>
        <w:t xml:space="preserve">: </w:t>
      </w:r>
    </w:p>
    <w:p w14:paraId="6DF8AFCD" w14:textId="2626A8BF" w:rsidR="00AB0F90"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H</w:t>
      </w:r>
      <w:r w:rsidR="00F95868" w:rsidRPr="00837161">
        <w:rPr>
          <w:lang w:eastAsia="en-US"/>
        </w:rPr>
        <w:t>istorical s</w:t>
      </w:r>
      <w:r w:rsidR="00F059EC" w:rsidRPr="00837161">
        <w:rPr>
          <w:lang w:eastAsia="en-US"/>
        </w:rPr>
        <w:t>trength of the a</w:t>
      </w:r>
      <w:r w:rsidR="007401AB" w:rsidRPr="00837161">
        <w:rPr>
          <w:lang w:eastAsia="en-US"/>
        </w:rPr>
        <w:t xml:space="preserve">ssociation </w:t>
      </w:r>
      <w:r w:rsidR="001B0409" w:rsidRPr="00837161">
        <w:rPr>
          <w:lang w:eastAsia="en-US"/>
        </w:rPr>
        <w:t xml:space="preserve">between </w:t>
      </w:r>
      <w:r w:rsidR="00F059EC" w:rsidRPr="00837161">
        <w:rPr>
          <w:lang w:eastAsia="en-US"/>
        </w:rPr>
        <w:t xml:space="preserve">the </w:t>
      </w:r>
      <w:r w:rsidR="001B0409" w:rsidRPr="00837161">
        <w:rPr>
          <w:lang w:eastAsia="en-US"/>
        </w:rPr>
        <w:t>species</w:t>
      </w:r>
      <w:r w:rsidR="007F46C8" w:rsidRPr="00837161">
        <w:rPr>
          <w:lang w:eastAsia="en-US"/>
        </w:rPr>
        <w:t xml:space="preserve"> threat</w:t>
      </w:r>
      <w:r w:rsidR="001B0409" w:rsidRPr="00837161">
        <w:rPr>
          <w:lang w:eastAsia="en-US"/>
        </w:rPr>
        <w:t xml:space="preserve"> and </w:t>
      </w:r>
      <w:r w:rsidR="007F46C8" w:rsidRPr="00837161">
        <w:rPr>
          <w:lang w:eastAsia="en-US"/>
        </w:rPr>
        <w:t xml:space="preserve">the </w:t>
      </w:r>
      <w:r w:rsidR="001B0409" w:rsidRPr="00837161">
        <w:rPr>
          <w:lang w:eastAsia="en-US"/>
        </w:rPr>
        <w:t>commodity</w:t>
      </w:r>
      <w:r w:rsidR="00F059EC" w:rsidRPr="00837161">
        <w:rPr>
          <w:lang w:eastAsia="en-US"/>
        </w:rPr>
        <w:t xml:space="preserve">, </w:t>
      </w:r>
      <w:r w:rsidR="007F46C8" w:rsidRPr="00837161">
        <w:rPr>
          <w:lang w:eastAsia="en-US"/>
        </w:rPr>
        <w:t>v</w:t>
      </w:r>
      <w:r w:rsidR="001B0409" w:rsidRPr="00837161">
        <w:rPr>
          <w:lang w:eastAsia="en-US"/>
        </w:rPr>
        <w:t>ector</w:t>
      </w:r>
      <w:r w:rsidR="003C0114" w:rsidRPr="00837161">
        <w:rPr>
          <w:lang w:eastAsia="en-US"/>
        </w:rPr>
        <w:t xml:space="preserve"> or </w:t>
      </w:r>
      <w:r w:rsidR="00722D91" w:rsidRPr="00837161">
        <w:rPr>
          <w:lang w:eastAsia="en-US"/>
        </w:rPr>
        <w:t>pathway</w:t>
      </w:r>
      <w:r w:rsidR="001B0409" w:rsidRPr="00837161">
        <w:rPr>
          <w:lang w:eastAsia="en-US"/>
        </w:rPr>
        <w:t xml:space="preserve"> at the point of </w:t>
      </w:r>
      <w:r w:rsidR="003C0114" w:rsidRPr="00837161">
        <w:rPr>
          <w:lang w:eastAsia="en-US"/>
        </w:rPr>
        <w:t>departure</w:t>
      </w:r>
      <w:r w:rsidR="001B0409" w:rsidRPr="00837161">
        <w:rPr>
          <w:lang w:eastAsia="en-US"/>
        </w:rPr>
        <w:t>;</w:t>
      </w:r>
    </w:p>
    <w:p w14:paraId="787D39EA" w14:textId="3424802E" w:rsidR="00AB0F90"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O</w:t>
      </w:r>
      <w:r w:rsidR="00BD7954" w:rsidRPr="00837161">
        <w:rPr>
          <w:lang w:eastAsia="en-US"/>
        </w:rPr>
        <w:t xml:space="preserve">rigin, </w:t>
      </w:r>
      <w:r w:rsidR="001B0409" w:rsidRPr="00837161">
        <w:rPr>
          <w:lang w:eastAsia="en-US"/>
        </w:rPr>
        <w:t xml:space="preserve">volume </w:t>
      </w:r>
      <w:r w:rsidR="0080AAE5" w:rsidRPr="00837161">
        <w:rPr>
          <w:lang w:eastAsia="en-US"/>
        </w:rPr>
        <w:t xml:space="preserve">and type </w:t>
      </w:r>
      <w:r w:rsidR="001B0409" w:rsidRPr="00837161">
        <w:rPr>
          <w:lang w:eastAsia="en-US"/>
        </w:rPr>
        <w:t>of commodit</w:t>
      </w:r>
      <w:r w:rsidR="5C23CFFB" w:rsidRPr="00837161">
        <w:rPr>
          <w:lang w:eastAsia="en-US"/>
        </w:rPr>
        <w:t>ies</w:t>
      </w:r>
      <w:r w:rsidR="003C0114" w:rsidRPr="00837161">
        <w:rPr>
          <w:lang w:eastAsia="en-US"/>
        </w:rPr>
        <w:t xml:space="preserve"> or </w:t>
      </w:r>
      <w:r w:rsidR="001B0409" w:rsidRPr="00837161">
        <w:rPr>
          <w:lang w:eastAsia="en-US"/>
        </w:rPr>
        <w:t>vector</w:t>
      </w:r>
      <w:r w:rsidR="003C0114" w:rsidRPr="00837161">
        <w:rPr>
          <w:lang w:eastAsia="en-US"/>
        </w:rPr>
        <w:t xml:space="preserve"> </w:t>
      </w:r>
      <w:r w:rsidR="001B0409" w:rsidRPr="00837161">
        <w:rPr>
          <w:lang w:eastAsia="en-US"/>
        </w:rPr>
        <w:t>introduced</w:t>
      </w:r>
      <w:r w:rsidR="003C0114" w:rsidRPr="00837161">
        <w:rPr>
          <w:lang w:eastAsia="en-US"/>
        </w:rPr>
        <w:t xml:space="preserve"> </w:t>
      </w:r>
      <w:r w:rsidR="00722D91" w:rsidRPr="00837161">
        <w:rPr>
          <w:lang w:eastAsia="en-US"/>
        </w:rPr>
        <w:t>for each pathway</w:t>
      </w:r>
      <w:r w:rsidR="001B0409" w:rsidRPr="00837161">
        <w:rPr>
          <w:lang w:eastAsia="en-US"/>
        </w:rPr>
        <w:t>;</w:t>
      </w:r>
    </w:p>
    <w:p w14:paraId="7723C7B5" w14:textId="7756218D" w:rsidR="00AB0F90"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F</w:t>
      </w:r>
      <w:r w:rsidR="001B0409" w:rsidRPr="00837161">
        <w:rPr>
          <w:lang w:eastAsia="en-US"/>
        </w:rPr>
        <w:t>requency of introduction;</w:t>
      </w:r>
    </w:p>
    <w:p w14:paraId="32B154C7" w14:textId="3E520AF2" w:rsidR="00AB0F90"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S</w:t>
      </w:r>
      <w:r w:rsidR="001B0409" w:rsidRPr="00837161">
        <w:rPr>
          <w:lang w:eastAsia="en-US"/>
        </w:rPr>
        <w:t>pecies survivorship and population growth during transport/storage;</w:t>
      </w:r>
    </w:p>
    <w:p w14:paraId="580E3108" w14:textId="6C7AAEF7" w:rsidR="00AB0F90"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E</w:t>
      </w:r>
      <w:r w:rsidR="00C32AC8" w:rsidRPr="00837161">
        <w:rPr>
          <w:lang w:eastAsia="en-US"/>
        </w:rPr>
        <w:t xml:space="preserve">nvironmental </w:t>
      </w:r>
      <w:r w:rsidR="001B0409" w:rsidRPr="00837161">
        <w:rPr>
          <w:lang w:eastAsia="en-US"/>
        </w:rPr>
        <w:t xml:space="preserve">suitability </w:t>
      </w:r>
      <w:r w:rsidR="007401AB" w:rsidRPr="00837161">
        <w:rPr>
          <w:lang w:eastAsia="en-US"/>
        </w:rPr>
        <w:t xml:space="preserve">in the region of introduction </w:t>
      </w:r>
      <w:r w:rsidR="001B0409" w:rsidRPr="00837161">
        <w:rPr>
          <w:lang w:eastAsia="en-US"/>
        </w:rPr>
        <w:t>for species establishment (e.g., climate matching);</w:t>
      </w:r>
    </w:p>
    <w:p w14:paraId="337BD879" w14:textId="39973DC1" w:rsidR="00B366EE"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T</w:t>
      </w:r>
      <w:r w:rsidR="001B0409" w:rsidRPr="00837161">
        <w:rPr>
          <w:lang w:eastAsia="en-US"/>
        </w:rPr>
        <w:t xml:space="preserve">ime of year </w:t>
      </w:r>
      <w:r w:rsidR="000E212D" w:rsidRPr="00837161">
        <w:rPr>
          <w:lang w:eastAsia="en-US"/>
        </w:rPr>
        <w:t xml:space="preserve">relevant for </w:t>
      </w:r>
      <w:r w:rsidR="001B0409" w:rsidRPr="00837161">
        <w:rPr>
          <w:lang w:eastAsia="en-US"/>
        </w:rPr>
        <w:t>species establishment</w:t>
      </w:r>
      <w:r w:rsidR="000E212D" w:rsidRPr="00837161">
        <w:rPr>
          <w:lang w:eastAsia="en-US"/>
        </w:rPr>
        <w:t xml:space="preserve"> following introduction</w:t>
      </w:r>
      <w:r w:rsidR="001B0409" w:rsidRPr="00837161">
        <w:rPr>
          <w:lang w:eastAsia="en-US"/>
        </w:rPr>
        <w:t>;</w:t>
      </w:r>
    </w:p>
    <w:p w14:paraId="312C6842" w14:textId="7A28F10C" w:rsidR="00B366EE"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E</w:t>
      </w:r>
      <w:r w:rsidR="001B0409" w:rsidRPr="00837161">
        <w:rPr>
          <w:lang w:eastAsia="en-US"/>
        </w:rPr>
        <w:t>ase of species detection</w:t>
      </w:r>
      <w:r w:rsidR="001D430C" w:rsidRPr="00837161">
        <w:rPr>
          <w:lang w:eastAsia="en-US"/>
        </w:rPr>
        <w:t xml:space="preserve"> and identification</w:t>
      </w:r>
      <w:r w:rsidR="001B0409" w:rsidRPr="00837161">
        <w:rPr>
          <w:lang w:eastAsia="en-US"/>
        </w:rPr>
        <w:t>;</w:t>
      </w:r>
    </w:p>
    <w:p w14:paraId="0FA87EB3" w14:textId="0FB454B2" w:rsidR="00B366EE"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E</w:t>
      </w:r>
      <w:r w:rsidR="001B0409" w:rsidRPr="00837161">
        <w:rPr>
          <w:lang w:eastAsia="en-US"/>
        </w:rPr>
        <w:t>ffectiveness of management measures</w:t>
      </w:r>
      <w:r w:rsidR="00E54181" w:rsidRPr="00837161">
        <w:rPr>
          <w:lang w:eastAsia="en-US"/>
        </w:rPr>
        <w:t>;</w:t>
      </w:r>
    </w:p>
    <w:p w14:paraId="4E1160E2" w14:textId="1421E38B" w:rsidR="00B366EE" w:rsidRPr="00837161" w:rsidRDefault="00AC5A0B" w:rsidP="00A9356F">
      <w:pPr>
        <w:pStyle w:val="ListParagraph"/>
        <w:numPr>
          <w:ilvl w:val="0"/>
          <w:numId w:val="42"/>
        </w:numPr>
        <w:spacing w:before="240" w:after="120" w:line="240" w:lineRule="auto"/>
        <w:rPr>
          <w:rFonts w:eastAsia="Times New Roman"/>
          <w:lang w:eastAsia="en-AU"/>
        </w:rPr>
      </w:pPr>
      <w:r>
        <w:rPr>
          <w:lang w:eastAsia="en-US"/>
        </w:rPr>
        <w:t>M</w:t>
      </w:r>
      <w:r w:rsidR="005368BF" w:rsidRPr="00837161">
        <w:rPr>
          <w:lang w:eastAsia="en-US"/>
        </w:rPr>
        <w:t>ovement</w:t>
      </w:r>
      <w:r w:rsidR="003365A4" w:rsidRPr="00837161">
        <w:rPr>
          <w:lang w:eastAsia="en-US"/>
        </w:rPr>
        <w:t xml:space="preserve"> of </w:t>
      </w:r>
      <w:r w:rsidR="001B0409" w:rsidRPr="00837161">
        <w:rPr>
          <w:lang w:eastAsia="en-US"/>
        </w:rPr>
        <w:t>the commodity</w:t>
      </w:r>
      <w:r w:rsidR="003365A4" w:rsidRPr="00837161">
        <w:rPr>
          <w:lang w:eastAsia="en-US"/>
        </w:rPr>
        <w:t xml:space="preserve"> or </w:t>
      </w:r>
      <w:r w:rsidR="001B0409" w:rsidRPr="00837161">
        <w:rPr>
          <w:lang w:eastAsia="en-US"/>
        </w:rPr>
        <w:t xml:space="preserve">vector in the region </w:t>
      </w:r>
      <w:r w:rsidR="005368BF" w:rsidRPr="00837161">
        <w:rPr>
          <w:lang w:eastAsia="en-US"/>
        </w:rPr>
        <w:t xml:space="preserve">following </w:t>
      </w:r>
      <w:r w:rsidR="001B0409" w:rsidRPr="00837161">
        <w:rPr>
          <w:lang w:eastAsia="en-US"/>
        </w:rPr>
        <w:t>introduction</w:t>
      </w:r>
      <w:r w:rsidR="001B0409" w:rsidRPr="00837161">
        <w:rPr>
          <w:rFonts w:eastAsia="Times New Roman"/>
          <w:lang w:eastAsia="en-AU"/>
        </w:rPr>
        <w:t>;</w:t>
      </w:r>
    </w:p>
    <w:p w14:paraId="0BBE9F5D" w14:textId="73230BC8" w:rsidR="00C56BCD" w:rsidRPr="00837161" w:rsidRDefault="00AC5A0B" w:rsidP="00A9356F">
      <w:pPr>
        <w:pStyle w:val="ListParagraph"/>
        <w:numPr>
          <w:ilvl w:val="0"/>
          <w:numId w:val="42"/>
        </w:numPr>
        <w:spacing w:before="240" w:after="120" w:line="240" w:lineRule="auto"/>
        <w:rPr>
          <w:rFonts w:eastAsia="Times New Roman"/>
          <w:lang w:eastAsia="en-AU"/>
        </w:rPr>
      </w:pPr>
      <w:r>
        <w:rPr>
          <w:rFonts w:eastAsia="Times New Roman"/>
          <w:lang w:eastAsia="en-AU"/>
        </w:rPr>
        <w:t>L</w:t>
      </w:r>
      <w:r w:rsidR="00B366EE" w:rsidRPr="00837161">
        <w:rPr>
          <w:rFonts w:eastAsia="Times New Roman"/>
          <w:lang w:eastAsia="en-AU"/>
        </w:rPr>
        <w:t>i</w:t>
      </w:r>
      <w:r w:rsidR="001B0409" w:rsidRPr="00837161">
        <w:rPr>
          <w:lang w:eastAsia="en-US"/>
        </w:rPr>
        <w:t xml:space="preserve">kelihood of transfer from </w:t>
      </w:r>
      <w:r w:rsidR="006D5A11" w:rsidRPr="00837161">
        <w:rPr>
          <w:lang w:eastAsia="en-US"/>
        </w:rPr>
        <w:t xml:space="preserve">port of entry </w:t>
      </w:r>
      <w:r w:rsidR="001B0409" w:rsidRPr="00837161">
        <w:rPr>
          <w:lang w:eastAsia="en-US"/>
        </w:rPr>
        <w:t xml:space="preserve">to a suitable habitat. </w:t>
      </w:r>
    </w:p>
    <w:p w14:paraId="2AF45D6C" w14:textId="19A0F8CA" w:rsidR="7A7AC71C" w:rsidRPr="00837161" w:rsidRDefault="36CAF9FE" w:rsidP="00C11DFA">
      <w:pPr>
        <w:spacing w:before="240" w:after="120" w:line="240" w:lineRule="auto"/>
      </w:pPr>
      <w:r w:rsidRPr="00837161">
        <w:rPr>
          <w:lang w:eastAsia="en-US"/>
        </w:rPr>
        <w:t>As s</w:t>
      </w:r>
      <w:r w:rsidR="4F411130" w:rsidRPr="00837161">
        <w:rPr>
          <w:lang w:eastAsia="en-US"/>
        </w:rPr>
        <w:t xml:space="preserve">uch parameters are only known for very few </w:t>
      </w:r>
      <w:r w:rsidR="0056045B" w:rsidRPr="00837161">
        <w:rPr>
          <w:lang w:eastAsia="en-US"/>
        </w:rPr>
        <w:t xml:space="preserve">alien </w:t>
      </w:r>
      <w:r w:rsidR="4F411130" w:rsidRPr="00837161">
        <w:rPr>
          <w:lang w:eastAsia="en-US"/>
        </w:rPr>
        <w:t>species and only for specific pathways, p</w:t>
      </w:r>
      <w:r w:rsidR="4F411130" w:rsidRPr="00837161">
        <w:rPr>
          <w:lang w:eastAsia="en-AU"/>
        </w:rPr>
        <w:t xml:space="preserve">athway risk </w:t>
      </w:r>
      <w:r w:rsidR="00423EF8" w:rsidRPr="00837161">
        <w:rPr>
          <w:lang w:eastAsia="en-AU"/>
        </w:rPr>
        <w:t xml:space="preserve">analysis </w:t>
      </w:r>
      <w:r w:rsidRPr="00837161">
        <w:rPr>
          <w:lang w:eastAsia="en-AU"/>
        </w:rPr>
        <w:t>(</w:t>
      </w:r>
      <w:r w:rsidR="4F411130" w:rsidRPr="00837161">
        <w:rPr>
          <w:lang w:eastAsia="en-AU"/>
        </w:rPr>
        <w:t>and management</w:t>
      </w:r>
      <w:r w:rsidRPr="00837161">
        <w:rPr>
          <w:lang w:eastAsia="en-AU"/>
        </w:rPr>
        <w:t>)</w:t>
      </w:r>
      <w:r w:rsidR="2EA4CFFC" w:rsidRPr="00837161">
        <w:rPr>
          <w:lang w:eastAsia="en-AU"/>
        </w:rPr>
        <w:t xml:space="preserve"> remains</w:t>
      </w:r>
      <w:r w:rsidR="4F411130" w:rsidRPr="00837161">
        <w:rPr>
          <w:lang w:eastAsia="en-AU"/>
        </w:rPr>
        <w:t xml:space="preserve"> challenging, </w:t>
      </w:r>
      <w:r w:rsidR="73EA8FEA" w:rsidRPr="00837161">
        <w:rPr>
          <w:lang w:eastAsia="en-AU"/>
        </w:rPr>
        <w:t xml:space="preserve">requiring </w:t>
      </w:r>
      <w:r w:rsidR="4F411130" w:rsidRPr="00837161">
        <w:rPr>
          <w:lang w:eastAsia="en-AU"/>
        </w:rPr>
        <w:t>inferences based on statistical aggregates across species</w:t>
      </w:r>
      <w:r w:rsidR="2EA4CFFC" w:rsidRPr="00837161">
        <w:rPr>
          <w:lang w:eastAsia="en-AU"/>
        </w:rPr>
        <w:t xml:space="preserve">, but have been </w:t>
      </w:r>
      <w:r w:rsidR="00C7C276" w:rsidRPr="00837161">
        <w:rPr>
          <w:lang w:eastAsia="en-AU"/>
        </w:rPr>
        <w:t xml:space="preserve">undertaken in different contexts </w:t>
      </w:r>
      <w:r w:rsidR="001B0409" w:rsidRPr="00837161">
        <w:rPr>
          <w:lang w:eastAsia="en-AU"/>
        </w:rPr>
        <w:fldChar w:fldCharType="begin"/>
      </w:r>
      <w:r w:rsidR="000F35EB">
        <w:rPr>
          <w:lang w:eastAsia="en-AU"/>
        </w:rPr>
        <w:instrText xml:space="preserve"> ADDIN ZOTERO_ITEM CSL_CITATION {"citationID":"YfdcDPji","properties":{"formattedCitation":"(Leung et al., 2014; Nunes et al., 2015)","plainCitation":"(Leung et al., 2014; Nunes et al., 2015)","noteIndex":0},"citationItems":[{"id":10520,"uris":["http://zotero.org/groups/2352922/items/UIDCP8GX"],"itemData":{"id":10520,"type":"article-journal","abstract":"Invasive species policies are often directed at pathways of introduction, yet few analyses have examined risk at the pathway level. We synthesize the best available economic and ecological information surrounding International Standards for Phytosanitary Measures No 15 (ISPM15), a pathway-level international phytosanitary policy for treatment of wood packaging material. We highlight temporal factors for calculation of net benefits, emphasizing that while we cannot stop invasions, even delaying new arrivals results in substantial economic benefits. We show that policy implementation, although costly and yielding only moderate protection, can generate &gt;US$11 billion in cumulative net benefits by 2050, averting the introduction of more pests than currently exist in the US. We also discuss the relative importance of different sources of scientific uncertainty and identify the most crucial data needs. This is the first pathway-level economic risk analysis assessing the current scientific evidence for the net benefits of a phytosanitary policy.","container-title":"Frontiers in Ecology and the Environment","DOI":"10.1890/130311","ISSN":"1540-9295","issue":"5","journalAbbreviation":"Frontiers in Ecology and the Environment","language":"en","page":"273-279","source":"DOI.org (Crossref)","title":"Pathway-level risk analysis: the net present value of an invasive species policy in the US","title-short":"Pathway-level risk analysis","URL":"http://doi.wiley.com/10.1890/130311","volume":"12","author":[{"family":"Leung","given":"Brian"},{"family":"Springborn","given":"Michael R"},{"family":"Turner","given":"James A"},{"family":"Brockerhoff","given":"Eckehard G"}],"accessed":{"date-parts":[["2020",4,3]]},"issued":{"date-parts":[["2014",6]]}},"label":"page"},{"id":10525,"uris":["http://zotero.org/groups/2352922/items/3UDFU76J"],"itemData":{"id":10525,"type":"article-journal","container-title":"Aquatic Invasions","DOI":"10.3391/ai.2015.10.4.01","ISSN":"18185487","issue":"4","journalAbbreviation":"AI","page":"359-370","source":"DOI.org (Crossref)","title":"Pathways and gateways of freshwater invasions in Europe","URL":"http://www.aquaticinvasions.net/2015/issue4.html","volume":"10","author":[{"family":"Nunes","given":"Ana L."},{"family":"Tricarico","given":"Elena"},{"family":"Panov","given":"Vadim E"},{"family":"Cardoso","given":"Ana C"},{"family":"Katsanevakis","given":"Stelios"}],"accessed":{"date-parts":[["2020",4,6]]},"issued":{"date-parts":[["2015"]]}},"label":"page"}],"schema":"https://github.com/citation-style-language/schema/raw/master/csl-citation.json"} </w:instrText>
      </w:r>
      <w:r w:rsidR="001B0409" w:rsidRPr="00837161">
        <w:rPr>
          <w:lang w:eastAsia="en-AU"/>
        </w:rPr>
        <w:fldChar w:fldCharType="separate"/>
      </w:r>
      <w:r w:rsidR="00271B78" w:rsidRPr="00271B78">
        <w:t>(Leung et al., 2014; Nunes et al., 2015)</w:t>
      </w:r>
      <w:r w:rsidR="001B0409" w:rsidRPr="00837161">
        <w:rPr>
          <w:lang w:eastAsia="en-AU"/>
        </w:rPr>
        <w:fldChar w:fldCharType="end"/>
      </w:r>
      <w:r w:rsidR="4F411130" w:rsidRPr="00837161">
        <w:rPr>
          <w:lang w:eastAsia="en-AU"/>
        </w:rPr>
        <w:t xml:space="preserve">. Costello et al. </w:t>
      </w:r>
      <w:r w:rsidR="001B0409" w:rsidRPr="00837161">
        <w:rPr>
          <w:lang w:eastAsia="en-AU"/>
        </w:rPr>
        <w:fldChar w:fldCharType="begin"/>
      </w:r>
      <w:r w:rsidR="000F35EB">
        <w:rPr>
          <w:lang w:eastAsia="en-AU"/>
        </w:rPr>
        <w:instrText xml:space="preserve"> ADDIN ZOTERO_ITEM CSL_CITATION {"citationID":"CiYYj2kn","properties":{"formattedCitation":"(2007)","plainCitation":"(2007)","noteIndex":0},"citationItems":[{"id":29344,"uris":["http://zotero.org/groups/2352922/items/DN63GTIY"],"itemData":{"id":29344,"type":"article-journal","container-title":"Journal of Environmental Economics and Management","DOI":"10.1016/j.jeem.2007.06.001","ISSN":"00950696","issue":"3","journalAbbreviation":"Journal of Environmental Economics and Management","language":"en","page":"262-276","source":"DOI.org (Crossref)","title":"Unintended biological invasions: Does risk vary by trading partner?","title-short":"Unintended biological invasions","URL":"https://linkinghub.elsevier.com/retrieve/pii/S0095069607000782","volume":"54","author":[{"family":"Costello","given":"Christopher"},{"family":"Springborn","given":"Michael"},{"family":"McAusland","given":"Carol"},{"family":"Solow","given":"Andrew"}],"accessed":{"date-parts":[["2020",4,6]]},"issued":{"date-parts":[["2007",11]]}},"label":"page","suppress-author":true}],"schema":"https://github.com/citation-style-language/schema/raw/master/csl-citation.json"} </w:instrText>
      </w:r>
      <w:r w:rsidR="001B0409" w:rsidRPr="00837161">
        <w:rPr>
          <w:lang w:eastAsia="en-AU"/>
        </w:rPr>
        <w:fldChar w:fldCharType="separate"/>
      </w:r>
      <w:r w:rsidR="00271B78" w:rsidRPr="00271B78">
        <w:t>(2007)</w:t>
      </w:r>
      <w:r w:rsidR="001B0409" w:rsidRPr="00837161">
        <w:rPr>
          <w:lang w:eastAsia="en-AU"/>
        </w:rPr>
        <w:fldChar w:fldCharType="end"/>
      </w:r>
      <w:r w:rsidR="4F411130" w:rsidRPr="00837161">
        <w:rPr>
          <w:lang w:eastAsia="en-AU"/>
        </w:rPr>
        <w:t xml:space="preserve"> developed an analytical model linking alien species introductions to trade volumes. In practice, pathway risk </w:t>
      </w:r>
      <w:r w:rsidR="00423EF8" w:rsidRPr="00837161">
        <w:rPr>
          <w:lang w:eastAsia="en-AU"/>
        </w:rPr>
        <w:t xml:space="preserve">analyses </w:t>
      </w:r>
      <w:r w:rsidR="4F411130" w:rsidRPr="00837161">
        <w:rPr>
          <w:lang w:eastAsia="en-AU"/>
        </w:rPr>
        <w:t xml:space="preserve">often rely on information on the range of vectors and routes by which alien propagules are introduced, and their respective propagule loads </w:t>
      </w:r>
      <w:r w:rsidR="001B0409" w:rsidRPr="00837161">
        <w:rPr>
          <w:lang w:eastAsia="en-AU"/>
        </w:rPr>
        <w:fldChar w:fldCharType="begin"/>
      </w:r>
      <w:r w:rsidR="000F35EB">
        <w:rPr>
          <w:lang w:eastAsia="en-AU"/>
        </w:rPr>
        <w:instrText xml:space="preserve"> ADDIN ZOTERO_ITEM CSL_CITATION {"citationID":"g9MtxXdy","properties":{"formattedCitation":"(McGeoch, Genovesi, et al., 2016)","plainCitation":"(McGeoch, Genovesi, et al., 2016)","noteIndex":0},"citationItems":[{"id":26532,"uris":["http://zotero.org/groups/2352922/items/SK35934W"],"itemData":{"id":26532,"type":"article-journal","abstract":"Prioritization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J."},{"family":"McGrannachan","given":"C."},{"family":"Sheppard","given":"A."}],"issued":{"date-parts":[["2016",2]]}},"label":"page"}],"schema":"https://github.com/citation-style-language/schema/raw/master/csl-citation.json"} </w:instrText>
      </w:r>
      <w:r w:rsidR="001B0409" w:rsidRPr="00837161">
        <w:rPr>
          <w:lang w:eastAsia="en-AU"/>
        </w:rPr>
        <w:fldChar w:fldCharType="separate"/>
      </w:r>
      <w:r w:rsidR="00271B78" w:rsidRPr="00271B78">
        <w:t>(McGeoch, Genovesi, et al., 2016)</w:t>
      </w:r>
      <w:r w:rsidR="001B0409" w:rsidRPr="00837161">
        <w:rPr>
          <w:lang w:eastAsia="en-AU"/>
        </w:rPr>
        <w:fldChar w:fldCharType="end"/>
      </w:r>
      <w:r w:rsidR="4F411130" w:rsidRPr="00837161">
        <w:rPr>
          <w:lang w:eastAsia="en-AU"/>
        </w:rPr>
        <w:t>. For example, a pathway risk a</w:t>
      </w:r>
      <w:r w:rsidR="00423EF8" w:rsidRPr="00837161">
        <w:rPr>
          <w:lang w:eastAsia="en-AU"/>
        </w:rPr>
        <w:t>n</w:t>
      </w:r>
      <w:r w:rsidR="001F2A0B" w:rsidRPr="00837161">
        <w:rPr>
          <w:lang w:eastAsia="en-AU"/>
        </w:rPr>
        <w:t xml:space="preserve">alysis </w:t>
      </w:r>
      <w:r w:rsidR="4F411130" w:rsidRPr="00837161">
        <w:rPr>
          <w:lang w:eastAsia="en-AU"/>
        </w:rPr>
        <w:t xml:space="preserve">performed for the Antarctic identified high propagule loads linked with the importation of fresh produce </w:t>
      </w:r>
      <w:r w:rsidR="001B0409" w:rsidRPr="00837161">
        <w:rPr>
          <w:lang w:eastAsia="en-AU"/>
        </w:rPr>
        <w:fldChar w:fldCharType="begin"/>
      </w:r>
      <w:r w:rsidR="000F35EB">
        <w:rPr>
          <w:lang w:eastAsia="en-AU"/>
        </w:rPr>
        <w:instrText xml:space="preserve"> ADDIN ZOTERO_ITEM CSL_CITATION {"citationID":"LhafcHhr","properties":{"formattedCitation":"(Hughes et al., 2011)","plainCitation":"(Hughes et al., 2011)","noteIndex":0},"citationItems":[{"id":28861,"uris":["http://zotero.org/groups/2352922/items/QZ5HDNDN"],"itemData":{"id":28861,"type":"article-journal","abstract":"To understand fully the risk of biological invasions, it is necessary to quantify propagule pressure along all introduction pathways. In the Antarctic region, importation of fresh produce is a potentially high risk, but as yet unquantified pathway. To address this knowledge gap, &gt;11,250 fruit and vegetables sent to nine research stations in Antarctica and the sub-Antarctic islands, were examined for associated soil, invertebrates and microbial decomposition. Fifty-one food types were sourced from c. 130 locations dispersed across all six of the Earth’s inhabited continents. On average, 12% of food items had soil on their surface, 28% showed microbial infection resulting in rot and more than 56 invertebrates were recorded, mainly from leafy produce. Approximately 30% of identified fungi sampled from infected foods were not recorded previously from within the Antarctic region, although this may reflect limited knowledge of Antarctic fungal diversity. The number of non-native flying invertebrates caught within the Rothera Research Station food storage area was linked closely with the level of fresh food resupply by ship and aircraft. We conclude by presenting practical biosecurity measures to reduce the risk of non-native species introductions to Antarctica associated with fresh foods.","container-title":"Biological Conservation","DOI":"10.1016/j.biocon.2011.03.001","ISSN":"00063207","issue":"5","journalAbbreviation":"Biological Conservation","language":"en","page":"1682-1689","source":"DOI.org (Crossref)","title":"Food for thought: Risks of non-native species transfer to the Antarctic region with fresh produce","title-short":"Food for thought","URL":"https://linkinghub.elsevier.com/retrieve/pii/S0006320711000954","volume":"144","author":[{"family":"Hughes","given":"Kevin A."},{"family":"Lee","given":"Jennifer E."},{"family":"Tsujimoto","given":"Megumu"},{"family":"Imura","given":"Satoshi"},{"family":"Bergstrom","given":"Dana M."},{"family":"Ware","given":"Chris"},{"family":"Lebouvier","given":"Marc"},{"family":"Huiskes","given":"Ad H.L."},{"family":"Gremmen","given":"Niek J.M."},{"family":"Frenot","given":"Yves"},{"family":"Bridge","given":"Paul D."},{"family":"Chown","given":"Steven L."}],"accessed":{"date-parts":[["2020",4,6]]},"issued":{"date-parts":[["2011",5]]}},"label":"page"}],"schema":"https://github.com/citation-style-language/schema/raw/master/csl-citation.json"} </w:instrText>
      </w:r>
      <w:r w:rsidR="001B0409" w:rsidRPr="00837161">
        <w:rPr>
          <w:lang w:eastAsia="en-AU"/>
        </w:rPr>
        <w:fldChar w:fldCharType="separate"/>
      </w:r>
      <w:r w:rsidR="00271B78" w:rsidRPr="00271B78">
        <w:t>(Hughes et al., 2011)</w:t>
      </w:r>
      <w:r w:rsidR="001B0409" w:rsidRPr="00837161">
        <w:rPr>
          <w:lang w:eastAsia="en-AU"/>
        </w:rPr>
        <w:fldChar w:fldCharType="end"/>
      </w:r>
      <w:r w:rsidR="4F411130" w:rsidRPr="00837161">
        <w:rPr>
          <w:lang w:eastAsia="en-AU"/>
        </w:rPr>
        <w:t xml:space="preserve">, infrastructure development activities, and entrainment on the clothing of visiting tourists and scientists </w:t>
      </w:r>
      <w:r w:rsidR="001B0409" w:rsidRPr="00837161">
        <w:rPr>
          <w:lang w:eastAsia="en-AU"/>
        </w:rPr>
        <w:fldChar w:fldCharType="begin"/>
      </w:r>
      <w:r w:rsidR="000F35EB">
        <w:rPr>
          <w:lang w:eastAsia="en-AU"/>
        </w:rPr>
        <w:instrText xml:space="preserve"> ADDIN ZOTERO_ITEM CSL_CITATION {"citationID":"GrFE8Rde","properties":{"formattedCitation":"(Chown et al., 2012)","plainCitation":"(Chown et al., 2012)","noteIndex":0},"citationItems":[{"id":30372,"uris":["http://zotero.org/groups/2352922/items/HJ3HAU6C"],"itemData":{"id":30372,"type":"article-journal","abstract":"Invasive alien species are among the primary causes of biodiversity change globally, with the risks thereof broadly understood for most regions of the world. They are similarly thought to be among the most significant conservation threats to Antarctica, especially as climate change proceeds in the region. However, no comprehensive, continent-wide evaluation of the risks to Antarctica posed by such species has been undertaken. Here we do so by sampling, identifying, and mapping the vascular plant propagules carried by all categories of visitors to Antarctica during the International Polar Year's first season (2007-2008) and assessing propagule establishment likelihood based on their identity and origins and on spatial variation in Antarctica's climate. For an evaluation of the situation in 2100, we use modeled climates based on the Intergovernmental Panel on Climate Change's Special Report on Emissions Scenarios Scenario A1B [Nakicenovic N, Swart R, eds (2000) Special Report on Emissions Scenarios: A Special Report of Working Group III of the Intergovernmental Panel on Climate Change (Cambridge University Press, Cambridge, UK)]. Visitors carrying seeds average 9.5 seeds per person, although as vectors, scientists carry greater propagule loads than tourists. Annual tourist numbers (similar to 33,054) are higher than those of scientists (similar to 7,085), thus tempering these differences in propagule load. Alien species establishment is currently most likely for the Western Antarctic Peninsula. Recent founder populations of several alien species in this area corroborate these findings. With climate change, risks will grow in the Antarctic Peninsula, Ross Sea, and East Antarctic coastal regions. Our evidence-based assessment demonstrates which parts of Antarctica are at growing risk from alien species that may become invasive and provides the means to mitigate this threat now and into the future as the continent's climate changes.","container-title":"Proceedings of the National Academy of Sciences of the United States of America","DOI":"10.1073/pnas.1119787109","ISSN":"0027-8424","issue":"13","journalAbbreviation":"Proceedings of the National Academy of Sciences","note":"WOS:000302164200049","page":"4938-4943","title":"Continent-wide risk assessment for the establishment of nonindigenous species in Antarctica","URL":"http://www.pnas.org/cgi/doi/10.1073/pnas.1119787109","volume":"109","author":[{"family":"Chown","given":"Steven L."},{"family":"Huiskes","given":"Ad H. L."},{"family":"Gremmen","given":"Niek J. M."},{"family":"Lee","given":"Jennifer E."},{"family":"Terauds","given":"Aleks"},{"family":"Crosbie","given":"Kim"},{"family":"Frenot","given":"Yves"},{"family":"Hughes","given":"Kevin A."},{"family":"Imura","given":"Satoshi"},{"family":"Kiefer","given":"Kate"},{"family":"Lebouvier","given":"Marc"},{"family":"Raymond","given":"Ben"},{"family":"Tsujimoto","given":"Megumu"},{"family":"Ware","given":"Chris"},{"family":"Van de Vijver","given":"Bart"},{"family":"Bergstrom","given":"Dana Michelle"}],"issued":{"date-parts":[["2012",3,27]]}},"label":"page"}],"schema":"https://github.com/citation-style-language/schema/raw/master/csl-citation.json"} </w:instrText>
      </w:r>
      <w:r w:rsidR="001B0409" w:rsidRPr="00837161">
        <w:rPr>
          <w:lang w:eastAsia="en-AU"/>
        </w:rPr>
        <w:fldChar w:fldCharType="separate"/>
      </w:r>
      <w:r w:rsidR="00271B78" w:rsidRPr="00271B78">
        <w:t>(Chown et al., 2012)</w:t>
      </w:r>
      <w:r w:rsidR="001B0409" w:rsidRPr="00837161">
        <w:rPr>
          <w:lang w:eastAsia="en-AU"/>
        </w:rPr>
        <w:fldChar w:fldCharType="end"/>
      </w:r>
      <w:r w:rsidR="4F411130" w:rsidRPr="00837161">
        <w:rPr>
          <w:lang w:eastAsia="en-AU"/>
        </w:rPr>
        <w:t xml:space="preserve">. </w:t>
      </w:r>
      <w:r w:rsidR="3B6C31ED" w:rsidRPr="00837161">
        <w:rPr>
          <w:lang w:eastAsia="en-AU"/>
        </w:rPr>
        <w:t xml:space="preserve">A similar </w:t>
      </w:r>
      <w:r w:rsidR="6392B1E1" w:rsidRPr="00837161">
        <w:rPr>
          <w:lang w:eastAsia="en-AU"/>
        </w:rPr>
        <w:t xml:space="preserve">pathway </w:t>
      </w:r>
      <w:r w:rsidR="3B6C31ED" w:rsidRPr="00837161">
        <w:rPr>
          <w:lang w:eastAsia="en-AU"/>
        </w:rPr>
        <w:t xml:space="preserve">analysis for </w:t>
      </w:r>
      <w:r w:rsidR="00E06A27" w:rsidRPr="00837161">
        <w:rPr>
          <w:lang w:eastAsia="en-AU"/>
        </w:rPr>
        <w:t>Barrow Island</w:t>
      </w:r>
      <w:r w:rsidR="3B6C31ED" w:rsidRPr="00837161">
        <w:rPr>
          <w:lang w:eastAsia="en-AU"/>
        </w:rPr>
        <w:t xml:space="preserve"> </w:t>
      </w:r>
      <w:r w:rsidR="6392B1E1" w:rsidRPr="00837161">
        <w:rPr>
          <w:lang w:eastAsia="en-AU"/>
        </w:rPr>
        <w:t xml:space="preserve">introductions </w:t>
      </w:r>
      <w:r w:rsidR="765AC54D" w:rsidRPr="00837161">
        <w:rPr>
          <w:lang w:eastAsia="en-AU"/>
        </w:rPr>
        <w:t xml:space="preserve">provided details on </w:t>
      </w:r>
      <w:r w:rsidR="0F32DA69" w:rsidRPr="00837161">
        <w:rPr>
          <w:lang w:eastAsia="en-AU"/>
        </w:rPr>
        <w:t>the t</w:t>
      </w:r>
      <w:r w:rsidR="765AC54D" w:rsidRPr="00837161">
        <w:t>ype of organism detected</w:t>
      </w:r>
      <w:r w:rsidR="3EFA7B6E" w:rsidRPr="00837161">
        <w:t xml:space="preserve"> </w:t>
      </w:r>
      <w:r w:rsidR="04CD5AF8" w:rsidRPr="00837161">
        <w:t>(</w:t>
      </w:r>
      <w:r w:rsidR="47DB478C" w:rsidRPr="00837161">
        <w:t>classification</w:t>
      </w:r>
      <w:r w:rsidR="55EEFEFC" w:rsidRPr="00837161">
        <w:t xml:space="preserve"> and </w:t>
      </w:r>
      <w:r w:rsidR="55EEFEFC" w:rsidRPr="00837161">
        <w:lastRenderedPageBreak/>
        <w:t>state</w:t>
      </w:r>
      <w:r w:rsidR="4AB82480" w:rsidRPr="00837161">
        <w:t>;</w:t>
      </w:r>
      <w:r w:rsidR="55EEFEFC" w:rsidRPr="00837161">
        <w:t xml:space="preserve"> </w:t>
      </w:r>
      <w:r w:rsidR="7AFE6926" w:rsidRPr="00837161">
        <w:t xml:space="preserve">e.g., </w:t>
      </w:r>
      <w:r w:rsidR="04CD5AF8" w:rsidRPr="00837161">
        <w:t xml:space="preserve">seed) </w:t>
      </w:r>
      <w:r w:rsidR="765AC54D" w:rsidRPr="00837161">
        <w:t xml:space="preserve">attributed to </w:t>
      </w:r>
      <w:r w:rsidR="6239AFFE" w:rsidRPr="00837161">
        <w:t xml:space="preserve">specific </w:t>
      </w:r>
      <w:r w:rsidR="765AC54D" w:rsidRPr="00837161">
        <w:t>pathways</w:t>
      </w:r>
      <w:r w:rsidR="6239AFFE" w:rsidRPr="00837161">
        <w:t xml:space="preserve"> </w:t>
      </w:r>
      <w:r w:rsidR="16430281" w:rsidRPr="00837161">
        <w:t xml:space="preserve">at and </w:t>
      </w:r>
      <w:r w:rsidR="765AC54D" w:rsidRPr="00837161">
        <w:t xml:space="preserve">post-border </w:t>
      </w:r>
      <w:r w:rsidR="2F5CA132" w:rsidRPr="00837161">
        <w:t>(</w:t>
      </w:r>
      <w:r w:rsidR="00191A6E">
        <w:rPr>
          <w:b/>
          <w:iCs/>
        </w:rPr>
        <w:t>Box 5.2</w:t>
      </w:r>
      <w:r w:rsidR="00B06706" w:rsidRPr="00837161">
        <w:t xml:space="preserve"> </w:t>
      </w:r>
      <w:r w:rsidR="006F0A36" w:rsidRPr="00837161">
        <w:t>in</w:t>
      </w:r>
      <w:r w:rsidR="006F0A36" w:rsidRPr="00837161">
        <w:rPr>
          <w:i/>
          <w:iCs/>
        </w:rPr>
        <w:t xml:space="preserve"> </w:t>
      </w:r>
      <w:r w:rsidR="006F0A36" w:rsidRPr="000F6653">
        <w:rPr>
          <w:b/>
          <w:iCs/>
        </w:rPr>
        <w:t>section 5.3.1.1</w:t>
      </w:r>
      <w:r w:rsidR="7604040A" w:rsidRPr="00837161">
        <w:t xml:space="preserve">; </w:t>
      </w:r>
      <w:r w:rsidR="00233052" w:rsidRPr="00837161">
        <w:fldChar w:fldCharType="begin"/>
      </w:r>
      <w:r w:rsidR="000F35EB">
        <w:instrText xml:space="preserve"> ADDIN ZOTERO_ITEM CSL_CITATION {"citationID":"KsPmnZau","properties":{"formattedCitation":"(Scott et al., 2017)","plainCitation":"(Scott et al., 2017)","dontUpdate":true,"noteIndex":0},"citationItems":[{"id":24522,"uris":["http://zotero.org/groups/2352922/items/4Q637CCJ"],"itemData":{"id":24522,"type":"article-journal","container-title":"Scientific Reports","DOI":"10.1038/s41598-017-00450-y","ISSN":"2045-2322","issue":"1","journalAbbreviation":"Sci Rep","language":"en","page":"772","source":"DOI.org (Crossref)","title":"Zero-tolerance biosecurity protects high-conservation-value island nature reserve","URL":"http://www.nature.com/articles/s41598-017-00450-y","volume":"7","author":[{"family":"Scott","given":"John K."},{"family":"McKirdy","given":"Simon J."},{"family":"Merwe","given":"Johann","non-dropping-particle":"van der"},{"family":"Green","given":"Roy"},{"family":"Burbidge","given":"Andrew A."},{"family":"Pickles","given":"Greg"},{"family":"Hardie","given":"Darryl C."},{"family":"Morris","given":"Keith"},{"family":"Kendrick","given":"Peter G."},{"family":"Thomas","given":"Melissa L."},{"family":"Horton","given":"Kristin L."},{"family":"O’Connor","given":"Simon M."},{"family":"Downs","given":"Justin"},{"family":"Stoklosa","given":"Richard"},{"family":"Lagdon","given":"Russell"},{"family":"Marks","given":"Barbara"},{"family":"Nairn","given":"Malcolm"},{"family":"Mengersen","given":"Kerrie"}],"accessed":{"date-parts":[["2020",6,24]]},"issued":{"date-parts":[["2017",12]]}},"label":"page"}],"schema":"https://github.com/citation-style-language/schema/raw/master/csl-citation.json"} </w:instrText>
      </w:r>
      <w:r w:rsidR="00233052" w:rsidRPr="00837161">
        <w:fldChar w:fldCharType="separate"/>
      </w:r>
      <w:r w:rsidR="00480A73" w:rsidRPr="00837161">
        <w:t>Scott et al., 2017)</w:t>
      </w:r>
      <w:r w:rsidR="00233052" w:rsidRPr="00837161">
        <w:fldChar w:fldCharType="end"/>
      </w:r>
      <w:r w:rsidR="7604040A" w:rsidRPr="00837161">
        <w:t xml:space="preserve">. </w:t>
      </w:r>
    </w:p>
    <w:p w14:paraId="218272E1" w14:textId="74463101" w:rsidR="00B05859" w:rsidRDefault="00D558AE" w:rsidP="00B05859">
      <w:pPr>
        <w:spacing w:before="240" w:after="120" w:line="240" w:lineRule="auto"/>
        <w:rPr>
          <w:rFonts w:eastAsia="Times New Roman"/>
        </w:rPr>
      </w:pPr>
      <w:r w:rsidRPr="00837161">
        <w:rPr>
          <w:lang w:eastAsia="en-AU"/>
        </w:rPr>
        <w:t xml:space="preserve">The temporally dynamic nature of the </w:t>
      </w:r>
      <w:r w:rsidR="0056045B" w:rsidRPr="00837161">
        <w:rPr>
          <w:lang w:eastAsia="en-AU"/>
        </w:rPr>
        <w:t xml:space="preserve">introduction </w:t>
      </w:r>
      <w:r w:rsidRPr="00837161">
        <w:rPr>
          <w:lang w:eastAsia="en-AU"/>
        </w:rPr>
        <w:t xml:space="preserve">pathways </w:t>
      </w:r>
      <w:r w:rsidR="0056045B" w:rsidRPr="00837161">
        <w:rPr>
          <w:lang w:eastAsia="en-AU"/>
        </w:rPr>
        <w:t xml:space="preserve">for alien species </w:t>
      </w:r>
      <w:r w:rsidRPr="00837161">
        <w:rPr>
          <w:lang w:eastAsia="en-AU"/>
        </w:rPr>
        <w:t xml:space="preserve">makes </w:t>
      </w:r>
      <w:r w:rsidR="0056045B" w:rsidRPr="00837161">
        <w:rPr>
          <w:lang w:eastAsia="en-AU"/>
        </w:rPr>
        <w:t xml:space="preserve">pathway </w:t>
      </w:r>
      <w:r w:rsidR="00410200" w:rsidRPr="00837161">
        <w:rPr>
          <w:lang w:eastAsia="en-AU"/>
        </w:rPr>
        <w:t xml:space="preserve">risk </w:t>
      </w:r>
      <w:r w:rsidRPr="00837161">
        <w:rPr>
          <w:lang w:eastAsia="en-AU"/>
        </w:rPr>
        <w:t>a</w:t>
      </w:r>
      <w:r w:rsidR="001F2A0B" w:rsidRPr="00837161">
        <w:rPr>
          <w:lang w:eastAsia="en-AU"/>
        </w:rPr>
        <w:t>nal</w:t>
      </w:r>
      <w:r w:rsidR="00182128" w:rsidRPr="00837161">
        <w:rPr>
          <w:lang w:eastAsia="en-AU"/>
        </w:rPr>
        <w:t xml:space="preserve">ysis </w:t>
      </w:r>
      <w:r w:rsidRPr="00837161">
        <w:rPr>
          <w:lang w:eastAsia="en-AU"/>
        </w:rPr>
        <w:t xml:space="preserve">particularly difficult to perform </w:t>
      </w:r>
      <w:r w:rsidRPr="00837161">
        <w:rPr>
          <w:lang w:eastAsia="en-AU"/>
        </w:rPr>
        <w:fldChar w:fldCharType="begin"/>
      </w:r>
      <w:r w:rsidR="000F35EB">
        <w:rPr>
          <w:lang w:eastAsia="en-AU"/>
        </w:rPr>
        <w:instrText xml:space="preserve"> ADDIN ZOTERO_ITEM CSL_CITATION {"citationID":"zpVsZnD0","properties":{"formattedCitation":"(Piel et al., 2007)","plainCitation":"(Piel et al., 2007)","noteIndex":0},"citationItems":[{"id":21537,"uris":["http://zotero.org/groups/2352922/items/SIGMF7PQ"],"itemData":{"id":21537,"type":"article-journal","container-title":"Diversity and Distributions","DOI":"10.1111/j.1472-4642.2007.00390.x","ISSN":"13669516, 14724642","issue":"2","language":"en","page":"318-328","source":"DOI.org (Crossref)","title":"Coniferous round wood imports from Russia and Baltic countries to Belgium. A pathway analysis for assessing risks of exotic pest insect introductions","title-short":"Coniferous round wood imports from Russia and Baltic countries to Belgium. A pathway analysis for assessing risks of exotic pest insect introductions","URL":"http://doi.wiley.com/10.1111/j.1472-4642.2007.00390.x","volume":"14","author":[{"family":"Piel","given":"Frédéric"},{"family":"Gilbert","given":"Marius"},{"family":"De Cannière","given":"Charles"},{"family":"Grégoire","given":"Jean-Claude"}],"accessed":{"date-parts":[["2020",4,3]]},"issued":{"date-parts":[["2007",6,26]]}},"label":"page"}],"schema":"https://github.com/citation-style-language/schema/raw/master/csl-citation.json"} </w:instrText>
      </w:r>
      <w:r w:rsidRPr="00837161">
        <w:rPr>
          <w:lang w:eastAsia="en-AU"/>
        </w:rPr>
        <w:fldChar w:fldCharType="separate"/>
      </w:r>
      <w:r w:rsidR="00271B78" w:rsidRPr="00271B78">
        <w:t>(Piel et al., 2007)</w:t>
      </w:r>
      <w:r w:rsidRPr="00837161">
        <w:rPr>
          <w:lang w:eastAsia="en-AU"/>
        </w:rPr>
        <w:fldChar w:fldCharType="end"/>
      </w:r>
      <w:r w:rsidR="00410200" w:rsidRPr="00837161">
        <w:rPr>
          <w:lang w:eastAsia="en-AU"/>
        </w:rPr>
        <w:t>, but is helped by</w:t>
      </w:r>
      <w:r w:rsidR="0D193B7C" w:rsidRPr="00837161">
        <w:rPr>
          <w:lang w:eastAsia="en-AU"/>
        </w:rPr>
        <w:t xml:space="preserve"> increasing,</w:t>
      </w:r>
      <w:r w:rsidR="00410200" w:rsidRPr="00837161">
        <w:rPr>
          <w:lang w:eastAsia="en-AU"/>
        </w:rPr>
        <w:t xml:space="preserve"> harmoni</w:t>
      </w:r>
      <w:r w:rsidR="00930EDF" w:rsidRPr="00837161">
        <w:rPr>
          <w:lang w:eastAsia="en-AU"/>
        </w:rPr>
        <w:t>z</w:t>
      </w:r>
      <w:r w:rsidR="00410200" w:rsidRPr="00837161">
        <w:rPr>
          <w:lang w:eastAsia="en-AU"/>
        </w:rPr>
        <w:t xml:space="preserve">ing and consolidating pathway information across multiple sources </w:t>
      </w:r>
      <w:r w:rsidR="005F3D61" w:rsidRPr="00837161">
        <w:rPr>
          <w:lang w:eastAsia="en-AU"/>
        </w:rPr>
        <w:t xml:space="preserve">and </w:t>
      </w:r>
      <w:r w:rsidR="00CF565E" w:rsidRPr="00837161">
        <w:rPr>
          <w:lang w:eastAsia="en-AU"/>
        </w:rPr>
        <w:t xml:space="preserve">explicitly </w:t>
      </w:r>
      <w:r w:rsidR="00C9285C" w:rsidRPr="00837161">
        <w:rPr>
          <w:lang w:eastAsia="en-AU"/>
        </w:rPr>
        <w:t>using</w:t>
      </w:r>
      <w:r w:rsidR="00CF565E" w:rsidRPr="00837161">
        <w:rPr>
          <w:lang w:eastAsia="en-AU"/>
        </w:rPr>
        <w:t xml:space="preserve"> </w:t>
      </w:r>
      <w:r w:rsidR="00C9285C" w:rsidRPr="00837161">
        <w:rPr>
          <w:lang w:eastAsia="en-AU"/>
        </w:rPr>
        <w:t xml:space="preserve">border interception </w:t>
      </w:r>
      <w:r w:rsidR="00B362EA" w:rsidRPr="00837161">
        <w:fldChar w:fldCharType="begin"/>
      </w:r>
      <w:r w:rsidR="000F35EB">
        <w:instrText xml:space="preserve"> ADDIN ZOTERO_ITEM CSL_CITATION {"citationID":"MPz6aE5f","properties":{"formattedCitation":"(Trouv\\uc0\\u233{} &amp; Robinson, 2021)","plainCitation":"(Trouvé &amp; Robinson, 2021)","noteIndex":0},"citationItems":[{"id":30925,"uris":["http://zotero.org/groups/2352922/items/D7ENFLQM"],"itemData":{"id":30925,"type":"article-journal","abstract":"Introduction of pests and diseases through trade is one of the main socioecological challenges worldwide. Targeted sampling at border security can efficiently provide information about biosecurity threats and also reduce pest entry risk. Prioritizing sampling effort requires knowing which pathways are most infested. However, border security inspection data are often right-censored, as inspection agencies often only report that a consignment has failed inspection (i.e., there was at least one unit infested), not how many infested units were found. A method has been proposed to estimate the mean infestation rate of a pathway from such right-censored data (Chen et al.). Using simulations and case study data from imported germplasm consignments inspected at the border, we show that the proposed method results in negatively biased estimates of the pathway infestation rate when the inspection data exhibit overdispersion (i.e., varying infestation rates among different consignments of the same pathway). The case study data also show that overdispersion is prevalent in real data sets. We demonstrate that the method proposed by Chen et al. recovers the median infestation rate of the pathway, rather than its mean. Therefore, it underpredicts the infestation rate when the data are overdispersed (in right-skewed distributions, the mean is above the median). To allow better monitoring and optimizing sampling effort at the border, we recommend that border protection agencies report all the data (the number of infested units found together with the sample size of the inspection) instead of only that the consignment failed inspection.","container-title":"Risk Analysis","DOI":"10.1111/risa.13592","ISSN":"1539-6924","issue":"6","language":"en","note":"_eprint: https://onlinelibrary.wiley.com/doi/pdf/10.1111/risa.13592","page":"992-1003","source":"Wiley Online Library","title":"Estimating Consignment-Level Infestation Rates from the Proportion of Consignment that Failed Border Inspection: Possibilities and Limitations in the Presence of Overdispersed Data","title-short":"Estimating Consignment-Level Infestation Rates from the Proportion of Consignment that Failed Border Inspection","URL":"https://onlinelibrary.wiley.com/doi/abs/10.1111/risa.13592","volume":"41","author":[{"family":"Trouvé","given":"Raphaël"},{"family":"Robinson","given":"Andrew P."}],"accessed":{"date-parts":[["2021",11,11]]},"issued":{"date-parts":[["2021"]]}},"label":"page"}],"schema":"https://github.com/citation-style-language/schema/raw/master/csl-citation.json"} </w:instrText>
      </w:r>
      <w:r w:rsidR="00B362EA" w:rsidRPr="00837161">
        <w:fldChar w:fldCharType="separate"/>
      </w:r>
      <w:r w:rsidR="00271B78" w:rsidRPr="00271B78">
        <w:t>(Trouvé &amp; Robinson, 2021)</w:t>
      </w:r>
      <w:r w:rsidR="00B362EA" w:rsidRPr="00837161">
        <w:fldChar w:fldCharType="end"/>
      </w:r>
      <w:r w:rsidR="00C9285C" w:rsidRPr="00837161">
        <w:rPr>
          <w:color w:val="FF0000"/>
          <w:lang w:eastAsia="en-AU"/>
        </w:rPr>
        <w:t xml:space="preserve"> </w:t>
      </w:r>
      <w:r w:rsidR="00C9285C" w:rsidRPr="00837161">
        <w:rPr>
          <w:lang w:eastAsia="en-AU"/>
        </w:rPr>
        <w:t xml:space="preserve">and </w:t>
      </w:r>
      <w:r w:rsidR="005F3D61" w:rsidRPr="00837161">
        <w:t xml:space="preserve">post-border detection data </w:t>
      </w:r>
      <w:r w:rsidR="00410200" w:rsidRPr="00837161">
        <w:rPr>
          <w:lang w:eastAsia="en-AU"/>
        </w:rPr>
        <w:fldChar w:fldCharType="begin"/>
      </w:r>
      <w:r w:rsidR="000F35EB">
        <w:rPr>
          <w:lang w:eastAsia="en-AU"/>
        </w:rPr>
        <w:instrText xml:space="preserve"> ADDIN ZOTERO_ITEM CSL_CITATION {"citationID":"GrUtlzOX","properties":{"formattedCitation":"(Essl et al., 2015; Saul et al., 2017)","plainCitation":"(Essl et al., 2015; Saul et al., 2017)","noteIndex":0},"citationItems":[{"id":56579,"uris":["http://zotero.org/groups/2352922/items/6K6T66JS","http://zotero.org/groups/2352922/items/LLURJVC9"],"itemData":{"id":56579,"type":"article-journal","container-title":"Journal of Applied Ecology","DOI":"10.1111/1365-2664.12819","ISSN":"00218901","issue":"2","journalAbbreviation":"J Appl Ecol","language":"en","page":"657-669","source":"DOI.org (Crossref)","title":"Assessing patterns in introduction pathways of alien species by linking major invasion data bases","URL":"https://onlinelibrary.wiley.com/doi/10.1111/1365-2664.12819","volume":"54","author":[{"family":"Saul","given":"Wolf-Christian"},{"family":"Roy","given":"Helen E."},{"family":"Booy","given":"Olaf"},{"family":"Carnevali","given":"Lucilla"},{"family":"Chen","given":"Hsuan-Ju"},{"family":"Genovesi","given":"Piero"},{"family":"Harrower","given":"Colin A."},{"family":"Hulme","given":"Philip E."},{"family":"Pagad","given":"Shyama"},{"family":"Pergl","given":"Jan"},{"family":"Jeschke","given":"Jonathan M."}],"editor":[{"family":"Beggs","given":"Jacqueline"}],"accessed":{"date-parts":[["2023",6,8]]},"issued":{"date-parts":[["2017",4]]}},"label":"page"},{"id":9832,"uris":["http://zotero.org/groups/2352922/items/KXDKRH3W"],"itemData":{"id":9832,"type":"article-journal","abstract":"Abstract.  Substantial progress has been made in understanding how pathways underlie and mediate biological invasions. However, key features of their role in in","container-title":"BioScience","DOI":"10.1093/biosci/biv082","ISSN":"15253244 00063568","issue":"8","journalAbbreviation":"BioScience","language":"en","page":"769-782","source":"DOI.org (Crossref)","title":"Crossing Frontiers in Tackling Pathways of Biological Invasions","URL":"https://academic.oup.com/bioscience/article/65/8/769/240282","volume":"65","author":[{"family":"Essl","given":"Franz"},{"family":"Bacher","given":"Sven"},{"family":"Blackburn","given":"Tim M."},{"family":"Booy","given":"Olaf"},{"family":"Brundu","given":"Giuseppe"},{"family":"Brunel","given":"Sarah"},{"family":"Cardoso","given":"Ana-Cristina."},{"family":"Eschen","given":"René"},{"family":"Gallardo","given":"Belinda"},{"family":"Galil","given":"Bella"},{"family":"García-Berthou","given":"Emili"},{"family":"Genovesi","given":"Piero"},{"family":"Groom","given":"Quentin"},{"family":"Harrower","given":"Colin"},{"family":"Hulme","given":"Philip E."},{"family":"Katsanevakis","given":"Stelios"},{"family":"Kenis","given":"Marc"},{"family":"Kühn","given":"Ingolf"},{"family":"Kumschick","given":"Sabrina"},{"family":"Martinou","given":"Angeliki F."},{"family":"Nentwig","given":"Wolfgang"},{"family":"O'Flynn","given":"Colette"},{"family":"Pagad","given":"Shyama"},{"family":"Pergl","given":"Jan"},{"family":"Pyšek","given":"Petr"},{"family":"Rabitsch","given":"Wolfgang"},{"family":"Richardson","given":"David M."},{"family":"Roques","given":"Alain"},{"family":"Roy","given":"Helen E."},{"family":"Scalera","given":"Riccardo"},{"family":"Schindler","given":"Stefan"},{"family":"Seebens","given":"Hanno"},{"family":"Vanderhoeven","given":"Sonia"},{"family":"Vilà","given":"Montserrat"},{"family":"Wilson","given":"John R.U."},{"family":"Zenetos","given":"Argyro"},{"family":"Jeschke","given":"Jeschke M."}],"issued":{"date-parts":[["2015",7,11]]}},"label":"page"}],"schema":"https://github.com/citation-style-language/schema/raw/master/csl-citation.json"} </w:instrText>
      </w:r>
      <w:r w:rsidR="00410200" w:rsidRPr="00837161">
        <w:rPr>
          <w:lang w:eastAsia="en-AU"/>
        </w:rPr>
        <w:fldChar w:fldCharType="separate"/>
      </w:r>
      <w:r w:rsidR="00271B78" w:rsidRPr="00271B78">
        <w:t>(Essl et al., 2015; Saul et al., 2017)</w:t>
      </w:r>
      <w:r w:rsidR="00410200" w:rsidRPr="00837161">
        <w:rPr>
          <w:lang w:eastAsia="en-AU"/>
        </w:rPr>
        <w:fldChar w:fldCharType="end"/>
      </w:r>
      <w:r w:rsidR="00C9285C" w:rsidRPr="00837161">
        <w:rPr>
          <w:lang w:eastAsia="en-AU"/>
        </w:rPr>
        <w:t xml:space="preserve"> </w:t>
      </w:r>
      <w:r w:rsidR="11E8444E" w:rsidRPr="00837161">
        <w:t>to</w:t>
      </w:r>
      <w:r w:rsidR="00503D22" w:rsidRPr="00837161">
        <w:t xml:space="preserve"> strengthen</w:t>
      </w:r>
      <w:r w:rsidR="005F3D61" w:rsidRPr="00837161">
        <w:t xml:space="preserve"> pathway risk </w:t>
      </w:r>
      <w:r w:rsidR="0056045B" w:rsidRPr="00837161">
        <w:t>a</w:t>
      </w:r>
      <w:r w:rsidR="000E68C3" w:rsidRPr="00837161">
        <w:t>nalyses</w:t>
      </w:r>
      <w:r w:rsidR="051023E9" w:rsidRPr="00837161">
        <w:rPr>
          <w:lang w:eastAsia="en-AU"/>
        </w:rPr>
        <w:t>.</w:t>
      </w:r>
      <w:r w:rsidR="6EC011A8" w:rsidRPr="00837161">
        <w:rPr>
          <w:lang w:eastAsia="en-AU"/>
        </w:rPr>
        <w:t xml:space="preserve"> </w:t>
      </w:r>
      <w:r w:rsidR="00EA4005" w:rsidRPr="00837161">
        <w:rPr>
          <w:lang w:eastAsia="en-AU"/>
        </w:rPr>
        <w:t>Postal m</w:t>
      </w:r>
      <w:r w:rsidR="002048E9" w:rsidRPr="00837161">
        <w:rPr>
          <w:lang w:eastAsia="en-AU"/>
        </w:rPr>
        <w:t>ail is an expl</w:t>
      </w:r>
      <w:r w:rsidR="00A1264C" w:rsidRPr="00837161">
        <w:rPr>
          <w:lang w:eastAsia="en-AU"/>
        </w:rPr>
        <w:t xml:space="preserve">icit pathway risk for invasive alien species </w:t>
      </w:r>
      <w:r w:rsidR="00BB5F00" w:rsidRPr="00837161">
        <w:rPr>
          <w:lang w:eastAsia="en-AU"/>
        </w:rPr>
        <w:t xml:space="preserve">and </w:t>
      </w:r>
      <w:r w:rsidR="00CC1A8F" w:rsidRPr="00837161">
        <w:rPr>
          <w:lang w:eastAsia="en-AU"/>
        </w:rPr>
        <w:t xml:space="preserve">understanding </w:t>
      </w:r>
      <w:r w:rsidR="00916206" w:rsidRPr="00837161">
        <w:rPr>
          <w:lang w:eastAsia="en-AU"/>
        </w:rPr>
        <w:t xml:space="preserve">how </w:t>
      </w:r>
      <w:r w:rsidR="00BB5F00" w:rsidRPr="00837161">
        <w:rPr>
          <w:lang w:eastAsia="en-AU"/>
        </w:rPr>
        <w:t xml:space="preserve">mail </w:t>
      </w:r>
      <w:r w:rsidR="00916206" w:rsidRPr="00837161">
        <w:rPr>
          <w:lang w:eastAsia="en-AU"/>
        </w:rPr>
        <w:t>inspe</w:t>
      </w:r>
      <w:r w:rsidR="009E397C" w:rsidRPr="00837161">
        <w:rPr>
          <w:lang w:eastAsia="en-AU"/>
        </w:rPr>
        <w:t>ctions</w:t>
      </w:r>
      <w:r w:rsidR="00BB5F00" w:rsidRPr="00837161">
        <w:rPr>
          <w:lang w:eastAsia="en-AU"/>
        </w:rPr>
        <w:t xml:space="preserve"> avoid biosecurity risks helps manage this pathw</w:t>
      </w:r>
      <w:r w:rsidR="00230C7D" w:rsidRPr="00837161">
        <w:rPr>
          <w:lang w:eastAsia="en-AU"/>
        </w:rPr>
        <w:t xml:space="preserve">ay </w:t>
      </w:r>
      <w:r w:rsidR="00B362EA" w:rsidRPr="00837161">
        <w:fldChar w:fldCharType="begin"/>
      </w:r>
      <w:r w:rsidR="000F35EB">
        <w:instrText xml:space="preserve"> ADDIN ZOTERO_ITEM CSL_CITATION {"citationID":"g27WfJBR","properties":{"formattedCitation":"(S. Clarke et al., 2018)","plainCitation":"(S. Clarke et al., 2018)","noteIndex":0},"citationItems":[{"id":10114,"uris":["http://zotero.org/groups/2352922/items/XNI357U5"],"itemData":{"id":10114,"type":"article-journal","container-title":"NeoBiota","DOI":"https://doi.org/10.3897/neobiota.40.28840","note":"publisher: Pensoft Publishers","page":"73-86","source":"Google Scholar","title":"Undelivered risk: A counter-factual analysis of the biosecurity risk avoided by inspecting international mail articles","title-short":"Undelivered risk","volume":"40","author":[{"family":"Clarke","given":"Sandy"},{"family":"Stenekes","given":"Nyree"},{"family":"Kancans","given":"Robert"},{"family":"Woodland","given":"Chris"},{"family":"Robinson","given":"Andrew"}],"issued":{"date-parts":[["2018"]]}},"label":"page"}],"schema":"https://github.com/citation-style-language/schema/raw/master/csl-citation.json"} </w:instrText>
      </w:r>
      <w:r w:rsidR="00B362EA" w:rsidRPr="00837161">
        <w:fldChar w:fldCharType="separate"/>
      </w:r>
      <w:r w:rsidR="00271B78" w:rsidRPr="00271B78">
        <w:t>(S. Clarke et al., 2018)</w:t>
      </w:r>
      <w:r w:rsidR="00B362EA" w:rsidRPr="00837161">
        <w:fldChar w:fldCharType="end"/>
      </w:r>
      <w:r w:rsidR="007D21EC" w:rsidRPr="00837161">
        <w:rPr>
          <w:lang w:eastAsia="en-AU"/>
        </w:rPr>
        <w:t>.</w:t>
      </w:r>
      <w:r w:rsidR="00F20B56" w:rsidRPr="00837161">
        <w:rPr>
          <w:lang w:eastAsia="en-AU"/>
        </w:rPr>
        <w:t xml:space="preserve"> </w:t>
      </w:r>
      <w:r w:rsidR="00A246AB" w:rsidRPr="00837161">
        <w:t xml:space="preserve">Most attempts to model pathways have focused on describing the likelihood of species introduction and establishment </w:t>
      </w:r>
      <w:r w:rsidR="00A246AB" w:rsidRPr="00837161">
        <w:fldChar w:fldCharType="begin"/>
      </w:r>
      <w:r w:rsidR="000F35EB">
        <w:instrText xml:space="preserve"> ADDIN ZOTERO_ITEM CSL_CITATION {"citationID":"dmj8JhuV","properties":{"formattedCitation":"(Bradie &amp; Leung, 2015; Paini et al., 2016)","plainCitation":"(Bradie &amp; Leung, 2015; Paini et al., 2016)","noteIndex":0},"citationItems":[{"id":11489,"uris":["http://zotero.org/groups/2352922/items/A7FX49TC"],"itemData":{"id":11489,"type":"article-journal","container-title":"Journal of Applied Ecology","DOI":"10.1111/1365-2664.12376","ISSN":"00218901","issue":"1","journalAbbreviation":"J Appl Ecol","language":"en","page":"100-109","source":"DOI.org (Crossref)","title":"Pathway-level models to predict non-indigenous species establishment using propagule pressure, environmental tolerance and trait data","URL":"http://doi.wiley.com/10.1111/1365-2664.12376","volume":"52","author":[{"family":"Bradie","given":"Johanna"},{"family":"Leung","given":"Brian"}],"editor":[{"family":"Angeler","given":"David"}],"accessed":{"date-parts":[["2020",4,6]]},"issued":{"date-parts":[["2015",2]]}},"label":"page"},{"id":32747,"uris":["http://zotero.org/groups/2352922/items/RNT897GG"],"itemData":{"id":32747,"type":"article-journal","abstract":"Invasive species present significant threats to global agriculture, although how the magnitude and distribution of the threats vary between countries and regions remains unclear. Here, we present an analysis of almost 1,300 known invasive insect pests and pathogens, calculating the total potential cost of these species invading each of 124 countries of the world, as well as determining which countries present the greatest threat to the rest of the world given their trading partners and incumbent pool of invasive species. We find that countries vary in terms of potential threat from invasive species and also their role as potential sources, with apparently similar countries sometimes varying markedly depending on specifics of agricultural commodities and trade patterns. Overall, the biggest agricultural producers (China and the United States) could experience the greatest absolute cost from further species invasions. However, developing countries, in particular, Sub-Saharan African countries, appear most vulnerable in relative terms. Furthermore, China and the United States represent the greatest potential sources of invasive species for the rest of the world. The analysis reveals considerable scope for ongoing redistribution of known invasive pests and highlights the need for international cooperation to slow their spread.","container-title":"Proceedings of the National Academy of Sciences of the United States of America","DOI":"10.1073/pnas.1602205113","ISSN":"0027-8424","issue":"27","language":"en","note":"WOS:000379021700076","page":"7575-7579","title":"Global threat to agriculture from invasive species","URL":"https://www.scopus.com/inward/record.uri?eid=2-s2.0-84977268919&amp;doi=10.1073%2fpnas.1602205113&amp;partnerID=40&amp;md5=2d6cdb43a462b78052f067589196fd2d","volume":"113","author":[{"family":"Paini","given":"Dean R."},{"family":"Sheppard","given":"Andy W."},{"family":"Cook","given":"David C."},{"family":"De Barro","given":"Paul J."},{"family":"Worner","given":"Susan P."},{"family":"Thomas","given":"Matthew B."}],"issued":{"date-parts":[["2016",7,5]]}},"label":"page"}],"schema":"https://github.com/citation-style-language/schema/raw/master/csl-citation.json"} </w:instrText>
      </w:r>
      <w:r w:rsidR="00A246AB" w:rsidRPr="00837161">
        <w:fldChar w:fldCharType="separate"/>
      </w:r>
      <w:r w:rsidR="00271B78" w:rsidRPr="00271B78">
        <w:t>(Bradie &amp; Leung, 2015; Paini et al., 2016)</w:t>
      </w:r>
      <w:r w:rsidR="00A246AB" w:rsidRPr="00837161">
        <w:fldChar w:fldCharType="end"/>
      </w:r>
      <w:r w:rsidR="00A246AB" w:rsidRPr="00837161">
        <w:t xml:space="preserve"> and rather few have attempted to address explicit </w:t>
      </w:r>
      <w:r w:rsidR="00B05859">
        <w:t>strategies for the management of biological invasions</w:t>
      </w:r>
      <w:r w:rsidR="00A246AB" w:rsidRPr="00837161">
        <w:fldChar w:fldCharType="begin"/>
      </w:r>
      <w:r w:rsidR="000F35EB">
        <w:instrText xml:space="preserve"> ADDIN ZOTERO_ITEM CSL_CITATION {"citationID":"4OMxxScm","properties":{"formattedCitation":"(Hulme, 2009)","plainCitation":"(Hulme, 2009)","noteIndex":0},"citationItems":[{"id":32387,"uris":["http://zotero.org/groups/2352922/items/M3KQUD2U"],"itemData":{"id":32387,"type":"article-journal","abstract":"1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00A246AB" w:rsidRPr="00837161">
        <w:fldChar w:fldCharType="separate"/>
      </w:r>
      <w:r w:rsidR="00271B78" w:rsidRPr="00271B78">
        <w:t>(Hulme, 2009)</w:t>
      </w:r>
      <w:r w:rsidR="00A246AB" w:rsidRPr="00837161">
        <w:fldChar w:fldCharType="end"/>
      </w:r>
      <w:r w:rsidR="00A246AB" w:rsidRPr="00837161">
        <w:t xml:space="preserve">. García-Diaz et al. </w:t>
      </w:r>
      <w:r w:rsidR="00A246AB" w:rsidRPr="00837161">
        <w:fldChar w:fldCharType="begin"/>
      </w:r>
      <w:r w:rsidR="000F35EB">
        <w:instrText xml:space="preserve"> ADDIN ZOTERO_ITEM CSL_CITATION {"citationID":"bZFoiWy4","properties":{"formattedCitation":"(2017)","plainCitation":"(2017)","noteIndex":0},"citationItems":[{"id":28964,"uris":["http://zotero.org/groups/2352922/items/3JPNPW9T"],"itemData":{"id":28964,"type":"article-journal","container-title":"Journal of Applied Ecology","DOI":"10.1111/1365-2664.12749","ISSN":"00218901","issue":"1","journalAbbreviation":"J Appl Ecol","language":"en","page":"234-241","source":"DOI.org (Crossref)","title":"Managing the risk of wildlife disease introduction: pathway-level biosecurity for preventing the introduction of alien ranaviruses","title-short":"Managing the risk of wildlife disease introduction","URL":"http://doi.wiley.com/10.1111/1365-2664.12749","volume":"54","author":[{"family":"García-Díaz","given":"Pablo"},{"family":"Ross","given":"Joshua V."},{"family":"Woolnough","given":"Andrew P."},{"family":"Cassey","given":"Phillip"}],"editor":[{"family":"Bellard","given":"Céline"}],"accessed":{"date-parts":[["2020",4,6]]},"issued":{"date-parts":[["2017",2]]}},"label":"page","suppress-author":true}],"schema":"https://github.com/citation-style-language/schema/raw/master/csl-citation.json"} </w:instrText>
      </w:r>
      <w:r w:rsidR="00A246AB" w:rsidRPr="00837161">
        <w:fldChar w:fldCharType="separate"/>
      </w:r>
      <w:r w:rsidR="00271B78" w:rsidRPr="00271B78">
        <w:t>(2017)</w:t>
      </w:r>
      <w:r w:rsidR="00A246AB" w:rsidRPr="00837161">
        <w:fldChar w:fldCharType="end"/>
      </w:r>
      <w:r w:rsidR="00A246AB" w:rsidRPr="00837161">
        <w:t xml:space="preserve"> demonstrated that biosecurity activities implemented in Australia have decreas</w:t>
      </w:r>
      <w:r w:rsidR="00CB51FC" w:rsidRPr="00837161">
        <w:t xml:space="preserve">ed introduction </w:t>
      </w:r>
      <w:r w:rsidR="00A246AB" w:rsidRPr="00837161">
        <w:t xml:space="preserve">probability of alien amphibian stowaways, in turn reducing </w:t>
      </w:r>
      <w:r w:rsidR="00774006" w:rsidRPr="00837161">
        <w:t xml:space="preserve">the likelihood </w:t>
      </w:r>
      <w:r w:rsidR="00A246AB" w:rsidRPr="00837161">
        <w:t xml:space="preserve">of a virus-infected </w:t>
      </w:r>
      <w:r w:rsidR="00774006" w:rsidRPr="00837161">
        <w:t>animal entering t</w:t>
      </w:r>
      <w:r w:rsidR="00A246AB" w:rsidRPr="00837161">
        <w:t xml:space="preserve">he country. </w:t>
      </w:r>
      <w:r w:rsidR="00EA3A97" w:rsidRPr="00837161">
        <w:t>For pathway risk analysis t</w:t>
      </w:r>
      <w:r w:rsidR="00A246AB" w:rsidRPr="00837161">
        <w:t>he number</w:t>
      </w:r>
      <w:r w:rsidR="00961816" w:rsidRPr="00837161">
        <w:t xml:space="preserve"> of</w:t>
      </w:r>
      <w:r w:rsidR="00A246AB" w:rsidRPr="00837161">
        <w:t xml:space="preserve"> amphibian</w:t>
      </w:r>
      <w:r w:rsidR="00AA01B8" w:rsidRPr="00837161">
        <w:t xml:space="preserve"> </w:t>
      </w:r>
      <w:r w:rsidR="00402EEF" w:rsidRPr="00837161">
        <w:t xml:space="preserve">interceptions across </w:t>
      </w:r>
      <w:r w:rsidR="00A246AB" w:rsidRPr="00837161">
        <w:t xml:space="preserve">six Australian States </w:t>
      </w:r>
      <w:r w:rsidR="00BE5F32" w:rsidRPr="00837161">
        <w:t>were</w:t>
      </w:r>
      <w:r w:rsidR="00A246AB" w:rsidRPr="00837161">
        <w:t xml:space="preserve"> </w:t>
      </w:r>
      <w:r w:rsidR="00936C9D" w:rsidRPr="00837161">
        <w:t xml:space="preserve">more </w:t>
      </w:r>
      <w:r w:rsidR="00A246AB" w:rsidRPr="00837161">
        <w:t xml:space="preserve">positively </w:t>
      </w:r>
      <w:r w:rsidR="00402EEF" w:rsidRPr="00837161">
        <w:t xml:space="preserve">related to </w:t>
      </w:r>
      <w:r w:rsidR="00080EB8" w:rsidRPr="00837161">
        <w:t xml:space="preserve">the amount of </w:t>
      </w:r>
      <w:r w:rsidR="00936C9D" w:rsidRPr="00837161">
        <w:t xml:space="preserve">shipping than air </w:t>
      </w:r>
      <w:r w:rsidR="00A246AB" w:rsidRPr="00837161">
        <w:t xml:space="preserve">transport. Risk assessment has also been recently applied to understand the pathways of </w:t>
      </w:r>
      <w:r w:rsidR="00B05859">
        <w:t xml:space="preserve">introduction for </w:t>
      </w:r>
      <w:r w:rsidR="00A246AB" w:rsidRPr="00837161">
        <w:t xml:space="preserve">marine invasive alien species incursions </w:t>
      </w:r>
      <w:r w:rsidR="00A246AB" w:rsidRPr="00837161">
        <w:fldChar w:fldCharType="begin"/>
      </w:r>
      <w:r w:rsidR="000F35EB">
        <w:instrText xml:space="preserve"> ADDIN ZOTERO_ITEM CSL_CITATION {"citationID":"4nw6uo14","properties":{"formattedCitation":"(K. R. Hayes et al., 2019)","plainCitation":"(K. R. Hayes et al., 2019)","noteIndex":0},"citationItems":[{"id":29368,"uris":["http://zotero.org/groups/2352922/items/WT7F3NG8"],"itemData":{"id":29368,"type":"article-journal","abstract":"Ships have been translocating species around the world for hundreds of years but attempts to understand and manage this issue date back only three decades. Here we review the assessment and management of risks from vessel biofouling and ballast water over this time period from an Australian and New Zealand perspective. We detail a history of successes and failures at the science-policy interface that include international guidelines for biofouling management and the recent ratiﬁcation of a ballast water convention. We summarize the efﬁcacy and costs of current treatment options, and highlight the practical challenges and policy implications of managing the diffuse and succinct bio-invasion risks that shipping creates pre- and post-border. We then use the lessons learnt over the last 30 years to recommend a future empirical strategy.","container-title":"Frontiers in Marine Science","DOI":"10.3389/fmars.2019.00489","ISSN":"2296-7745","journalAbbreviation":"Front. Mar. Sci.","language":"en","page":"489","source":"DOI.org (Crossref)","title":"The Assessment and Management of Marine Pest Risks Posed by Shipping: The Australian and New Zealand Experience","title-short":"The Assessment and Management of Marine Pest Risks Posed by Shipping","URL":"https://www.frontiersin.org/article/10.3389/fmars.2019.00489/full","volume":"6","author":[{"family":"Hayes","given":"Keith R."},{"family":"Inglis","given":"Graeme J."},{"family":"Barry","given":"Simon C."}],"accessed":{"date-parts":[["2019",9,17]]},"issued":{"date-parts":[["2019",8,6]]}},"label":"page"}],"schema":"https://github.com/citation-style-language/schema/raw/master/csl-citation.json"} </w:instrText>
      </w:r>
      <w:r w:rsidR="00A246AB" w:rsidRPr="00837161">
        <w:fldChar w:fldCharType="separate"/>
      </w:r>
      <w:r w:rsidR="00271B78" w:rsidRPr="00271B78">
        <w:t>(K. R. Hayes et al., 2019)</w:t>
      </w:r>
      <w:r w:rsidR="00A246AB" w:rsidRPr="00837161">
        <w:fldChar w:fldCharType="end"/>
      </w:r>
      <w:r w:rsidR="00122020" w:rsidRPr="00837161">
        <w:t xml:space="preserve"> </w:t>
      </w:r>
      <w:r w:rsidR="3476DA0D" w:rsidRPr="00837161">
        <w:rPr>
          <w:rFonts w:eastAsia="Times New Roman"/>
        </w:rPr>
        <w:t xml:space="preserve">and guidelines on pathways risk analysis application have been developed for the attention of sectors such as aquaculture </w:t>
      </w:r>
      <w:r w:rsidR="00650924" w:rsidRPr="00837161">
        <w:rPr>
          <w:rFonts w:eastAsia="Times New Roman"/>
        </w:rPr>
        <w:fldChar w:fldCharType="begin"/>
      </w:r>
      <w:r w:rsidR="000F35EB">
        <w:rPr>
          <w:rFonts w:eastAsia="Times New Roman"/>
        </w:rPr>
        <w:instrText xml:space="preserve"> ADDIN ZOTERO_ITEM CSL_CITATION {"citationID":"GjD4Cikl","properties":{"formattedCitation":"(FAO, 2008)","plainCitation":"(FAO, 2008)","noteIndex":0},"citationItems":[{"id":32992,"uris":["http://zotero.org/groups/2352922/items/U5DNA53V"],"itemData":{"id":32992,"type":"book","call-number":"639.8","collection-number":"519","collection-title":"FAO fisheries and aquaculture technical paper","event-place":"Rome","ISBN":"978-92-5-106152-7","language":"eng","publisher":"FAO","publisher-place":"Rome","source":"BnF ISBN","title":"Understanding and applying risk analysis in aquaculture","URL":"https://www.fao.org/3/i0490e/i0490e00.pdf","editor":[{"family":"Bondad-Reantaso","given":"Melba G."},{"family":"Arthur","given":"James Richard"},{"family":"Subasinghe","given":"Rohana P."}],"author":[{"literal":"FAO"}],"issued":{"date-parts":[["2008"]]}},"label":"page"}],"schema":"https://github.com/citation-style-language/schema/raw/master/csl-citation.json"} </w:instrText>
      </w:r>
      <w:r w:rsidR="00650924" w:rsidRPr="00837161">
        <w:rPr>
          <w:rFonts w:eastAsia="Times New Roman"/>
        </w:rPr>
        <w:fldChar w:fldCharType="separate"/>
      </w:r>
      <w:r w:rsidR="00271B78" w:rsidRPr="00271B78">
        <w:t>(FAO, 2008)</w:t>
      </w:r>
      <w:r w:rsidR="00650924" w:rsidRPr="00837161">
        <w:rPr>
          <w:rFonts w:eastAsia="Times New Roman"/>
        </w:rPr>
        <w:fldChar w:fldCharType="end"/>
      </w:r>
      <w:r w:rsidR="00650924" w:rsidRPr="00837161">
        <w:rPr>
          <w:rFonts w:eastAsia="Times New Roman"/>
        </w:rPr>
        <w:t xml:space="preserve">. </w:t>
      </w:r>
      <w:bookmarkStart w:id="90" w:name="_Toc26520289"/>
      <w:bookmarkStart w:id="91" w:name="_Toc69313960"/>
    </w:p>
    <w:p w14:paraId="45C07F62" w14:textId="7982945B" w:rsidR="001B0409" w:rsidRPr="00B05859" w:rsidRDefault="27514EC9" w:rsidP="00B05859">
      <w:pPr>
        <w:pStyle w:val="Heading4"/>
        <w:rPr>
          <w:rFonts w:eastAsia="Times New Roman"/>
        </w:rPr>
      </w:pPr>
      <w:r w:rsidRPr="00837161">
        <w:t>Species impact assessment</w:t>
      </w:r>
      <w:bookmarkEnd w:id="90"/>
      <w:r w:rsidRPr="00837161">
        <w:t xml:space="preserve"> </w:t>
      </w:r>
      <w:bookmarkEnd w:id="91"/>
    </w:p>
    <w:p w14:paraId="04E39B10" w14:textId="43D2ECF9" w:rsidR="001B0409" w:rsidRPr="00837161" w:rsidRDefault="4F411130" w:rsidP="00203E4A">
      <w:pPr>
        <w:spacing w:after="120" w:line="240" w:lineRule="auto"/>
        <w:rPr>
          <w:rFonts w:eastAsia="Times New Roman"/>
        </w:rPr>
      </w:pPr>
      <w:r w:rsidRPr="00837161">
        <w:t>Understanding and predicting the magnitude of actual or potential impacts of invasive alien species is key to deciding whether</w:t>
      </w:r>
      <w:r w:rsidRPr="00837161">
        <w:rPr>
          <w:color w:val="7030A0"/>
        </w:rPr>
        <w:t xml:space="preserve"> </w:t>
      </w:r>
      <w:r w:rsidRPr="00837161">
        <w:t>management actions are required</w:t>
      </w:r>
      <w:r w:rsidR="6F4E27CC" w:rsidRPr="00837161">
        <w:t xml:space="preserve"> </w:t>
      </w:r>
      <w:r w:rsidR="002502C4" w:rsidRPr="00837161">
        <w:t>(</w:t>
      </w:r>
      <w:r w:rsidR="000F6653">
        <w:rPr>
          <w:b/>
          <w:iCs/>
        </w:rPr>
        <w:t>C</w:t>
      </w:r>
      <w:r w:rsidR="4768254C" w:rsidRPr="000F6653">
        <w:rPr>
          <w:b/>
          <w:iCs/>
        </w:rPr>
        <w:t>hapter</w:t>
      </w:r>
      <w:r w:rsidR="537110F5" w:rsidRPr="000F6653">
        <w:rPr>
          <w:b/>
          <w:iCs/>
        </w:rPr>
        <w:t xml:space="preserve"> </w:t>
      </w:r>
      <w:r w:rsidR="4768254C" w:rsidRPr="000F6653">
        <w:rPr>
          <w:b/>
          <w:iCs/>
        </w:rPr>
        <w:t>4</w:t>
      </w:r>
      <w:r w:rsidR="2C713CA6" w:rsidRPr="000F6653">
        <w:rPr>
          <w:iCs/>
        </w:rPr>
        <w:t>,</w:t>
      </w:r>
      <w:r w:rsidR="4768254C" w:rsidRPr="000F6653">
        <w:rPr>
          <w:iCs/>
        </w:rPr>
        <w:t xml:space="preserve"> </w:t>
      </w:r>
      <w:r w:rsidR="537110F5" w:rsidRPr="000F6653">
        <w:rPr>
          <w:b/>
          <w:iCs/>
        </w:rPr>
        <w:t xml:space="preserve">section </w:t>
      </w:r>
      <w:r w:rsidR="4768254C" w:rsidRPr="000F6653">
        <w:rPr>
          <w:b/>
          <w:iCs/>
        </w:rPr>
        <w:t>4</w:t>
      </w:r>
      <w:r w:rsidR="537110F5" w:rsidRPr="000F6653">
        <w:rPr>
          <w:b/>
          <w:iCs/>
        </w:rPr>
        <w:t>.7</w:t>
      </w:r>
      <w:r w:rsidR="4768254C" w:rsidRPr="00837161">
        <w:t>)</w:t>
      </w:r>
      <w:r w:rsidRPr="00837161">
        <w:t xml:space="preserve">. </w:t>
      </w:r>
      <w:r w:rsidR="0056045B" w:rsidRPr="00837161">
        <w:t>Alien s</w:t>
      </w:r>
      <w:r w:rsidRPr="00837161">
        <w:t>pecies impact assessment</w:t>
      </w:r>
      <w:r w:rsidR="69F3D281" w:rsidRPr="00837161">
        <w:t>s</w:t>
      </w:r>
      <w:r w:rsidRPr="00837161">
        <w:t xml:space="preserve"> often differ in purpose, taxonomic scope, spatial scale and methods</w:t>
      </w:r>
      <w:r w:rsidR="3D00773B" w:rsidRPr="00837161">
        <w:t>;</w:t>
      </w:r>
      <w:r w:rsidRPr="00837161">
        <w:t xml:space="preserve"> </w:t>
      </w:r>
      <w:r w:rsidR="261C1268" w:rsidRPr="00837161">
        <w:t>often with bespoke wa</w:t>
      </w:r>
      <w:r w:rsidRPr="00837161">
        <w:t>y</w:t>
      </w:r>
      <w:r w:rsidR="261C1268" w:rsidRPr="00837161">
        <w:t xml:space="preserve">s of </w:t>
      </w:r>
      <w:r w:rsidRPr="00837161">
        <w:t>characteriz</w:t>
      </w:r>
      <w:r w:rsidR="261C1268" w:rsidRPr="00837161">
        <w:t>ing</w:t>
      </w:r>
      <w:r w:rsidR="2819B15C" w:rsidRPr="00837161">
        <w:t xml:space="preserve"> and </w:t>
      </w:r>
      <w:r w:rsidR="26FD51B4" w:rsidRPr="00837161">
        <w:t xml:space="preserve">assessing </w:t>
      </w:r>
      <w:r w:rsidR="2819B15C" w:rsidRPr="00837161">
        <w:t>uncertainty</w:t>
      </w:r>
      <w:r w:rsidRPr="00837161">
        <w:t xml:space="preserve">. Some consider only environmental </w:t>
      </w:r>
      <w:r w:rsidR="06EA3634" w:rsidRPr="00837161">
        <w:t>impacts</w:t>
      </w:r>
      <w:r w:rsidRPr="00837161">
        <w:t xml:space="preserve"> </w:t>
      </w:r>
      <w:r w:rsidRPr="00837161">
        <w:fldChar w:fldCharType="begin"/>
      </w:r>
      <w:r w:rsidR="000F35EB">
        <w:instrText xml:space="preserve"> ADDIN ZOTERO_ITEM CSL_CITATION {"citationID":"aVZQ7Usj","properties":{"formattedCitation":"(Van der Colff et al., 2020; Vanderhoeven et al., 2015)","plainCitation":"(Van der Colff et al., 2020; Vanderhoeven et al., 2015)","noteIndex":0},"citationItems":[{"id":24816,"uris":["http://zotero.org/groups/2352922/items/KB85YJ9L"],"itemData":{"id":24816,"type":"article-journal","abstract":"The IUCN recommends the use of two distinct schemes to assess the impacts of biological invasions on biodiversity at the species level. The IUCN Red List of Threatened Species (Red List) categorises native species based on their risk of extinction. Such assessments evaluate the extent to which different pressures, including alien species, threaten native species. The much newer IUCN Environmental Impact Classification for Alien Taxa (EICAT) categorises alien species on the degree to which they have impacted native species. Conceptually, the schemes are related. One would expect that: 1) if a native species is assessed as threatened under the Red List due to the impacts of alien species, then at least one alien species involved should be classified as harmful under EICAT; and 2) if an alien species is assessed as harmful under EICAT, then at least one native species impacted should be assessed as threatened by alien species under the Red List. Here we test this by comparing the impacts of alien gastropods, assessed using EICAT, to the impact on native species as assessed based on the Red List. We found a weak positive correlation, but it is clear there is not a simple one-to-one relationship. We hypothesise that the relationship between EICAT and the Red List statuses will follow one of three forms: i) the EICAT status of an alien species is closely correlated to the Red List status of the impacted native species; ii) the alien species is classed as ‘harmful’ under EICAT, but it does not threaten the native species with extinction as per the Red List (for example, the impacted native species is still widespread or abundant despite significant negative impacts from the alien species); or iii) the native species is classified as threatened under the Red List regardless of the impacts of the alien species (threatened species are impacted by other pressures with alien species potentially a passenger and not a driver of change). We conclude that the two schemes are complementary rather than equivalent, and provide some recommendations for how categorisations and data can be used in concert.","container-title":"NeoBiota","DOI":"10.3897/neobiota.62.52623","ISSN":"1314-2488, 1619-0033","journalAbbreviation":"NB","page":"509-523","source":"DOI.org (Crossref)","title":"Comparing the IUCN’s EICAT and Red List to improve assessments of the impact of biological invasions","URL":"https://neobiota.pensoft.net/article/52623/","volume":"62","author":[{"family":"Van der Colff","given":"Dewidine"},{"family":"Kumschick","given":"Sabrina"},{"family":"Foden","given":"Wendy"},{"family":"Wilson","given":"John R. U."}],"accessed":{"date-parts":[["2021",3,16]]},"issued":{"date-parts":[["2020",10,15]]}},"label":"page"},{"id":30148,"uris":["http://zotero.org/groups/2352922/items/Z3WQGFS6"],"itemData":{"id":30148,"type":"article-journal","container-title":"Management of Biological Invasions","DOI":"10.3391/mbi.2015.6.2.10","ISSN":"19898649","issue":"2","journalAbbreviation":"MBI","page":"197-208","source":"DOI.org (Crossref)","title":"A science-based approach to tackle invasive alien species in Belgium – the role of the ISEIA protocol and the Harmonia information system as decision support tools","URL":"http://www.reabic.net/journals/mbi/2015/Issue2.aspx","volume":"6","author":[{"family":"Vanderhoeven","given":"Sonia"},{"family":"Adriaens","given":"Tim"},{"family":"D’hondt","given":"Bram"},{"family":"Van Gossum","given":"Hans"},{"family":"Vandegehuchte","given":"Maurits"},{"family":"Verreycken","given":"Hugo"},{"family":"Cigar","given":"Julien"},{"family":"Branquart","given":"Etienne"}],"accessed":{"date-parts":[["2019",9,5]]},"issued":{"date-parts":[["2015",6]]}},"label":"page"}],"schema":"https://github.com/citation-style-language/schema/raw/master/csl-citation.json"} </w:instrText>
      </w:r>
      <w:r w:rsidRPr="00837161">
        <w:fldChar w:fldCharType="separate"/>
      </w:r>
      <w:r w:rsidR="00271B78" w:rsidRPr="00271B78">
        <w:t>(Van der Colff et al., 2020; Vanderhoeven et al., 2015)</w:t>
      </w:r>
      <w:r w:rsidRPr="00837161">
        <w:fldChar w:fldCharType="end"/>
      </w:r>
      <w:r w:rsidRPr="00837161">
        <w:t xml:space="preserve"> </w:t>
      </w:r>
      <w:r w:rsidRPr="00837161">
        <w:fldChar w:fldCharType="begin"/>
      </w:r>
      <w:r w:rsidRPr="00837161">
        <w:instrText xml:space="preserve"> ADDIN ZOTERO_TEMP </w:instrText>
      </w:r>
      <w:r w:rsidRPr="00837161">
        <w:fldChar w:fldCharType="end"/>
      </w:r>
      <w:r w:rsidRPr="00837161">
        <w:t xml:space="preserve">whereas others also include socio-economic impacts </w:t>
      </w:r>
      <w:r w:rsidRPr="00837161">
        <w:fldChar w:fldCharType="begin"/>
      </w:r>
      <w:r w:rsidR="000F35EB">
        <w:instrText xml:space="preserve"> ADDIN ZOTERO_ITEM CSL_CITATION {"citationID":"0X3UowOH","properties":{"formattedCitation":"(Bacher et al., 2018)","plainCitation":"(Bacher et al., 2018)","dontUpdate":true,"noteIndex":0},"citationItems":[{"id":28786,"uris":["http://zotero.org/groups/2352922/items/FH3FMGIH"],"itemData":{"id":28786,"type":"article-journal","abstract":"Many alien taxa are known to cause socio-economic impacts by affecting the different constituents of human well-being (security; material and non-material assets; health; social, spiritual and cultural relations; freedom of choice and action). Attempts to quantify socio-economic impacts in monetary terms are unlikely to provide a useful basis for evaluating and comparing impacts of alien taxa because they are notoriously difficult to measure and important aspects of human well-being are ignored. Here, we propose a novel standardised method for classifying alien taxa in terms of the magnitude of their impacts on human well-being, based on the capability approach from welfare economics. The core characteristic of this approach is that it uses changes in peoples' activities as a common metric for evaluating impacts on well-being. Impacts are assigned to one of five levels, from Minimal Concern to Massive, according to semi-quantitative scenarios that describe the severity of the impacts. Taxa are then classified according to the highest level of deleterious impact that they have been recorded to cause on any constituent of human well-being. The scheme also includes categories for taxa that are not evaluated, have no alien population, or are data deficient, and a method for assigning uncertainty to all the classifications. To demonstrate the utility of the system, we classified impacts of amphibians globally. These showed a variety of impacts on human well-being, with the cane toad (Rhinella marina) scoring Major impacts. For most species, however, no studies reporting impacts on human well-being were found, i.e. these species were data deficient. The classification provides a consistent procedure for translating the broad range of measures and types of impact into ranked levels of socio-economic impact, assigns alien taxa on the basis of the best available evidence of their documented deleterious impacts, and is applicable across taxa and at a range of spatial scales. The system was designed to align closely with the Environmental Impact Classification for Alien Taxa (EICAT) and the Red List, both of which have been adopted by the International Union of Nature Conservation (IUCN), and could therefore be readily integrated into international practices and policies. © 2017 The Authors. Methods in Ecology and Evolution © 2017 British Ecological Society","container-title":"Methods in Ecology and Evolution","DOI":"10.1111/2041-210X.12844","ISSN":"2041210X","issue":"1","journalAbbreviation":"Methods Ecol Evol","language":"en","page":"159-168","source":"DOI.org (Crossref)","title":"Socio-economic impact classification of alien taxa (SEICAT)","URL":"http://doi.wiley.com/10.1111/2041-210X.12844","volume":"9","author":[{"family":"Bacher","given":"Sven"},{"family":"Blackburn","given":"Tim M."},{"family":"Essl","given":"Franz"},{"family":"Genovesi","given":"Piero"},{"family":"Heikkilä","given":"Jaakko"},{"family":"Jeschke","given":"Jonathan M."},{"family":"Jones","given":"Glyn"},{"family":"Keller","given":"Reuben"},{"family":"Kenis","given":"Marc"},{"family":"Kueffer","given":"Christoph"},{"family":"Martinou","given":"Angeliki F."},{"family":"Nentwig","given":"Wolfgang"},{"family":"Pergl","given":"Jan"},{"family":"Pyšek","given":"Petr"},{"family":"Rabitsch","given":"Wolfgang"},{"family":"Richardson","given":"David M."},{"family":"Roy","given":"Helen E."},{"family":"Saul","given":"Wolf-Christian"},{"family":"Scalera","given":"Riccardo"},{"family":"Vilà","given":"Montserrat"},{"family":"Wilson","given":"John R. U."},{"family":"Kumschick","given":"Sabrina"}],"editor":[{"family":"Ramula","given":"Satu"}],"accessed":{"date-parts":[["2019",8,22]]},"issued":{"date-parts":[["2018"]]}},"label":"page"}],"schema":"https://github.com/citation-style-language/schema/raw/master/csl-citation.json"} </w:instrText>
      </w:r>
      <w:r w:rsidRPr="00837161">
        <w:fldChar w:fldCharType="separate"/>
      </w:r>
      <w:r w:rsidR="000F6653" w:rsidRPr="000F6653">
        <w:t>(Bacher et al., 2018</w:t>
      </w:r>
      <w:r w:rsidRPr="00837161">
        <w:fldChar w:fldCharType="end"/>
      </w:r>
      <w:r w:rsidR="000F6653" w:rsidRPr="000F6653">
        <w:t xml:space="preserve">; </w:t>
      </w:r>
      <w:r w:rsidR="000F6653">
        <w:rPr>
          <w:b/>
        </w:rPr>
        <w:t>C</w:t>
      </w:r>
      <w:r w:rsidR="000F6653" w:rsidRPr="000F6653">
        <w:rPr>
          <w:b/>
        </w:rPr>
        <w:t>hapter 4</w:t>
      </w:r>
      <w:r w:rsidR="000F6653" w:rsidRPr="000F6653">
        <w:t>,</w:t>
      </w:r>
      <w:r w:rsidR="000F6653" w:rsidRPr="000F6653">
        <w:rPr>
          <w:b/>
        </w:rPr>
        <w:t xml:space="preserve"> Box 4.13</w:t>
      </w:r>
      <w:r w:rsidR="000F6653">
        <w:t>)</w:t>
      </w:r>
      <w:r w:rsidRPr="00837161">
        <w:t xml:space="preserve">. Some protocols were designed to be taxonomically generic </w:t>
      </w:r>
      <w:r w:rsidRPr="00837161">
        <w:fldChar w:fldCharType="begin"/>
      </w:r>
      <w:r w:rsidR="000F35EB">
        <w:instrText xml:space="preserve"> ADDIN ZOTERO_ITEM CSL_CITATION {"citationID":"I0a5n3Qa","properties":{"formattedCitation":"(Sandvik et al., 2019)","plainCitation":"(Sandvik et al., 2019)","noteIndex":0},"citationItems":[{"id":27464,"uris":["http://zotero.org/groups/2352922/items/NREUUKUB"],"itemData":{"id":27464,"type":"article-journal","container-title":"Biological Invasions","DOI":"10.1007/s10530-019-02033-6","ISSN":"1387-3547, 1573-1464","issue":"9","journalAbbreviation":"Biol Invasions","language":"en","page":"2803-2810","source":"DOI.org (Crossref)","title":"Generic ecological impact assessment of alien species (GEIAA): the third generation of assessments in Norway","title-short":"Generic ecological impact assessment of alien species (GEIAA)","URL":"http://link.springer.com/10.1007/s10530-019-02033-6","volume":"21","author":[{"family":"Sandvik","given":"Hanno"},{"family":"Hilmo","given":"Olga"},{"family":"Finstad","given":"Anders G."},{"family":"Hegre","given":"Hanne"},{"family":"Moen","given":"Toril L."},{"family":"Rafoss","given":"Trond"},{"family":"Skarpaas","given":"Olav"},{"family":"Elven","given":"Reidar"},{"family":"Sandmark","given":"Helge"},{"family":"Gederaas","given":"Lisbeth"}],"accessed":{"date-parts":[["2021",7,7]]},"issued":{"date-parts":[["2019",9]]}},"label":"page"}],"schema":"https://github.com/citation-style-language/schema/raw/master/csl-citation.json"} </w:instrText>
      </w:r>
      <w:r w:rsidRPr="00837161">
        <w:fldChar w:fldCharType="separate"/>
      </w:r>
      <w:r w:rsidR="00271B78" w:rsidRPr="00271B78">
        <w:t>(Sandvik et al., 2019)</w:t>
      </w:r>
      <w:r w:rsidRPr="00837161">
        <w:fldChar w:fldCharType="end"/>
      </w:r>
      <w:r w:rsidRPr="00837161">
        <w:t xml:space="preserve"> whereas others were developed for specific environments </w:t>
      </w:r>
      <w:r w:rsidRPr="00837161">
        <w:fldChar w:fldCharType="begin"/>
      </w:r>
      <w:r w:rsidR="000F35EB">
        <w:instrText xml:space="preserve"> ADDIN ZOTERO_ITEM CSL_CITATION {"citationID":"XtGUpXic","properties":{"formattedCitation":"(Olenin et al., 2007)","plainCitation":"(Olenin et al., 2007)","noteIndex":0},"citationItems":[{"id":12558,"uris":["http://zotero.org/groups/2352922/items/HZH68U43"],"itemData":{"id":12558,"type":"article-journal","container-title":"Marine Pollution Bulletin","DOI":"10.1016/j.marpolbul.2007.01.010","ISSN":"0025326X","issue":"7-9","journalAbbreviation":"Marine Pollution Bulletin","language":"en","page":"379-394","source":"DOI.org (Crossref)","title":"Assessment of biopollution in aquatic ecosystems","URL":"https://linkinghub.elsevier.com/retrieve/pii/S0025326X07000148","volume":"55","author":[{"family":"Olenin","given":"Sergej"},{"family":"Minchin","given":"Dan"},{"family":"Daunys","given":"Darius"}],"accessed":{"date-parts":[["2019",10,23]]},"issued":{"date-parts":[["2007",1]]}},"label":"page"}],"schema":"https://github.com/citation-style-language/schema/raw/master/csl-citation.json"} </w:instrText>
      </w:r>
      <w:r w:rsidRPr="00837161">
        <w:fldChar w:fldCharType="separate"/>
      </w:r>
      <w:r w:rsidR="00271B78" w:rsidRPr="00271B78">
        <w:t>(Olenin et al., 2007)</w:t>
      </w:r>
      <w:r w:rsidRPr="00837161">
        <w:fldChar w:fldCharType="end"/>
      </w:r>
      <w:r w:rsidRPr="00837161">
        <w:t xml:space="preserve"> or specific taxonomic groups. Some evaluation procedures rely on a panel of assessors to participate in the assessment </w:t>
      </w:r>
      <w:r w:rsidRPr="00837161">
        <w:fldChar w:fldCharType="begin"/>
      </w:r>
      <w:r w:rsidR="000F35EB">
        <w:instrText xml:space="preserve"> ADDIN ZOTERO_ITEM CSL_CITATION {"citationID":"bULwy7Ep","properties":{"formattedCitation":"(Kumschick, Bacher, et al., 2020; Volery et al., 2020)","plainCitation":"(Kumschick, Bacher, et al., 2020; Volery et al., 2020)","noteIndex":0},"citationItems":[{"id":25108,"uris":["http://zotero.org/groups/2352922/items/MPH6UL7S"],"itemData":{"id":25108,"type":"article-journal","abstract":"The Environmental Impact Classification for Alien Taxa (EICAT) can be used to classify alien taxa according to the magnitude and type of their environmental impacts. The EICAT protocol, classifications of alien taxa using the protocol (EICAT classification) and the data underpinning classifications (EICAT data) are increasingly used by scientists and practitioners such as governments, NGOs and civil society for a variety of purposes. However, the properties of the EICAT protocol and the data it generates are not suitable for certain uses. Therefore, we present guidelines designed to clarify and facilitate the appropriate use of EICAT to tackle a broad range of conservation issues related to biological invasions, as well as to guide research and communication more generally. Here we address common misconceptions and give a brief overview of some key issues that all EICAT users need to be aware of to take maximal advantage of this resource. Furthermore, we give examples of the wide variety of ways in which the EICAT protocol, classifications and data can be and have been utilised and outline common errors and pitfalls to avoid.","container-title":"NeoBiota","DOI":"10.3897/neobiota.62.51574","ISSN":"1314-2488, 1619-0033","journalAbbreviation":"NB","page":"193-212","source":"DOI.org (Crossref)","title":"Appropriate uses of EICAT protocol, data and classifications","URL":"https://neobiota.pensoft.net/article/51574/","volume":"62","author":[{"family":"Kumschick","given":"Sabrina"},{"family":"Bacher","given":"Sven"},{"family":"Bertolino","given":"Sandro"},{"family":"Blackburn","given":"Tim M."},{"family":"Evans","given":"Thomas"},{"family":"Roy","given":"Helen E."},{"family":"Smith","given":"Kevin"}],"accessed":{"date-parts":[["2021",3,16]]},"issued":{"date-parts":[["2020",10,15]]}},"label":"page"},{"id":30764,"uris":["http://zotero.org/groups/2352922/items/MUSWNKGE","http://zotero.org/groups/2352922/items/Q6LQ9FF6"],"itemData":{"id":30764,"type":"article-journal","abstract":"The Environmental Impact Classification for Alien Taxa (EICAT) classifies the impacts caused by alien species in their introduced range in standardised terms across taxa and recipient environments. Impacts are classified into one of five levels of severity, from Minimal Concern to Massive, via one of 12 impact mechanisms. Here, we explain revisions based on an IUCN-wide consultation process to the previously-published EICAT framework and guidelines, to clarify why these changes were necessary. These changes mainly concern: the distinction between the two highest levels of impact severity (Major and Massive impacts), the scenarios of the five levels of severity for the hybridisation and disease transmission mechanisms, the broadening of existing impact mechanisms to capture overlooked mechanisms, the Current (Maximum) Impact, and the way uncertainty of individual impact assessments is evaluated. Our aim in explaining this revision process is to ensure consistency of EICAT assessments, by improving the understanding of the framework.","container-title":"NeoBiota","DOI":"10.3897/neobiota.62.52723","ISSN":"1314-2488","language":"en","license":"2021 Lara Volery, Tim M. Blackburn, Sandro Bertolino, Thomas Evans, Piero Genovesi, Sabrina Kumschick, Helen E. Roy, Kevin G. Smith, Sven Bacher","note":"publisher: Pensoft Publishers","page":"547-567","source":"neobiota.pensoft.net","title":"Improving the Environmental Impact Classification for Alien Taxa (EICAT): a summary of revisions to the framework and guidelines","title-short":"Improving the Environmental Impact Classification for Alien Taxa (EICAT)","URL":"https://neobiota.pensoft.net/article/52723/","volume":"62","author":[{"family":"Volery","given":"Lara"},{"family":"Blackburn","given":"Tim M."},{"family":"Bertolino","given":"Sandro"},{"family":"Evans","given":"Thomas"},{"family":"Genovesi","given":"Piero"},{"family":"Kumschick","given":"Sabrina"},{"family":"Roy","given":"Helen E."},{"family":"Smith","given":"Kevin G."},{"family":"Bacher","given":"Sven"}],"accessed":{"date-parts":[["2021",10,28]]},"issued":{"date-parts":[["2020",10,15]]}},"label":"page"}],"schema":"https://github.com/citation-style-language/schema/raw/master/csl-citation.json"} </w:instrText>
      </w:r>
      <w:r w:rsidRPr="00837161">
        <w:fldChar w:fldCharType="separate"/>
      </w:r>
      <w:r w:rsidR="00271B78" w:rsidRPr="00271B78">
        <w:t>(Kumschick, Bacher, et al., 2020; Volery et al., 2020)</w:t>
      </w:r>
      <w:r w:rsidRPr="00837161">
        <w:fldChar w:fldCharType="end"/>
      </w:r>
      <w:r w:rsidRPr="00837161">
        <w:t xml:space="preserve">, others are based on assessments performed by single experts or do not </w:t>
      </w:r>
      <w:r w:rsidR="0507C601" w:rsidRPr="00837161">
        <w:t xml:space="preserve">clarify this </w:t>
      </w:r>
      <w:r w:rsidRPr="00837161">
        <w:fldChar w:fldCharType="begin"/>
      </w:r>
      <w:r w:rsidR="000F35EB">
        <w:instrText xml:space="preserve"> ADDIN ZOTERO_ITEM CSL_CITATION {"citationID":"zlcl5NW5","properties":{"formattedCitation":"(Vanderhoeven et al., 2017)","plainCitation":"(Vanderhoeven et al., 2017)","noteIndex":0},"citationItems":[{"id":22747,"uris":["http://zotero.org/groups/2352922/items/EY32RN7C"],"itemData":{"id":22747,"type":"article-journal","abstract":"Risk assessment tools for listing invasive alien species need to incorporate all available evidence and expertise. Beyond the wealth of protocols developed to date, we argue that the current way of performing risk analysis has several shortcomings. In particular, lack of data on ecological impacts, transparency and repeatability of assessments as well as the incorporation of uncertainty should all be explicitly considered. We recommend improved quality control of risk assessments through formalized peer review with clear feedback between assessors and reviewers. Alternatively, a consensus building process can be applied to better capture opinions of different experts, thereby maximizing the evidential basis. Elaborating on manageability of invasive species is further needed to fully answer all risk analysis requirements. Tackling the issue of invasive species urges better handling of the acquired information on risk and the exploration of improved methods for decision making on biodiversity management. This is crucial for efficient conservation resource allocation and uptake by stakeholders and the public. © 2017, The Author(s).","container-title":"Biological Invasions","DOI":"10.1007/s10530-017-1434-0","ISSN":"1573-1464","issue":"9","journalAbbreviation":"Biol Invasions","language":"en","page":"2507-2517","source":"Springer Link","title":"Beyond protocols: improving the reliability of expert-based risk analysis underpinning invasive species policies","title-short":"Beyond protocols","URL":"https://doi.org/10.1007/s10530-017-1434-0","volume":"19","author":[{"family":"Vanderhoeven","given":"Sonia"},{"family":"Branquart","given":"Etienne"},{"family":"Casaer","given":"Jim"},{"family":"D’hondt","given":"Bram"},{"family":"Hulme","given":"Philip E."},{"family":"Shwartz","given":"Assaf"},{"family":"Strubbe","given":"Diederik"},{"family":"Turbé","given":"Anne"},{"family":"Verreycken","given":"Hugo"},{"family":"Adriaens","given":"Tim"}],"accessed":{"date-parts":[["2019",8,12]]},"issued":{"date-parts":[["2017",9,1]]}},"label":"page"}],"schema":"https://github.com/citation-style-language/schema/raw/master/csl-citation.json"} </w:instrText>
      </w:r>
      <w:r w:rsidRPr="00837161">
        <w:fldChar w:fldCharType="separate"/>
      </w:r>
      <w:r w:rsidR="00271B78" w:rsidRPr="00271B78">
        <w:t>(Vanderhoeven et al., 2017)</w:t>
      </w:r>
      <w:r w:rsidRPr="00837161">
        <w:fldChar w:fldCharType="end"/>
      </w:r>
      <w:r w:rsidR="4DB98CFE" w:rsidRPr="00837161">
        <w:t xml:space="preserve">. </w:t>
      </w:r>
      <w:r w:rsidRPr="00837161">
        <w:t>Impact assessment systems have also been standardi</w:t>
      </w:r>
      <w:r w:rsidR="554D4C01" w:rsidRPr="00837161">
        <w:t>z</w:t>
      </w:r>
      <w:r w:rsidRPr="00837161">
        <w:t>ed</w:t>
      </w:r>
      <w:r w:rsidRPr="00837161">
        <w:rPr>
          <w:rFonts w:eastAsiaTheme="majorEastAsia"/>
        </w:rPr>
        <w:t xml:space="preserve">, </w:t>
      </w:r>
      <w:r w:rsidRPr="00837161">
        <w:t>such as the Environmental Impact Classification for Alien Taxa</w:t>
      </w:r>
      <w:r w:rsidRPr="00837161">
        <w:rPr>
          <w:i/>
          <w:iCs/>
        </w:rPr>
        <w:t xml:space="preserve"> </w:t>
      </w:r>
      <w:r w:rsidRPr="00837161">
        <w:t>(EICAT</w:t>
      </w:r>
      <w:r w:rsidR="00BD7C4F" w:rsidRPr="00837161">
        <w:t>;</w:t>
      </w:r>
      <w:r w:rsidRPr="00837161">
        <w:t xml:space="preserve"> </w:t>
      </w:r>
      <w:r w:rsidRPr="00837161">
        <w:fldChar w:fldCharType="begin"/>
      </w:r>
      <w:r w:rsidR="000F35EB">
        <w:instrText xml:space="preserve"> ADDIN ZOTERO_ITEM CSL_CITATION {"citationID":"8Xoctrke","properties":{"formattedCitation":"(IUCN, 2020b)","plainCitation":"(IUCN, 2020b)","dontUpdate":true,"noteIndex":0},"citationItems":[{"id":30780,"uris":["http://zotero.org/groups/2352922/items/M8VZEIDM"],"itemData":{"id":30780,"type":"book","edition":"First edition","event-place":"Gland, Switzerland and Cambridge, UK","ISBN":"978-2-8317-2040-1","note":"DOI: 10.2305/IUCN.CH.2020.05.en","number-of-pages":"36","publisher":"IUCN, International Union for Conservation of Nature","publisher-place":"Gland, Switzerland and Cambridge, UK","source":"DOI.org (Crossref)","title":"IUCN EICAT Categories and Criteria. The Environmental Impact Classification for Alien Taxa.","title-short":"IUCN EICAT Categories and Criteria","URL":"https://doi.org/10.2305/IUCN.CH.2020.05.en","author":[{"literal":"IUCN"}],"accessed":{"date-parts":[["2021",8,17]]},"issued":{"date-parts":[["2020",9,15]]}},"label":"page"}],"schema":"https://github.com/citation-style-language/schema/raw/master/csl-citation.json"} </w:instrText>
      </w:r>
      <w:r w:rsidRPr="00837161">
        <w:fldChar w:fldCharType="separate"/>
      </w:r>
      <w:r w:rsidR="00B437D0" w:rsidRPr="00837161">
        <w:t>IUCN, 2020b)</w:t>
      </w:r>
      <w:r w:rsidRPr="00837161">
        <w:fldChar w:fldCharType="end"/>
      </w:r>
      <w:r w:rsidRPr="00837161">
        <w:t xml:space="preserve"> and the Socio-Economic Impact Classification</w:t>
      </w:r>
      <w:r w:rsidR="00B62203" w:rsidRPr="00837161">
        <w:t xml:space="preserve"> </w:t>
      </w:r>
      <w:r w:rsidRPr="00837161">
        <w:t>of Alien Taxa (SEICAT</w:t>
      </w:r>
      <w:r w:rsidR="00BD7C4F" w:rsidRPr="00837161">
        <w:t xml:space="preserve">; </w:t>
      </w:r>
      <w:r w:rsidRPr="00837161">
        <w:fldChar w:fldCharType="begin"/>
      </w:r>
      <w:r w:rsidR="000F35EB">
        <w:instrText xml:space="preserve"> ADDIN ZOTERO_ITEM CSL_CITATION {"citationID":"mZkgrDSW","properties":{"formattedCitation":"(Bacher et al., 2018)","plainCitation":"(Bacher et al., 2018)","dontUpdate":true,"noteIndex":0},"citationItems":[{"id":28786,"uris":["http://zotero.org/groups/2352922/items/FH3FMGIH"],"itemData":{"id":28786,"type":"article-journal","abstract":"Many alien taxa are known to cause socio-economic impacts by affecting the different constituents of human well-being (security; material and non-material assets; health; social, spiritual and cultural relations; freedom of choice and action). Attempts to quantify socio-economic impacts in monetary terms are unlikely to provide a useful basis for evaluating and comparing impacts of alien taxa because they are notoriously difficult to measure and important aspects of human well-being are ignored. Here, we propose a novel standardised method for classifying alien taxa in terms of the magnitude of their impacts on human well-being, based on the capability approach from welfare economics. The core characteristic of this approach is that it uses changes in peoples' activities as a common metric for evaluating impacts on well-being. Impacts are assigned to one of five levels, from Minimal Concern to Massive, according to semi-quantitative scenarios that describe the severity of the impacts. Taxa are then classified according to the highest level of deleterious impact that they have been recorded to cause on any constituent of human well-being. The scheme also includes categories for taxa that are not evaluated, have no alien population, or are data deficient, and a method for assigning uncertainty to all the classifications. To demonstrate the utility of the system, we classified impacts of amphibians globally. These showed a variety of impacts on human well-being, with the cane toad (Rhinella marina) scoring Major impacts. For most species, however, no studies reporting impacts on human well-being were found, i.e. these species were data deficient. The classification provides a consistent procedure for translating the broad range of measures and types of impact into ranked levels of socio-economic impact, assigns alien taxa on the basis of the best available evidence of their documented deleterious impacts, and is applicable across taxa and at a range of spatial scales. The system was designed to align closely with the Environmental Impact Classification for Alien Taxa (EICAT) and the Red List, both of which have been adopted by the International Union of Nature Conservation (IUCN), and could therefore be readily integrated into international practices and policies. © 2017 The Authors. Methods in Ecology and Evolution © 2017 British Ecological Society","container-title":"Methods in Ecology and Evolution","DOI":"10.1111/2041-210X.12844","ISSN":"2041210X","issue":"1","journalAbbreviation":"Methods Ecol Evol","language":"en","page":"159-168","source":"DOI.org (Crossref)","title":"Socio-economic impact classification of alien taxa (SEICAT)","URL":"http://doi.wiley.com/10.1111/2041-210X.12844","volume":"9","author":[{"family":"Bacher","given":"Sven"},{"family":"Blackburn","given":"Tim M."},{"family":"Essl","given":"Franz"},{"family":"Genovesi","given":"Piero"},{"family":"Heikkilä","given":"Jaakko"},{"family":"Jeschke","given":"Jonathan M."},{"family":"Jones","given":"Glyn"},{"family":"Keller","given":"Reuben"},{"family":"Kenis","given":"Marc"},{"family":"Kueffer","given":"Christoph"},{"family":"Martinou","given":"Angeliki F."},{"family":"Nentwig","given":"Wolfgang"},{"family":"Pergl","given":"Jan"},{"family":"Pyšek","given":"Petr"},{"family":"Rabitsch","given":"Wolfgang"},{"family":"Richardson","given":"David M."},{"family":"Roy","given":"Helen E."},{"family":"Saul","given":"Wolf-Christian"},{"family":"Scalera","given":"Riccardo"},{"family":"Vilà","given":"Montserrat"},{"family":"Wilson","given":"John R. U."},{"family":"Kumschick","given":"Sabrina"}],"editor":[{"family":"Ramula","given":"Satu"}],"accessed":{"date-parts":[["2019",8,22]]},"issued":{"date-parts":[["2018"]]}},"label":"page"}],"schema":"https://github.com/citation-style-language/schema/raw/master/csl-citation.json"} </w:instrText>
      </w:r>
      <w:r w:rsidRPr="00837161">
        <w:fldChar w:fldCharType="separate"/>
      </w:r>
      <w:r w:rsidR="00B437D0" w:rsidRPr="00837161">
        <w:t>Bacher et al., 2018</w:t>
      </w:r>
      <w:r w:rsidRPr="00837161">
        <w:fldChar w:fldCharType="end"/>
      </w:r>
      <w:r w:rsidR="000F6653">
        <w:t xml:space="preserve">; </w:t>
      </w:r>
      <w:r w:rsidR="000F6653">
        <w:rPr>
          <w:b/>
        </w:rPr>
        <w:t>Chapter 4</w:t>
      </w:r>
      <w:r w:rsidR="000F6653">
        <w:t>)</w:t>
      </w:r>
      <w:r w:rsidRPr="00837161">
        <w:t>.</w:t>
      </w:r>
      <w:r w:rsidR="4DB98CFE" w:rsidRPr="00837161">
        <w:t xml:space="preserve"> </w:t>
      </w:r>
      <w:r w:rsidRPr="00837161">
        <w:t xml:space="preserve">EICAT has </w:t>
      </w:r>
      <w:r w:rsidR="0650D042" w:rsidRPr="00837161">
        <w:t xml:space="preserve">been </w:t>
      </w:r>
      <w:r w:rsidR="00AC5A0B">
        <w:t>developed</w:t>
      </w:r>
      <w:r w:rsidR="00AC5A0B" w:rsidRPr="00837161">
        <w:t xml:space="preserve"> </w:t>
      </w:r>
      <w:r w:rsidR="0650D042" w:rsidRPr="00837161">
        <w:t>by the</w:t>
      </w:r>
      <w:r w:rsidRPr="00837161">
        <w:t xml:space="preserve"> International Union for Conservation of Nature </w:t>
      </w:r>
      <w:r w:rsidR="00360C84" w:rsidRPr="00837161">
        <w:t xml:space="preserve">(IUCN; </w:t>
      </w:r>
      <w:r w:rsidRPr="00837161">
        <w:fldChar w:fldCharType="begin"/>
      </w:r>
      <w:r w:rsidR="000F35EB">
        <w:instrText xml:space="preserve"> ADDIN ZOTERO_ITEM CSL_CITATION {"citationID":"bj8sGR40","properties":{"formattedCitation":"(IUCN, 2020b; Van der Colff et al., 2020)","plainCitation":"(IUCN, 2020b; Van der Colff et al., 2020)","dontUpdate":true,"noteIndex":0},"citationItems":[{"id":30780,"uris":["http://zotero.org/groups/2352922/items/M8VZEIDM"],"itemData":{"id":30780,"type":"book","edition":"First edition","event-place":"Gland, Switzerland and Cambridge, UK","ISBN":"978-2-8317-2040-1","note":"DOI: 10.2305/IUCN.CH.2020.05.en","number-of-pages":"36","publisher":"IUCN, International Union for Conservation of Nature","publisher-place":"Gland, Switzerland and Cambridge, UK","source":"DOI.org (Crossref)","title":"IUCN EICAT Categories and Criteria. The Environmental Impact Classification for Alien Taxa.","title-short":"IUCN EICAT Categories and Criteria","URL":"https://doi.org/10.2305/IUCN.CH.2020.05.en","author":[{"literal":"IUCN"}],"accessed":{"date-parts":[["2021",8,17]]},"issued":{"date-parts":[["2020",9,15]]}},"label":"page"},{"id":24816,"uris":["http://zotero.org/groups/2352922/items/KB85YJ9L"],"itemData":{"id":24816,"type":"article-journal","abstract":"The IUCN recommends the use of two distinct schemes to assess the impacts of biological invasions on biodiversity at the species level. The IUCN Red List of Threatened Species (Red List) categorises native species based on their risk of extinction. Such assessments evaluate the extent to which different pressures, including alien species, threaten native species. The much newer IUCN Environmental Impact Classification for Alien Taxa (EICAT) categorises alien species on the degree to which they have impacted native species. Conceptually, the schemes are related. One would expect that: 1) if a native species is assessed as threatened under the Red List due to the impacts of alien species, then at least one alien species involved should be classified as harmful under EICAT; and 2) if an alien species is assessed as harmful under EICAT, then at least one native species impacted should be assessed as threatened by alien species under the Red List. Here we test this by comparing the impacts of alien gastropods, assessed using EICAT, to the impact on native species as assessed based on the Red List. We found a weak positive correlation, but it is clear there is not a simple one-to-one relationship. We hypothesise that the relationship between EICAT and the Red List statuses will follow one of three forms: i) the EICAT status of an alien species is closely correlated to the Red List status of the impacted native species; ii) the alien species is classed as ‘harmful’ under EICAT, but it does not threaten the native species with extinction as per the Red List (for example, the impacted native species is still widespread or abundant despite significant negative impacts from the alien species); or iii) the native species is classified as threatened under the Red List regardless of the impacts of the alien species (threatened species are impacted by other pressures with alien species potentially a passenger and not a driver of change). We conclude that the two schemes are complementary rather than equivalent, and provide some recommendations for how categorisations and data can be used in concert.","container-title":"NeoBiota","DOI":"10.3897/neobiota.62.52623","ISSN":"1314-2488, 1619-0033","journalAbbreviation":"NB","page":"509-523","source":"DOI.org (Crossref)","title":"Comparing the IUCN’s EICAT and Red List to improve assessments of the impact of biological invasions","URL":"https://neobiota.pensoft.net/article/52623/","volume":"62","author":[{"family":"Van der Colff","given":"Dewidine"},{"family":"Kumschick","given":"Sabrina"},{"family":"Foden","given":"Wendy"},{"family":"Wilson","given":"John R. U."}],"accessed":{"date-parts":[["2021",3,16]]},"issued":{"date-parts":[["2020",10,15]]}},"label":"page"}],"schema":"https://github.com/citation-style-language/schema/raw/master/csl-citation.json"} </w:instrText>
      </w:r>
      <w:r w:rsidRPr="00837161">
        <w:fldChar w:fldCharType="separate"/>
      </w:r>
      <w:r w:rsidR="00B437D0" w:rsidRPr="00837161">
        <w:t>IUCN, 2020b; Van der Colff et al., 2020)</w:t>
      </w:r>
      <w:r w:rsidRPr="00837161">
        <w:fldChar w:fldCharType="end"/>
      </w:r>
      <w:r w:rsidRPr="00837161">
        <w:t>.</w:t>
      </w:r>
      <w:r w:rsidRPr="00837161">
        <w:rPr>
          <w:rFonts w:eastAsia="Times New Roman"/>
        </w:rPr>
        <w:t xml:space="preserve"> </w:t>
      </w:r>
      <w:r w:rsidR="4AB3AF88" w:rsidRPr="00837161">
        <w:rPr>
          <w:rFonts w:eastAsia="Times New Roman"/>
        </w:rPr>
        <w:t>Unlike risk assessment, i</w:t>
      </w:r>
      <w:r w:rsidRPr="00837161">
        <w:rPr>
          <w:rFonts w:eastAsia="Times New Roman"/>
        </w:rPr>
        <w:t xml:space="preserve">mpact assessment </w:t>
      </w:r>
      <w:r w:rsidR="3F7169BA" w:rsidRPr="00837161">
        <w:rPr>
          <w:rFonts w:eastAsia="Times New Roman"/>
        </w:rPr>
        <w:t>does not consider t</w:t>
      </w:r>
      <w:r w:rsidRPr="00837161">
        <w:rPr>
          <w:rFonts w:eastAsia="Times New Roman"/>
        </w:rPr>
        <w:t xml:space="preserve">he </w:t>
      </w:r>
      <w:r w:rsidR="3F7169BA" w:rsidRPr="00837161">
        <w:rPr>
          <w:rFonts w:eastAsia="Times New Roman"/>
        </w:rPr>
        <w:t>likelihood of establishment or spread following introduction</w:t>
      </w:r>
      <w:r w:rsidRPr="00837161">
        <w:rPr>
          <w:rFonts w:eastAsia="Times New Roman"/>
        </w:rPr>
        <w:t>.</w:t>
      </w:r>
    </w:p>
    <w:p w14:paraId="2AC05ABA" w14:textId="77777777" w:rsidR="00024593" w:rsidRPr="00837161" w:rsidRDefault="19A546CA" w:rsidP="00B05859">
      <w:pPr>
        <w:pStyle w:val="Heading4"/>
      </w:pPr>
      <w:bookmarkStart w:id="92" w:name="_Toc26520290"/>
      <w:bookmarkStart w:id="93" w:name="_Toc69313961"/>
      <w:r w:rsidRPr="00837161">
        <w:t>Risk analysis</w:t>
      </w:r>
    </w:p>
    <w:p w14:paraId="306567F7" w14:textId="4E897045" w:rsidR="00233052" w:rsidRPr="00837161" w:rsidRDefault="00024593" w:rsidP="00C11DFA">
      <w:pPr>
        <w:spacing w:before="240" w:after="120" w:line="240" w:lineRule="auto"/>
      </w:pPr>
      <w:r w:rsidRPr="00837161">
        <w:t xml:space="preserve">Risk analysis </w:t>
      </w:r>
      <w:r w:rsidR="00521DD1" w:rsidRPr="00837161">
        <w:t xml:space="preserve">is a </w:t>
      </w:r>
      <w:r w:rsidR="05E56FA6" w:rsidRPr="00837161">
        <w:t>process</w:t>
      </w:r>
      <w:r w:rsidR="008B65CF" w:rsidRPr="00837161">
        <w:t xml:space="preserve"> </w:t>
      </w:r>
      <w:r w:rsidRPr="00837161">
        <w:t>of three complementary components: 1) risk assessment</w:t>
      </w:r>
      <w:r w:rsidR="6582A52A" w:rsidRPr="00837161">
        <w:t>, supported by risk modelling and mapping</w:t>
      </w:r>
      <w:r w:rsidRPr="00837161">
        <w:t xml:space="preserve">; 2) risk management and 3) risk communication </w:t>
      </w:r>
      <w:r w:rsidRPr="00837161">
        <w:fldChar w:fldCharType="begin"/>
      </w:r>
      <w:r w:rsidR="000F35EB">
        <w:instrText xml:space="preserve"> ADDIN ZOTERO_ITEM CSL_CITATION {"citationID":"av7prYjM","properties":{"formattedCitation":"(EFSA Scientific Committee &amp; Scientific Opinion on Risk Assessment Terminology, 2012; Geering &amp; Lubroth, 2002; IPPC, 2019; Lanzoni et al., 2019)","plainCitation":"(EFSA Scientific Committee &amp; Scientific Opinion on Risk Assessment Terminology, 2012; Geering &amp; Lubroth, 2002; IPPC, 2019; Lanzoni et al., 2019)","noteIndex":0},"citationItems":[{"id":21986,"uris":["http://zotero.org/groups/2352922/items/7BY5XPW8"],"itemData":{"id":21986,"type":"article-journal","container-title":"EFSA  Journal","DOI":"10.2903/j.efsa.2012.2664","issue":"5","note":"European Food Safety Authority (EFSA)","page":"2664","title":"Scientific opinion on risk assessment terminology","URL":"https://doi.org/10.2903/j.efsa.2012.2664","volume":"10","author":[{"literal":"EFSA Scientific Committee"},{"literal":"Scientific Opinion on Risk Assessment Terminology"}],"issued":{"date-parts":[["2012"]]}},"label":"page"},{"id":25081,"uris":["http://zotero.org/groups/2352922/items/4EIJPP43"],"itemData":{"id":25081,"type":"book","call-number":"SF793 .G34 2002","collection-number":"no. 16","collection-title":"FAO animal health manual","event-place":"Rome","ISBN":"978-92-5-104867-2","note":"OCLC: ocm52968196","number-of-pages":"91","publisher":"Food and Agricultural Organization of the United Nations","publisher-place":"Rome","source":"Library of Congress ISBN","title":"Preparation of foot-and-mouth disease contingency plans","author":[{"family":"Geering","given":"W. A."},{"family":"Lubroth","given":"Juan"}],"contributor":[{"literal":"Food and Agriculture Organization of the United Nations"}],"issued":{"date-parts":[["2002"]]}},"label":"page"},{"id":32978,"uris":["http://zotero.org/groups/2352922/items/DKAU3SJB"],"itemData":{"id":32978,"type":"report","collection-title":"International standards for phytosanitary measures","number":"ISPM 2","publisher":"Secretariat of the International Plant Protection Convention (IPPC)","title":"Framework for pest risk analysis","URL":"https://www.fao.org/3/k0125e/k0125e.pdf","author":[{"literal":"IPPC"}],"issued":{"date-parts":[["2019"]]}},"label":"page"},{"id":25080,"uris":["http://zotero.org/groups/2352922/items/9KGR2WL5"],"itemData":{"id":25080,"type":"article-journal","abstract":"Abstract The current/traditional human health risk assessment paradigm is challenged by recent scientific and technical advances, and ethical demands. The current approach is considered too resource intensive, is not always reliable, can raise issues of reproducibility, is mostly animal based and does not necessarily provide an understanding of the underlying mechanisms of toxicity. From an ethical and scientific viewpoint, a paradigm shift is required to deliver testing strategies that enable relia</w:instrText>
      </w:r>
      <w:r w:rsidR="000F35EB">
        <w:rPr>
          <w:rFonts w:hint="eastAsia"/>
        </w:rPr>
        <w:instrText>ble, animal</w:instrText>
      </w:r>
      <w:r w:rsidR="000F35EB">
        <w:rPr>
          <w:rFonts w:hint="eastAsia"/>
        </w:rPr>
        <w:instrText>‐</w:instrText>
      </w:r>
      <w:r w:rsidR="000F35EB">
        <w:rPr>
          <w:rFonts w:hint="eastAsia"/>
        </w:rPr>
        <w:instrText>free hazard and risk assessments, which are based on a mechanistic understanding of chemical toxicity and make use of exposure science and epidemiological data. This shift will require a new philosophy, new data, multidisciplinary expertise and more flexible regulations. Re</w:instrText>
      </w:r>
      <w:r w:rsidR="000F35EB">
        <w:rPr>
          <w:rFonts w:hint="eastAsia"/>
        </w:rPr>
        <w:instrText>‐</w:instrText>
      </w:r>
      <w:r w:rsidR="000F35EB">
        <w:rPr>
          <w:rFonts w:hint="eastAsia"/>
        </w:rPr>
        <w:instrText>engineering of available data is also deemed necessary as data should be accessible, readable, interpretable and usable. Dedicated training to build the capacity in terms of expertise is necessary, together with practical r</w:instrText>
      </w:r>
      <w:r w:rsidR="000F35EB">
        <w:instrText>esources allocated to education. The dialogue between risk assessors, risk managers, academia and stakeholders should be promoted further to understand scientific and societal needs. Genuine interest in taking risk assessment forward should drive the chan</w:instrText>
      </w:r>
      <w:r w:rsidR="000F35EB">
        <w:rPr>
          <w:rFonts w:hint="eastAsia"/>
        </w:rPr>
        <w:instrText>ge and should be supported by flexible funding. This publication builds upon presentations made and discussions held during the break</w:instrText>
      </w:r>
      <w:r w:rsidR="000F35EB">
        <w:rPr>
          <w:rFonts w:hint="eastAsia"/>
        </w:rPr>
        <w:instrText>‐</w:instrText>
      </w:r>
      <w:r w:rsidR="000F35EB">
        <w:rPr>
          <w:rFonts w:hint="eastAsia"/>
        </w:rPr>
        <w:instrText xml:space="preserve">out session </w:instrText>
      </w:r>
      <w:r w:rsidR="000F35EB">
        <w:rPr>
          <w:rFonts w:hint="eastAsia"/>
        </w:rPr>
        <w:instrText>‘</w:instrText>
      </w:r>
      <w:r w:rsidR="000F35EB">
        <w:rPr>
          <w:rFonts w:hint="eastAsia"/>
        </w:rPr>
        <w:instrText xml:space="preserve">Advancing risk assessment science </w:instrText>
      </w:r>
      <w:r w:rsidR="000F35EB">
        <w:rPr>
          <w:rFonts w:hint="eastAsia"/>
        </w:rPr>
        <w:instrText>–</w:instrText>
      </w:r>
      <w:r w:rsidR="000F35EB">
        <w:rPr>
          <w:rFonts w:hint="eastAsia"/>
        </w:rPr>
        <w:instrText xml:space="preserve"> Human health</w:instrText>
      </w:r>
      <w:r w:rsidR="000F35EB">
        <w:rPr>
          <w:rFonts w:hint="eastAsia"/>
        </w:rPr>
        <w:instrText>’</w:instrText>
      </w:r>
      <w:r w:rsidR="000F35EB">
        <w:rPr>
          <w:rFonts w:hint="eastAsia"/>
        </w:rPr>
        <w:instrText xml:space="preserve"> at EFSA's third Scientific Conference </w:instrText>
      </w:r>
      <w:r w:rsidR="000F35EB">
        <w:rPr>
          <w:rFonts w:hint="eastAsia"/>
        </w:rPr>
        <w:instrText>‘</w:instrText>
      </w:r>
      <w:r w:rsidR="000F35EB">
        <w:rPr>
          <w:rFonts w:hint="eastAsia"/>
        </w:rPr>
        <w:instrText>Science, Food and S</w:instrText>
      </w:r>
      <w:r w:rsidR="000F35EB">
        <w:instrText>ociety’ (Parma, Italy, 18–21 September 2018).","container-title":"EFSA Journal","DOI":"10.2903/j.efsa.2019.e170712","ISSN":"18314732, 18314732","issue":"S1","journalAbbreviation":"EFS2","language":"eng","note":"Proceedings of the Third EFSA Scientific Conference: Science, Food and Society Guest Editors: Devos Y, Elliott KC and Hardy A","page":"e170712","source":"DOI.org (CSL JSON)","title":"Advancing human health risk assessment","URL":"https://data.europa.eu/doi/10.2903/j.efsa.2019.e170712","volume":"17"</w:instrText>
      </w:r>
      <w:r w:rsidR="000F35EB">
        <w:rPr>
          <w:rFonts w:hint="eastAsia"/>
        </w:rPr>
        <w:instrText>,"author":[{"family":"Lanzoni","given":"Anna"},{"family":"Castoldi","given":"Anna F"},{"family":"Kass","given":"George EN"},{"family":"Terron","given":"Andrea"},{"family":"De Seze","given":"Guilhem"},{"family":"Bal</w:instrText>
      </w:r>
      <w:r w:rsidR="000F35EB">
        <w:rPr>
          <w:rFonts w:hint="eastAsia"/>
        </w:rPr>
        <w:instrText>‐</w:instrText>
      </w:r>
      <w:r w:rsidR="000F35EB">
        <w:rPr>
          <w:rFonts w:hint="eastAsia"/>
        </w:rPr>
        <w:instrText>Price","given":"Anna"},{"family":"Bois","given":"Frédéric Y"},{"family":"Delclos","given":"K Barry"},{"family":"Doerge","given":"Daniel R"},{"family":"Fritsche","given":"Ellen"},{"family":"Halldorsson","given":"Thorhallur"},{"family":"Kolossa</w:instrText>
      </w:r>
      <w:r w:rsidR="000F35EB">
        <w:rPr>
          <w:rFonts w:hint="eastAsia"/>
        </w:rPr>
        <w:instrText>‐</w:instrText>
      </w:r>
      <w:r w:rsidR="000F35EB">
        <w:rPr>
          <w:rFonts w:hint="eastAsia"/>
        </w:rPr>
        <w:instrText>Gehring","given":"Marike"},{"family":"Hougaard Benne</w:instrText>
      </w:r>
      <w:r w:rsidR="000F35EB">
        <w:instrText xml:space="preserve">kou","given":"Susanne"},{"family":"Koning","given":"Frits"},{"family":"Lampen","given":"Alfonso"},{"family":"Leist","given":"Marcel"},{"family":"Mantus","given":"Ellen"},{"family":"Rousselle","given":"Christophe"},{"family":"Siegrist","given":"Michael"},{"family":"Steinberg","given":"Pablo"},{"family":"Tritscher","given":"Angelika"},{"family":"Van de Water","given":"Bob"},{"family":"Vineis","given":"Paolo"},{"family":"Walker","given":"Nigel"},{"family":"Wallace","given":"Heather"},{"family":"Whelan","given":"Maurice"},{"family":"Younes","given":"Maged"}],"accessed":{"date-parts":[["2021",3,17]]},"issued":{"date-parts":[["2019"]],"season":"juillet"}},"label":"page"}],"schema":"https://github.com/citation-style-language/schema/raw/master/csl-citation.json"} </w:instrText>
      </w:r>
      <w:r w:rsidRPr="00837161">
        <w:fldChar w:fldCharType="separate"/>
      </w:r>
      <w:r w:rsidR="00271B78" w:rsidRPr="00271B78">
        <w:t>(EFSA Scientific Committee &amp; Scientific Opinion on Risk Assessment Terminology, 2012; Geering &amp; Lubroth, 2002; IPPC, 2019; Lanzoni et al., 2019)</w:t>
      </w:r>
      <w:r w:rsidRPr="00837161">
        <w:fldChar w:fldCharType="end"/>
      </w:r>
      <w:r w:rsidRPr="00837161">
        <w:t xml:space="preserve">. </w:t>
      </w:r>
      <w:r w:rsidR="6582A52A" w:rsidRPr="00837161">
        <w:t>The</w:t>
      </w:r>
      <w:r w:rsidR="39886729" w:rsidRPr="00837161">
        <w:t>se</w:t>
      </w:r>
      <w:r w:rsidR="6582A52A" w:rsidRPr="00837161">
        <w:t xml:space="preserve"> components</w:t>
      </w:r>
      <w:r w:rsidRPr="00837161">
        <w:t xml:space="preserve"> are often </w:t>
      </w:r>
      <w:r w:rsidR="008B65CF" w:rsidRPr="00837161">
        <w:t xml:space="preserve">undertaken </w:t>
      </w:r>
      <w:r w:rsidRPr="00837161">
        <w:t xml:space="preserve">independently </w:t>
      </w:r>
      <w:r w:rsidR="2849E284" w:rsidRPr="00837161">
        <w:t>and are described hereafter. R</w:t>
      </w:r>
      <w:r w:rsidR="6582A52A" w:rsidRPr="00837161">
        <w:t>isk</w:t>
      </w:r>
      <w:r w:rsidRPr="00837161">
        <w:t xml:space="preserve"> communication</w:t>
      </w:r>
      <w:r w:rsidR="742EE432" w:rsidRPr="00837161">
        <w:t xml:space="preserve"> is</w:t>
      </w:r>
      <w:r w:rsidRPr="00837161">
        <w:t xml:space="preserve"> often </w:t>
      </w:r>
      <w:r w:rsidR="2849E284" w:rsidRPr="00837161">
        <w:t xml:space="preserve">not explicit or even absent from </w:t>
      </w:r>
      <w:r w:rsidR="005B7C20" w:rsidRPr="00837161">
        <w:t>decision-making</w:t>
      </w:r>
      <w:r w:rsidR="2849E284" w:rsidRPr="00837161">
        <w:t xml:space="preserve"> processes</w:t>
      </w:r>
      <w:r w:rsidR="6582A52A" w:rsidRPr="00837161">
        <w:t>.</w:t>
      </w:r>
      <w:r w:rsidR="00233052" w:rsidRPr="00837161">
        <w:fldChar w:fldCharType="begin"/>
      </w:r>
      <w:r w:rsidR="000F35EB">
        <w:instrText xml:space="preserve"> ADDIN ZOTERO_ITEM CSL_CITATION {"citationID":"3pz8ezSf","properties":{"formattedCitation":"(Hayes et al., 2018)","plainCitation":"(Hayes et al., 2018)","dontUpdate":true,"noteIndex":0},"citationItems":[{"id":31679,"uris":["http://zotero.org/groups/2352922/items/TAAJLUI7"],"itemData":{"id":31679,"type":"article-journal","abstract":"Synthetic gene drives could provide new solutions to a range of old problems such as controlling vector-borne diseases, agricultural pests and invasive species. In this paper, we outline methods to identify hazards and detect potentially adverse ecological outcomes at the individual (genotype, phenotype), population, community and ecosystem level, when progressing Gene Drive Modified Organisms through a phased test and release pathway. We discuss the strengths and weaknesses of checklists and structured hazard analysis techniques, identify methods to help meet some of the challenges of detecting adverse ecological outcomes in experiments and confined field trials, and discuss ways to improve the efficiency and statistical rigour of post-release monitoring strategies.","container-title":"Journal of Responsible Innovation","DOI":"10.1080/23299460.2017.1415585","ISSN":"2329-9460, 2329-9037","issue":"sup1","journalAbbreviation":"Journal of Responsible Innovation","language":"en","page":"S139-S158","source":"DOI.org (Crossref)","title":"Identifying and detecting potentially adverse ecological outcomes associated with the release of gene-drive modified organisms","URL":"https://www.tandfonline.com/doi/full/10.1080/23299460.2017.1415585","volume":"5","author":[{"family":"Hayes","given":"Keith R."},{"family":"Hosack","given":"Geoffrey R."},{"family":"Dana","given":"Genya V."},{"family":"Foster","given":"Scott D."},{"family":"Ford","given":"Jessica H."},{"family":"Thresher","given":"Ron"},{"family":"Ickowicz","given":"Adrien"},{"family":"Peel","given":"David"},{"family":"Tizard","given":"Mark"},{"family":"De Barro","given":"Paul"},{"family":"Strive","given":"Tanja"},{"family":"Dambacher","given":"Jeffrey M."}],"accessed":{"date-parts":[["2021",3,12]]},"issued":{"date-parts":[["2018",1,24]]}}}],"schema":"https://github.com/citation-style-language/schema/raw/master/csl-citation.json"} </w:instrText>
      </w:r>
      <w:r w:rsidR="00233052" w:rsidRPr="00837161">
        <w:fldChar w:fldCharType="end"/>
      </w:r>
    </w:p>
    <w:p w14:paraId="3D5232C4" w14:textId="1844F041" w:rsidR="00233052" w:rsidRPr="00837161" w:rsidRDefault="00024593" w:rsidP="00C11DFA">
      <w:pPr>
        <w:spacing w:before="240" w:after="120" w:line="240" w:lineRule="auto"/>
      </w:pPr>
      <w:r w:rsidRPr="00837161">
        <w:rPr>
          <w:lang w:eastAsia="en-AU"/>
        </w:rPr>
        <w:t xml:space="preserve">As expressed by Liu et al. </w:t>
      </w:r>
      <w:r w:rsidRPr="00837161">
        <w:rPr>
          <w:lang w:eastAsia="en-AU"/>
        </w:rPr>
        <w:fldChar w:fldCharType="begin"/>
      </w:r>
      <w:r w:rsidR="000F35EB">
        <w:rPr>
          <w:lang w:eastAsia="en-AU"/>
        </w:rPr>
        <w:instrText xml:space="preserve"> ADDIN ZOTERO_ITEM CSL_CITATION {"citationID":"KOv6Ls59","properties":{"formattedCitation":"(2011)","plainCitation":"(2011)","noteIndex":0},"citationItems":[{"id":30560,"uris":["http://zotero.org/groups/2352922/items/QKXHQTGH"],"itemData":{"id":30560,"type":"article-journal","abstract":"The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J."},{"family":"Cook","given":"David"}],"accessed":{"date-parts":[["2019",9,11]]},"issued":{"date-parts":[["2011",8,9]]}},"label":"page","suppress-author":true}],"schema":"https://github.com/citation-style-language/schema/raw/master/csl-citation.json"} </w:instrText>
      </w:r>
      <w:r w:rsidRPr="00837161">
        <w:rPr>
          <w:lang w:eastAsia="en-AU"/>
        </w:rPr>
        <w:fldChar w:fldCharType="separate"/>
      </w:r>
      <w:r w:rsidR="00271B78" w:rsidRPr="00271B78">
        <w:t>(2011)</w:t>
      </w:r>
      <w:r w:rsidRPr="00837161">
        <w:rPr>
          <w:lang w:eastAsia="en-AU"/>
        </w:rPr>
        <w:fldChar w:fldCharType="end"/>
      </w:r>
      <w:r w:rsidRPr="00837161">
        <w:rPr>
          <w:lang w:eastAsia="en-AU"/>
        </w:rPr>
        <w:t>, “the s</w:t>
      </w:r>
      <w:r w:rsidRPr="00837161">
        <w:t>eparation of risk assessment and management disrupts essential connections between the social values at stake in risk management and the scientific research involved in gauging the likely impacts of management actions, leaving the (…) decisions to be made in the wake of political pressures that reflect competing views on the proper trade</w:t>
      </w:r>
      <w:r w:rsidR="00CE3538">
        <w:t>-</w:t>
      </w:r>
      <w:r w:rsidRPr="00837161">
        <w:t xml:space="preserve">offs among competing values.” </w:t>
      </w:r>
    </w:p>
    <w:p w14:paraId="0000013B" w14:textId="695D7215" w:rsidR="00A758FD" w:rsidRPr="00CE3538" w:rsidRDefault="00024593">
      <w:pPr>
        <w:spacing w:before="240" w:after="120" w:line="240" w:lineRule="auto"/>
      </w:pPr>
      <w:r w:rsidRPr="00837161">
        <w:lastRenderedPageBreak/>
        <w:t xml:space="preserve">In order to improve the reliability of expert-based risk analysis, Vanderhoeven et al. </w:t>
      </w:r>
      <w:r w:rsidRPr="00837161">
        <w:fldChar w:fldCharType="begin"/>
      </w:r>
      <w:r w:rsidR="000F35EB">
        <w:instrText xml:space="preserve"> ADDIN ZOTERO_ITEM CSL_CITATION {"citationID":"unRVQCmw","properties":{"formattedCitation":"(2017)","plainCitation":"(2017)","noteIndex":0},"citationItems":[{"id":22747,"uris":["http://zotero.org/groups/2352922/items/EY32RN7C"],"itemData":{"id":22747,"type":"article-journal","abstract":"Risk assessment tools for listing invasive alien species need to incorporate all available evidence and expertise. Beyond the wealth of protocols developed to date, we argue that the current way of performing risk analysis has several shortcomings. In particular, lack of data on ecological impacts, transparency and repeatability of assessments as well as the incorporation of uncertainty should all be explicitly considered. We recommend improved quality control of risk assessments through formalized peer review with clear feedback between assessors and reviewers. Alternatively, a consensus building process can be applied to better capture opinions of different experts, thereby maximizing the evidential basis. Elaborating on manageability of invasive species is further needed to fully answer all risk analysis requirements. Tackling the issue of invasive species urges better handling of the acquired information on risk and the exploration of improved methods for decision making on biodiversity management. This is crucial for efficient conservation resource allocation and uptake by stakeholders and the public. © 2017, The Author(s).","container-title":"Biological Invasions","DOI":"10.1007/s10530-017-1434-0","ISSN":"1573-1464","issue":"9","journalAbbreviation":"Biol Invasions","language":"en","page":"2507-2517","source":"Springer Link","title":"Beyond protocols: improving the reliability of expert-based risk analysis underpinning invasive species policies","title-short":"Beyond protocols","URL":"https://doi.org/10.1007/s10530-017-1434-0","volume":"19","author":[{"family":"Vanderhoeven","given":"Sonia"},{"family":"Branquart","given":"Etienne"},{"family":"Casaer","given":"Jim"},{"family":"D’hondt","given":"Bram"},{"family":"Hulme","given":"Philip E."},{"family":"Shwartz","given":"Assaf"},{"family":"Strubbe","given":"Diederik"},{"family":"Turbé","given":"Anne"},{"family":"Verreycken","given":"Hugo"},{"family":"Adriaens","given":"Tim"}],"accessed":{"date-parts":[["2019",8,12]]},"issued":{"date-parts":[["2017",9,1]]}},"label":"page","suppress-author":true}],"schema":"https://github.com/citation-style-language/schema/raw/master/csl-citation.json"} </w:instrText>
      </w:r>
      <w:r w:rsidRPr="00837161">
        <w:fldChar w:fldCharType="separate"/>
      </w:r>
      <w:r w:rsidR="00271B78" w:rsidRPr="00271B78">
        <w:t>(2017)</w:t>
      </w:r>
      <w:r w:rsidRPr="00837161">
        <w:fldChar w:fldCharType="end"/>
      </w:r>
      <w:r w:rsidRPr="00837161">
        <w:t xml:space="preserve"> provided the following </w:t>
      </w:r>
      <w:r w:rsidR="00ED5EBE" w:rsidRPr="00837161">
        <w:t>eight</w:t>
      </w:r>
      <w:r w:rsidRPr="00837161">
        <w:t xml:space="preserve"> recommendations:</w:t>
      </w:r>
      <w:bookmarkStart w:id="94" w:name="_heading=h.3whwml4" w:colFirst="0" w:colLast="0"/>
      <w:bookmarkStart w:id="95" w:name="_heading=h.2bn6wsx" w:colFirst="0" w:colLast="0"/>
      <w:bookmarkEnd w:id="94"/>
      <w:bookmarkEnd w:id="95"/>
      <w:r w:rsidR="00C81287" w:rsidRPr="00CE3538">
        <w:t xml:space="preserve"> </w:t>
      </w:r>
    </w:p>
    <w:p w14:paraId="0000013C" w14:textId="77777777" w:rsidR="00A758FD" w:rsidRPr="00CE3538" w:rsidRDefault="00C81287" w:rsidP="00AC1F76">
      <w:pPr>
        <w:numPr>
          <w:ilvl w:val="0"/>
          <w:numId w:val="13"/>
        </w:numPr>
        <w:pBdr>
          <w:top w:val="nil"/>
          <w:left w:val="nil"/>
          <w:bottom w:val="nil"/>
          <w:right w:val="nil"/>
          <w:between w:val="nil"/>
        </w:pBdr>
        <w:spacing w:before="240" w:line="240" w:lineRule="auto"/>
      </w:pPr>
      <w:r w:rsidRPr="00CE3538">
        <w:t xml:space="preserve">Clearly define the scope and objective of any risk analysis; </w:t>
      </w:r>
    </w:p>
    <w:p w14:paraId="0000013D" w14:textId="77777777" w:rsidR="00A758FD" w:rsidRPr="00CE3538" w:rsidRDefault="00C81287" w:rsidP="00AC1F76">
      <w:pPr>
        <w:numPr>
          <w:ilvl w:val="0"/>
          <w:numId w:val="13"/>
        </w:numPr>
        <w:pBdr>
          <w:top w:val="nil"/>
          <w:left w:val="nil"/>
          <w:bottom w:val="nil"/>
          <w:right w:val="nil"/>
          <w:between w:val="nil"/>
        </w:pBdr>
        <w:spacing w:line="240" w:lineRule="auto"/>
      </w:pPr>
      <w:r w:rsidRPr="00CE3538">
        <w:t xml:space="preserve">Select an appropriate risk analysis/assessment approach; </w:t>
      </w:r>
    </w:p>
    <w:p w14:paraId="0000013E" w14:textId="77777777" w:rsidR="00A758FD" w:rsidRPr="00CE3538" w:rsidRDefault="00C81287" w:rsidP="00AC1F76">
      <w:pPr>
        <w:numPr>
          <w:ilvl w:val="0"/>
          <w:numId w:val="13"/>
        </w:numPr>
        <w:pBdr>
          <w:top w:val="nil"/>
          <w:left w:val="nil"/>
          <w:bottom w:val="nil"/>
          <w:right w:val="nil"/>
          <w:between w:val="nil"/>
        </w:pBdr>
        <w:spacing w:line="240" w:lineRule="auto"/>
      </w:pPr>
      <w:r w:rsidRPr="00CE3538">
        <w:t xml:space="preserve">Gather all baseline data and available information; </w:t>
      </w:r>
    </w:p>
    <w:p w14:paraId="0000013F" w14:textId="77777777" w:rsidR="00A758FD" w:rsidRPr="00CE3538" w:rsidRDefault="00C81287" w:rsidP="00AC1F76">
      <w:pPr>
        <w:numPr>
          <w:ilvl w:val="0"/>
          <w:numId w:val="13"/>
        </w:numPr>
        <w:pBdr>
          <w:top w:val="nil"/>
          <w:left w:val="nil"/>
          <w:bottom w:val="nil"/>
          <w:right w:val="nil"/>
          <w:between w:val="nil"/>
        </w:pBdr>
        <w:spacing w:line="240" w:lineRule="auto"/>
      </w:pPr>
      <w:r w:rsidRPr="00CE3538">
        <w:t xml:space="preserve">Identify missing data and information; </w:t>
      </w:r>
    </w:p>
    <w:p w14:paraId="00000140" w14:textId="77777777" w:rsidR="00A758FD" w:rsidRPr="00CE3538" w:rsidRDefault="00C81287" w:rsidP="00AC1F76">
      <w:pPr>
        <w:numPr>
          <w:ilvl w:val="0"/>
          <w:numId w:val="13"/>
        </w:numPr>
        <w:pBdr>
          <w:top w:val="nil"/>
          <w:left w:val="nil"/>
          <w:bottom w:val="nil"/>
          <w:right w:val="nil"/>
          <w:between w:val="nil"/>
        </w:pBdr>
        <w:spacing w:line="240" w:lineRule="auto"/>
      </w:pPr>
      <w:r w:rsidRPr="00CE3538">
        <w:t xml:space="preserve">Define clear and transparent quality control procedures such as a peer-reviewing or consensus building; </w:t>
      </w:r>
    </w:p>
    <w:p w14:paraId="00000141" w14:textId="77777777" w:rsidR="00A758FD" w:rsidRPr="00CE3538" w:rsidRDefault="00C81287" w:rsidP="00AC1F76">
      <w:pPr>
        <w:numPr>
          <w:ilvl w:val="0"/>
          <w:numId w:val="13"/>
        </w:numPr>
        <w:pBdr>
          <w:top w:val="nil"/>
          <w:left w:val="nil"/>
          <w:bottom w:val="nil"/>
          <w:right w:val="nil"/>
          <w:between w:val="nil"/>
        </w:pBdr>
        <w:spacing w:line="240" w:lineRule="auto"/>
      </w:pPr>
      <w:r w:rsidRPr="00CE3538">
        <w:t xml:space="preserve">Explicitly address feasibility of management; </w:t>
      </w:r>
    </w:p>
    <w:p w14:paraId="00000142" w14:textId="77777777" w:rsidR="00A758FD" w:rsidRPr="00CE3538" w:rsidRDefault="00C81287" w:rsidP="00AC1F76">
      <w:pPr>
        <w:numPr>
          <w:ilvl w:val="0"/>
          <w:numId w:val="13"/>
        </w:numPr>
        <w:pBdr>
          <w:top w:val="nil"/>
          <w:left w:val="nil"/>
          <w:bottom w:val="nil"/>
          <w:right w:val="nil"/>
          <w:between w:val="nil"/>
        </w:pBdr>
        <w:spacing w:line="240" w:lineRule="auto"/>
      </w:pPr>
      <w:r w:rsidRPr="00CE3538">
        <w:t>Explicitly consider uncertainty in the analysis (assess level of confidence, quantify level of agreement among experts and highlight context-dependent variability); and</w:t>
      </w:r>
    </w:p>
    <w:p w14:paraId="00000143" w14:textId="77777777" w:rsidR="00A758FD" w:rsidRPr="00CE3538" w:rsidRDefault="00C81287" w:rsidP="00AC1F76">
      <w:pPr>
        <w:numPr>
          <w:ilvl w:val="0"/>
          <w:numId w:val="13"/>
        </w:numPr>
        <w:pBdr>
          <w:top w:val="nil"/>
          <w:left w:val="nil"/>
          <w:bottom w:val="nil"/>
          <w:right w:val="nil"/>
          <w:between w:val="nil"/>
        </w:pBdr>
        <w:spacing w:after="120" w:line="240" w:lineRule="auto"/>
      </w:pPr>
      <w:r w:rsidRPr="00CE3538">
        <w:t>Explicitly consider uncertainty in risk communication.</w:t>
      </w:r>
    </w:p>
    <w:p w14:paraId="52916D2F" w14:textId="0DD9DECE" w:rsidR="305363DE" w:rsidRPr="00837161" w:rsidRDefault="00024593" w:rsidP="00C11DFA">
      <w:pPr>
        <w:spacing w:before="240" w:after="120" w:line="240" w:lineRule="auto"/>
        <w:rPr>
          <w:lang w:eastAsia="en-AU"/>
        </w:rPr>
      </w:pPr>
      <w:r w:rsidRPr="00837161">
        <w:rPr>
          <w:lang w:eastAsia="en-AU"/>
        </w:rPr>
        <w:t>Risk analysis requires mechanisms for acquiring expert information an</w:t>
      </w:r>
      <w:r w:rsidR="00D64524" w:rsidRPr="00837161">
        <w:rPr>
          <w:lang w:eastAsia="en-AU"/>
        </w:rPr>
        <w:t>d</w:t>
      </w:r>
      <w:r w:rsidRPr="00837161">
        <w:rPr>
          <w:lang w:eastAsia="en-AU"/>
        </w:rPr>
        <w:t xml:space="preserve"> opinion through </w:t>
      </w:r>
      <w:r w:rsidR="00AC5A0B">
        <w:rPr>
          <w:lang w:eastAsia="en-AU"/>
        </w:rPr>
        <w:t>an</w:t>
      </w:r>
      <w:r w:rsidRPr="00837161">
        <w:rPr>
          <w:lang w:eastAsia="en-AU"/>
        </w:rPr>
        <w:t xml:space="preserve"> unbiased expert elicitation process </w:t>
      </w:r>
      <w:r w:rsidRPr="00837161">
        <w:rPr>
          <w:lang w:eastAsia="en-AU"/>
        </w:rPr>
        <w:fldChar w:fldCharType="begin"/>
      </w:r>
      <w:r w:rsidR="000F35EB">
        <w:rPr>
          <w:lang w:eastAsia="en-AU"/>
        </w:rPr>
        <w:instrText xml:space="preserve"> ADDIN ZOTERO_ITEM CSL_CITATION {"citationID":"EeZor1KB","properties":{"formattedCitation":"(Burgman, 2005)","plainCitation":"(Burgman, 2005)","noteIndex":0},"citationItems":[{"id":22573,"uris":["http://zotero.org/groups/2352922/items/XVA489DQ"],"itemData":{"id":22573,"type":"book","abstract":"This book outlines how to conduct a complete environmental risk assessment. The first part documents the psychology and philosophy of risk perception and assessment, introducing a taxonomy of uncertainty and the importance of context. It provides a critical examination of the use and abuse of expert judgement and goes on to outline approaches to hazard identification and subjective ranking that account for uncertainty and context. The second part of the book describes technical tools that can assist risk assessments to be transparent and internally consistent. These include interval arithmetic, ecotoxicological methods, logic trees and Monte Carlo simulation. These methods have an established place in risk assessments in many disciplines and their strengths and weaknesses are explored. The last part of the book outlines some new approaches, including p-bounds and information-gap theory, and describes how quantitative and subjective assessments can be used to make transparent decisions.","event-place":"Cambridge","ISBN":"978-0-521-54301-9","language":"en","note":"Google-Books-ID: 3EZBOGhlookC","number-of-pages":"516","publisher":"Cambridge University Press","publisher-place":"Cambridge","source":"Google Books","title":"Risks and Decisions for Conservation and Environmental Management","URL":"https://doi.org/10.1017/CBO9780511614279","author":[{"family":"Burgman","given":"Mark"}],"issued":{"date-parts":[["2005",4,7]]}},"label":"page"}],"schema":"https://github.com/citation-style-language/schema/raw/master/csl-citation.json"} </w:instrText>
      </w:r>
      <w:r w:rsidRPr="00837161">
        <w:rPr>
          <w:lang w:eastAsia="en-AU"/>
        </w:rPr>
        <w:fldChar w:fldCharType="separate"/>
      </w:r>
      <w:r w:rsidR="00271B78" w:rsidRPr="00271B78">
        <w:t>(Burgman, 2005)</w:t>
      </w:r>
      <w:r w:rsidRPr="00837161">
        <w:rPr>
          <w:lang w:eastAsia="en-AU"/>
        </w:rPr>
        <w:fldChar w:fldCharType="end"/>
      </w:r>
      <w:r w:rsidR="00B75C3E" w:rsidRPr="00837161">
        <w:rPr>
          <w:lang w:eastAsia="en-AU"/>
        </w:rPr>
        <w:t>.</w:t>
      </w:r>
    </w:p>
    <w:p w14:paraId="00000145" w14:textId="50231D7B" w:rsidR="00A758FD" w:rsidRPr="00CE3538" w:rsidRDefault="00C81287">
      <w:pPr>
        <w:spacing w:before="240" w:after="120" w:line="240" w:lineRule="auto"/>
      </w:pPr>
      <w:r w:rsidRPr="00CE3538">
        <w:t>Detailed risk analyses are based on probability analys</w:t>
      </w:r>
      <w:r w:rsidR="00AC5A0B">
        <w:t>e</w:t>
      </w:r>
      <w:r w:rsidRPr="00CE3538">
        <w:t xml:space="preserve">s and are complicated quantitative expert elicitation processes based on Bayesian belief networks and probability distributions. Although they have been applied in some invasion contexts such as the proposed release of genetically modified organisms </w:t>
      </w:r>
      <w:r w:rsidR="00650924" w:rsidRPr="00837161">
        <w:rPr>
          <w:rFonts w:eastAsia="Times New Roman"/>
        </w:rPr>
        <w:fldChar w:fldCharType="begin"/>
      </w:r>
      <w:r w:rsidR="000F35EB">
        <w:rPr>
          <w:rFonts w:eastAsia="Times New Roman"/>
        </w:rPr>
        <w:instrText xml:space="preserve"> ADDIN ZOTERO_ITEM CSL_CITATION {"citationID":"7t6uBNDn","properties":{"formattedCitation":"(K. R. Hayes, Hosack, Dana, et al., 2018)","plainCitation":"(K. R. Hayes, Hosack, Dana, et al., 2018)","noteIndex":0},"citationItems":[{"id":31679,"uris":["http://zotero.org/groups/2352922/items/TAAJLUI7"],"itemData":{"id":31679,"type":"article-journal","abstract":"Synthetic gene drives could provide new solutions to a range of old problems such as controlling vector-borne diseases, agricultural pests and invasive species. In this paper, we outline methods to identify hazards and detect potentially adverse ecological outcomes at the individual (genotype, phenotype), population, community and ecosystem level, when progressing Gene Drive Modified Organisms through a phased test and release pathway. We discuss the strengths and weaknesses of checklists and structured hazard analysis techniques, identify methods to help meet some of the challenges of detecting adverse ecological outcomes in experiments and confined field trials, and discuss ways to improve the efficiency and statistical rigour of post-release monitoring strategies.","container-title":"Journal of Responsible Innovation","DOI":"10.1080/23299460.2017.1415585","ISSN":"2329-9460, 2329-9037","issue":"sup1","journalAbbreviation":"Journal of Responsible Innovation","language":"en","page":"S139-S158","source":"DOI.org (Crossref)","title":"Identifying and detecting potentially adverse ecological outcomes associated with the release of gene-drive modified organisms","URL":"https://www.tandfonline.com/doi/full/10.1080/23299460.2017.1415585","volume":"5","author":[{"family":"Hayes","given":"Keith R."},{"family":"Hosack","given":"Geoffrey R."},{"family":"Dana","given":"Genya V."},{"family":"Foster","given":"Scott D."},{"family":"Ford","given":"Jessica H."},{"family":"Thresher","given":"Ron"},{"family":"Ickowicz","given":"Adrien"},{"family":"Peel","given":"David"},{"family":"Tizard","given":"Mark"},{"family":"De Barro","given":"Paul"},{"family":"Strive","given":"Tanja"},{"family":"Dambacher","given":"Jeffrey M."}],"accessed":{"date-parts":[["2021",3,12]]},"issued":{"date-parts":[["2018",1,24]]}},"label":"page"}],"schema":"https://github.com/citation-style-language/schema/raw/master/csl-citation.json"} </w:instrText>
      </w:r>
      <w:r w:rsidR="00650924" w:rsidRPr="00837161">
        <w:rPr>
          <w:rFonts w:eastAsia="Times New Roman"/>
        </w:rPr>
        <w:fldChar w:fldCharType="separate"/>
      </w:r>
      <w:r w:rsidR="00271B78" w:rsidRPr="00271B78">
        <w:t>(K. R. Hayes, Hosack, Dana, et al., 2018)</w:t>
      </w:r>
      <w:r w:rsidR="00650924" w:rsidRPr="00837161">
        <w:rPr>
          <w:rFonts w:eastAsia="Times New Roman"/>
        </w:rPr>
        <w:fldChar w:fldCharType="end"/>
      </w:r>
      <w:r w:rsidR="305363DE" w:rsidRPr="00837161">
        <w:rPr>
          <w:rFonts w:eastAsia="Times New Roman"/>
        </w:rPr>
        <w:t>,</w:t>
      </w:r>
      <w:r w:rsidRPr="00CE3538">
        <w:t xml:space="preserve"> they are generally too costly for the assessment of most invasive alien species risks.</w:t>
      </w:r>
    </w:p>
    <w:p w14:paraId="00000146" w14:textId="77777777" w:rsidR="00A758FD" w:rsidRPr="00CE3538" w:rsidRDefault="00C81287" w:rsidP="00604A0A">
      <w:pPr>
        <w:pStyle w:val="Heading4"/>
      </w:pPr>
      <w:r w:rsidRPr="00CE3538">
        <w:t>Risk assessment</w:t>
      </w:r>
      <w:bookmarkEnd w:id="92"/>
      <w:bookmarkEnd w:id="93"/>
    </w:p>
    <w:p w14:paraId="00000147" w14:textId="561C5A43" w:rsidR="00A758FD" w:rsidRPr="00CE3538" w:rsidRDefault="00C81287">
      <w:pPr>
        <w:spacing w:before="240" w:after="120" w:line="240" w:lineRule="auto"/>
      </w:pPr>
      <w:bookmarkStart w:id="96" w:name="_heading=h.qsh70q" w:colFirst="0" w:colLast="0"/>
      <w:bookmarkEnd w:id="96"/>
      <w:r w:rsidRPr="00CE3538">
        <w:t>The notion of “risk” is the chance that a particular hazardous event may actually cause harm, and is regarded as a product of three factors:</w:t>
      </w:r>
      <w:r w:rsidRPr="00CE3538">
        <w:rPr>
          <w:i/>
        </w:rPr>
        <w:t xml:space="preserve"> </w:t>
      </w:r>
      <w:r w:rsidR="00AC5A0B" w:rsidRPr="00CE3538">
        <w:rPr>
          <w:i/>
        </w:rPr>
        <w:t>exposure x likelihood x consequence</w:t>
      </w:r>
      <w:r w:rsidR="00AC5A0B" w:rsidRPr="00CE3538">
        <w:t xml:space="preserve"> </w:t>
      </w:r>
      <w:r w:rsidR="001B0409" w:rsidRPr="00837161">
        <w:fldChar w:fldCharType="begin"/>
      </w:r>
      <w:r w:rsidR="000F35EB">
        <w:instrText xml:space="preserve"> ADDIN ZOTERO_ITEM CSL_CITATION {"citationID":"r8iIRO97","properties":{"formattedCitation":"(Kinney &amp; Wiruth, 1976; A. P. Robinson et al., 2017)","plainCitation":"(Kinney &amp; Wiruth, 1976; A. P. Robinson et al., 2017)","noteIndex":0},"citationItems":[{"id":12548,"uris":["http://zotero.org/groups/2352922/items/NJVBI4G9"],"itemData":{"id":12548,"type":"document","publisher":"Naval Weapons Center, China Lake, CA,","title":"Practical Risk Analysis for Safety Management","URL":"https://www.researchgate.net/profile/Guibert-Crevecoeur/post/What-is-the-unification-theory-of-safety-science/attachment/59d6252c79197b80779837dc/AS%3A316678640996352%401452513479333/download/Basic_Kinney_article.pdf","author":[{"family":"Kinney","given":"G. F."},{"family":"Wiruth","given":"A. D."}],"issued":{"date-parts":[["1976"]]}},"label":"page"},{"id":12444,"uris":["http://zotero.org/groups/2352922/items/XXASS7XP"],"itemData":{"id":12444,"type":"book","event-place":"Cambridge","ISBN":"978-1-139-01960-6","note":"DOI: 10.1017/9781139019606","publisher":"Cambridge University Press","publisher-place":"Cambridge","source":"DOI.org (Crossref)","title":"Invasive Species: Risk Assessment and Management","title-short":"Invasive Species","URL":"http://ebooks.cambridge.org/ref/id/CBO9781139019606","editor":[{"family":"Robinson","given":"Andrew P."},{"family":"Walshe","given":"Terry"},{"family":"Burgman","given":"Mark A."},{"family":"Nunn","given":"Mike"}],"accessed":{"date-parts":[["2019",11,27]]},"issued":{"date-parts":[["2017"]]}},"label":"page"}],"schema":"https://github.com/citation-style-language/schema/raw/master/csl-citation.json"} </w:instrText>
      </w:r>
      <w:r w:rsidR="001B0409" w:rsidRPr="00837161">
        <w:fldChar w:fldCharType="separate"/>
      </w:r>
      <w:r w:rsidR="00271B78" w:rsidRPr="00271B78">
        <w:t>(Kinney &amp; Wiruth, 1976; A. P. Robinson et al., 2017)</w:t>
      </w:r>
      <w:r w:rsidR="001B0409" w:rsidRPr="00837161">
        <w:fldChar w:fldCharType="end"/>
      </w:r>
      <w:r w:rsidR="001B0409" w:rsidRPr="00837161">
        <w:t>.</w:t>
      </w:r>
      <w:r w:rsidRPr="00CE3538">
        <w:t xml:space="preserve"> For invasive alien species, </w:t>
      </w:r>
      <w:r w:rsidR="00AC5A0B">
        <w:rPr>
          <w:i/>
        </w:rPr>
        <w:t>e</w:t>
      </w:r>
      <w:r w:rsidRPr="00CE3538">
        <w:rPr>
          <w:i/>
        </w:rPr>
        <w:t xml:space="preserve">xposure </w:t>
      </w:r>
      <w:r w:rsidRPr="00CE3538">
        <w:t>results from the successive introductions, establishments and spread of an alien organism, whereas</w:t>
      </w:r>
      <w:r w:rsidR="00AC5A0B">
        <w:t xml:space="preserve"> </w:t>
      </w:r>
      <w:r w:rsidR="00AC5A0B">
        <w:rPr>
          <w:i/>
        </w:rPr>
        <w:t>l</w:t>
      </w:r>
      <w:r w:rsidRPr="00CE3538">
        <w:rPr>
          <w:i/>
        </w:rPr>
        <w:t xml:space="preserve">ikelihood </w:t>
      </w:r>
      <w:r w:rsidRPr="00CE3538">
        <w:t xml:space="preserve">and </w:t>
      </w:r>
      <w:r w:rsidR="00E552A8">
        <w:rPr>
          <w:i/>
        </w:rPr>
        <w:t>c</w:t>
      </w:r>
      <w:r w:rsidRPr="00CE3538">
        <w:rPr>
          <w:i/>
        </w:rPr>
        <w:t>onsequence</w:t>
      </w:r>
      <w:r w:rsidRPr="00CE3538">
        <w:t xml:space="preserve"> underpin the impact assessment referred to in </w:t>
      </w:r>
      <w:r w:rsidRPr="00AC1F76">
        <w:rPr>
          <w:b/>
          <w:bCs/>
        </w:rPr>
        <w:t>section c</w:t>
      </w:r>
      <w:r w:rsidRPr="00CE3538">
        <w:t xml:space="preserve"> </w:t>
      </w:r>
      <w:r w:rsidR="001B0409" w:rsidRPr="00837161">
        <w:fldChar w:fldCharType="begin"/>
      </w:r>
      <w:r w:rsidR="000F35EB">
        <w:instrText xml:space="preserve"> ADDIN ZOTERO_ITEM CSL_CITATION {"citationID":"9M1FAkZu","properties":{"formattedCitation":"(D\\uc0\\u8217{}hondt et al., 2015)","plainCitation":"(D’hondt et al., 2015)","noteIndex":0},"citationItems":[{"id":31753,"uris":["http://zotero.org/groups/2352922/items/ETM6U2FI"],"itemData":{"id":31753,"type":"article-journal","abstract":"Given the large number of alien species that may potentially develop into invasives, there is a clear need for robust schemes that allow to screen species for such risks. The Harmonia+ framework presented here brings together 30 questions that refer to distinct components of invasion. Together, they cover the stages of introduction, establishment, spread, and multiple kinds of impacts, viz. referring to the health of the environment (including wild species), cultivated plants, domesticated animals and man. In a complete assessment, input is provided by choosing among predefined ordinal answers and by supplementing these with textual clarification. Uncertainty is covered by indicating levels of confidence. By converting answers into scores, which are then condensed into summary statistics, Harmonia+ allows for quantitative output on stage-specific and general risks. Test assessments on five species emerging in Belgium showed the perceived environmental risks of Procambarus clarkii to be highest (0.72), and that of Threskiornis aethiopicus to be lowest (0.13). Given the considerable parallels that exist between invasive alien species and emerging infectious diseases, we additionally created Pandora, which is a risk analysis scheme for pathogens and parasites. It consists of 13 key questions and has the same structure as Harmonia+. Since diseases play a paramount role in biological invasions, results of Pandora assessments may feed into Harmonia+ through a slightly adapted, host-specific version named Pandora+. Harmonia+, Pandora and Pandora+ may be used both for prioritization purposes and for underpinning detailed risk analyses, and can be consulted online through http://ias.biodiversity.be.","container-title":"Biological Invasions","DOI":"10.1007/s10530-015-0843-1","ISSN":"1573-1464","issue":"6","journalAbbreviation":"Biol Invasions","language":"en","page":"1869-1883","source":"Springer Link","title":"&lt;i&gt;Harmonia&lt;/i&gt;+ and &lt;i&gt;Pandora&lt;/i&gt;+: risk screening tools for potentially invasive plants, animals and their pathogens","title-short":"Harmonia+ and Pandora+","URL":"https://doi.org/10.1007/s10530-015-0843-1","volume":"17","author":[{"family":"D’hondt","given":"Bram"},{"family":"Vanderhoeven","given":"Sonia"},{"family":"Roelandt","given":"Sophie"},{"family":"Mayer","given":"François"},{"family":"Versteirt","given":"Veerle"},{"family":"Adriaens","given":"Tim"},{"family":"Ducheyne","given":"Els"},{"family":"San Martin","given":"Gilles"},{"family":"Grégoire","given":"Jean-Claude"},{"family":"Stiers","given":"Iris"},{"family":"Quoilin","given":"Sophie"},{"family":"Cigar","given":"Julien"},{"family":"Heughebaert","given":"André"},{"family":"Branquart","given":"Etienne"}],"accessed":{"date-parts":[["2021",11,24]]},"issued":{"date-parts":[["2015",6,1]]}},"label":"page"}],"schema":"https://github.com/citation-style-language/schema/raw/master/csl-citation.json"} </w:instrText>
      </w:r>
      <w:r w:rsidR="001B0409" w:rsidRPr="00837161">
        <w:fldChar w:fldCharType="separate"/>
      </w:r>
      <w:r w:rsidR="00271B78" w:rsidRPr="00271B78">
        <w:t>(D’hondt et al., 2015)</w:t>
      </w:r>
      <w:r w:rsidR="001B0409" w:rsidRPr="00837161">
        <w:fldChar w:fldCharType="end"/>
      </w:r>
      <w:r w:rsidR="001B0409" w:rsidRPr="00837161">
        <w:t>.</w:t>
      </w:r>
      <w:r w:rsidRPr="00CE3538">
        <w:t xml:space="preserve"> </w:t>
      </w:r>
      <w:r w:rsidRPr="00CE3538">
        <w:rPr>
          <w:i/>
        </w:rPr>
        <w:t xml:space="preserve">Likelihood </w:t>
      </w:r>
      <w:r w:rsidRPr="00CE3538">
        <w:t xml:space="preserve">is the probability </w:t>
      </w:r>
      <w:r w:rsidR="00E552A8">
        <w:t xml:space="preserve">that </w:t>
      </w:r>
      <w:r w:rsidRPr="00CE3538">
        <w:t>an invasive alien species impact affects nature, nature</w:t>
      </w:r>
      <w:r w:rsidR="00E552A8">
        <w:t>’</w:t>
      </w:r>
      <w:r w:rsidRPr="00CE3538">
        <w:t xml:space="preserve">s contributions to people and good quality of life; and </w:t>
      </w:r>
      <w:r w:rsidR="00E552A8">
        <w:rPr>
          <w:i/>
        </w:rPr>
        <w:t>c</w:t>
      </w:r>
      <w:r w:rsidRPr="00CE3538">
        <w:rPr>
          <w:i/>
        </w:rPr>
        <w:t xml:space="preserve">onsequence </w:t>
      </w:r>
      <w:r w:rsidRPr="00CE3538">
        <w:t xml:space="preserve">is the magnitude of impact if it occurs. </w:t>
      </w:r>
      <w:bookmarkStart w:id="97" w:name="_Toc26520291"/>
    </w:p>
    <w:p w14:paraId="00000148" w14:textId="55690D87" w:rsidR="00A758FD" w:rsidRPr="00CE3538" w:rsidRDefault="00C81287">
      <w:pPr>
        <w:spacing w:before="240" w:after="120" w:line="240" w:lineRule="auto"/>
      </w:pPr>
      <w:r w:rsidRPr="00CE3538">
        <w:t xml:space="preserve">Most commonly risk assessment is a relatively straightforward semi-quantitative approach based on a scoring system where different components of risk are assessed and scored, and a total score is obtained in some manner to define the overall level of risk. </w:t>
      </w:r>
      <w:r w:rsidR="1CF1FCB8" w:rsidRPr="00837161">
        <w:t>This was initially developed for assessing import risks of alien plants (</w:t>
      </w:r>
      <w:r w:rsidR="1A3CC706" w:rsidRPr="00837161">
        <w:t>“Weed Risk Assessment”</w:t>
      </w:r>
      <w:r w:rsidR="58C9E80A" w:rsidRPr="00837161">
        <w:t>;</w:t>
      </w:r>
      <w:r w:rsidR="1A3CC706" w:rsidRPr="00837161">
        <w:t xml:space="preserve"> </w:t>
      </w:r>
      <w:r w:rsidR="2E4934F0" w:rsidRPr="00837161">
        <w:rPr>
          <w:color w:val="000000" w:themeColor="text1"/>
        </w:rPr>
        <w:fldChar w:fldCharType="begin"/>
      </w:r>
      <w:r w:rsidR="000F35EB">
        <w:rPr>
          <w:color w:val="000000" w:themeColor="text1"/>
        </w:rPr>
        <w:instrText xml:space="preserve"> ADDIN ZOTERO_ITEM CSL_CITATION {"citationID":"jCCObYXr","properties":{"formattedCitation":"(Bomford &amp; Hart, 1999; Pheloung et al., 1999)","plainCitation":"(Bomford &amp; Hart, 1999; Pheloung et al., 1999)","dontUpdate":true,"noteIndex":0},"citationItems":[{"id":22581,"uris":["http://zotero.org/groups/2352922/items/YBAXB45L"],"itemData":{"id":22581,"type":"article-journal","abstract":"A study of the regulation of exotic animal imports in Australia, and finding ways to make assessments simpler, less subjective and more reliable by developing a more quantitative approach is illustrated. Importing exotic species can have economical and social benefits whereas banning imports could pose the risk of encouraging illegal smuggling, hence a scientific and evidence-based, transparent risk assessment model will allow the balance between free trade and risk to agriculture and the environment to be optimised.","container-title":"The Australian Journal of Emergency Management","issue":"3","language":"EN","note":"publisher: Emergency Management Australia","page":"16-19","source":"search.informit.com.au","title":"Assessing the Risk Associated with Importing and Keeping Exotic Vertebrates in Australia","URL":"https://search.informit.com.au/documentSummary;dn=391999856543177;res=IELAPA","volume":"14","author":[{"family":"Bomford","given":"Mary"},{"family":"Hart","given":"Quentin"}],"accessed":{"date-parts":[["2020",6,23]]},"issued":{"date-parts":[["1999"]],"season":"Spring"}},"label":"page"},{"id":28758,"uris":["http://zotero.org/groups/2352922/items/L8KFFVZE"],"itemData":{"id":28758,"type":"article-journal","container-title":"Journal of Environmental Management","DOI":"10.1006/jema.1999.0297","ISSN":"03014797","issue":"4","journalAbbreviation":"Journal of Environmental Management","language":"en","page":"239-251","source":"DOI.org (Crossref)","title":"A weed risk assessment model for use as a biosecurity tool evaluating plant introductions","URL":"https://linkinghub.elsevier.com/retrieve/pii/S0301479799902979","volume":"57","author":[{"family":"Pheloung","given":"P.C."},{"family":"Williams","given":"P.A."},{"family":"Halloy","given":"S.R."}],"accessed":{"date-parts":[["2019",10,23]]},"issued":{"date-parts":[["1999",12]]}},"label":"page"}],"schema":"https://github.com/citation-style-language/schema/raw/master/csl-citation.json"} </w:instrText>
      </w:r>
      <w:r w:rsidR="2E4934F0" w:rsidRPr="00837161">
        <w:rPr>
          <w:color w:val="000000" w:themeColor="text1"/>
        </w:rPr>
        <w:fldChar w:fldCharType="separate"/>
      </w:r>
      <w:r w:rsidR="00192C8F" w:rsidRPr="00837161">
        <w:t>Bomford &amp; Hart, 1999; Pheloung et al., 1999)</w:t>
      </w:r>
      <w:r w:rsidR="2E4934F0" w:rsidRPr="00837161">
        <w:rPr>
          <w:color w:val="000000" w:themeColor="text1"/>
        </w:rPr>
        <w:fldChar w:fldCharType="end"/>
      </w:r>
      <w:r w:rsidR="1CF1FCB8" w:rsidRPr="00837161">
        <w:t xml:space="preserve">. </w:t>
      </w:r>
      <w:r w:rsidR="1A3CC706" w:rsidRPr="00837161">
        <w:t>T</w:t>
      </w:r>
      <w:r w:rsidR="1CF1FCB8" w:rsidRPr="00837161">
        <w:t xml:space="preserve">his approach is relatively quick </w:t>
      </w:r>
      <w:r w:rsidR="1CF1FCB8" w:rsidRPr="00837161">
        <w:rPr>
          <w:color w:val="000000" w:themeColor="text1"/>
        </w:rPr>
        <w:t>and incurs only low cost per species and therefore is most favored by policy makers (</w:t>
      </w:r>
      <w:r w:rsidR="44463B0F" w:rsidRPr="00837161">
        <w:rPr>
          <w:color w:val="000000" w:themeColor="text1"/>
        </w:rPr>
        <w:t xml:space="preserve">e.g., </w:t>
      </w:r>
      <w:r w:rsidR="2E4934F0" w:rsidRPr="00837161">
        <w:rPr>
          <w:color w:val="000000" w:themeColor="text1"/>
        </w:rPr>
        <w:fldChar w:fldCharType="begin"/>
      </w:r>
      <w:r w:rsidR="000F35EB">
        <w:rPr>
          <w:color w:val="000000" w:themeColor="text1"/>
        </w:rPr>
        <w:instrText xml:space="preserve"> ADDIN ZOTERO_ITEM CSL_CITATION {"citationID":"f2jBoLHO","properties":{"formattedCitation":"(Bomford &amp; Hart, 1999; Pheloung et al., 1999)","plainCitation":"(Bomford &amp; Hart, 1999; Pheloung et al., 1999)","dontUpdate":true,"noteIndex":0},"citationItems":[{"id":22581,"uris":["http://zotero.org/groups/2352922/items/YBAXB45L"],"itemData":{"id":22581,"type":"article-journal","abstract":"A study of the regulation of exotic animal imports in Australia, and finding ways to make assessments simpler, less subjective and more reliable by developing a more quantitative approach is illustrated. Importing exotic species can have economical and social benefits whereas banning imports could pose the risk of encouraging illegal smuggling, hence a scientific and evidence-based, transparent risk assessment model will allow the balance between free trade and risk to agriculture and the environment to be optimised.","container-title":"The Australian Journal of Emergency Management","issue":"3","language":"EN","note":"publisher: Emergency Management Australia","page":"16-19","source":"search.informit.com.au","title":"Assessing the Risk Associated with Importing and Keeping Exotic Vertebrates in Australia","URL":"https://search.informit.com.au/documentSummary;dn=391999856543177;res=IELAPA","volume":"14","author":[{"family":"Bomford","given":"Mary"},{"family":"Hart","given":"Quentin"}],"accessed":{"date-parts":[["2020",6,23]]},"issued":{"date-parts":[["1999"]],"season":"Spring"}},"label":"page"},{"id":28758,"uris":["http://zotero.org/groups/2352922/items/L8KFFVZE"],"itemData":{"id":28758,"type":"article-journal","container-title":"Journal of Environmental Management","DOI":"10.1006/jema.1999.0297","ISSN":"03014797","issue":"4","journalAbbreviation":"Journal of Environmental Management","language":"en","page":"239-251","source":"DOI.org (Crossref)","title":"A weed risk assessment model for use as a biosecurity tool evaluating plant introductions","URL":"https://linkinghub.elsevier.com/retrieve/pii/S0301479799902979","volume":"57","author":[{"family":"Pheloung","given":"P.C."},{"family":"Williams","given":"P.A."},{"family":"Halloy","given":"S.R."}],"accessed":{"date-parts":[["2019",10,23]]},"issued":{"date-parts":[["1999",12]]}},"label":"page"}],"schema":"https://github.com/citation-style-language/schema/raw/master/csl-citation.json"} </w:instrText>
      </w:r>
      <w:r w:rsidR="2E4934F0" w:rsidRPr="00837161">
        <w:rPr>
          <w:color w:val="000000" w:themeColor="text1"/>
        </w:rPr>
        <w:fldChar w:fldCharType="separate"/>
      </w:r>
      <w:r w:rsidR="00192C8F" w:rsidRPr="00837161">
        <w:t>Bomford &amp; Hart, 1999; Pheloung et al., 1999)</w:t>
      </w:r>
      <w:r w:rsidR="2E4934F0" w:rsidRPr="00837161">
        <w:rPr>
          <w:color w:val="000000" w:themeColor="text1"/>
        </w:rPr>
        <w:fldChar w:fldCharType="end"/>
      </w:r>
      <w:r w:rsidR="1CF1FCB8" w:rsidRPr="00837161">
        <w:t xml:space="preserve"> and such approaches have been adopted as international standards </w:t>
      </w:r>
      <w:r w:rsidR="2E4934F0" w:rsidRPr="00837161">
        <w:fldChar w:fldCharType="begin"/>
      </w:r>
      <w:r w:rsidR="000F35EB">
        <w:instrText xml:space="preserve"> ADDIN ZOTERO_ITEM CSL_CITATION {"citationID":"1G5mwpbx","properties":{"formattedCitation":"(Devorshak, 2012; IPPC, 2019)","plainCitation":"(Devorshak, 2012; IPPC, 2019)","noteIndex":0},"citationItems":[{"id":22580,"uris":["http://zotero.org/groups/2352922/items/V8D2URVL"],"itemData":{"id":22580,"type":"book","abstract":"This text provides instruction on the concepts and application of risk analysis in the field of regulatory plant protection, covering topics such as the background on why and how risk analysis is conducted and specific methods for implementing risk analysis. This book also provides useful exercises and case studies to aid students of plant pathology and crop protection in their absorption of the subject. Equally useful for practitioners, this book is written by experts with a wealth of national and international experience. Students of plant pathology and crop protection as well as practitione.","ISBN":"978-1-78064-199-7","language":"en","number-of-pages":"324","publisher":"CABI","source":"Google Books","title":"Plant Pest Risk Analysis: Concepts and Applications","title-short":"Plant Pest Risk Analysis","author":[{"family":"Devorshak","given":"Christina"}],"issued":{"date-parts":[["2012"]]}},"label":"page"},{"id":32978,"uris":["http://zotero.org/groups/2352922/items/DKAU3SJB"],"itemData":{"id":32978,"type":"report","collection-title":"International standards for phytosanitary measures","number":"ISPM 2","publisher":"Secretariat of the International Plant Protection Convention (IPPC)","title":"Framework for pest risk analysis","URL":"https://www.fao.org/3/k0125e/k0125e.pdf","author":[{"literal":"IPPC"}],"issued":{"date-parts":[["2019"]]}},"label":"page"}],"schema":"https://github.com/citation-style-language/schema/raw/master/csl-citation.json"} </w:instrText>
      </w:r>
      <w:r w:rsidR="2E4934F0" w:rsidRPr="00837161">
        <w:fldChar w:fldCharType="separate"/>
      </w:r>
      <w:r w:rsidR="00271B78" w:rsidRPr="00271B78">
        <w:t>(Devorshak, 2012; IPPC, 2019)</w:t>
      </w:r>
      <w:r w:rsidR="2E4934F0" w:rsidRPr="00837161">
        <w:fldChar w:fldCharType="end"/>
      </w:r>
      <w:r w:rsidR="1CF1FCB8" w:rsidRPr="00837161">
        <w:t>.</w:t>
      </w:r>
      <w:r w:rsidR="4673DD91" w:rsidRPr="00837161">
        <w:t xml:space="preserve"> </w:t>
      </w:r>
      <w:r w:rsidR="61B4B553" w:rsidRPr="00837161">
        <w:t>R</w:t>
      </w:r>
      <w:r w:rsidR="1CF1FCB8" w:rsidRPr="00837161">
        <w:t xml:space="preserve">isk assessment </w:t>
      </w:r>
      <w:r w:rsidR="0D1477CE" w:rsidRPr="00837161">
        <w:t>tools</w:t>
      </w:r>
      <w:r w:rsidR="61B4B553" w:rsidRPr="00837161">
        <w:t xml:space="preserve"> </w:t>
      </w:r>
      <w:r w:rsidR="1CF1FCB8" w:rsidRPr="00837161">
        <w:t>ha</w:t>
      </w:r>
      <w:r w:rsidR="0D1477CE" w:rsidRPr="00837161">
        <w:t>ve been established</w:t>
      </w:r>
      <w:r w:rsidR="1CF1FCB8" w:rsidRPr="00837161">
        <w:t xml:space="preserve"> for particular types of invasive alien species in different parts of the world </w:t>
      </w:r>
      <w:r w:rsidR="2E4934F0" w:rsidRPr="00837161">
        <w:fldChar w:fldCharType="begin"/>
      </w:r>
      <w:r w:rsidR="000F35EB">
        <w:instrText xml:space="preserve"> ADDIN ZOTERO_ITEM CSL_CITATION {"citationID":"ErMuqdnX","properties":{"formattedCitation":"(Essl et al., 2011; Groves et al., 2001)","plainCitation":"(Essl et al., 2011; Groves et al., 2001)","noteIndex":0},"citationItems":[{"id":26339,"uris":["http://zotero.org/groups/2352922/items/R6S7NAMY"],"itemData":{"id":26339,"type":"article-journal","container-title":"Journal for Nature Conservation","DOI":"10.1016/j.jnc.2011.08.005","ISSN":"16171381","issue":"6","journalAbbreviation":"Journal for Nature Conservation","language":"en","page":"339-350","source":"DOI.org (Crossref)","title":"Review of risk assessment systems of IAS in Europe and introducing the German–Austrian Black List Information System (GABLIS)","URL":"https://linkinghub.elsevier.com/retrieve/pii/S1617138111000513","volume":"19","author":[{"family":"Essl","given":"Franz"},{"family":"Nehring","given":"Stefan"},{"family":"Klingenstein","given":"Frank"},{"family":"Milasowszky","given":"Norbert"},{"family":"Nowack","given":"Christelle"},{"family":"Rabitsch","given":"Wolfgang"}],"accessed":{"date-parts":[["2019",10,23]]},"issued":{"date-parts":[["2011",12]]}},"label":"page"},{"id":22575,"uris":["http://zotero.org/groups/2352922/items/MHXLCJ5N"],"itemData":{"id":22575,"type":"book","abstract":"The impact of invasive species on native vegetation is a major threat to biodiversity all over the world - a threat ranked second only to habitat destruction. Other negative effects of weed invasions include reduced ecosystem services, loss to agricultural production and impacts on human health. This work covers the discipline of risk assessment as applied to the invasion ecology of plants. Taking a global context, it synthesizes theories on plant invasions, introduces a variety of models for weed risk assessment, and addresses procedures for ranking invasive species on a range of scales to determine weeds of national significance. It shows how the application of risk assessment to weed invasion may help reduce weed impact and thereby improve living conditions for people throughout the world. This text is aimed at invasions ecologists, botanists, quarantine officers, policy-makers and community groups wanting to know more about this developing discipline.","ISBN":"978-0-643-06561-1","language":"en","note":"Google-Books-ID: sSZcVAavJ0UC","number-of-pages":"268","publisher":"CSIRO Publishing","source":"Google Books","title":"Weed Risk Assessment","editor":[{"family":"Groves","given":"R. H."},{"family":"Panetta","given":"F. D."},{"family":"Virtue","given":"J. G."}],"issued":{"date-parts":[["2001"]]}},"label":"page"}],"schema":"https://github.com/citation-style-language/schema/raw/master/csl-citation.json"} </w:instrText>
      </w:r>
      <w:r w:rsidR="2E4934F0" w:rsidRPr="00837161">
        <w:fldChar w:fldCharType="separate"/>
      </w:r>
      <w:r w:rsidR="00271B78" w:rsidRPr="00271B78">
        <w:t>(Essl et al., 2011; Groves et al., 2001)</w:t>
      </w:r>
      <w:r w:rsidR="2E4934F0" w:rsidRPr="00837161">
        <w:fldChar w:fldCharType="end"/>
      </w:r>
      <w:r w:rsidR="00E552A8">
        <w:t>,</w:t>
      </w:r>
      <w:r w:rsidR="1CF1FCB8" w:rsidRPr="00837161">
        <w:t xml:space="preserve"> </w:t>
      </w:r>
      <w:r w:rsidR="61B4B553" w:rsidRPr="00837161">
        <w:t>including</w:t>
      </w:r>
      <w:r w:rsidR="1CF1FCB8" w:rsidRPr="00837161">
        <w:t xml:space="preserve"> Australia </w:t>
      </w:r>
      <w:r w:rsidR="2E4934F0" w:rsidRPr="00837161">
        <w:fldChar w:fldCharType="begin"/>
      </w:r>
      <w:r w:rsidR="000F35EB">
        <w:instrText xml:space="preserve"> ADDIN ZOTERO_ITEM CSL_CITATION {"citationID":"BXkkSJpe","properties":{"formattedCitation":"(Pheloung et al., 1999; Scott &amp; Panetta, 1993)","plainCitation":"(Pheloung et al., 1999; Scott &amp; Panetta, 1993)","noteIndex":0},"citationItems":[{"id":28758,"uris":["http://zotero.org/groups/2352922/items/L8KFFVZE"],"itemData":{"id":28758,"type":"article-journal","container-title":"Journal of Environmental Management","DOI":"10.1006/jema.1999.0297","ISSN":"03014797","issue":"4","journalAbbreviation":"Journal of Environmental Management","language":"en","page":"239-251","source":"DOI.org (Crossref)","title":"A weed risk assessment model for use as a biosecurity tool evaluating plant introductions","URL":"https://linkinghub.elsevier.com/retrieve/pii/S0301479799902979","volume":"57","author":[{"family":"Pheloung","given":"P.C."},{"family":"Williams","given":"P.A."},{"family":"Halloy","given":"S.R."}],"accessed":{"date-parts":[["2019",10,23]]},"issued":{"date-parts":[["1999",12]]}},"label":"page"},{"id":12546,"uris":["http://zotero.org/groups/2352922/items/UIHRYFSZ"],"itemData":{"id":12546,"type":"article-journal","container-title":"Journal of Biogeography","DOI":"10.2307/2845742","ISSN":"03050270","issue":"1","journalAbbreviation":"Journal of Biogeography","page":"87-93","source":"DOI.org (Crossref)","title":"Predicting the Australian Weed Status of Southern African Plants","URL":"https://www.jstor.org/stable/2845742?origin=crossref","volume":"20","author":[{"family":"Scott","given":"J. K."},{"family":"Panetta","given":"F. D."}],"accessed":{"date-parts":[["2019",10,23]]},"issued":{"date-parts":[["1993",1]]}},"label":"page"}],"schema":"https://github.com/citation-style-language/schema/raw/master/csl-citation.json"} </w:instrText>
      </w:r>
      <w:r w:rsidR="2E4934F0" w:rsidRPr="00837161">
        <w:fldChar w:fldCharType="separate"/>
      </w:r>
      <w:r w:rsidR="00271B78" w:rsidRPr="00271B78">
        <w:t>(Pheloung et al., 1999; Scott &amp; Panetta, 1993)</w:t>
      </w:r>
      <w:r w:rsidR="2E4934F0" w:rsidRPr="00837161">
        <w:fldChar w:fldCharType="end"/>
      </w:r>
      <w:r w:rsidR="1CF1FCB8" w:rsidRPr="00837161">
        <w:t xml:space="preserve">, North America </w:t>
      </w:r>
      <w:r w:rsidR="2E4934F0" w:rsidRPr="00837161">
        <w:fldChar w:fldCharType="begin"/>
      </w:r>
      <w:r w:rsidR="000F35EB">
        <w:instrText xml:space="preserve"> ADDIN ZOTERO_ITEM CSL_CITATION {"citationID":"m8X0ev3P","properties":{"formattedCitation":"(Hiebert &amp; Stubbendieck, 1993; Kolar &amp; Lodge, 2002; Reichard &amp; Hamilton, 1997)","plainCitation":"(Hiebert &amp; Stubbendieck, 1993; Kolar &amp; Lodge, 2002; Reichard &amp; Hamilton, 1997)","noteIndex":0},"citationItems":[{"id":12544,"uris":["http://zotero.org/groups/2352922/items/MQPX8VCM"],"itemData":{"id":12544,"type":"report","event-place":"Denver, Colorado","number":"Natural Resources Report NPS/NRMWRO/NRR-93/08","publisher":"U. S. Department of the Interior, National Park Service. Natural Resources Publication Office Denver, Colorado","publisher-place":"Denver, Colorado","title":"Handbook for ranking exotic plants for management and control","URL":"https://agris.fao.org/agris-search/search.do?recordID=US201300166280","author":[{"family":"Hiebert","given":"R.D."},{"family":"Stubbendieck","given":"J"}],"issued":{"date-parts":[["1993"]]}},"label":"page"},{"id":28903,"uris":["http://zotero.org/groups/2352922/items/Y8ZPDZGX"],"itemData":{"id":28903,"type":"article-journal","abstract":"[Methods of risk assessment for alien species, especially for nonagricultural systems, are largely qualitative. Using a generalizable risk assessment approach and statistical models of fish introductions into the Great Lakes, North America, we developed a quantitative approach to target prevention efforts on species most likely to cause damage. Models correctly categorized established, quickly spreading, and nuisance fishes with 87 to 94% accuracy. We then identified fishes that pose a high risk to the Great Lakes if introduced from unintentional (ballast water) or intentional pathways (sport, pet, bait, and aquaculture industries).]","archive":"JSTOR","container-title":"Science","DOI":"10.1126/science.1075753","ISSN":"00368075, 10959203","issue":"5596","page":"1233-1236","title":"Ecological Predictions and Risk Assessment for Alien Fishes in North America","URL":"http://www.jstor.org/stable/3832957","volume":"298","author":[{"family":"Kolar","given":"Cynthia S."},{"family":"Lodge","given":"David M."}],"issued":{"date-parts":[["2002"]]}},"label":"page"},{"id":25755,"uris":["http://zotero.org/groups/2352922/items/8MXVI72X"],"itemData":{"id":25755,"type":"article-journal","container-title":"Conservation Biology","DOI":"10.1046/j.1523-1739.1997.95473.x","ISSN":"0888-8892, 1523-1739","issue":"1","journalAbbreviation":"Conservation Biology","language":"en","page":"193-203","source":"DOI.org (Crossref)","title":"Predicting Invasions of Woody Plants Introduced into North America.","URL":"http://doi.wiley.com/10.1046/j.1523-1739.1997.95473.x","volume":"11","author":[{"family":"Reichard","given":"Sarah Hayden"},{"family":"Hamilton","given":"Clement W."}],"accessed":{"date-parts":[["2019",10,23]]},"issued":{"date-parts":[["1997",2]]}},"label":"page"}],"schema":"https://github.com/citation-style-language/schema/raw/master/csl-citation.json"} </w:instrText>
      </w:r>
      <w:r w:rsidR="2E4934F0" w:rsidRPr="00837161">
        <w:fldChar w:fldCharType="separate"/>
      </w:r>
      <w:r w:rsidR="00271B78" w:rsidRPr="00271B78">
        <w:t>(Hiebert &amp; Stubbendieck, 1993; Kolar &amp; Lodge, 2002; Reichard &amp; Hamilton, 1997)</w:t>
      </w:r>
      <w:r w:rsidR="2E4934F0" w:rsidRPr="00837161">
        <w:fldChar w:fldCharType="end"/>
      </w:r>
      <w:r w:rsidR="1CF1FCB8" w:rsidRPr="00837161">
        <w:t xml:space="preserve">, South Africa </w:t>
      </w:r>
      <w:r w:rsidR="2E4934F0" w:rsidRPr="00837161">
        <w:fldChar w:fldCharType="begin"/>
      </w:r>
      <w:r w:rsidR="000F35EB">
        <w:instrText xml:space="preserve"> ADDIN ZOTERO_ITEM CSL_CITATION {"citationID":"jmGfSZtb","properties":{"formattedCitation":"(Tucker &amp; Richardson, 1995)","plainCitation":"(Tucker &amp; Richardson, 1995)","noteIndex":0},"citationItems":[{"id":12542,"uris":["http://zotero.org/groups/2352922/items/MF2PUVTN"],"itemData":{"id":12542,"type":"article-journal","container-title":"Journal of Environmental Management","DOI":"10.1016/S0301-4797(95)90347-X","ISSN":"03014797","issue":"4","journalAbbreviation":"Journal of Environmental Management","language":"en","page":"309-338","source":"DOI.org (Crossref)","title":"An expert system for screening potentially invasive alien plants in South African fynbos","URL":"https://linkinghub.elsevier.com/retrieve/pii/S030147979590347X","volume":"44","author":[{"family":"Tucker","given":"K.C."},{"family":"Richardson","given":"D.M."}],"accessed":{"date-parts":[["2019",10,23]]},"issued":{"date-parts":[["1995",1]]}},"label":"page"}],"schema":"https://github.com/citation-style-language/schema/raw/master/csl-citation.json"} </w:instrText>
      </w:r>
      <w:r w:rsidR="2E4934F0" w:rsidRPr="00837161">
        <w:fldChar w:fldCharType="separate"/>
      </w:r>
      <w:r w:rsidR="00271B78" w:rsidRPr="00271B78">
        <w:t>(Tucker &amp; Richardson, 1995)</w:t>
      </w:r>
      <w:r w:rsidR="2E4934F0" w:rsidRPr="00837161">
        <w:fldChar w:fldCharType="end"/>
      </w:r>
      <w:r w:rsidR="1CF1FCB8" w:rsidRPr="00837161">
        <w:t xml:space="preserve">, </w:t>
      </w:r>
      <w:r w:rsidR="162E3A25" w:rsidRPr="00837161">
        <w:t>Brazil</w:t>
      </w:r>
      <w:r w:rsidR="00B366EE" w:rsidRPr="00837161">
        <w:t xml:space="preserve"> </w:t>
      </w:r>
      <w:r w:rsidR="00B366EE" w:rsidRPr="00837161">
        <w:fldChar w:fldCharType="begin"/>
      </w:r>
      <w:r w:rsidR="000F35EB">
        <w:instrText xml:space="preserve"> ADDIN ZOTERO_ITEM CSL_CITATION {"citationID":"R8aBh3AI","properties":{"formattedCitation":"(Ziller et al., 2019)","plainCitation":"(Ziller et al., 2019)","noteIndex":0},"citationItems":[{"id":32882,"uris":["http://zotero.org/groups/2352922/items/I3G2C4IT","http://zotero.org/groups/2352922/items/J68QQ2KN"],"itemData":{"id":32882,"type":"article-journal","container-title":"Austral Ecology","DOI":"10.1111/aec.12649","ISSN":"14429985","issue":"1","journalAbbreviation":"Austral Ecology","language":"en","page":"28-35","source":"DOI.org (Crossref)","title":"Predicting invasion risk of 16 species of eucalypts using a risk assessment protocol developed for Brazil","URL":"http://doi.wiley.com/10.1111/aec.12649","volume":"44","author":[{"family":"Ziller","given":"S</w:instrText>
      </w:r>
      <w:r w:rsidR="000F35EB">
        <w:rPr>
          <w:rFonts w:hint="eastAsia"/>
        </w:rPr>
        <w:instrText>í</w:instrText>
      </w:r>
      <w:r w:rsidR="000F35EB">
        <w:instrText xml:space="preserve">lvia R."},{"family":"Sá Dechoum","given":"Michele","non-dropping-particle":"de"},{"family":"Dudeque Zenni","given":"Rafael"}],"accessed":{"date-parts":[["2020",5,5]]},"issued":{"date-parts":[["2019",7]]}},"label":"page"}],"schema":"https://github.com/citation-style-language/schema/raw/master/csl-citation.json"} </w:instrText>
      </w:r>
      <w:r w:rsidR="00B366EE" w:rsidRPr="00837161">
        <w:fldChar w:fldCharType="separate"/>
      </w:r>
      <w:r w:rsidR="00271B78" w:rsidRPr="00271B78">
        <w:t>(Ziller et al., 2019)</w:t>
      </w:r>
      <w:r w:rsidR="00B366EE" w:rsidRPr="00837161">
        <w:fldChar w:fldCharType="end"/>
      </w:r>
      <w:r w:rsidR="162E3A25" w:rsidRPr="00837161">
        <w:t xml:space="preserve"> </w:t>
      </w:r>
      <w:r w:rsidR="235E02E9" w:rsidRPr="00837161">
        <w:t xml:space="preserve">and </w:t>
      </w:r>
      <w:r w:rsidR="1CF1FCB8" w:rsidRPr="00837161">
        <w:t xml:space="preserve">Japan </w:t>
      </w:r>
      <w:r w:rsidR="2E4934F0" w:rsidRPr="00837161">
        <w:fldChar w:fldCharType="begin"/>
      </w:r>
      <w:r w:rsidR="000F35EB">
        <w:instrText xml:space="preserve"> ADDIN ZOTERO_ITEM CSL_CITATION {"citationID":"N4DeNFhK","properties":{"formattedCitation":"(Nishida et al., 2009)","plainCitation":"(Nishida et al., 2009)","noteIndex":0},"citationItems":[{"id":12541,"uris":["http://zotero.org/groups/2352922/items/8NS9ZLUZ"],"itemData":{"id":12541,"type":"article-journal","container-title":"Biological Invasions","DOI":"10.1007/s10530-008-9340-0","ISSN":"1387-3547, 1573-1464","issue":"6","journalAbbreviation":"Biol Invasions","language":"en","page":"1319-1333","source":"DOI.org (Crossref)","title":"Developing a pre-entry weed risk assessment system for use in Japan","URL":"http://link.springer.com/10.1007/s10530-008-9340-0","volume":"11","author":[{"family":"Nishida","given":"Tomoko"},{"family":"Yamashita","given":"Naoko"},{"family":"Asai","given":"Motoaki"},{"family":"Kurokawa","given":"Shunji"},{"family":"Enomoto","given":"Takashi"},{"family":"Pheloung","given":"Paul C."},{"family":"Groves","given":"Richard H."}],"accessed":{"date-parts":[["2019",10,23]]},"issued":{"date-parts":[["2009",6]]}},"label":"page"}],"schema":"https://github.com/citation-style-language/schema/raw/master/csl-citation.json"} </w:instrText>
      </w:r>
      <w:r w:rsidR="2E4934F0" w:rsidRPr="00837161">
        <w:fldChar w:fldCharType="separate"/>
      </w:r>
      <w:r w:rsidR="00271B78" w:rsidRPr="00271B78">
        <w:t>(Nishida et al., 2009)</w:t>
      </w:r>
      <w:r w:rsidR="2E4934F0" w:rsidRPr="00837161">
        <w:fldChar w:fldCharType="end"/>
      </w:r>
      <w:r w:rsidR="1CF1FCB8" w:rsidRPr="00837161">
        <w:t>. In Europe</w:t>
      </w:r>
      <w:r w:rsidR="235E02E9" w:rsidRPr="00837161">
        <w:t xml:space="preserve"> </w:t>
      </w:r>
      <w:r w:rsidR="1CF1FCB8" w:rsidRPr="00837161">
        <w:t xml:space="preserve">a diversity of </w:t>
      </w:r>
      <w:r w:rsidR="235E02E9" w:rsidRPr="00837161">
        <w:t xml:space="preserve">risk assessment </w:t>
      </w:r>
      <w:r w:rsidR="1CF1FCB8" w:rsidRPr="00837161">
        <w:t xml:space="preserve">systems have been developed </w:t>
      </w:r>
      <w:r w:rsidR="2E4934F0" w:rsidRPr="00837161">
        <w:fldChar w:fldCharType="begin"/>
      </w:r>
      <w:r w:rsidR="000F35EB">
        <w:instrText xml:space="preserve"> ADDIN ZOTERO_ITEM CSL_CITATION {"citationID":"DFz7WQev","properties":{"formattedCitation":"(Baker et al., 2008; Copp et al., 2005; D\\uc0\\u8217{}hondt et al., 2015; Essl et al., 2011; Gollasch &amp; Nehring, 2006)","plainCitation":"(Baker et al., 2008; Copp et al., 2005; D’hondt et al., 2015; Essl et al., 2011; Gollasch &amp; Nehring, 2006)","noteIndex":0},"citationItems":[{"id":20968,"uris":["http://zotero.org/groups/2352922/items/VS3EL77G"],"itemData":{"id":20968,"type":"article-journal","abstract":"Since the early 1980s, episodes of coral reef bleaching and mortality, due primarily to climate-induced ocean warming, have occurred almost annually in one or more of the world's tropical or subtropical seas. Bleaching is episodic, with the most severe events typically accompanying coupled ocean-atmosphere phenomena, such as the El Nino-Southern Oscillation (ENSO), which result in sustained regional elevations of ocean temperature. Using this extended dataset (25+ years), we review the short- and long-term ecological impacts of coral bleaching on reef ecosystems, and quantitatively synthesize recovery data worldwide. Bleaching episodes have resulted in catastrophic loss of coral cover in some locations, and have changed coral community structure in many others, with a potentially critical influence on the maintenance of biodiversity in the marine tropics. Bleaching has also set the stage for other declines in reef health, such as increases in coral diseases, the breakdown of reef framework by bioeroders, and the loss of critical habitat for associated reef fishes and other biota. Secondary ecological effects, such as the concentration of predators on remnant surviving coral populations, have also accelerated the pace of decline in some areas. Although bleaching severity and recovery have been variable across all spatial scales, some reefs have experienced relatively rapid recovery from severe bleaching impacts. There has been a significant overall recovery of coral cover in the Indian Ocean, where many reefs were devastated by a single large bleaching event in 1998. In contrast, coral cover on western Atlantic reefs has generally continued to decline in response to multiple smaller bleaching events and a diverse set of chronic secondary stressors. No clear trends are apparent in the eastern Pacific, the central-southern-western Pacific or the Arabian Gulf, where some reefs are recovering and others are not. The majority of survivors and new recruits on regenerating and recovering coral reefs have originated from broadcast spawning taxa with a potential for asexual growth, relatively long distance dispersal, successful settlement, rapid growth and a capacity for framework construction. Whether or not affected reefs can continue to function as before will depend on: (1) how Much coral cover is lost, and which species are locally extirpated: (2) the ability of remnant and recovering coral communities to adapt or acclimatize to higher temperatures and other climatic factors such as reductions in aragonite saturation state: (3) the changing balance between reef accumulation and bioerosion; and (4) our ability to maintain ecosystem resilience by restoring healthy levels of herbivory, macroalgal cover, and coral recruitment. Bleaching disturbances are likely to become a chronic stress in many reef areas in the coming decades, and coral communities, if they cannot recover quickly enough, are likely to be reduced to their most hardy or adaptable constituents. Some degraded reefs may already be approaching this ecological asymptote, although to date there have not been any global extinctions of individual coral species as a result of bleaching events. Since human populations inhabiting tropical coastal areas derive great value from coral reefs, the degradation of these ecosystems as a result of coral bleaching and its associated impacts is of considerable societal, as well as biological concern. Coral reef conservation strategies now recognize climate change as a principal threat, and are engaged in efforts to allocate conservation activity accrding to geographic-, taxonomic-, and habitat-specific priorities to maximize coral reef survival. Efforts to forecast and monitor bleaching, involving both remote sensed observations and coupled ocean-atmosphere climate models, are also underway. In addition to these efforts, attempts to minimize and mitigate bleaching impacts on reefs are immediately required. If significant reductions in greenhouse gas emissions can be achieved within the next two to three decades, maximizing coral survivorship during this time may be critical to ensuring healthy reefs can recover in the long term. (C) 2008 Elsevier Ltd. All rights reserved.","container-title":"Estuarine Coastal and Shelf Science","DOI":"10.1016/j.ecss.2008.09.003","ISSN":"0272-7714","issue":"4","note":"PMID: 22012304","page":"435-471","title":"Climate Change and Coral Reef Bleaching: An Ecological Assessment of Long-Term Impacts, Recovery Trends and Future Outlook","volume":"80","author":[{"family":"Baker","given":"A.C."},{"family":"Glynn","given":"P.W."},{"family":"Riegl","given":"B."}],"issued":{"date-parts":[["2008",12]]}},"label":"page"},{"id":12433,"uris":["http://zotero.org/groups/2352922/items/KMGD8LG3"],"itemData":{"id":12433,"type":"article-journal","abstract":"During the 1980s and 1990s, the UK Government began to develop an overall environmental risk strategy that eventually (UK Defra, 2003) encompassed four elements of risk strategy: 1) Risk Identification, 2) Risk Assessment, 3) Risk Management and Communication (referred to as Addressing Risks); and 4) Risk Review and Reporting. During the same period, the threat posed by non-native fish species was recognised, and the UK government enacted a series of legislation, beginning with the Import of Live Fish Act 1980 (ILFA), to control the importation and keeping of non-native fishes. Subsequent legislation (e.g. The Prohibition of Keeping or Release of Live Fish (Specified Species) (Amendment) (England) Order, 2003) included a list of freshwater fish species, established by a group of experts, that are subject to controls due to high suspected risk to native species or ecosystems of England and Wales. Neither the UK risk strategy nor the ILFA legislation includes a scheme or set of assessment protocols with which to categorize existing and future non-native species according to their relative risk to the UK environment. Many of the existing protocols, such as the largely marine-based Codes of Practice for responsible fisheries management (ICES, 2004), have been designed mainly for intentional releases, and many deal primarily with the first element (hazard identification) of a risk strategy (i.e. predicting which species are potentially invasive. None of the available schemes combines the quantitative decision-making tools required under the World Trade Organisation Sanitary and Phytosanitary (SPS) Agreement and the qualitative decision-support systems espoused by the guidelines of international policy and principles on alien species (e.g. Convention on Biological Diversity, CoP6 Decision VI/23, 2002). Therefore, the ILFA list was drawn up based on the precautionary approach (see Copp et al., 2005). However, the Convention on Biological Diversity (CBD, 2001) recommends that risk assessment is used to justify actions taken against threats to biodiversity. To address both these requirements, various existing schemes were examined (see Copp et al., 2005). The standards (PK5/14; EPPO, 2000) developed by the European and Mediterranean Plant Protection Organisation (EPPO), under the International Plant Protection Convention, for plant pests were developed in line with the SPS agreement. Plant and animal invasions share many similarities, and as a consequence, the EPPO (2000) standard provides a decision-making framework into which quantitative scientific assessments can be incorporated and is potentially applicable to other taxonomic groups (Defra, 2003a). However, the initial hazard identification phase of the EPPO (2000) scheme relies upon","container-title":"Journal of Applied Ichthyology","DOI":"10.1111/j.1439-0426.2005.00692.x","ISSN":"0175-8659","issue":"4","note":"PMID: 26","page":"371–373","title":"Risk identification and assessment of non-native freshwater fishes: A summary of concepts and perspectives on protocols for the UK","volume":"21","author":[{"family":"Copp","given":"G. H."},{"family":"Garthwaite","given":"R."},{"family":"Gozlan","given":"R. E."}],"issued":{"date-parts":[["2005"]]}},"label":"page"},{"id":31753,"uris":["http://zotero.org/groups/2352922/items/ETM6U2FI"],"itemData":{"id":31753,"type":"article-journal","abstract":"Given the large number of alien species that may potentially develop into invasives, there is a clear need for robust schemes that allow to screen species for such risks. The Harmonia+ framework presented here brings together 30 questions that refer to distinct components of invasion. Together, they cover the stages of introduction, establishment, spread, and multiple kinds of impacts, viz. referring to the health of the environment (including wild species), cultivated plants, domesticated animals and man. In a complete assessment, input is provided by choosing among predefined ordinal answers and by supplementing these with textual clarification. Uncertainty is covered by indicating levels of confidence. By converting answers into scores, which are then condensed into summary statistics, Harmonia+ allows for quantitative output on stage-specific and general risks. Test assessments on five species emerging in Belgium showed the perceived environmental risks of Procambarus clarkii to be highest (0.72), and that of Threskiornis aethiopicus to be lowest (0.13). Given the considerable parallels that exist between invasive alien species and emerging infectious diseases, we additionally created Pandora, which is a risk analysis scheme for pathogens and parasites. It consists of 13 key questions and has the same structure as Harmonia+. Since diseases play a paramount role in biological invasions, results of Pandora assessments may feed into Harmonia+ through a slightly adapted, host-specific version named Pandora+. Harmonia+, Pandora and Pandora+ may be used both for prioritization purposes and for underpinning detailed risk analyses, and can be consulted online through http://ias.biodiversity.be.","container-title":"Biological Invasions","DOI":"10.1007/s10530-015-0843-1","ISSN":"1573-1464","issue":"6","journalAbbreviation":"Biol Invasions","language":"en","page":"1869-1883","source":"Springer Link","title":"&lt;i&gt;Harmonia&lt;/i&gt;+ and &lt;i&gt;Pandora&lt;/i&gt;+: risk screening tools for potentially invasive plants, animals and their pathogens","title-short":"Harmonia+ and Pandora+","URL":"https://doi.org/10.1007/s10530-015-0843-1","volume":"17","author":[{"family":"D’hondt","given":"Bram"},{"family":"Vanderhoeven","given":"Sonia"},{"family":"Roelandt","given":"Sophie"},{"family":"Mayer","given":"François"},{"family":"Versteirt","given":"Veerle"},{"family":"Adriaens","given":"Tim"},{"family":"Ducheyne","given":"Els"},{"family":"San Martin","given":"Gilles"},{"family":"Grégoire","given":"Jean-Claude"},{"family":"Stiers","given":"Iris"},{"family":"Quoilin","given":"Sophie"},{"family":"Cigar","given":"Julien"},{"family":"Heughebaert","given":"André"},{"family":"Branquart","given":"Etienne"}],"accessed":{"date-parts":[["2021",11,24]]},"issued":{"date-parts":[["2015",6,1]]}},"label":"page"},{"id":26339,"uris":["http://zotero.org/groups/2352922/items/R6S7NAMY"],"itemData":{"id":26339,"type":"article-journal","container-title":"Journal for Nature Conservation","DOI":"10.1016/j.jnc.2011.08.005","ISSN":"16171381","issue":"6","journalAbbreviation":"Journal for Nature Conservation","language":"en","page":"339-350","source":"DOI.org (Crossref)","title":"Review of risk assessment systems of IAS in Europe and introducing the German–Austrian Black List Information System (GABLIS)","URL":"https://linkinghub.elsevier.com/retrieve/pii/S1617138111000513","volume":"19","author":[{"family":"Essl","given":"Franz"},{"family":"Nehring","given":"Stefan"},{"family":"Klingenstein","given":"Frank"},{"family":"Milasowszky","given":"Norbert"},{"family":"Nowack","given":"Christelle"},{"family":"Rabitsch","given":"Wolfgang"}],"accessed":{"date-parts":[["2019",10,23]]},"issued":{"date-parts":[["2011",12]]}},"label":"page"},{"id":25094,"uris":["http://zotero.org/groups/2352922/items/NE7MT94M"],"itemData":{"id":25094,"type":"article-journal","container-title":"Aquatic Invasions","DOI":"10.3391/ai.2006.1.4.8","ISSN":"18185487","issue":"4","journalAbbreviation":"AI","page":"245-269","source":"DOI.org (Crossref)","title":"National checklist for aquatic alien species in Germany","URL":"http://www.aquaticinvasions.net/2006/index4.html","volume":"1","author":[{"family":"Gollasch","given":"Stephan"},{"family":"Nehring","given":"Stefan"}],"accessed":{"date-parts":[["2019",10,23]]},"issued":{"date-parts":[["2006"]]}},"label":"page"}],"schema":"https://github.com/citation-style-language/schema/raw/master/csl-citation.json"} </w:instrText>
      </w:r>
      <w:r w:rsidR="2E4934F0" w:rsidRPr="00837161">
        <w:fldChar w:fldCharType="separate"/>
      </w:r>
      <w:r w:rsidR="00271B78" w:rsidRPr="00271B78">
        <w:t>(Baker et al., 2008; Copp et al., 2005; D’hondt et al., 2015; Essl et al., 2011; Gollasch &amp; Nehring, 2006)</w:t>
      </w:r>
      <w:r w:rsidR="2E4934F0" w:rsidRPr="00837161">
        <w:fldChar w:fldCharType="end"/>
      </w:r>
      <w:r w:rsidR="1CF1FCB8" w:rsidRPr="00837161">
        <w:t xml:space="preserve">, including for specific use in sectorial activities such as aquaculture </w:t>
      </w:r>
      <w:r w:rsidR="2E4934F0" w:rsidRPr="00837161">
        <w:fldChar w:fldCharType="begin"/>
      </w:r>
      <w:r w:rsidR="000F35EB">
        <w:instrText xml:space="preserve"> ADDIN ZOTERO_ITEM CSL_CITATION {"citationID":"tMwW3rJm","properties":{"formattedCitation":"(Copp et al., 2016)","plainCitation":"(Copp et al., 2016)","noteIndex":0},"citationItems":[{"id":10322,"uris":["http://zotero.org/groups/2352922/items/RHVACMVU"],"itemData":{"id":10322,"type":"article-journal","container-title":"Fisheries Management and Ecology","DOI":"10.1111/fme.12074","ISSN":"0969997X","issue":"1","journalAbbreviation":"Fish Manag Ecol","language":"en","page":"1-11","source":"DOI.org (Crossref)","title":"European Non-native Species in Aquaculture Risk Analysis Scheme - a summary of assessment protocols and decision support tools for use of alien species in aquaculture","URL":"http://doi.wiley.com/10.1111/fme.12074","volume":"23","author":[{"family":"Copp","given":"G. H."},{"family":"Russell","given":"I. C."},{"family":"Peeler","given":"E. J."},{"family":"Gherardi","given":"F."},{"family":"Tricarico","given":"E."},{"family":"Macleod","given":"A."},{"family":"Cowx","given":"I. G."},{"family":"Nunn","given":"A. D."},{"family":"Occhipinti-Ambrogi","given":"A."},{"family":"Savini","given":"D."},{"family":"Mumford","given":"J."},{"family":"Britton","given":"J. R."}],"accessed":{"date-parts":[["2021",3,17]]},"issued":{"date-parts":[["2016",2]]}},"label":"page"}],"schema":"https://github.com/citation-style-language/schema/raw/master/csl-citation.json"} </w:instrText>
      </w:r>
      <w:r w:rsidR="2E4934F0" w:rsidRPr="00837161">
        <w:fldChar w:fldCharType="separate"/>
      </w:r>
      <w:r w:rsidR="00271B78" w:rsidRPr="00271B78">
        <w:t>(Copp et al., 2016)</w:t>
      </w:r>
      <w:r w:rsidR="2E4934F0" w:rsidRPr="00837161">
        <w:fldChar w:fldCharType="end"/>
      </w:r>
      <w:r w:rsidR="1CF1FCB8" w:rsidRPr="00837161">
        <w:t xml:space="preserve">. Each system has its own </w:t>
      </w:r>
      <w:r w:rsidR="6A3C20A5" w:rsidRPr="00837161">
        <w:t>chara</w:t>
      </w:r>
      <w:r w:rsidR="24CCBA52" w:rsidRPr="00837161">
        <w:t>c</w:t>
      </w:r>
      <w:r w:rsidR="6A3C20A5" w:rsidRPr="00837161">
        <w:t>teristics and</w:t>
      </w:r>
      <w:r w:rsidR="1CF1FCB8" w:rsidRPr="00837161">
        <w:t xml:space="preserve"> decision-making contexts</w:t>
      </w:r>
      <w:r w:rsidR="6359E908" w:rsidRPr="00837161">
        <w:t xml:space="preserve"> </w:t>
      </w:r>
      <w:r w:rsidR="44B0FD7A" w:rsidRPr="00837161">
        <w:t xml:space="preserve">including </w:t>
      </w:r>
      <w:r w:rsidR="1CF1FCB8" w:rsidRPr="00837161">
        <w:t xml:space="preserve">taxonomic focus, geographical scope, type of environment, type of impact considered, scoring of impact, uncertainty consideration and expert contribution to the assessment </w:t>
      </w:r>
      <w:r w:rsidR="2E4934F0" w:rsidRPr="00837161">
        <w:fldChar w:fldCharType="begin"/>
      </w:r>
      <w:r w:rsidR="000F35EB">
        <w:instrText xml:space="preserve"> ADDIN ZOTERO_ITEM CSL_CITATION {"citationID":"b1nwXKhb","properties":{"formattedCitation":"(H. E. Roy, Rabitsch, et al., 2018)","plainCitation":"(H. E. Roy, Rabitsch, et al., 2018)","noteIndex":0},"citationItems":[{"id":11378,"uris":["http://zotero.org/groups/2352922/items/S2GL8M68"],"itemData":{"id":11378,"type":"article-journal","abstract":"Biological invasions are a threat to biodiversity, society and the economy. There is an urgent need to provide evidence-based assessments of the risks posed by invasive alien species (IAS) to prioritize action. Risk assessments underpin IAS policies in many ways: informing legislation; providing justification of restrictions in trade or consumer activities; prioritizing surveillance and rapid response. There are benefits to ensuring consistency in content of IAS risk assessments globally, and this can be achieved by providing a framework of minimum standards as a checklist for quality assurance. From a review of existing risk assessment protocols, and with reference to the requirements of the EU Regulation on IAS (1143/2014) and international agreements including the World Trade Organisation, Convention on Biological Diversity and International Plant Protection Convention, coupled with consensus methods, we identified and agreed upon 14 minimum standards (attributes) a risk-assessment scheme should include. The agreed minimum standards were as follows: (1) basic species description; (2) likelihood of invasion; (3) distribution, spread and impacts; (4) assessment of introduction pathways; (5) assessment of impacts on biodiversity and ecosystems; (6) Assessment of impact on ecosystem services; (7) assessment of socio-economic impacts; (8) consideration of status (threatened or protected) of species or habitat under threat; (9) assessment of effects of future climate change; (10) completion possible even when there is a lack of information; (11) documents information sources; (12) provides a summary in a consistent and interpretable form; (13) includes uncertainty; (14) includes quality assurance. In deriving these minimum standards, gaps in knowledge required for completing risk assessments and the scope of existing risk assessment protocols were revealed, most notably in relation to assessing benefits, socio-economic impacts and impacts on ecosystem services but also inclusion of consideration of climate change. Policy implications. We provide a checklist of components that should be within invasive alien species risk assessments and recommendations to develop risk assessments to meet these proposed minimum standards. Although inspired by implementation of the European Union Regulation on invasive alien species, and as such developed specifically within a European context, the derived framework and minimum standards could be applied globally.","container-title":"Journal of Applied Ecology","DOI":"10.1111/1365-2664.13025","ISSN":"1365-2664","issue":"2","journalAbbreviation":"J Appl Ecol","language":"en","license":"© 2017 The Authors. Journal of Applied Ecology © 2017 British Ecological Society","page":"526-538","source":"Wiley Online Library","title":"Developing a framework of minimum standards for the risk assessment of alien species","URL":"https://besjournals.onlinelibrary.wiley.com/doi/abs/10.1111/1365-2664.13025","volume":"55","author":[{"family":"Roy","given":"Helen E."},{"family":"Rabitsch","given":"Wolfgang"},{"family":"Scalera","given":"Riccardo"},{"family":"Stewart","given":"Alan"},{"family":"Gallardo","given":"Belinda"},{"family":"Genovesi","given":"Piero"},{"family":"Essl","given":"Franz"},{"family":"Adriaens","given":"Tim"},{"family":"Bacher","given":"Sven"},{"family":"Booy","given":"Olaf"},{"family":"Branquart","given":"Etienne"},{"family":"Brunel","given":"Sarah"},{"family":"Copp","given":"Gordon Howard"},{"family":"Dean","given":"Hannah"},{"family":"D'hondt","given":"Bram"},{"family":"Josefsson","given":"Melanie"},{"family":"Kenis","given":"Marc"},{"family":"Kettunen","given":"Marianne"},{"family":"Linnamagi","given":"Merike"},{"family":"Lucy","given":"Frances"},{"family":"Martinou","given":"Angeliki"},{"family":"Moore","given":"Niall"},{"family":"Nentwig","given":"Wolfgang"},{"family":"Nieto","given":"Ana"},{"family":"Pergl","given":"Jan"},{"family":"Peyton","given":"Jodey M."},{"family":"Roques","given":"Alain"},{"family":"Schindler","given":"Stefan"},{"family":"Schönrogge","given":"Karsten"},{"family":"Solarz","given":"Wojciech"},{"family":"Stebbing","given":"Paul D."},{"family":"Trichkova","given":"Teodora"},{"family":"Vanderhoeven","given":"Sonia"},{"family":"Valkenburg","given":"Johan","non-dropping-particle":"van"},{"family":"Zenetos","given":"Argyro"}],"accessed":{"date-parts":[["2019",8,12]]},"issued":{"date-parts":[["2018"]]}},"label":"page"}],"schema":"https://github.com/citation-style-language/schema/raw/master/csl-citation.json"} </w:instrText>
      </w:r>
      <w:r w:rsidR="2E4934F0" w:rsidRPr="00837161">
        <w:fldChar w:fldCharType="separate"/>
      </w:r>
      <w:r w:rsidR="00271B78" w:rsidRPr="00271B78">
        <w:t>(H. E. Roy, Rabitsch, et al., 2018)</w:t>
      </w:r>
      <w:r w:rsidR="2E4934F0" w:rsidRPr="00837161">
        <w:fldChar w:fldCharType="end"/>
      </w:r>
      <w:r w:rsidR="1CF1FCB8" w:rsidRPr="00837161">
        <w:t xml:space="preserve">. </w:t>
      </w:r>
      <w:r w:rsidR="13528091" w:rsidRPr="00837161">
        <w:t xml:space="preserve">Nonetheless, </w:t>
      </w:r>
      <w:r w:rsidR="1CF1FCB8" w:rsidRPr="00837161">
        <w:t xml:space="preserve">all </w:t>
      </w:r>
      <w:r w:rsidR="13528091" w:rsidRPr="00837161">
        <w:t xml:space="preserve">systems </w:t>
      </w:r>
      <w:r w:rsidR="3C95602D" w:rsidRPr="00837161">
        <w:t>follow the three factor standard premise and</w:t>
      </w:r>
      <w:r w:rsidR="1CF1FCB8" w:rsidRPr="00837161">
        <w:t xml:space="preserve"> </w:t>
      </w:r>
      <w:r w:rsidR="4F411130" w:rsidRPr="00837161">
        <w:t>synthesi</w:t>
      </w:r>
      <w:r w:rsidR="6F708F19" w:rsidRPr="00837161">
        <w:t>z</w:t>
      </w:r>
      <w:r w:rsidR="4F411130" w:rsidRPr="00837161">
        <w:t>e</w:t>
      </w:r>
      <w:r w:rsidR="1CF1FCB8" w:rsidRPr="00837161">
        <w:t xml:space="preserve"> information bas</w:t>
      </w:r>
      <w:r w:rsidR="00E552A8">
        <w:t>ed</w:t>
      </w:r>
      <w:r w:rsidR="1CF1FCB8" w:rsidRPr="00837161">
        <w:t xml:space="preserve"> o</w:t>
      </w:r>
      <w:r w:rsidR="0A2B1468" w:rsidRPr="00837161">
        <w:t xml:space="preserve">n </w:t>
      </w:r>
      <w:r w:rsidR="4F411130" w:rsidRPr="00837161">
        <w:t>formali</w:t>
      </w:r>
      <w:r w:rsidR="6F708F19" w:rsidRPr="00837161">
        <w:t>z</w:t>
      </w:r>
      <w:r w:rsidR="4F411130" w:rsidRPr="00837161">
        <w:t>ed</w:t>
      </w:r>
      <w:r w:rsidR="1CF1FCB8" w:rsidRPr="00837161">
        <w:t xml:space="preserve"> criteria to determine the overall risk.</w:t>
      </w:r>
      <w:r w:rsidR="7140EE6F" w:rsidRPr="00837161">
        <w:t xml:space="preserve"> </w:t>
      </w:r>
      <w:r w:rsidR="2F800EF6" w:rsidRPr="00837161">
        <w:t xml:space="preserve">While </w:t>
      </w:r>
      <w:r w:rsidR="64F01A05" w:rsidRPr="00837161">
        <w:t>risk assessment approaches based on scoring systems are relatively quick and easy</w:t>
      </w:r>
      <w:r w:rsidR="00E552A8">
        <w:t>,</w:t>
      </w:r>
      <w:r w:rsidR="64F01A05" w:rsidRPr="00837161">
        <w:t xml:space="preserve"> the</w:t>
      </w:r>
      <w:r w:rsidR="311E8C1E" w:rsidRPr="00837161">
        <w:t xml:space="preserve">ir effectiveness is rarely evaluated and </w:t>
      </w:r>
      <w:r w:rsidR="4467543E" w:rsidRPr="00837161">
        <w:t xml:space="preserve">there remain many shortcomings </w:t>
      </w:r>
      <w:r w:rsidR="2E4934F0" w:rsidRPr="00837161">
        <w:fldChar w:fldCharType="begin"/>
      </w:r>
      <w:r w:rsidR="000F35EB">
        <w:instrText xml:space="preserve"> ADDIN ZOTERO_ITEM CSL_CITATION {"citationID":"TMuUSDRF","properties":{"formattedCitation":"(Hulme, 2012)","plainCitation":"(Hulme, 2012)","noteIndex":0},"citationItems":[{"id":24976,"uris":["http://zotero.org/groups/2352922/items/K4C6GRR5"],"itemData":{"id":24976,"type":"article-journal","container-title":"Journal of Applied Ecology","DOI":"10.1111/j.1365-2664.2011.02069.x","ISSN":"00218901","issue":"1","language":"en","page":"10-19","source":"DOI.org (Crossref)","title":"Weed risk assessment: a way forward or a waste of time?","title-short":"Weed risk assessment","URL":"http://doi.wiley.com/10.1111/j.1365-2664.2011.02069.x","volume":"49","author":[{"family":"Hulme","given":"Philip E."}],"accessed":{"date-parts":[["2021",4,6]]},"issued":{"date-parts":[["2012",2]]}},"label":"page"}],"schema":"https://github.com/citation-style-language/schema/raw/master/csl-citation.json"} </w:instrText>
      </w:r>
      <w:r w:rsidR="2E4934F0" w:rsidRPr="00837161">
        <w:fldChar w:fldCharType="separate"/>
      </w:r>
      <w:r w:rsidR="00271B78" w:rsidRPr="00271B78">
        <w:t>(Hulme, 2012)</w:t>
      </w:r>
      <w:r w:rsidR="2E4934F0" w:rsidRPr="00837161">
        <w:fldChar w:fldCharType="end"/>
      </w:r>
      <w:r w:rsidR="17860076" w:rsidRPr="00837161">
        <w:t>.</w:t>
      </w:r>
    </w:p>
    <w:p w14:paraId="00000149" w14:textId="11624AF1" w:rsidR="00A758FD" w:rsidRPr="00CE3538" w:rsidRDefault="00E552A8">
      <w:pPr>
        <w:spacing w:before="240" w:after="120" w:line="240" w:lineRule="auto"/>
      </w:pPr>
      <w:r>
        <w:lastRenderedPageBreak/>
        <w:t>Some i</w:t>
      </w:r>
      <w:r w:rsidR="00C81287" w:rsidRPr="00CE3538">
        <w:t xml:space="preserve">nitiatives have established repositories or databases giving access to available species risk assessments existing for a given territory, </w:t>
      </w:r>
      <w:r>
        <w:t>like</w:t>
      </w:r>
      <w:r w:rsidRPr="00CE3538">
        <w:t xml:space="preserve"> </w:t>
      </w:r>
      <w:r w:rsidR="00C81287" w:rsidRPr="00CE3538">
        <w:t>the Canadian Invasive Species Center</w:t>
      </w:r>
      <w:r w:rsidR="00C81287" w:rsidRPr="00A4003D">
        <w:rPr>
          <w:rStyle w:val="FootnoteReference"/>
        </w:rPr>
        <w:footnoteReference w:id="3"/>
      </w:r>
      <w:r w:rsidR="00C81287" w:rsidRPr="00CE3538">
        <w:t xml:space="preserve"> or region, </w:t>
      </w:r>
      <w:r>
        <w:t>like</w:t>
      </w:r>
      <w:r w:rsidRPr="00CE3538">
        <w:t xml:space="preserve"> </w:t>
      </w:r>
      <w:r w:rsidR="00C81287" w:rsidRPr="00CE3538">
        <w:t xml:space="preserve">the European Commission </w:t>
      </w:r>
      <w:r w:rsidR="00EB1B6F" w:rsidRPr="00837161">
        <w:fldChar w:fldCharType="begin"/>
      </w:r>
      <w:r w:rsidR="000F35EB">
        <w:instrText xml:space="preserve"> ADDIN ZOTERO_ITEM CSL_CITATION {"citationID":"2UeSAu6Z","properties":{"formattedCitation":"(CIRCABC, 2021)","plainCitation":"(CIRCABC, 2021)","noteIndex":0},"citationItems":[{"id":54482,"uris":["http://zotero.org/groups/2352922/items/WATN2IQ2"],"itemData":{"id":54482,"type":"webpage","container-title":"Communication and Information Resource Centre for Administrations, Businesses and Citizens","title":"Scientific Forum on Alien Invasive Species","URL":"https://circabc.europa.eu/ui/group/98665af0-7dfa-448c-8bf4-e1e086b50d2c/library/ed95cea1-4f6a-4a3b-b27d-b2bfb8288c42","author":[{"literal":"CIRCABC"}],"accessed":{"date-parts":[["2023",2,14]]},"issued":{"date-parts":[["2021"]]}},"label":"page"}],"schema":"https://github.com/citation-style-language/schema/raw/master/csl-citation.json"} </w:instrText>
      </w:r>
      <w:r w:rsidR="00EB1B6F" w:rsidRPr="00837161">
        <w:fldChar w:fldCharType="separate"/>
      </w:r>
      <w:r w:rsidR="00271B78" w:rsidRPr="00271B78">
        <w:t>(CIRCABC, 2021)</w:t>
      </w:r>
      <w:r w:rsidR="00EB1B6F" w:rsidRPr="00837161">
        <w:fldChar w:fldCharType="end"/>
      </w:r>
      <w:r w:rsidR="00564FA0" w:rsidRPr="00837161">
        <w:t>.</w:t>
      </w:r>
      <w:r w:rsidR="00C81287" w:rsidRPr="00CE3538">
        <w:t xml:space="preserve"> A comprehensive review of more than 1,000 risk assessment results is available for species that are invasive in Brazil from the National Invasive Species Database.</w:t>
      </w:r>
      <w:r w:rsidR="00C81287" w:rsidRPr="00A4003D">
        <w:rPr>
          <w:rStyle w:val="FootnoteReference"/>
        </w:rPr>
        <w:footnoteReference w:id="4"/>
      </w:r>
      <w:r w:rsidR="00C81287" w:rsidRPr="00CE3538">
        <w:t xml:space="preserve"> The database is open access and available in English, Portuguese</w:t>
      </w:r>
      <w:r w:rsidR="00C16EEB">
        <w:t xml:space="preserve"> and</w:t>
      </w:r>
      <w:r w:rsidR="00C81287" w:rsidRPr="00CE3538">
        <w:t xml:space="preserve"> Spanish. Such an initiative does not currently exist on a global scale.</w:t>
      </w:r>
    </w:p>
    <w:p w14:paraId="0000014A" w14:textId="02E1AE3C" w:rsidR="00A758FD" w:rsidRPr="00CE3538" w:rsidRDefault="00C81287" w:rsidP="00604A0A">
      <w:pPr>
        <w:pStyle w:val="Heading4"/>
      </w:pPr>
      <w:bookmarkStart w:id="98" w:name="_heading=h.3as4poj" w:colFirst="0" w:colLast="0"/>
      <w:bookmarkStart w:id="99" w:name="_Toc69313962"/>
      <w:bookmarkEnd w:id="98"/>
      <w:r w:rsidRPr="00CE3538">
        <w:t>Risk modelling and mapping</w:t>
      </w:r>
      <w:bookmarkEnd w:id="97"/>
      <w:bookmarkEnd w:id="99"/>
    </w:p>
    <w:p w14:paraId="0000014B" w14:textId="2FF41E63" w:rsidR="00A758FD" w:rsidRPr="00CE3538" w:rsidRDefault="00C81287">
      <w:pPr>
        <w:spacing w:before="240" w:after="120" w:line="240" w:lineRule="auto"/>
      </w:pPr>
      <w:r w:rsidRPr="00CE3538">
        <w:t>Risk assessments are often supported by projection models to help evaluate species pathways, entry, establishment, spread</w:t>
      </w:r>
      <w:r w:rsidR="00C16EEB">
        <w:t xml:space="preserve"> and</w:t>
      </w:r>
      <w:r w:rsidRPr="00CE3538">
        <w:t xml:space="preserve">/or impact within an area of interest </w:t>
      </w:r>
      <w:r w:rsidR="062DCDFE" w:rsidRPr="00837161">
        <w:rPr>
          <w:lang w:eastAsia="en-AU"/>
        </w:rPr>
        <w:fldChar w:fldCharType="begin"/>
      </w:r>
      <w:r w:rsidR="000F35EB">
        <w:rPr>
          <w:lang w:eastAsia="en-AU"/>
        </w:rPr>
        <w:instrText xml:space="preserve"> ADDIN ZOTERO_ITEM CSL_CITATION {"citationID":"VlYblNZy","properties":{"formattedCitation":"(Beaumont et al., 2009, 2014; Elith, 2017; A. P. Robinson et al., 2017; Stevenson, 2004; Venette et al., 2010)","plainCitation":"(Beaumont et al., 2009, 2014; Elith, 2017; A. P. Robinson et al., 2017; Stevenson, 2004; Venette et al., 2010)","noteIndex":0},"citationItems":[{"id":21571,"uris":["http://zotero.org/groups/2352922/items/PQM392CB"],"itemData":{"id":21571,"type":"article-journal","container-title":"Diversity and Distributions","DOI":"10.1111/j.1472-4642.2008.00547.x","ISSN":"13669516, 14724642","issue":"3","language":"en","page":"409-420","source":"DOI.org (Crossref)","title":"Different climatic envelopes among invasive populations may lead to underestimations of current and future biological invasions","URL":"http://doi.wiley.com/10.1111/j.1472-4642.2008.00547.x","volume":"15","author":[{"family":"Beaumont","given":"Linda J."},{"family":"Gallagher","given":"Rachael V."},{"family":"Thuiller","given":"Wilfried"},{"family":"Downey","given":"Paul O."},{"family":"Leishman","given":"Michelle R."},{"family":"Hughes","given":"Lesley"}],"accessed":{"date-parts":[["2020",3,30]]},"issued":{"date-parts":[["2009",5]]}},"label":"page"},{"id":21570,"uris":["http://zotero.org/groups/2352922/items/69EMH3NU"],"itemData":{"id":21570,"type":"article-journal","container-title":"Diversity and Distributions","DOI":"10.1111/ddi.12190","ISSN":"13669516","issue":"6","journalAbbreviation":"Diversity Distrib.","language":"en","page":"613-625","source":"DOI.org (Crossref)","title":"How can knowledge of the climate niche inform the weed risk assessment process? A case study of &lt;i&gt;Chrysanthemoides monilifera&lt;/i&gt; in Australia","title-short":"How can knowledge of the climate niche inform the weed risk assessment process?","URL":"http://doi.wiley.com/10.1111/ddi.12190","volume":"20","author":[{"family":"Beaumont","given":"Linda J."},{"family":"Gallagher","given":"Rachael V."},{"family":"Leishman","given":"Michelle R."},{"family":"Hughes","given":"Lesley"},{"family":"Downey","given":"Paul O."}],"editor":[{"family":"Wilson","given":"John"}],"accessed":{"date-parts":[["2020",3,30]]},"issued":{"date-parts":[["2014",6]]}},"label":"page"},{"id":12443,"uris":["http://zotero.org/groups/2352922/items/P6JB7ABL"],"itemData":{"id":12443,"type":"chapter","container-title":"Invasice Species Risk assessment and management","event-place":"Cambridge","page":"93-129","publisher":"Cambridge University Press","publisher-place":"Cambridge","title":"Predicting distributions of invasive species","URL":"https://doi.org/10.1017/9781139019606.006","author":[{"family":"Elith","given":"Jane"}],"editor":[{"family":"Robinson","given":"Andrew P."},{"family":"Walshe","given":"Terry"},{"family":"Burgman","given":"Mark A."},{"family":"Nunn","given":"Mike"}],"issued":{"date-parts":[["2017"]]}},"label":"page"},{"id":12444,"uris":["http://zotero.org/groups/2352922/items/XXASS7XP"],"itemData":{"id":12444,"type":"book","event-place":"Cambridge","ISBN":"978-1-139-01960-6","note":"DOI: 10.1017/9781139019606","publisher":"Cambridge University Press","publisher-place":"Cambridge","source":"DOI.org (Crossref)","title":"Invasive Species: Risk Assessment and Management","title-short":"Invasive Species","URL":"http://ebooks.cambridge.org/ref/id/CBO9781139019606","editor":[{"family":"Robinson","given":"Andrew P."},{"family":"Walshe","given":"Terry"},{"family":"Burgman","given":"Mark A."},{"family":"Nunn","given":"Mike"}],"accessed":{"date-parts":[["2019",11,27]]},"issued":{"date-parts":[["2017"]]}},"label":"page"},{"id":14319,"uris":["http://zotero.org/groups/2352922/items/MNV4Z79Q"],"itemData":{"id":14319,"type":"article-journal","title":"Hunters and Bureaucrats: Power, Knowledge and Aboriginal-State Relations in the Southwest Yukon","URL":"https://journalhosting.ucalgary.ca/index.php/arctic/article/download/63610/47546","author":[{"family":"Stevenson","given":"Marc"}],"issued":{"date-parts":[["2004"]]}},"label":"page"},{"id":24167,"uris":["http://zotero.org/groups/2352922/items/RV4NBGIF"],"itemData":{"id":24167,"type":"article-journal","abstract":"Pest risk maps are powerful visual communication tools to describe where invasive alien species might arrive, establish, spread, or cause harmful impacts. These maps inform strategic and tactical pest management decisions, such as potential restrictions on international trade or the design of pest surveys and domestic quarantines. Diverse methods are available to create pest risk maps, and can potentially yield different depictions of risk for the same species. Inherent uncertainties about the biology of the invader, future climate conditions, and species interactions further complicate map interpretation. If multiple maps are available, risk managers must choose how to incorporate the various representations of risk into their decisionmaking process, and may make significant errors if they misunderstand what each map portrays. This article describes the need for pest risk maps, compares pest risk mapping methods, and recommends future research to improve such important decision-support tools.","container-title":"BioScience","DOI":"10.1525/bio.2010.60.5.5","ISSN":"0006-3568","issue":"5","journalAbbreviation":"BioScience","language":"en","page":"349–362","source":"DOI.org (Crossref)","title":"Pest Risk Maps for Invasive Alien Species: A Roadmap for Improvement","title-short":"Pest Risk Maps for Invasive Alien Species","URL":"http://bioscience.oxfordjournals.org/content/60/5/349.abstract","volume":"60","author":[{"family":"Venette","given":"Robert C"},{"family":"Kriticos","given":"Darren J"},{"family":"Magarey","given":"Roger D"},{"family":"Koch","given":"Frank H"},{"family":"Baker","given":"Richard H A"},{"family":"Worner","given":"Susan P"},{"family":"Gómez Raboteaux","given":"Nadilia N"},{"family":"McKenney","given":"Daniel W"},{"family":"Dobesberger","given":"Erhard J"},{"family":"Yemshanov","given":"Denys"},{"family":"De Barro","given":"Paul J"},{"family":"Hutchison","given":"William D"},{"family":"Fowler","given":"Glenn"},{"family":"Kalaris","given":"Tom M"},{"family":"Pedlar","given":"John"}],"issued":{"date-parts":[["2010",5,1]]}},"label":"page"}],"schema":"https://github.com/citation-style-language/schema/raw/master/csl-citation.json"} </w:instrText>
      </w:r>
      <w:r w:rsidR="062DCDFE" w:rsidRPr="00837161">
        <w:rPr>
          <w:lang w:eastAsia="en-AU"/>
        </w:rPr>
        <w:fldChar w:fldCharType="separate"/>
      </w:r>
      <w:r w:rsidR="00271B78" w:rsidRPr="00271B78">
        <w:t>(Beaumont et al., 2009, 2014; Elith, 2017; A. P. Robinson et al., 2017; Stevenson, 2004; Venette et al., 2010)</w:t>
      </w:r>
      <w:r w:rsidR="062DCDFE" w:rsidRPr="00837161">
        <w:rPr>
          <w:lang w:eastAsia="en-AU"/>
        </w:rPr>
        <w:fldChar w:fldCharType="end"/>
      </w:r>
      <w:r w:rsidR="6F37074E" w:rsidRPr="00837161">
        <w:rPr>
          <w:lang w:eastAsia="en-AU"/>
        </w:rPr>
        <w:t xml:space="preserve">. </w:t>
      </w:r>
      <w:r w:rsidR="32C5400A" w:rsidRPr="00837161">
        <w:rPr>
          <w:lang w:eastAsia="en-AU"/>
        </w:rPr>
        <w:t>Spatially modelling potential alien species distribution is a common practice for species either not present or of limited distribution</w:t>
      </w:r>
      <w:r w:rsidR="00203E4A" w:rsidRPr="00837161">
        <w:rPr>
          <w:lang w:eastAsia="en-AU"/>
        </w:rPr>
        <w:t xml:space="preserve"> </w:t>
      </w:r>
      <w:r w:rsidR="002502C4" w:rsidRPr="00837161">
        <w:rPr>
          <w:lang w:eastAsia="en-AU"/>
        </w:rPr>
        <w:t>(</w:t>
      </w:r>
      <w:r w:rsidR="000F6653">
        <w:rPr>
          <w:b/>
          <w:iCs/>
          <w:lang w:eastAsia="en-AU"/>
        </w:rPr>
        <w:t>C</w:t>
      </w:r>
      <w:r w:rsidR="00203E4A" w:rsidRPr="000F6653">
        <w:rPr>
          <w:b/>
          <w:iCs/>
          <w:lang w:eastAsia="en-AU"/>
        </w:rPr>
        <w:t>hapter 1</w:t>
      </w:r>
      <w:r w:rsidR="00203E4A" w:rsidRPr="000F6653">
        <w:rPr>
          <w:iCs/>
          <w:lang w:eastAsia="en-AU"/>
        </w:rPr>
        <w:t xml:space="preserve">, </w:t>
      </w:r>
      <w:r w:rsidR="00203E4A" w:rsidRPr="000F6653">
        <w:rPr>
          <w:b/>
          <w:iCs/>
          <w:lang w:eastAsia="en-AU"/>
        </w:rPr>
        <w:t>section 1.6.7.3</w:t>
      </w:r>
      <w:r w:rsidR="00203E4A" w:rsidRPr="00837161">
        <w:rPr>
          <w:lang w:eastAsia="en-AU"/>
        </w:rPr>
        <w:t>)</w:t>
      </w:r>
      <w:r w:rsidR="32C5400A" w:rsidRPr="00837161">
        <w:rPr>
          <w:lang w:eastAsia="en-AU"/>
        </w:rPr>
        <w:t xml:space="preserve">. </w:t>
      </w:r>
      <w:r w:rsidR="6F37074E" w:rsidRPr="00837161">
        <w:rPr>
          <w:lang w:eastAsia="en-AU"/>
        </w:rPr>
        <w:t>Simple models generally based on species distribution data</w:t>
      </w:r>
      <w:r w:rsidR="32C5400A" w:rsidRPr="00837161">
        <w:rPr>
          <w:lang w:eastAsia="en-AU"/>
        </w:rPr>
        <w:t xml:space="preserve"> and</w:t>
      </w:r>
      <w:r w:rsidR="6F37074E" w:rsidRPr="00837161">
        <w:rPr>
          <w:lang w:eastAsia="en-AU"/>
        </w:rPr>
        <w:t xml:space="preserve"> climate matching software </w:t>
      </w:r>
      <w:r w:rsidR="32C5400A" w:rsidRPr="00837161">
        <w:rPr>
          <w:lang w:eastAsia="en-AU"/>
        </w:rPr>
        <w:t xml:space="preserve">are </w:t>
      </w:r>
      <w:r w:rsidR="6F37074E" w:rsidRPr="00837161">
        <w:rPr>
          <w:lang w:eastAsia="en-AU"/>
        </w:rPr>
        <w:t xml:space="preserve">often </w:t>
      </w:r>
      <w:r w:rsidR="32C5400A" w:rsidRPr="00837161">
        <w:rPr>
          <w:lang w:eastAsia="en-AU"/>
        </w:rPr>
        <w:t>crude an</w:t>
      </w:r>
      <w:r w:rsidR="40801423" w:rsidRPr="00837161">
        <w:rPr>
          <w:lang w:eastAsia="en-AU"/>
        </w:rPr>
        <w:t>d</w:t>
      </w:r>
      <w:r w:rsidR="32C5400A" w:rsidRPr="00837161">
        <w:rPr>
          <w:lang w:eastAsia="en-AU"/>
        </w:rPr>
        <w:t xml:space="preserve"> ca</w:t>
      </w:r>
      <w:r w:rsidR="40801423" w:rsidRPr="00837161">
        <w:rPr>
          <w:lang w:eastAsia="en-AU"/>
        </w:rPr>
        <w:t>n</w:t>
      </w:r>
      <w:r w:rsidR="32C5400A" w:rsidRPr="00837161">
        <w:rPr>
          <w:lang w:eastAsia="en-AU"/>
        </w:rPr>
        <w:t xml:space="preserve"> exag</w:t>
      </w:r>
      <w:r w:rsidR="5F7B095D" w:rsidRPr="00837161">
        <w:rPr>
          <w:lang w:eastAsia="en-AU"/>
        </w:rPr>
        <w:t>g</w:t>
      </w:r>
      <w:r w:rsidR="32C5400A" w:rsidRPr="00837161">
        <w:rPr>
          <w:lang w:eastAsia="en-AU"/>
        </w:rPr>
        <w:t>erate the risks</w:t>
      </w:r>
      <w:r w:rsidR="3537FDDF" w:rsidRPr="00837161">
        <w:rPr>
          <w:lang w:eastAsia="en-AU"/>
        </w:rPr>
        <w:t xml:space="preserve">. </w:t>
      </w:r>
      <w:r w:rsidR="00406EC9" w:rsidRPr="00837161">
        <w:rPr>
          <w:lang w:eastAsia="en-AU"/>
        </w:rPr>
        <w:t>Considering additional e</w:t>
      </w:r>
      <w:r w:rsidR="6F37074E" w:rsidRPr="00837161">
        <w:rPr>
          <w:lang w:eastAsia="en-AU"/>
        </w:rPr>
        <w:t xml:space="preserve">nvironmental </w:t>
      </w:r>
      <w:r w:rsidR="00406EC9" w:rsidRPr="00837161">
        <w:rPr>
          <w:lang w:eastAsia="en-AU"/>
        </w:rPr>
        <w:t xml:space="preserve">data </w:t>
      </w:r>
      <w:r w:rsidR="3537FDDF" w:rsidRPr="00837161">
        <w:rPr>
          <w:lang w:eastAsia="en-AU"/>
        </w:rPr>
        <w:t xml:space="preserve">is one way to </w:t>
      </w:r>
      <w:r w:rsidR="6F37074E" w:rsidRPr="00837161">
        <w:rPr>
          <w:lang w:eastAsia="en-AU"/>
        </w:rPr>
        <w:t>fine tune spread and distribution</w:t>
      </w:r>
      <w:r w:rsidR="55186276" w:rsidRPr="00837161">
        <w:rPr>
          <w:lang w:eastAsia="en-AU"/>
        </w:rPr>
        <w:t>.</w:t>
      </w:r>
      <w:r w:rsidR="6F37074E" w:rsidRPr="00837161">
        <w:rPr>
          <w:lang w:eastAsia="en-AU"/>
        </w:rPr>
        <w:t xml:space="preserve"> </w:t>
      </w:r>
      <w:r w:rsidR="40801423" w:rsidRPr="00837161">
        <w:rPr>
          <w:lang w:eastAsia="en-AU"/>
        </w:rPr>
        <w:t xml:space="preserve">Such models </w:t>
      </w:r>
      <w:r w:rsidR="6F37074E" w:rsidRPr="00837161">
        <w:rPr>
          <w:lang w:eastAsia="en-AU"/>
        </w:rPr>
        <w:t xml:space="preserve">can also project likely future distributions under climate change </w:t>
      </w:r>
      <w:r w:rsidR="062DCDFE" w:rsidRPr="00837161">
        <w:rPr>
          <w:lang w:eastAsia="en-AU"/>
        </w:rPr>
        <w:fldChar w:fldCharType="begin"/>
      </w:r>
      <w:r w:rsidR="000F35EB">
        <w:rPr>
          <w:lang w:eastAsia="en-AU"/>
        </w:rPr>
        <w:instrText xml:space="preserve"> ADDIN ZOTERO_ITEM CSL_CITATION {"citationID":"PUfqmCIu","properties":{"formattedCitation":"(Kriticos et al., 2005; Venette et al., 2010)","plainCitation":"(Kriticos et al., 2005; Venette et al., 2010)","noteIndex":0},"citationItems":[{"id":11232,"uris":["http://zotero.org/groups/2352922/items/T769N3KM"],"itemData":{"id":11232,"type":"article-journal","abstract":"A climate model of the estimated potential distribution of Chromolaena odorata has been revised. The new model fits the known distribution better, eliminates several internal inconsistencies, and employs more biologically appropriate cold-stress mechanisms. The revised model reduces the estimated potential distribution of C. odorata, particularly in terms of the poleward and inland extents of suitable climates. Mediterranean, semi-arid and temperate climates are now predicted to be unsuitable. However, the revised model supports the previous conclusions that much of tropical Africa, the north-eastern coast of Australia and most Pacific islands are at risk of invasion. The distribution of C. odorata in South Africa extends further south than predicted by the model based on Asian and American distribution records. This anomaly supports the contention that the South African variety of C. odorata has different climatic requirements to the varieties commonly found elsewhere.","container-title":"Weed Research","DOI":"10.1111/j.1365-3180.2005.00458.x","ISSN":"1365-3180","issue":"4","language":"en","note":"_eprint: https://onlinelibrary.wiley.com/doi/pdf/10.1111/j.1365-3180.2005.00458.x","page":"246-254","source":"Wiley Online Library","title":"The potential distribution of &lt;i&gt;Chromolaena odorata&lt;/i&gt; (Siam weed) in relation to climate","URL":"https://onlinelibrary.wiley.com/doi/abs/10.1111/j.1365-3180.2005.00458.x","volume":"45","author":[{"family":"Kriticos","given":"D. J."},{"family":"Yonow","given":"T."},{"family":"McFadyen","given":"R. E."}],"accessed":{"date-parts":[["2020",6,23]]},"issued":{"date-parts":[["2005"]]}},"label":"page"},{"id":24167,"uris":["http://zotero.org/groups/2352922/items/RV4NBGIF"],"itemData":{"id":24167,"type":"article-journal","abstract":"Pest risk maps are powerful visual communication tools to describe where invasive alien species might arrive, establish, spread, or cause harmful impacts. These maps inform strategic and tactical pest management decisions, such as potential restrictions on international trade or the design of pest surveys and domestic quarantines. Diverse methods are available to create pest risk maps, and can potentially yield different depictions of risk for the same species. Inherent uncertainties about the biology of the invader, future climate conditions, and species interactions further complicate map interpretation. If multiple maps are available, risk managers must choose how to incorporate the various representations of risk into their decisionmaking process, and may make significant errors if they misunderstand what each map portrays. This article describes the need for pest risk maps, compares pest risk mapping methods, and recommends future research to improve such important decision-support tools.","container-title":"BioScience","DOI":"10.1525/bio.2010.60.5.5","ISSN":"0006-3568","issue":"5","journalAbbreviation":"BioScience","language":"en","page":"349–362","source":"DOI.org (Crossref)","title":"Pest Risk Maps for Invasive Alien Species: A Roadmap for Improvement","title-short":"Pest Risk Maps for Invasive Alien Species","URL":"http://bioscience.oxfordjournals.org/content/60/5/349.abstract","volume":"60","author":[{"family":"Venette","given":"Robert C"},{"family":"Kriticos","given":"Darren J"},{"family":"Magarey","given":"Roger D"},{"family":"Koch","given":"Frank H"},{"family":"Baker","given":"Richard H A"},{"family":"Worner","given":"Susan P"},{"family":"Gómez Raboteaux","given":"Nadilia N"},{"family":"McKenney","given":"Daniel W"},{"family":"Dobesberger","given":"Erhard J"},{"family":"Yemshanov","given":"Denys"},{"family":"De Barro","given":"Paul J"},{"family":"Hutchison","given":"William D"},{"family":"Fowler","given":"Glenn"},{"family":"Kalaris","given":"Tom M"},{"family":"Pedlar","given":"John"}],"issued":{"date-parts":[["2010",5,1]]}},"label":"page"}],"schema":"https://github.com/citation-style-language/schema/raw/master/csl-citation.json"} </w:instrText>
      </w:r>
      <w:r w:rsidR="062DCDFE" w:rsidRPr="00837161">
        <w:rPr>
          <w:lang w:eastAsia="en-AU"/>
        </w:rPr>
        <w:fldChar w:fldCharType="separate"/>
      </w:r>
      <w:r w:rsidR="00271B78" w:rsidRPr="00271B78">
        <w:t>(Kriticos et al., 2005; Venette et al., 2010)</w:t>
      </w:r>
      <w:r w:rsidR="062DCDFE" w:rsidRPr="00837161">
        <w:rPr>
          <w:lang w:eastAsia="en-AU"/>
        </w:rPr>
        <w:fldChar w:fldCharType="end"/>
      </w:r>
      <w:r w:rsidR="6F37074E" w:rsidRPr="00837161">
        <w:rPr>
          <w:lang w:eastAsia="en-AU"/>
        </w:rPr>
        <w:t xml:space="preserve">. More complex </w:t>
      </w:r>
      <w:r w:rsidR="6322E230" w:rsidRPr="00837161">
        <w:rPr>
          <w:lang w:eastAsia="en-AU"/>
        </w:rPr>
        <w:t xml:space="preserve">process-based </w:t>
      </w:r>
      <w:r w:rsidR="6F37074E" w:rsidRPr="00837161">
        <w:rPr>
          <w:lang w:eastAsia="en-AU"/>
        </w:rPr>
        <w:t xml:space="preserve">models can incorporate physiological limits of the target invasive alien species to better define habitat suitability </w:t>
      </w:r>
      <w:r w:rsidR="062DCDFE" w:rsidRPr="00837161">
        <w:rPr>
          <w:lang w:eastAsia="en-AU"/>
        </w:rPr>
        <w:fldChar w:fldCharType="begin"/>
      </w:r>
      <w:r w:rsidR="000F35EB">
        <w:rPr>
          <w:lang w:eastAsia="en-AU"/>
        </w:rPr>
        <w:instrText xml:space="preserve"> ADDIN ZOTERO_ITEM CSL_CITATION {"citationID":"daDePEOI","properties":{"formattedCitation":"(Kriticos et al., 2020)","plainCitation":"(Kriticos et al., 2020)","noteIndex":0},"citationItems":[{"id":11415,"uris":["http://zotero.org/groups/2352922/items/8T3TSY8T"],"itemData":{"id":11415,"type":"article-journal","abstract":"The Bemisia tabaci species complex is one of the most important pests of open field and protected cropping globally. Within this complex, one species (Middle East Asia Minor 1, B. tabaci MEAM1, formerly biotype B) has been especially problematic, invading widely and spreading a large variety of plant pathogens, and developing broad spectrum pesticide resistance. Here, we fit a CLIMEX model to the distribution records of B. tabaci MEAM1, using experimental observations to calibrate its temperature responses. In fitting the model, we consider the effects of irrigation and glasshouses in extending its potential range. The validated niche model estimates its potential distribution as being considerably broader than its present known distribution, especially in the Americas, Africa and Asia. The potential distribution of the fitted model encompasses the known distribution of B. tabaci sensu lato, highlighting the magnitude of the threat posed globally by this invasive pest species complex and the viruses it vectors to open field and protected agriculture.","container-title":"Bulletin of Entomological Research","DOI":"10.1017/S0007485320000061","ISSN":"0007-4853, 1475-2670","issue":"5","language":"en","note":"publisher: Cambridge University Press","page":"567-576","source":"Cambridge University Press","title":"The potential geographical distribution and phenology of &lt;i&gt;Bemisia tabaci&lt;/i&gt; Middle East/Asia Minor 1, considering irrigation and glasshouse production","URL":"https://www.cambridge.org/core/journals/bulletin-of-entomological-research/article/potential-geographical-distribution-and-phenology-of-bemisia-tabaci-middle-eastasia-minor-1-considering-irrigation-and-glasshouse-production/B4E8F22D97CDADA51BBED0A44578C48C","volume":"110","author":[{"family":"Kriticos","given":"D. J."},{"family":"De Barro","given":"P. J."},{"family":"Yonow","given":"T."},{"family":"Ota","given":"N."},{"family":"Sutherst","given":"R. W."}],"accessed":{"date-parts":[["2020",6,23]]},"issued":{"date-parts":[["2020"]]}},"label":"page"}],"schema":"https://github.com/citation-style-language/schema/raw/master/csl-citation.json"} </w:instrText>
      </w:r>
      <w:r w:rsidR="062DCDFE" w:rsidRPr="00837161">
        <w:rPr>
          <w:lang w:eastAsia="en-AU"/>
        </w:rPr>
        <w:fldChar w:fldCharType="separate"/>
      </w:r>
      <w:r w:rsidR="00271B78" w:rsidRPr="00271B78">
        <w:t>(Kriticos et al., 2020)</w:t>
      </w:r>
      <w:r w:rsidR="062DCDFE" w:rsidRPr="00837161">
        <w:rPr>
          <w:lang w:eastAsia="en-AU"/>
        </w:rPr>
        <w:fldChar w:fldCharType="end"/>
      </w:r>
      <w:r w:rsidR="6F37074E" w:rsidRPr="00837161">
        <w:rPr>
          <w:lang w:eastAsia="en-AU"/>
        </w:rPr>
        <w:t xml:space="preserve">. Similar approaches have been applied for predicting </w:t>
      </w:r>
      <w:r w:rsidR="00C74FA0" w:rsidRPr="00837161">
        <w:rPr>
          <w:lang w:eastAsia="en-AU"/>
        </w:rPr>
        <w:t xml:space="preserve">and mapping </w:t>
      </w:r>
      <w:r w:rsidR="6F37074E" w:rsidRPr="00837161">
        <w:rPr>
          <w:lang w:eastAsia="en-AU"/>
        </w:rPr>
        <w:t xml:space="preserve">habitat suitability and distribution of invasive </w:t>
      </w:r>
      <w:r w:rsidR="00C74FA0" w:rsidRPr="00837161">
        <w:rPr>
          <w:lang w:eastAsia="en-AU"/>
        </w:rPr>
        <w:t xml:space="preserve">alien </w:t>
      </w:r>
      <w:r w:rsidR="6F37074E" w:rsidRPr="00837161">
        <w:rPr>
          <w:lang w:eastAsia="en-AU"/>
        </w:rPr>
        <w:t xml:space="preserve">vertebrate species, </w:t>
      </w:r>
      <w:r w:rsidR="00C74FA0" w:rsidRPr="00837161">
        <w:rPr>
          <w:lang w:eastAsia="en-AU"/>
        </w:rPr>
        <w:t xml:space="preserve">invasive alien </w:t>
      </w:r>
      <w:r w:rsidR="6F37074E" w:rsidRPr="00837161">
        <w:rPr>
          <w:lang w:eastAsia="en-AU"/>
        </w:rPr>
        <w:t xml:space="preserve">arthropods, invasive </w:t>
      </w:r>
      <w:r w:rsidR="00C74FA0" w:rsidRPr="00837161">
        <w:rPr>
          <w:lang w:eastAsia="en-AU"/>
        </w:rPr>
        <w:t xml:space="preserve">alien </w:t>
      </w:r>
      <w:r w:rsidR="6F37074E" w:rsidRPr="00837161">
        <w:rPr>
          <w:lang w:eastAsia="en-AU"/>
        </w:rPr>
        <w:t xml:space="preserve">plant pests and pathogens and biological control agents released to manage invasive alien plants </w:t>
      </w:r>
      <w:r w:rsidR="062DCDFE" w:rsidRPr="00837161">
        <w:rPr>
          <w:lang w:eastAsia="en-AU"/>
        </w:rPr>
        <w:fldChar w:fldCharType="begin"/>
      </w:r>
      <w:r w:rsidR="000F35EB">
        <w:rPr>
          <w:lang w:eastAsia="en-AU"/>
        </w:rPr>
        <w:instrText xml:space="preserve"> ADDIN ZOTERO_ITEM CSL_CITATION {"citationID":"gCuEiYsv","properties":{"formattedCitation":"(Haye et al., 2018; Kriticos et al., 2009, 2013)","plainCitation":"(Haye et al., 2018; Kriticos et al., 2009, 2013)","noteIndex":0},"citationItems":[{"id":25089,"uris":["http://zotero.org/groups/2352922/items/JPZ5ZHNA"],"itemData":{"id":25089,"type":"article-journal","container-title":"Biological Control","DOI":"10.1016/j.biocontrol.2018.06.003","ISSN":"10499644","journalAbbreviation":"Biological Control","language":"en","page":"30-39","source":"DOI.org (Crossref)","title":"Bioclimatic analyses of &lt;i&gt;Trichomalus perfectus&lt;/i&gt; and &lt;i&gt;Mesopolobus morys&lt;/i&gt; (Hymenoptera: Pteromalidae) distributions, two potential biological control agents of the cabbage seedpod weevil in North America","title-short":"Bioclimatic analyses of Trichomalus perfectus and Mesopolobus morys (Hymenoptera","URL":"https://linkinghub.elsevier.com/retrieve/pii/S1049964418303232","volume":"124","author":[{"family":"Haye","given":"Tim"},{"family":"Olfert","given":"Owen"},{"family":"Weiss","given":"Ross"},{"family":"Mason","given":"Peter G."},{"family":"Gibson","given":"Gary"},{"family":"Gariepy","given":"Tara D."},{"family":"Gillespie","given":"David R."}],"accessed":{"date-parts":[["2021",3,17]]},"issued":{"date-parts":[["2018",9]]}},"label":"page"},{"id":22576,"uris":["http://zotero.org/groups/2352922/items/HNF64ALM"],"itemData":{"id":22576,"type":"article-journal","abstract":"The risks and benefits associated with efforts to control invasive alien species using classical biological control are being subjected to increasing scrutiny. A process-based population dynamics model was developed to explore the interactions between a folivorous biological control agent, Cleopus japonicus, and its plant host Buddleja davidii. The model revealed that climate could have a significant impact upon the interactions between B. davidii and C. japonicus. At the coolest sites, the impact of C. japonicus on B. davidii was slowed, but it was still eventually capable of controlling populations of B. davidii. At the warmer sites where both B. davidii and C. japonicus grew faster, B. davidii succumbed rapidly to weevil damage. We hypothesise that barring an encounter with a natural enemy, C. japonicus will eventually be able to provide sustained control B. davidii throughout the North Island of New Zealand. The model scenarios illustrate the potential for the C. japonicus population to attain high densities rapidly, and to defoliate patches of B. davidii, creating the potential for spill-over feeding on non-target plants. The potential magnitude of this threat will depend partly on the climate suitability for C. japonicus, the pattern by which it migrates in response to a reduction in the available leaf resource, and the suitability of non-target plants as hosts. In all migration scenarios considered, the pattern of population growth and resource consumption by C. japonicus was exponential, with a strong tendency toward complete utilisation of resource patches more quickly at the warmer compared to colder sites. In addition to providing some useful hypotheses about the effects of climate on the biological control system, and the non-target risks, it also provides some insight into the mechanisms by which climate affects the system.","container-title":"Ecological Modelling","DOI":"10.1016/j.ecolmodel.2009.04.039","ISSN":"0304-3800","issue":"17","journalAbbreviation":"Ecological Modelling","language":"en","page":"2035-2050","source":"ScienceDirect","title":"A process-based population dynamics model to explore target and non-target impacts of a biological control agent","URL":"http://www.sciencedirect.com/science/article/pii/S030438000900307X","volume":"220","author":[{"family":"Kriticos","given":"D. J."},{"family":"Watt","given":"Michael S."},{"family":"Withers","given":"Toni M."},{"family":"Leriche","given":"Agathe"},{"family":"Watson","given":"Michelle C."}],"accessed":{"date-parts":[["2020",6,23]]},"issued":{"date-parts":[["2009",9,10]]}},"label":"page"},{"id":22578,"uris":["http://zotero.org/groups/2352922/items/GIASWXMD"],"itemData":{"id":22578,"type":"article-journal","abstract":"Puccinia psidii sensu lato (s.l.) is an invasive rust fungus threatening a wide range of plant species in the family Myrtaceae. Originating from Central and South America, it has invaded mainland USA and Hawai'i, parts of Asia and Australia. We used CLIMEX to develop a semi-mechanistic global climatic niche model based on new data on the distribution and biology of P. psidii s.l. The model was validated using independent distribution data from recently invaded areas in Australia, China and Japan. We combined this model with distribution data of its potential Myrtaceae host plant species present in Australia to identify areas and ecosystems most at risk. Myrtaceaeous species richness, threatened Myrtaceae and eucalypt plantations within the climatically suitable envelope for P. psidii s.l in Australia were mapped. Globally the model identifies climatically suitable areas for P. psidii s.l. throughout the wet tropics and sub-tropics where moist conditions with moderate temperatures prevail, and also into some cool regions with a mild Mediterranean climate. In Australia, the map of species richness of Myrtaceae within the P. psidii s.l. climatic envelope shows areas where epidemics are hypothetically more likely to be frequent and severe. These hotspots for epidemics are along the eastern coast of New South Wales, including the Sydney Basin, in the Brisbane and Cairns areas in Queensland, and in the coastal region from the south of Bunbury to Esperance in Western Australia. This new climatic niche model for P. psidii s.l. indicates a higher degree of cold tolerance; and hence a potential range that extends into higher altitudes and latitudes than has been indicated previously. The methods demonstrated here provide some insight into the impacts an invasive species might have within its climatically suited range, and can help inform biosecurity policies regarding the management of its spread and protection of valued threatened assets.","container-title":"PLoS ONE","DOI":"10.1371/journal.pone.0064479","ISSN":"1932-6203","issue":"5","journalAbbreviation":"PLOS ONE","language":"en","note":"publisher: Public Library of Science","page":"e64479","source":"PLoS Journals","title":"Combining a Climatic Niche Model of an Invasive Fungus with Its Host Species Distributions to Identify Risks to Natural Assets: &lt;i&gt;Puccinia psidii&lt;/i&gt; Sensu Lato in Australia","title-short":"Combining a Climatic Niche Model of an Invasive Fungus with Its Host Species Distributions to Identify Risks to Natural Assets","URL":"https://journals.plos.org/plosone/article?id=10.1371/journal.pone.0064479","volume":"8","author":[{"family":"Kriticos","given":"D. J."},{"family":"Morin","given":"Louise"},{"family":"Leriche","given":"Agathe"},{"family":"Anderson","given":"Robert C."},{"family":"Caley","given":"Peter"}],"accessed":{"date-parts":[["2020",6,23]]},"issued":{"date-parts":[["2013",5,21]]}},"label":"page"}],"schema":"https://github.com/citation-style-language/schema/raw/master/csl-citation.json"} </w:instrText>
      </w:r>
      <w:r w:rsidR="062DCDFE" w:rsidRPr="00837161">
        <w:rPr>
          <w:lang w:eastAsia="en-AU"/>
        </w:rPr>
        <w:fldChar w:fldCharType="separate"/>
      </w:r>
      <w:r w:rsidR="00271B78" w:rsidRPr="00271B78">
        <w:t>(Haye et al., 2018; Kriticos et al., 2009, 2013)</w:t>
      </w:r>
      <w:r w:rsidR="062DCDFE" w:rsidRPr="00837161">
        <w:rPr>
          <w:lang w:eastAsia="en-AU"/>
        </w:rPr>
        <w:fldChar w:fldCharType="end"/>
      </w:r>
      <w:r w:rsidR="6F37074E" w:rsidRPr="00837161">
        <w:rPr>
          <w:lang w:eastAsia="en-AU"/>
        </w:rPr>
        <w:t>. The maps generated can be used to guide decisions regarding the implementation of geographically targeted monitoring which allow</w:t>
      </w:r>
      <w:r w:rsidR="524D5ED5" w:rsidRPr="00837161">
        <w:rPr>
          <w:lang w:eastAsia="en-AU"/>
        </w:rPr>
        <w:t>s</w:t>
      </w:r>
      <w:r w:rsidR="6F37074E" w:rsidRPr="00837161">
        <w:rPr>
          <w:lang w:eastAsia="en-AU"/>
        </w:rPr>
        <w:t xml:space="preserve"> early warning and rapid response </w:t>
      </w:r>
      <w:r w:rsidR="062DCDFE" w:rsidRPr="00837161">
        <w:rPr>
          <w:lang w:eastAsia="en-AU"/>
        </w:rPr>
        <w:fldChar w:fldCharType="begin"/>
      </w:r>
      <w:r w:rsidR="000F35EB">
        <w:rPr>
          <w:lang w:eastAsia="en-AU"/>
        </w:rPr>
        <w:instrText xml:space="preserve"> ADDIN ZOTERO_ITEM CSL_CITATION {"citationID":"c66Xm5ly","properties":{"formattedCitation":"(T. P. Robinson et al., 2010)","plainCitation":"(T. P. Robinson et al., 2010)","noteIndex":0},"citationItems":[{"id":21572,"uris":["http://zotero.org/groups/2352922/items/LF9E8WFK"],"itemData":{"id":21572,"type":"article-journal","container-title":"Ecological Modelling","DOI":"10.1016/j.ecolmodel.2010.04.018","ISSN":"03043800","issue":"19","journalAbbreviation":"Ecological Modelling","language":"en","page":"2261-2269","source":"DOI.org (Crossref)","title":"Comparison of alternative strategies for invasive species distribution modeling","URL":"https://linkinghub.elsevier.com/retrieve/pii/S0304380010002346","volume":"221","author":[{"family":"Robinson","given":"Todd P."},{"family":"Klinken","given":"Rieks D.","non-dropping-particle":"van"},{"family":"Metternicht","given":"Graciela"}],"accessed":{"date-parts":[["2020",3,30]]},"issued":{"date-parts":[["2010",9]]}},"label":"page"}],"schema":"https://github.com/citation-style-language/schema/raw/master/csl-citation.json"} </w:instrText>
      </w:r>
      <w:r w:rsidR="062DCDFE" w:rsidRPr="00837161">
        <w:rPr>
          <w:lang w:eastAsia="en-AU"/>
        </w:rPr>
        <w:fldChar w:fldCharType="separate"/>
      </w:r>
      <w:r w:rsidR="00271B78" w:rsidRPr="00271B78">
        <w:t>(T. P. Robinson et al., 2010)</w:t>
      </w:r>
      <w:r w:rsidR="062DCDFE" w:rsidRPr="00837161">
        <w:rPr>
          <w:lang w:eastAsia="en-AU"/>
        </w:rPr>
        <w:fldChar w:fldCharType="end"/>
      </w:r>
      <w:r w:rsidR="6F37074E" w:rsidRPr="00837161">
        <w:rPr>
          <w:lang w:eastAsia="en-AU"/>
        </w:rPr>
        <w:t xml:space="preserve">. Creating </w:t>
      </w:r>
      <w:r w:rsidR="358474DF" w:rsidRPr="00837161">
        <w:rPr>
          <w:lang w:eastAsia="en-AU"/>
        </w:rPr>
        <w:t xml:space="preserve">accurate </w:t>
      </w:r>
      <w:r w:rsidR="6F37074E" w:rsidRPr="00837161">
        <w:rPr>
          <w:lang w:eastAsia="en-AU"/>
        </w:rPr>
        <w:t>risk maps relies on available spatial data of species distribution, area</w:t>
      </w:r>
      <w:r w:rsidR="00E552A8">
        <w:rPr>
          <w:lang w:eastAsia="en-AU"/>
        </w:rPr>
        <w:t>s</w:t>
      </w:r>
      <w:r w:rsidR="6F37074E" w:rsidRPr="00837161">
        <w:rPr>
          <w:lang w:eastAsia="en-AU"/>
        </w:rPr>
        <w:t xml:space="preserve"> of interest, and climate</w:t>
      </w:r>
      <w:r w:rsidR="32AE81FA" w:rsidRPr="00837161">
        <w:rPr>
          <w:lang w:eastAsia="en-AU"/>
        </w:rPr>
        <w:t>, species physiological tolerances</w:t>
      </w:r>
      <w:r w:rsidR="6F37074E" w:rsidRPr="00837161">
        <w:rPr>
          <w:lang w:eastAsia="en-AU"/>
        </w:rPr>
        <w:t xml:space="preserve"> and environmental data layers. This is nowadays facilitated by geographic information systems</w:t>
      </w:r>
      <w:r w:rsidR="00ED0DD6" w:rsidRPr="00837161">
        <w:rPr>
          <w:lang w:eastAsia="en-AU"/>
        </w:rPr>
        <w:t xml:space="preserve"> (GIS)</w:t>
      </w:r>
      <w:r w:rsidR="6F37074E" w:rsidRPr="00837161">
        <w:rPr>
          <w:lang w:eastAsia="en-AU"/>
        </w:rPr>
        <w:t xml:space="preserve"> and facilities such as Global Biodiversity Information Facility</w:t>
      </w:r>
      <w:r w:rsidR="001F28B6" w:rsidRPr="00837161">
        <w:rPr>
          <w:lang w:eastAsia="en-AU"/>
        </w:rPr>
        <w:t xml:space="preserve"> (GBIF)</w:t>
      </w:r>
      <w:r w:rsidR="6F37074E" w:rsidRPr="00837161">
        <w:rPr>
          <w:lang w:eastAsia="en-AU"/>
        </w:rPr>
        <w:t xml:space="preserve">, having the capacity to process and give access to spatial data sets worldwide </w:t>
      </w:r>
      <w:r w:rsidR="062DCDFE" w:rsidRPr="00837161">
        <w:rPr>
          <w:lang w:eastAsia="en-AU"/>
        </w:rPr>
        <w:fldChar w:fldCharType="begin"/>
      </w:r>
      <w:r w:rsidR="000F35EB">
        <w:rPr>
          <w:lang w:eastAsia="en-AU"/>
        </w:rPr>
        <w:instrText xml:space="preserve"> ADDIN ZOTERO_ITEM CSL_CITATION {"citationID":"u4gVBijI","properties":{"formattedCitation":"(McGeoch, Groom, et al., 2016)","plainCitation":"(McGeoch, Groom, et al., 2016)","noteIndex":0},"citationItems":[{"id":26531,"uris":["http://zotero.org/groups/2352922/items/KNU7MDIM"],"itemData":{"id":26531,"type":"document","publisher":"GBIF Secretariat, Copenhagen","title":"Data fitness for use in research on alien and invasive species","URL":"http://www.gbif.org/document/82958","author":[{"family":"McGeoch","given":"Melodie A."},{"family":"Groom","given":"Quentin J."},{"family":"Pagad","given":"Shyama"},{"family":"Petrosyan","given":"V"},{"family":"Ruiz","given":"G"},{"family":"Wilson","given":"John"}],"issued":{"date-parts":[["2016"]]}}}],"schema":"https://github.com/citation-style-language/schema/raw/master/csl-citation.json"} </w:instrText>
      </w:r>
      <w:r w:rsidR="062DCDFE" w:rsidRPr="00837161">
        <w:rPr>
          <w:lang w:eastAsia="en-AU"/>
        </w:rPr>
        <w:fldChar w:fldCharType="separate"/>
      </w:r>
      <w:r w:rsidR="00271B78" w:rsidRPr="00271B78">
        <w:t>(McGeoch, Groom, et al., 2016)</w:t>
      </w:r>
      <w:r w:rsidR="062DCDFE" w:rsidRPr="00837161">
        <w:rPr>
          <w:lang w:eastAsia="en-AU"/>
        </w:rPr>
        <w:fldChar w:fldCharType="end"/>
      </w:r>
      <w:r w:rsidR="6F37074E" w:rsidRPr="00837161">
        <w:rPr>
          <w:lang w:eastAsia="en-AU"/>
        </w:rPr>
        <w:t xml:space="preserve">. Models are selected, </w:t>
      </w:r>
      <w:r w:rsidR="000433A2" w:rsidRPr="00837161">
        <w:rPr>
          <w:lang w:eastAsia="en-AU"/>
        </w:rPr>
        <w:t>calibrated,</w:t>
      </w:r>
      <w:r w:rsidR="6F37074E" w:rsidRPr="00837161">
        <w:rPr>
          <w:lang w:eastAsia="en-AU"/>
        </w:rPr>
        <w:t xml:space="preserve"> and verified to satisfy underlying assumptions and validated where possible against independent data. Results are depicted on maps and interpreted relative to uncertainty in the models </w:t>
      </w:r>
      <w:r w:rsidR="062DCDFE" w:rsidRPr="00837161">
        <w:rPr>
          <w:lang w:eastAsia="en-AU"/>
        </w:rPr>
        <w:fldChar w:fldCharType="begin"/>
      </w:r>
      <w:r w:rsidR="000F35EB">
        <w:rPr>
          <w:lang w:eastAsia="en-AU"/>
        </w:rPr>
        <w:instrText xml:space="preserve"> ADDIN ZOTERO_ITEM CSL_CITATION {"citationID":"dpOicwSd","properties":{"formattedCitation":"(Yemshanov et al., 2015)","plainCitation":"(Yemshanov et al., 2015)","noteIndex":0},"citationItems":[{"id":12440,"uris":["http://zotero.org/groups/2352922/items/ZD5HL3X4"],"itemData":{"id":12440,"type":"chapter","container-title":"Pest risk modelling and mapping for Invasive Alien Species","event-place":"Wallingford, UK","page":"206-222","publisher":"CABI International and USDA","publisher-place":"Wallingford, UK","title":"Making Invasion Models Useful for Decision Makers: Incorporating Uncertainty, Knowledge Gaps and Decision-making Preferences","author":[{"family":"Yemshanov","given":"Denys"},{"family":"Koch","given":"Frank H"},{"family":"Ducey","given":"Mark"}],"editor":[{"family":"Venette","given":"R C"}],"issued":{"date-parts":[["2015"]]}}}],"schema":"https://github.com/citation-style-language/schema/raw/master/csl-citation.json"} </w:instrText>
      </w:r>
      <w:r w:rsidR="062DCDFE" w:rsidRPr="00837161">
        <w:rPr>
          <w:lang w:eastAsia="en-AU"/>
        </w:rPr>
        <w:fldChar w:fldCharType="separate"/>
      </w:r>
      <w:r w:rsidR="00271B78" w:rsidRPr="00271B78">
        <w:t>(Yemshanov et al., 2015)</w:t>
      </w:r>
      <w:r w:rsidR="062DCDFE" w:rsidRPr="00837161">
        <w:rPr>
          <w:lang w:eastAsia="en-AU"/>
        </w:rPr>
        <w:fldChar w:fldCharType="end"/>
      </w:r>
      <w:r w:rsidR="6F37074E" w:rsidRPr="00837161">
        <w:rPr>
          <w:lang w:eastAsia="en-AU"/>
        </w:rPr>
        <w:t>.</w:t>
      </w:r>
    </w:p>
    <w:p w14:paraId="12BBE066" w14:textId="50885E01" w:rsidR="001B0409" w:rsidRPr="00837161" w:rsidRDefault="6F37074E" w:rsidP="00C11DFA">
      <w:pPr>
        <w:spacing w:before="240" w:after="120" w:line="240" w:lineRule="auto"/>
      </w:pPr>
      <w:bookmarkStart w:id="100" w:name="_heading=h.1pxezwc" w:colFirst="0" w:colLast="0"/>
      <w:bookmarkEnd w:id="100"/>
      <w:r w:rsidRPr="00837161">
        <w:t>Although these methods are not unchallenged</w:t>
      </w:r>
      <w:r w:rsidR="00E552A8">
        <w:t>,</w:t>
      </w:r>
      <w:r w:rsidRPr="00837161">
        <w:t xml:space="preserve"> and despite </w:t>
      </w:r>
      <w:r w:rsidR="00E552A8">
        <w:t xml:space="preserve">a </w:t>
      </w:r>
      <w:r w:rsidRPr="00837161">
        <w:t xml:space="preserve">continuing debate on the accuracy of the different modelling algorithms, </w:t>
      </w:r>
      <w:r w:rsidR="003915E3">
        <w:t xml:space="preserve">on the </w:t>
      </w:r>
      <w:r w:rsidRPr="00837161">
        <w:t>relevance and reliability of environmental data sources</w:t>
      </w:r>
      <w:r w:rsidR="00C16EEB">
        <w:t xml:space="preserve"> and</w:t>
      </w:r>
      <w:r w:rsidRPr="00837161">
        <w:t xml:space="preserve"> </w:t>
      </w:r>
      <w:r w:rsidR="003915E3">
        <w:t xml:space="preserve">on </w:t>
      </w:r>
      <w:r w:rsidRPr="00837161">
        <w:t xml:space="preserve">transferability of models </w:t>
      </w:r>
      <w:r w:rsidRPr="00837161">
        <w:fldChar w:fldCharType="begin"/>
      </w:r>
      <w:r w:rsidR="000F35EB">
        <w:instrText xml:space="preserve"> ADDIN ZOTERO_ITEM CSL_CITATION {"citationID":"2mu3xNsx","properties":{"formattedCitation":"(Capinha et al., 2018; Datta et al., 2020; C. Liu et al., 2020)","plainCitation":"(Capinha et al., 2018; Datta et al., 2020; C. Liu et al., 2020)","dontUpdate":true,"noteIndex":0},"citationItems":[{"id":28922,"uris":["http://zotero.org/groups/2352922/items/8BGZ8JWQ"],"itemData":{"id":28922,"type":"article-journal","abstract":"Robust predictions of alien species richness are useful to assess global biodiversity change. Nevertheless, the capacity to predict spatial patterns of alien species richness remains largely unassessed. Using 22 data sets of alien species richness from diverse taxonomic groups and covering various parts of the world, we evaluated whether different statistical models were able to provide useful predictions of absolute and relative alien species richness, as a function of explanatory variables representing geographical, environmental and socio-economic factors. Five state-of-the-art count data modelling techniques were used and compared: Poisson and negative binomial generalised linear models (GLMs), multivariate adaptive regression splines (MARS), random forests (RF) and boosted regression trees (BRT). We found that predictions of absolute alien species richness had a low to moderate accuracy in the region where the models were developed and a consistently poor accuracy in new regions. Predictions of relative richness performed in a superior manner in both geographical settings, but still were not good. Flexible tree ensembles-type techniques (RF and BRT) were shown to be significantly better in modelling alien species richness than parametric linear models (such as GLM), despite the latter being more commonly applied for this purpose. Importantly, the poor spatial transferability of models also warrants caution in assuming the generality of the relationships they identify, e.g. by applying projections under future scenario conditions. Ultimately, our results strongly suggest that predictability of spatial variation in richness of alien species richness is limited. The somewhat more robust ability to rank regions according to the number of aliens they have (i.e. relative richness), suggests that models of aliens species richness may be useful for prioritising and comparing regions, but not for predicting exact species numbers.","container-title":"NeoBiota","DOI":"10.3897/neobiota.38.23518","ISSN":"1314-2488, 1619-0033","journalAbbreviation":"NB","language":"en","page":"77-96","source":"DOI.org (Crossref)","title":"Models of alien species richness show moderate predictive accuracy and poor transferability","URL":"https://neobiota.pensoft.net/articles.php?id=23518","volume":"38","author":[{"family":"Capinha","given":"César"},{"family":"Essl","given":"Franz"},{"family":"Seebens","given":"Hanno"},{"family":"Pereira","given":"Henrique Miguel"},{"family":"Kühn","given":"Ingolf"}],"accessed":{"date-parts":[["2019",12,3]]},"issued":{"date-parts":[["2018",6,6]]}}},{"id":25083,"uris":["http://zotero.org/groups/2352922/items/S4QQKJUY"],"itemData":{"id":25083,"type":"article-journal","abstract":"Methodological research on species distribution modelling (SDM) has so far largely focused on the choice of appropriate modelling algorithms and variable selection approaches, but the consequences of choosing amongst different sources of environmental data has scarcely been investigated. Bioclimatic variables are commonly used as predictors in SDMs. Currently, several online databases offer the same sets of bioclimatic variables, but they differ in underlying source of raw data and method of data processing (extrapolation and downscaling). In this paper, we asked whether predictive performance and spatial transferability of SDMs are affected by the choice of two different bioclimatic databases viz. WorldClim 2 and Chelsa 1.2. We used presence-absence data of the invasive plant\n              Ageratina adenophora\n              from the Western Himalaya for training SDMs and a set of independently-collected presence-only datasets from the Central and Eastern Himalaya to evaluate the transferability of the SDMs beyond the training range. We found that the performance of SDMs was, to a large degree, affected by the choice of the climatic dataset. Models calibrated on Chelsa 1.2 outperformed WorldClim 2 in terms of internal evaluation on the calibration dataset. However, when the model was transferred beyond the calibration range to the Central and Eastern Himalaya, models based on WorldClim 2 performed substantially better. We recommend that, in addition to the choice of predictor variables, the choice of predictor datasets with these variables should not be based merely on subjective decision whenever several options are available. Instead, such decisions should be based on robust evaluation of the most appropriate dataset for a given geographic region and species being modelled. Moreover, decisions could also depend on the objective of the study, i.e. projecting within the calibration range or beyond. Therefore, a quantitative evaluation of predictor datasets from alternative sources should be routinely performed as an integral part of the modelling procedure.","container-title":"NeoBiota","DOI":"10.3897/neobiota.59.36299","ISSN":"1314-2488, 1619-0033","journalAbbreviation":"NB","page":"61-76","source":"DOI.org (Crossref)","title":"Origin of climatic data can determine the transferability of species distribution models","URL":"https://neobiota.pensoft.net/article/36299/","volume":"59","author":[{"family":"Datta","given":"Arunava"},{"family":"Schweiger","given":"Oliver"},{"family":"Kühn","given":"Ingolf"}],"accessed":{"date-parts":[["2021",3,17]]},"issued":{"date-parts":[["2020",7,28]]}}},{"id":26505,"uris":["http://zotero.org/groups/2352922/items/E92J9BFU"],"itemData":{"id":26505,"type":"article-journal","container-title":"Ecology Letters","DOI":"10.1111/ele.13577","ISSN":"1461-023X, 1461-0248","issue":"11","journalAbbreviation":"Ecol Lett","language":"en","page":"1682-1692","source":"DOI.org (Crossref)","title":"Species distribution models have limited spatial transferability for invasive species","URL":"https://onlinelibrary.wiley.com/doi/10.1111/ele.13577","volume":"23","author":[{"family":"Liu","given":"Chunlong"},{"family":"Wolter","given":"Christian"},{"family":"Xian","given":"Weiwei"},{"family":"Jeschke","given":"Jonathan M."}],"editor":[{"family":"Bertelsmeier","given":"Cleo"}],"accessed":{"date-parts":[["2021",3,17]]},"issued":{"date-parts":[["2020",11]]}}}],"schema":"https://github.com/citation-style-language/schema/raw/master/csl-citation.json"} </w:instrText>
      </w:r>
      <w:r w:rsidRPr="00837161">
        <w:fldChar w:fldCharType="separate"/>
      </w:r>
      <w:r w:rsidRPr="00837161">
        <w:t>(Capinha et al., 2018; Datta et al., 2020; Liu et al., 2020)</w:t>
      </w:r>
      <w:r w:rsidRPr="00837161">
        <w:fldChar w:fldCharType="end"/>
      </w:r>
      <w:r w:rsidRPr="00837161">
        <w:t xml:space="preserve">, methodologies are still improving </w:t>
      </w:r>
      <w:r w:rsidRPr="00837161">
        <w:fldChar w:fldCharType="begin"/>
      </w:r>
      <w:r w:rsidR="007746C5">
        <w:instrText xml:space="preserve"> ADDIN ZOTERO_ITEM CSL_CITATION {"citationID":"Gq3lcOsl","properties":{"formattedCitation":"(Chapman et al., 2019; Mainali et al., 2015)","plainCitation":"(Chapman et al., 2019; Mainali et al., 2015)","noteIndex":0},"citationItems":[{"id":11120,"uris":["http://zotero.org/groups/2352922/items/QDZD84ZX","http://zotero.org/groups/2352922/items/QAYJCMTF"],"itemData":{"id":11120,"type":"article-journal","abstract":"Aim We present a novel strategy for species distribution models (SDMs) aimed at predicting the potential distributions of range-expanding invasive non-native species (INNS). The strategy combines two established perspectives on defining the background region for sampling “pseudo-absences” that have hitherto only been applied separately. These are the accessible area, which accounts for dispersal constraints, and the area outside the environmental range of the species and therefore assumed to be unsuitable for the species. We tested an approach to combine these by fitting SDMs using background samples (pseudo-absences) from both types of background. Location Global. Taxon Invasive non-native plants: Humulus scandens, Lygodium japonicum, Lespedeza cuneata, Triadica sebifera, Cinnamomum camphora. Methods Presence-background (or presence-only) SDMs were developed for the potential global distributions of five plant species native to Asia, invasive elsewhere and prioritised for risk assessment as emerging INNS in Europe. We compared models where the pseudo-absences were selected from the accessible background, the unsuitable background (defined using biological knowledge of the species’ key limiting factors) or from both types of background. Results Combining the unsuitable and accessible backgrounds expanded the range of environments available for model fitting and caused biological knowledge about ecological unsuitability to influence the fitted species-environment relationships. This improved the realism and accuracy of distribution projections globally and, generally, within the species’ ranges. Main conclusions Correlative SDMs remain valuable for INNS risk mapping and management, but are often criticised for a lack of biological underpinning. Our approach partly addresses this concern by using prior knowledge of species’ requirements or tolerances to define the unsuitable background for modelling, while also accommodating dispersal constraints through considerations of accessibility. It can be implemented with current SDM software and results in more accurate and realistic distribution projections. As such, wider adoption has potential to improve SDMs that support INNS risk assessment.","container-title":"Journal of Biogeography","DOI":"https://doi.org/10.1111/jbi.13555","ISSN":"1365-2699","issue":"5","language":"en","note":"_eprint: https://onlinelibrary.wiley.com/doi/pdf/10.1111/jbi.13555","page":"1029-1040","source":"Wiley Online Library","title":"Improving species distribution models for invasive non-native species with biologically informed pseudo-absence selection","URL":"https://onlinelibrary.wiley.com/doi/abs/10.1111/jbi.13555","volume":"46","author":[{"family":"Chapman","given":"Daniel"},{"family":"Pescott","given":"Oliver L."},{"family":"Roy","given":"Helen E."},{"family":"Tanner","given":"Rob"}],"accessed":{"date-parts":[["2021",4,13]]},"issued":{"date-parts":[["2019"]]}},"label":"page"},{"id":11718,"uris":["http://zotero.org/groups/2352922/items/MZ4X58WM"],"itemData":{"id":11718,"type":"article-journal","abstract":"Modeling the distributions of species, especially of invasive species in non-native ranges, involves multiple challenges. Here, we developed some novel approaches to species distribution modeling aimed at reducing the influences of such challenges and improving the realism of projections. We estimated species-environment relationships for Parthenium hysterophorus L. (Asteraceae) with four modeling methods run with multiple scenarios of (i) sources of occurrences and geographically isolated background ranges for absences, (ii) approaches to drawing background (absence) points, and (iii) alternate sets of predictor variables. We further tested various quantitative metrics of model evaluation against biological insight. Model projections were very sensitive to the choice of training dataset. Model accuracy was much improved using a global dataset for model training, rather than restricting data input to the species' native range. AUC score was a poor metric for model evaluation and, if used alone, was not a useful criterion for assessing model performance. Projections away from the sampled space (i.e., into areas of potential future invasion) were very different depending on the modeling methods used, raising questions about the reliability of ensemble projections. Generalized linear models gave very unrealistic projections far away from the training region. Models that efficiently fit the dominant pattern, but exclude highly local patterns in the dataset and capture interactions as they appear in data (e.g., boosted regression trees), improved generalization of the models. Biological knowledge of the species and its distribution was important in refining choices about the best set of projections. A post hoc test conducted on a new Parthenium dataset from Nepal validated excellent predictive performance of our 'best' model. We showed that vast stretches of currently uninvaded geographic areas on multiple continents harbor highly suitable habitats for parthenium. However, discrepancies between model predictions and parthenium invasion in Australia indicate successful management for this globally significant weed. {©} 2015 John Wiley {&amp;} Sons Ltd.","container-title":"Global Change Biology","DOI":"10.1111/gcb.13038","ISSN":"13541013","issue":"12","journalAbbreviation":"Glob Change Biol","language":"en","page":"4464-4480","source":"DOI.org (Crossref)","title":"Projecting future expansion of invasive species: comparing and improving methodologies for species distribution modeling","title-short":"Projecting future expansion of invasive species","URL":"http://doi.wiley.com/10.1111/gcb.13038","volume":"21","author":[{"family":"Mainali","given":"Kumar P."},{"family":"Warren","given":"Dan L."},{"family":"Dhileepan","given":"Kunjithapatham"},{"family":"McConnachie","given":"Andrew"},{"family":"Strathie","given":"Lorraine"},{"family":"Hassan","given":"Gul"},{"family":"Karki","given":"Debendra"},{"family":"Shrestha","given":"Bharat B."},{"family":"Parmesan","given":"Camille"}],"accessed":{"date-parts":[["2020",3,31]]},"issued":{"date-parts":[["2015",12]]}},"label":"page"}],"schema":"https://github.com/citation-style-language/schema/raw/master/csl-citation.json"} </w:instrText>
      </w:r>
      <w:r w:rsidRPr="00837161">
        <w:fldChar w:fldCharType="separate"/>
      </w:r>
      <w:r w:rsidR="00271B78" w:rsidRPr="00271B78">
        <w:t>(Chapman et al., 2019; Mainali et al., 2015)</w:t>
      </w:r>
      <w:r w:rsidRPr="00837161">
        <w:fldChar w:fldCharType="end"/>
      </w:r>
      <w:r w:rsidRPr="00837161">
        <w:t xml:space="preserve">. </w:t>
      </w:r>
      <w:r w:rsidR="116CA729" w:rsidRPr="00837161">
        <w:t>M</w:t>
      </w:r>
      <w:r w:rsidRPr="00837161">
        <w:t xml:space="preserve">aps are </w:t>
      </w:r>
      <w:r w:rsidR="6A1634FD" w:rsidRPr="00837161">
        <w:t xml:space="preserve">commonly </w:t>
      </w:r>
      <w:r w:rsidRPr="00837161">
        <w:t xml:space="preserve">produced to illustrate </w:t>
      </w:r>
      <w:r w:rsidR="0375793C" w:rsidRPr="00837161">
        <w:t xml:space="preserve">potential risks from invasive alien species </w:t>
      </w:r>
      <w:r w:rsidRPr="00837161">
        <w:t>under</w:t>
      </w:r>
      <w:r w:rsidR="0375793C" w:rsidRPr="00837161">
        <w:t xml:space="preserve"> different</w:t>
      </w:r>
      <w:r w:rsidRPr="00837161">
        <w:t xml:space="preserve"> climate change scenarios</w:t>
      </w:r>
      <w:r w:rsidR="2EC705B0" w:rsidRPr="00837161">
        <w:t xml:space="preserve"> </w:t>
      </w:r>
      <w:r w:rsidRPr="00837161">
        <w:fldChar w:fldCharType="begin"/>
      </w:r>
      <w:r w:rsidR="000F35EB">
        <w:instrText xml:space="preserve"> ADDIN ZOTERO_ITEM CSL_CITATION {"citationID":"g53LUUN7","properties":{"formattedCitation":"(Venette, 2015; Venette et al., 2010)","plainCitation":"(Venette, 2015; Venette et al., 2010)","dontUpdate":true,"noteIndex":0},"citationItems":[{"id":24208,"uris":["http://zotero.org/groups/2352922/items/5HWPH7Z5"],"itemData":{"id":24208,"type":"chapter","container-title":"Pest risk modelling and mapping for invasive alien species","edition":"USDA","event-place":"Wallingford","ISBN":"978-1-78064-394-6","language":"en","note":"DOI: 10.1079/9781780643946.0001","page":"1-17","publisher":"CABI","publisher-place":"Wallingford","source":"DOI.org (Crossref)","title":"The challenge of modelling and mapping the future distribution and impact of invasive alien species.","URL":"http://www.cabi.org/cabebooks/ebook/20153099609","author":[{"family":"Venette","given":"Robert C"}],"accessed":{"date-parts":[["2020",8,15]]},"issued":{"date-parts":[["2015"]]}},"label":"page"},{"id":24167,"uris":["http://zotero.org/groups/2352922/items/RV4NBGIF"],"itemData":{"id":24167,"type":"article-journal","abstract":"Pest risk maps are powerful visual communication tools to describe where invasive alien species might arrive, establish, spread, or cause harmful impacts. These maps inform strategic and tactical pest management decisions, such as potential restrictions on international trade or the design of pest surveys and domestic quarantines. Diverse methods are available to create pest risk maps, and can potentially yield different depictions of risk for the same species. Inherent uncertainties about the biology of the invader, future climate conditions, and species interactions further complicate map interpretation. If multiple maps are available, risk managers must choose how to incorporate the various representations of risk into their decisionmaking process, and may make significant errors if they misunderstand what each map portrays. This article describes the need for pest risk maps, compares pest risk mapping methods, and recommends future research to improve such important decision-support tools.","container-title":"BioScience","DOI":"10.1525/bio.2010.60.5.5","ISSN":"0006-3568","issue":"5","journalAbbreviation":"BioScience","language":"en","page":"349–362","source":"DOI.org (Crossref)","title":"Pest Risk Maps for Invasive Alien Species: A Roadmap for Improvement","title-short":"Pest Risk Maps for Invasive Alien Species","URL":"http://bioscience.oxfordjournals.org/content/60/5/349.abstract","volume":"60","author":[{"family":"Venette","given":"Robert C"},{"family":"Kriticos","given":"Darren J"},{"family":"Magarey","given":"Roger D"},{"family":"Koch","given":"Frank H"},{"family":"Baker","given":"Richard H A"},{"family":"Worner","given":"Susan P"},{"family":"Gómez Raboteaux","given":"Nadilia N"},{"family":"McKenney","given":"Daniel W"},{"family":"Dobesberger","given":"Erhard J"},{"family":"Yemshanov","given":"Denys"},{"family":"De Barro","given":"Paul J"},{"family":"Hutchison","given":"William D"},{"family":"Fowler","given":"Glenn"},{"family":"Kalaris","given":"Tom M"},{"family":"Pedlar","given":"John"}],"issued":{"date-parts":[["2010",5,1]]}},"label":"page"}],"schema":"https://github.com/citation-style-language/schema/raw/master/csl-citation.json"} </w:instrText>
      </w:r>
      <w:r w:rsidRPr="00837161">
        <w:fldChar w:fldCharType="separate"/>
      </w:r>
      <w:r w:rsidR="003652FB" w:rsidRPr="003652FB">
        <w:t>(Venette, 2015; Venette et al., 2010</w:t>
      </w:r>
      <w:r w:rsidRPr="00837161">
        <w:fldChar w:fldCharType="end"/>
      </w:r>
      <w:r w:rsidR="003652FB">
        <w:t xml:space="preserve">; </w:t>
      </w:r>
      <w:r w:rsidR="003652FB" w:rsidRPr="00B122A9">
        <w:rPr>
          <w:b/>
          <w:iCs/>
        </w:rPr>
        <w:t>sections 5.6.1.3</w:t>
      </w:r>
      <w:r w:rsidR="003652FB" w:rsidRPr="00B122A9">
        <w:rPr>
          <w:iCs/>
        </w:rPr>
        <w:t>,</w:t>
      </w:r>
      <w:r w:rsidR="003652FB" w:rsidRPr="00B122A9">
        <w:rPr>
          <w:b/>
          <w:iCs/>
        </w:rPr>
        <w:t xml:space="preserve"> 5.6.3.2</w:t>
      </w:r>
      <w:r w:rsidR="003652FB" w:rsidRPr="00837161">
        <w:t>)</w:t>
      </w:r>
      <w:r w:rsidRPr="00837161">
        <w:t xml:space="preserve">, and </w:t>
      </w:r>
      <w:r w:rsidR="54B469A9" w:rsidRPr="00837161">
        <w:t xml:space="preserve">validated in their </w:t>
      </w:r>
      <w:r w:rsidRPr="00837161">
        <w:t>success</w:t>
      </w:r>
      <w:r w:rsidR="003915E3">
        <w:t>ful</w:t>
      </w:r>
      <w:r w:rsidRPr="00837161">
        <w:t xml:space="preserve"> predict</w:t>
      </w:r>
      <w:r w:rsidR="594EC80C" w:rsidRPr="00837161">
        <w:t>ion of</w:t>
      </w:r>
      <w:r w:rsidRPr="00837161">
        <w:t xml:space="preserve"> </w:t>
      </w:r>
      <w:r w:rsidR="54B469A9" w:rsidRPr="00837161">
        <w:t xml:space="preserve">invasive alien species </w:t>
      </w:r>
      <w:r w:rsidRPr="00837161">
        <w:t xml:space="preserve">establishment and spread </w:t>
      </w:r>
      <w:r w:rsidRPr="00837161">
        <w:fldChar w:fldCharType="begin"/>
      </w:r>
      <w:r w:rsidR="000F35EB">
        <w:instrText xml:space="preserve"> ADDIN ZOTERO_ITEM CSL_CITATION {"citationID":"qHcWGP0S","properties":{"formattedCitation":"(Barbet-Massin et al., 2018)","plainCitation":"(Barbet-Massin et al., 2018)","noteIndex":0},"citationItems":[{"id":28780,"uris":["http://zotero.org/groups/2352922/items/MXS5LPZW"],"itemData":{"id":28780,"type":"article-journal","container-title":"PLoS ONE","DOI":"10.1371/journal.pone.0193085","ISSN":"1932-6203","issue":"3","journalAbbreviation":"PLoS ONE","language":"en","page":"e0193085","source":"DOI.org (Crossref)","title":"Can species distribution models really predict the expansion of invasive species?","URL":"https://dx.plos.org/10.1371/journal.pone.0193085","volume":"13","author":[{"family":"Barbet-Massin","given":"Morgane"},{"family":"Rome","given":"Quentin"},{"family":"Villemant","given":"Claire"},{"family":"Courchamp","given":"Franck"}],"editor":[{"family":"Bosso","given":"Luciano"}],"accessed":{"date-parts":[["2020",3,31]]},"issued":{"date-parts":[["2018",3,6]]}},"label":"page"}],"schema":"https://github.com/citation-style-language/schema/raw/master/csl-citation.json"} </w:instrText>
      </w:r>
      <w:r w:rsidRPr="00837161">
        <w:fldChar w:fldCharType="separate"/>
      </w:r>
      <w:r w:rsidR="00271B78" w:rsidRPr="00271B78">
        <w:t>(Barbet-Massin et al., 2018)</w:t>
      </w:r>
      <w:r w:rsidRPr="00837161">
        <w:fldChar w:fldCharType="end"/>
      </w:r>
      <w:r w:rsidRPr="00837161">
        <w:t xml:space="preserve">. For example, </w:t>
      </w:r>
      <w:r w:rsidR="003915E3">
        <w:t xml:space="preserve">the </w:t>
      </w:r>
      <w:r w:rsidRPr="00837161">
        <w:t>Tool for Assessing Pest and Pathogen Aerial Spread</w:t>
      </w:r>
      <w:r w:rsidR="5548C4A0" w:rsidRPr="00837161">
        <w:t xml:space="preserve"> (TAPPAS</w:t>
      </w:r>
      <w:r w:rsidRPr="00837161">
        <w:t xml:space="preserve">) is an online platform for modelling the dispersal and impact of pests and diseases </w:t>
      </w:r>
      <w:r w:rsidRPr="00837161">
        <w:fldChar w:fldCharType="begin"/>
      </w:r>
      <w:r w:rsidR="000F35EB">
        <w:instrText xml:space="preserve"> ADDIN ZOTERO_ITEM CSL_CITATION {"citationID":"ZT3Zu5Lj","properties":{"formattedCitation":"(Durr et al., 2017)","plainCitation":"(Durr et al., 2017)","noteIndex":0},"citationItems":[{"id":16769,"uris":["http://zotero.org/groups/2352922/items/Z7HRL47X"],"itemData":{"id":16769,"type":"article-journal","abstract":"The possibility that outbreaks of bluetongue (BT) and African horse sickness (AHS) might occur via long distance wind dispersion (LDWD) of their insect vector (Culicoides spp.) was proposed by R.F. Sellers in a series of papers published between 1977 and 1991. These investigated the role of LDWD in outbreaks, including that of BT in Portugal (1956) and AHS in Spain (1966), by means of examining synoptic chart inferred trajectories. Using internationally accessible climate data-sets of atmospheric conditions, we investigated six of the scenarios described in Sellers’ papers, but allowing for the dispersal of individual midges, modelled as particles, from the purported sources. For this re-analysis, we used a custom-built Big Data application (“TAPPAS”) which couples a user-friendly web-interface with an established atmospheric dispersal model (“HYSPLIT”). For the two AHS outbreaks (Cyprus 1960 and Spain 1966) there was strong support from our re-analysis of the role of LDWD, but for the BT outbreaks, the reassessments were more complex, and for one of these (Western Turkey in 1977) we could discount LDWD as the means of direct introduction of the virus. By contrast, while the outbreak in Cyprus (1977) showed LDWD was a plausible means of introduction, there is an apparent inconsistency in that the outbreaks were localised whilst the dispersion events covered much of the island. For Portugal (1956), LDWD from Morocco on the dates suggested by Sellers is very unlikely to have been the pathway for introduction, and for the detection of serotype 2 in Florida (1982) LDWD from Cuba would require an assumption of a very long survival time for the midges (i.e. 30 hours) in the air column. Except for the western Turkey example, the BT reanalyses show the limitation of LDWD modelling when used by itself, and indicate the need for the integration of susceptible host population distribution (and other covariate) data into the modelling process. We predict that molecular methods, and particularly the comparison of full genome sequences of the virus at the purported source and the incursion site, will have an increasingly important role in providing validation for inferred LDWD.","container-title":"Frontiers in Veterinary Science","DOI":"10.3389/fvets.2017.00098","ISSN":"2297-1769","journalAbbreviation":"Front. Vet. Sci.","language":"English","source":"Frontiers","title":"Sellers’ Revisited: A Big Data Reassessment of Historical Outbreaks of Bluetongue and African Horse Sickness due to the Long-Distance Wind Dispersion of &lt;i&gt;Culicoides&lt;/i&gt; Midges","title-short":"Sellers’ Revisited","URL":"https://www.frontiersin.org/articles/10.3389/fvets.2017.00098/full","volume":"4","author":[{"family":"Durr","given":"Peter A."},{"family":"Graham","given":"Kerryne"},{"family":"Klinken","given":"Rieks D.","non-dropping-particle":"van"}],"accessed":{"date-parts":[["2019",12,9]]},"issued":{"date-parts":[["2017"]]}},"label":"page"}],"schema":"https://github.com/citation-style-language/schema/raw/master/csl-citation.json"} </w:instrText>
      </w:r>
      <w:r w:rsidRPr="00837161">
        <w:fldChar w:fldCharType="separate"/>
      </w:r>
      <w:r w:rsidR="00271B78" w:rsidRPr="00271B78">
        <w:t>(Durr et al., 2017)</w:t>
      </w:r>
      <w:r w:rsidRPr="00837161">
        <w:fldChar w:fldCharType="end"/>
      </w:r>
      <w:r w:rsidRPr="00837161">
        <w:t>. It can be used to assess the likelihood that a given pest or pathogen</w:t>
      </w:r>
      <w:r w:rsidR="00F26EC4" w:rsidRPr="00837161">
        <w:t xml:space="preserve"> </w:t>
      </w:r>
      <w:r w:rsidRPr="00837161">
        <w:t xml:space="preserve">will </w:t>
      </w:r>
      <w:r w:rsidR="48527D48" w:rsidRPr="00837161">
        <w:t>be wind transported</w:t>
      </w:r>
      <w:r w:rsidRPr="00837161">
        <w:t xml:space="preserve"> from a location where it is established, </w:t>
      </w:r>
      <w:r w:rsidR="48527D48" w:rsidRPr="00837161">
        <w:t xml:space="preserve">using global air current </w:t>
      </w:r>
      <w:r w:rsidRPr="00837161">
        <w:t>data</w:t>
      </w:r>
      <w:r w:rsidR="003915E3">
        <w:t xml:space="preserve"> in</w:t>
      </w:r>
      <w:r w:rsidR="055D5830" w:rsidRPr="00837161">
        <w:t xml:space="preserve"> support </w:t>
      </w:r>
      <w:r w:rsidR="003915E3">
        <w:t xml:space="preserve">of </w:t>
      </w:r>
      <w:r w:rsidRPr="00837161">
        <w:t xml:space="preserve">ongoing </w:t>
      </w:r>
      <w:r w:rsidR="055D5830" w:rsidRPr="00837161">
        <w:t xml:space="preserve">eradication </w:t>
      </w:r>
      <w:r w:rsidR="055D5830" w:rsidRPr="00837161">
        <w:rPr>
          <w:i/>
          <w:iCs/>
        </w:rPr>
        <w:t xml:space="preserve">or </w:t>
      </w:r>
      <w:r w:rsidRPr="00837161">
        <w:t>control program</w:t>
      </w:r>
      <w:r w:rsidR="00326152" w:rsidRPr="00837161">
        <w:t>me</w:t>
      </w:r>
      <w:r w:rsidRPr="00837161">
        <w:t xml:space="preserve">s. Non-expert users can run climate-based scenarios for the spread of a given pest or </w:t>
      </w:r>
      <w:r w:rsidR="44DA0BA2" w:rsidRPr="00837161">
        <w:t xml:space="preserve">pathogen </w:t>
      </w:r>
      <w:r w:rsidRPr="00837161">
        <w:t xml:space="preserve">in near-real-time, with downloadable data and </w:t>
      </w:r>
      <w:r w:rsidR="001B0409" w:rsidRPr="00837161">
        <w:t>visuali</w:t>
      </w:r>
      <w:r w:rsidR="000B6B30" w:rsidRPr="00837161">
        <w:t>z</w:t>
      </w:r>
      <w:r w:rsidR="001B0409" w:rsidRPr="00837161">
        <w:t>ation</w:t>
      </w:r>
      <w:r w:rsidRPr="00837161">
        <w:t xml:space="preserve"> of results as risk-maps.</w:t>
      </w:r>
      <w:r w:rsidR="01A88707" w:rsidRPr="00837161">
        <w:t xml:space="preserve"> </w:t>
      </w:r>
      <w:r w:rsidR="6D020F9F" w:rsidRPr="00837161">
        <w:t>B</w:t>
      </w:r>
      <w:r w:rsidR="74971835" w:rsidRPr="00837161">
        <w:t xml:space="preserve">aysian regression models are also being used to </w:t>
      </w:r>
      <w:r w:rsidR="329499B0" w:rsidRPr="00837161">
        <w:t>create framewo</w:t>
      </w:r>
      <w:r w:rsidR="6D020F9F" w:rsidRPr="00837161">
        <w:t>r</w:t>
      </w:r>
      <w:r w:rsidR="329499B0" w:rsidRPr="00837161">
        <w:t xml:space="preserve">ks that </w:t>
      </w:r>
      <w:r w:rsidR="6D020F9F" w:rsidRPr="00837161">
        <w:t xml:space="preserve">can </w:t>
      </w:r>
      <w:r w:rsidR="74971835" w:rsidRPr="00837161">
        <w:t xml:space="preserve">anticipate </w:t>
      </w:r>
      <w:r w:rsidR="003915E3">
        <w:t xml:space="preserve">the </w:t>
      </w:r>
      <w:r w:rsidR="4D7A2D81" w:rsidRPr="00837161">
        <w:t>likelihood of illegal wildlife trade of partic</w:t>
      </w:r>
      <w:r w:rsidR="329499B0" w:rsidRPr="00837161">
        <w:t xml:space="preserve">ular pet species </w:t>
      </w:r>
      <w:r w:rsidR="59856C4D" w:rsidRPr="00837161">
        <w:t xml:space="preserve">of </w:t>
      </w:r>
      <w:r w:rsidR="57B3F45F" w:rsidRPr="00837161">
        <w:t xml:space="preserve">global </w:t>
      </w:r>
      <w:r w:rsidR="1D0E7D46" w:rsidRPr="00837161">
        <w:t xml:space="preserve">popularity </w:t>
      </w:r>
      <w:r w:rsidR="57B3F45F" w:rsidRPr="00837161">
        <w:t>through</w:t>
      </w:r>
      <w:r w:rsidR="1D0E7D46" w:rsidRPr="00837161">
        <w:t xml:space="preserve"> </w:t>
      </w:r>
      <w:r w:rsidR="57B3F45F" w:rsidRPr="00837161">
        <w:t>wildlife smuggling</w:t>
      </w:r>
      <w:r w:rsidR="01A88707" w:rsidRPr="00837161">
        <w:t xml:space="preserve"> pathways</w:t>
      </w:r>
      <w:r w:rsidR="57B3F45F" w:rsidRPr="00837161">
        <w:t xml:space="preserve"> </w:t>
      </w:r>
      <w:r w:rsidRPr="00837161">
        <w:fldChar w:fldCharType="begin"/>
      </w:r>
      <w:r w:rsidR="000F35EB">
        <w:instrText xml:space="preserve"> ADDIN ZOTERO_ITEM CSL_CITATION {"citationID":"DuBqw7lZ","properties":{"formattedCitation":"(Stringham et al., 2021)","plainCitation":"(Stringham et al., 2021)","noteIndex":0},"citationItems":[{"id":10271,"uris":["http://zotero.org/groups/2352922/items/SASZF5F6"],"itemData":{"id":10271,"type":"article-journal","container-title":"Conservation Letters","DOI":"10.1111/conl.12833","ISSN":"1755-263X, 1755-263X","issue":"6","journalAbbreviation":"CONSERVATION LETTERS","language":"en","page":"e12833","source":"D</w:instrText>
      </w:r>
      <w:r w:rsidR="000F35EB">
        <w:rPr>
          <w:rFonts w:hint="eastAsia"/>
        </w:rPr>
        <w:instrText>OI.org (Crossref)","title":"Live reptile smuggling is predicted by trends in the legal exotic pet trade","URL":"https://onlinelibrary.wiley.com/doi/10.1111/conl.12833","volume":"14","author":[{"family":"Stringham","given":"Oliver C."},{"family":"García</w:instrText>
      </w:r>
      <w:r w:rsidR="000F35EB">
        <w:rPr>
          <w:rFonts w:hint="eastAsia"/>
        </w:rPr>
        <w:instrText>‐</w:instrText>
      </w:r>
      <w:r w:rsidR="000F35EB">
        <w:rPr>
          <w:rFonts w:hint="eastAsia"/>
        </w:rPr>
        <w:instrText>Dí</w:instrText>
      </w:r>
      <w:r w:rsidR="000F35EB">
        <w:instrText xml:space="preserve">az","given":"Pablo"},{"family":"Toomes","given":"Adam"},{"family":"Mitchell","given":"Lewis"},{"family":"Ross","given":"Joshua V."},{"family":"Cassey","given":"Phillip"}],"accessed":{"date-parts":[["2021",10,6]]},"issued":{"date-parts":[["2021",8,17]]}},"label":"page"}],"schema":"https://github.com/citation-style-language/schema/raw/master/csl-citation.json"} </w:instrText>
      </w:r>
      <w:r w:rsidRPr="00837161">
        <w:fldChar w:fldCharType="separate"/>
      </w:r>
      <w:r w:rsidR="00271B78" w:rsidRPr="00271B78">
        <w:t>(Stringham et al., 2021)</w:t>
      </w:r>
      <w:r w:rsidRPr="00837161">
        <w:fldChar w:fldCharType="end"/>
      </w:r>
      <w:bookmarkStart w:id="101" w:name="_Toc26520292"/>
      <w:r w:rsidR="594EC80C" w:rsidRPr="00837161">
        <w:t>.</w:t>
      </w:r>
    </w:p>
    <w:p w14:paraId="4C9C696B" w14:textId="77777777" w:rsidR="001B0409" w:rsidRPr="00837161" w:rsidRDefault="27514EC9" w:rsidP="00CE3538">
      <w:pPr>
        <w:pStyle w:val="Heading4"/>
      </w:pPr>
      <w:bookmarkStart w:id="102" w:name="_Toc69313963"/>
      <w:r w:rsidRPr="00837161">
        <w:lastRenderedPageBreak/>
        <w:t>Risk management</w:t>
      </w:r>
      <w:bookmarkEnd w:id="101"/>
      <w:bookmarkEnd w:id="102"/>
    </w:p>
    <w:p w14:paraId="278508D6" w14:textId="73B460C0" w:rsidR="001B0409" w:rsidRPr="00837161" w:rsidRDefault="001B0409" w:rsidP="00C11DFA">
      <w:pPr>
        <w:spacing w:before="240" w:after="120" w:line="240" w:lineRule="auto"/>
      </w:pPr>
      <w:r w:rsidRPr="00837161">
        <w:t>Risk management</w:t>
      </w:r>
      <w:r w:rsidR="00720CC1" w:rsidRPr="00837161">
        <w:t xml:space="preserve"> is an extension of risk assessment to help </w:t>
      </w:r>
      <w:r w:rsidR="001F4405" w:rsidRPr="00837161">
        <w:t>prioritize</w:t>
      </w:r>
      <w:r w:rsidR="00720CC1" w:rsidRPr="00837161">
        <w:t xml:space="preserve"> species for management</w:t>
      </w:r>
      <w:r w:rsidR="00682825" w:rsidRPr="00837161">
        <w:t xml:space="preserve">. It </w:t>
      </w:r>
      <w:r w:rsidRPr="00837161">
        <w:t>evaluate</w:t>
      </w:r>
      <w:r w:rsidR="00502649" w:rsidRPr="00837161">
        <w:t>s</w:t>
      </w:r>
      <w:r w:rsidRPr="00837161">
        <w:t xml:space="preserve"> the implementation </w:t>
      </w:r>
      <w:r w:rsidR="00682825" w:rsidRPr="00837161">
        <w:t xml:space="preserve">(feasibility and likelihood of success) </w:t>
      </w:r>
      <w:r w:rsidRPr="00837161">
        <w:t xml:space="preserve">of management options to reduce the known risks from invasive alien species </w:t>
      </w:r>
      <w:r w:rsidRPr="00837161">
        <w:fldChar w:fldCharType="begin"/>
      </w:r>
      <w:r w:rsidR="000F35EB">
        <w:instrText xml:space="preserve"> ADDIN ZOTERO_ITEM CSL_CITATION {"citationID":"eKHMgJ6v","properties":{"formattedCitation":"(FAO, 1995; A. P. Robinson et al., 2017)","plainCitation":"(FAO, 1995; A. P. Robinson et al., 2017)","noteIndex":0},"citationItems":[{"id":12464,"uris":["http://zotero.org/groups/2352922/items/X6643G3S"],"itemData":{"id":12464,"type":"document","publisher":"International standards for phytosanitary measures (ISPM). No. 2. Food and Agriculture Organization of the United Nations","title":"Guidelines for pest risk analysis","URL":"https://www.ippc.int/largefiles/adopted_ISPMs_previousversions/en/ISPM_02_1995_En_2006-05-03.pdf","author":[{"literal":"FAO"}],"issued":{"date-parts":[["1995"]]}},"label":"page"},{"id":12444,"uris":["http://zotero.org/groups/2352922/items/XXASS7XP"],"itemData":{"id":12444,"type":"book","event-place":"Cambridge","ISBN":"978-1-139-01960-6","note":"DOI: 10.1017/9781139019606","publisher":"Cambridge University Press","publisher-place":"Cambridge","source":"DOI.org (Crossref)","title":"Invasive Species: Risk Assessment and Management","title-short":"Invasive Species","URL":"http://ebooks.cambridge.org/ref/id/CBO9781139019606","editor":[{"family":"Robinson","given":"Andrew P."},{"family":"Walshe","given":"Terry"},{"family":"Burgman","given":"Mark A."},{"family":"Nunn","given":"Mike"}],"accessed":{"date-parts":[["2019",11,27]]},"issued":{"date-parts":[["2017"]]}},"label":"page"}],"schema":"https://github.com/citation-style-language/schema/raw/master/csl-citation.json"} </w:instrText>
      </w:r>
      <w:r w:rsidRPr="00837161">
        <w:fldChar w:fldCharType="separate"/>
      </w:r>
      <w:r w:rsidR="00271B78" w:rsidRPr="00271B78">
        <w:t>(FAO, 1995; A. P. Robinson et al., 2017)</w:t>
      </w:r>
      <w:r w:rsidRPr="00837161">
        <w:fldChar w:fldCharType="end"/>
      </w:r>
      <w:r w:rsidRPr="00837161">
        <w:t>. Very few risk management schemes specifically dedicated to invasive alien species exist.</w:t>
      </w:r>
      <w:r w:rsidR="428B1910" w:rsidRPr="00837161">
        <w:t xml:space="preserve"> However,</w:t>
      </w:r>
      <w:r w:rsidRPr="00837161">
        <w:t xml:space="preserve"> </w:t>
      </w:r>
      <w:r w:rsidR="3ED07471" w:rsidRPr="00837161">
        <w:t>elaborate</w:t>
      </w:r>
      <w:r w:rsidRPr="00837161">
        <w:t xml:space="preserve"> taxonomic or sector specific schemes are available for </w:t>
      </w:r>
      <w:r w:rsidR="0045587C" w:rsidRPr="00837161">
        <w:t>invasive alien plants</w:t>
      </w:r>
      <w:r w:rsidRPr="00837161">
        <w:t xml:space="preserve"> </w:t>
      </w:r>
      <w:r w:rsidRPr="00837161">
        <w:fldChar w:fldCharType="begin"/>
      </w:r>
      <w:r w:rsidR="000F35EB">
        <w:instrText xml:space="preserve"> ADDIN ZOTERO_ITEM CSL_CITATION {"citationID":"H2JlBtlT","properties":{"formattedCitation":"(Auld &amp; Johnson, 2014; Downey et al., 2010)","plainCitation":"(Auld &amp; Johnson, 2014; Downey et al., 2010)","noteIndex":0},"citationItems":[{"id":15752,"uris":["http://zotero.org/groups/2352922/items/NP8ZHH7Y"],"itemData":{"id":15752,"type":"article-journal","abstract":"A number of policies, strategies and tools are available for the management of invasive alien plants. This review considers these and their suitability in the light of developing theory and practical experience. Policies range from quarantine and eradication to containment and asset protection. While there is scope for modelling the potential spread and impact of invasive plants, these factors are invariably species-speciﬁc and a land manager is typically faced with the problem of dealing with several species simultaneously. Weed risk management systems have been developed to prioritize species management actions. These systems will be improved by further efforts to encompass uncertainty. Most management actions require long time-frames, and institutional commitment, as well as stakeholder involvement for successful outcomes.","container-title":"CAB Reviews: Perspectives in Agriculture, Veterinary Science, Nutrition and Natural Resources","DOI":"10.1079/PAVSNNR20149037","ISSN":"17498848","issue":"037","journalAbbreviation":"CAB Reviews","language":"en","source":"DOI.org (Crossref)","title":"Invasive alien plant management","URL":"http://www.cabi.org/cabreviews/review/20143397318","volume":"9","author":[{"family":"Auld","given":"B"},{"family":"Johnson","given":"S. B."}],"accessed":{"date-parts":[["2019",11,3]]},"issued":{"date-parts":[["2014",12,1]]}},"label":"page"},{"id":22548,"uris":["http://zotero.org/groups/2352922/items/739MZKEP"],"itemData":{"id":22548,"type":"article-journal","abstract":"Abstract\n            Recognition that alien plants pose a significant threat to biodiversity has not always translated into effective management strategies, policy reforms, and systems to establish priorities. Thus, many alien plant management decisions for the protection of biodiversity occur with limited knowledge of what needs to be protected (other than biodiversity in a generalized sense) or the urgency of actions. To rectify this, we have developed a triage system that enables alien plant management decisions to be made based on (1) the urgency of control relative to the degree of threat posed to biodiversity, compared with (2) the likelihood of achieving a successful conservation outcome as a result of alien plant control. This triage system is underpinned by a two-step approach, which identifies the biodiversity at risk and assesses sites to determine priorities for control. This triage system was initially developed to manage the threat posed by bitou bush to native species in New South Wales (NSW), Australia. It has subsequently been improved with the national assessment of lantana in Australia, and the adaptation from a single to multiple alien plant species approach on a regional scale. This triage system identifies nine levels of priority for alien plant management aimed at biodiversity conservation, ranging from immediate, targeted action to limited or no action. The development of this approach has enabled long-term management priorities to be set for widespread alien plants that are unlikely to be eradicated. It also enables control to occur in a coordinated manner for biodiversity conservation at a landscape scale, rather than as a series of individual unconnected short-term actions.","container-title":"Invasive Plant Science and Management","DOI":"10.1614/IPSM-09-042.1","ISSN":"1939-7291, 1939-747X","issue":"1","journalAbbreviation":"Invasive plant sci. manag.","language":"en","page":"1-11","source":"DOI.org (Crossref)","title":"Managing Alien Plants for Biodiversity Outcomes—the Need for Triage","URL":"https://www.cambridge.org/core/product/identifier/S1939729100001073/type/journal_article","volume":"3","author":[{"family":"Downey","given":"Paul O."},{"family":"Williams","given":"Moira C."},{"family":"Whiffen","given":"Leonie K."},{"family":"Auld","given":"Bruce A."},{"family":"Hamilton","given":"Mark A."},{"family":"Burley","given":"Alana L."},{"family":"Turner","given":"Peter J."}],"accessed":{"date-parts":[["2020",6,25]]},"issued":{"date-parts":[["2010",5]]}},"label":"page"}],"schema":"https://github.com/citation-style-language/schema/raw/master/csl-citation.json"} </w:instrText>
      </w:r>
      <w:r w:rsidRPr="00837161">
        <w:fldChar w:fldCharType="separate"/>
      </w:r>
      <w:r w:rsidR="00271B78" w:rsidRPr="00271B78">
        <w:t>(Auld &amp; Johnson, 2014; Downey et al., 2010)</w:t>
      </w:r>
      <w:r w:rsidRPr="00837161">
        <w:fldChar w:fldCharType="end"/>
      </w:r>
      <w:r w:rsidRPr="00837161">
        <w:t xml:space="preserve">, plant health </w:t>
      </w:r>
      <w:r w:rsidRPr="00837161">
        <w:fldChar w:fldCharType="begin"/>
      </w:r>
      <w:r w:rsidR="000F35EB">
        <w:instrText xml:space="preserve"> ADDIN ZOTERO_ITEM CSL_CITATION {"citationID":"pKvaohvS","properties":{"formattedCitation":"(EFSA Panel on Plant Health (PLH), 2010)","plainCitation":"(EFSA Panel on Plant Health (PLH), 2010)","noteIndex":0},"citationItems":[{"id":21568,"uris":["http://zotero.org/groups/2352922/items/8DSYYIWX"],"itemData":{"id":21568,"type":"article-journal","collection-title":"1495","container-title":"EFSA Journal","DOI":"10.2903/j.efsa.2010.1495","issue":"2","page":"66","title":"Guidance on a harmonised framework for pest risk assessment and the identification and evaluation of pest risk management options by EFSA","URL":"https://doi.org/10.2903/j.efsa.2010.1495","volume":"8","author":[{"literal":"EFSA Panel on Plant Health (PLH)"}],"issued":{"date-parts":[["2010"]]}},"label":"page"}],"schema":"https://github.com/citation-style-language/schema/raw/master/csl-citation.json"} </w:instrText>
      </w:r>
      <w:r w:rsidRPr="00837161">
        <w:fldChar w:fldCharType="separate"/>
      </w:r>
      <w:r w:rsidR="00271B78" w:rsidRPr="00271B78">
        <w:t>(EFSA Panel on Plant Health (PLH), 2010)</w:t>
      </w:r>
      <w:r w:rsidRPr="00837161">
        <w:fldChar w:fldCharType="end"/>
      </w:r>
      <w:r w:rsidRPr="00837161">
        <w:t xml:space="preserve"> and the release of alien organisms as biological control agents </w:t>
      </w:r>
      <w:r w:rsidRPr="00837161">
        <w:fldChar w:fldCharType="begin"/>
      </w:r>
      <w:r w:rsidR="007746C5">
        <w:instrText xml:space="preserve"> ADDIN ZOTERO_ITEM CSL_CITATION {"citationID":"c2a1msxK","properties":{"formattedCitation":"(Sheppard et al., 2003; van Klinken et al., 2016)","plainCitation":"(Sheppard et al., 2003; van Klinken et al., 2016)","noteIndex":0},"citationItems":[{"id":30158,"uris":["http://zotero.org/groups/2352922/items/776C4S45"],"itemData":{"id":30158,"type":"article-journal","abstract":"The process of risk analysis used by regulatory bodies around the world to pre-judge biological control releases against weeds are reviewed. Based on comparative analysis, risk assessment, risk management, risk evaluation and risk communication, the manner by which the benefits and costs of biological control releases are evaluated in addition to the traditional analysis of the hazards are...","container-title":"Biocontrol News and Information","ISSN":"0143-1404","issue":"4","language":"English","page":"91N-108N","source":"www.cabdirect.org","title":"A global review of risk-benefit-cost analysis for the introduction of classical biological control agents against weeds: a crisis in the making?","title-short":"A global review of risk-benefit-cost analysis for the introduction of classical biological control agents against weeds","URL":"https://www.cabdirect.org/cabdirect/abstract/20043008816","volume":"24","author":[{"family":"Sheppard","given":"A. W."},{"family":"Hill","given":"R."},{"family":"DeClerck-Floate","given":"R. A."},{"family":"McClay","given":"A."},{"family":"Olckers","given":"T."},{"family":"Quimby","given":"P. C."},{"family":"Zimmermann","given":"H. G."}],"accessed":{"date-parts":[["2019",10,3]]},"issued":{"date-parts":[["2003"]]}},"label":"page"},{"id":16666,"uris":["http://zotero.org/groups/2352922/items/2T7TUZH4"],"itemData":{"id":16666,"type":"article-journal","abstract":"Prioritising investments in classical weed biological control (biocontrol) is a common decision-making challenge: biocontrol programmes can yield substantial benefits but are typically long-term and costly, and the outcome uncertain. Experts are often relied upon to help, but their role is generally restricted to providing facts and judgements to populate an existing prioritisation model, which in turn receives little scrutiny. We developed and applied a new prioritisation framework to guide biocontrol investment decisions by livestock industries that required eliciting experts’ functional understanding (including their in-depth knowledge of the theoretical and practical drivers of weed biocontrol programmes). This consultative and transparent framework drew on expertise from most biocontrol practitioners in Australia through a structured workshop, and the literature. Each of the 75 weed taxa considered was placed in a matrix according to their impact (current or potential) and the prospects of biocontrol achieving pre-defined management goals. There was considerable knowledge uncertainty regarding potential impacts, which is of concern when making pre-emptive investments. Feasibility (likelihood of finding host-specific agents) and likelihood of success (management goals being met, assuming that host-specific agents are available) of biocontrol were both assessed as low for 51 % of taxa. Predicted barriers to successful biocontrol were diverse and idiosyncratic, suggesting that application of more quantitative prioritisation approaches would be challenging. A short-list of 13 weed taxa was identified for further consideration as biocontrol targets, based on the trade-off between potential impact and prospects for biocontrol. Research priorities emerged from the prioritisation process that would maximise investment outcomes for each taxon. Only two short-listed taxa are new targets, reflecting the maturity of the biocontrol discipline targeting weeds of livestock industries in Australia. Accessing the in-depth functional understanding of experts resulted in explicit characterisation of the barriers to successful biocontrol and if/how they might be overcome, improved characterisation of uncertainty, and provided directed guidance for investment. Such an approach would be readily applicable to analogous decision-making challenges in other sectors and countries.","container-title":"Biological Invasions","DOI":"10.1007/s10530-016-1175-5","ISSN":"1573-1464","issue":"10","journalAbbreviation":"Biol Invasions","language":"en","page":"2853-2870","source":"Springer Link","title":"Experts know more than just facts: eliciting functional understanding to help prioritise weed biological control targets","title-short":"Experts know more than just facts","URL":"https://doi.org/10.1007/s10530-016-1175-5","volume":"18","author":[{"family":"Klinken","given":"Rieks D.","non-dropping-particle":"van"},{"family":"Morin","given":"Louise"},{"family":"Sheppard","given":"Andy"},{"family":"Raghu","given":"S."}],"accessed":{"date-parts":[["2019",12,4]]},"issued":{"date-parts":[["2016",10,1]]}},"label":"page"}],"schema":"https://github.com/citation-style-language/schema/raw/master/csl-citation.json"} </w:instrText>
      </w:r>
      <w:r w:rsidRPr="00837161">
        <w:fldChar w:fldCharType="separate"/>
      </w:r>
      <w:r w:rsidR="007746C5" w:rsidRPr="007746C5">
        <w:t>(Sheppard et al., 2003; van Klinken et al., 2016)</w:t>
      </w:r>
      <w:r w:rsidRPr="00837161">
        <w:fldChar w:fldCharType="end"/>
      </w:r>
      <w:r w:rsidRPr="00837161">
        <w:t>. Governments are adopting risk management systems for some groups of invasive alien species to assist decision-making (</w:t>
      </w:r>
      <w:r w:rsidR="00BA147F" w:rsidRPr="00837161">
        <w:t xml:space="preserve">e.g., </w:t>
      </w:r>
      <w:r w:rsidRPr="00837161">
        <w:t>in Australia</w:t>
      </w:r>
      <w:r w:rsidR="00D06709" w:rsidRPr="00837161">
        <w:t>;</w:t>
      </w:r>
      <w:r w:rsidRPr="00837161">
        <w:rPr>
          <w:rFonts w:eastAsia="Times New Roman"/>
        </w:rPr>
        <w:t xml:space="preserve"> </w:t>
      </w:r>
      <w:r w:rsidRPr="00837161">
        <w:rPr>
          <w:rFonts w:eastAsia="Times New Roman"/>
        </w:rPr>
        <w:fldChar w:fldCharType="begin"/>
      </w:r>
      <w:r w:rsidR="000F35EB">
        <w:rPr>
          <w:rFonts w:eastAsia="Times New Roman"/>
        </w:rPr>
        <w:instrText xml:space="preserve"> ADDIN ZOTERO_ITEM CSL_CITATION {"citationID":"liAKiPzD","properties":{"formattedCitation":"(Department of Primary Industries, New South Wales, 2017; IUCN, 2020a)","plainCitation":"(Department of Primary Industries, New South Wales, 2017; IUCN, 2020a)","dontUpdate":true,"noteIndex":0},"citationItems":[{"id":31017,"uris":["http://zotero.org/groups/2352922/items/PJ4HRAM4"],"itemData":{"id":31017,"type":"webpage","language":"en","title":"NSW Weed Risk Management system - Background information","URL":"https://www.dpi.nsw.gov.au/biosecurity/weeds/strategy/nsw-weed-risk-management-system/background-information","author":[{"literal":"Department of Primary Industries, New South Wales"}],"accessed":{"date-parts":[["2021",11,1]]},"issued":{"date-parts":[["2017"]]}},"label":"page"},{"id":31016,"uris":["http://zotero.org/groups/2352922/items/Z7GZKBP7"],"itemData":{"id":31016,"type":"webpage","abstract":"Measures and costs for prevention, early detection, rapid eradication, and management Information on the known management measures for prevention, early ...","container-title":"IUCN","language":"en","title":"Management of IAS","URL":"https://www.iucn.org/regions/europe/our-work/biodiversity-conservation/invasive-alien-species/eu-regulation-technical-support/management-ias","author":[{"literal":"IUCN"}],"accessed":{"date-parts":[["2021",11,1]]},"issued":{"date-parts":[["2020",6,9]]}},"label":"page"}],"schema":"https://github.com/citation-style-language/schema/raw/master/csl-citation.json"} </w:instrText>
      </w:r>
      <w:r w:rsidRPr="00837161">
        <w:rPr>
          <w:rFonts w:eastAsia="Times New Roman"/>
        </w:rPr>
        <w:fldChar w:fldCharType="separate"/>
      </w:r>
      <w:r w:rsidR="009B2C74" w:rsidRPr="00837161">
        <w:t>Department of Primary Industries, New South Wales, 2017; IUCN, 2020a)</w:t>
      </w:r>
      <w:r w:rsidRPr="00837161">
        <w:rPr>
          <w:rFonts w:eastAsia="Times New Roman"/>
        </w:rPr>
        <w:fldChar w:fldCharType="end"/>
      </w:r>
      <w:r w:rsidRPr="00837161">
        <w:t>.</w:t>
      </w:r>
      <w:r w:rsidR="00EA2F90" w:rsidRPr="00837161">
        <w:t xml:space="preserve"> </w:t>
      </w:r>
      <w:r w:rsidRPr="00837161">
        <w:t xml:space="preserve">The </w:t>
      </w:r>
      <w:r w:rsidR="00BC187C" w:rsidRPr="00837161">
        <w:t>“</w:t>
      </w:r>
      <w:r w:rsidRPr="00837161">
        <w:t>Non-Native Risk management scheme</w:t>
      </w:r>
      <w:r w:rsidR="00BC187C" w:rsidRPr="00837161">
        <w:t>”</w:t>
      </w:r>
      <w:r w:rsidRPr="00837161">
        <w:t xml:space="preserve"> is a protocol developed in the U</w:t>
      </w:r>
      <w:r w:rsidR="00464263" w:rsidRPr="00837161">
        <w:t xml:space="preserve">nited </w:t>
      </w:r>
      <w:r w:rsidRPr="00837161">
        <w:t>K</w:t>
      </w:r>
      <w:r w:rsidR="00464263" w:rsidRPr="00837161">
        <w:t>ingdom</w:t>
      </w:r>
      <w:r w:rsidRPr="00837161">
        <w:t xml:space="preserve"> to assess a wide range of taxa from different environments and compare them directly according to the overall feasibility of eradication </w:t>
      </w:r>
      <w:r w:rsidRPr="00837161">
        <w:fldChar w:fldCharType="begin"/>
      </w:r>
      <w:r w:rsidR="00E25D54">
        <w:instrText xml:space="preserve"> ADDIN ZOTERO_ITEM CSL_CITATION {"citationID":"88ve68qS","properties":{"formattedCitation":"(Booy et al., 2017)","plainCitation":"(Booy et al., 2017)","noteIndex":0},"citationItems":[{"id":11496,"uris":["http://zotero.org/groups/2352922/items/TB8MXPYI"],"itemData":{"id":11496,"type":"article-journal","abstract":"Robust tools are needed to prioritise the management of invasive non-native species (INNS). Risk assessment is commonly used to prioritise INNS, but fails to take into account the feasibility of management. Risk management provides a structured evaluation of management options, but has received little attention to date. We present a risk management scheme to assess the feasibility of eradicating INNS that can be used, in conjunction with existing risk assessment schemes, to support prioritisation. The Non-Native Risk Management scheme (NNRM) can be applied to any predefined area and any taxa. It uses semi-quantitative response and confidence scores to assess seven key criteria: Effectiveness, Practicality, Cost, Impact, Acceptability, Window of opportunity and Likelihood of re-invasion. Scores are elicited using expert judgement, supported by available evidence, and consensus-building methods. We applied the NNRM to forty-one INNS that threaten Great Britain (GB). Thirty-three experts provided scores, with overall feasibility of eradication assessed as ‘very high’ (8 species), ‘high’ (6), ‘medium’ (8), ‘low’ (10) and ‘very low’ (9). The feasibility of eradicating terrestrial species was higher than aquatic species. Lotic freshwater and marine species scored particularly low. Combining risk management and existing risk assessment scores identified six established species as priorities for eradication. A further six species that are not yet established were identified as priorities for eradication on arrival as part of contingency planning. The NNRM is one of the first INNS risk management schemes that can be used with existing risk assessments to prioritise INNS eradication in any area. © 2017, The Author(s).","container-title":"Biological Invasions","DOI":"10.1007/s10530-017-1451-z","issue":"8","page":"2401-2417","title":"Risk management to prioritise the eradication of new and emerging invasive non-native species","URL":"https://www.scopus.com/inward/record.uri?eid=2-s2.0-85019173251&amp;doi=10.1007%2fs10530-017-1451-z&amp;partnerID=40&amp;md5=0cab03b74561898b2f9a70a971920eec","volume":"19","author":[{"family":"Booy","given":"Olaf"},{"family":"Mill","given":"A.C."},{"family":"Roy","given":"H.E."},{"family":"Hiley","given":"A."},{"family":"Moore","given":"N."},{"family":"Robertson","given":"P."},{"family":"Baker","given":"S."},{"family":"Brazier","given":"M."},{"family":"Bue","given":"M."},{"family":"Bullock","given":"R."},{"family":"Campbell","given":"S."},{"family":"Eyre","given":"D."},{"family":"Foster","given":"J."},{"family":"Hatton-Ellis","given":"M."},{"family":"Long","given":"J."},{"family":"Macadam","given":"C."},{"family":"Morrison-Bell","given":"C."},{"family":"Mumford","given":"J."},{"family":"Newman","given":"J."},{"family":"Parrott","given":"D."},{"family":"Payne","given":"R."},{"family":"Renals","given":"T."},{"family":"Rodgers","given":"E."},{"family":"Spencer","given":"M."},{"family":"Stebbing","given":"P."},{"family":"Sutton-Croft","given":"M."},{"family":"Walker","given":"K.J."},{"family":"Ward","given":"A."},{"family":"Whittaker","given":"S."},{"family":"Wyn","given":"G."}],"issued":{"date-parts":[["2017"]]}},"label":"page"}],"schema":"https://github.com/citation-style-language/schema/raw/master/csl-citation.json"} </w:instrText>
      </w:r>
      <w:r w:rsidRPr="00837161">
        <w:fldChar w:fldCharType="separate"/>
      </w:r>
      <w:r w:rsidR="00271B78" w:rsidRPr="00271B78">
        <w:t>(Booy et al., 2017)</w:t>
      </w:r>
      <w:r w:rsidRPr="00837161">
        <w:fldChar w:fldCharType="end"/>
      </w:r>
      <w:r w:rsidRPr="00837161">
        <w:t xml:space="preserve">. </w:t>
      </w:r>
      <w:r w:rsidR="00EA2F90" w:rsidRPr="00837161">
        <w:t>T</w:t>
      </w:r>
      <w:r w:rsidRPr="00837161">
        <w:t xml:space="preserve">he management objective </w:t>
      </w:r>
      <w:r w:rsidR="00EA2F90" w:rsidRPr="00837161">
        <w:t xml:space="preserve">is first </w:t>
      </w:r>
      <w:r w:rsidRPr="00837161">
        <w:t xml:space="preserve">defined based on semi-quantitative response and associated confidence scores to evaluate key criteria: </w:t>
      </w:r>
      <w:r w:rsidR="00275645" w:rsidRPr="00837161">
        <w:t>e</w:t>
      </w:r>
      <w:r w:rsidRPr="00837161">
        <w:t xml:space="preserve">ffectiveness, </w:t>
      </w:r>
      <w:r w:rsidR="00275645" w:rsidRPr="00837161">
        <w:t>p</w:t>
      </w:r>
      <w:r w:rsidRPr="00837161">
        <w:t xml:space="preserve">racticality, </w:t>
      </w:r>
      <w:r w:rsidR="00275645" w:rsidRPr="00837161">
        <w:t>c</w:t>
      </w:r>
      <w:r w:rsidRPr="00837161">
        <w:t xml:space="preserve">ost, </w:t>
      </w:r>
      <w:r w:rsidR="00275645" w:rsidRPr="00837161">
        <w:t>i</w:t>
      </w:r>
      <w:r w:rsidRPr="00837161">
        <w:t xml:space="preserve">mpact of management, </w:t>
      </w:r>
      <w:r w:rsidR="00275645" w:rsidRPr="00837161">
        <w:t>a</w:t>
      </w:r>
      <w:r w:rsidRPr="00837161">
        <w:t xml:space="preserve">cceptability, </w:t>
      </w:r>
      <w:r w:rsidR="00275645" w:rsidRPr="00837161">
        <w:t>w</w:t>
      </w:r>
      <w:r w:rsidRPr="00837161">
        <w:t xml:space="preserve">indow of opportunity and </w:t>
      </w:r>
      <w:r w:rsidR="00275645" w:rsidRPr="00837161">
        <w:t>l</w:t>
      </w:r>
      <w:r w:rsidRPr="00837161">
        <w:t xml:space="preserve">ikelihood of re-invasion. Scores are obtained using expert judgement, based on available evidence, supported by consensus-building methods. This scheme has been used at different geographical scales </w:t>
      </w:r>
      <w:r w:rsidRPr="00837161">
        <w:fldChar w:fldCharType="begin"/>
      </w:r>
      <w:r w:rsidR="000F35EB">
        <w:instrText xml:space="preserve"> ADDIN ZOTERO_ITEM CSL_CITATION {"citationID":"jVthFeuz","properties":{"formattedCitation":"(Booy et al., 2020; Osunkoya et al., 2019)","plainCitation":"(Booy et al., 2020; Osunkoya et al., 2019)","noteIndex":0},"citationItems":[{"id":52439,"uris":["http://zotero.org/groups/2352922/items/XKFD66H3"],"itemData":{"id":52439,"type":"article-journal","container-title":"Global Change Biology","DOI":"10.1111/gcb.15280","ISSN":"1354-1013, 1365-2486","issue":"11","journalAbbreviation":"Global Change Biology","language":"en","page":"6235-6250","source":"DOI.org (Crossref)","title":"Using structured eradication feasibility assessment to prioritize the management of new and emerging invasive alien species in Europe","URL":"https://onlinelibrary.wiley.com/doi/10.1111/gcb.15280","volume":"26","author":[{"family":"Booy","given":"Olaf"},{"family":"Robertson","given":"Pete A."},{"family":"Moore","given":"Niall"},{"family":"Ward","given":"Jess"},{"family":"Roy","given":"Helen E."},{"family":"Adriaens","given":"Tim"},{"family":"Shaw","given":"Richard"},{"family":"Van Valkenburg","given":"Johan"},{"family":"Wyn","given":"Gabrielle"},{"family":"Bertolino","given":"Sandro"},{"family":"Blight","given":"Olivier"},{"family":"Branquart","given":"Etienne"},{"family":"Brundu","given":"Giuseppe"},{"family":"Caffrey","given":"Joe"},{"family":"Capizzi","given":"Dario"},{"family":"Casaer","given":"Jim"},{"family":"De Clerck","given":"Olivier"},{"family":"Coughlan","given":"Neil E."},{"family":"Davis","given":"Eithne"},{"family":"Dick","</w:instrText>
      </w:r>
      <w:r w:rsidR="000F35EB">
        <w:rPr>
          <w:rFonts w:hint="eastAsia"/>
        </w:rPr>
        <w:instrText>given":"Jaimie T. A."},{"family":"Essl","given":"Franz"},{"family":"Fried","given":"Guillaume"},{"family":"Genovesi","given":"Piero"},{"family":"González</w:instrText>
      </w:r>
      <w:r w:rsidR="000F35EB">
        <w:rPr>
          <w:rFonts w:hint="eastAsia"/>
        </w:rPr>
        <w:instrText>‐</w:instrText>
      </w:r>
      <w:r w:rsidR="000F35EB">
        <w:rPr>
          <w:rFonts w:hint="eastAsia"/>
        </w:rPr>
        <w:instrText>Moreno","given":"Pablo"},{"family":"Huysentruyt","given":"Frank"},{"family":"Jenkins","given":"Stuart</w:instrText>
      </w:r>
      <w:r w:rsidR="000F35EB">
        <w:instrText xml:space="preserve"> R."},{"family":"Kerckhof","given":"Francis"},{"family":"Lucy","given":"Frances E."},{"family":"Nentwig","given":"Wolfgang"},{"family":"Newman","given":"Jonathan"},{"family":"Rabitsch","given":"Wolfgang"},{"family":"Roy","given":"Sugoto"},{"family":"Starf</w:instrText>
      </w:r>
      <w:r w:rsidR="000F35EB">
        <w:rPr>
          <w:rFonts w:hint="eastAsia"/>
        </w:rPr>
        <w:instrText>inger","given":"Uwe"},{"family":"Stebbing","given":"Paul D."},{"family":"Stuyck","given":"Jan"},{"family":"Sutton</w:instrText>
      </w:r>
      <w:r w:rsidR="000F35EB">
        <w:rPr>
          <w:rFonts w:hint="eastAsia"/>
        </w:rPr>
        <w:instrText>‐</w:instrText>
      </w:r>
      <w:r w:rsidR="000F35EB">
        <w:rPr>
          <w:rFonts w:hint="eastAsia"/>
        </w:rPr>
        <w:instrText>Croft","given":"Mike"},{"family":"Tricarico","given":"Elena"},{"family":"Vanderhoeven","given":"Sonia"},{"family":"Verreycken","given":"Hugo"</w:instrText>
      </w:r>
      <w:r w:rsidR="000F35EB">
        <w:instrText xml:space="preserve">},{"family":"Mill","given":"Aileen C."}],"accessed":{"date-parts":[["2022",6,3]]},"issued":{"date-parts":[["2020",11]]}},"label":"page"},{"id":11140,"uris":["http://zotero.org/groups/2352922/items/ZNBRV4GV"],"itemData":{"id":11140,"type":"article-journal","abstract":"Managing and monitoring invasive alien species (IAS) is costly, and because resources are limited, prioritization decisions are required for planning and management. We present findings on plant pest prioritization for 63 established invader species of natural and grazing ecosystems of Queensland, Australia. We used an expert elicitation approach to assess risk (species occurrence, spread, and impact) and feasibility of control for each IAS. We elicit semi-quantitative responses from diverse expert stakeholders to score IAS on three management approaches (biocontrol, chemical and mechanical) in relation to cost, effectiveness and practicality, and incorporate uncertainty in expert inputs and model outputs. In the process, we look for promising management opportunities as well as seek general trends across species' ecological groups and management methods. Stakeholders were cautiously optimistic about the feasibility of managing IAS. Taking into consideration all factors, the overall feasibility of control was uncorrelated with the stakeholders’ level of confidence. However, within individual management criterion, positive trend was observed for the same bivariate traits for chemical control, and negative trends for biocontrol and mechanical controls. Utility and confidence in IAS management options were in the order: chemical &gt; biocontrol = mechanical, with practicality and effectiveness being the main driver components. Management feasibility differed significantly between IAS life forms but not between habitats invaded. Lastly, we combined IAS risk assessment and management feasibility scores to create a risk matrix to guide policy goals (i.e. eradication, spread containment, protection of sensitive sites, targeted control, site management, monitoring, and limited action). The matrix identifies promising species to target for each of these policy outcomes. Overall, our general approach illustrates (i) the importance of understanding the feasibility of IAS control actions and the factors that drive it, and (ii) demonstrates how quantifying management feasibility can be used to enhance traditional risk assessment rankings to improve policy outcomes. © 2019","container-title":"Journal of Environmental Management","DOI":"10.1016/j.jenvman.2019.05.052","ISSN":"03014797","journalAbbreviation":"Journal of Environmental Management","language":"en","page":"484-495","source":"DOI.org (Crossref)","title":"Management feasibility of established invasive plant species in Queensland, Australia: A stakeholders’ perspective","title-short":"Management feasibility of established invasive plant species in Queensland, Australia","URL":"https://linkinghub.elsevier.com/retrieve/pii/S0301479719306620","volume":"246","author":[{"family":"Osunkoya","given":"Olusegun O."},{"family":"Froese","given":"Jens G."},{"family":"Nicol","given":"Sam"}],"accessed":{"date-parts":[["2021",3,17]]},"issued":{"date-parts":[["2019",9]]}},"label":"page"}],"schema":"https://github.com/citation-style-language/schema/raw/master/csl-citation.json"} </w:instrText>
      </w:r>
      <w:r w:rsidRPr="00837161">
        <w:fldChar w:fldCharType="separate"/>
      </w:r>
      <w:r w:rsidR="00271B78" w:rsidRPr="00271B78">
        <w:t>(Booy et al., 2020; Osunkoya et al., 2019)</w:t>
      </w:r>
      <w:r w:rsidRPr="00837161">
        <w:fldChar w:fldCharType="end"/>
      </w:r>
      <w:r w:rsidRPr="00837161">
        <w:t xml:space="preserve"> and adapted in Belgium </w:t>
      </w:r>
      <w:r w:rsidR="00AE6782" w:rsidRPr="00837161">
        <w:t>to</w:t>
      </w:r>
      <w:r w:rsidRPr="00837161">
        <w:t xml:space="preserve"> evaluate alternative management strateg</w:t>
      </w:r>
      <w:r w:rsidR="00AE6782" w:rsidRPr="00837161">
        <w:t>ies</w:t>
      </w:r>
      <w:r w:rsidRPr="00837161">
        <w:t xml:space="preserve"> to eradication, in particular </w:t>
      </w:r>
      <w:r w:rsidR="00BC187C" w:rsidRPr="00837161">
        <w:t>“</w:t>
      </w:r>
      <w:r w:rsidRPr="00837161">
        <w:t>spread limitation</w:t>
      </w:r>
      <w:r w:rsidR="00BC187C" w:rsidRPr="00837161">
        <w:t>”</w:t>
      </w:r>
      <w:r w:rsidRPr="00837161">
        <w:t xml:space="preserve"> </w:t>
      </w:r>
      <w:r w:rsidR="00AE6782" w:rsidRPr="00837161">
        <w:t xml:space="preserve">(containment) </w:t>
      </w:r>
      <w:r w:rsidRPr="00837161">
        <w:t xml:space="preserve">and to </w:t>
      </w:r>
      <w:r w:rsidR="00434C9C" w:rsidRPr="00837161">
        <w:t xml:space="preserve">support </w:t>
      </w:r>
      <w:r w:rsidRPr="00837161">
        <w:t xml:space="preserve">national management objectives </w:t>
      </w:r>
      <w:r w:rsidRPr="00837161">
        <w:fldChar w:fldCharType="begin"/>
      </w:r>
      <w:r w:rsidR="000F35EB">
        <w:instrText xml:space="preserve"> ADDIN ZOTERO_ITEM CSL_CITATION {"citationID":"iQ3Y1dJh","properties":{"formattedCitation":"(Adriaens et al., 2019)","plainCitation":"(Adriaens et al., 2019)","noteIndex":0},"citationItems":[{"id":21569,"uris":["http://zotero.org/groups/2352922/items/3PIYG233"],"itemData":{"id":21569,"type":"report","genre":"Report prepared in support of implementing the IAS Regulation in Belgium","note":"DOI: 10.21436/17033333","publisher":"Instituut voor Natuur- en Bosonderzoek","source":"DOI.org (Crossref)","title":"Feasibility of eradication and spread limitation for species of Union concern sensu the EU IAS Regulation (EU 1143/2014) in Belgium.","URL":"https://pureportal.inbo.be/portal/nl/publications/feasibility-of-eradication-and-spread-limitation-for-species-of-union-concern-sensu-the-eu-ias-regulation-eu-11432014-in-belgium-report-prepared-in-support-of-implementing-the-ias-regulation-in-belgium(04e5fac7-fe2c-409c-bda3-866b9c1aa41e).html","author":[{"family":"Adriaens","given":"Tim"},{"family":"Branquart","given":"E."},{"family":"Gosse","given":"D"},{"family":"Reniers","given":"J"},{"family":"Vanderhoeven","given":"S"}],"accessed":{"date-parts":[["2020",3,30]]},"issued":{"date-parts":[["2019"]]}},"label":"page"}],"schema":"https://github.com/citation-style-language/schema/raw/master/csl-citation.json"} </w:instrText>
      </w:r>
      <w:r w:rsidRPr="00837161">
        <w:fldChar w:fldCharType="separate"/>
      </w:r>
      <w:r w:rsidR="00271B78" w:rsidRPr="00271B78">
        <w:t>(Adriaens et al., 2019)</w:t>
      </w:r>
      <w:r w:rsidRPr="00837161">
        <w:fldChar w:fldCharType="end"/>
      </w:r>
      <w:r w:rsidRPr="00837161">
        <w:t>.</w:t>
      </w:r>
      <w:r w:rsidR="00434C9C" w:rsidRPr="00837161">
        <w:t xml:space="preserve"> Risk management</w:t>
      </w:r>
      <w:r w:rsidR="007C5BFD" w:rsidRPr="00837161">
        <w:t xml:space="preserve"> systems</w:t>
      </w:r>
      <w:r w:rsidR="37D14734" w:rsidRPr="00837161">
        <w:t xml:space="preserve"> and</w:t>
      </w:r>
      <w:r w:rsidR="00434C9C" w:rsidRPr="00837161">
        <w:t xml:space="preserve"> process</w:t>
      </w:r>
      <w:r w:rsidR="00703080" w:rsidRPr="00837161">
        <w:t>es</w:t>
      </w:r>
      <w:r w:rsidR="00434C9C" w:rsidRPr="00837161">
        <w:t xml:space="preserve"> are also used to </w:t>
      </w:r>
      <w:r w:rsidR="00703080" w:rsidRPr="00837161">
        <w:t>mana</w:t>
      </w:r>
      <w:r w:rsidR="00661416" w:rsidRPr="00837161">
        <w:t>ge importation pathways to minimiz</w:t>
      </w:r>
      <w:r w:rsidR="00703080" w:rsidRPr="00837161">
        <w:t xml:space="preserve">e the risk of </w:t>
      </w:r>
      <w:r w:rsidR="00C74FA0" w:rsidRPr="00837161">
        <w:t xml:space="preserve">alien </w:t>
      </w:r>
      <w:r w:rsidR="007C5BFD" w:rsidRPr="00837161">
        <w:t xml:space="preserve">species importations </w:t>
      </w:r>
      <w:r w:rsidRPr="00837161">
        <w:fldChar w:fldCharType="begin"/>
      </w:r>
      <w:r w:rsidR="000F35EB">
        <w:instrText xml:space="preserve"> ADDIN ZOTERO_ITEM CSL_CITATION {"citationID":"PfOieU3Z","properties":{"formattedCitation":"(van Klinken et al., 2020)","plainCitation":"(van Klinken et al., 2020)","noteIndex":0},"citationItems":[{"id":9994,"uris":["http://zotero.org/groups/2352922/items/UEMWQECS"],"itemData":{"id":9994,"type":"article-journal","container-title":"Crop Protection","DOI":"10.1016/j.cropro.2019.104994","ISSN":"02612194","journalAbbreviation":"Crop Protection","language":"en","page":"104994","source":"DOI.org (Crossref)","title":"A risk framework for using systems approaches to manage horticultural biosecurity risks for market access","URL":"https://linkinghub.elsevier.com/retrieve/pii/S0261219419303400","volume":"129","author":[{"family":"Klinken","given":"Rieks D.","non-dropping-particle":"van"},{"family":"Fiedler","given":"Kathryn"},{"family":"Kingham","given":"Lloyd"},{"family":"Collins","given":"Kerry"},{"family":"Barbour","given":"Darryl"}],"accessed":{"date-parts":[["2021",11,10]]},"issued":{"date-parts":[["2020",3]]}},"label":"page"}],"schema":"https://github.com/citation-style-language/schema/raw/master/csl-citation.json"} </w:instrText>
      </w:r>
      <w:r w:rsidRPr="00837161">
        <w:fldChar w:fldCharType="separate"/>
      </w:r>
      <w:r w:rsidR="00271B78" w:rsidRPr="00271B78">
        <w:t>(van Klinken et al., 2020)</w:t>
      </w:r>
      <w:r w:rsidRPr="00837161">
        <w:fldChar w:fldCharType="end"/>
      </w:r>
      <w:bookmarkStart w:id="103" w:name="_Toc26520293"/>
      <w:r w:rsidR="004E72BC" w:rsidRPr="00837161">
        <w:t>.</w:t>
      </w:r>
    </w:p>
    <w:p w14:paraId="35B0C0DA" w14:textId="77777777" w:rsidR="001B0409" w:rsidRPr="00837161" w:rsidRDefault="27514EC9" w:rsidP="00CE3538">
      <w:pPr>
        <w:pStyle w:val="Heading4"/>
        <w:rPr>
          <w:lang w:eastAsia="en-AU"/>
        </w:rPr>
      </w:pPr>
      <w:bookmarkStart w:id="104" w:name="_Toc69313964"/>
      <w:r w:rsidRPr="00837161">
        <w:t>Risk communication</w:t>
      </w:r>
      <w:bookmarkEnd w:id="104"/>
    </w:p>
    <w:p w14:paraId="58E32D22" w14:textId="20CBF344" w:rsidR="001B0409" w:rsidRPr="00837161" w:rsidRDefault="001B0409" w:rsidP="00C11DFA">
      <w:pPr>
        <w:spacing w:before="240" w:after="120" w:line="240" w:lineRule="auto"/>
      </w:pPr>
      <w:r w:rsidRPr="00837161">
        <w:t xml:space="preserve">Risk communication is the interactive process of exchange of information and opinions among individuals, groups and institutions concerning a risk or potential risk </w:t>
      </w:r>
      <w:r w:rsidRPr="00837161">
        <w:fldChar w:fldCharType="begin"/>
      </w:r>
      <w:r w:rsidR="000F35EB">
        <w:instrText xml:space="preserve"> ADDIN ZOTERO_ITEM CSL_CITATION {"citationID":"SCFwwIg8","properties":{"unsorted":true,"formattedCitation":"(A. P. Robinson et al., 2017; Lundgren &amp; McMakin, 2018)","plainCitation":"(A. P. Robinson et al., 2017; Lundgren &amp; McMakin, 2018)","noteIndex":0},"citationItems":[{"id":12444,"uris":["http://zotero.org/groups/2352922/items/XXASS7XP"],"itemData":{"id":12444,"type":"book","event-place":"Cambridge","ISBN":"978-1-139-01960-6","note":"DOI: 10.1017/9781139019606","publisher":"Cambridge University Press","publisher-place":"Cambridge","source":"DOI.org (Crossref)","title":"Invasive Species: Risk Assessment and Management","title-short":"Invasive Species","URL":"http://ebooks.cambridge.org/ref/id/CBO9781139019606","editor":[{"family":"Robinson","given":"Andrew P."},{"family":"Walshe","given":"Terry"},{"family":"Burgman","given":"Mark A."},{"family":"Nunn","given":"Mike"}],"accessed":{"date-parts":[["2019",11,27]]},"issued":{"date-parts":[["2017"]]}},"label":"page"},{"id":26962,"uris":["http://zotero.org/groups/2352922/items/ME7V47A4"],"itemData":{"id":26962,"type":"book","ISBN":"978-1-119-45614-8","language":"English","note":"OCLC: 1187897294","publisher":"Wiley-IEEE Press","source":"Open WorldCat","title":"Risk Communication A Handbook for Communicating Environmental, Safety, and Health Risks","URL":"https://nbn-resolving.org/urn:nbn:de:101:1-2018080804355041270690","author":[{"family":"Lundgren","given":"Regina E"},{"family":"McMakin","given":"Andrea H"}],"accessed":{"date-parts":[["2021",7,3]]},"issued":{"date-parts":[["2018"]]}},"label":"page"}],"schema":"https://github.com/citation-style-language/schema/raw/master/csl-citation.json"} </w:instrText>
      </w:r>
      <w:r w:rsidRPr="00837161">
        <w:fldChar w:fldCharType="separate"/>
      </w:r>
      <w:r w:rsidR="00271B78" w:rsidRPr="00271B78">
        <w:t>(A. P. Robinson et al., 2017; Lundgren &amp; McMakin, 2018)</w:t>
      </w:r>
      <w:r w:rsidRPr="00837161">
        <w:fldChar w:fldCharType="end"/>
      </w:r>
      <w:r w:rsidRPr="00837161">
        <w:t xml:space="preserve">. Communicating risks is </w:t>
      </w:r>
      <w:r w:rsidR="001330BA" w:rsidRPr="00837161">
        <w:t xml:space="preserve">often </w:t>
      </w:r>
      <w:r w:rsidRPr="00837161">
        <w:t>challenging</w:t>
      </w:r>
      <w:r w:rsidR="001330BA" w:rsidRPr="00837161">
        <w:t xml:space="preserve"> given inherent levels of </w:t>
      </w:r>
      <w:r w:rsidRPr="00837161">
        <w:t>uncertain</w:t>
      </w:r>
      <w:r w:rsidR="00227EE0" w:rsidRPr="00837161">
        <w:t>ty</w:t>
      </w:r>
      <w:r w:rsidR="00DC209A" w:rsidRPr="00837161">
        <w:t>. I</w:t>
      </w:r>
      <w:r w:rsidR="00FF3B18" w:rsidRPr="00837161">
        <w:t xml:space="preserve">gnoring </w:t>
      </w:r>
      <w:r w:rsidR="00DC209A" w:rsidRPr="00837161">
        <w:t xml:space="preserve">uncertainty </w:t>
      </w:r>
      <w:r w:rsidRPr="00837161">
        <w:t xml:space="preserve">results in over-confident decisions or </w:t>
      </w:r>
      <w:r w:rsidR="00AE1526" w:rsidRPr="00837161">
        <w:t>exagger</w:t>
      </w:r>
      <w:r w:rsidR="00D44900" w:rsidRPr="00837161">
        <w:t>a</w:t>
      </w:r>
      <w:r w:rsidR="00AE1526" w:rsidRPr="00837161">
        <w:t xml:space="preserve">ting </w:t>
      </w:r>
      <w:r w:rsidR="5C6A89B1" w:rsidRPr="00837161">
        <w:t>uncertainty</w:t>
      </w:r>
      <w:r w:rsidR="00D44900" w:rsidRPr="00837161">
        <w:t xml:space="preserve"> can lead to </w:t>
      </w:r>
      <w:r w:rsidRPr="00837161">
        <w:t xml:space="preserve">inaction </w:t>
      </w:r>
      <w:r w:rsidR="00C94260" w:rsidRPr="00837161">
        <w:t>in the face of mounting impacts</w:t>
      </w:r>
      <w:r w:rsidRPr="00837161">
        <w:t xml:space="preserve"> </w:t>
      </w:r>
      <w:r w:rsidRPr="00837161">
        <w:fldChar w:fldCharType="begin"/>
      </w:r>
      <w:r w:rsidR="000F35EB">
        <w:instrText xml:space="preserve"> ADDIN ZOTERO_ITEM CSL_CITATION {"citationID":"prHADvn0","properties":{"formattedCitation":"(S. Liu et al., 2011; McGeoch et al., 2012)","plainCitation":"(S. Liu et al., 2011; McGeoch et al., 2012)","noteIndex":0},"citationItems":[{"id":30560,"uris":["http://zotero.org/groups/2352922/items/QKXHQTGH"],"itemData":{"id":30560,"type":"article-journal","abstract":"The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J."},{"family":"Marais","given":"Elrike"}],"accessed":{"date-parts":[["2019",11,9]]},"issued":{"date-parts":[["2012",4]]}},"label":"page"}],"schema":"https://github.com/citation-style-language/schema/raw/master/csl-citation.json"} </w:instrText>
      </w:r>
      <w:r w:rsidRPr="00837161">
        <w:fldChar w:fldCharType="separate"/>
      </w:r>
      <w:r w:rsidR="00271B78" w:rsidRPr="00271B78">
        <w:t>(S. Liu et al., 2011; McGeoch et al., 2012)</w:t>
      </w:r>
      <w:r w:rsidRPr="00837161">
        <w:fldChar w:fldCharType="end"/>
      </w:r>
      <w:r w:rsidRPr="00837161">
        <w:t xml:space="preserve">. </w:t>
      </w:r>
      <w:r w:rsidR="00FD582E" w:rsidRPr="00837161">
        <w:t xml:space="preserve">High </w:t>
      </w:r>
      <w:r w:rsidRPr="00837161">
        <w:t>stakeholder</w:t>
      </w:r>
      <w:r w:rsidR="00FD582E" w:rsidRPr="00837161">
        <w:t xml:space="preserve"> engagement </w:t>
      </w:r>
      <w:r w:rsidRPr="00837161">
        <w:t>throughout the risk analysis process</w:t>
      </w:r>
      <w:r w:rsidR="2255F8CC" w:rsidRPr="00837161">
        <w:t>,</w:t>
      </w:r>
      <w:r w:rsidR="46AD5B59" w:rsidRPr="00837161">
        <w:t xml:space="preserve"> </w:t>
      </w:r>
      <w:r w:rsidR="3ED07471" w:rsidRPr="00837161">
        <w:t>if transparent</w:t>
      </w:r>
      <w:r w:rsidR="48C0C0B5" w:rsidRPr="00837161">
        <w:t>,</w:t>
      </w:r>
      <w:r w:rsidR="00F26EC4" w:rsidRPr="00837161">
        <w:t xml:space="preserve"> </w:t>
      </w:r>
      <w:r w:rsidRPr="00837161">
        <w:t xml:space="preserve">promotes trust and confidence </w:t>
      </w:r>
      <w:r w:rsidR="00CB66BC" w:rsidRPr="00837161">
        <w:t>in d</w:t>
      </w:r>
      <w:r w:rsidRPr="00837161">
        <w:t xml:space="preserve">ecision makers </w:t>
      </w:r>
      <w:r w:rsidRPr="00837161">
        <w:fldChar w:fldCharType="begin"/>
      </w:r>
      <w:r w:rsidR="00115E42">
        <w:instrText xml:space="preserve"> ADDIN ZOTERO_ITEM CSL_CITATION {"citationID":"8DLbQJKE","properties":{"formattedCitation":"(Est\\uc0\\u233{}vez et al., 2015; Groom, Strubbe, et al., 2019; van der Bles, 2019; Vanderhoeven et al., 2017)","plainCitation":"(Estévez et al., 2015; Groom, Strubbe, et al., 2019; van der Bles, 2019; Vanderhoeven et al., 2017)","dontUpdate":true,"noteIndex":0},"citationItems":[{"id":30389,"uris":["http://zotero.org/groups/2352922/items/RICLEV26"],"itemData":{"id":30389,"type":"article-journal","abstract":"Decision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A."}],"accessed":{"date-parts":[["2021",4,13]]},"issued":{"date-parts":[["2015",2]]}}},{"id":11173,"uris":["http://zotero.org/groups/2352922/items/IRRB74KY"],"itemData":{"id":11173,"type":"article-journal","abstract":"Observations reported by citizens are crucial to the ability of scientists to inform policy on biodiversity. This is particularly relevant in the case of preventing and controlling biological invasions; that is, the introduction and spread of species outside their natural ranges as a consequence of human activity. Such invasions of natural ecosystems represent one of the main threats to biodiversity, economy, and human well-being globally, and policies on tackling this issue require a strong evidence base that increasingly is built on citizen science. Many citizens are motivated to collect data for their own interest, while presumably, few expect to make a major impact on policy. The needs of policy-makers are not always aligned with the approaches used by citizens to collect and share data. Therefore, how can we motivate citizen science for the needs of policy without compromising the enjoyment that citizens gain from collecting biodiversity observations? How can policy-makers support citizens to collect the data they need?\n\nSolutions require two components, a combination of social and technological innovation. Initiatives aimed at supporting decision-making processes should involve more societal actors and be built in a more collaborative or even co-created manner with citizens, scientists, and policy-makers. Technological solutions can be achieved through regular, rapid, and open publication of biodiversity data products. We envisage frequent publication of maps and indicators from rapidly mobilized data, with clear pointers to gaps in knowledge. Improving the links between data collection and delivery of policy-relevant information demonstrates – to citizens and their organizations – the need for their data, and gives them a clear view on the impact of their data on policy. This visibility also empowers stakeholder organizations in the policy development process.","container-title":"Citizen Science: Theory and Practice","DOI":"10.5334/cstp.238","ISSN":"2057-4991","issue":"1","language":"en","license":"Authors who publish with this journal agree to the following terms:    Authors retain copyright and grant the journal right of first publication with the work simultaneously licensed under a  Creative Commons Attribution License  that allows others to share the work with an acknowledgement of the work's authorship and initial publication in this journal.  Authors are able to enter into separate, additional contractual arrangements for the non-exclusive distribution of the journal's published version of the work (e.g., post it to an institutional repository or publish it in a book), with an acknowledgement of its initial publication in this journal.  Authors are permitted and encouraged to post their work online (e.g., in institutional repositories or on their website) prior to and during the submission process, as it can lead to productive exchanges, as well as earlier and greater citation of published work (See  The Effect of Open Access ).  All third-party images reproduced on this journal are shared under Educational Fair Use. For more information on  Educational Fair Use , please see  this useful checklist prepared by Columbia University Libraries .   All copyright  of third-party content posted here for research purposes belongs to its original owners.  Unless otherwise stated all references to characters and comic art presented on this journal are ©, ® or ™ of their respective owners. No challenge to any owner’s rights is intended or should be inferred.","note":"publisher: Ubiquity Press","page":"33","source":"theoryandpractice.citizenscienceassociation.org","title":"Empowering Citizens to Inform Decision-Making as a Way Forward to Support Invasive Alien Species Policy","URL":"https://doi.org/10.5334/cstp.238","volume":"4","author":[{"family":"Groom","given":"Quentin J."},{"family":"Strubbe","given":"Diederik"},{"family":"Adriaens","given":"Tim"},{"family":"Davis","given":"Amy J. S."},{"family":"Desmet","given":"Peter"},{"family":"Oldoni","given":"Damiano"},{"family":"Reyserhove","given":"Lien"},{"family":"Roy","given":"Helen E."},{"family":"Vanderhoeven","given":"Sonia"}],"accessed":{"date-parts":[["2021",4,6]]},"issued":{"date-parts":[["2019",12,2]]}},"label":"page"},{"id":15309,"uris":["http://zotero.org/groups/2352922/items/XKQA2S67"],"itemData":{"id":15309,"type":"article-journal","container-title":"New Scientist","DOI":"10.1016/S0262-4079(19)31224-2","ISSN":"02624079","issue":"3237","journalAbbreviation":"New Scientist","language":"en","page":"21","source":"DOI.org (Crossref)","title":"Be certainly uncertain","URL":"https://linkinghub.elsevier.com/retrieve/pii/S0262407919312242","volume":"243","author":[{"family":"Bles","given":"Anne Marthe","non-dropping-particle":"van der"}],"accessed":{"date-parts":[["2019",9,19]]},"issued":{"date-parts":[["2019",7]]}},"label":"page"},{"id":22747,"uris":["http://zotero.org/groups/2352922/items/EY32RN7C"],"itemData":{"id":22747,"type":"article-journal","abstract":"Risk assessment tools for listing invasive alien species need to incorporate all available evidence and expertise. Beyond the wealth of protocols developed to date, we argue that the current way of performing risk analysis has several shortcomings. In particular, lack of data on ecological impacts, transparency and repeatability of assessments as well as the incorporation of uncertainty should all be explicitly considered. We recommend improved quality control of risk assessments through formalized peer review with clear feedback between assessors and reviewers. Alternatively, a consensus building process can be applied to better capture opinions of different experts, thereby maximizing the evidential basis. Elaborating on manageability of invasive species is further needed to fully answer all risk analysis requirements. Tackling the issue of invasive species urges better handling of the acquired information on risk and the exploration of improved methods for decision making on biodiversity management. This is crucial for efficient conservation resource allocation and uptake by stakeholders and the public. © 2017, The Author(s).","container-title":"Biological Invasions","DOI":"10.1007/s10530-017-1434-0","ISSN":"1573-1464","issue":"9","journalAbbreviation":"Biol Invasions","language":"en","page":"2507-2517","source":"Springer Link","title":"Beyond protocols: improving the reliability of expert-based risk analysis underpinning invasive species policies","title-short":"Beyond protocols","URL":"https://doi.org/10.1007/s10530-017-1434-0","volume":"19","author":[{"family":"Vanderhoeven","given":"Sonia"},{"family":"Branquart","given":"Etienne"},{"family":"Casaer","given":"Jim"},{"family":"D’hondt","given":"Bram"},{"family":"Hulme","given":"Philip E."},{"family":"Shwartz","given":"Assaf"},{"family":"Strubbe","given":"Diederik"},{"family":"Turbé","given":"Anne"},{"family":"Verreycken","given":"Hugo"},{"family":"Adriaens","given":"Tim"}],"accessed":{"date-parts":[["2019",8,12]]},"issued":{"date-parts":[["2017",9,1]]}},"label":"page"}],"schema":"https://github.com/citation-style-language/schema/raw/master/csl-citation.json"} </w:instrText>
      </w:r>
      <w:r w:rsidRPr="00837161">
        <w:fldChar w:fldCharType="separate"/>
      </w:r>
      <w:r w:rsidR="00271B78" w:rsidRPr="00271B78">
        <w:t>(Estévez et al., 2015; Groom, Strubbe, et al., 2019; van der Bles, 2019; Vanderhoeven et al., 2017</w:t>
      </w:r>
      <w:r w:rsidRPr="00837161">
        <w:fldChar w:fldCharType="end"/>
      </w:r>
      <w:r w:rsidR="00BA65B2" w:rsidRPr="00837161">
        <w:t xml:space="preserve">; </w:t>
      </w:r>
      <w:r w:rsidR="00BA147F" w:rsidRPr="00837161">
        <w:t xml:space="preserve">e.g., </w:t>
      </w:r>
      <w:r w:rsidR="0002258F" w:rsidRPr="00837161">
        <w:t xml:space="preserve">the TrIAScycle, </w:t>
      </w:r>
      <w:r w:rsidR="00191A6E">
        <w:rPr>
          <w:b/>
          <w:iCs/>
        </w:rPr>
        <w:t>Figure 5.5</w:t>
      </w:r>
      <w:r w:rsidR="0002258F" w:rsidRPr="00837161">
        <w:t>)</w:t>
      </w:r>
      <w:r w:rsidRPr="00837161">
        <w:t xml:space="preserve">. </w:t>
      </w:r>
    </w:p>
    <w:p w14:paraId="1E474533" w14:textId="1D0B3A03" w:rsidR="001B0409" w:rsidRPr="00837161" w:rsidRDefault="00CE3538" w:rsidP="00364CDA">
      <w:pPr>
        <w:spacing w:before="240" w:after="120" w:line="240" w:lineRule="auto"/>
        <w:jc w:val="center"/>
        <w:rPr>
          <w:lang w:eastAsia="en-AU"/>
        </w:rPr>
      </w:pPr>
      <w:r>
        <w:rPr>
          <w:noProof/>
        </w:rPr>
        <w:lastRenderedPageBreak/>
        <w:drawing>
          <wp:inline distT="0" distB="0" distL="0" distR="0" wp14:anchorId="52BD5809" wp14:editId="44E72E08">
            <wp:extent cx="4923223" cy="3607296"/>
            <wp:effectExtent l="0" t="0" r="0" b="0"/>
            <wp:docPr id="1971555465" name="image8.png" descr="A diagram of a diagram of a group of peop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png" descr="A diagram of a diagram of a group of people&#10;&#10;Description automatically generated with medium confidence"/>
                    <pic:cNvPicPr preferRelativeResize="0"/>
                  </pic:nvPicPr>
                  <pic:blipFill>
                    <a:blip r:embed="rId29"/>
                    <a:srcRect/>
                    <a:stretch>
                      <a:fillRect/>
                    </a:stretch>
                  </pic:blipFill>
                  <pic:spPr>
                    <a:xfrm>
                      <a:off x="0" y="0"/>
                      <a:ext cx="4923223" cy="3607296"/>
                    </a:xfrm>
                    <a:prstGeom prst="rect">
                      <a:avLst/>
                    </a:prstGeom>
                    <a:ln/>
                  </pic:spPr>
                </pic:pic>
              </a:graphicData>
            </a:graphic>
          </wp:inline>
        </w:drawing>
      </w:r>
    </w:p>
    <w:p w14:paraId="2F3672D2" w14:textId="37F513A4" w:rsidR="00604EFF" w:rsidRPr="00837161" w:rsidRDefault="00464263" w:rsidP="00C11DFA">
      <w:pPr>
        <w:pStyle w:val="Caption"/>
        <w:rPr>
          <w:lang w:val="en-GB"/>
        </w:rPr>
      </w:pPr>
      <w:bookmarkStart w:id="105" w:name="_Ref104970612"/>
      <w:bookmarkStart w:id="106" w:name="_Toc87623101"/>
      <w:bookmarkStart w:id="107" w:name="_Toc147489358"/>
      <w:r w:rsidRPr="00837161">
        <w:rPr>
          <w:lang w:val="en-GB"/>
        </w:rPr>
        <w:t>Figure 5.</w:t>
      </w:r>
      <w:r w:rsidRPr="00837161">
        <w:rPr>
          <w:lang w:val="en-GB"/>
        </w:rPr>
        <w:fldChar w:fldCharType="begin"/>
      </w:r>
      <w:r w:rsidRPr="00837161">
        <w:rPr>
          <w:lang w:val="en-GB"/>
        </w:rPr>
        <w:instrText>SEQ Figure_5. \* ARABIC</w:instrText>
      </w:r>
      <w:r w:rsidRPr="00837161">
        <w:rPr>
          <w:lang w:val="en-GB"/>
        </w:rPr>
        <w:fldChar w:fldCharType="separate"/>
      </w:r>
      <w:r w:rsidR="00DC77F8">
        <w:rPr>
          <w:noProof/>
          <w:lang w:val="en-GB"/>
        </w:rPr>
        <w:t>5</w:t>
      </w:r>
      <w:r w:rsidRPr="00837161">
        <w:rPr>
          <w:lang w:val="en-GB"/>
        </w:rPr>
        <w:fldChar w:fldCharType="end"/>
      </w:r>
      <w:bookmarkEnd w:id="105"/>
      <w:r w:rsidR="00F13292" w:rsidRPr="00837161">
        <w:rPr>
          <w:lang w:val="en-GB"/>
        </w:rPr>
        <w:t>.</w:t>
      </w:r>
      <w:r w:rsidR="001B0409" w:rsidRPr="00837161">
        <w:rPr>
          <w:lang w:val="en-GB"/>
        </w:rPr>
        <w:t xml:space="preserve"> </w:t>
      </w:r>
      <w:r w:rsidR="001B0409" w:rsidRPr="00837161">
        <w:rPr>
          <w:b w:val="0"/>
          <w:bCs w:val="0"/>
          <w:lang w:val="en-GB"/>
        </w:rPr>
        <w:t>The TrIAScycle - an example of knowledge flow allowing for transparency and promoting trust and confidence between stakeholders and decision makers</w:t>
      </w:r>
      <w:r w:rsidR="00B75C3E" w:rsidRPr="00837161">
        <w:rPr>
          <w:b w:val="0"/>
          <w:bCs w:val="0"/>
          <w:lang w:val="en-GB"/>
        </w:rPr>
        <w:t>.</w:t>
      </w:r>
      <w:bookmarkEnd w:id="106"/>
      <w:r w:rsidR="00B75C3E" w:rsidRPr="00837161">
        <w:rPr>
          <w:b w:val="0"/>
          <w:bCs w:val="0"/>
          <w:lang w:val="en-GB"/>
        </w:rPr>
        <w:t xml:space="preserve"> In this workflow, data and knowledge generated by all stakeholders (</w:t>
      </w:r>
      <w:r w:rsidR="00CE3538" w:rsidRPr="00CE3538">
        <w:rPr>
          <w:b w:val="0"/>
          <w:bCs w:val="0"/>
          <w:color w:val="000000" w:themeColor="text1"/>
        </w:rPr>
        <w:t>visualized in the circles at the top</w:t>
      </w:r>
      <w:r w:rsidR="008333BB">
        <w:rPr>
          <w:b w:val="0"/>
          <w:bCs w:val="0"/>
          <w:lang w:val="en-GB"/>
        </w:rPr>
        <w:t xml:space="preserve">, </w:t>
      </w:r>
      <w:r w:rsidR="00B75C3E" w:rsidRPr="00837161">
        <w:rPr>
          <w:b w:val="0"/>
          <w:bCs w:val="0"/>
          <w:lang w:val="en-GB"/>
        </w:rPr>
        <w:t>i.e.</w:t>
      </w:r>
      <w:r w:rsidR="000B57BC" w:rsidRPr="00837161">
        <w:rPr>
          <w:b w:val="0"/>
          <w:bCs w:val="0"/>
          <w:lang w:val="en-GB"/>
        </w:rPr>
        <w:t>,</w:t>
      </w:r>
      <w:r w:rsidR="00B75C3E" w:rsidRPr="00837161">
        <w:rPr>
          <w:b w:val="0"/>
          <w:bCs w:val="0"/>
          <w:lang w:val="en-GB"/>
        </w:rPr>
        <w:t xml:space="preserve"> scientists, public authorities, field managers and citizens involved in citizen science initiatives) are used to build a series of databases, indicators, risk </w:t>
      </w:r>
      <w:r w:rsidR="50817B8E" w:rsidRPr="00837161">
        <w:rPr>
          <w:b w:val="0"/>
          <w:bCs w:val="0"/>
          <w:lang w:val="en-GB"/>
        </w:rPr>
        <w:t>assessments</w:t>
      </w:r>
      <w:r w:rsidR="00B75C3E" w:rsidRPr="00837161">
        <w:rPr>
          <w:b w:val="0"/>
          <w:bCs w:val="0"/>
          <w:lang w:val="en-GB"/>
        </w:rPr>
        <w:t xml:space="preserve"> and communication tools to inform these stakeholders and take informed action</w:t>
      </w:r>
      <w:r w:rsidR="00BA65B2" w:rsidRPr="00837161">
        <w:rPr>
          <w:b w:val="0"/>
          <w:bCs w:val="0"/>
          <w:lang w:val="en-GB"/>
        </w:rPr>
        <w:t>. Source:</w:t>
      </w:r>
      <w:r w:rsidR="00F97B69" w:rsidRPr="00837161">
        <w:rPr>
          <w:b w:val="0"/>
          <w:bCs w:val="0"/>
          <w:lang w:val="en-GB"/>
        </w:rPr>
        <w:t xml:space="preserve"> Groom, Strubbe, et al.</w:t>
      </w:r>
      <w:r w:rsidR="001176DD" w:rsidRPr="00837161">
        <w:rPr>
          <w:b w:val="0"/>
          <w:bCs w:val="0"/>
          <w:lang w:val="en-GB"/>
        </w:rPr>
        <w:t xml:space="preserve"> </w:t>
      </w:r>
      <w:r w:rsidR="00B75C3E" w:rsidRPr="00837161">
        <w:rPr>
          <w:b w:val="0"/>
          <w:bCs w:val="0"/>
          <w:lang w:val="en-GB"/>
        </w:rPr>
        <w:fldChar w:fldCharType="begin"/>
      </w:r>
      <w:r w:rsidR="000F35EB">
        <w:rPr>
          <w:b w:val="0"/>
          <w:bCs w:val="0"/>
          <w:lang w:val="en-GB"/>
        </w:rPr>
        <w:instrText xml:space="preserve"> ADDIN ZOTERO_ITEM CSL_CITATION {"citationID":"bi90rYEX","properties":{"formattedCitation":"(2019)","plainCitation":"(2019)","noteIndex":0},"citationItems":[{"id":11173,"uris":["http://zotero.org/groups/2352922/items/IRRB74KY"],"itemData":{"id":11173,"type":"article-journal","abstract":"Observations reported by citizens are crucial to the ability of scientists to inform policy on biodiversity. This is particularly relevant in the case of preventing and controlling biological invasions; that is, the introduction and spread of species outside their natural ranges as a consequence of human activity. Such invasions of natural ecosystems represent one of the main threats to biodiversity, economy, and human well-being globally, and policies on tackling this issue require a strong evidence base that increasingly is built on citizen science. Many citizens are motivated to collect data for their own interest, while presumably, few expect to make a major impact on policy. The needs of policy-makers are not always aligned with the approaches used by citizens to collect and share data. Therefore, how can we motivate citizen science for the needs of policy without compromising the enjoyment that citizens gain from collecting biodiversity observations? How can policy-makers support citizens to collect the data they need?\n\nSolutions require two components, a combination of social and technological innovation. Initiatives aimed at supporting decision-making processes should involve more societal actors and be built in a more collaborative or even co-created manner with citizens, scientists, and policy-makers. Technological solutions can be achieved through regular, rapid, and open publication of biodiversity data products. We envisage frequent publication of maps and indicators from rapidly mobilized data, with clear pointers to gaps in knowledge. Improving the links between data collection and delivery of policy-relevant information demonstrates – to citizens and their organizations – the need for their data, and gives them a clear view on the impact of their data on policy. This visibility also empowers stakeholder organizations in the policy development process.","container-title":"Citizen Science: Theory and Practice","DOI":"10.5334/cstp.238","ISSN":"2057-4991","issue":"1","language":"en","license":"Authors who publish with this journal agree to the following terms:    Authors retain copyright and grant the journal right of first publication with the work simultaneously licensed under a  Creative Commons Attribution License  that allows others to share the work with an acknowledgement of the work's authorship and initial publication in this journal.  Authors are able to enter into separate, additional contractual arrangements for the non-exclusive distribution of the journal's published version of the work (e.g., post it to an institutional repository or publish it in a book), with an acknowledgement of its initial publication in this journal.  Authors are permitted and encouraged to post their work online (e.g., in institutional repositories or on their website) prior to and during the submission process, as it can lead to productive exchanges, as well as earlier and greater citation of published work (See  The Effect of Open Access ).  All third-party images reproduced on this journal are shared under Educational Fair Use. For more information on  Educational Fair Use , please see  this useful checklist prepared by Columbia University Libraries .   All copyright  of third-party content posted here for research purposes belongs to its original owners.  Unless otherwise stated all references to characters and comic art presented on this journal are ©, ® or ™ of their respective owners. No challenge to any owner’s rights is intended or should be inferred.","note":"publisher: Ubiquity Press","page":"33","source":"theoryandpractice.citizenscienceassociation.org","title":"Empowering Citizens to Inform Decision-Making as a Way Forward to Support Invasive Alien Species Policy","URL":"https://doi.org/10.5334/cstp.238","volume":"4","author":[{"family":"Groom","given":"Quentin J."},{"family":"Strubbe","given":"Diederik"},{"family":"Adriaens","given":"Tim"},{"family":"Davis","given":"Amy J. S."},{"family":"Desmet","given":"Peter"},{"family":"Oldoni","given":"Damiano"},{"family":"Reyserhove","given":"Lien"},{"family":"Roy","given":"Helen E."},{"family":"Vanderhoeven","given":"Sonia"}],"accessed":{"date-parts":[["2021",4,6]]},"issued":{"date-parts":[["2019",12,2]]}},"label":"page","suppress-author":true}],"schema":"https://github.com/citation-style-language/schema/raw/master/csl-citation.json"} </w:instrText>
      </w:r>
      <w:r w:rsidR="00B75C3E" w:rsidRPr="00837161">
        <w:rPr>
          <w:b w:val="0"/>
          <w:bCs w:val="0"/>
          <w:lang w:val="en-GB"/>
        </w:rPr>
        <w:fldChar w:fldCharType="separate"/>
      </w:r>
      <w:r w:rsidR="00271B78" w:rsidRPr="00271B78">
        <w:t>(2019)</w:t>
      </w:r>
      <w:r w:rsidR="00B75C3E" w:rsidRPr="00837161">
        <w:rPr>
          <w:b w:val="0"/>
          <w:bCs w:val="0"/>
          <w:lang w:val="en-GB"/>
        </w:rPr>
        <w:fldChar w:fldCharType="end"/>
      </w:r>
      <w:r w:rsidR="00C5595A">
        <w:rPr>
          <w:b w:val="0"/>
          <w:bCs w:val="0"/>
          <w:lang w:val="en-GB"/>
        </w:rPr>
        <w:t xml:space="preserve">, </w:t>
      </w:r>
      <w:hyperlink r:id="rId30" w:history="1">
        <w:r w:rsidR="00C5595A" w:rsidRPr="006A0CE1">
          <w:rPr>
            <w:rStyle w:val="Hyperlink"/>
            <w:b w:val="0"/>
            <w:bCs w:val="0"/>
            <w:lang w:val="en-GB"/>
          </w:rPr>
          <w:t>https://doi.org/10.5334/cstp.238</w:t>
        </w:r>
      </w:hyperlink>
      <w:r w:rsidR="00C5595A">
        <w:rPr>
          <w:b w:val="0"/>
          <w:bCs w:val="0"/>
          <w:lang w:val="en-GB"/>
        </w:rPr>
        <w:t xml:space="preserve">, </w:t>
      </w:r>
      <w:r w:rsidR="00DE2B13">
        <w:rPr>
          <w:b w:val="0"/>
          <w:bCs w:val="0"/>
          <w:lang w:val="en-GB"/>
        </w:rPr>
        <w:t xml:space="preserve">under license </w:t>
      </w:r>
      <w:r w:rsidR="00C5595A" w:rsidRPr="00C5595A">
        <w:rPr>
          <w:b w:val="0"/>
          <w:bCs w:val="0"/>
          <w:lang w:val="en-GB"/>
        </w:rPr>
        <w:t>CC BY 4.0</w:t>
      </w:r>
      <w:r w:rsidR="00503CD3" w:rsidRPr="00837161">
        <w:rPr>
          <w:b w:val="0"/>
          <w:bCs w:val="0"/>
          <w:lang w:val="en-GB"/>
        </w:rPr>
        <w:t>.</w:t>
      </w:r>
      <w:bookmarkEnd w:id="107"/>
    </w:p>
    <w:p w14:paraId="56DFAC18" w14:textId="398B2164" w:rsidR="001B0409" w:rsidRPr="00837161" w:rsidRDefault="674C506E" w:rsidP="00CE3538">
      <w:pPr>
        <w:pStyle w:val="Heading4"/>
      </w:pPr>
      <w:bookmarkStart w:id="108" w:name="_Toc69313965"/>
      <w:bookmarkStart w:id="109" w:name="_Toc26520294"/>
      <w:bookmarkEnd w:id="103"/>
      <w:r w:rsidRPr="00837161">
        <w:t>Cost-benefit</w:t>
      </w:r>
      <w:r w:rsidR="465285B9" w:rsidRPr="00837161">
        <w:t>,</w:t>
      </w:r>
      <w:r w:rsidRPr="00837161">
        <w:t xml:space="preserve"> </w:t>
      </w:r>
      <w:r w:rsidR="125251FE" w:rsidRPr="00837161">
        <w:t>cost-</w:t>
      </w:r>
      <w:r w:rsidR="0FFFB144" w:rsidRPr="00837161">
        <w:t>effectiveness</w:t>
      </w:r>
      <w:r w:rsidR="125251FE" w:rsidRPr="00837161">
        <w:t xml:space="preserve"> </w:t>
      </w:r>
      <w:r w:rsidR="7408ECED" w:rsidRPr="00837161">
        <w:t xml:space="preserve">analyses </w:t>
      </w:r>
      <w:r w:rsidR="465285B9" w:rsidRPr="00837161">
        <w:t xml:space="preserve">and other economic </w:t>
      </w:r>
      <w:r w:rsidR="7408ECED" w:rsidRPr="00837161">
        <w:t>approaches</w:t>
      </w:r>
      <w:bookmarkEnd w:id="108"/>
    </w:p>
    <w:p w14:paraId="5DD9EB56" w14:textId="07D1C11E" w:rsidR="001B0409" w:rsidRPr="00837161" w:rsidRDefault="53613560" w:rsidP="00C11DFA">
      <w:pPr>
        <w:spacing w:before="240" w:after="120" w:line="240" w:lineRule="auto"/>
        <w:rPr>
          <w:lang w:eastAsia="en-US"/>
        </w:rPr>
      </w:pPr>
      <w:r w:rsidRPr="00837161">
        <w:rPr>
          <w:lang w:eastAsia="en-US"/>
        </w:rPr>
        <w:t xml:space="preserve">Economic </w:t>
      </w:r>
      <w:r w:rsidR="1A5A1E34" w:rsidRPr="00837161">
        <w:rPr>
          <w:lang w:eastAsia="en-US"/>
        </w:rPr>
        <w:t xml:space="preserve">analysis </w:t>
      </w:r>
      <w:r w:rsidR="00CE3538">
        <w:t xml:space="preserve">for biological invasions </w:t>
      </w:r>
      <w:r w:rsidR="1A5A1E34" w:rsidRPr="00837161">
        <w:rPr>
          <w:lang w:eastAsia="en-US"/>
        </w:rPr>
        <w:t>generally consists of a</w:t>
      </w:r>
      <w:r w:rsidRPr="00837161">
        <w:rPr>
          <w:lang w:eastAsia="en-US"/>
        </w:rPr>
        <w:t xml:space="preserve">) the actual or potential economic damages </w:t>
      </w:r>
      <w:r w:rsidR="2465AAF9" w:rsidRPr="00837161">
        <w:rPr>
          <w:lang w:eastAsia="en-US"/>
        </w:rPr>
        <w:t xml:space="preserve">caused </w:t>
      </w:r>
      <w:r w:rsidRPr="00837161">
        <w:rPr>
          <w:lang w:eastAsia="en-US"/>
        </w:rPr>
        <w:t xml:space="preserve">and </w:t>
      </w:r>
      <w:r w:rsidR="2465AAF9" w:rsidRPr="00837161">
        <w:rPr>
          <w:lang w:eastAsia="en-US"/>
        </w:rPr>
        <w:t>b</w:t>
      </w:r>
      <w:r w:rsidRPr="00837161">
        <w:rPr>
          <w:lang w:eastAsia="en-US"/>
        </w:rPr>
        <w:t>)</w:t>
      </w:r>
      <w:r w:rsidR="2465AAF9" w:rsidRPr="00837161">
        <w:rPr>
          <w:lang w:eastAsia="en-US"/>
        </w:rPr>
        <w:t xml:space="preserve"> </w:t>
      </w:r>
      <w:r w:rsidRPr="00837161">
        <w:rPr>
          <w:lang w:eastAsia="en-US"/>
        </w:rPr>
        <w:t xml:space="preserve">costs </w:t>
      </w:r>
      <w:r w:rsidR="2465AAF9" w:rsidRPr="00837161">
        <w:rPr>
          <w:lang w:eastAsia="en-US"/>
        </w:rPr>
        <w:t xml:space="preserve">of one or multiple </w:t>
      </w:r>
      <w:r w:rsidRPr="00837161">
        <w:rPr>
          <w:lang w:eastAsia="en-US"/>
        </w:rPr>
        <w:t xml:space="preserve">management </w:t>
      </w:r>
      <w:r w:rsidR="2465AAF9" w:rsidRPr="00837161">
        <w:rPr>
          <w:lang w:eastAsia="en-US"/>
        </w:rPr>
        <w:t xml:space="preserve">options </w:t>
      </w:r>
      <w:r w:rsidRPr="00837161">
        <w:rPr>
          <w:lang w:eastAsia="en-US"/>
        </w:rPr>
        <w:t>optim</w:t>
      </w:r>
      <w:r w:rsidR="2465AAF9" w:rsidRPr="00837161">
        <w:rPr>
          <w:lang w:eastAsia="en-US"/>
        </w:rPr>
        <w:t>i</w:t>
      </w:r>
      <w:r w:rsidR="5F271996" w:rsidRPr="00837161">
        <w:rPr>
          <w:lang w:eastAsia="en-US"/>
        </w:rPr>
        <w:t>z</w:t>
      </w:r>
      <w:r w:rsidR="2465AAF9" w:rsidRPr="00837161">
        <w:rPr>
          <w:lang w:eastAsia="en-US"/>
        </w:rPr>
        <w:t>ed to</w:t>
      </w:r>
      <w:r w:rsidRPr="00837161">
        <w:rPr>
          <w:lang w:eastAsia="en-US"/>
        </w:rPr>
        <w:t xml:space="preserve"> minimize the combined </w:t>
      </w:r>
      <w:r w:rsidR="3A2B49E6" w:rsidRPr="00837161">
        <w:rPr>
          <w:lang w:eastAsia="en-US"/>
        </w:rPr>
        <w:t xml:space="preserve">impact and management </w:t>
      </w:r>
      <w:r w:rsidRPr="00837161">
        <w:rPr>
          <w:lang w:eastAsia="en-US"/>
        </w:rPr>
        <w:t xml:space="preserve">costs </w:t>
      </w:r>
      <w:r w:rsidR="4F411130" w:rsidRPr="00837161">
        <w:rPr>
          <w:lang w:eastAsia="en-US"/>
        </w:rPr>
        <w:fldChar w:fldCharType="begin"/>
      </w:r>
      <w:r w:rsidR="000F35EB">
        <w:rPr>
          <w:lang w:eastAsia="en-US"/>
        </w:rPr>
        <w:instrText xml:space="preserve"> ADDIN ZOTERO_ITEM CSL_CITATION {"citationID":"im0laLUt","properties":{"formattedCitation":"(Hoagland &amp; Jin, 2006)","plainCitation":"(Hoagland &amp; Jin, 2006)","dontUpdate":true,"noteIndex":0},"citationItems":[{"id":30762,"uris":["http://zotero.org/groups/2352922/items/PLG2LPDR"],"itemData":{"id":30762,"type":"article-journal","abstract":"Estimates of the economic impacts of nonnative nuisance (“invasive”) species must rely on both a sound ecological understanding and the proper application of economic methods. Focusing on the example of the invasive European green crab (Carcinus maenas), we show that the crab's estimated economic impact—which has been used to help justify recent public policy—is based on data taken from the wrong geographic location. Furthermore, the predictions of ecological effects appear to rest on loose footing, and economic methods have been misapplied in constructing the estimate. Our purpose is to call attention to the need for the more careful application of science and economics in managing this pressing environmental issue.","container-title":"BioScience","DOI":"10.1641/0006-3568(2006)56[931:SAEITM]2.0.CO;2","ISSN":"0006-3568","issue":"11","journalAbbreviation":"BioScience","page":"931-935","source":"Silverchair","title":"Science and Economics in the Management of an Invasive Species","URL":"https://doi.org/10.1641/0006-3568(2006)56[931:SAEITM]2.0.CO;2","volume":"56","author":[{"family":"Hoagland","given":"Porter"},{"family":"Jin","given":"Di"}],"accessed":{"date-parts":[["2021",10,28]]},"issued":{"date-parts":[["2006",11,1]]}},"label":"page"}],"schema":"https://github.com/citation-style-language/schema/raw/master/csl-citation.json"} </w:instrText>
      </w:r>
      <w:r w:rsidR="4F411130" w:rsidRPr="00837161">
        <w:rPr>
          <w:lang w:eastAsia="en-US"/>
        </w:rPr>
        <w:fldChar w:fldCharType="separate"/>
      </w:r>
      <w:r w:rsidR="00F97B69" w:rsidRPr="00837161">
        <w:t>(Hoagland &amp; Jin, 2006</w:t>
      </w:r>
      <w:r w:rsidR="002502C4" w:rsidRPr="00837161">
        <w:t>;</w:t>
      </w:r>
      <w:r w:rsidR="4F411130" w:rsidRPr="00837161">
        <w:rPr>
          <w:lang w:eastAsia="en-US"/>
        </w:rPr>
        <w:fldChar w:fldCharType="end"/>
      </w:r>
      <w:r w:rsidR="2C631B0D" w:rsidRPr="00837161">
        <w:rPr>
          <w:lang w:eastAsia="en-US"/>
        </w:rPr>
        <w:t xml:space="preserve"> </w:t>
      </w:r>
      <w:r w:rsidR="000F6653">
        <w:rPr>
          <w:b/>
          <w:iCs/>
          <w:lang w:eastAsia="en-US"/>
        </w:rPr>
        <w:t>C</w:t>
      </w:r>
      <w:r w:rsidR="2C631B0D" w:rsidRPr="000F6653">
        <w:rPr>
          <w:b/>
          <w:iCs/>
          <w:lang w:eastAsia="en-US"/>
        </w:rPr>
        <w:t>hapter 4</w:t>
      </w:r>
      <w:r w:rsidR="3787EDC9" w:rsidRPr="000F6653">
        <w:rPr>
          <w:iCs/>
          <w:lang w:eastAsia="en-US"/>
        </w:rPr>
        <w:t>,</w:t>
      </w:r>
      <w:r w:rsidR="2C631B0D" w:rsidRPr="000F6653">
        <w:rPr>
          <w:b/>
          <w:iCs/>
          <w:lang w:eastAsia="en-US"/>
        </w:rPr>
        <w:t xml:space="preserve"> </w:t>
      </w:r>
      <w:r w:rsidR="3787EDC9" w:rsidRPr="000F6653">
        <w:rPr>
          <w:b/>
          <w:iCs/>
          <w:lang w:eastAsia="en-US"/>
        </w:rPr>
        <w:t>Box 4.12</w:t>
      </w:r>
      <w:r w:rsidR="3787EDC9" w:rsidRPr="00837161">
        <w:rPr>
          <w:lang w:eastAsia="en-US"/>
        </w:rPr>
        <w:t>)</w:t>
      </w:r>
      <w:r w:rsidRPr="00837161">
        <w:rPr>
          <w:lang w:eastAsia="en-US"/>
        </w:rPr>
        <w:t>.</w:t>
      </w:r>
      <w:r w:rsidR="3A2B49E6" w:rsidRPr="00837161">
        <w:rPr>
          <w:lang w:eastAsia="en-US"/>
        </w:rPr>
        <w:t xml:space="preserve"> </w:t>
      </w:r>
      <w:r w:rsidRPr="00837161">
        <w:rPr>
          <w:lang w:eastAsia="en-US"/>
        </w:rPr>
        <w:t xml:space="preserve">Cost-benefit analysis </w:t>
      </w:r>
      <w:r w:rsidR="002502C4" w:rsidRPr="00837161">
        <w:t>(</w:t>
      </w:r>
      <w:r w:rsidR="000F6653">
        <w:rPr>
          <w:b/>
          <w:iCs/>
        </w:rPr>
        <w:t>G</w:t>
      </w:r>
      <w:r w:rsidR="005A696D" w:rsidRPr="000F6653">
        <w:rPr>
          <w:b/>
          <w:iCs/>
        </w:rPr>
        <w:t>lossary</w:t>
      </w:r>
      <w:r w:rsidR="005A696D" w:rsidRPr="00837161">
        <w:t xml:space="preserve">) </w:t>
      </w:r>
      <w:r w:rsidRPr="00837161">
        <w:rPr>
          <w:lang w:eastAsia="en-US"/>
        </w:rPr>
        <w:t xml:space="preserve">has been a standard approach for over 100 years and </w:t>
      </w:r>
      <w:r w:rsidR="3A2B49E6" w:rsidRPr="00837161">
        <w:rPr>
          <w:lang w:eastAsia="en-US"/>
        </w:rPr>
        <w:t xml:space="preserve">is </w:t>
      </w:r>
      <w:r w:rsidRPr="00837161">
        <w:rPr>
          <w:lang w:eastAsia="en-US"/>
        </w:rPr>
        <w:t xml:space="preserve">widely applied to </w:t>
      </w:r>
      <w:r w:rsidR="55731423" w:rsidRPr="00837161">
        <w:rPr>
          <w:rFonts w:eastAsia="Times New Roman"/>
          <w:lang w:eastAsia="en-US"/>
        </w:rPr>
        <w:t xml:space="preserve">support </w:t>
      </w:r>
      <w:r w:rsidR="00CE3538">
        <w:t xml:space="preserve">decision-making for management of biological invasions </w:t>
      </w:r>
      <w:r w:rsidR="4F411130" w:rsidRPr="00837161">
        <w:rPr>
          <w:lang w:eastAsia="en-US"/>
        </w:rPr>
        <w:fldChar w:fldCharType="begin"/>
      </w:r>
      <w:r w:rsidR="000F35EB">
        <w:rPr>
          <w:lang w:eastAsia="en-US"/>
        </w:rPr>
        <w:instrText xml:space="preserve"> ADDIN ZOTERO_ITEM CSL_CITATION {"citationID":"tqsPJWs7","properties":{"formattedCitation":"(Courtois et al., 2018; Naidoo &amp; Ricketts, 2006; A. P. Robinson et al., 2017)","plainCitation":"(Courtois et al., 2018; Naidoo &amp; Ricketts, 2006; A. P. Robinson et al., 2017)","noteIndex":0},"citationItems":[{"id":22773,"uris":["http://zotero.org/groups/2352922/items/MFNRWMDP"],"itemData":{"id":22773,"type":"article-journal","abstract":"Biological invasions entail massive biodiversity losses and tremendous economic impacts that justify signiﬁcant management eﬀorts. Because the funds available to control biological invasions are limited, there is a need to identify priority species. In this paper, we ﬁrst review current invasive species prioritization methods and explicitly highlight their strengths and pitfalls. We then construct a cost–beneﬁt optimization framework that oﬀers the theoretical foundations of a simple method for the management of multiple invasive species under a limited budget. We provide an algorithm to operationalize this framework and render explicit the assumptions required to satisfy the management objective.","container-title":"Ecological Economics","DOI":"10.1016/j.ecolecon.2017.11.037","ISSN":"09218009","journalAbbreviation":"Ecological Economics","language":"en","page":"607-620","source":"DOI.org (Crossref)","title":"A Cost–Benefit Approach for Prioritizing Invasive Species","URL":"https://linkinghub.elsevier.com/retrieve/pii/S0921800917301829","volume":"146","author":[{"family":"Courtois","given":"Pierre"},{"family":"Figuieres","given":"Charles"},{"family":"Mulier","given":"Chloe"},{"family":"Weill","given":"Joakim"}],"accessed":{"date-parts":[["2019",11,27]]},"issued":{"date-parts":[["2018",4]]}},"label":"page"},{"id":21559,"uris":["http://zotero.org/groups/2352922/items/A5QEZIW8"],"itemData":{"id":21559,"type":"article-journal","container-title":"PLoS Biology","DOI":"10.1371/journal.pbio.0040360","ISSN":"1545-7885","issue":"11","journalAbbreviation":"PLoS Biol","language":"en","page":"e360","source":"DOI.org (Crossref)","title":"Mapping the Economic Costs and Benefits of Conservation","URL":"https://dx.plos.org/10.1371/journal.pbio.0040360","volume":"4","author":[{"family":"Naidoo","given":"Robin"},{"family":"Ricketts","given":"Taylor H"}],"editor":[{"family":"Reid","given":"Walt"}],"accessed":{"date-parts":[["2020",3,31]]},"issued":{"date-parts":[["2006",10,31]]}},"label":"page"},{"id":12444,"uris":["http://zotero.org/groups/2352922/items/XXASS7XP"],"itemData":{"id":12444,"type":"book","event-place":"Cambridge","ISBN":"978-1-139-01960-6","note":"DOI: 10.1017/9781139019606","publisher":"Cambridge University Press","publisher-place":"Cambridge","source":"DOI.org (Crossref)","title":"Invasive Species: Risk Assessment and Management","title-short":"Invasive Species","URL":"http://ebooks.cambridge.org/ref/id/CBO9781139019606","editor":[{"family":"Robinson","given":"Andrew P."},{"family":"Walshe","given":"Terry"},{"family":"Burgman","given":"Mark A."},{"family":"Nunn","given":"Mike"}],"accessed":{"date-parts":[["2019",11,27]]},"issued":{"date-parts":[["2017"]]}},"label":"page"}],"schema":"https://github.com/citation-style-language/schema/raw/master/csl-citation.json"} </w:instrText>
      </w:r>
      <w:r w:rsidR="4F411130" w:rsidRPr="00837161">
        <w:rPr>
          <w:lang w:eastAsia="en-US"/>
        </w:rPr>
        <w:fldChar w:fldCharType="separate"/>
      </w:r>
      <w:r w:rsidR="00271B78" w:rsidRPr="00271B78">
        <w:t>(Courtois et al., 2018; Naidoo &amp; Ricketts, 2006; A. P. Robinson et al., 2017)</w:t>
      </w:r>
      <w:r w:rsidR="4F411130" w:rsidRPr="00837161">
        <w:rPr>
          <w:lang w:eastAsia="en-US"/>
        </w:rPr>
        <w:fldChar w:fldCharType="end"/>
      </w:r>
      <w:r w:rsidR="224B7705" w:rsidRPr="00837161">
        <w:rPr>
          <w:lang w:eastAsia="en-US"/>
        </w:rPr>
        <w:t xml:space="preserve"> t</w:t>
      </w:r>
      <w:r w:rsidR="487602EC" w:rsidRPr="00837161">
        <w:rPr>
          <w:lang w:eastAsia="en-US"/>
        </w:rPr>
        <w:t>o generate a benefit-cost ratio</w:t>
      </w:r>
      <w:r w:rsidRPr="00837161">
        <w:rPr>
          <w:lang w:eastAsia="en-US"/>
        </w:rPr>
        <w:t xml:space="preserve"> </w:t>
      </w:r>
      <w:r w:rsidR="4F411130" w:rsidRPr="00837161">
        <w:rPr>
          <w:lang w:eastAsia="en-US"/>
        </w:rPr>
        <w:fldChar w:fldCharType="begin"/>
      </w:r>
      <w:r w:rsidR="000F35EB">
        <w:rPr>
          <w:lang w:eastAsia="en-US"/>
        </w:rPr>
        <w:instrText xml:space="preserve"> ADDIN ZOTERO_ITEM CSL_CITATION {"citationID":"XwbPw9Li","properties":{"formattedCitation":"(Naidoo &amp; Ricketts, 2006)","plainCitation":"(Naidoo &amp; Ricketts, 2006)","noteIndex":0},"citationItems":[{"id":21559,"uris":["http://zotero.org/groups/2352922/items/A5QEZIW8"],"itemData":{"id":21559,"type":"article-journal","container-title":"PLoS Biology","DOI":"10.1371/journal.pbio.0040360","ISSN":"1545-7885","issue":"11","journalAbbreviation":"PLoS Biol","language":"en","page":"e360","source":"DOI.org (Crossref)","title":"Mapping the Economic Costs and Benefits of Conservation","URL":"https://dx.plos.org/10.1371/journal.pbio.0040360","volume":"4","author":[{"family":"Naidoo","given":"Robin"},{"family":"Ricketts","given":"Taylor H"}],"editor":[{"family":"Reid","given":"Walt"}],"accessed":{"date-parts":[["2020",3,31]]},"issued":{"date-parts":[["2006",10,31]]}},"label":"page"}],"schema":"https://github.com/citation-style-language/schema/raw/master/csl-citation.json"} </w:instrText>
      </w:r>
      <w:r w:rsidR="4F411130" w:rsidRPr="00837161">
        <w:rPr>
          <w:lang w:eastAsia="en-US"/>
        </w:rPr>
        <w:fldChar w:fldCharType="separate"/>
      </w:r>
      <w:r w:rsidR="00271B78" w:rsidRPr="00271B78">
        <w:t>(Naidoo &amp; Ricketts, 2006)</w:t>
      </w:r>
      <w:r w:rsidR="4F411130" w:rsidRPr="00837161">
        <w:rPr>
          <w:lang w:eastAsia="en-US"/>
        </w:rPr>
        <w:fldChar w:fldCharType="end"/>
      </w:r>
      <w:r w:rsidRPr="00837161">
        <w:rPr>
          <w:lang w:eastAsia="en-US"/>
        </w:rPr>
        <w:t xml:space="preserve">. </w:t>
      </w:r>
      <w:r w:rsidR="0000121E" w:rsidRPr="00837161">
        <w:rPr>
          <w:lang w:eastAsia="en-US"/>
        </w:rPr>
        <w:t>S</w:t>
      </w:r>
      <w:r w:rsidR="61EE6A1F" w:rsidRPr="00837161">
        <w:rPr>
          <w:lang w:eastAsia="en-US"/>
        </w:rPr>
        <w:t>ocio</w:t>
      </w:r>
      <w:r w:rsidR="41BC4E7E" w:rsidRPr="00837161">
        <w:rPr>
          <w:lang w:eastAsia="en-US"/>
        </w:rPr>
        <w:t>ecological</w:t>
      </w:r>
      <w:r w:rsidR="61EE6A1F" w:rsidRPr="00837161">
        <w:rPr>
          <w:lang w:eastAsia="en-US"/>
        </w:rPr>
        <w:t xml:space="preserve"> systems</w:t>
      </w:r>
      <w:r w:rsidR="0000121E" w:rsidRPr="00837161">
        <w:rPr>
          <w:lang w:eastAsia="en-US"/>
        </w:rPr>
        <w:t xml:space="preserve"> generate</w:t>
      </w:r>
      <w:r w:rsidR="61EE6A1F" w:rsidRPr="00837161">
        <w:rPr>
          <w:lang w:eastAsia="en-US"/>
        </w:rPr>
        <w:t xml:space="preserve"> inherent challenges and uncertainties associated </w:t>
      </w:r>
      <w:r w:rsidR="00C74FA0" w:rsidRPr="00837161">
        <w:rPr>
          <w:lang w:eastAsia="en-US"/>
        </w:rPr>
        <w:t xml:space="preserve">with </w:t>
      </w:r>
      <w:r w:rsidR="61EE6A1F" w:rsidRPr="00837161">
        <w:rPr>
          <w:lang w:eastAsia="en-US"/>
        </w:rPr>
        <w:t xml:space="preserve">these approaches. </w:t>
      </w:r>
      <w:r w:rsidR="4DA5E7B0" w:rsidRPr="00837161">
        <w:rPr>
          <w:rFonts w:eastAsia="Times New Roman"/>
          <w:lang w:eastAsia="en-US"/>
        </w:rPr>
        <w:t xml:space="preserve">When economic data are poor or lacking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{"citationID":"Egf2XtUu","properties":{"formattedCitation":"(Donlan &amp; Wilcox, 2007)","plainCitation":"(Donlan &amp; Wilcox, 2007)","noteIndex":0},"citationItems":[{"id":21562,"uris":["http://zotero.org/groups/2352922/items/KZTYUC54"],"itemData":{"id":21562,"type":"article-journal","container-title":"Animal Conservation","DOI":"10.1111/j.1469-1795.2007.00101.x","ISSN":"13679430, 14691795","issue":"2","language":"en","page":"154-156","source":"DOI.org (Crossref)","title":"Complexities of costing eradications","URL":"http://doi.wiley.com/10.1111/j.1469-1795.2007.00101.x","volume":"10","author":[{"family":"Donlan","given":"C. J."},{"family":"Wilcox","given":"C."}],"accessed":{"date-parts":[["2020",3,31]]},"issued":{"date-parts":[["2007",5]]}},"label":"page"}],"schema":"https://github.com/citation-style-language/schema/raw/master/csl-citation.json"} </w:instrText>
      </w:r>
      <w:r w:rsidR="4F411130" w:rsidRPr="00837161">
        <w:rPr>
          <w:rFonts w:eastAsia="Times New Roman"/>
          <w:lang w:eastAsia="en-US"/>
        </w:rPr>
        <w:fldChar w:fldCharType="separate"/>
      </w:r>
      <w:r w:rsidR="00271B78" w:rsidRPr="00271B78">
        <w:t>(Donlan &amp; Wilcox, 2007)</w:t>
      </w:r>
      <w:r w:rsidR="4F411130" w:rsidRPr="00837161">
        <w:rPr>
          <w:rFonts w:eastAsia="Times New Roman"/>
          <w:lang w:eastAsia="en-US"/>
        </w:rPr>
        <w:fldChar w:fldCharType="end"/>
      </w:r>
      <w:r w:rsidR="4DA5E7B0" w:rsidRPr="00837161">
        <w:rPr>
          <w:rFonts w:eastAsia="Times New Roman"/>
          <w:lang w:eastAsia="en-US"/>
        </w:rPr>
        <w:t xml:space="preserve"> inclusion of even broad cost and benefit estimates have proven valuable for deciding conservation actions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{"citationID":"BUCWe595","properties":{"formattedCitation":"(Boyd et al., 2015)","plainCitation":"(Boyd et al., 2015)","noteIndex":0},"citationItems":[{"id":21561,"uris":["http://zotero.org/groups/2352922/items/B8NGAX3Z"],"itemData":{"id":21561,"type":"article-journal","container-title":"Review of Environmental Economics and Policy","DOI":"10.1093/reep/reu014","ISSN":"1750-6816, 1750-6824","issue":"1","journalAbbreviation":"Review of Environmental Economics and Policy","language":"en","page":"23-42","source":"DOI.org (Crossref)","title":"Conservation Planning: A Review of Return on Investment Analysis","title-short":"Conservation Planning","URL":"https://academic.oup.com/reep/article-lookup/doi/10.1093/reep/reu014","volume":"9","author":[{"family":"Boyd","given":"J."},{"family":"Epanchin-Niell","given":"R."},{"family":"Siikamaki","given":"J."}],"accessed":{"date-parts":[["2020",3,31]]},"issued":{"date-parts":[["2015",1,1]]}},"label":"page"}],"schema":"https://github.com/citation-style-language/schema/raw/master/csl-citation.json"} </w:instrText>
      </w:r>
      <w:r w:rsidR="4F411130" w:rsidRPr="00837161">
        <w:rPr>
          <w:rFonts w:eastAsia="Times New Roman"/>
          <w:lang w:eastAsia="en-US"/>
        </w:rPr>
        <w:fldChar w:fldCharType="separate"/>
      </w:r>
      <w:r w:rsidR="00271B78" w:rsidRPr="00271B78">
        <w:t>(Boyd et al., 2015)</w:t>
      </w:r>
      <w:r w:rsidR="4F411130" w:rsidRPr="00837161">
        <w:rPr>
          <w:rFonts w:eastAsia="Times New Roman"/>
          <w:lang w:eastAsia="en-US"/>
        </w:rPr>
        <w:fldChar w:fldCharType="end"/>
      </w:r>
      <w:r w:rsidR="4DA5E7B0" w:rsidRPr="00837161">
        <w:rPr>
          <w:rFonts w:eastAsia="Times New Roman"/>
          <w:lang w:eastAsia="en-US"/>
        </w:rPr>
        <w:t xml:space="preserve">. </w:t>
      </w:r>
      <w:r w:rsidR="6587AEB4" w:rsidRPr="00837161">
        <w:rPr>
          <w:rFonts w:eastAsia="Times New Roman"/>
          <w:lang w:eastAsia="en-US"/>
        </w:rPr>
        <w:t>C</w:t>
      </w:r>
      <w:r w:rsidR="6587AEB4" w:rsidRPr="00837161">
        <w:rPr>
          <w:rFonts w:eastAsia="Times New Roman"/>
          <w:lang w:eastAsia="en-AU"/>
        </w:rPr>
        <w:t xml:space="preserve">ost-benefit analysis can also inform the appropriate choice of biosecurity interventions across pathway, </w:t>
      </w:r>
      <w:r w:rsidR="00CE3538">
        <w:t xml:space="preserve">species-based </w:t>
      </w:r>
      <w:r w:rsidR="002502C4" w:rsidRPr="00837161">
        <w:rPr>
          <w:rFonts w:eastAsia="Times New Roman"/>
          <w:lang w:eastAsia="en-AU"/>
        </w:rPr>
        <w:t>(</w:t>
      </w:r>
      <w:r w:rsidR="000F6653">
        <w:rPr>
          <w:rFonts w:eastAsia="Times New Roman"/>
          <w:b/>
          <w:iCs/>
          <w:lang w:eastAsia="en-US"/>
        </w:rPr>
        <w:t>C</w:t>
      </w:r>
      <w:r w:rsidR="4DA5E7B0" w:rsidRPr="000F6653">
        <w:rPr>
          <w:rFonts w:eastAsia="Times New Roman"/>
          <w:b/>
          <w:iCs/>
          <w:lang w:eastAsia="en-US"/>
        </w:rPr>
        <w:t>hapter</w:t>
      </w:r>
      <w:r w:rsidR="15A1F6FF" w:rsidRPr="000F6653">
        <w:rPr>
          <w:rFonts w:eastAsia="Times New Roman"/>
          <w:b/>
          <w:iCs/>
          <w:lang w:eastAsia="en-US"/>
        </w:rPr>
        <w:t xml:space="preserve"> 4</w:t>
      </w:r>
      <w:r w:rsidR="15A1F6FF" w:rsidRPr="000F6653">
        <w:rPr>
          <w:rFonts w:eastAsia="Times New Roman"/>
          <w:iCs/>
          <w:lang w:eastAsia="en-US"/>
        </w:rPr>
        <w:t>,</w:t>
      </w:r>
      <w:r w:rsidR="15A1F6FF" w:rsidRPr="000F6653">
        <w:rPr>
          <w:rFonts w:eastAsia="Times New Roman"/>
          <w:b/>
          <w:iCs/>
          <w:lang w:eastAsia="en-US"/>
        </w:rPr>
        <w:t xml:space="preserve"> section</w:t>
      </w:r>
      <w:r w:rsidR="4DA5E7B0" w:rsidRPr="000F6653">
        <w:rPr>
          <w:rFonts w:eastAsia="Times New Roman"/>
          <w:b/>
          <w:iCs/>
          <w:lang w:eastAsia="en-US"/>
        </w:rPr>
        <w:t xml:space="preserve"> 4</w:t>
      </w:r>
      <w:r w:rsidR="203FD35B" w:rsidRPr="000F6653">
        <w:rPr>
          <w:rFonts w:eastAsia="Times New Roman"/>
          <w:b/>
          <w:iCs/>
          <w:lang w:eastAsia="en-US"/>
        </w:rPr>
        <w:t>.2</w:t>
      </w:r>
      <w:r w:rsidR="6587AEB4" w:rsidRPr="00837161">
        <w:rPr>
          <w:rFonts w:eastAsia="Times New Roman"/>
          <w:lang w:eastAsia="en-AU"/>
        </w:rPr>
        <w:t>)</w:t>
      </w:r>
      <w:r w:rsidR="2AFC74FE" w:rsidRPr="00837161">
        <w:rPr>
          <w:rFonts w:eastAsia="Times New Roman"/>
          <w:lang w:eastAsia="en-AU"/>
        </w:rPr>
        <w:t>,</w:t>
      </w:r>
      <w:r w:rsidR="4DA5E7B0" w:rsidRPr="00837161">
        <w:rPr>
          <w:rFonts w:eastAsia="Times New Roman"/>
          <w:lang w:eastAsia="en-AU"/>
        </w:rPr>
        <w:t xml:space="preserve"> </w:t>
      </w:r>
      <w:r w:rsidR="4DA5E7B0" w:rsidRPr="00837161">
        <w:rPr>
          <w:rFonts w:eastAsia="Times New Roman"/>
          <w:lang w:eastAsia="en-US"/>
        </w:rPr>
        <w:t>or site-based</w:t>
      </w:r>
      <w:r w:rsidR="721DBDA4" w:rsidRPr="00837161">
        <w:rPr>
          <w:rFonts w:eastAsia="Times New Roman"/>
          <w:lang w:eastAsia="en-US"/>
        </w:rPr>
        <w:t>,</w:t>
      </w:r>
      <w:r w:rsidR="4DA5E7B0" w:rsidRPr="00837161">
        <w:rPr>
          <w:rFonts w:eastAsia="Times New Roman"/>
          <w:lang w:eastAsia="en-US"/>
        </w:rPr>
        <w:t xml:space="preserve"> management response</w:t>
      </w:r>
      <w:r w:rsidR="721DBDA4" w:rsidRPr="00837161">
        <w:rPr>
          <w:rFonts w:eastAsia="Times New Roman"/>
          <w:lang w:eastAsia="en-US"/>
        </w:rPr>
        <w:t>s</w:t>
      </w:r>
      <w:r w:rsidR="4DA5E7B0" w:rsidRPr="00837161">
        <w:rPr>
          <w:rFonts w:eastAsia="Times New Roman"/>
          <w:lang w:eastAsia="en-US"/>
        </w:rPr>
        <w:t xml:space="preserve">. </w:t>
      </w:r>
      <w:r w:rsidRPr="00837161">
        <w:rPr>
          <w:lang w:eastAsia="en-US"/>
        </w:rPr>
        <w:t xml:space="preserve">Portfolio </w:t>
      </w:r>
      <w:r w:rsidR="003915E3">
        <w:rPr>
          <w:lang w:eastAsia="en-US"/>
        </w:rPr>
        <w:t>t</w:t>
      </w:r>
      <w:r w:rsidRPr="00837161">
        <w:rPr>
          <w:lang w:eastAsia="en-US"/>
        </w:rPr>
        <w:t xml:space="preserve">heory-based decision-making or return on investment analysis </w:t>
      </w:r>
      <w:r w:rsidR="4F411130" w:rsidRPr="00837161">
        <w:rPr>
          <w:lang w:eastAsia="en-US"/>
        </w:rPr>
        <w:fldChar w:fldCharType="begin"/>
      </w:r>
      <w:r w:rsidR="000F35EB">
        <w:rPr>
          <w:lang w:eastAsia="en-US"/>
        </w:rPr>
        <w:instrText xml:space="preserve"> ADDIN ZOTERO_ITEM CSL_CITATION {"citationID":"3GBXBSt8","properties":{"formattedCitation":"(Boyd et al., 2015)","plainCitation":"(Boyd et al., 2015)","noteIndex":0},"citationItems":[{"id":21561,"uris":["http://zotero.org/groups/2352922/items/B8NGAX3Z"],"itemData":{"id":21561,"type":"article-journal","container-title":"Review of Environmental Economics and Policy","DOI":"10.1093/reep/reu014","ISSN":"1750-6816, 1750-6824","issue":"1","journalAbbreviation":"Review of Environmental Economics and Policy","language":"en","page":"23-42","source":"DOI.org (Crossref)","title":"Conservation Planning: A Review of Return on Investment Analysis","title-short":"Conservation Planning","URL":"https://academic.oup.com/reep/article-lookup/doi/10.1093/reep/reu014","volume":"9","author":[{"family":"Boyd","given":"J."},{"family":"Epanchin-Niell","given":"R."},{"family":"Siikamaki","given":"J."}],"accessed":{"date-parts":[["2020",3,31]]},"issued":{"date-parts":[["2015",1,1]]}},"label":"page"}],"schema":"https://github.com/citation-style-language/schema/raw/master/csl-citation.json"} </w:instrText>
      </w:r>
      <w:r w:rsidR="4F411130" w:rsidRPr="00837161">
        <w:rPr>
          <w:lang w:eastAsia="en-US"/>
        </w:rPr>
        <w:fldChar w:fldCharType="separate"/>
      </w:r>
      <w:r w:rsidR="00271B78" w:rsidRPr="00271B78">
        <w:t>(Boyd et al., 2015)</w:t>
      </w:r>
      <w:r w:rsidR="4F411130" w:rsidRPr="00837161">
        <w:rPr>
          <w:lang w:eastAsia="en-US"/>
        </w:rPr>
        <w:fldChar w:fldCharType="end"/>
      </w:r>
      <w:r w:rsidRPr="00837161">
        <w:rPr>
          <w:lang w:eastAsia="en-US"/>
        </w:rPr>
        <w:t xml:space="preserve"> is a</w:t>
      </w:r>
      <w:r w:rsidR="224B7705" w:rsidRPr="00837161">
        <w:rPr>
          <w:lang w:eastAsia="en-US"/>
        </w:rPr>
        <w:t xml:space="preserve">nother </w:t>
      </w:r>
      <w:r w:rsidR="1E9BCFE6" w:rsidRPr="00837161">
        <w:rPr>
          <w:lang w:eastAsia="en-US"/>
        </w:rPr>
        <w:t xml:space="preserve">approach seeking the </w:t>
      </w:r>
      <w:r w:rsidR="26291A9C" w:rsidRPr="00837161">
        <w:rPr>
          <w:lang w:eastAsia="en-US"/>
        </w:rPr>
        <w:t xml:space="preserve">strategy with the </w:t>
      </w:r>
      <w:r w:rsidRPr="00837161">
        <w:rPr>
          <w:lang w:eastAsia="en-US"/>
        </w:rPr>
        <w:t xml:space="preserve">best </w:t>
      </w:r>
      <w:r w:rsidR="1CB21124" w:rsidRPr="00837161">
        <w:rPr>
          <w:lang w:eastAsia="en-US"/>
        </w:rPr>
        <w:t xml:space="preserve">return on investment </w:t>
      </w:r>
      <w:r w:rsidR="26291A9C" w:rsidRPr="00837161">
        <w:rPr>
          <w:lang w:eastAsia="en-US"/>
        </w:rPr>
        <w:t>while taking into account</w:t>
      </w:r>
      <w:r w:rsidRPr="00837161">
        <w:rPr>
          <w:lang w:eastAsia="en-US"/>
        </w:rPr>
        <w:t xml:space="preserve"> uncertaint</w:t>
      </w:r>
      <w:r w:rsidR="26291A9C" w:rsidRPr="00837161">
        <w:rPr>
          <w:lang w:eastAsia="en-US"/>
        </w:rPr>
        <w:t>ies</w:t>
      </w:r>
      <w:r w:rsidRPr="00837161">
        <w:rPr>
          <w:lang w:eastAsia="en-US"/>
        </w:rPr>
        <w:t xml:space="preserve"> </w:t>
      </w:r>
      <w:r w:rsidR="4F411130" w:rsidRPr="00837161">
        <w:rPr>
          <w:lang w:eastAsia="en-US"/>
        </w:rPr>
        <w:fldChar w:fldCharType="begin"/>
      </w:r>
      <w:r w:rsidR="000F35EB">
        <w:rPr>
          <w:lang w:eastAsia="en-US"/>
        </w:rPr>
        <w:instrText xml:space="preserve"> ADDIN ZOTERO_ITEM CSL_CITATION {"citationID":"Re2uv7d7","properties":{"formattedCitation":"(Akter et al., 2015; Finnoff et al., 2007)","plainCitation":"(Akter et al., 2015; Finnoff et al., 2007)","noteIndex":0},"citationItems":[{"id":22547,"uris":["http://zotero.org/groups/2352922/items/2FBM6GBZ"],"itemData":{"id":22547,"type":"article-journal","container-title":"Ecological Economics","DOI":"10.1016/j.ecolecon.2015.06.020","ISSN":"09218009","journalAbbreviation":"Ecological Economics","language":"en","page":"73-85","source":"DOI.org (Crossref)","title":"Application of portfolio theory to asset-based biosecurity decision analysis","URL":"https://linkinghub.elsevier.com/retrieve/pii/S0921800915002670","volume":"117","author":[{"family":"Akter","given":"Sonia"},{"family":"Kompas","given":"Tom"},{"family":"Ward","given":"Michael B."}],"accessed":{"date-parts":[["2020",6,25]]},"issued":{"date-parts":[["2015",9]]}},"label":"page"},{"id":22546,"uris":["http://zotero.org/groups/2352922/items/M7FNRKA3"],"itemData":{"id":22546,"type":"article-journal","container-title":"Ecological Economics","DOI":"10.1016/j.ecolecon.2006.03.025","ISSN":"09218009","issue":"2","journalAbbreviation":"Ecological Economics","language":"en","page":"216-222","source":"DOI.org (Crossref)","title":"Take a risk: Preferring prevention over control of biological invaders","title-short":"Take a risk","URL":"https://linkinghub.elsevier.com/retrieve/pii/S092180090600262X","volume":"62","author":[{"family":"Finnoff","given":"David"},{"family":"Shogren","given":"Jason F."},{"family":"Leung","given":"Brian"},{"family":"Lodge","given":"David"}],"accessed":{"date-parts":[["2020",6,25]]},"issued":{"date-parts":[["2007",4]]}},"label":"page"}],"schema":"https://github.com/citation-style-language/schema/raw/master/csl-citation.json"} </w:instrText>
      </w:r>
      <w:r w:rsidR="4F411130" w:rsidRPr="00837161">
        <w:rPr>
          <w:lang w:eastAsia="en-US"/>
        </w:rPr>
        <w:fldChar w:fldCharType="separate"/>
      </w:r>
      <w:r w:rsidR="00271B78" w:rsidRPr="00271B78">
        <w:t>(Akter et al., 2015; Finnoff et al., 2007)</w:t>
      </w:r>
      <w:r w:rsidR="4F411130" w:rsidRPr="00837161">
        <w:rPr>
          <w:lang w:eastAsia="en-US"/>
        </w:rPr>
        <w:fldChar w:fldCharType="end"/>
      </w:r>
      <w:r w:rsidRPr="00837161">
        <w:rPr>
          <w:lang w:eastAsia="en-US"/>
        </w:rPr>
        <w:t xml:space="preserve">. </w:t>
      </w:r>
      <w:r w:rsidRPr="00837161">
        <w:rPr>
          <w:lang w:eastAsia="en-AU"/>
        </w:rPr>
        <w:t xml:space="preserve">Economic </w:t>
      </w:r>
      <w:r w:rsidR="1FAD60D6" w:rsidRPr="00837161">
        <w:rPr>
          <w:lang w:eastAsia="en-AU"/>
        </w:rPr>
        <w:t xml:space="preserve">analysis can also </w:t>
      </w:r>
      <w:r w:rsidR="3A3BD9D7" w:rsidRPr="00837161">
        <w:rPr>
          <w:lang w:eastAsia="en-AU"/>
        </w:rPr>
        <w:t xml:space="preserve">support and </w:t>
      </w:r>
      <w:r w:rsidRPr="00837161">
        <w:rPr>
          <w:lang w:eastAsia="en-AU"/>
        </w:rPr>
        <w:t>supplement risk management wh</w:t>
      </w:r>
      <w:r w:rsidR="4B91A77A" w:rsidRPr="00837161">
        <w:rPr>
          <w:lang w:eastAsia="en-AU"/>
        </w:rPr>
        <w:t xml:space="preserve">ere </w:t>
      </w:r>
      <w:r w:rsidR="36F6D0AC" w:rsidRPr="00837161">
        <w:rPr>
          <w:lang w:eastAsia="en-AU"/>
        </w:rPr>
        <w:t>the</w:t>
      </w:r>
      <w:r w:rsidRPr="00837161">
        <w:rPr>
          <w:lang w:eastAsia="en-AU"/>
        </w:rPr>
        <w:t xml:space="preserve"> cost</w:t>
      </w:r>
      <w:r w:rsidR="36F6D0AC" w:rsidRPr="00837161">
        <w:rPr>
          <w:lang w:eastAsia="en-AU"/>
        </w:rPr>
        <w:t xml:space="preserve">s of management </w:t>
      </w:r>
      <w:r w:rsidR="591A5A1F" w:rsidRPr="00837161">
        <w:rPr>
          <w:lang w:eastAsia="en-AU"/>
        </w:rPr>
        <w:t xml:space="preserve">are </w:t>
      </w:r>
      <w:r w:rsidR="3A3BD9D7" w:rsidRPr="00837161">
        <w:rPr>
          <w:lang w:eastAsia="en-AU"/>
        </w:rPr>
        <w:t xml:space="preserve">a component of this </w:t>
      </w:r>
      <w:r w:rsidR="4F411130" w:rsidRPr="00837161">
        <w:rPr>
          <w:lang w:eastAsia="en-AU"/>
        </w:rPr>
        <w:fldChar w:fldCharType="begin"/>
      </w:r>
      <w:r w:rsidR="000F35EB">
        <w:rPr>
          <w:lang w:eastAsia="en-AU"/>
        </w:rPr>
        <w:instrText xml:space="preserve"> ADDIN ZOTERO_ITEM CSL_CITATION {"citationID":"MOTzWKGp","properties":{"formattedCitation":"(Fernandes et al., 2016)","plainCitation":"(Fernandes et al., 2016)","noteIndex":0},"citationItems":[{"id":25078,"uris":["http://zotero.org/groups/2352922/items/VFM66E7W"],"itemData":{"id":25078,"type":"article-journal","container-title":"Marine Policy","DOI":"10.1016/j.marpol.2015.11.015","ISSN":"0308597X","journalAbbreviation":"Marine Policy","language":"en","page":"148-155","source":"DOI.org (Crossref)","title":"Costs and benefits to European shipping of ballast-water and hull-fouling treatment: Impacts of native and non-indigenous species","title-short":"Costs and benefits to European shipping of ballast-water and hull-fouling treatment","URL":"https://linkinghub.elsevier.com/retrieve/pii/S0308597X15003590","volume":"64","author":[{"family":"Fernandes","given":"Jose A."},{"family":"Santos","given":"Lionel"},{"family":"Vance","given":"Thomas"},{"family":"Fileman","given":"Tim"},{"family":"Smith","given":"David"},{"family":"Bishop","given":"John D.D."},{"family":"Viard","given":"Frédérique"},{"family":"Queirós","given":"Ana M."},{"family":"Merino","given":"Gorka"},{"family":"Buisman","given":"Erik"},{"family":"Austen","given":"Melanie C."}],"accessed":{"date-parts":[["2021",3,17]]},"issued":{"date-parts":[["2016",2]]}},"label":"page"}],"schema":"https://github.com/citation-style-language/schema/raw/master/csl-citation.json"} </w:instrText>
      </w:r>
      <w:r w:rsidR="4F411130" w:rsidRPr="00837161">
        <w:rPr>
          <w:lang w:eastAsia="en-AU"/>
        </w:rPr>
        <w:fldChar w:fldCharType="separate"/>
      </w:r>
      <w:r w:rsidR="00271B78" w:rsidRPr="00271B78">
        <w:t>(Fernandes et al., 2016)</w:t>
      </w:r>
      <w:r w:rsidR="4F411130" w:rsidRPr="00837161">
        <w:rPr>
          <w:lang w:eastAsia="en-AU"/>
        </w:rPr>
        <w:fldChar w:fldCharType="end"/>
      </w:r>
      <w:r w:rsidRPr="00837161">
        <w:rPr>
          <w:lang w:eastAsia="en-AU"/>
        </w:rPr>
        <w:t>.</w:t>
      </w:r>
      <w:r w:rsidR="3A3BD9D7" w:rsidRPr="00837161">
        <w:rPr>
          <w:lang w:eastAsia="en-AU"/>
        </w:rPr>
        <w:t xml:space="preserve"> </w:t>
      </w:r>
      <w:r w:rsidR="3E30E69B" w:rsidRPr="00837161">
        <w:rPr>
          <w:lang w:eastAsia="en-AU"/>
        </w:rPr>
        <w:t xml:space="preserve">Economic analysis </w:t>
      </w:r>
      <w:r w:rsidR="42ADDC76" w:rsidRPr="00837161">
        <w:rPr>
          <w:lang w:eastAsia="en-AU"/>
        </w:rPr>
        <w:t>is less relevant</w:t>
      </w:r>
      <w:r w:rsidR="0C35BB1A" w:rsidRPr="00837161">
        <w:rPr>
          <w:lang w:eastAsia="en-AU"/>
        </w:rPr>
        <w:t xml:space="preserve"> for understanding </w:t>
      </w:r>
      <w:r w:rsidR="187E5AF2" w:rsidRPr="00837161">
        <w:rPr>
          <w:lang w:eastAsia="en-AU"/>
        </w:rPr>
        <w:t xml:space="preserve">impacts to </w:t>
      </w:r>
      <w:r w:rsidR="0C35BB1A" w:rsidRPr="00837161">
        <w:rPr>
          <w:lang w:eastAsia="en-AU"/>
        </w:rPr>
        <w:t xml:space="preserve">environmental </w:t>
      </w:r>
      <w:r w:rsidR="187E5AF2" w:rsidRPr="00837161">
        <w:rPr>
          <w:lang w:eastAsia="en-AU"/>
        </w:rPr>
        <w:t xml:space="preserve">assets </w:t>
      </w:r>
      <w:r w:rsidR="0C35BB1A" w:rsidRPr="00837161">
        <w:rPr>
          <w:lang w:eastAsia="en-AU"/>
        </w:rPr>
        <w:t>as the costs are hard to estimate</w:t>
      </w:r>
      <w:r w:rsidR="4461BE4F" w:rsidRPr="00837161">
        <w:rPr>
          <w:lang w:eastAsia="en-AU"/>
        </w:rPr>
        <w:t xml:space="preserve"> </w:t>
      </w:r>
      <w:r w:rsidR="20CC5720" w:rsidRPr="00837161">
        <w:rPr>
          <w:lang w:eastAsia="en-AU"/>
        </w:rPr>
        <w:t>(i.e.</w:t>
      </w:r>
      <w:r w:rsidR="6BA59472" w:rsidRPr="00837161">
        <w:rPr>
          <w:lang w:eastAsia="en-AU"/>
        </w:rPr>
        <w:t>,</w:t>
      </w:r>
      <w:r w:rsidR="20CC5720" w:rsidRPr="00837161">
        <w:rPr>
          <w:lang w:eastAsia="en-AU"/>
        </w:rPr>
        <w:t xml:space="preserve"> are intangible costs)</w:t>
      </w:r>
      <w:r w:rsidRPr="00837161">
        <w:rPr>
          <w:rFonts w:eastAsia="Times New Roman"/>
          <w:lang w:eastAsia="en-US"/>
        </w:rPr>
        <w:t xml:space="preserve">. </w:t>
      </w:r>
      <w:r w:rsidR="62016418" w:rsidRPr="00837161">
        <w:rPr>
          <w:rFonts w:eastAsia="Times New Roman"/>
          <w:lang w:eastAsia="en-US"/>
        </w:rPr>
        <w:t>Studies that attempt to put a value on ecosystem services are one way to address this</w:t>
      </w:r>
      <w:r w:rsidR="7168F7EC" w:rsidRPr="00837161">
        <w:rPr>
          <w:rFonts w:eastAsia="Times New Roman"/>
          <w:lang w:eastAsia="en-US"/>
        </w:rPr>
        <w:t xml:space="preserve">, but generally in these contexts </w:t>
      </w:r>
      <w:r w:rsidRPr="00837161">
        <w:rPr>
          <w:rFonts w:eastAsia="Times New Roman"/>
          <w:lang w:eastAsia="en-US"/>
        </w:rPr>
        <w:t xml:space="preserve">other approaches </w:t>
      </w:r>
      <w:r w:rsidR="3E5C5191" w:rsidRPr="00837161">
        <w:rPr>
          <w:rFonts w:eastAsia="Times New Roman"/>
          <w:lang w:eastAsia="en-US"/>
        </w:rPr>
        <w:t xml:space="preserve">are used which are </w:t>
      </w:r>
      <w:r w:rsidRPr="00837161">
        <w:rPr>
          <w:rFonts w:eastAsia="Times New Roman"/>
          <w:lang w:eastAsia="en-US"/>
        </w:rPr>
        <w:t>collectively termed cost-effectiveness analysis</w:t>
      </w:r>
      <w:r w:rsidR="00AA4409" w:rsidRPr="00837161">
        <w:rPr>
          <w:rFonts w:eastAsia="Times New Roman"/>
          <w:lang w:eastAsia="en-US"/>
        </w:rPr>
        <w:t xml:space="preserve"> </w:t>
      </w:r>
      <w:r w:rsidR="002502C4" w:rsidRPr="00837161">
        <w:t>(</w:t>
      </w:r>
      <w:r w:rsidR="000F6653">
        <w:rPr>
          <w:b/>
          <w:iCs/>
        </w:rPr>
        <w:t>G</w:t>
      </w:r>
      <w:r w:rsidR="00AA4409" w:rsidRPr="000F6653">
        <w:rPr>
          <w:b/>
          <w:iCs/>
        </w:rPr>
        <w:t>lossary</w:t>
      </w:r>
      <w:r w:rsidR="00AA4409" w:rsidRPr="00837161">
        <w:t>)</w:t>
      </w:r>
      <w:r w:rsidR="3E5C5191" w:rsidRPr="00837161">
        <w:rPr>
          <w:rFonts w:eastAsia="Times New Roman"/>
          <w:lang w:eastAsia="en-US"/>
        </w:rPr>
        <w:t xml:space="preserve">. This aims </w:t>
      </w:r>
      <w:r w:rsidRPr="00837161">
        <w:rPr>
          <w:rFonts w:eastAsia="Times New Roman"/>
          <w:lang w:eastAsia="en-US"/>
        </w:rPr>
        <w:t xml:space="preserve">to </w:t>
      </w:r>
      <w:r w:rsidR="0046294C" w:rsidRPr="00837161">
        <w:rPr>
          <w:rFonts w:eastAsia="Times New Roman"/>
          <w:lang w:eastAsia="en-US"/>
        </w:rPr>
        <w:t>identify the most cos</w:t>
      </w:r>
      <w:r w:rsidR="00524386" w:rsidRPr="00837161">
        <w:rPr>
          <w:rFonts w:eastAsia="Times New Roman"/>
          <w:lang w:eastAsia="en-US"/>
        </w:rPr>
        <w:t>t</w:t>
      </w:r>
      <w:r w:rsidR="005D7B59">
        <w:rPr>
          <w:rFonts w:eastAsia="Times New Roman"/>
          <w:lang w:eastAsia="en-US"/>
        </w:rPr>
        <w:t>-</w:t>
      </w:r>
      <w:r w:rsidR="00524386" w:rsidRPr="00837161">
        <w:rPr>
          <w:rFonts w:eastAsia="Times New Roman"/>
          <w:lang w:eastAsia="en-US"/>
        </w:rPr>
        <w:t>effective</w:t>
      </w:r>
      <w:r w:rsidRPr="00837161">
        <w:rPr>
          <w:rFonts w:eastAsia="Times New Roman"/>
          <w:lang w:eastAsia="en-US"/>
        </w:rPr>
        <w:t xml:space="preserve"> management </w:t>
      </w:r>
      <w:r w:rsidR="00781E4A" w:rsidRPr="00837161">
        <w:rPr>
          <w:rFonts w:eastAsia="Times New Roman"/>
          <w:lang w:eastAsia="en-US"/>
        </w:rPr>
        <w:t xml:space="preserve">option </w:t>
      </w:r>
      <w:r w:rsidR="2ACE749B" w:rsidRPr="00837161">
        <w:rPr>
          <w:rFonts w:eastAsia="Times New Roman"/>
          <w:lang w:eastAsia="en-US"/>
        </w:rPr>
        <w:t xml:space="preserve">to achieve </w:t>
      </w:r>
      <w:r w:rsidRPr="00837161">
        <w:rPr>
          <w:rFonts w:eastAsia="Times New Roman"/>
          <w:lang w:eastAsia="en-US"/>
        </w:rPr>
        <w:t xml:space="preserve">a particular </w:t>
      </w:r>
      <w:r w:rsidR="00BF2E81" w:rsidRPr="00837161">
        <w:rPr>
          <w:rFonts w:eastAsia="Times New Roman"/>
          <w:lang w:eastAsia="en-US"/>
        </w:rPr>
        <w:t>desirable</w:t>
      </w:r>
      <w:r w:rsidR="008F62E3" w:rsidRPr="00837161">
        <w:rPr>
          <w:rFonts w:eastAsia="Times New Roman"/>
          <w:lang w:eastAsia="en-US"/>
        </w:rPr>
        <w:t xml:space="preserve"> </w:t>
      </w:r>
      <w:r w:rsidR="271E9232" w:rsidRPr="00837161">
        <w:rPr>
          <w:rFonts w:eastAsia="Times New Roman"/>
          <w:lang w:eastAsia="en-US"/>
        </w:rPr>
        <w:t>outcome</w:t>
      </w:r>
      <w:r w:rsidRPr="00837161">
        <w:rPr>
          <w:rFonts w:eastAsia="Times New Roman"/>
          <w:lang w:eastAsia="en-US"/>
        </w:rPr>
        <w:t xml:space="preserve">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{"citationID":"TjV0QdSP","properties":{"formattedCitation":"(Drechsler et al., 2016; Laycock et al., 2009)","plainCitation":"(Drechsler et al., 2016; Laycock et al., 2009)","noteIndex":0},"citationItems":[{"id":25079,"uris":["http://zotero.org/groups/2352922/items/3SELX2PY"],"itemData":{"id":25079,"type":"article-journal","container-title":"Food Security","DOI":"10.1007/s12571-015-0539-5","ISSN":"1876-4517, 1876-4525","issue":"1","journalAbbreviation":"Food Sec.","language":"en","page":"111-121","source":"DOI.org (Crossref)","title":"Agricultural landscape structure and invasive species: the cost-effective level of crop field clustering","title-short":"Agricultural landscape structure and invasive species","URL":"http://link.springer.com/10.1007/s12571-015-0539-5","volume":"8","author":[{"family":"Drechsler","given":"Martin"},{"family":"Touza","given":"Julia"},{"family":"White","given":"Piran C. L."},{"family":"Jones","given":"Glyn"}],"accessed":{"date-parts":[["2021",3,17]]},"issued":{"date-parts":[["2016",2]]}},"label":"page"},{"id":21558,"uris":["http://zotero.org/groups/2352922/items/9FPYARK6"],"itemData":{"id":21558,"type":"article-journal","container-title":"Biological Conservation","DOI":"10.1016/j.biocon.2009.08.010","ISSN":"00063207","issue":"12","journalAbbreviation":"Biological Conservation","language":"en","page":"3120-3127","source":"DOI.org (Crossref)","title":"Evaluating the cost-effectiveness of conservation: The UK Biodiversity Action Plan","title-short":"Evaluating the cost-effectiveness of conservation","URL":"https://linkinghub.elsevier.com/retrieve/pii/S0006320709003784","volume":"142","author":[{"family":"Laycock","given":"Helen"},{"family":"Moran","given":"Dominic"},{"family":"Smart","given":"James"},{"family":"Raffaelli","given":"David"},{"family":"White","given":"Piran"}],"accessed":{"date-parts":[["2020",3,31]]},"issued":{"date-parts":[["2009",12]]}},"label":"page"}],"schema":"https://github.com/citation-style-language/schema/raw/master/csl-citation.json"} </w:instrText>
      </w:r>
      <w:r w:rsidR="4F411130" w:rsidRPr="00837161">
        <w:rPr>
          <w:rFonts w:eastAsia="Times New Roman"/>
          <w:lang w:eastAsia="en-US"/>
        </w:rPr>
        <w:fldChar w:fldCharType="separate"/>
      </w:r>
      <w:r w:rsidR="00271B78" w:rsidRPr="00271B78">
        <w:t>(Drechsler et al., 2016; Laycock et al., 2009)</w:t>
      </w:r>
      <w:r w:rsidR="4F411130" w:rsidRPr="00837161">
        <w:rPr>
          <w:rFonts w:eastAsia="Times New Roman"/>
          <w:lang w:eastAsia="en-US"/>
        </w:rPr>
        <w:fldChar w:fldCharType="end"/>
      </w:r>
      <w:r w:rsidRPr="00837161">
        <w:rPr>
          <w:rFonts w:eastAsia="Times New Roman"/>
          <w:lang w:eastAsia="en-US"/>
        </w:rPr>
        <w:t>. Cost</w:t>
      </w:r>
      <w:r w:rsidR="271E9232" w:rsidRPr="00837161">
        <w:rPr>
          <w:rFonts w:eastAsia="Times New Roman"/>
          <w:lang w:eastAsia="en-US"/>
        </w:rPr>
        <w:t>-</w:t>
      </w:r>
      <w:r w:rsidRPr="00837161">
        <w:rPr>
          <w:rFonts w:eastAsia="Times New Roman"/>
          <w:lang w:eastAsia="en-US"/>
        </w:rPr>
        <w:t xml:space="preserve">effectiveness analysis </w:t>
      </w:r>
      <w:r w:rsidR="2622096A" w:rsidRPr="00837161">
        <w:rPr>
          <w:rFonts w:eastAsia="Times New Roman"/>
          <w:lang w:eastAsia="en-US"/>
        </w:rPr>
        <w:t xml:space="preserve">generally </w:t>
      </w:r>
      <w:r w:rsidRPr="00837161">
        <w:rPr>
          <w:rFonts w:eastAsia="Times New Roman"/>
          <w:lang w:eastAsia="en-US"/>
        </w:rPr>
        <w:t>requires unbiased expert</w:t>
      </w:r>
      <w:r w:rsidR="00E90B81" w:rsidRPr="00837161">
        <w:rPr>
          <w:rFonts w:eastAsia="Times New Roman"/>
          <w:lang w:eastAsia="en-US"/>
        </w:rPr>
        <w:t>-</w:t>
      </w:r>
      <w:r w:rsidRPr="00837161">
        <w:rPr>
          <w:rFonts w:eastAsia="Times New Roman"/>
          <w:lang w:eastAsia="en-US"/>
        </w:rPr>
        <w:t xml:space="preserve">elicitation </w:t>
      </w:r>
      <w:r w:rsidR="2622096A" w:rsidRPr="00837161">
        <w:rPr>
          <w:rFonts w:eastAsia="Times New Roman"/>
          <w:lang w:eastAsia="en-US"/>
        </w:rPr>
        <w:t>using a</w:t>
      </w:r>
      <w:r w:rsidRPr="00837161">
        <w:rPr>
          <w:rFonts w:eastAsia="Times New Roman"/>
          <w:lang w:eastAsia="en-US"/>
        </w:rPr>
        <w:t xml:space="preserve"> </w:t>
      </w:r>
      <w:r w:rsidR="64541A53" w:rsidRPr="00837161">
        <w:rPr>
          <w:rFonts w:eastAsia="Times New Roman"/>
          <w:lang w:eastAsia="en-US"/>
        </w:rPr>
        <w:t xml:space="preserve">recognized </w:t>
      </w:r>
      <w:r w:rsidRPr="00837161">
        <w:rPr>
          <w:rFonts w:eastAsia="Times New Roman"/>
          <w:lang w:eastAsia="en-US"/>
        </w:rPr>
        <w:t xml:space="preserve">transparent and </w:t>
      </w:r>
      <w:r w:rsidR="2622096A" w:rsidRPr="00837161">
        <w:rPr>
          <w:rFonts w:eastAsia="Times New Roman"/>
          <w:lang w:eastAsia="en-US"/>
        </w:rPr>
        <w:t xml:space="preserve">documentable </w:t>
      </w:r>
      <w:r w:rsidRPr="00837161">
        <w:rPr>
          <w:rFonts w:eastAsia="Times New Roman"/>
          <w:lang w:eastAsia="en-US"/>
        </w:rPr>
        <w:t xml:space="preserve">process. </w:t>
      </w:r>
      <w:r w:rsidR="1DD95298" w:rsidRPr="00837161">
        <w:rPr>
          <w:rFonts w:eastAsia="Times New Roman"/>
          <w:lang w:eastAsia="en-US"/>
        </w:rPr>
        <w:t xml:space="preserve">All such analyses can </w:t>
      </w:r>
      <w:r w:rsidR="5CA89C33" w:rsidRPr="00837161">
        <w:rPr>
          <w:rFonts w:eastAsia="Times New Roman"/>
          <w:lang w:eastAsia="en-US"/>
        </w:rPr>
        <w:t>include</w:t>
      </w:r>
      <w:r w:rsidR="1DD95298" w:rsidRPr="00837161">
        <w:rPr>
          <w:rFonts w:eastAsia="Times New Roman"/>
          <w:lang w:eastAsia="en-US"/>
        </w:rPr>
        <w:t xml:space="preserve"> </w:t>
      </w:r>
      <w:r w:rsidRPr="00837161">
        <w:rPr>
          <w:rFonts w:eastAsia="Times New Roman"/>
          <w:lang w:eastAsia="en-US"/>
        </w:rPr>
        <w:lastRenderedPageBreak/>
        <w:t>economic, biodiversity, environmental, social</w:t>
      </w:r>
      <w:r w:rsidR="00C16EEB">
        <w:rPr>
          <w:rFonts w:eastAsia="Times New Roman"/>
          <w:lang w:eastAsia="en-US"/>
        </w:rPr>
        <w:t xml:space="preserve"> and</w:t>
      </w:r>
      <w:r w:rsidRPr="00837161">
        <w:rPr>
          <w:rFonts w:eastAsia="Times New Roman"/>
          <w:lang w:eastAsia="en-US"/>
        </w:rPr>
        <w:t xml:space="preserve"> good quality of life considerations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{"citationID":"Cxkkbl9h","properties":{"formattedCitation":"(Bithas et al., 2018; IUCN, 2018; Rai &amp; Scarborough, 2013)","plainCitation":"(Bithas et al., 2018; IUCN, 2018; Rai &amp; Scarborough, 2013)","noteIndex":0},"citationItems":[{"id":25077,"uris":["http://zotero.org/groups/2352922/items/86XA2XBZ"],"itemData":{"id":25077,"type":"article-journal","container-title":"Ecological Economics","DOI":"10.1016/j.ecolecon.2017.08.017","ISSN":"09218009","journalAbbreviation":"Ecological Economics","language":"en","page":"46-56","source":"DOI.org (Crossref)","title":"Social Benefits from Controlling Invasive Asian Tiger and Native Mosquitoes: A Stated Preference Study in Athens, Greece","title-short":"Social Benefits From Controlling Invasive Asian Tiger and Native Mosquitoes","URL":"https://linkinghub.elsevier.com/retrieve/pii/S0921800916314239","volume":"145","author":[{"family":"Bithas","given":"Kostas"},{"family":"Latinopoulos","given":"Dionysis"},{"family":"Kolimenakis","given":"Antonis"},{"family":"Richardson","given":"Clive"}],"accessed":{"date-parts":[["2021",3,17]]},"issued":{"date-parts":[["2018",3]]}},"label":"page"},{"id":21563,"uris":["http://zotero.org/groups/2352922/items/ISJ6TIFQ"],"itemData":{"id":21563,"type":"document","title":"Compilation of costs of prevention and management of invasive alien species in the EU. Technical note prepared by IUCN for the European Commission.","URL":"https://circabc.europa.eu/sd/a/7b04a898-12e3-48c3-a0e5-f21a165259b4/2018-Compilation%20of%20costs%20of%20prevention%20and%20management%20of%20IAS%20in%20the%20EU.pdf","author":[{"literal":"IUCN"}],"issued":{"date-parts":[["2018"]]}},"label":"page"},{"id":29247,"uris":["http://zotero.org/groups/2352922/items/PL98EN7Q"],"itemData":{"id":29247,"type":"article-journal","abstract":"This paper presents the analysis of a choice experiment designed to estimate willingness-to-pay (WTP) to mitigate damages caused by invasive plant species in a rural community of Nepal. In order to address the cash constraints problem in a subsistence economy, two payment attributes, labour contribution and membership fee, were included in the choice sets. The results reveal that rural farmers have signiﬁcant WTP for forest management activities, in terms of both cash and labour contributions. The results also suggest that rural farmers value their time in this context at a different rate from the current wage rate.","container-title":"Environment and Development Economics","DOI":"10.1017/S1355770X1200037X","ISSN":"1355-770X, 1469-4395","issue":"2","journalAbbreviation":"Envir. Dev. Econ.","language":"en","page":"225-244","source":"DOI.org (Crossref)","title":"Economic value of mitigation of plant invaders in a subsistence economy: incorporating labour as a mode of payment","title-short":"Economic value of mitigation of plant invaders in a subsistence economy","URL":"https://www.cambridge.org/core/product/identifier/S1355770X1200037X/type/journal_article","volume":"18","author":[{"family":"Rai","given":"R.K."},{"family":"Scarborough","given":"H."}],"accessed":{"date-parts":[["2019",11,11]]},"issued":{"date-parts":[["2013",4]]}},"label":"page"}],"schema":"https://github.com/citation-style-language/schema/raw/master/csl-citation.json"} </w:instrText>
      </w:r>
      <w:r w:rsidR="4F411130" w:rsidRPr="00837161">
        <w:rPr>
          <w:rFonts w:eastAsia="Times New Roman"/>
          <w:lang w:eastAsia="en-US"/>
        </w:rPr>
        <w:fldChar w:fldCharType="separate"/>
      </w:r>
      <w:r w:rsidR="00271B78" w:rsidRPr="00271B78">
        <w:t>(Bithas et al., 2018; IUCN, 2018; Rai &amp; Scarborough, 2013)</w:t>
      </w:r>
      <w:r w:rsidR="4F411130" w:rsidRPr="00837161">
        <w:rPr>
          <w:rFonts w:eastAsia="Times New Roman"/>
          <w:lang w:eastAsia="en-US"/>
        </w:rPr>
        <w:fldChar w:fldCharType="end"/>
      </w:r>
      <w:r w:rsidRPr="00837161">
        <w:rPr>
          <w:rFonts w:eastAsia="Times New Roman"/>
          <w:lang w:eastAsia="en-US"/>
        </w:rPr>
        <w:t xml:space="preserve">. </w:t>
      </w:r>
      <w:r w:rsidR="78F5D589" w:rsidRPr="00837161">
        <w:rPr>
          <w:rFonts w:eastAsia="Times New Roman"/>
          <w:lang w:eastAsia="en-US"/>
        </w:rPr>
        <w:t>T</w:t>
      </w:r>
      <w:r w:rsidRPr="00837161">
        <w:rPr>
          <w:rFonts w:eastAsia="Times New Roman"/>
          <w:lang w:eastAsia="en-US"/>
        </w:rPr>
        <w:t xml:space="preserve">hese </w:t>
      </w:r>
      <w:r w:rsidR="5CA89C33" w:rsidRPr="00837161">
        <w:rPr>
          <w:rFonts w:eastAsia="Times New Roman"/>
          <w:lang w:eastAsia="en-US"/>
        </w:rPr>
        <w:t xml:space="preserve">can </w:t>
      </w:r>
      <w:r w:rsidR="4645F7DE" w:rsidRPr="00837161">
        <w:rPr>
          <w:rFonts w:eastAsia="Times New Roman"/>
          <w:lang w:eastAsia="en-US"/>
        </w:rPr>
        <w:t xml:space="preserve">include tangible costs, such as </w:t>
      </w:r>
      <w:r w:rsidRPr="00837161">
        <w:rPr>
          <w:rFonts w:eastAsia="Times New Roman"/>
          <w:lang w:eastAsia="en-US"/>
        </w:rPr>
        <w:t>costs of removing a</w:t>
      </w:r>
      <w:r w:rsidR="030E9779" w:rsidRPr="00837161">
        <w:rPr>
          <w:rFonts w:eastAsia="Times New Roman"/>
          <w:lang w:eastAsia="en-US"/>
        </w:rPr>
        <w:t>n invasive alien s</w:t>
      </w:r>
      <w:r w:rsidRPr="00837161">
        <w:rPr>
          <w:rFonts w:eastAsia="Times New Roman"/>
          <w:lang w:eastAsia="en-US"/>
        </w:rPr>
        <w:t>pecies from a particular location</w:t>
      </w:r>
      <w:r w:rsidR="634D1B1C" w:rsidRPr="00837161">
        <w:rPr>
          <w:rFonts w:eastAsia="Times New Roman"/>
          <w:lang w:eastAsia="en-US"/>
        </w:rPr>
        <w:t xml:space="preserve">, or intangible </w:t>
      </w:r>
      <w:r w:rsidR="14666010" w:rsidRPr="00837161">
        <w:rPr>
          <w:rFonts w:eastAsia="Times New Roman"/>
          <w:lang w:eastAsia="en-US"/>
        </w:rPr>
        <w:t xml:space="preserve">costs or </w:t>
      </w:r>
      <w:r w:rsidR="634D1B1C" w:rsidRPr="00837161">
        <w:rPr>
          <w:rFonts w:eastAsia="Times New Roman"/>
          <w:lang w:eastAsia="en-US"/>
        </w:rPr>
        <w:t xml:space="preserve">impacts </w:t>
      </w:r>
      <w:r w:rsidRPr="00837161">
        <w:rPr>
          <w:rFonts w:eastAsia="Times New Roman"/>
          <w:lang w:eastAsia="en-US"/>
        </w:rPr>
        <w:t xml:space="preserve">such as </w:t>
      </w:r>
      <w:r w:rsidR="634D1B1C" w:rsidRPr="00837161">
        <w:rPr>
          <w:rFonts w:eastAsia="Times New Roman"/>
          <w:lang w:eastAsia="en-US"/>
        </w:rPr>
        <w:t>lo</w:t>
      </w:r>
      <w:r w:rsidRPr="00837161">
        <w:rPr>
          <w:rFonts w:eastAsia="Times New Roman"/>
          <w:lang w:eastAsia="en-US"/>
        </w:rPr>
        <w:t>s</w:t>
      </w:r>
      <w:r w:rsidR="3EF3042F" w:rsidRPr="00837161">
        <w:rPr>
          <w:rFonts w:eastAsia="Times New Roman"/>
          <w:lang w:eastAsia="en-US"/>
        </w:rPr>
        <w:t>t</w:t>
      </w:r>
      <w:r w:rsidRPr="00837161">
        <w:rPr>
          <w:rFonts w:eastAsia="Times New Roman"/>
          <w:lang w:eastAsia="en-US"/>
        </w:rPr>
        <w:t xml:space="preserve"> biodiversity</w:t>
      </w:r>
      <w:r w:rsidR="14666010" w:rsidRPr="00837161">
        <w:rPr>
          <w:rFonts w:eastAsia="Times New Roman"/>
          <w:lang w:eastAsia="en-US"/>
        </w:rPr>
        <w:t xml:space="preserve">. Intangible costs </w:t>
      </w:r>
      <w:r w:rsidR="3C84B12A" w:rsidRPr="00837161">
        <w:rPr>
          <w:rFonts w:eastAsia="Times New Roman"/>
          <w:lang w:eastAsia="en-US"/>
        </w:rPr>
        <w:t>can be estimated using</w:t>
      </w:r>
      <w:r w:rsidRPr="00837161">
        <w:rPr>
          <w:rFonts w:eastAsia="Times New Roman"/>
          <w:lang w:eastAsia="en-US"/>
        </w:rPr>
        <w:t xml:space="preserve"> approximations</w:t>
      </w:r>
      <w:r w:rsidR="3C84B12A" w:rsidRPr="00837161">
        <w:rPr>
          <w:rFonts w:eastAsia="Times New Roman"/>
          <w:lang w:eastAsia="en-US"/>
        </w:rPr>
        <w:t xml:space="preserve"> and</w:t>
      </w:r>
      <w:r w:rsidRPr="00837161">
        <w:rPr>
          <w:rFonts w:eastAsia="Times New Roman"/>
          <w:lang w:eastAsia="en-US"/>
        </w:rPr>
        <w:t xml:space="preserve"> mathematical simulations </w:t>
      </w:r>
      <w:r w:rsidR="4F411130" w:rsidRPr="00837161">
        <w:rPr>
          <w:rFonts w:eastAsia="Times New Roman"/>
          <w:lang w:eastAsia="en-US"/>
        </w:rPr>
        <w:fldChar w:fldCharType="begin"/>
      </w:r>
      <w:r w:rsidR="007746C5">
        <w:rPr>
          <w:rFonts w:eastAsia="Times New Roman"/>
          <w:lang w:eastAsia="en-US"/>
        </w:rPr>
        <w:instrText xml:space="preserve"> ADDIN ZOTERO_ITEM CSL_CITATION {"citationID":"pT8T2ldK","properties":{"formattedCitation":"(Leung Brian et al., 2002)","plainCitation":"(Leung Brian et al., 2002)","noteIndex":0},"citationItems":[{"id":"aIyXQQKj/mSLhnNWs","uris":["http://zotero.org/users/5884253/items/NDRHYKYV"],"itemData":{"id":173,"type":"article-journal","container-title":"Proceedings of the Royal Society of London. Series B: Biological Sciences","DOI":"10.1098/rspb.2002.2179","issue":"1508","journalAbbreviation":"Proceedings of the Royal Society of London. Series B: Biological Sciences","page":"2407-2413","title":"An ounce of prevention or a pound of cure: bioeconomic risk analysis of invasive species","volume":"269","author":[{"literal":"Leung Brian"},{"literal":"Lodge David M."},{"literal":"Finnoff David"},{"literal":"Shogren Jason F."},{"literal":"Lewis Mark A."},{"literal":"Lamberti Gary"}],"issued":{"date-parts":[["2002",12,7]]}},"label":"page"}],"schema":"https://github.com/citation-style-language/schema/raw/master/csl-citation.json"} </w:instrText>
      </w:r>
      <w:r w:rsidR="4F411130" w:rsidRPr="00837161">
        <w:rPr>
          <w:rFonts w:eastAsia="Times New Roman"/>
          <w:lang w:eastAsia="en-US"/>
        </w:rPr>
        <w:fldChar w:fldCharType="separate"/>
      </w:r>
      <w:r w:rsidR="00271B78" w:rsidRPr="00271B78">
        <w:t>(Leung Brian et al., 2002)</w:t>
      </w:r>
      <w:r w:rsidR="4F411130" w:rsidRPr="00837161">
        <w:rPr>
          <w:rFonts w:eastAsia="Times New Roman"/>
          <w:lang w:eastAsia="en-US"/>
        </w:rPr>
        <w:fldChar w:fldCharType="end"/>
      </w:r>
      <w:r w:rsidRPr="00837161">
        <w:rPr>
          <w:rFonts w:eastAsia="Times New Roman"/>
          <w:lang w:eastAsia="en-US"/>
        </w:rPr>
        <w:t xml:space="preserve">, or </w:t>
      </w:r>
      <w:r w:rsidR="16E65151" w:rsidRPr="00837161">
        <w:rPr>
          <w:rFonts w:eastAsia="Times New Roman"/>
          <w:lang w:eastAsia="en-US"/>
        </w:rPr>
        <w:t xml:space="preserve">through </w:t>
      </w:r>
      <w:r w:rsidR="6383434A" w:rsidRPr="00837161">
        <w:rPr>
          <w:rFonts w:eastAsia="Times New Roman"/>
          <w:lang w:eastAsia="en-US"/>
        </w:rPr>
        <w:t xml:space="preserve">monetarization approaches such as </w:t>
      </w:r>
      <w:r w:rsidRPr="00837161">
        <w:rPr>
          <w:rFonts w:eastAsia="Times New Roman"/>
          <w:lang w:eastAsia="en-US"/>
        </w:rPr>
        <w:t xml:space="preserve">hedonic pricing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{"citationID":"9fbBlB0C","properties":{"formattedCitation":"(Horsch &amp; Lewis, 2009)","plainCitation":"(Horsch &amp; Lewis, 2009)","noteIndex":0},"citationItems":[{"id":29937,"uris":["http://zotero.org/groups/2352922/items/NU8DVL8E"],"itemData":{"id":29937,"type":"article-journal","container-title":"Land Economics","DOI":"10.3368/le.85.3.391","ISSN":"0023-7639, 1543-8325","issue":"3","journalAbbreviation":"Land Economics","language":"en","page":"391-409","source":"DOI.org (Crossref)","title":"The Effects of Aquatic Invasive Species on Property Values: Evidence from a Quasi-Experiment","title-short":"The Effects of Aquatic Invasive Species on Property Values","URL":"http://le.uwpress.org/cgi/doi/10.3368/le.85.3.391","volume":"85","author":[{"family":"Horsch","given":"E. J."},{"family":"Lewis","given":"D. J."}],"accessed":{"date-parts":[["2020",3,31]]},"issued":{"date-parts":[["2009",8,1]]}},"label":"page"}],"schema":"https://github.com/citation-style-language/schema/raw/master/csl-citation.json"} </w:instrText>
      </w:r>
      <w:r w:rsidR="4F411130" w:rsidRPr="00837161">
        <w:rPr>
          <w:rFonts w:eastAsia="Times New Roman"/>
          <w:lang w:eastAsia="en-US"/>
        </w:rPr>
        <w:fldChar w:fldCharType="separate"/>
      </w:r>
      <w:r w:rsidR="00271B78" w:rsidRPr="00271B78">
        <w:t>(Horsch &amp; Lewis, 2009)</w:t>
      </w:r>
      <w:r w:rsidR="4F411130" w:rsidRPr="00837161">
        <w:rPr>
          <w:rFonts w:eastAsia="Times New Roman"/>
          <w:lang w:eastAsia="en-US"/>
        </w:rPr>
        <w:fldChar w:fldCharType="end"/>
      </w:r>
      <w:r w:rsidRPr="00837161">
        <w:rPr>
          <w:rFonts w:eastAsia="Times New Roman"/>
          <w:lang w:eastAsia="en-US"/>
        </w:rPr>
        <w:t xml:space="preserve">, the travel-cost approach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{"citationID":"PMBQp4OK","properties":{"formattedCitation":"(Du Preez et al., 2012)","plainCitation":"(Du Preez et al., 2012)","noteIndex":0},"citationItems":[{"id":25144,"uris":["http://zotero.org/groups/2352922/items/6LLT8IG3"],"itemData":{"id":25144,"type":"article-journal","container-title":"South African Journal of Economics","DOI":"10.1111/j.1813-6982.2011.01292.x","ISSN":"00382280","issue":"3","language":"en","page":"387-399","source":"DOI.org (Crossref)","title":"The value of tiger shark diving within the aliwal shoal marine protected area: a travel cost analysis","title-short":"THE VALUE OF TIGER SHARK DIVING WITHIN THE ALIWAL SHOAL MARINE PROTECTED AREA","URL":"http://doi.wiley.com/10.1111/j.1813-6982.2011.01292.x","volume":"80","author":[{"family":"Du Preez","given":"Mario"},{"family":"Dicken","given":"Matt"},{"family":"Hosking","given":"Stephen Gerald"}],"accessed":{"date-parts":[["2020",6,25]]},"issued":{"date-parts":[["2012",9]]}},"label":"page"}],"schema":"https://github.com/citation-style-language/schema/raw/master/csl-citation.json"} </w:instrText>
      </w:r>
      <w:r w:rsidR="4F411130" w:rsidRPr="00837161">
        <w:rPr>
          <w:rFonts w:eastAsia="Times New Roman"/>
          <w:lang w:eastAsia="en-US"/>
        </w:rPr>
        <w:fldChar w:fldCharType="separate"/>
      </w:r>
      <w:r w:rsidR="00271B78" w:rsidRPr="00271B78">
        <w:t>(Du Preez et al., 2012)</w:t>
      </w:r>
      <w:r w:rsidR="4F411130" w:rsidRPr="00837161">
        <w:rPr>
          <w:rFonts w:eastAsia="Times New Roman"/>
          <w:lang w:eastAsia="en-US"/>
        </w:rPr>
        <w:fldChar w:fldCharType="end"/>
      </w:r>
      <w:r w:rsidR="6419C70A" w:rsidRPr="00837161">
        <w:rPr>
          <w:rFonts w:eastAsia="Times New Roman"/>
          <w:lang w:eastAsia="en-US"/>
        </w:rPr>
        <w:t xml:space="preserve"> or</w:t>
      </w:r>
      <w:r w:rsidRPr="00837161">
        <w:rPr>
          <w:rFonts w:eastAsia="Times New Roman"/>
          <w:lang w:eastAsia="en-US"/>
        </w:rPr>
        <w:t xml:space="preserve"> contingent valuation where</w:t>
      </w:r>
      <w:r w:rsidR="34C5657A" w:rsidRPr="00837161">
        <w:rPr>
          <w:rFonts w:eastAsia="Times New Roman"/>
          <w:lang w:eastAsia="en-US"/>
        </w:rPr>
        <w:t xml:space="preserve"> the</w:t>
      </w:r>
      <w:r w:rsidRPr="00837161">
        <w:rPr>
          <w:rFonts w:eastAsia="Times New Roman"/>
          <w:lang w:eastAsia="en-US"/>
        </w:rPr>
        <w:t xml:space="preserve"> </w:t>
      </w:r>
      <w:r w:rsidR="34C5657A" w:rsidRPr="00837161">
        <w:rPr>
          <w:rFonts w:eastAsia="Times New Roman"/>
          <w:lang w:eastAsia="en-US"/>
        </w:rPr>
        <w:t xml:space="preserve">stakeholder’s willingness to pay </w:t>
      </w:r>
      <w:r w:rsidR="002502C4" w:rsidRPr="00837161">
        <w:t>(</w:t>
      </w:r>
      <w:r w:rsidR="001066CE">
        <w:rPr>
          <w:b/>
          <w:iCs/>
        </w:rPr>
        <w:t>G</w:t>
      </w:r>
      <w:r w:rsidR="001066CE" w:rsidRPr="000F6653">
        <w:rPr>
          <w:b/>
          <w:iCs/>
        </w:rPr>
        <w:t>lossary</w:t>
      </w:r>
      <w:r w:rsidR="003E50FF" w:rsidRPr="00837161">
        <w:t xml:space="preserve">) </w:t>
      </w:r>
      <w:r w:rsidR="74310397" w:rsidRPr="00837161">
        <w:rPr>
          <w:rFonts w:eastAsia="Times New Roman"/>
          <w:lang w:eastAsia="en-US"/>
        </w:rPr>
        <w:t xml:space="preserve">for the </w:t>
      </w:r>
      <w:r w:rsidR="07B399D5" w:rsidRPr="00837161">
        <w:rPr>
          <w:rFonts w:eastAsia="Times New Roman"/>
          <w:lang w:eastAsia="en-US"/>
        </w:rPr>
        <w:t xml:space="preserve">invasive alien species impacts </w:t>
      </w:r>
      <w:r w:rsidR="3F79B8C0" w:rsidRPr="00837161">
        <w:rPr>
          <w:rFonts w:eastAsia="Times New Roman"/>
          <w:lang w:eastAsia="en-US"/>
        </w:rPr>
        <w:t xml:space="preserve">such as a lost ecosystem service </w:t>
      </w:r>
      <w:r w:rsidR="07B399D5" w:rsidRPr="00837161">
        <w:rPr>
          <w:rFonts w:eastAsia="Times New Roman"/>
          <w:lang w:eastAsia="en-US"/>
        </w:rPr>
        <w:t xml:space="preserve">is used </w:t>
      </w:r>
      <w:r w:rsidR="7FEF700E" w:rsidRPr="00837161">
        <w:rPr>
          <w:rFonts w:eastAsia="Times New Roman"/>
          <w:lang w:eastAsia="en-US"/>
        </w:rPr>
        <w:t xml:space="preserve">to </w:t>
      </w:r>
      <w:r w:rsidR="60D17392" w:rsidRPr="00837161">
        <w:rPr>
          <w:rFonts w:eastAsia="Times New Roman"/>
          <w:lang w:eastAsia="en-US"/>
        </w:rPr>
        <w:t xml:space="preserve">balance the </w:t>
      </w:r>
      <w:r w:rsidR="5EAB2652" w:rsidRPr="00837161">
        <w:rPr>
          <w:rFonts w:eastAsia="Times New Roman"/>
          <w:lang w:eastAsia="en-US"/>
        </w:rPr>
        <w:t xml:space="preserve">benefits against the management costs </w:t>
      </w:r>
      <w:r w:rsidR="4F411130" w:rsidRPr="00837161">
        <w:rPr>
          <w:rFonts w:eastAsia="Times New Roman"/>
          <w:lang w:eastAsia="en-US"/>
        </w:rPr>
        <w:fldChar w:fldCharType="begin"/>
      </w:r>
      <w:r w:rsidR="000F35EB">
        <w:rPr>
          <w:rFonts w:eastAsia="Times New Roman"/>
          <w:lang w:eastAsia="en-US"/>
        </w:rPr>
        <w:instrText xml:space="preserve"> ADDIN ZOTERO_ITEM CSL_CITATION {"citationID":"bqtVOmeo","properties":{"formattedCitation":"(B. Provencher et al., 2012)","plainCitation":"(B. Provencher et al., 2012)","noteIndex":0},"citationItems":[{"id":21557,"uris":["http://zotero.org/groups/2352922/items/R89KMQLU"],"itemData":{"id":21557,"type":"article-journal","container-title":"Journal of Environmental Economics and Management","DOI":"10.1016/j.jeem.2012.04.002","ISSN":"00950696","issue":"2","journalAbbreviation":"Journal of Environmental Economics and Management","language":"en","page":"169-182","source":"DOI.org (Crossref)","title":"Disentangling preferences and expectations in stated preference analysis with respondent uncertainty: The case of invasive species prevention","title-short":"Disentangling preferences and expectations in stated preference analysis with respondent uncertainty","URL":"https://linkinghub.elsevier.com/retrieve/pii/S009506961200037X","volume":"64","author":[{"family":"Provencher","given":"Bill"},{"family":"Lewis","given":"David J."},{"family":"Anderson","given":"Kathryn"}],"accessed":{"date-parts":[["2020",3,31]]},"issued":{"date-parts":[["2012",9]]}},"label":"page"}],"schema":"https://github.com/citation-style-language/schema/raw/master/csl-citation.json"} </w:instrText>
      </w:r>
      <w:r w:rsidR="4F411130" w:rsidRPr="00837161">
        <w:rPr>
          <w:rFonts w:eastAsia="Times New Roman"/>
          <w:lang w:eastAsia="en-US"/>
        </w:rPr>
        <w:fldChar w:fldCharType="separate"/>
      </w:r>
      <w:r w:rsidR="00271B78" w:rsidRPr="00271B78">
        <w:t>(B. Provencher et al., 2012)</w:t>
      </w:r>
      <w:r w:rsidR="4F411130" w:rsidRPr="00837161">
        <w:rPr>
          <w:rFonts w:eastAsia="Times New Roman"/>
          <w:lang w:eastAsia="en-US"/>
        </w:rPr>
        <w:fldChar w:fldCharType="end"/>
      </w:r>
      <w:r w:rsidRPr="00837161">
        <w:rPr>
          <w:rFonts w:eastAsia="Times New Roman"/>
          <w:lang w:eastAsia="en-US"/>
        </w:rPr>
        <w:t>.</w:t>
      </w:r>
      <w:r w:rsidR="6B24359E" w:rsidRPr="00837161">
        <w:rPr>
          <w:rFonts w:eastAsia="Times New Roman"/>
          <w:lang w:eastAsia="en-US"/>
        </w:rPr>
        <w:t xml:space="preserve"> </w:t>
      </w:r>
      <w:r w:rsidR="1615BBEB" w:rsidRPr="00837161">
        <w:rPr>
          <w:rFonts w:eastAsia="Times New Roman"/>
          <w:lang w:eastAsia="en-US"/>
        </w:rPr>
        <w:t>T</w:t>
      </w:r>
      <w:bookmarkStart w:id="110" w:name="_Toc26520296"/>
      <w:bookmarkEnd w:id="109"/>
      <w:r w:rsidR="2FF7A7FA" w:rsidRPr="00837161">
        <w:rPr>
          <w:lang w:eastAsia="en-US"/>
        </w:rPr>
        <w:t xml:space="preserve">he IPBES </w:t>
      </w:r>
      <w:r w:rsidR="003915E3" w:rsidRPr="00837161">
        <w:rPr>
          <w:lang w:eastAsia="en-US"/>
        </w:rPr>
        <w:t>Methodological Assessment</w:t>
      </w:r>
      <w:r w:rsidR="43E7005E" w:rsidRPr="00837161">
        <w:rPr>
          <w:lang w:eastAsia="en-US"/>
        </w:rPr>
        <w:t xml:space="preserve"> of the </w:t>
      </w:r>
      <w:r w:rsidR="003915E3" w:rsidRPr="00837161">
        <w:rPr>
          <w:lang w:eastAsia="en-US"/>
        </w:rPr>
        <w:t xml:space="preserve">Diverse Values </w:t>
      </w:r>
      <w:r w:rsidR="003915E3">
        <w:rPr>
          <w:lang w:eastAsia="en-US"/>
        </w:rPr>
        <w:t>a</w:t>
      </w:r>
      <w:r w:rsidR="003915E3" w:rsidRPr="00837161">
        <w:rPr>
          <w:lang w:eastAsia="en-US"/>
        </w:rPr>
        <w:t xml:space="preserve">nd Valuation </w:t>
      </w:r>
      <w:r w:rsidR="003915E3">
        <w:rPr>
          <w:lang w:eastAsia="en-US"/>
        </w:rPr>
        <w:t>o</w:t>
      </w:r>
      <w:r w:rsidR="003915E3" w:rsidRPr="00837161">
        <w:rPr>
          <w:lang w:eastAsia="en-US"/>
        </w:rPr>
        <w:t>f Natur</w:t>
      </w:r>
      <w:r w:rsidR="43E7005E" w:rsidRPr="00837161">
        <w:rPr>
          <w:lang w:eastAsia="en-US"/>
        </w:rPr>
        <w:t xml:space="preserve">e </w:t>
      </w:r>
      <w:r w:rsidR="4F411130" w:rsidRPr="00837161">
        <w:rPr>
          <w:lang w:eastAsia="en-US"/>
        </w:rPr>
        <w:fldChar w:fldCharType="begin"/>
      </w:r>
      <w:r w:rsidR="000F35EB">
        <w:rPr>
          <w:lang w:eastAsia="en-US"/>
        </w:rPr>
        <w:instrText xml:space="preserve"> ADDIN ZOTERO_ITEM CSL_CITATION {"citationID":"6WHEFiMc","properties":{"formattedCitation":"(IPBES, 2022a)","plainCitation":"(IPBES, 2022a)","noteIndex":0},"citationItems":[{"id":53070,"uris":["http://zotero.org/groups/2352922/items/6TY3XELK"],"itemData":{"id":53070,"type":"report","abstract":"The values assessment is a ‘methodological assessment regarding the diverse conceptualizations of the multiple values of nature and its benefits, including biodiversity and ecosystem services’ as set out in IPBES/6/INF/9. The overall scope of the values assessment is to assess multiple sources and traditions of knowledge regarding diverse values of nature, including the strengths and weaknesses associated with existing valuation methods and approaches to make such values visible. The assessment provides conceptual and practical tools to aid policymakers in the recognition and accounting of nature’s values in different decision-making contexts. The values assessment provides guidelines, criteria, tools and a road map to navigate the ways in which values play out in decisions, as well as the role values and valuation can have in achieving more sustainable pathways. It should be noted that the assessment does not provide quantifications (e.g., in monetary or other indicators) of the diverse values of nature across the globe as its emphasis is on methodologies. The assessment report is composed of the summary for policymakers together with the six chapters and some front and back matters, which will be added following the ninth session of the Plenary.","event-place":"Bonn, Germany","language":"en","license":"Creative Commons Attribution 4.0 International, Embargoed Access","note":"DOI: 10.5281/ZENODO.6522522","publisher":"Secretariat of the Intergovernmental Science-Policy Platform on Biodiversity and Ecosystem Services","publisher-place":"Bonn, Germany","source":"DOI.org (Datacite)","title":"Methodological assessment of the diverse values and valuation of nature of the Intergovernmental Science-Policy Platform on Biodiversity and Ecosystem Services","URL":"https://zenodo.org/record/6522522","author":[{"literal":"IPBES"}],"contributor":[{"family":"Balvanera","given":"Patricia"},{"family":"Pascual","given":"Unai"},{"family":"Christie","given":"Michael"},{"family":"Baptiste","given":"Brigitte"},{"family":"González-Jiménez","given":"David"}],"accessed":{"date-parts":[["2022",8,31]]},"issued":{"date-parts":[["2022"]]}},"label":"page"}],"schema":"https://github.com/citation-style-language/schema/raw/master/csl-citation.json"} </w:instrText>
      </w:r>
      <w:r w:rsidR="4F411130" w:rsidRPr="00837161">
        <w:rPr>
          <w:lang w:eastAsia="en-US"/>
        </w:rPr>
        <w:fldChar w:fldCharType="separate"/>
      </w:r>
      <w:r w:rsidR="00271B78" w:rsidRPr="00271B78">
        <w:t>(IPBES, 2022a)</w:t>
      </w:r>
      <w:r w:rsidR="4F411130" w:rsidRPr="00837161">
        <w:rPr>
          <w:lang w:eastAsia="en-US"/>
        </w:rPr>
        <w:fldChar w:fldCharType="end"/>
      </w:r>
      <w:r w:rsidR="7648D5AC" w:rsidRPr="00837161">
        <w:rPr>
          <w:lang w:eastAsia="en-US"/>
        </w:rPr>
        <w:t xml:space="preserve"> </w:t>
      </w:r>
      <w:r w:rsidR="2FF7A7FA" w:rsidRPr="00837161">
        <w:rPr>
          <w:lang w:eastAsia="en-US"/>
        </w:rPr>
        <w:t>presents diverse valuation methodologies and approaches that acknowledge, bridge and integrate the diverse values and valuation methodologies for policy and decision-making support</w:t>
      </w:r>
      <w:r w:rsidR="6BA48397" w:rsidRPr="00837161">
        <w:rPr>
          <w:lang w:eastAsia="en-US"/>
        </w:rPr>
        <w:t xml:space="preserve">. </w:t>
      </w:r>
    </w:p>
    <w:p w14:paraId="0C261B30" w14:textId="110E777A" w:rsidR="001B0409" w:rsidRPr="00837161" w:rsidRDefault="27514EC9" w:rsidP="00CE3538">
      <w:pPr>
        <w:pStyle w:val="Heading4"/>
      </w:pPr>
      <w:bookmarkStart w:id="111" w:name="_Toc69313966"/>
      <w:r w:rsidRPr="00837161">
        <w:t>Multi-criteria analyses</w:t>
      </w:r>
      <w:bookmarkEnd w:id="110"/>
      <w:bookmarkEnd w:id="111"/>
    </w:p>
    <w:p w14:paraId="00000156" w14:textId="7965B9D7" w:rsidR="00A758FD" w:rsidRPr="00CE3538" w:rsidRDefault="00CE3538">
      <w:pPr>
        <w:spacing w:before="240" w:after="120" w:line="240" w:lineRule="auto"/>
      </w:pPr>
      <w:r>
        <w:t>Decision-making for management of biological invasions frequently</w:t>
      </w:r>
      <w:r w:rsidRPr="00CE3538">
        <w:t xml:space="preserve"> </w:t>
      </w:r>
      <w:r w:rsidR="00C81287" w:rsidRPr="00CE3538">
        <w:t xml:space="preserve">involves trade-offs between complex and conflicting environmental, social and economic objectives, potentially resulting in positive or negative consequences for different stakeholder groups </w:t>
      </w:r>
      <w:r w:rsidR="001B0409" w:rsidRPr="00837161">
        <w:fldChar w:fldCharType="begin"/>
      </w:r>
      <w:r w:rsidR="000F35EB">
        <w:instrText xml:space="preserve"> ADDIN ZOTERO_ITEM CSL_CITATION {"citationID":"2SB5ewYS","properties":{"formattedCitation":"(R. Gregory et al., 2006)","plainCitation":"(R. Gregory et al., 2006)","noteIndex":0},"citationItems":[{"id":21540,"uris":["http://zotero.org/groups/2352922/items/TKZGZGB9"],"itemData":{"id":21540,"type":"article-journal","container-title":"Journal of Risk Research","DOI":"10.1080/13669870600799895","ISSN":"1366-9877, 1466-4461","issue":"7","journalAbbreviation":"Journal of Risk Research","language":"en","page":"717-735","source":"DOI.org (Crossref)","title":"Some Pitfalls of an Overemphasis on Science in Environmental Risk Management Decisions","URL":"http://www.tandfonline.com/doi/abs/10.1080/13669870600799895","volume":"9","author":[{"family":"Gregory","given":"Robin"},{"family":"Failing","given":"Lee"},{"family":"Ohlson","given":"Dan"},{"family":"Mcdaniels","given":"Timothy L."}],"accessed":{"date-parts":[["2020",4,3]]},"issued":{"date-parts":[["2006",10]]}},"label":"page"}],"schema":"https://github.com/citation-style-language/schema/raw/master/csl-citation.json"} </w:instrText>
      </w:r>
      <w:r w:rsidR="001B0409" w:rsidRPr="00837161">
        <w:fldChar w:fldCharType="separate"/>
      </w:r>
      <w:r w:rsidR="00271B78" w:rsidRPr="00271B78">
        <w:t>(R. Gregory et al., 2006)</w:t>
      </w:r>
      <w:r w:rsidR="001B0409" w:rsidRPr="00837161">
        <w:fldChar w:fldCharType="end"/>
      </w:r>
      <w:r w:rsidR="001B0409" w:rsidRPr="00837161">
        <w:t>.</w:t>
      </w:r>
      <w:r w:rsidR="00C81287" w:rsidRPr="00CE3538">
        <w:t xml:space="preserve"> </w:t>
      </w:r>
    </w:p>
    <w:p w14:paraId="00000157" w14:textId="1B1E811C" w:rsidR="00A758FD" w:rsidRPr="00CE3538" w:rsidRDefault="00C81287">
      <w:pPr>
        <w:spacing w:before="240" w:after="120" w:line="240" w:lineRule="auto"/>
      </w:pPr>
      <w:r w:rsidRPr="00CE3538">
        <w:t xml:space="preserve">Multi-criteria analysis evaluates multiple objectives against multiple criteria that represent competing values </w:t>
      </w:r>
      <w:r w:rsidR="001B0409" w:rsidRPr="00837161">
        <w:fldChar w:fldCharType="begin"/>
      </w:r>
      <w:r w:rsidR="000F35EB">
        <w:instrText xml:space="preserve"> ADDIN ZOTERO_ITEM CSL_CITATION {"citationID":"1uOzQehr","properties":{"formattedCitation":"(Lahdelma et al., 2000)","plainCitation":"(Lahdelma et al., 2000)","noteIndex":0},"citationItems":[{"id":21549,"uris":["http://zotero.org/groups/2352922/items/SLNWSLGL"],"itemData":{"id":21549,"type":"article-journal","container-title":"Environmental Management","DOI":"10.1007/s002670010118","ISSN":"0364-152X, 1432-1009","issue":"6","journalAbbreviation":"Environmental Management","language":"en","page":"595-605","source":"DOI.org (Crossref)","title":"Using Multicriteria Methods in Environmental Planning and Management","URL":"http://link.springer.com/10.1007/s002670010118","volume":"26","author":[{"family":"Lahdelma","given":"Risto"},{"family":"Salminen","given":"Pekka"},{"family":"Hokkanen","given":"Joonas"}],"accessed":{"date-parts":[["2020",4,3]]},"issued":{"date-parts":[["2000",12]]}},"label":"page"}],"schema":"https://github.com/citation-style-language/schema/raw/master/csl-citation.json"} </w:instrText>
      </w:r>
      <w:r w:rsidR="001B0409" w:rsidRPr="00837161">
        <w:fldChar w:fldCharType="separate"/>
      </w:r>
      <w:r w:rsidR="00271B78" w:rsidRPr="00271B78">
        <w:t>(Lahdelma et al., 2000)</w:t>
      </w:r>
      <w:r w:rsidR="001B0409" w:rsidRPr="00837161">
        <w:fldChar w:fldCharType="end"/>
      </w:r>
      <w:r w:rsidR="00BA78A0" w:rsidRPr="00837161">
        <w:t xml:space="preserve"> and </w:t>
      </w:r>
      <w:r w:rsidR="004B47E8" w:rsidRPr="00837161">
        <w:t xml:space="preserve">is </w:t>
      </w:r>
      <w:r w:rsidR="00BA78A0" w:rsidRPr="00837161">
        <w:t xml:space="preserve">sometimes coupled with species distribution </w:t>
      </w:r>
      <w:r w:rsidR="00DC0CA0" w:rsidRPr="00837161">
        <w:t>modelling</w:t>
      </w:r>
      <w:r w:rsidR="00BA78A0" w:rsidRPr="00837161">
        <w:t xml:space="preserve"> </w:t>
      </w:r>
      <w:r w:rsidR="001B0409" w:rsidRPr="00837161">
        <w:fldChar w:fldCharType="begin"/>
      </w:r>
      <w:r w:rsidR="000F35EB">
        <w:instrText xml:space="preserve"> ADDIN ZOTERO_ITEM CSL_CITATION {"citationID":"RgKc11WT","properties":{"formattedCitation":"(T. P. Robinson et al., 2010)","plainCitation":"(T. P. Robinson et al., 2010)","dontUpdate":true,"noteIndex":0},"citationItems":[{"id":21572,"uris":["http://zotero.org/groups/2352922/items/LF9E8WFK"],"itemData":{"id":21572,"type":"article-journal","container-title":"Ecological Modelling","DOI":"10.1016/j.ecolmodel.2010.04.018","ISSN":"03043800","issue":"19","journalAbbreviation":"Ecological Modelling","language":"en","page":"2261-2269","source":"DOI.org (Crossref)","title":"Comparison of alternative strategies for invasive species distribution modeling","URL":"https://linkinghub.elsevier.com/retrieve/pii/S0304380010002346","volume":"221","author":[{"family":"Robinson","given":"Todd P."},{"family":"Klinken","given":"Rieks D.","non-dropping-particle":"van"},{"family":"Metternicht","given":"Graciela"}],"accessed":{"date-parts":[["2020",3,30]]},"issued":{"date-parts":[["2010",9]]}},"label":"page"}],"schema":"https://github.com/citation-style-language/schema/raw/master/csl-citation.json"} </w:instrText>
      </w:r>
      <w:r w:rsidR="001B0409" w:rsidRPr="00837161">
        <w:fldChar w:fldCharType="separate"/>
      </w:r>
      <w:r w:rsidR="00AB37B8" w:rsidRPr="00837161">
        <w:t>(T. P. Robinson et al., 2010</w:t>
      </w:r>
      <w:r w:rsidR="001B0409" w:rsidRPr="00837161">
        <w:fldChar w:fldCharType="end"/>
      </w:r>
      <w:r w:rsidR="00AB37B8" w:rsidRPr="00837161">
        <w:t xml:space="preserve">; </w:t>
      </w:r>
      <w:r w:rsidR="001066CE">
        <w:rPr>
          <w:b/>
          <w:iCs/>
        </w:rPr>
        <w:t>C</w:t>
      </w:r>
      <w:r w:rsidR="00D56E77" w:rsidRPr="001066CE">
        <w:rPr>
          <w:b/>
          <w:iCs/>
        </w:rPr>
        <w:t>hapter 1</w:t>
      </w:r>
      <w:r w:rsidR="006560B0" w:rsidRPr="001066CE">
        <w:rPr>
          <w:iCs/>
        </w:rPr>
        <w:t>,</w:t>
      </w:r>
      <w:r w:rsidR="006560B0" w:rsidRPr="001066CE">
        <w:rPr>
          <w:b/>
          <w:iCs/>
        </w:rPr>
        <w:t xml:space="preserve"> section </w:t>
      </w:r>
      <w:r w:rsidR="00D56E77" w:rsidRPr="001066CE">
        <w:rPr>
          <w:b/>
          <w:iCs/>
        </w:rPr>
        <w:t>1.</w:t>
      </w:r>
      <w:r w:rsidR="006936B9" w:rsidRPr="001066CE">
        <w:rPr>
          <w:b/>
          <w:iCs/>
        </w:rPr>
        <w:t>6.7.3</w:t>
      </w:r>
      <w:r w:rsidR="006936B9" w:rsidRPr="00837161">
        <w:t>)</w:t>
      </w:r>
      <w:r w:rsidR="001B0409" w:rsidRPr="00837161">
        <w:t xml:space="preserve">. </w:t>
      </w:r>
      <w:r w:rsidR="00056D3E" w:rsidRPr="00837161">
        <w:t>E</w:t>
      </w:r>
      <w:r w:rsidR="001B0409" w:rsidRPr="00837161">
        <w:t xml:space="preserve">xpert elicitation </w:t>
      </w:r>
      <w:r w:rsidR="00056D3E" w:rsidRPr="00837161">
        <w:t xml:space="preserve">is also used </w:t>
      </w:r>
      <w:r w:rsidR="001B0409" w:rsidRPr="00837161">
        <w:t xml:space="preserve">when </w:t>
      </w:r>
      <w:r w:rsidR="00D31D19" w:rsidRPr="00837161">
        <w:t xml:space="preserve">available </w:t>
      </w:r>
      <w:r w:rsidR="001B0409" w:rsidRPr="00837161">
        <w:t>information is incomplete or imprecise.</w:t>
      </w:r>
      <w:r w:rsidR="003915E3">
        <w:t xml:space="preserve"> A</w:t>
      </w:r>
      <w:r w:rsidR="001B0409" w:rsidRPr="00837161">
        <w:t xml:space="preserve"> </w:t>
      </w:r>
      <w:r w:rsidR="003915E3">
        <w:t>m</w:t>
      </w:r>
      <w:r w:rsidR="001B0409" w:rsidRPr="00837161">
        <w:t xml:space="preserve">ulti-criteria analysis approach is often </w:t>
      </w:r>
      <w:r w:rsidR="00921312" w:rsidRPr="00837161">
        <w:t>used to support</w:t>
      </w:r>
      <w:r w:rsidR="000B10E8" w:rsidRPr="00837161">
        <w:t xml:space="preserve"> or conducted in unison with </w:t>
      </w:r>
      <w:r w:rsidR="001B0409" w:rsidRPr="00837161">
        <w:t>risk management, impact or risk assessments</w:t>
      </w:r>
      <w:r w:rsidR="00217B9E" w:rsidRPr="00837161">
        <w:t xml:space="preserve"> and </w:t>
      </w:r>
      <w:r w:rsidR="00EC16C5" w:rsidRPr="00837161">
        <w:rPr>
          <w:lang w:eastAsia="en-US"/>
        </w:rPr>
        <w:t>has</w:t>
      </w:r>
      <w:r w:rsidR="001B0409" w:rsidRPr="00837161">
        <w:rPr>
          <w:lang w:eastAsia="en-US"/>
        </w:rPr>
        <w:t xml:space="preserve"> prove</w:t>
      </w:r>
      <w:r w:rsidR="003915E3">
        <w:rPr>
          <w:lang w:eastAsia="en-US"/>
        </w:rPr>
        <w:t>n</w:t>
      </w:r>
      <w:r w:rsidR="001B0409" w:rsidRPr="00837161">
        <w:rPr>
          <w:lang w:eastAsia="en-US"/>
        </w:rPr>
        <w:t xml:space="preserve"> useful for evaluating </w:t>
      </w:r>
      <w:r w:rsidR="001B0409" w:rsidRPr="00837161">
        <w:t xml:space="preserve">alien </w:t>
      </w:r>
      <w:r w:rsidR="001B0409" w:rsidRPr="00837161">
        <w:rPr>
          <w:lang w:eastAsia="en-US"/>
        </w:rPr>
        <w:t>species threats</w:t>
      </w:r>
      <w:r w:rsidR="00587CEA" w:rsidRPr="00837161">
        <w:rPr>
          <w:lang w:eastAsia="en-US"/>
        </w:rPr>
        <w:t xml:space="preserve"> and impacts</w:t>
      </w:r>
      <w:r w:rsidR="001B0409" w:rsidRPr="00837161">
        <w:rPr>
          <w:lang w:eastAsia="en-US"/>
        </w:rPr>
        <w:t xml:space="preserve"> and </w:t>
      </w:r>
      <w:r w:rsidR="001B0409" w:rsidRPr="00837161">
        <w:t>deciding on management</w:t>
      </w:r>
      <w:r w:rsidR="001B0409" w:rsidRPr="00837161">
        <w:rPr>
          <w:lang w:eastAsia="en-US"/>
        </w:rPr>
        <w:t xml:space="preserve"> options </w:t>
      </w:r>
      <w:r w:rsidR="001B0409" w:rsidRPr="00837161">
        <w:fldChar w:fldCharType="begin"/>
      </w:r>
      <w:r w:rsidR="00E25D54">
        <w:instrText xml:space="preserve"> ADDIN ZOTERO_ITEM CSL_CITATION {"citationID":"gK4quaC7","properties":{"formattedCitation":"(D. Cook &amp; Proctor, 2007; G. G. Forsyth et al., 2012; Monterroso et al., 2011)","plainCitation":"(D. Cook &amp; Proctor, 2007; G. G. Forsyth et al., 2012; Monterroso et al., 2011)","noteIndex":0},"citationItems":[{"id":22752,"uris":["http://zotero.org/groups/2352922/items/6376BIFW"],"itemData":{"id":22752,"type":"article-journal","abstract":"The applicability of multi-criteria evaluation methodologies to complex decision-making processes has been well demonstrated, particularly in cases involving environmental externality problems. However, their use in resource allocation decisions to invasive species risk management is rare. In this paper, a deliberative multi-criteria evaluation technique is applied to a case study in which a jury is asked to prioritise a set of plant pests and diseases in Western Australia. The species chosen were of varying impact, ranging from species with predominantly agricultural impacts to those of purely environmental or social importance to the community. Biological, ecological and economic information was conveyed to jurors before they were asked to rank each species in order of perceived significance to the State's biosecurity system using a Deliberative Multi-criteria Evaluation process. The resultant prioritisation was found to differ from current resource allocations.","container-title":"Ecological Economics","DOI":"10.1016/j.ecolecon.2006.12.021","ISSN":"09218009","issue":"2-3","journalAbbreviation":"Ecological Economics","language":"en","page":"594-604","source":"DOI.org (Crossref)","title":"Assessing the threat of exotic plant pests","URL":"https://linkinghub.elsevier.com/retrieve/pii/S0921800907000079","volume":"63","author":[{"family":"Cook","given":"David"},{"family":"Proctor","given":"Wendy"}],"accessed":{"date-parts":[["2019",10,31]]},"issued":{"date-parts":[["2007",8]]}},"label":"page"},{"id":30427,"uris":["http://zotero.org/groups/2352922/items/ZUJIISNP"],"itemData":{"id":30427,"type":"article-journal","abstract":"Invasions by alien plants are a significant threat to the biodiversity and functioning of ecosystems and the services they provide. The South African Working for Water program was established to address this problem. It needs to formulate objective and transparent priorities for clearing in the face of multiple and sometimes conflicting demands. This study used the analytic hierarchy process (a multi-criteria decision support technique) to develop and rank criteria for prioritising alien plant control operations in the Western Cape, South Africa. Stakeholder workshops were held to identify a goal and criteria and to conduct pair-wise comparisons to weight the criteria with respect to invasive alien plant control. The combination of stakeholder input (to develop decision models) with data-driven model solutions enabled us to include many alternatives (water catchments), that would otherwise not have been feasible. The most important criteria included the capacity to maintain gains made through control operations, the potential to enhance water resources and conserve biodiversity, and threats from priority invasive alien plant species. We selected spatial datasets and used them to generate weights that could be used to objectively compare alternatives with respect to agreed criteria. The analysis showed that there are many high priority catchments which are not receiving any funding and low priority catchments which are receiving substantial allocations. Clearly, there is a need for realigning priorities, including directing sufficient funds to the highest priority catchments to provide effective control. This approach provided a tractable, consensus-based solution that can be used to direct clearing operations. © 2012 Elsevier Ltd.","container-title":"Journal of Environmental Management","DOI":"10.1016/j.jenvman.2012.01.034","ISSN":"03014797","journalAbbreviation":"Journal of Environmental Management","language":"en","page":"51-57","title":"The prioritisation of invasive alien plant control projects using a multi-criteria decision model informed by stakeholder input and spatial data","URL":"https://www.scopus.com/inward/record.uri?eid=2-s2.0-84860515256&amp;doi=10.1016%2fj.jenvman.2012.01.034&amp;partnerID=40&amp;md5=43682f504ab2444d76fcfdca7b4fd265","volume":"103","author":[{"family":"Forsyth","given":"G. G."},{"family":"Le Maitre","given":"D.C."},{"family":"O'Farrell","given":"P.J."},{"family":"Wilgen","given":"Brian W.","non-dropping-particle":"van"}],"issued":{"date-parts":[["2012"]]}},"label":"page"},{"id":31690,"uris":["http://zotero.org/groups/2352922/items/LL43CRHD"],"itemData":{"id":31690,"type":"article-journal","abstract":"The study described in this article incorporates stakeholders’ views on aquatic invasion processes and combines expert analysis with information from ﬁeld work into an evaluation exercise. Management scenarios are designed based on available technical data and stakeholders’ perceptions. These scenarios are evaluated using the Social Multi-Criteria Evaluation framework employing the NAIADE model. Two evaluations are carried out, technical and social. Social acceptance of different management scenarios, distribution of costs and beneﬁts, and attribution of responsibility are discussed.","container-title":"Journal of Environmental Management","DOI":"10.1016/j.jenvman.2010.09.017","ISSN":"03014797","issue":"3","journalAbbreviation":"Journal of Environmental Management","language":"en","page":"494-507","source":"DOI.org (Crossref)","title":"New methods for the analysis of invasion processes: Multi-criteria evaluation of the invasion of &lt;i&gt;Hydrilla verticillata&lt;/i&gt; in Guatemala","title-short":"New methods for the analysis of invasion processes","URL":"https://linkinghub.elsevier.com/retrieve/pii/S0301479710003038","volume":"92","author":[{"family":"Monterroso","given":"I."},{"family":"Binimelis","given":"R."},{"family":"Rodríguez-Labajos","given":"B."}],"accessed":{"date-parts":[["2019",11,5]]},"issued":{"date-parts":[["2011",3]]}},"label":"page"}],"schema":"https://github.com/citation-style-language/schema/raw/master/csl-citation.json"} </w:instrText>
      </w:r>
      <w:r w:rsidR="001B0409" w:rsidRPr="00837161">
        <w:fldChar w:fldCharType="separate"/>
      </w:r>
      <w:r w:rsidR="00271B78" w:rsidRPr="00271B78">
        <w:t>(D. Cook &amp; Proctor, 2007; G. G. Forsyth et al., 2012; Monterroso et al., 2011)</w:t>
      </w:r>
      <w:r w:rsidR="001B0409" w:rsidRPr="00837161">
        <w:fldChar w:fldCharType="end"/>
      </w:r>
      <w:r w:rsidR="001B0409" w:rsidRPr="00837161">
        <w:t xml:space="preserve">. A simple form of multi-criteria analysis is risk-cost-benefit analysis applied to the selection of </w:t>
      </w:r>
      <w:r w:rsidR="00104CB4" w:rsidRPr="00837161">
        <w:t xml:space="preserve">biocontrol </w:t>
      </w:r>
      <w:r w:rsidR="001B0409" w:rsidRPr="00837161">
        <w:t xml:space="preserve">agents </w:t>
      </w:r>
      <w:r w:rsidR="000B4B62" w:rsidRPr="00837161">
        <w:t>proposed for the m</w:t>
      </w:r>
      <w:r w:rsidR="001B0409" w:rsidRPr="00837161">
        <w:t>anag</w:t>
      </w:r>
      <w:r w:rsidR="000B4B62" w:rsidRPr="00837161">
        <w:t xml:space="preserve">ement of </w:t>
      </w:r>
      <w:r w:rsidR="001B0409" w:rsidRPr="00837161">
        <w:t xml:space="preserve">invasive </w:t>
      </w:r>
      <w:r w:rsidR="001D51A9" w:rsidRPr="00837161">
        <w:t>alien</w:t>
      </w:r>
      <w:r w:rsidR="000B4B62" w:rsidRPr="00837161">
        <w:t xml:space="preserve"> </w:t>
      </w:r>
      <w:r w:rsidR="001B0409" w:rsidRPr="00837161">
        <w:t>plants</w:t>
      </w:r>
      <w:r w:rsidR="0077723B" w:rsidRPr="00837161">
        <w:t xml:space="preserve">, </w:t>
      </w:r>
      <w:r w:rsidR="009902C6" w:rsidRPr="00837161">
        <w:t xml:space="preserve">where </w:t>
      </w:r>
      <w:r w:rsidR="001B0409" w:rsidRPr="00837161">
        <w:t xml:space="preserve">all </w:t>
      </w:r>
      <w:r w:rsidR="002A610F" w:rsidRPr="00837161">
        <w:t xml:space="preserve">potential </w:t>
      </w:r>
      <w:r w:rsidR="00C25BB7" w:rsidRPr="00837161">
        <w:t xml:space="preserve">agent </w:t>
      </w:r>
      <w:r w:rsidR="001B0409" w:rsidRPr="00837161">
        <w:t xml:space="preserve">risks and benefits </w:t>
      </w:r>
      <w:r w:rsidR="002A610F" w:rsidRPr="00837161">
        <w:t xml:space="preserve">are identified </w:t>
      </w:r>
      <w:r w:rsidR="00D049DA" w:rsidRPr="00837161">
        <w:t xml:space="preserve">followed by </w:t>
      </w:r>
      <w:r w:rsidR="001B0409" w:rsidRPr="00837161">
        <w:t xml:space="preserve">exposure analysis </w:t>
      </w:r>
      <w:r w:rsidR="00D049DA" w:rsidRPr="00837161">
        <w:t>(</w:t>
      </w:r>
      <w:r w:rsidR="008241E5" w:rsidRPr="00837161">
        <w:t xml:space="preserve">likelihood of each risk or benefit </w:t>
      </w:r>
      <w:r w:rsidR="004E0E88" w:rsidRPr="00837161">
        <w:t xml:space="preserve">occurring </w:t>
      </w:r>
      <w:r w:rsidR="004A76D7" w:rsidRPr="00837161">
        <w:t xml:space="preserve">and the </w:t>
      </w:r>
      <w:r w:rsidR="001B0409" w:rsidRPr="00837161">
        <w:t xml:space="preserve">likely </w:t>
      </w:r>
      <w:r w:rsidR="004A76D7" w:rsidRPr="00837161">
        <w:t xml:space="preserve">magnitude </w:t>
      </w:r>
      <w:r w:rsidR="001B0409" w:rsidRPr="00837161">
        <w:t>of the impact should it occur</w:t>
      </w:r>
      <w:r w:rsidR="009C25A0" w:rsidRPr="00837161">
        <w:t xml:space="preserve">; </w:t>
      </w:r>
      <w:r w:rsidR="001B0409" w:rsidRPr="00837161">
        <w:fldChar w:fldCharType="begin"/>
      </w:r>
      <w:r w:rsidR="000F35EB">
        <w:instrText xml:space="preserve"> ADDIN ZOTERO_ITEM CSL_CITATION {"citationID":"2ODT188P","properties":{"formattedCitation":"(Sheppard et al., 2003)","plainCitation":"(Sheppard et al., 2003)","dontUpdate":true,"noteIndex":0},"citationItems":[{"id":30158,"uris":["http://zotero.org/groups/2352922/items/776C4S45"],"itemData":{"id":30158,"type":"article-journal","abstract":"The process of risk analysis used by regulatory bodies around the world to pre-judge biological control releases against weeds are reviewed. Based on comparative analysis, risk assessment, risk management, risk evaluation and risk communication, the manner by which the benefits and costs of biological control releases are evaluated in addition to the traditional analysis of the hazards are...","container-title":"Biocontrol News and Information","ISSN":"0143-1404","issue":"4","language":"English","page":"91N-108N","source":"www.cabdirect.org","title":"A global review of risk-benefit-cost analysis for the introduction of classical biological control agents against weeds: a crisis in the making?","title-short":"A global review of risk-benefit-cost analysis for the introduction of classical biological control agents against weeds","URL":"https://www.cabdirect.org/cabdirect/abstract/20043008816","volume":"24","author":[{"family":"Sheppard","given":"A. W."},{"family":"Hill","given":"R."},{"family":"DeClerck-Floate","given":"R. A."},{"family":"McClay","given":"A."},{"family":"Olckers","given":"T."},{"family":"Quimby","given":"P. C."},{"family":"Zimmermann","given":"H. G."}],"accessed":{"date-parts":[["2019",10,3]]},"issued":{"date-parts":[["2003"]]}},"label":"page"}],"schema":"https://github.com/citation-style-language/schema/raw/master/csl-citation.json"} </w:instrText>
      </w:r>
      <w:r w:rsidR="001B0409" w:rsidRPr="00837161">
        <w:fldChar w:fldCharType="separate"/>
      </w:r>
      <w:r w:rsidR="00AB37B8" w:rsidRPr="00837161">
        <w:t>Sheppard et al., 2003)</w:t>
      </w:r>
      <w:r w:rsidR="001B0409" w:rsidRPr="00837161">
        <w:fldChar w:fldCharType="end"/>
      </w:r>
      <w:r w:rsidR="001B0409" w:rsidRPr="00837161">
        <w:t xml:space="preserve">. Deliberative </w:t>
      </w:r>
      <w:r w:rsidR="009B6095" w:rsidRPr="00837161">
        <w:t>m</w:t>
      </w:r>
      <w:r w:rsidR="001B0409" w:rsidRPr="00837161">
        <w:t xml:space="preserve">ulti-criteria </w:t>
      </w:r>
      <w:r w:rsidR="00B7523A" w:rsidRPr="00837161">
        <w:t xml:space="preserve">analysis </w:t>
      </w:r>
      <w:r w:rsidR="00815F73" w:rsidRPr="00837161">
        <w:t>combine</w:t>
      </w:r>
      <w:r w:rsidR="003915E3">
        <w:t>d</w:t>
      </w:r>
      <w:r w:rsidR="00815F73" w:rsidRPr="00837161">
        <w:t xml:space="preserve"> </w:t>
      </w:r>
      <w:r w:rsidR="009E157D" w:rsidRPr="00837161">
        <w:t xml:space="preserve">with </w:t>
      </w:r>
      <w:r w:rsidR="00B7523A" w:rsidRPr="00837161">
        <w:t xml:space="preserve">participatory </w:t>
      </w:r>
      <w:r w:rsidR="00385426" w:rsidRPr="00837161">
        <w:t xml:space="preserve">stakeholder </w:t>
      </w:r>
      <w:r w:rsidR="00B7523A" w:rsidRPr="00837161">
        <w:t xml:space="preserve">engagement </w:t>
      </w:r>
      <w:r w:rsidR="001B0409" w:rsidRPr="00837161">
        <w:fldChar w:fldCharType="begin"/>
      </w:r>
      <w:r w:rsidR="000F35EB">
        <w:instrText xml:space="preserve"> ADDIN ZOTERO_ITEM CSL_CITATION {"citationID":"AUXoL4A4","properties":{"formattedCitation":"(Proctor &amp; Drechsler, 2006)","plainCitation":"(Proctor &amp; Drechsler, 2006)","noteIndex":0},"citationItems":[{"id":21548,"uris":["http://zotero.org/groups/2352922/items/455KEI6G"],"itemData":{"id":21548,"type":"article-journal","container-title":"Environment and Planning C: Government and Policy","DOI":"10.1068/c22s","ISSN":"0263-774X, 1472-3425","issue":"2","journalAbbreviation":"Environ Plann C Gov Policy","language":"en","page":"169-190","source":"DOI.org (Crossref)","title":"Deliberative Multicriteria Evaluation","URL":"http://journals.sagepub.com/doi/10.1068/c22s","volume":"24","author":[{"family":"Proctor","given":"Wendy"},{"family":"Drechsler","given":"Martin"}],"accessed":{"date-parts":[["2020",4,3]]},"issued":{"date-parts":[["2006",4]]}},"label":"page"}],"schema":"https://github.com/citation-style-language/schema/raw/master/csl-citation.json"} </w:instrText>
      </w:r>
      <w:r w:rsidR="001B0409" w:rsidRPr="00837161">
        <w:fldChar w:fldCharType="separate"/>
      </w:r>
      <w:r w:rsidR="00271B78" w:rsidRPr="00271B78">
        <w:t>(Proctor &amp; Drechsler, 2006)</w:t>
      </w:r>
      <w:r w:rsidR="001B0409" w:rsidRPr="00837161">
        <w:fldChar w:fldCharType="end"/>
      </w:r>
      <w:r w:rsidR="00122020" w:rsidRPr="00837161">
        <w:t xml:space="preserve"> </w:t>
      </w:r>
      <w:r w:rsidR="3ED07471" w:rsidRPr="00837161">
        <w:t xml:space="preserve">and </w:t>
      </w:r>
      <w:r w:rsidR="000A1635" w:rsidRPr="00837161">
        <w:t xml:space="preserve">facilitates consensus building and social learning </w:t>
      </w:r>
      <w:r w:rsidR="001B0409" w:rsidRPr="00837161">
        <w:fldChar w:fldCharType="begin"/>
      </w:r>
      <w:r w:rsidR="000F35EB">
        <w:instrText xml:space="preserve"> ADDIN ZOTERO_ITEM CSL_CITATION {"citationID":"jcMA3CWG","properties":{"formattedCitation":"(S. Liu et al., 2010, 2011)","plainCitation":"(S. Liu et al., 2010, 2011)","noteIndex":0},"citationItems":[{"id":22452,"uris":["http://zotero.org/groups/2352922/items/JJEU344E"],"itemData":{"id":22452,"type":"article-journal","abstract":"There are two issues at the core of invasive species risk management: on the one hand, decision-makers struggle to balance environmental goals against other often competing societal goals such as economic benefits and social welfare; on the other hand, uncertainty often prevails in understanding the invasion process and in communicating invasion risks to the stakeholders. In this paper, we describe how an integrated Deliberative Multi-Criteria Evaluation (DMCE) and fuzzy set approach can tackle these two issues in the analysis of alternative risk management strategies, using the example of European House Borer (EHB, Hylotrupes bajulus Linnaeus). DMCE offers a platform for stakeholders to interact and to make a trade-off decision between multiple goals based on social learning and deliberation. The fuzzy set approach, applied within a DMCE framework, explicitly incorporates the inherent uncertainty in estimating potential EHB impacts and in evaluating participants' subjective preferences. This integrated method, therefore, provides a promising approach for tackling the dual challenges of competing goals and uncertainty in the evaluation of invasive species risk management options.","container-title":"Ecological Economics","DOI":"10.1016/j.ecolecon.2010.07.004","ISSN":"09218009","issue":"12","journalAbbreviation":"Ecological Economics","language":"en","page":"2374-2382","source":"DOI.org (Crossref)","title":"Using an integrated fuzzy set and deliberative multi-criteria evaluation approach to facilitate decision-making in invasive species management","URL":"https://linkinghub.elsevier.com/retrieve/pii/S0921800910002703","volume":"69","author":[{"family":"Liu","given":"Shuang"},{"family":"Proctor","given":"Wendy"},{"family":"Cook","given":"David"}],"accessed":{"date-parts":[["2019",9,11]]},"issued":{"date-parts":[["2010",10]]}},"label":"page"},{"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J."},{"family":"Cook","given":"David"}],"accessed":{"date-parts":[["2019",9,11]]},"issued":{"date-parts":[["2011",8,9]]}},"label":"page"}],"schema":"https://github.com/citation-style-language/schema/raw/master/csl-citation.json"} </w:instrText>
      </w:r>
      <w:r w:rsidR="001B0409" w:rsidRPr="00837161">
        <w:fldChar w:fldCharType="separate"/>
      </w:r>
      <w:r w:rsidR="00271B78" w:rsidRPr="00271B78">
        <w:t>(S. Liu et al., 2010, 2011)</w:t>
      </w:r>
      <w:r w:rsidR="001B0409" w:rsidRPr="00837161">
        <w:fldChar w:fldCharType="end"/>
      </w:r>
      <w:r w:rsidR="00115170" w:rsidRPr="00837161">
        <w:t xml:space="preserve"> and can take account of trade-offs</w:t>
      </w:r>
      <w:r w:rsidR="000A1635" w:rsidRPr="00837161">
        <w:t xml:space="preserve">. </w:t>
      </w:r>
      <w:r w:rsidR="006476F6" w:rsidRPr="00837161">
        <w:t xml:space="preserve">For </w:t>
      </w:r>
      <w:r w:rsidR="001B0409" w:rsidRPr="00837161">
        <w:t>example</w:t>
      </w:r>
      <w:r w:rsidR="0009406A" w:rsidRPr="00837161">
        <w:t>,</w:t>
      </w:r>
      <w:r w:rsidR="006476F6" w:rsidRPr="00837161">
        <w:t xml:space="preserve"> </w:t>
      </w:r>
      <w:r w:rsidR="003915E3">
        <w:t xml:space="preserve">in </w:t>
      </w:r>
      <w:r w:rsidR="001B0409" w:rsidRPr="00837161">
        <w:rPr>
          <w:lang w:eastAsia="en-US"/>
        </w:rPr>
        <w:t xml:space="preserve">a case study </w:t>
      </w:r>
      <w:r w:rsidR="0009406A" w:rsidRPr="00837161">
        <w:rPr>
          <w:lang w:eastAsia="en-US"/>
        </w:rPr>
        <w:t xml:space="preserve">in </w:t>
      </w:r>
      <w:r w:rsidR="005C359C" w:rsidRPr="00837161">
        <w:rPr>
          <w:lang w:eastAsia="en-US"/>
        </w:rPr>
        <w:t xml:space="preserve">Western </w:t>
      </w:r>
      <w:r w:rsidR="0009406A" w:rsidRPr="00837161">
        <w:rPr>
          <w:lang w:eastAsia="en-US"/>
        </w:rPr>
        <w:t>Australia</w:t>
      </w:r>
      <w:r w:rsidR="003915E3">
        <w:rPr>
          <w:lang w:eastAsia="en-US"/>
        </w:rPr>
        <w:t xml:space="preserve">, a </w:t>
      </w:r>
      <w:r w:rsidR="001B0409" w:rsidRPr="00837161">
        <w:rPr>
          <w:lang w:eastAsia="en-US"/>
        </w:rPr>
        <w:t xml:space="preserve">jury </w:t>
      </w:r>
      <w:r w:rsidR="003915E3">
        <w:rPr>
          <w:lang w:eastAsia="en-US"/>
        </w:rPr>
        <w:t xml:space="preserve">was asked </w:t>
      </w:r>
      <w:r w:rsidR="001B0409" w:rsidRPr="00837161">
        <w:rPr>
          <w:lang w:eastAsia="en-US"/>
        </w:rPr>
        <w:t xml:space="preserve">to </w:t>
      </w:r>
      <w:r w:rsidR="001F4405" w:rsidRPr="00837161">
        <w:rPr>
          <w:lang w:eastAsia="en-US"/>
        </w:rPr>
        <w:t>prioritize</w:t>
      </w:r>
      <w:r w:rsidR="001B0409" w:rsidRPr="00837161">
        <w:rPr>
          <w:lang w:eastAsia="en-US"/>
        </w:rPr>
        <w:t xml:space="preserve"> a set of plant pests and diseases</w:t>
      </w:r>
      <w:r w:rsidR="00943443" w:rsidRPr="00837161">
        <w:rPr>
          <w:lang w:eastAsia="en-US"/>
        </w:rPr>
        <w:t xml:space="preserve"> with different </w:t>
      </w:r>
      <w:r w:rsidR="000F2AFD" w:rsidRPr="00837161">
        <w:rPr>
          <w:lang w:eastAsia="en-US"/>
        </w:rPr>
        <w:t>agricultural</w:t>
      </w:r>
      <w:r w:rsidR="00702F47" w:rsidRPr="00837161">
        <w:rPr>
          <w:lang w:eastAsia="en-US"/>
        </w:rPr>
        <w:t xml:space="preserve">, </w:t>
      </w:r>
      <w:r w:rsidR="00C240AE" w:rsidRPr="00837161">
        <w:rPr>
          <w:lang w:eastAsia="en-US"/>
        </w:rPr>
        <w:t xml:space="preserve">social or environmental </w:t>
      </w:r>
      <w:r w:rsidR="00943443" w:rsidRPr="00837161">
        <w:rPr>
          <w:lang w:eastAsia="en-US"/>
        </w:rPr>
        <w:t>impact</w:t>
      </w:r>
      <w:r w:rsidR="00AE4CC1" w:rsidRPr="00837161">
        <w:rPr>
          <w:lang w:eastAsia="en-US"/>
        </w:rPr>
        <w:t xml:space="preserve">s </w:t>
      </w:r>
      <w:r w:rsidR="001B0409" w:rsidRPr="00837161">
        <w:fldChar w:fldCharType="begin"/>
      </w:r>
      <w:r w:rsidR="000F35EB">
        <w:instrText xml:space="preserve"> ADDIN ZOTERO_ITEM CSL_CITATION {"citationID":"pSSWBi5X","properties":{"formattedCitation":"(D. Cook &amp; Proctor, 2007)","plainCitation":"(D. Cook &amp; Proctor, 2007)","noteIndex":0},"citationItems":[{"id":22752,"uris":["http://zotero.org/groups/2352922/items/6376BIFW"],"itemData":{"id":22752,"type":"article-journal","abstract":"The applicability of multi-criteria evaluation methodologies to complex decision-making processes has been well demonstrated, particularly in cases involving environmental externality problems. However, their use in resource allocation decisions to invasive species risk management is rare. In this paper, a deliberative multi-criteria evaluation technique is applied to a case study in which a jury is asked to prioritise a set of plant pests and diseases in Western Australia. The species chosen were of varying impact, ranging from species with predominantly agricultural impacts to those of purely environmental or social importance to the community. Biological, ecological and economic information was conveyed to jurors before they were asked to rank each species in order of perceived significance to the State's biosecurity system using a Deliberative Multi-criteria Evaluation process. The resultant prioritisation was found to differ from current resource allocations.","container-title":"Ecological Economics","DOI":"10.1016/j.ecolecon.2006.12.021","ISSN":"09218009","issue":"2-3","journalAbbreviation":"Ecological Economics","language":"en","page":"594-604","source":"DOI.org (Crossref)","title":"Assessing the threat of exotic plant pests","URL":"https://linkinghub.elsevier.com/retrieve/pii/S0921800907000079","volume":"63","author":[{"family":"Cook","given":"David"},{"family":"Proctor","given":"Wendy"}],"accessed":{"date-parts":[["2019",10,31]]},"issued":{"date-parts":[["2007",8]]}},"label":"page"}],"schema":"https://github.com/citation-style-language/schema/raw/master/csl-citation.json"} </w:instrText>
      </w:r>
      <w:r w:rsidR="001B0409" w:rsidRPr="00837161">
        <w:fldChar w:fldCharType="separate"/>
      </w:r>
      <w:r w:rsidR="00271B78" w:rsidRPr="00271B78">
        <w:t>(D. Cook &amp; Proctor, 2007)</w:t>
      </w:r>
      <w:r w:rsidR="001B0409" w:rsidRPr="00837161">
        <w:fldChar w:fldCharType="end"/>
      </w:r>
      <w:r w:rsidRPr="00CE3538">
        <w:t xml:space="preserve"> when provided with relevant biological, ecological and economic knowledge based on perceived significance to the State</w:t>
      </w:r>
      <w:r w:rsidR="003915E3">
        <w:t>’</w:t>
      </w:r>
      <w:r w:rsidRPr="00CE3538">
        <w:t>s biosecurity system. The recommendations from the evaluation contrasted with the allocation of resources to the management of these species at the time.</w:t>
      </w:r>
    </w:p>
    <w:p w14:paraId="00000158" w14:textId="7C4BDF31" w:rsidR="00A758FD" w:rsidRPr="00C0338D" w:rsidRDefault="00C81287" w:rsidP="00604A0A">
      <w:pPr>
        <w:pStyle w:val="Heading4"/>
      </w:pPr>
      <w:bookmarkStart w:id="112" w:name="_heading=h.1hmsyys" w:colFirst="0" w:colLast="0"/>
      <w:bookmarkStart w:id="113" w:name="_Toc69313967"/>
      <w:bookmarkStart w:id="114" w:name="_Toc26520297"/>
      <w:bookmarkEnd w:id="112"/>
      <w:r w:rsidRPr="00CE3538">
        <w:t xml:space="preserve">Documenting successes and failures in </w:t>
      </w:r>
      <w:r w:rsidR="1BDB0355">
        <w:t>biological invasions</w:t>
      </w:r>
      <w:r w:rsidRPr="00C0338D">
        <w:t xml:space="preserve"> decision-making</w:t>
      </w:r>
    </w:p>
    <w:p w14:paraId="00000159" w14:textId="163AAEB1" w:rsidR="00A758FD" w:rsidRPr="00CE3538" w:rsidRDefault="00C81287">
      <w:pPr>
        <w:spacing w:before="240" w:after="120" w:line="240" w:lineRule="auto"/>
      </w:pPr>
      <w:bookmarkStart w:id="115" w:name="_heading=h.41mghml" w:colFirst="0" w:colLast="0"/>
      <w:bookmarkEnd w:id="113"/>
      <w:bookmarkEnd w:id="115"/>
      <w:r w:rsidRPr="00C0338D">
        <w:t>Reviews of reports of successful or failed management actions, approaches or programmes available in peer-reviewed scientific studies, database</w:t>
      </w:r>
      <w:r w:rsidRPr="00CE3538">
        <w:t>s, books</w:t>
      </w:r>
      <w:r w:rsidR="003915E3">
        <w:t xml:space="preserve"> and</w:t>
      </w:r>
      <w:r w:rsidRPr="00CE3538">
        <w:t xml:space="preserve"> published and unpublished reports across all taxonomic groups, environments or geographical areas can be used to inform future </w:t>
      </w:r>
      <w:r w:rsidR="00CE3538">
        <w:t>decisions for</w:t>
      </w:r>
      <w:r w:rsidR="003915E3">
        <w:t xml:space="preserve"> the</w:t>
      </w:r>
      <w:r w:rsidR="00CE3538">
        <w:t xml:space="preserve"> management of biological invasions</w:t>
      </w:r>
      <w:r w:rsidR="0017567B" w:rsidRPr="00837161">
        <w:t xml:space="preserve">. </w:t>
      </w:r>
      <w:r w:rsidR="009566E7" w:rsidRPr="00837161">
        <w:t xml:space="preserve">Sutherland </w:t>
      </w:r>
      <w:r w:rsidR="00A56C41" w:rsidRPr="00837161">
        <w:fldChar w:fldCharType="begin"/>
      </w:r>
      <w:r w:rsidR="000F35EB">
        <w:instrText xml:space="preserve"> ADDIN ZOTERO_ITEM CSL_CITATION {"citationID":"G6NfeEd8","properties":{"formattedCitation":"(2022)","plainCitation":"(2022)","noteIndex":0},"citationItems":[{"id":54362,"uris":["http://zotero.org/groups/2352922/items/28B8ENUW"],"itemData":{"id":54362,"type":"book","abstract":"There are severe problems with the decision-making processes currently widely used, leading to ineffective use of evidence, faulty decisions, wasting of resources and the erosion of public and political support. In this book an international team of experts provide solutions.","ISBN":"978-1-80064-856-2","language":"English","note":"DOI: 10.11647/obp.0321","publisher":"Open Book Publishers","source":"www.openbookpublishers.com","title":"Transforming Conservation: A Practical Guide to Evidence and Decision Making","title-short":"Transforming Conservation","URL":"https://www.openbookpublishers.com/books/10.11647/obp.0321","editor":[{"family":"Sutherland","given":"William J."}],"accessed":{"date-parts":[["2023",2,2]]},"issued":{"date-parts":[["2022",12,6]]}},"label":"page","suppress-author":true}],"schema":"https://github.com/citation-style-language/schema/raw/master/csl-citation.json"} </w:instrText>
      </w:r>
      <w:r w:rsidR="00A56C41" w:rsidRPr="00837161">
        <w:fldChar w:fldCharType="separate"/>
      </w:r>
      <w:r w:rsidR="00271B78" w:rsidRPr="00271B78">
        <w:t>(2022)</w:t>
      </w:r>
      <w:r w:rsidR="00A56C41" w:rsidRPr="00837161">
        <w:fldChar w:fldCharType="end"/>
      </w:r>
      <w:r w:rsidR="009566E7" w:rsidRPr="00837161">
        <w:t xml:space="preserve"> </w:t>
      </w:r>
      <w:r w:rsidR="0017567B" w:rsidRPr="00837161">
        <w:t>has promoted the value of this approach for biodiversity conservation more generally</w:t>
      </w:r>
      <w:r w:rsidR="001B0409" w:rsidRPr="00837161">
        <w:t>.</w:t>
      </w:r>
      <w:r w:rsidRPr="00CE3538">
        <w:t xml:space="preserve"> Such information sources</w:t>
      </w:r>
      <w:r w:rsidR="003915E3">
        <w:t xml:space="preserve"> can </w:t>
      </w:r>
      <w:r w:rsidRPr="00CE3538">
        <w:t xml:space="preserve">inform and potentially inspire managers confronted with the same invasive alien species or a similar environmental context. </w:t>
      </w:r>
      <w:r w:rsidR="00965561" w:rsidRPr="00837161">
        <w:t xml:space="preserve">Such </w:t>
      </w:r>
      <w:r w:rsidR="005A4D06" w:rsidRPr="00837161">
        <w:t xml:space="preserve">repositories </w:t>
      </w:r>
      <w:r w:rsidR="001B0409" w:rsidRPr="00837161">
        <w:t xml:space="preserve">are, however, rarely developed, compiled or presented </w:t>
      </w:r>
      <w:r w:rsidR="006E770C" w:rsidRPr="00837161">
        <w:t xml:space="preserve">to support </w:t>
      </w:r>
      <w:r w:rsidR="005B7C20" w:rsidRPr="00837161">
        <w:t>decision-making</w:t>
      </w:r>
      <w:r w:rsidR="006E770C" w:rsidRPr="00837161">
        <w:t xml:space="preserve"> </w:t>
      </w:r>
      <w:r w:rsidR="00BA4462" w:rsidRPr="00837161">
        <w:fldChar w:fldCharType="begin"/>
      </w:r>
      <w:r w:rsidR="000F35EB">
        <w:instrText xml:space="preserve"> ADDIN ZOTERO_ITEM CSL_CITATION {"citationID":"zGh8WW8o","properties":{"formattedCitation":"(Matzek et al., 2014; McNie, 2007)","plainCitation":"(Matzek et al., 2014; McNie, 2007)","noteIndex":0},"citationItems":[{"id":30383,"uris":["http://zotero.org/groups/2352922/items/II8I6VLF"],"itemData":{"id":30383,"type":"article-journal","abstract":"Like many conservation disciplines, invasion biology may suffer from a knowing–doing gap, where scientiﬁc research fails to inform management actions. We surveyed California resource managers to evaluate engagement with scientiﬁc research and to identify research priorities. We examined managers’ access to information, judgment of the usefulness of existing research, ability to generate scientiﬁc information, and priorities for future research. We found that practitioners rely on their own experience, and largely do not read the peer-reviewed literature, which they regard as only moderately useful. Less than half of managers who do research carry out experiments conforming to the norms of hypothesis testing, and their results are not broadly disseminated. Managers’ research needs are not restricted to applied science, or even basic ecology, but include social science questions. Scientists studying invasions can make their research more useful by crossing disciplinary boundaries, sourcing research questions from practitioners, and reporting results in accessible venues.","container-title":"Conservation Letters","DOI":"10.1111/conl.12042","ISSN":"1755263X","issue":"3","journalAbbreviation":"Conservation Letters","language":"en","page":"208-215","source":"DOI.org (Crossref)","title":"Closing the knowing-doing gap in invasive plant management: Accessibility and interdisciplinarity of scientific research","title-short":"Closing the Knowing-Doing Gap in Invasive Plant Management","URL":"http://doi.wiley.com/10.1111/conl.12042","volume":"7","author":[{"family":"Matzek","given":"Virginia"},{"family":"Covino","given":"Justin"},{"family":"Funk","given":"Jennifer L."},{"family":"Saunders","given":"Martin"}],"accessed":{"date-parts":[["2019",11,9]]},"issued":{"date-parts":[["2014",5]]}},"label":"page"},{"id":12585,"uris":["http://zotero.org/groups/2352922/items/8NI4H645"],"itemData":{"id":12585,"type":"article-journal","container-title":"Environmental Science &amp; Policy","DOI":"10.1016/j.envsci.2006.10.004","ISSN":"14629011","issue":"1","journalAbbreviation":"Environmental Science &amp; Policy","language":"en","page":"17-38","source":"DOI.org (Crossref)","title":"Reconciling the supply of scientific information with user demands: an analysis of the problem and review of the literature","title-short":"Reconciling the supply of scientific information with user demands","URL":"https://linkinghub.elsevier.com/retrieve/pii/S1462901106001201","volume":"10","author":[{"family":"McNie","given":"Elizabeth C."}],"accessed":{"date-parts":[["2019",10,22]]},"issued":{"date-parts":[["2007",2]]}},"label":"page"}],"schema":"https://github.com/citation-style-language/schema/raw/master/csl-citation.json"} </w:instrText>
      </w:r>
      <w:r w:rsidR="00BA4462" w:rsidRPr="00837161">
        <w:fldChar w:fldCharType="separate"/>
      </w:r>
      <w:r w:rsidR="00271B78" w:rsidRPr="00271B78">
        <w:t>(Matzek et al., 2014; McNie, 2007)</w:t>
      </w:r>
      <w:r w:rsidR="00BA4462" w:rsidRPr="00837161">
        <w:fldChar w:fldCharType="end"/>
      </w:r>
      <w:r w:rsidR="001B0409" w:rsidRPr="00837161">
        <w:t>.</w:t>
      </w:r>
      <w:r w:rsidRPr="00CE3538">
        <w:t xml:space="preserve"> Duplicating a successful approach often seems to be an easy decision but each context will have specific differences and challenges, so compiling many similar case studies can assist understanding when a management decision is more likely to be successful across multiple contexts.</w:t>
      </w:r>
      <w:bookmarkStart w:id="116" w:name="_Toc26520287"/>
    </w:p>
    <w:p w14:paraId="0000015A" w14:textId="77777777" w:rsidR="00A758FD" w:rsidRPr="00CE3538" w:rsidRDefault="00C81287" w:rsidP="00604A0A">
      <w:pPr>
        <w:pStyle w:val="Heading4"/>
      </w:pPr>
      <w:bookmarkStart w:id="117" w:name="_heading=h.2grqrue" w:colFirst="0" w:colLast="0"/>
      <w:bookmarkStart w:id="118" w:name="_Toc69313968"/>
      <w:bookmarkEnd w:id="117"/>
      <w:r w:rsidRPr="00CE3538">
        <w:lastRenderedPageBreak/>
        <w:t xml:space="preserve"> Evidence synthesis</w:t>
      </w:r>
      <w:bookmarkEnd w:id="116"/>
      <w:bookmarkEnd w:id="118"/>
    </w:p>
    <w:p w14:paraId="0000015B" w14:textId="63FB905E" w:rsidR="00A758FD" w:rsidRPr="00CE3538" w:rsidRDefault="00C81287">
      <w:pPr>
        <w:spacing w:before="240" w:after="120" w:line="240" w:lineRule="auto"/>
      </w:pPr>
      <w:bookmarkStart w:id="119" w:name="_heading=h.vx1227" w:colFirst="0" w:colLast="0"/>
      <w:bookmarkEnd w:id="119"/>
      <w:r w:rsidRPr="00CE3538">
        <w:t xml:space="preserve">Evidence synthesis compiles individual studies within the context of global knowledge on a specific issue. </w:t>
      </w:r>
      <w:r w:rsidR="6F37074E" w:rsidRPr="00837161">
        <w:t xml:space="preserve">It is often the basis of both evidence-based policy and practice </w:t>
      </w:r>
      <w:r w:rsidR="6F37074E" w:rsidRPr="00837161">
        <w:fldChar w:fldCharType="begin"/>
      </w:r>
      <w:r w:rsidR="000F35EB">
        <w:instrText xml:space="preserve"> ADDIN ZOTERO_ITEM CSL_CITATION {"citationID":"3TSdZTr1","properties":{"formattedCitation":"(Dicks et al., 2014)","plainCitation":"(Dicks et al., 2014)","noteIndex":0},"citationItems":[{"id":12586,"uris":["http://zotero.org/groups/2352922/items/UP98DRHV"],"itemData":{"id":12586,"type":"article-journal","container-title":"Trends in Ecology &amp; Evolution","DOI":"10.1016/j.tree.2014.09.004","ISSN":"01695347","issue":"11","journalAbbreviation":"Trends in Ecology &amp; Evolution","language":"en","page":"607-613","source":"DOI.org (Crossref)","title":"Organising evidence for environmental management decisions: a ‘4S’ hierarchy","title-short":"Organising evidence for environmental management decisions","URL":"https://linkinghub.elsevier.com/retrieve/pii/S0169534714001992","volume":"29","author":[{"family":"Dicks","given":"Lynn V."},{"family":"Walsh","given":"Jessica C."},{"family":"Sutherland","given":"William J."}],"accessed":{"date-parts":[["2019",10,22]]},"issued":{"date-parts":[["2014",11]]}},"label":"page"}],"schema":"https://github.com/citation-style-language/schema/raw/master/csl-citation.json"} </w:instrText>
      </w:r>
      <w:r w:rsidR="6F37074E" w:rsidRPr="00837161">
        <w:fldChar w:fldCharType="separate"/>
      </w:r>
      <w:r w:rsidR="00271B78" w:rsidRPr="00271B78">
        <w:t>(Dicks et al., 2014)</w:t>
      </w:r>
      <w:r w:rsidR="6F37074E" w:rsidRPr="00837161">
        <w:fldChar w:fldCharType="end"/>
      </w:r>
      <w:r w:rsidR="6F37074E" w:rsidRPr="00837161">
        <w:t>.</w:t>
      </w:r>
      <w:r w:rsidRPr="00CE3538">
        <w:t xml:space="preserve"> The resulting syntheses can provide rigorous knowledge for translating research into decision</w:t>
      </w:r>
      <w:r w:rsidR="00A91F9F">
        <w:t>-</w:t>
      </w:r>
      <w:r w:rsidRPr="00CE3538">
        <w:t>support. Evidence synthesis requires an explicit and transparent question-based methodology targeting the identification, selection, appraisal</w:t>
      </w:r>
      <w:r w:rsidR="00C16EEB">
        <w:t xml:space="preserve"> and</w:t>
      </w:r>
      <w:r w:rsidRPr="00CE3538">
        <w:t xml:space="preserve"> analysis of evidence from all available studies. The advantage of this approach is that all studies in a given context are assessed collectively. An example is the </w:t>
      </w:r>
      <w:r w:rsidRPr="00CE3538">
        <w:rPr>
          <w:i/>
        </w:rPr>
        <w:t>Conservation Evidence</w:t>
      </w:r>
      <w:r w:rsidRPr="00CE3538">
        <w:t xml:space="preserve"> initiative, which is a collated free authoritative information resource designed to support decision-making to maintain and restore global biodiversity </w:t>
      </w:r>
      <w:r w:rsidR="6F37074E" w:rsidRPr="00837161">
        <w:fldChar w:fldCharType="begin"/>
      </w:r>
      <w:r w:rsidR="000F35EB">
        <w:instrText xml:space="preserve"> ADDIN ZOTERO_ITEM CSL_CITATION {"citationID":"hSqfX2xD","properties":{"formattedCitation":"(Sutherland et al., 2019)","plainCitation":"(Sutherland et al., 2019)","noteIndex":0},"citationItems":[{"id":12584,"uris":["http://zotero.org/groups/2352922/items/DSI7YS7C"],"itemData":{"id":12584,"type":"article-journal","container-title":"Biological Conservation","DOI":"10.1016/j.biocon.2019.108199","ISSN":"00063207","journalAbbreviation":"Biological Conservation","language":"en","page":"108199","source":"DOI.org (Crossref)","title":"Building a tool to overcome barriers in research-implementation spaces: The Conservation Evidence database","title-short":"Building a tool to overcome barriers in research-implementation spaces","URL":"https://linkinghub.elsevier.com/retrieve/pii/S0006320719305622","volume":"238","author":[{"family":"Sutherland","given":"William J."},{"family":"Taylor","given":"Nigel G."},{"family":"MacFarlane","given":"Douglas"},{"family":"Amano","given":"Tatsuya"},{"family":"Christie","given":"Alec P."},{"family":"Dicks","given":"Lynn V."},{"family":"Lemasson","given":"Anaëlle J."},{"family":"Littlewood","given":"Nick A."},{"family":"Martin","given":"Philip A."},{"family":"Ockendon","given":"Nancy"},{"family":"Petrovan","given":"Silviu O."},{"family":"Robertson","given":"Rebecca J."},{"family":"Rocha","given":"Ricardo"},{"family":"Shackelford","given":"Gorm E."},{"family":"Smith","given":"Rebecca K."},{"family":"Tyler","given":"Elizabeth H.M."},{"family":"Wordley","given":"Claire F.R."}],"accessed":{"date-parts":[["2019",10,22]]},"issued":{"date-parts":[["2019",10]]}},"label":"page"}],"schema":"https://github.com/citation-style-language/schema/raw/master/csl-citation.json"} </w:instrText>
      </w:r>
      <w:r w:rsidR="6F37074E" w:rsidRPr="00837161">
        <w:fldChar w:fldCharType="separate"/>
      </w:r>
      <w:r w:rsidR="00271B78" w:rsidRPr="00271B78">
        <w:t>(Sutherland et al., 2019)</w:t>
      </w:r>
      <w:r w:rsidR="6F37074E" w:rsidRPr="00837161">
        <w:fldChar w:fldCharType="end"/>
      </w:r>
      <w:r w:rsidR="6F37074E" w:rsidRPr="00837161">
        <w:t>.</w:t>
      </w:r>
      <w:r w:rsidRPr="00CE3538">
        <w:t xml:space="preserve"> In 2017, the synopsis of this initiative published in print and as an open access online resource is a directory of 161 evidence-based interventions for managing freshwater taxa which were considered of high risk to Great Britain’s ecosystems or economy </w:t>
      </w:r>
      <w:r w:rsidR="6F37074E" w:rsidRPr="00837161">
        <w:fldChar w:fldCharType="begin"/>
      </w:r>
      <w:r w:rsidR="000F35EB">
        <w:instrText xml:space="preserve"> ADDIN ZOTERO_ITEM CSL_CITATION {"citationID":"A4vLpaY9","properties":{"formattedCitation":"(Aldridge et al., 2015)","plainCitation":"(Aldridge et al., 2015)","noteIndex":0},"citationItems":[{"id":12583,"uris":["http://zotero.org/groups/2352922/items/KXWBBEES"],"itemData":{"id":12583,"type":"book","collection-title":"Synopses of conservation evidence series","event-place":"UK","publisher":"The University of Cambridge","publisher-place":"UK","title":"Control of freshwater invasive species: Global evidence for the effects of selected interventions","URL":"http://dx.doi.org/10.13140/RG.2.2.22197.58084","author":[{"family":"Aldridge","given":"D. C."},{"family":"Aldridge","given":"S. L."},{"family":"Mead","given":"A."},{"family":"Scales","given":"Helen"},{"family":"Smith","given":"Rebecca K."},{"family":"Zieritz","given":"Alexandra"},{"family":"Sutherland","given":"William J"}],"issued":{"date-parts":[["2015"]]}},"label":"page"}],"schema":"https://github.com/citation-style-language/schema/raw/master/csl-citation.json"} </w:instrText>
      </w:r>
      <w:r w:rsidR="6F37074E" w:rsidRPr="00837161">
        <w:fldChar w:fldCharType="separate"/>
      </w:r>
      <w:r w:rsidR="00271B78" w:rsidRPr="00271B78">
        <w:t>(Aldridge et al., 2015)</w:t>
      </w:r>
      <w:r w:rsidR="6F37074E" w:rsidRPr="00837161">
        <w:fldChar w:fldCharType="end"/>
      </w:r>
      <w:r w:rsidR="6F37074E" w:rsidRPr="00837161">
        <w:t>.</w:t>
      </w:r>
      <w:r w:rsidRPr="00A4003D">
        <w:rPr>
          <w:rStyle w:val="FootnoteReference"/>
        </w:rPr>
        <w:footnoteReference w:id="5"/>
      </w:r>
      <w:r w:rsidRPr="00CE3538">
        <w:t xml:space="preserve"> Of the 161 actions identified in this particular case, 62 per cent were not tested in any study, 20 per cent were </w:t>
      </w:r>
      <w:r w:rsidR="00811F7A" w:rsidRPr="00CE3538">
        <w:t>considered “likely beneficial”, 8 per cent were “unlikely to be beneficial”, 5 per cent were “beneficial”, 4 per cent showed “unknown effectiveness”, and four studies reported “trade-off between benefit a</w:t>
      </w:r>
      <w:r w:rsidRPr="00CE3538">
        <w:t>nd harms” for one single action. While evidence synthesis has not yet been applied explicitly globally, it has been applied in some contexts and it is widely recognized that this approach could provide significant benefit</w:t>
      </w:r>
      <w:r w:rsidR="00CE3538">
        <w:t xml:space="preserve"> for</w:t>
      </w:r>
      <w:r w:rsidRPr="00CE3538">
        <w:t xml:space="preserve"> </w:t>
      </w:r>
      <w:r w:rsidR="00CE3538">
        <w:t xml:space="preserve">management of biological invasions </w:t>
      </w:r>
      <w:r w:rsidR="6F37074E" w:rsidRPr="00837161">
        <w:fldChar w:fldCharType="begin"/>
      </w:r>
      <w:r w:rsidR="000F35EB">
        <w:instrText xml:space="preserve"> ADDIN ZOTERO_ITEM CSL_CITATION {"citationID":"8QvbHrIU","properties":{"formattedCitation":"(P. A. Martin et al., 2020)","plainCitation":"(P. A. Martin et al., 2020)","noteIndex":0},"citationItems":[{"id":24149,"uris":["http://zotero.org/groups/2352922/items/ZGZQ6P3W"],"itemData":{"id":24149,"type":"article-journal","abstract":"Invasive alien plant species often have negative environmental and social impacts, such as loss of biodiversity and alteration of ecosystem services. As a result, managing the introduction, establishment, and abundance of invasive species is a major priority. To do this effectively, we need evidence on the effect of management interventions (such as using herbicide or cutting to control invasive plants). This evidence should not only include the effects of these management interventions on invasive alien species, but also on native species and other non-target outcomes such as ecosystem services. Such evidence would allow for comparison of the trade-offs between different management interventions. In the planned review we aim to assess how management interventions to control nine priority invasive alien plants species in England and Wales affect environmental outcomes. These species are: Japanese knotweed (Fallopia japonica) Nuttall’s waterweed (Elodea nuttallii), Chilean rhubarb (Gunnera tinctoria), Giant hogweed (Heracleum mantegazzianum), Floating pennywort (Hydrocotyle ranunculoides), Himalayan balsam (Impatiens glandulifera), Curly waterweed (Lagarosiphon major), American skunk cabbage (Lysichiton americanus), Parrot’s feather (Myriophyllum aquaticum).","container-title":"Environmental Evidence","DOI":"10.1186/s13750-020-0186-y","ISSN":"2047-2382","issue":"1","journalAbbreviation":"Environmental Evidence","page":"1","title":"Management of UK priority invasive alien plants: a systematic review protocol","URL":"https://doi.org/10.1186/s13750-020-0186-y","volume":"9","author":[{"family":"Martin","given":"Philip A."},{"family":"Shackelford","given":"Gorm E."},{"family":"Bullock","given":"James M."},{"family":"Gallardo","given":"Belinda"},{"family":"Aldridge","given":"David C."},{"family":"Sutherland","given":"William J."}],"issued":{"date-parts":[["2020",1,21]]}},"label":"page"}],"schema":"https://github.com/citation-style-language/schema/raw/master/csl-citation.json"} </w:instrText>
      </w:r>
      <w:r w:rsidR="6F37074E" w:rsidRPr="00837161">
        <w:fldChar w:fldCharType="separate"/>
      </w:r>
      <w:r w:rsidR="00271B78" w:rsidRPr="00271B78">
        <w:t>(P. A. Martin et al., 2020)</w:t>
      </w:r>
      <w:r w:rsidR="6F37074E" w:rsidRPr="00837161">
        <w:fldChar w:fldCharType="end"/>
      </w:r>
      <w:r w:rsidR="6F37074E" w:rsidRPr="00837161">
        <w:t>.</w:t>
      </w:r>
      <w:bookmarkStart w:id="120" w:name="_Toc26520288"/>
    </w:p>
    <w:p w14:paraId="0000015C" w14:textId="4B4EC7C9" w:rsidR="00A758FD" w:rsidRPr="00CE3538" w:rsidRDefault="00C81287" w:rsidP="00604A0A">
      <w:pPr>
        <w:pStyle w:val="Heading4"/>
      </w:pPr>
      <w:bookmarkStart w:id="121" w:name="_heading=h.3fwokq0" w:colFirst="0" w:colLast="0"/>
      <w:bookmarkStart w:id="122" w:name="_Toc69313969"/>
      <w:bookmarkEnd w:id="121"/>
      <w:r w:rsidRPr="00CE3538">
        <w:t>Best management</w:t>
      </w:r>
      <w:bookmarkEnd w:id="120"/>
      <w:bookmarkEnd w:id="122"/>
      <w:r w:rsidRPr="00CE3538">
        <w:t xml:space="preserve"> practice approach</w:t>
      </w:r>
    </w:p>
    <w:p w14:paraId="41720838" w14:textId="1A1F88FC" w:rsidR="00CE3538" w:rsidRDefault="00811F7A" w:rsidP="00CE3538">
      <w:pPr>
        <w:spacing w:before="240" w:after="120" w:line="240" w:lineRule="auto"/>
      </w:pPr>
      <w:r>
        <w:t>The b</w:t>
      </w:r>
      <w:r w:rsidR="00C81287" w:rsidRPr="00CE3538">
        <w:t xml:space="preserve">est management practice approach brings together techniques and methods that have proven most effective. Such information is generally compiled through a context-specific evidence synthesis approach into a guide for addressing the management of an individual invasive alien species or a set of species generally in a particular ecological or biogeographic context. For example, the Prefectura Naval Argentina has a best practice manual for cleaning and maintaining maritime infrastructure to avoid dispersal and new introductions of marine invasive alien species </w:t>
      </w:r>
      <w:r w:rsidR="00690C62" w:rsidRPr="00837161">
        <w:fldChar w:fldCharType="begin"/>
      </w:r>
      <w:r w:rsidR="000F35EB">
        <w:instrText xml:space="preserve"> ADDIN ZOTERO_ITEM CSL_CITATION {"citationID":"1ML6ccjD","properties":{"formattedCitation":"(Argentine Naval Prefecture, 2021)","plainCitation":"(Argentine Naval Prefecture, 2021)","noteIndex":0},"citationItems":[{"id":31268,"uris":["http://zotero.org/groups/2352922/items/CX2HX6YV"],"itemData":{"id":31268,"type":"document","title":"Good practices manual: Maintenance of vessels, equipment and infrastructure related to the different maritime activities","URL":"https://www.argentina.gob.ar/sites/default/files/2023/06/manual_buenas_practicas_2020_0.pdf","author":[{"literal":"Argentine Naval Prefecture"}],"issued":{"date-parts":[["2021"]]}},"label":"page"}],"schema":"https://github.com/citation-style-language/schema/raw/master/csl-citation.json"} </w:instrText>
      </w:r>
      <w:r w:rsidR="00690C62" w:rsidRPr="00837161">
        <w:fldChar w:fldCharType="separate"/>
      </w:r>
      <w:r w:rsidR="00271B78" w:rsidRPr="00271B78">
        <w:t>(Argentine Naval Prefecture, 2021)</w:t>
      </w:r>
      <w:r w:rsidR="00690C62" w:rsidRPr="00837161">
        <w:fldChar w:fldCharType="end"/>
      </w:r>
      <w:r w:rsidR="001B0409" w:rsidRPr="00837161">
        <w:t>.</w:t>
      </w:r>
      <w:r w:rsidR="00C81287" w:rsidRPr="00CE3538">
        <w:t xml:space="preserve"> As with case studies and evidence synthesis, similar management efforts are compared and analysed from which best practice collectively emerges. </w:t>
      </w:r>
      <w:r w:rsidR="001B0409" w:rsidRPr="00837161">
        <w:t xml:space="preserve">Guidelines exist for developing best practice </w:t>
      </w:r>
      <w:r w:rsidR="00CE3538">
        <w:t>for the management of biological invasions</w:t>
      </w:r>
      <w:r w:rsidR="002F3A52" w:rsidRPr="00837161">
        <w:t>,</w:t>
      </w:r>
      <w:r w:rsidR="001B0409" w:rsidRPr="00837161">
        <w:t xml:space="preserve"> including preventive strategies, eradication, containment and control </w:t>
      </w:r>
      <w:r w:rsidR="00690C62" w:rsidRPr="00837161">
        <w:fldChar w:fldCharType="begin"/>
      </w:r>
      <w:r w:rsidR="000F35EB">
        <w:instrText xml:space="preserve"> ADDIN ZOTERO_ITEM CSL_CITATION {"citationID":"XUpAtCKK","properties":{"formattedCitation":"(Adriaens et al., 2018)","plainCitation":"(Adriaens et al., 2018)","noteIndex":0},"citationItems":[{"id":12594,"uris":["http://zotero.org/groups/2352922/items/ITSJTMHZ"],"itemData":{"id":12594,"type":"report","genre":"Rapporten van het Instituut voor Natuur- en Bosonderzoek","note":"DOI: 10.21436/inbor.14912489","number":"Nr. 68","publisher":"Instituut voor Natuur- en Bosonderzoek","source":"DOI.org (Crossref)","title":"Guidance for drafting best management practices for invasive alien species","URL":"https://pureportal.inbo.be/portal/nl/publications/guidance-for-drafting-best-management-practices-for-invasive-alien-species(0466459b-0cfa-4a72-a091-37f5cc768cae).html","author":[{"family":"Adriaens","given":"Tim"},{"family":"Vandegehuchte","given":"M."},{"family":"Casaer","given":"Jim"}],"accessed":{"date-parts":[["2019",10,22]]},"issued":{"date-parts":[["2018"]]}},"label":"page"}],"schema":"https://github.com/citation-style-language/schema/raw/master/csl-citation.json"} </w:instrText>
      </w:r>
      <w:r w:rsidR="00690C62" w:rsidRPr="00837161">
        <w:fldChar w:fldCharType="separate"/>
      </w:r>
      <w:r w:rsidR="00271B78" w:rsidRPr="00271B78">
        <w:t>(Adriaens et al., 2018)</w:t>
      </w:r>
      <w:r w:rsidR="00690C62" w:rsidRPr="00837161">
        <w:fldChar w:fldCharType="end"/>
      </w:r>
      <w:r w:rsidR="001B0409" w:rsidRPr="00837161">
        <w:t>.</w:t>
      </w:r>
      <w:r w:rsidR="00C81287" w:rsidRPr="00CE3538">
        <w:t xml:space="preserve"> Best practice management guides are being developed around the world and are generally designed for use within particular jurisdictions, based on local regulatory contexts (e.g., for use of chemicals) for management. Best practice guides can also target specific audiences (government agencies, hunters, anglers, reserve managers, or the general public). For example, the Invasive Species Council of Ontario (Canada) has developed </w:t>
      </w:r>
      <w:r w:rsidRPr="00CE3538">
        <w:t xml:space="preserve">15 best management practice </w:t>
      </w:r>
      <w:r w:rsidR="00C81287" w:rsidRPr="00CE3538">
        <w:t xml:space="preserve">guides for invasive alien plants that also provide a historical background and taxonomic characteristics of each species </w:t>
      </w:r>
      <w:r w:rsidR="00690C62" w:rsidRPr="00837161">
        <w:fldChar w:fldCharType="begin"/>
      </w:r>
      <w:r w:rsidR="000F35EB">
        <w:instrText xml:space="preserve"> ADDIN ZOTERO_ITEM CSL_CITATION {"citationID":"FrnCKnfo","properties":{"formattedCitation":"(Ontario Invasive Plant Council, 2021)","plainCitation":"(Ontario Invasive Plant Council, 2021)","noteIndex":0},"citationItems":[{"id":31929,"uris":["http://zotero.org/groups/2352922/items/T86LXLVE"],"itemData":{"id":31929,"type":"post-weblog","abstract":"The OIPC's BMP series are the leading resources to help invasive plant control in Ontario. Use the free guides to make your control project more effective.","container-title":"Ontario Invasive Plant Council","language":"en-US","title":"Best Management Practices","URL":"https://www.ontarioinvasiveplants.ca/resources/best-management-practices/","author":[{"literal":"Ontario Invasive Plant Council"}],"accessed":{"date-parts":[["2021",12,1]]},"issued":{"date-parts":[["2021"]]}},"label":"page"}],"schema":"https://github.com/citation-style-language/schema/raw/master/csl-citation.json"} </w:instrText>
      </w:r>
      <w:r w:rsidR="00690C62" w:rsidRPr="00837161">
        <w:fldChar w:fldCharType="separate"/>
      </w:r>
      <w:r w:rsidR="00271B78" w:rsidRPr="00271B78">
        <w:t>(Ontario Invasive Plant Council, 2021)</w:t>
      </w:r>
      <w:r w:rsidR="00690C62" w:rsidRPr="00837161">
        <w:fldChar w:fldCharType="end"/>
      </w:r>
      <w:r w:rsidR="00EB5F03" w:rsidRPr="00837161">
        <w:t>.</w:t>
      </w:r>
      <w:r w:rsidR="00C81287" w:rsidRPr="00CE3538">
        <w:t xml:space="preserve"> The series promotes the use of integrated pest management (</w:t>
      </w:r>
      <w:r w:rsidR="00CE3538">
        <w:rPr>
          <w:b/>
        </w:rPr>
        <w:t>G</w:t>
      </w:r>
      <w:r w:rsidR="00C81287" w:rsidRPr="00CE3538">
        <w:rPr>
          <w:b/>
        </w:rPr>
        <w:t>lossary</w:t>
      </w:r>
      <w:r w:rsidR="00C81287" w:rsidRPr="00CE3538">
        <w:t xml:space="preserve">) to achieve effective control and </w:t>
      </w:r>
      <w:r>
        <w:t>is</w:t>
      </w:r>
      <w:r w:rsidRPr="00CE3538">
        <w:t xml:space="preserve"> </w:t>
      </w:r>
      <w:r w:rsidR="00C81287" w:rsidRPr="00CE3538">
        <w:t>updated on a regular basis.</w:t>
      </w:r>
      <w:bookmarkStart w:id="123" w:name="_heading=h.1v1yuxt" w:colFirst="0" w:colLast="0"/>
      <w:bookmarkStart w:id="124" w:name="_Toc69313970"/>
      <w:bookmarkStart w:id="125" w:name="_Toc87623130"/>
      <w:bookmarkStart w:id="126" w:name="_Toc131681632"/>
      <w:bookmarkEnd w:id="114"/>
      <w:bookmarkEnd w:id="123"/>
    </w:p>
    <w:p w14:paraId="4A727085" w14:textId="6079F327" w:rsidR="001B0409" w:rsidRPr="00837161" w:rsidRDefault="6CD5B3F5" w:rsidP="002F2F42">
      <w:pPr>
        <w:pStyle w:val="Heading3"/>
      </w:pPr>
      <w:r w:rsidRPr="00837161">
        <w:t xml:space="preserve">How to </w:t>
      </w:r>
      <w:r w:rsidR="563E0F53" w:rsidRPr="00837161">
        <w:t>prioritize</w:t>
      </w:r>
      <w:r w:rsidRPr="00837161">
        <w:t xml:space="preserve"> management actions?</w:t>
      </w:r>
      <w:bookmarkEnd w:id="124"/>
      <w:bookmarkEnd w:id="125"/>
      <w:bookmarkEnd w:id="126"/>
    </w:p>
    <w:p w14:paraId="2353893E" w14:textId="784A2688" w:rsidR="004E270D" w:rsidRPr="00837161" w:rsidRDefault="00054D2E" w:rsidP="00C11DFA">
      <w:pPr>
        <w:spacing w:before="240" w:after="120" w:line="240" w:lineRule="auto"/>
        <w:rPr>
          <w:lang w:eastAsia="en-AU"/>
        </w:rPr>
      </w:pPr>
      <w:r w:rsidRPr="00837161">
        <w:t xml:space="preserve">Management </w:t>
      </w:r>
      <w:r w:rsidR="005B7C20" w:rsidRPr="00837161">
        <w:t>decision-making</w:t>
      </w:r>
      <w:r w:rsidRPr="00837161">
        <w:t xml:space="preserve"> usually </w:t>
      </w:r>
      <w:r w:rsidR="002821CD" w:rsidRPr="00837161">
        <w:t>requires</w:t>
      </w:r>
      <w:r w:rsidRPr="00837161">
        <w:t xml:space="preserve"> some form of </w:t>
      </w:r>
      <w:r w:rsidR="00F42803" w:rsidRPr="00837161">
        <w:t>prioritization</w:t>
      </w:r>
      <w:r w:rsidR="002821CD" w:rsidRPr="00837161">
        <w:t xml:space="preserve">. </w:t>
      </w:r>
      <w:r w:rsidR="00E40202" w:rsidRPr="00837161">
        <w:t>Management p</w:t>
      </w:r>
      <w:r w:rsidR="008276BA" w:rsidRPr="00837161">
        <w:t>rioritization</w:t>
      </w:r>
      <w:r w:rsidR="00E40202" w:rsidRPr="00837161">
        <w:t xml:space="preserve">, whether it be in the context of pathways, </w:t>
      </w:r>
      <w:r w:rsidR="002F2F42" w:rsidRPr="00C0338D">
        <w:t>species-</w:t>
      </w:r>
      <w:r w:rsidR="002F2F42">
        <w:t>based</w:t>
      </w:r>
      <w:r w:rsidR="00E40202" w:rsidRPr="00837161">
        <w:t xml:space="preserve"> </w:t>
      </w:r>
      <w:r w:rsidR="0040108E" w:rsidRPr="00837161">
        <w:t>and</w:t>
      </w:r>
      <w:r w:rsidR="00E40202" w:rsidRPr="00837161">
        <w:t xml:space="preserve"> site</w:t>
      </w:r>
      <w:r w:rsidR="0040108E" w:rsidRPr="00837161">
        <w:t xml:space="preserve">- or </w:t>
      </w:r>
      <w:r w:rsidR="004B282B" w:rsidRPr="00837161">
        <w:t xml:space="preserve">ecosystem-based approaches, </w:t>
      </w:r>
      <w:r w:rsidR="003F61C4" w:rsidRPr="00837161">
        <w:t xml:space="preserve">often combines </w:t>
      </w:r>
      <w:r w:rsidR="001B0409" w:rsidRPr="00837161">
        <w:t>approaches</w:t>
      </w:r>
      <w:r w:rsidR="003F61C4" w:rsidRPr="00837161">
        <w:t>,</w:t>
      </w:r>
      <w:r w:rsidR="001B0409" w:rsidRPr="00837161">
        <w:t xml:space="preserve"> tools and methodologies </w:t>
      </w:r>
      <w:r w:rsidR="00620EB6" w:rsidRPr="00837161">
        <w:t>presented in the previous section</w:t>
      </w:r>
      <w:r w:rsidR="00564A89">
        <w:t xml:space="preserve"> (</w:t>
      </w:r>
      <w:r w:rsidR="00564A89" w:rsidRPr="00564A89">
        <w:rPr>
          <w:b/>
          <w:bCs/>
        </w:rPr>
        <w:t>Figure 5.6</w:t>
      </w:r>
      <w:r w:rsidR="00564A89">
        <w:t>)</w:t>
      </w:r>
      <w:r w:rsidR="001B0409" w:rsidRPr="00837161">
        <w:t>.</w:t>
      </w:r>
      <w:r w:rsidR="004B282B" w:rsidRPr="00837161">
        <w:t xml:space="preserve"> </w:t>
      </w:r>
      <w:r w:rsidR="00811CF2" w:rsidRPr="00837161">
        <w:t>Species p</w:t>
      </w:r>
      <w:r w:rsidR="00156F0D" w:rsidRPr="00837161">
        <w:rPr>
          <w:rFonts w:eastAsia="Times New Roman"/>
        </w:rPr>
        <w:t xml:space="preserve">rioritization </w:t>
      </w:r>
      <w:r w:rsidR="00811CF2" w:rsidRPr="00837161">
        <w:rPr>
          <w:rFonts w:eastAsia="Times New Roman"/>
        </w:rPr>
        <w:t>activities are the most common</w:t>
      </w:r>
      <w:r w:rsidR="003F0D40" w:rsidRPr="00837161">
        <w:rPr>
          <w:rFonts w:eastAsia="Times New Roman"/>
        </w:rPr>
        <w:t xml:space="preserve"> </w:t>
      </w:r>
      <w:r w:rsidR="003F0D40" w:rsidRPr="00837161">
        <w:rPr>
          <w:rFonts w:eastAsia="Times New Roman"/>
        </w:rPr>
        <w:fldChar w:fldCharType="begin"/>
      </w:r>
      <w:r w:rsidR="00E25D54">
        <w:rPr>
          <w:rFonts w:eastAsia="Times New Roman"/>
        </w:rPr>
        <w:instrText xml:space="preserve"> ADDIN ZOTERO_ITEM CSL_CITATION {"citationID":"h3dnctOT","properties":{"formattedCitation":"(Heikkil\\uc0\\u228{}, 2011)","plainCitation":"(Heikkilä, 2011)","noteIndex":0},"citationItems":[{"id":24361,"uris":["http://zotero.org/groups/2352922/items/HLWP9GPR"],"itemData":{"id":24361,"type":"article-journal","abstract":"Society's resources are scarce, and biosecurity actions need to be targeted and prioritised. Various models have been developed that prioritise and rank pests and diseases according to the risks they represent. A prioritisation model allows utilisation of scientific, ecological and economic information in decision-making related to biological hazards. This study discusses such models and the properties associated with them based on a review of 78 prioritisation studies. The scope of the models includes all aspects of biosecurity (human, animal and plant diseases, and invasive alien species), but with an emphasis on plant health. The geographical locations of the studies are primarily North America, Europe, Australia and New Zealand. Half of the studies were conducted during the past five years. The review finds that there generally seems to be several prioritisation models, especially in the case of invasive plants, but only a select few models are used extensively. Impacts are often accounted for in the model, but the extent and economic sophistication of their inclusion varies. Treatment of uncertainty and feasibility of control was lacking from many studies. © Agricultural and Food Science.","container-title":"Agricultural and Food Science","DOI":"10.2137/145960611795163088","issue":"1","page":"15-28","title":"A review of risk prioritisation schemes of pathogens, pests and weeds: Principles and practices","URL":"https://www.scopus.com/inward/record.uri?eid=2-s2.0-79953137061&amp;doi=10.2137%2f145960611795163088&amp;partnerID=40&amp;md5=7291d5da9d83ed677d863b420375a56d","volume":"20","author":[{"family":"Heikkilä","given":"J."}],"issued":{"date-parts":[["2011"]]}},"label":"page"}],"schema":"https://github.com/citation-style-language/schema/raw/master/csl-citation.json"} </w:instrText>
      </w:r>
      <w:r w:rsidR="003F0D40" w:rsidRPr="00837161">
        <w:rPr>
          <w:rFonts w:eastAsia="Times New Roman"/>
        </w:rPr>
        <w:fldChar w:fldCharType="separate"/>
      </w:r>
      <w:r w:rsidR="00271B78" w:rsidRPr="00271B78">
        <w:t>(Heikkilä, 2011)</w:t>
      </w:r>
      <w:r w:rsidR="003F0D40" w:rsidRPr="00837161">
        <w:rPr>
          <w:rFonts w:eastAsia="Times New Roman"/>
        </w:rPr>
        <w:fldChar w:fldCharType="end"/>
      </w:r>
      <w:r w:rsidR="00811CF2" w:rsidRPr="00837161">
        <w:rPr>
          <w:rFonts w:eastAsia="Times New Roman"/>
        </w:rPr>
        <w:t xml:space="preserve"> </w:t>
      </w:r>
      <w:r w:rsidR="00E355D5" w:rsidRPr="00837161">
        <w:rPr>
          <w:rFonts w:eastAsia="Times New Roman"/>
        </w:rPr>
        <w:t>including</w:t>
      </w:r>
      <w:r w:rsidR="00D97602" w:rsidRPr="00837161">
        <w:rPr>
          <w:rFonts w:eastAsia="Times New Roman"/>
        </w:rPr>
        <w:t xml:space="preserve"> being used </w:t>
      </w:r>
      <w:r w:rsidR="00156F0D" w:rsidRPr="00837161">
        <w:rPr>
          <w:rFonts w:eastAsia="Times New Roman"/>
        </w:rPr>
        <w:t>early on in the analytical process to select species for risk assessment to optimi</w:t>
      </w:r>
      <w:r w:rsidR="00C909AA" w:rsidRPr="00837161">
        <w:rPr>
          <w:rFonts w:eastAsia="Times New Roman"/>
        </w:rPr>
        <w:t>z</w:t>
      </w:r>
      <w:r w:rsidR="00156F0D" w:rsidRPr="00837161">
        <w:rPr>
          <w:rFonts w:eastAsia="Times New Roman"/>
        </w:rPr>
        <w:t xml:space="preserve">e limited resources </w:t>
      </w:r>
      <w:r w:rsidR="00156F0D" w:rsidRPr="00837161">
        <w:rPr>
          <w:rFonts w:eastAsia="Times New Roman"/>
        </w:rPr>
        <w:fldChar w:fldCharType="begin"/>
      </w:r>
      <w:r w:rsidR="000F35EB">
        <w:rPr>
          <w:rFonts w:eastAsia="Times New Roman"/>
        </w:rPr>
        <w:instrText xml:space="preserve"> ADDIN ZOTERO_ITEM CSL_CITATION {"citationID":"lC0EeXBY","properties":{"formattedCitation":"(Brunel et al., 2010)","plainCitation":"(Brunel et al., 2010)","noteIndex":0},"citationItems":[{"id":11149,"uris":["http://zotero.org/groups/2352922/items/T3TJW9QJ"],"itemData":{"id":11149,"type":"article-journal","container-title":"EPPO Bulletin","DOI":"10.1111/j.1365-2338.2010.02423.x","ISSN":"02508052","issue":"3","language":"en","page":"407-422","source":"DOI.org (Crossref)","title":"The EPPO prioritization process for invasive alien plants","title-short":"The EPPO prioritization process for invasive alien plants","URL":"http://doi.wiley.com/10.1111/j.1365-2338.2010.02423.x","volume":"40","author":[{"family":"Brunel","given":"S."},{"family":"Branquart","given":"E."},{"family":"Fried","given":"G."},{"family":"Van Valkenburg","given":"J."},{"family":"Brundu","given":"G."},{"family":"Starfinger","given":"U."},{"family":"Buholzer","given":"S."},{"family":"Uludag","given":"A."},{"family":"Joseffson","given":"M."},{"family":"Baker","given":"R."}],"accessed":{"date-parts":[["2021",3,30]]},"issued":{"date-parts":[["2010",12]]}},"label":"page"}],"schema":"https://github.com/citation-style-language/schema/raw/master/csl-citation.json"} </w:instrText>
      </w:r>
      <w:r w:rsidR="00156F0D" w:rsidRPr="00837161">
        <w:rPr>
          <w:rFonts w:eastAsia="Times New Roman"/>
        </w:rPr>
        <w:fldChar w:fldCharType="separate"/>
      </w:r>
      <w:r w:rsidR="00271B78" w:rsidRPr="00271B78">
        <w:t>(Brunel et al., 2010)</w:t>
      </w:r>
      <w:r w:rsidR="00156F0D" w:rsidRPr="00837161">
        <w:rPr>
          <w:rFonts w:eastAsia="Times New Roman"/>
        </w:rPr>
        <w:fldChar w:fldCharType="end"/>
      </w:r>
      <w:r w:rsidR="00156F0D" w:rsidRPr="00837161">
        <w:rPr>
          <w:rFonts w:eastAsia="Times New Roman"/>
        </w:rPr>
        <w:t xml:space="preserve">. </w:t>
      </w:r>
      <w:r w:rsidR="00363449" w:rsidRPr="00837161">
        <w:rPr>
          <w:rFonts w:eastAsia="Times New Roman"/>
        </w:rPr>
        <w:t>Holistic, t</w:t>
      </w:r>
      <w:r w:rsidR="0047354C" w:rsidRPr="00837161">
        <w:rPr>
          <w:rFonts w:eastAsia="Times New Roman"/>
        </w:rPr>
        <w:t xml:space="preserve">ransparent </w:t>
      </w:r>
      <w:r w:rsidR="00363449" w:rsidRPr="00837161">
        <w:rPr>
          <w:rFonts w:eastAsia="Times New Roman"/>
        </w:rPr>
        <w:t xml:space="preserve">and easy to use </w:t>
      </w:r>
      <w:r w:rsidR="0047354C" w:rsidRPr="00837161">
        <w:rPr>
          <w:rFonts w:eastAsia="Times New Roman"/>
        </w:rPr>
        <w:t>p</w:t>
      </w:r>
      <w:r w:rsidR="004B282B" w:rsidRPr="00837161">
        <w:t>rioritization f</w:t>
      </w:r>
      <w:r w:rsidR="001B0409" w:rsidRPr="00837161">
        <w:rPr>
          <w:lang w:eastAsia="en-AU"/>
        </w:rPr>
        <w:t xml:space="preserve">rameworks exist to help allocate limited resources to </w:t>
      </w:r>
      <w:r w:rsidR="002B5EF7" w:rsidRPr="00837161">
        <w:rPr>
          <w:lang w:eastAsia="en-AU"/>
        </w:rPr>
        <w:t>management actions</w:t>
      </w:r>
      <w:r w:rsidR="5428B56B" w:rsidRPr="00837161">
        <w:rPr>
          <w:lang w:eastAsia="en-AU"/>
        </w:rPr>
        <w:t xml:space="preserve"> which are</w:t>
      </w:r>
      <w:r w:rsidR="002B5EF7" w:rsidRPr="00837161">
        <w:rPr>
          <w:lang w:eastAsia="en-AU"/>
        </w:rPr>
        <w:t xml:space="preserve"> </w:t>
      </w:r>
      <w:r w:rsidR="001B0409" w:rsidRPr="00837161">
        <w:rPr>
          <w:lang w:eastAsia="en-AU"/>
        </w:rPr>
        <w:t xml:space="preserve">expected to </w:t>
      </w:r>
      <w:r w:rsidR="003E4D1B" w:rsidRPr="00837161">
        <w:rPr>
          <w:lang w:eastAsia="en-AU"/>
        </w:rPr>
        <w:t>provide t</w:t>
      </w:r>
      <w:r w:rsidR="001B0409" w:rsidRPr="00837161">
        <w:rPr>
          <w:lang w:eastAsia="en-AU"/>
        </w:rPr>
        <w:t xml:space="preserve">he greatest </w:t>
      </w:r>
      <w:r w:rsidR="003E4D1B" w:rsidRPr="00837161">
        <w:rPr>
          <w:lang w:eastAsia="en-AU"/>
        </w:rPr>
        <w:lastRenderedPageBreak/>
        <w:t xml:space="preserve">environmental and societal </w:t>
      </w:r>
      <w:r w:rsidR="001B0409" w:rsidRPr="00837161">
        <w:rPr>
          <w:lang w:eastAsia="en-AU"/>
        </w:rPr>
        <w:t>benefits</w:t>
      </w:r>
      <w:r w:rsidR="00CE3538">
        <w:rPr>
          <w:lang w:eastAsia="en-AU"/>
        </w:rPr>
        <w:t xml:space="preserve"> </w:t>
      </w:r>
      <w:r w:rsidR="00CE3538">
        <w:rPr>
          <w:lang w:eastAsia="en-AU"/>
        </w:rPr>
        <w:fldChar w:fldCharType="begin"/>
      </w:r>
      <w:r w:rsidR="000F35EB">
        <w:rPr>
          <w:lang w:eastAsia="en-AU"/>
        </w:rPr>
        <w:instrText xml:space="preserve"> ADDIN ZOTERO_ITEM CSL_CITATION {"citationID":"52fTuQEs","properties":{"formattedCitation":"(Bottrill et al., 2008; K. A. Wilson et al., 2007)","plainCitation":"(Bottrill et al., 2008; K. A. Wilson et al., 2007)","noteIndex":0},"citationItems":[{"id":21989,"uris":["http://zotero.org/groups/2352922/items/HH69XEBH"],"itemData":{"id":21989,"type":"article-journal","container-title":"Trends in Ecology &amp; Evolution","DOI":"10.1016/j.tree.2008.07.007","ISSN":"01695347","issue":"12","journalAbbreviation":"Trends in Ecology &amp; Evolution","language":"en","page":"649-654","source":"DOI.org (Crossref)","title":"Is conservation triage just smart decision making?","URL":"https://linkinghub.elsevier.com/retrieve/pii/S0169534708002814","volume":"23","author":[{"family":"Bottrill","given":"Madeleine C."},{"family":"Joseph","given":"Liana N."},{"family":"Carwardine","given":"Josie"},{"family":"Bode","given":"Michael"},{"family":"Cook","given":"Carly"},{"family":"Game","given":"Edward T."},{"family":"Grantham","given":"Hedley"},{"family":"Kark","given":"Salit"},{"family":"Linke","given":"Simon"},{"family":"McDonald-Madden","given":"Eve"},{"family":"Pressey","given":"Robert L."},{"family":"Walker","given":"Susan"},{"family":"Wilson","given":"Kerrie A."},{"family":"Possingham","given":"Hugh P."}],"accessed":{"date-parts":[["2020",4,10]]},"issued":{"date-parts":[["2008",12]]}}},{"id":23864,"uris":["http://zotero.org/groups/2352922/items/KIQL4D74"],"itemData":{"id":23864,"type":"article-journal","abstract":"Conservation priority-setting schemes have not yet combined geographic priorities with a framework that can guide the allocation of funds among alternate conservation actions that address specific threats. We develop such a framework, and apply it to 17 of the world's 39 Mediterranean ecoregions. This framework offers an improvement over approaches that only focus on land purchase or species richness and do not account for threats. We discover that one could protect many more plant and vertebrate species by investing in a sequence of conservation actions targeted towards specific threats, such as invasive species control, land acquisition, and off-reserve management, than by relying solely on acquiring land for protected areas. Applying this new framework will ensure investment in actions that provide the most cost-effective outcomes for biodiversity conservation. This will help to minimise the misallocation of scarce conservation resources. © 2007 Wilson et al.","container-title":"PLoS Biology","DOI":"10.1371/journal.pbio.0050223","ISSN":"1545-7885","issue":"9","journalAbbreviation":"PLoS Biol","language":"en","page":"e223","source":"DOI.org (Crossref)","title":"Conserving biodiversity efficiently: What to do, where, and when","title-short":"Conserving Biodiversity Efficiently","URL":"http://dx.plos.org/10.1371/journal.pbio.0050223","volume":"5","author":[{"family":"Wilson","given":"Kerrie A"},{"family":"Underwood","given":"Emma C"},{"family":"Morrison","given":"Scott A"},{"family":"Klausmeyer","given":"Kirk R"},{"family":"Murdoch","given":"William W"},{"family":"Reyers","given":"Belinda"},{"family":"Wardell-Johnson","given":"Grant"},{"family":"Marquet","given":"Pablo A"},{"family":"Rundel","given":"Phil W"},{"family":"McBride","given":"Marissa F"},{"family":"Pressey","given":"Robert L"},{"family":"Bode","given":"Michael"},{"family":"Hoekstra","given":"Jon M"},{"family":"Andelman","given":"Sandy"},{"family":"Looker","given":"Michael"},{"family":"Rondinini","given":"Carlo"},{"family":"Kareiva","given":"Peter"},{"family":"Shaw","given":"M. Rebecca"},{"family":"Possingham","given":"Hugh P"}],"editor":[{"family":"Mace","given":"Georgina M"}],"accessed":{"date-parts":[["2020",4,10]]},"issued":{"date-parts":[["2007",8,21]]}}}],"schema":"https://github.com/citation-style-language/schema/raw/master/csl-citation.json"} </w:instrText>
      </w:r>
      <w:r w:rsidR="00CE3538">
        <w:rPr>
          <w:lang w:eastAsia="en-AU"/>
        </w:rPr>
        <w:fldChar w:fldCharType="separate"/>
      </w:r>
      <w:r w:rsidR="00271B78" w:rsidRPr="00271B78">
        <w:t>(Bottrill et al., 2008; K. A. Wilson et al., 2007)</w:t>
      </w:r>
      <w:r w:rsidR="00CE3538">
        <w:rPr>
          <w:lang w:eastAsia="en-AU"/>
        </w:rPr>
        <w:fldChar w:fldCharType="end"/>
      </w:r>
      <w:r w:rsidR="00EE1FA9">
        <w:rPr>
          <w:lang w:eastAsia="en-AU"/>
        </w:rPr>
        <w:t>.</w:t>
      </w:r>
      <w:r w:rsidR="007629FD" w:rsidRPr="00837161">
        <w:rPr>
          <w:lang w:eastAsia="en-AU"/>
        </w:rPr>
        <w:t xml:space="preserve"> </w:t>
      </w:r>
      <w:r w:rsidR="00921A80" w:rsidRPr="00837161">
        <w:rPr>
          <w:lang w:eastAsia="en-AU"/>
        </w:rPr>
        <w:t xml:space="preserve">Such frameworks can ensure </w:t>
      </w:r>
      <w:r w:rsidR="008111A5" w:rsidRPr="00837161">
        <w:rPr>
          <w:lang w:eastAsia="en-AU"/>
        </w:rPr>
        <w:t>prioritization</w:t>
      </w:r>
      <w:r w:rsidR="00770CC9" w:rsidRPr="00837161">
        <w:rPr>
          <w:lang w:eastAsia="en-AU"/>
        </w:rPr>
        <w:t xml:space="preserve"> </w:t>
      </w:r>
      <w:r w:rsidR="001B0409" w:rsidRPr="00837161">
        <w:rPr>
          <w:rFonts w:eastAsia="Times New Roman"/>
        </w:rPr>
        <w:t>rep</w:t>
      </w:r>
      <w:r w:rsidR="00811F7A">
        <w:rPr>
          <w:rFonts w:eastAsia="Times New Roman"/>
        </w:rPr>
        <w:t>lic</w:t>
      </w:r>
      <w:r w:rsidR="001B0409" w:rsidRPr="00837161">
        <w:rPr>
          <w:rFonts w:eastAsia="Times New Roman"/>
        </w:rPr>
        <w:t>able in different geographical or temporal contexts</w:t>
      </w:r>
      <w:r w:rsidR="0099629C" w:rsidRPr="00837161">
        <w:rPr>
          <w:rFonts w:eastAsia="Times New Roman"/>
        </w:rPr>
        <w:t xml:space="preserve"> </w:t>
      </w:r>
      <w:r w:rsidR="0099629C" w:rsidRPr="00837161">
        <w:rPr>
          <w:lang w:eastAsia="en-ZA"/>
        </w:rPr>
        <w:fldChar w:fldCharType="begin"/>
      </w:r>
      <w:r w:rsidR="00E25D54">
        <w:instrText xml:space="preserve"> ADDIN ZOTERO_ITEM CSL_CITATION {"citationID":"W1m5dJfr","properties":{"formattedCitation":"(Heikkil\\uc0\\u228{}, 2011)","plainCitation":"(Heikkilä, 2011)","noteIndex":0},"citationItems":[{"id":24361,"uris":["http://zotero.org/groups/2352922/items/HLWP9GPR"],"itemData":{"id":24361,"type":"article-journal","abstract":"Society's resources are scarce, and biosecurity actions need to be targeted and prioritised. Various models have been developed that prioritise and rank pests and diseases according to the risks they represent. A prioritisation model allows utilisation of scientific, ecological and economic information in decision-making related to biological hazards. This study discusses such models and the properties associated with them based on a review of 78 prioritisation studies. The scope of the models includes all aspects of biosecurity (human, animal and plant diseases, and invasive alien species), but with an emphasis on plant health. The geographical locations of the studies are primarily North America, Europe, Australia and New Zealand. Half of the studies were conducted during the past five years. The review finds that there generally seems to be several prioritisation models, especially in the case of invasive plants, but only a select few models are used extensively. Impacts are often accounted for in the model, but the extent and economic sophistication of their inclusion varies. Treatment of uncertainty and feasibility of control was lacking from many studies. © Agricultural and Food Science.","container-title":"Agricultural and Food Science","DOI":"10.2137/145960611795163088","issue":"1","page":"15-28","title":"A review of risk prioritisation schemes of pathogens, pests and weeds: Principles and practices","URL":"https://www.scopus.com/inward/record.uri?eid=2-s2.0-79953137061&amp;doi=10.2137%2f145960611795163088&amp;partnerID=40&amp;md5=7291d5da9d83ed677d863b420375a56d","volume":"20","author":[{"family":"Heikkilä","given":"J."}],"issued":{"date-parts":[["2011"]]}},"label":"page"}],"schema":"https://github.com/citation-style-language/schema/raw/master/csl-citation.json"} </w:instrText>
      </w:r>
      <w:r w:rsidR="0099629C" w:rsidRPr="00837161">
        <w:rPr>
          <w:lang w:eastAsia="en-ZA"/>
        </w:rPr>
        <w:fldChar w:fldCharType="separate"/>
      </w:r>
      <w:r w:rsidR="00271B78" w:rsidRPr="00271B78">
        <w:t>(Heikkilä, 2011)</w:t>
      </w:r>
      <w:r w:rsidR="0099629C" w:rsidRPr="00837161">
        <w:rPr>
          <w:lang w:eastAsia="en-ZA"/>
        </w:rPr>
        <w:fldChar w:fldCharType="end"/>
      </w:r>
      <w:r w:rsidR="001B0409" w:rsidRPr="00837161">
        <w:rPr>
          <w:rFonts w:eastAsia="Times New Roman"/>
        </w:rPr>
        <w:t xml:space="preserve">. </w:t>
      </w:r>
      <w:r w:rsidR="008111A5" w:rsidRPr="00837161">
        <w:rPr>
          <w:lang w:eastAsia="en-AU"/>
        </w:rPr>
        <w:t>Prioritization</w:t>
      </w:r>
      <w:r w:rsidR="001B0409" w:rsidRPr="00837161">
        <w:rPr>
          <w:lang w:eastAsia="en-AU"/>
        </w:rPr>
        <w:t xml:space="preserve"> </w:t>
      </w:r>
      <w:r w:rsidR="007629FD" w:rsidRPr="00837161">
        <w:rPr>
          <w:lang w:eastAsia="en-AU"/>
        </w:rPr>
        <w:t xml:space="preserve">ensures </w:t>
      </w:r>
      <w:r w:rsidR="001B0409" w:rsidRPr="00837161">
        <w:rPr>
          <w:lang w:eastAsia="en-AU"/>
        </w:rPr>
        <w:t>efficient resource allocation, increased transparency in</w:t>
      </w:r>
      <w:r w:rsidR="00A27332" w:rsidRPr="00837161">
        <w:rPr>
          <w:lang w:eastAsia="en-AU"/>
        </w:rPr>
        <w:t xml:space="preserve"> collective</w:t>
      </w:r>
      <w:r w:rsidR="001B0409" w:rsidRPr="00837161">
        <w:rPr>
          <w:lang w:eastAsia="en-AU"/>
        </w:rPr>
        <w:t xml:space="preserve"> decision-making </w:t>
      </w:r>
      <w:r w:rsidR="00A27332" w:rsidRPr="00837161">
        <w:rPr>
          <w:lang w:eastAsia="en-AU"/>
        </w:rPr>
        <w:fldChar w:fldCharType="begin"/>
      </w:r>
      <w:r w:rsidR="000F35EB">
        <w:rPr>
          <w:lang w:eastAsia="en-AU"/>
        </w:rPr>
        <w:instrText xml:space="preserve"> ADDIN ZOTERO_ITEM CSL_CITATION {"citationID":"ShQfWP95","properties":{"formattedCitation":"(Kumschick et al., 2012)","plainCitation":"(Kumschick et al., 2012)","noteIndex":0},"citationItems":[{"id":25001,"uris":["http://zotero.org/groups/2352922/items/NW4PXFQD"],"itemData":{"id":25001,"type":"article-journal","abstract":"The number of invasive alien species is increasing and so are the impacts these species cause to the environment and economies. Nevertheless, resources for management are limited, which makes prioritization unavoidable. We present a prioritization framework which can be useful for decision makers as it includes both a scientific impact assessment and the evaluation of impact importance by affected stakeholders. The framework is divided into five steps, namely 1) stakeholder selection and weighting of stakeholder importance by the decision maker, 2) factual description and scoring of changes by scientists, 3) evaluation of the importance of impact categories by stakeholders, 4) calculation of weighted impact categories and 5) calculation of final impact score and decision making. The framework could be used at different scales and by different authorities. Furthermore, it would make the decision making process transparent and retraceable for all stakeholders and the general public.","container-title":"NeoBiota","DOI":"10.3897/neobiota.15.3323","ISSN":"1314-2488","language":"en","license":"2020Sabrina Kumschick, Sven Bacher, Wayne Dawson, Jaakko Heikkilä, Agniezska Sendek, Therese Pluess, Tammy Robinson, Ingolf Kühn","page":"69-100","source":"neobiota.pensoft.net","title":"A conceptual framework for prioritization of invasive alien species for management according to their impact","URL":"https://neobiota.pensoft.net/article/1233/","volume":"15","author":[{"family":"Kumschick","given":"Sabrina"},{"family":"Bacher","given":"Sven"},{"family":"Dawson","given":"Wayne"},{"family":"Heikkilä","given":"Jaakko"},{"family":"Sendek","given":"Agniezska"},{"family":"Pluess","given":"Therese"},{"family":"Robinson","given":"Tamara B."},{"family":"Kühn","given":"Ingolf"}],"accessed":{"date-parts":[["2020",6,4]]},"issued":{"date-parts":[["2012",12,14]]}},"label":"page"}],"schema":"https://github.com/citation-style-language/schema/raw/master/csl-citation.json"} </w:instrText>
      </w:r>
      <w:r w:rsidR="00A27332" w:rsidRPr="00837161">
        <w:rPr>
          <w:lang w:eastAsia="en-AU"/>
        </w:rPr>
        <w:fldChar w:fldCharType="separate"/>
      </w:r>
      <w:r w:rsidR="00271B78" w:rsidRPr="00271B78">
        <w:t>(Kumschick et al., 2012)</w:t>
      </w:r>
      <w:r w:rsidR="00A27332" w:rsidRPr="00837161">
        <w:rPr>
          <w:lang w:eastAsia="en-AU"/>
        </w:rPr>
        <w:fldChar w:fldCharType="end"/>
      </w:r>
      <w:r w:rsidR="00A27332" w:rsidRPr="00837161">
        <w:rPr>
          <w:lang w:eastAsia="en-AU"/>
        </w:rPr>
        <w:t xml:space="preserve"> </w:t>
      </w:r>
      <w:r w:rsidR="001B0409" w:rsidRPr="00837161">
        <w:rPr>
          <w:lang w:eastAsia="en-AU"/>
        </w:rPr>
        <w:t xml:space="preserve">and quantitative support to decision-making when there are conflicting objectives </w:t>
      </w:r>
      <w:r w:rsidR="002A1407" w:rsidRPr="00837161">
        <w:rPr>
          <w:lang w:eastAsia="en-AU"/>
        </w:rPr>
        <w:t xml:space="preserve">or </w:t>
      </w:r>
      <w:r w:rsidR="003C4ED4" w:rsidRPr="00837161">
        <w:rPr>
          <w:lang w:eastAsia="en-AU"/>
        </w:rPr>
        <w:t>measurable outcomes</w:t>
      </w:r>
      <w:r w:rsidR="001B0409" w:rsidRPr="00837161">
        <w:rPr>
          <w:lang w:eastAsia="en-AU"/>
        </w:rPr>
        <w:t xml:space="preserve"> </w:t>
      </w:r>
      <w:r w:rsidR="001B0409" w:rsidRPr="00837161">
        <w:rPr>
          <w:lang w:eastAsia="en-AU"/>
        </w:rPr>
        <w:fldChar w:fldCharType="begin"/>
      </w:r>
      <w:r w:rsidR="00E25D54">
        <w:rPr>
          <w:lang w:eastAsia="en-AU"/>
        </w:rPr>
        <w:instrText xml:space="preserve"> ADDIN ZOTERO_ITEM CSL_CITATION {"citationID":"HKeQInCE","properties":{"formattedCitation":"(Heikkil\\uc0\\u228{}, 2011)","plainCitation":"(Heikkilä, 2011)","noteIndex":0},"citationItems":[{"id":24361,"uris":["http://zotero.org/groups/2352922/items/HLWP9GPR"],"itemData":{"id":24361,"type":"article-journal","abstract":"Society's resources are scarce, and biosecurity actions need to be targeted and prioritised. Various models have been developed that prioritise and rank pests and diseases according to the risks they represent. A prioritisation model allows utilisation of scientific, ecological and economic information in decision-making related to biological hazards. This study discusses such models and the properties associated with them based on a review of 78 prioritisation studies. The scope of the models includes all aspects of biosecurity (human, animal and plant diseases, and invasive alien species), but with an emphasis on plant health. The geographical locations of the studies are primarily North America, Europe, Australia and New Zealand. Half of the studies were conducted during the past five years. The review finds that there generally seems to be several prioritisation models, especially in the case of invasive plants, but only a select few models are used extensively. Impacts are often accounted for in the model, but the extent and economic sophistication of their inclusion varies. Treatment of uncertainty and feasibility of control was lacking from many studies. © Agricultural and Food Science.","container-title":"Agricultural and Food Science","DOI":"10.2137/145960611795163088","issue":"1","page":"15-28","title":"A review of risk prioritisation schemes of pathogens, pests and weeds: Principles and practices","URL":"https://www.scopus.com/inward/record.uri?eid=2-s2.0-79953137061&amp;doi=10.2137%2f145960611795163088&amp;partnerID=40&amp;md5=7291d5da9d83ed677d863b420375a56d","volume":"20","author":[{"family":"Heikkilä","given":"J."}],"issued":{"date-parts":[["2011"]]}},"label":"page"}],"schema":"https://github.com/citation-style-language/schema/raw/master/csl-citation.json"} </w:instrText>
      </w:r>
      <w:r w:rsidR="001B0409" w:rsidRPr="00837161">
        <w:rPr>
          <w:lang w:eastAsia="en-AU"/>
        </w:rPr>
        <w:fldChar w:fldCharType="separate"/>
      </w:r>
      <w:r w:rsidR="00271B78" w:rsidRPr="00271B78">
        <w:t>(Heikkilä, 2011)</w:t>
      </w:r>
      <w:r w:rsidR="001B0409" w:rsidRPr="00837161">
        <w:rPr>
          <w:lang w:eastAsia="en-AU"/>
        </w:rPr>
        <w:fldChar w:fldCharType="end"/>
      </w:r>
      <w:r w:rsidR="00A27332" w:rsidRPr="00837161">
        <w:rPr>
          <w:lang w:eastAsia="en-AU"/>
        </w:rPr>
        <w:t>.</w:t>
      </w:r>
      <w:r w:rsidR="001B0409" w:rsidRPr="00837161">
        <w:rPr>
          <w:lang w:eastAsia="en-AU"/>
        </w:rPr>
        <w:t xml:space="preserve"> </w:t>
      </w:r>
      <w:r w:rsidR="00C0338D">
        <w:t xml:space="preserve">Prioritization for management of biological invasions </w:t>
      </w:r>
      <w:r w:rsidR="000A4F80" w:rsidRPr="00837161">
        <w:rPr>
          <w:lang w:eastAsia="en-AU"/>
        </w:rPr>
        <w:t xml:space="preserve">is </w:t>
      </w:r>
      <w:r w:rsidR="001B0409" w:rsidRPr="00837161">
        <w:rPr>
          <w:lang w:eastAsia="en-AU"/>
        </w:rPr>
        <w:t xml:space="preserve">generally undertaken by public organizations, </w:t>
      </w:r>
      <w:r w:rsidR="00710CF3" w:rsidRPr="00837161">
        <w:rPr>
          <w:lang w:eastAsia="en-AU"/>
        </w:rPr>
        <w:t xml:space="preserve">where scientific evidence may only </w:t>
      </w:r>
      <w:r w:rsidR="002D491C" w:rsidRPr="00837161">
        <w:rPr>
          <w:lang w:eastAsia="en-AU"/>
        </w:rPr>
        <w:t xml:space="preserve">be </w:t>
      </w:r>
      <w:r w:rsidR="00710CF3" w:rsidRPr="00837161">
        <w:rPr>
          <w:lang w:eastAsia="en-AU"/>
        </w:rPr>
        <w:t>part of the decision</w:t>
      </w:r>
      <w:r w:rsidR="00594F41" w:rsidRPr="00837161">
        <w:rPr>
          <w:lang w:eastAsia="en-AU"/>
        </w:rPr>
        <w:t>-</w:t>
      </w:r>
      <w:r w:rsidR="00710CF3" w:rsidRPr="00837161">
        <w:rPr>
          <w:lang w:eastAsia="en-AU"/>
        </w:rPr>
        <w:t>making</w:t>
      </w:r>
      <w:r w:rsidR="002D491C" w:rsidRPr="00837161">
        <w:rPr>
          <w:lang w:eastAsia="en-AU"/>
        </w:rPr>
        <w:t xml:space="preserve"> process</w:t>
      </w:r>
      <w:r w:rsidR="00E73AD0" w:rsidRPr="00837161">
        <w:rPr>
          <w:lang w:eastAsia="en-AU"/>
        </w:rPr>
        <w:t xml:space="preserve">. </w:t>
      </w:r>
      <w:r w:rsidR="001B0409" w:rsidRPr="00837161">
        <w:rPr>
          <w:lang w:eastAsia="en-AU"/>
        </w:rPr>
        <w:t xml:space="preserve">Lobbying, public opinion and politics also influence </w:t>
      </w:r>
      <w:r w:rsidR="00E73AD0" w:rsidRPr="00837161">
        <w:rPr>
          <w:lang w:eastAsia="en-AU"/>
        </w:rPr>
        <w:t xml:space="preserve">prioritized </w:t>
      </w:r>
      <w:r w:rsidR="001B0409" w:rsidRPr="00837161">
        <w:rPr>
          <w:lang w:eastAsia="en-AU"/>
        </w:rPr>
        <w:t>decision-making</w:t>
      </w:r>
      <w:r w:rsidR="00595920" w:rsidRPr="00837161">
        <w:rPr>
          <w:lang w:eastAsia="en-AU"/>
        </w:rPr>
        <w:t xml:space="preserve"> </w:t>
      </w:r>
      <w:r w:rsidR="00C31B37" w:rsidRPr="00837161">
        <w:rPr>
          <w:lang w:eastAsia="en-AU"/>
        </w:rPr>
        <w:t>around</w:t>
      </w:r>
      <w:r w:rsidR="001B0409" w:rsidRPr="00837161">
        <w:rPr>
          <w:lang w:eastAsia="en-AU"/>
        </w:rPr>
        <w:t xml:space="preserve"> ranking </w:t>
      </w:r>
      <w:r w:rsidR="00586E98" w:rsidRPr="00837161">
        <w:rPr>
          <w:lang w:eastAsia="en-AU"/>
        </w:rPr>
        <w:t>invasive alien species</w:t>
      </w:r>
      <w:r w:rsidR="00C31B37" w:rsidRPr="00837161">
        <w:rPr>
          <w:lang w:eastAsia="en-AU"/>
        </w:rPr>
        <w:t xml:space="preserve"> for management</w:t>
      </w:r>
      <w:r w:rsidR="001B0409" w:rsidRPr="00837161">
        <w:rPr>
          <w:lang w:eastAsia="en-AU"/>
        </w:rPr>
        <w:t>.</w:t>
      </w:r>
      <w:r w:rsidR="00224EC7" w:rsidRPr="00837161">
        <w:rPr>
          <w:lang w:eastAsia="en-AU"/>
        </w:rPr>
        <w:t xml:space="preserve"> </w:t>
      </w:r>
      <w:r w:rsidR="001B0409" w:rsidRPr="00837161">
        <w:rPr>
          <w:lang w:eastAsia="en-AU"/>
        </w:rPr>
        <w:t xml:space="preserve">Aichi </w:t>
      </w:r>
      <w:r w:rsidR="00504310" w:rsidRPr="00837161">
        <w:rPr>
          <w:lang w:eastAsia="en-AU"/>
        </w:rPr>
        <w:t>T</w:t>
      </w:r>
      <w:r w:rsidR="001B0409" w:rsidRPr="00837161">
        <w:rPr>
          <w:lang w:eastAsia="en-AU"/>
        </w:rPr>
        <w:t xml:space="preserve">arget 9 </w:t>
      </w:r>
      <w:r w:rsidR="00504310" w:rsidRPr="00837161">
        <w:rPr>
          <w:lang w:eastAsia="en-AU"/>
        </w:rPr>
        <w:t xml:space="preserve">of the Strategic Plan for Biodiversity 2011-2020 </w:t>
      </w:r>
      <w:r w:rsidR="00E16300" w:rsidRPr="00837161">
        <w:rPr>
          <w:lang w:eastAsia="en-AU"/>
        </w:rPr>
        <w:t>included</w:t>
      </w:r>
      <w:r w:rsidR="00D54440" w:rsidRPr="00837161">
        <w:rPr>
          <w:lang w:eastAsia="en-AU"/>
        </w:rPr>
        <w:t xml:space="preserve"> </w:t>
      </w:r>
      <w:r w:rsidR="00460777" w:rsidRPr="00837161">
        <w:rPr>
          <w:lang w:eastAsia="en-AU"/>
        </w:rPr>
        <w:t xml:space="preserve">prioritization of </w:t>
      </w:r>
      <w:r w:rsidR="001B0409" w:rsidRPr="00837161">
        <w:rPr>
          <w:lang w:eastAsia="en-AU"/>
        </w:rPr>
        <w:t xml:space="preserve">pathways </w:t>
      </w:r>
      <w:r w:rsidR="00E16300" w:rsidRPr="00837161">
        <w:rPr>
          <w:lang w:eastAsia="en-AU"/>
        </w:rPr>
        <w:t xml:space="preserve">and </w:t>
      </w:r>
      <w:r w:rsidR="006A1208" w:rsidRPr="00837161">
        <w:rPr>
          <w:lang w:eastAsia="en-AU"/>
        </w:rPr>
        <w:t>invasive alien species</w:t>
      </w:r>
      <w:r w:rsidR="006A1208" w:rsidRPr="00837161">
        <w:rPr>
          <w:lang w:eastAsia="en-ZA"/>
        </w:rPr>
        <w:t xml:space="preserve"> </w:t>
      </w:r>
      <w:r w:rsidR="001B0409" w:rsidRPr="00837161">
        <w:fldChar w:fldCharType="begin"/>
      </w:r>
      <w:r w:rsidR="000F35EB">
        <w:instrText xml:space="preserve"> ADDIN ZOTERO_ITEM CSL_CITATION {"citationID":"iLM2R4TX","properties":{"formattedCitation":"(UNEP, 2011)","plainCitation":"(UNEP, 2011)","noteIndex":0},"citationItems":[{"id":21988,"uris":["http://zotero.org/groups/2352922/items/Y9JVTZRR"],"itemData":{"id":21988,"type":"document","publisher":"UNEP/CBD/COP/DEC/X/2 29 October 2010, Nagoya, Japan. COP CBD Tenth Meeting","title":"The strategic plan for biodiversity 2011–2020 and the Aichi biodiversity targets","URL":"www.cbd.int/decisions/cop/?m=cop-10","author":[{"literal":"UNEP"}],"issued":{"date-parts":[["2011"]]}},"label":"page"}],"schema":"https://github.com/citation-style-language/schema/raw/master/csl-citation.json"} </w:instrText>
      </w:r>
      <w:r w:rsidR="001B0409" w:rsidRPr="00837161">
        <w:fldChar w:fldCharType="separate"/>
      </w:r>
      <w:r w:rsidR="00271B78" w:rsidRPr="00271B78">
        <w:t>(UNEP, 2011)</w:t>
      </w:r>
      <w:r w:rsidR="001B0409" w:rsidRPr="00837161">
        <w:fldChar w:fldCharType="end"/>
      </w:r>
      <w:r w:rsidR="00B64B4B" w:rsidRPr="00837161">
        <w:t xml:space="preserve">, however </w:t>
      </w:r>
      <w:r w:rsidR="001B0409" w:rsidRPr="00837161">
        <w:t>McGeoch</w:t>
      </w:r>
      <w:r w:rsidR="00811F7A">
        <w:t>, Genovesi,</w:t>
      </w:r>
      <w:r w:rsidR="001B0409" w:rsidRPr="00837161">
        <w:t xml:space="preserve"> et al. </w:t>
      </w:r>
      <w:r w:rsidR="001B0409" w:rsidRPr="00837161">
        <w:fldChar w:fldCharType="begin"/>
      </w:r>
      <w:r w:rsidR="00115E42">
        <w:instrText xml:space="preserve"> ADDIN ZOTERO_ITEM CSL_CITATION {"citationID":"cYrm0k8m","properties":{"formattedCitation":"(McGeoch, Genovesi, et al., 2016)","plainCitation":"(McGeoch, Genovesi, et al., 2016)","dontUpdate":true,"noteIndex":0},"citationItems":[{"id":26532,"uris":["http://zotero.org/groups/2352922/items/SK35934W"],"itemData":{"id":26532,"type":"article-journal","abstract":"Prioritization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J."},{"family":"McGrannachan","given":"C."},{"family":"Sheppard","given":"A."}],"issued":{"date-parts":[["2016",2]]}},"label":"page"}],"schema":"https://github.com/citation-style-language/schema/raw/master/csl-citation.json"} </w:instrText>
      </w:r>
      <w:r w:rsidR="001B0409" w:rsidRPr="00837161">
        <w:fldChar w:fldCharType="separate"/>
      </w:r>
      <w:r w:rsidR="00271B78" w:rsidRPr="00271B78">
        <w:t>(2016)</w:t>
      </w:r>
      <w:r w:rsidR="001B0409" w:rsidRPr="00837161">
        <w:fldChar w:fldCharType="end"/>
      </w:r>
      <w:r w:rsidR="001B0409" w:rsidRPr="00837161">
        <w:t xml:space="preserve"> argued </w:t>
      </w:r>
      <w:r w:rsidR="001B0409" w:rsidRPr="00837161">
        <w:rPr>
          <w:lang w:eastAsia="en-ZA"/>
        </w:rPr>
        <w:t xml:space="preserve">that any comprehensive and strategic approach to priority setting </w:t>
      </w:r>
      <w:r w:rsidR="0055471C" w:rsidRPr="00837161">
        <w:rPr>
          <w:lang w:eastAsia="en-ZA"/>
        </w:rPr>
        <w:t xml:space="preserve">should </w:t>
      </w:r>
      <w:r w:rsidR="001B0409" w:rsidRPr="00837161">
        <w:rPr>
          <w:lang w:eastAsia="en-ZA"/>
        </w:rPr>
        <w:t xml:space="preserve">include </w:t>
      </w:r>
      <w:r w:rsidR="0055471C" w:rsidRPr="00837161">
        <w:t xml:space="preserve">prioritization of </w:t>
      </w:r>
      <w:r w:rsidR="001B0409" w:rsidRPr="00837161">
        <w:t>pathways, species and sites</w:t>
      </w:r>
      <w:r w:rsidR="00A22754" w:rsidRPr="00837161">
        <w:t xml:space="preserve">. </w:t>
      </w:r>
      <w:r w:rsidR="000C61C6" w:rsidRPr="00837161">
        <w:t>Prioritization</w:t>
      </w:r>
      <w:r w:rsidR="00CD52E6" w:rsidRPr="00837161">
        <w:t xml:space="preserve"> can support </w:t>
      </w:r>
      <w:r w:rsidR="00CD52E6" w:rsidRPr="00837161">
        <w:rPr>
          <w:lang w:eastAsia="en-ZA"/>
        </w:rPr>
        <w:t xml:space="preserve">prevention and preparedness along the invasion curve </w:t>
      </w:r>
      <w:r w:rsidR="00974382" w:rsidRPr="00837161">
        <w:rPr>
          <w:lang w:eastAsia="en-ZA"/>
        </w:rPr>
        <w:t xml:space="preserve">by ranking the </w:t>
      </w:r>
      <w:r w:rsidR="008F0857" w:rsidRPr="00837161">
        <w:rPr>
          <w:lang w:eastAsia="en-ZA"/>
        </w:rPr>
        <w:t>high-risk introduction pathways</w:t>
      </w:r>
      <w:r w:rsidR="008F0857" w:rsidRPr="00837161">
        <w:t xml:space="preserve"> </w:t>
      </w:r>
      <w:r w:rsidR="0076314A" w:rsidRPr="00837161">
        <w:t>for particular invasive alien species</w:t>
      </w:r>
      <w:r w:rsidR="0076314A" w:rsidRPr="00837161">
        <w:rPr>
          <w:lang w:eastAsia="en-ZA"/>
        </w:rPr>
        <w:t xml:space="preserve"> </w:t>
      </w:r>
      <w:r w:rsidR="00974382" w:rsidRPr="00837161">
        <w:rPr>
          <w:lang w:eastAsia="en-ZA"/>
        </w:rPr>
        <w:t xml:space="preserve">through to </w:t>
      </w:r>
      <w:r w:rsidR="005612CC" w:rsidRPr="00837161">
        <w:rPr>
          <w:lang w:eastAsia="en-ZA"/>
        </w:rPr>
        <w:t xml:space="preserve">determining </w:t>
      </w:r>
      <w:r w:rsidR="0076314A" w:rsidRPr="00837161">
        <w:rPr>
          <w:lang w:eastAsia="en-ZA"/>
        </w:rPr>
        <w:t xml:space="preserve">which </w:t>
      </w:r>
      <w:r w:rsidR="00974382" w:rsidRPr="00837161">
        <w:rPr>
          <w:lang w:eastAsia="en-ZA"/>
        </w:rPr>
        <w:t>sites</w:t>
      </w:r>
      <w:r w:rsidR="0014059A" w:rsidRPr="00837161">
        <w:rPr>
          <w:lang w:eastAsia="en-ZA"/>
        </w:rPr>
        <w:t xml:space="preserve"> are at greatest</w:t>
      </w:r>
      <w:r w:rsidR="0076314A" w:rsidRPr="00837161">
        <w:rPr>
          <w:lang w:eastAsia="en-ZA"/>
        </w:rPr>
        <w:t xml:space="preserve"> risk of invasion </w:t>
      </w:r>
      <w:r w:rsidR="00291FC1" w:rsidRPr="00837161">
        <w:rPr>
          <w:lang w:eastAsia="en-ZA"/>
        </w:rPr>
        <w:t>to help optimi</w:t>
      </w:r>
      <w:r w:rsidR="001570BA" w:rsidRPr="00837161">
        <w:rPr>
          <w:lang w:eastAsia="en-ZA"/>
        </w:rPr>
        <w:t>z</w:t>
      </w:r>
      <w:r w:rsidR="00291FC1" w:rsidRPr="00837161">
        <w:rPr>
          <w:lang w:eastAsia="en-ZA"/>
        </w:rPr>
        <w:t xml:space="preserve">e surveillance. </w:t>
      </w:r>
      <w:r w:rsidR="008111A5" w:rsidRPr="00837161">
        <w:rPr>
          <w:lang w:eastAsia="en-ZA"/>
        </w:rPr>
        <w:t>Prioritization</w:t>
      </w:r>
      <w:r w:rsidR="00C7583E" w:rsidRPr="00837161">
        <w:rPr>
          <w:lang w:eastAsia="en-ZA"/>
        </w:rPr>
        <w:t xml:space="preserve"> can also </w:t>
      </w:r>
      <w:r w:rsidR="00556145" w:rsidRPr="00837161">
        <w:rPr>
          <w:lang w:eastAsia="en-ZA"/>
        </w:rPr>
        <w:t>help site selection for</w:t>
      </w:r>
      <w:r w:rsidR="004E270D" w:rsidRPr="00837161">
        <w:rPr>
          <w:lang w:eastAsia="en-ZA"/>
        </w:rPr>
        <w:t xml:space="preserve"> containment and </w:t>
      </w:r>
      <w:r w:rsidR="00556145" w:rsidRPr="00837161">
        <w:rPr>
          <w:lang w:eastAsia="en-ZA"/>
        </w:rPr>
        <w:t>management of established widespread invasive alien species</w:t>
      </w:r>
      <w:r w:rsidR="00C7583E" w:rsidRPr="00837161">
        <w:rPr>
          <w:lang w:eastAsia="en-ZA"/>
        </w:rPr>
        <w:t>.</w:t>
      </w:r>
      <w:r w:rsidR="004E270D" w:rsidRPr="00837161">
        <w:rPr>
          <w:lang w:eastAsia="en-AU"/>
        </w:rPr>
        <w:t xml:space="preserve"> </w:t>
      </w:r>
    </w:p>
    <w:p w14:paraId="56C4CAB7" w14:textId="71C5C0D0" w:rsidR="001B0409" w:rsidRPr="00837161" w:rsidRDefault="004E270D" w:rsidP="00C11DFA">
      <w:pPr>
        <w:spacing w:before="240" w:after="120" w:line="240" w:lineRule="auto"/>
        <w:rPr>
          <w:lang w:eastAsia="en-ZA"/>
        </w:rPr>
      </w:pPr>
      <w:r w:rsidRPr="00837161">
        <w:rPr>
          <w:lang w:eastAsia="en-AU"/>
        </w:rPr>
        <w:t xml:space="preserve">Spatially explicit </w:t>
      </w:r>
      <w:r w:rsidR="008111A5" w:rsidRPr="00837161">
        <w:rPr>
          <w:lang w:eastAsia="en-AU"/>
        </w:rPr>
        <w:t>prioritization</w:t>
      </w:r>
      <w:r w:rsidRPr="00837161">
        <w:rPr>
          <w:lang w:eastAsia="en-AU"/>
        </w:rPr>
        <w:t xml:space="preserve"> for the establishment of management strateg</w:t>
      </w:r>
      <w:r w:rsidR="00811F7A">
        <w:rPr>
          <w:lang w:eastAsia="en-AU"/>
        </w:rPr>
        <w:t>ies</w:t>
      </w:r>
      <w:r w:rsidRPr="00837161">
        <w:rPr>
          <w:lang w:eastAsia="en-AU"/>
        </w:rPr>
        <w:t xml:space="preserve"> ha</w:t>
      </w:r>
      <w:r w:rsidR="00811F7A">
        <w:rPr>
          <w:lang w:eastAsia="en-AU"/>
        </w:rPr>
        <w:t>s</w:t>
      </w:r>
      <w:r w:rsidRPr="00837161">
        <w:rPr>
          <w:lang w:eastAsia="en-AU"/>
        </w:rPr>
        <w:t xml:space="preserve"> also been proposed for example by </w:t>
      </w:r>
      <w:r w:rsidR="00321145" w:rsidRPr="00837161">
        <w:rPr>
          <w:lang w:eastAsia="en-AU"/>
        </w:rPr>
        <w:t xml:space="preserve">Januchowski-Hartley et al. </w:t>
      </w:r>
      <w:r w:rsidRPr="00837161">
        <w:rPr>
          <w:lang w:eastAsia="en-AU"/>
        </w:rPr>
        <w:fldChar w:fldCharType="begin"/>
      </w:r>
      <w:r w:rsidR="00E25D54">
        <w:rPr>
          <w:lang w:eastAsia="en-AU"/>
        </w:rPr>
        <w:instrText xml:space="preserve"> ADDIN ZOTERO_ITEM CSL_CITATION {"citationID":"IFrPJ8Qh","properties":{"formattedCitation":"(2011)","plainCitation":"(2011)","noteIndex":0},"citationItems":[{"id":22775,"uris":["http://zotero.org/groups/2352922/items/5BYATR2Z"],"itemData":{"id":22775,"type":"article-journal","abstract":"The successful management and eradication of invasive species is often constrained by insufficient or inconsistent funding. Consequently, managers are usually forced to select a subset of infested areas to manage. Further, managers may be unaware of the most effective methods for identifying priority areas and so are unable to maximize the effectiveness of their limited resources. To address these issues, we present a spatially explicit decision method that can be used to identify actions to manage invasive species while minimizing costs and the likelihood of reinvasion. We apply the method to a real-world management scenario, aimed at managing an invasive aquatic macrophyte, olive hymenachne (Hymenachne amplexicaulis), which is one of the most threatening invasives in tropical Australia, affecting water quality, freshwater biodiversity, and fisheries. © 2011 Springer Science+Business Media B.V.","container-title":"Biological Invasions","DOI":"10.1007/s10530-011-9960-7","issue":"5","page":"1241-1253","title":"A systematic approach for prioritizing multiple management actions for invasive species","URL":"https://www.scopus.com/inward/record.uri?eid=2-s2.0-79954988946&amp;doi=10.1007%2fs10530-011-9960-7&amp;partnerID=40&amp;md5=9d69f211fd21d78b10cf8421f8428d3a","volume":"13","author":[{"family":"Januchowski-Hartley","given":"S.R."},{"family":"Visconti","given":"P."},{"family":"Pressey","given":"R.L."}],"issued":{"date-parts":[["2011"]]}},"label":"page","suppress-author":true}],"schema":"https://github.com/citation-style-language/schema/raw/master/csl-citation.json"} </w:instrText>
      </w:r>
      <w:r w:rsidRPr="00837161">
        <w:rPr>
          <w:lang w:eastAsia="en-AU"/>
        </w:rPr>
        <w:fldChar w:fldCharType="separate"/>
      </w:r>
      <w:r w:rsidR="00271B78" w:rsidRPr="00271B78">
        <w:t>(2011)</w:t>
      </w:r>
      <w:r w:rsidRPr="00837161">
        <w:rPr>
          <w:lang w:eastAsia="en-AU"/>
        </w:rPr>
        <w:fldChar w:fldCharType="end"/>
      </w:r>
      <w:r w:rsidRPr="00837161">
        <w:rPr>
          <w:lang w:eastAsia="en-AU"/>
        </w:rPr>
        <w:t xml:space="preserve"> aiming</w:t>
      </w:r>
      <w:r w:rsidR="00C76AC7" w:rsidRPr="00837161">
        <w:rPr>
          <w:lang w:eastAsia="en-AU"/>
        </w:rPr>
        <w:t xml:space="preserve"> </w:t>
      </w:r>
      <w:r w:rsidRPr="00837161">
        <w:rPr>
          <w:lang w:eastAsia="en-AU"/>
        </w:rPr>
        <w:t xml:space="preserve">at minimizing costs and the likelihood of reinvasion using the invasive tropical macrophyte </w:t>
      </w:r>
      <w:r w:rsidRPr="00837161">
        <w:rPr>
          <w:i/>
          <w:iCs/>
          <w:lang w:eastAsia="en-AU"/>
        </w:rPr>
        <w:t>Hymenachne amplexicaulis</w:t>
      </w:r>
      <w:r w:rsidR="00650924" w:rsidRPr="00837161">
        <w:rPr>
          <w:lang w:eastAsia="en-AU"/>
        </w:rPr>
        <w:t xml:space="preserve"> (</w:t>
      </w:r>
      <w:r w:rsidRPr="00837161">
        <w:rPr>
          <w:lang w:eastAsia="en-AU"/>
        </w:rPr>
        <w:t>hymenachne</w:t>
      </w:r>
      <w:r w:rsidR="00650924" w:rsidRPr="00837161">
        <w:rPr>
          <w:lang w:eastAsia="en-AU"/>
        </w:rPr>
        <w:t>)</w:t>
      </w:r>
      <w:r w:rsidRPr="00837161">
        <w:rPr>
          <w:lang w:eastAsia="en-AU"/>
        </w:rPr>
        <w:t xml:space="preserve"> affecting freshwater water quality, biodiversity</w:t>
      </w:r>
      <w:r w:rsidR="00C16EEB">
        <w:rPr>
          <w:lang w:eastAsia="en-AU"/>
        </w:rPr>
        <w:t xml:space="preserve"> and</w:t>
      </w:r>
      <w:r w:rsidRPr="00837161">
        <w:rPr>
          <w:lang w:eastAsia="en-AU"/>
        </w:rPr>
        <w:t xml:space="preserve"> fisheries as a case study. </w:t>
      </w:r>
    </w:p>
    <w:p w14:paraId="56A1BB5A" w14:textId="0111467F" w:rsidR="001B0409" w:rsidRPr="00837161" w:rsidRDefault="00C0338D" w:rsidP="002E6E5F">
      <w:pPr>
        <w:keepNext/>
        <w:spacing w:before="240" w:after="120" w:line="240" w:lineRule="auto"/>
        <w:jc w:val="center"/>
        <w:rPr>
          <w:lang w:eastAsia="en-AU"/>
        </w:rPr>
      </w:pPr>
      <w:r>
        <w:rPr>
          <w:noProof/>
        </w:rPr>
        <w:drawing>
          <wp:inline distT="0" distB="0" distL="0" distR="0" wp14:anchorId="0ECA239F" wp14:editId="3CCEC657">
            <wp:extent cx="6115050" cy="4695190"/>
            <wp:effectExtent l="0" t="0" r="6350" b="3810"/>
            <wp:docPr id="1971555464" name="image4.png" descr="A diagram of different types of pathway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diagram of different types of pathways&#10;&#10;Description automatically generated"/>
                    <pic:cNvPicPr preferRelativeResize="0"/>
                  </pic:nvPicPr>
                  <pic:blipFill>
                    <a:blip r:embed="rId31"/>
                    <a:srcRect/>
                    <a:stretch>
                      <a:fillRect/>
                    </a:stretch>
                  </pic:blipFill>
                  <pic:spPr>
                    <a:xfrm>
                      <a:off x="0" y="0"/>
                      <a:ext cx="6115050" cy="4695190"/>
                    </a:xfrm>
                    <a:prstGeom prst="rect">
                      <a:avLst/>
                    </a:prstGeom>
                    <a:ln/>
                  </pic:spPr>
                </pic:pic>
              </a:graphicData>
            </a:graphic>
          </wp:inline>
        </w:drawing>
      </w:r>
    </w:p>
    <w:p w14:paraId="00000162" w14:textId="3C25A024" w:rsidR="00A758FD" w:rsidRPr="00AC1F76" w:rsidRDefault="00874FB8" w:rsidP="00AC1F76">
      <w:pPr>
        <w:keepNext/>
        <w:pBdr>
          <w:top w:val="nil"/>
          <w:left w:val="nil"/>
          <w:bottom w:val="nil"/>
          <w:right w:val="nil"/>
          <w:between w:val="nil"/>
        </w:pBdr>
        <w:spacing w:before="240" w:after="120" w:line="240" w:lineRule="auto"/>
        <w:rPr>
          <w:color w:val="000000"/>
        </w:rPr>
      </w:pPr>
      <w:bookmarkStart w:id="127" w:name="_Ref104970627"/>
      <w:bookmarkStart w:id="128" w:name="_Toc87623102"/>
      <w:bookmarkStart w:id="129" w:name="_Toc147489359"/>
      <w:r w:rsidRPr="00C0338D">
        <w:rPr>
          <w:b/>
          <w:bCs/>
        </w:rPr>
        <w:t>Figure 5.</w:t>
      </w:r>
      <w:r w:rsidRPr="00C0338D">
        <w:rPr>
          <w:b/>
          <w:bCs/>
        </w:rPr>
        <w:fldChar w:fldCharType="begin"/>
      </w:r>
      <w:r w:rsidRPr="00C0338D">
        <w:rPr>
          <w:b/>
          <w:bCs/>
        </w:rPr>
        <w:instrText>SEQ Figure_5. \* ARABIC</w:instrText>
      </w:r>
      <w:r w:rsidRPr="00C0338D">
        <w:rPr>
          <w:b/>
          <w:bCs/>
        </w:rPr>
        <w:fldChar w:fldCharType="separate"/>
      </w:r>
      <w:r w:rsidR="00DC77F8" w:rsidRPr="00C0338D">
        <w:rPr>
          <w:b/>
          <w:bCs/>
          <w:noProof/>
        </w:rPr>
        <w:t>6</w:t>
      </w:r>
      <w:r w:rsidRPr="00C0338D">
        <w:rPr>
          <w:b/>
          <w:bCs/>
        </w:rPr>
        <w:fldChar w:fldCharType="end"/>
      </w:r>
      <w:bookmarkEnd w:id="127"/>
      <w:r w:rsidR="0040108E" w:rsidRPr="00C0338D">
        <w:rPr>
          <w:b/>
          <w:bCs/>
        </w:rPr>
        <w:t>.</w:t>
      </w:r>
      <w:r w:rsidR="001B0409" w:rsidRPr="00837161">
        <w:t xml:space="preserve"> </w:t>
      </w:r>
      <w:r w:rsidR="00564A89">
        <w:t>Pathways, species and sites:</w:t>
      </w:r>
      <w:r w:rsidR="00564A89" w:rsidRPr="00837161">
        <w:t xml:space="preserve"> </w:t>
      </w:r>
      <w:r w:rsidR="00564A89">
        <w:t>t</w:t>
      </w:r>
      <w:r w:rsidR="001B0409" w:rsidRPr="00837161">
        <w:t xml:space="preserve">hree </w:t>
      </w:r>
      <w:r w:rsidR="00564A89">
        <w:t>foci for a comprehensive</w:t>
      </w:r>
      <w:r w:rsidR="00564A89" w:rsidRPr="00837161">
        <w:t xml:space="preserve"> </w:t>
      </w:r>
      <w:r w:rsidR="001B0409" w:rsidRPr="00837161">
        <w:t>approach to prioritization</w:t>
      </w:r>
      <w:r w:rsidR="1379B5D6" w:rsidRPr="00837161">
        <w:t xml:space="preserve"> of management actions</w:t>
      </w:r>
      <w:r w:rsidR="1A979021" w:rsidRPr="00837161">
        <w:t xml:space="preserve"> in biological invasions</w:t>
      </w:r>
      <w:r w:rsidR="00564A89">
        <w:t>.</w:t>
      </w:r>
      <w:bookmarkEnd w:id="128"/>
      <w:r w:rsidR="001B0409" w:rsidRPr="00837161">
        <w:t xml:space="preserve"> </w:t>
      </w:r>
      <w:r w:rsidR="00805BB7" w:rsidRPr="00837161">
        <w:t>Th</w:t>
      </w:r>
      <w:r w:rsidR="00564A89">
        <w:t>is</w:t>
      </w:r>
      <w:r w:rsidR="00805BB7" w:rsidRPr="00837161">
        <w:t xml:space="preserve"> approach follow</w:t>
      </w:r>
      <w:r w:rsidR="00564A89">
        <w:t>s</w:t>
      </w:r>
      <w:r w:rsidR="00805BB7" w:rsidRPr="00837161">
        <w:t xml:space="preserve"> McGeoch et al. </w:t>
      </w:r>
      <w:r w:rsidR="00805BB7" w:rsidRPr="00837161">
        <w:rPr>
          <w:b/>
          <w:bCs/>
        </w:rPr>
        <w:fldChar w:fldCharType="begin"/>
      </w:r>
      <w:r w:rsidR="000F35EB">
        <w:instrText xml:space="preserve"> ADDIN ZOTERO_ITEM CSL_CITATION {"citationID":"osDBJxfE","properties":{"formattedCitation":"(2016)","plainCitation":"(2016)","noteIndex":0},"citationItems":[{"id":26532,"uris":["http://zotero.org/groups/2352922/items/SK35934W"],"itemData":{"id":26532,"type":"article-journal","abstract":"Prioritization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J."},{"family":"McGrannachan","given":"C."},{"family":"Sheppard","given":"A."}],"issued":{"date-parts":[["2016",2]]}},"label":"page","suppress-author":true}],"schema":"https://github.com/citation-style-language/schema/raw/master/csl-citation.json"} </w:instrText>
      </w:r>
      <w:r w:rsidR="00805BB7" w:rsidRPr="00837161">
        <w:rPr>
          <w:b/>
          <w:bCs/>
        </w:rPr>
        <w:fldChar w:fldCharType="separate"/>
      </w:r>
      <w:r w:rsidR="00271B78" w:rsidRPr="00271B78">
        <w:t>(2016)</w:t>
      </w:r>
      <w:r w:rsidR="00805BB7" w:rsidRPr="00837161">
        <w:rPr>
          <w:b/>
          <w:bCs/>
        </w:rPr>
        <w:fldChar w:fldCharType="end"/>
      </w:r>
      <w:r w:rsidR="00C96F97" w:rsidRPr="00837161">
        <w:t>.</w:t>
      </w:r>
      <w:bookmarkStart w:id="130" w:name="_heading=h.4f1mdlm" w:colFirst="0" w:colLast="0"/>
      <w:bookmarkEnd w:id="130"/>
      <w:r w:rsidR="00C81287" w:rsidRPr="00AC1F76">
        <w:rPr>
          <w:color w:val="000000"/>
        </w:rPr>
        <w:t xml:space="preserve"> Combining these foci allows to 1. prioritize sites exposed to species introduced through priority </w:t>
      </w:r>
      <w:r w:rsidR="00C81287" w:rsidRPr="00AC1F76">
        <w:rPr>
          <w:color w:val="000000"/>
        </w:rPr>
        <w:lastRenderedPageBreak/>
        <w:t>pathways; 2. prioritize high-risk species introduced through priority pathways; 3. prioritize sites exposed to a set of high-risk species; 4. prioritize sites exposed to a set of high-risk species introduced through priority pathways.</w:t>
      </w:r>
      <w:bookmarkEnd w:id="129"/>
    </w:p>
    <w:p w14:paraId="00000163" w14:textId="314E5C10" w:rsidR="00A758FD" w:rsidRPr="00C0338D" w:rsidRDefault="00C81287">
      <w:pPr>
        <w:spacing w:before="240" w:after="120" w:line="240" w:lineRule="auto"/>
      </w:pPr>
      <w:r w:rsidRPr="00C0338D">
        <w:t xml:space="preserve">Defining overarching management objectives is important before undertaking prioritization-based invasive alien species management decision-making </w:t>
      </w:r>
      <w:r w:rsidR="001B0409" w:rsidRPr="00837161">
        <w:t>(</w:t>
      </w:r>
      <w:r w:rsidR="00191A6E">
        <w:rPr>
          <w:b/>
          <w:bCs/>
          <w:iCs/>
        </w:rPr>
        <w:t>Box 5.10</w:t>
      </w:r>
      <w:r w:rsidRPr="00C0338D">
        <w:rPr>
          <w:i/>
        </w:rPr>
        <w:t xml:space="preserve"> </w:t>
      </w:r>
      <w:r w:rsidRPr="00C0338D">
        <w:t>in</w:t>
      </w:r>
      <w:r w:rsidRPr="00C0338D">
        <w:rPr>
          <w:i/>
        </w:rPr>
        <w:t xml:space="preserve"> </w:t>
      </w:r>
      <w:r w:rsidRPr="00C0338D">
        <w:rPr>
          <w:b/>
        </w:rPr>
        <w:t>section 5.3.3</w:t>
      </w:r>
      <w:r w:rsidRPr="00C0338D">
        <w:t>). Below are some case studies.</w:t>
      </w:r>
    </w:p>
    <w:p w14:paraId="00000164" w14:textId="77777777" w:rsidR="00A758FD" w:rsidRPr="00C0338D" w:rsidRDefault="00C81287" w:rsidP="00AC1F76">
      <w:pPr>
        <w:pStyle w:val="Heading4"/>
        <w:numPr>
          <w:ilvl w:val="0"/>
          <w:numId w:val="86"/>
        </w:numPr>
      </w:pPr>
      <w:bookmarkStart w:id="131" w:name="_heading=h.2u6wntf" w:colFirst="0" w:colLast="0"/>
      <w:bookmarkStart w:id="132" w:name="_Toc26520298"/>
      <w:bookmarkEnd w:id="131"/>
      <w:r w:rsidRPr="00C0338D">
        <w:t xml:space="preserve">Pathway prioritization, a case study from Great Britain (United Kingdom) </w:t>
      </w:r>
    </w:p>
    <w:p w14:paraId="6D2D3D4D" w14:textId="64EE3DF8" w:rsidR="001B0409" w:rsidRPr="00837161" w:rsidRDefault="001B0409" w:rsidP="00C11DFA">
      <w:pPr>
        <w:spacing w:before="240" w:after="120" w:line="240" w:lineRule="auto"/>
      </w:pPr>
      <w:r w:rsidRPr="00837161">
        <w:t>A method for prioriti</w:t>
      </w:r>
      <w:r w:rsidR="00B6533B" w:rsidRPr="00837161">
        <w:t>z</w:t>
      </w:r>
      <w:r w:rsidRPr="00837161">
        <w:t xml:space="preserve">ing pathways </w:t>
      </w:r>
      <w:r w:rsidR="00416920" w:rsidRPr="00837161">
        <w:t xml:space="preserve">was developed </w:t>
      </w:r>
      <w:r w:rsidRPr="00837161">
        <w:t>in Great Britain</w:t>
      </w:r>
      <w:r w:rsidR="55F40FA2" w:rsidRPr="00837161">
        <w:t xml:space="preserve"> </w:t>
      </w:r>
      <w:r w:rsidR="00416920" w:rsidRPr="00837161">
        <w:t xml:space="preserve">using </w:t>
      </w:r>
      <w:r w:rsidR="00632B97" w:rsidRPr="00837161">
        <w:t xml:space="preserve">established </w:t>
      </w:r>
      <w:r w:rsidRPr="00837161">
        <w:t xml:space="preserve">species </w:t>
      </w:r>
      <w:r w:rsidR="00B6756C" w:rsidRPr="00837161">
        <w:t xml:space="preserve">that arrived via different pathways </w:t>
      </w:r>
      <w:r w:rsidR="00A07878" w:rsidRPr="00837161">
        <w:t xml:space="preserve">(following </w:t>
      </w:r>
      <w:r w:rsidR="00582212" w:rsidRPr="00837161">
        <w:t xml:space="preserve">the </w:t>
      </w:r>
      <w:r w:rsidR="007E514B" w:rsidRPr="00837161">
        <w:t>classification of the Convention on Biological Diversity</w:t>
      </w:r>
      <w:r w:rsidR="00582212" w:rsidRPr="00837161">
        <w:t xml:space="preserve"> </w:t>
      </w:r>
      <w:r w:rsidR="0079215C">
        <w:t>(CBD;</w:t>
      </w:r>
      <w:r w:rsidR="0049149A" w:rsidRPr="00837161">
        <w:fldChar w:fldCharType="begin"/>
      </w:r>
      <w:r w:rsidR="000F35EB">
        <w:instrText xml:space="preserve"> ADDIN ZOTERO_ITEM CSL_CITATION {"citationID":"B3Q266TY","properties":{"formattedCitation":"(CBD, 2014)","plainCitation":"(CBD, 2014)","dontUpdate":true,"noteIndex":0},"citationItems":[{"id":32137,"uris":["http://zotero.org/groups/2352922/items/JUHVB9UU"],"itemData":{"id":32137,"type":"paper-conference","collection-title":"UNEP/CBD/SBSTTA/18/9/Add.1","event-place":"Montreal, Canada","event-title":"Eighteenth meeting of Subsidiary Body on Scientific, Technical and Technological Advice","page":"18","publisher":"Convention on Biodiversity, United Nations Environment Programme","publisher-place":"Montreal, Canada","title":"Pathways of introduction of invasive species, their prioritization and management","URL":"https://www.cbd.int/doc/meetings/sbstta/sbstta-18/official/sbstta-18-09-add1-en.pdf","author":[{"literal":"CBD"}],"accessed":{"date-parts":[["2019",10,22]]},"issued":{"date-parts":[["2014"]]}},"label":"page"}],"schema":"https://github.com/citation-style-language/schema/raw/master/csl-citation.json"} </w:instrText>
      </w:r>
      <w:r w:rsidR="0049149A" w:rsidRPr="00837161">
        <w:fldChar w:fldCharType="separate"/>
      </w:r>
      <w:r w:rsidR="0079215C">
        <w:t xml:space="preserve"> </w:t>
      </w:r>
      <w:r w:rsidR="002F5C32" w:rsidRPr="00837161">
        <w:t>CBD, 2014)</w:t>
      </w:r>
      <w:r w:rsidR="0049149A" w:rsidRPr="00837161">
        <w:fldChar w:fldCharType="end"/>
      </w:r>
      <w:r w:rsidR="00B6756C" w:rsidRPr="00837161">
        <w:t xml:space="preserve"> </w:t>
      </w:r>
      <w:r w:rsidR="002F76E5" w:rsidRPr="00837161">
        <w:t>and their impacts</w:t>
      </w:r>
      <w:r w:rsidR="00F26EC4" w:rsidRPr="00837161">
        <w:t xml:space="preserve"> </w:t>
      </w:r>
      <w:r w:rsidRPr="00837161">
        <w:fldChar w:fldCharType="begin"/>
      </w:r>
      <w:r w:rsidR="000F35EB">
        <w:instrText xml:space="preserve"> ADDIN ZOTERO_ITEM CSL_CITATION {"citationID":"uPbNoM4w","properties":{"formattedCitation":"(Booy, 2019; DEFRA, 2019)","plainCitation":"(Booy, 2019; DEFRA, 2019)","noteIndex":0},"citationItems":[{"id":30086,"uris":["http://zotero.org/groups/2352922/items/DZTKHG52"],"itemData":{"id":30086,"type":"thesis","genre":"Ph.D. Thesis","publisher":"Newcastle University, UK.","title":"Prioritising the management of invasive non-native species","URL":"https://theses.ncl.ac.uk/jspui/handle/10443/4926","author":[{"family":"Booy","given":"Olaf"}],"issued":{"date-parts":[["2019"]]}},"label":"page"},{"id":30085,"uris":["http://zotero.org/groups/2352922/items/SBTWDGU5"],"itemData":{"id":30085,"type":"document","publisher":"Department for Environment Food and Rural Affairs, London, UK.","title":"Comprehensive analysis of pathways of unintentional introduction and spread of invasive alien species – report of the UK","URL":"https://www.semanticscholar.org/paper/Comprehensive-analysis-of-pathways-of-unintentional/279756815617296a2f2a3161953525352b6aba40","author":[{"literal":"DEFRA"}],"issued":{"date-parts":[["2019"]]}},"label":"page"}],"schema":"https://github.com/citation-style-language/schema/raw/master/csl-citation.json"} </w:instrText>
      </w:r>
      <w:r w:rsidRPr="00837161">
        <w:fldChar w:fldCharType="separate"/>
      </w:r>
      <w:r w:rsidR="00271B78" w:rsidRPr="00271B78">
        <w:t>(Booy, 2019; DEFRA, 2019)</w:t>
      </w:r>
      <w:r w:rsidRPr="00837161">
        <w:fldChar w:fldCharType="end"/>
      </w:r>
      <w:r w:rsidR="002F5C32" w:rsidRPr="00837161">
        <w:t>)</w:t>
      </w:r>
      <w:r w:rsidRPr="00837161">
        <w:t xml:space="preserve">. An existing dataset </w:t>
      </w:r>
      <w:r w:rsidR="00D675D9" w:rsidRPr="00837161">
        <w:t>of</w:t>
      </w:r>
      <w:r w:rsidRPr="00837161">
        <w:t xml:space="preserve"> the negative impact</w:t>
      </w:r>
      <w:r w:rsidR="00117E7D" w:rsidRPr="00837161">
        <w:t>s</w:t>
      </w:r>
      <w:r w:rsidRPr="00837161">
        <w:t xml:space="preserve"> on biodiversity of all established alien species was rated </w:t>
      </w:r>
      <w:r w:rsidR="00117E7D" w:rsidRPr="00837161">
        <w:t xml:space="preserve">on a </w:t>
      </w:r>
      <w:r w:rsidR="00BA141C" w:rsidRPr="00837161">
        <w:t>five</w:t>
      </w:r>
      <w:r w:rsidRPr="00837161">
        <w:t xml:space="preserve">-point </w:t>
      </w:r>
      <w:r w:rsidR="003F6772" w:rsidRPr="00837161">
        <w:t>semi</w:t>
      </w:r>
      <w:r w:rsidR="0070307E" w:rsidRPr="00837161">
        <w:t>-</w:t>
      </w:r>
      <w:r w:rsidR="003F6772" w:rsidRPr="00837161">
        <w:t xml:space="preserve"> quantitative </w:t>
      </w:r>
      <w:r w:rsidR="00117E7D" w:rsidRPr="00837161">
        <w:t xml:space="preserve">logarithmic scale </w:t>
      </w:r>
      <w:r w:rsidR="003F6772" w:rsidRPr="00837161">
        <w:t>(minimal = 0.0001, massive = 1)</w:t>
      </w:r>
      <w:r w:rsidRPr="00837161">
        <w:t xml:space="preserve"> using criteria adapted from </w:t>
      </w:r>
      <w:r w:rsidR="00FF055A">
        <w:t>the EICAT</w:t>
      </w:r>
      <w:r w:rsidR="00E90B81" w:rsidRPr="00837161">
        <w:t xml:space="preserve"> </w:t>
      </w:r>
      <w:r w:rsidR="002502C4" w:rsidRPr="00837161">
        <w:t>(</w:t>
      </w:r>
      <w:r w:rsidR="001066CE">
        <w:rPr>
          <w:b/>
          <w:iCs/>
        </w:rPr>
        <w:t>C</w:t>
      </w:r>
      <w:r w:rsidR="00E90B81" w:rsidRPr="001066CE">
        <w:rPr>
          <w:b/>
          <w:iCs/>
        </w:rPr>
        <w:t>hapter 4</w:t>
      </w:r>
      <w:r w:rsidR="00E90B81" w:rsidRPr="00837161">
        <w:t xml:space="preserve">; </w:t>
      </w:r>
      <w:r w:rsidR="00EF4898" w:rsidRPr="00837161">
        <w:fldChar w:fldCharType="begin"/>
      </w:r>
      <w:r w:rsidR="000F35EB">
        <w:instrText xml:space="preserve"> ADDIN ZOTERO_ITEM CSL_CITATION {"citationID":"FRSkxdm5","properties":{"formattedCitation":"(Volery et al., 2020b)","plainCitation":"(Volery et al., 2020b)","dontUpdate":true,"noteIndex":0},"citationItems":[{"id":30764,"uris":["http://zotero.org/groups/2352922/items/MUSWNKGE","http://zotero.org/groups/2352922/items/Q6LQ9FF6"],"itemData":{"id":30764,"type":"article-journal","abstract":"The Environmental Impact Classification for Alien Taxa (EICAT) classifies the impacts caused by alien species in their introduced range in standardised terms across taxa and recipient environments. Impacts are classified into one of five levels of severity, from Minimal Concern to Massive, via one of 12 impact mechanisms. Here, we explain revisions based on an IUCN-wide consultation process to the previously-published EICAT framework and guidelines, to clarify why these changes were necessary. These changes mainly concern: the distinction between the two highest levels of impact severity (Major and Massive impacts), the scenarios of the five levels of severity for the hybridisation and disease transmission mechanisms, the broadening of existing impact mechanisms to capture overlooked mechanisms, the Current (Maximum) Impact, and the way uncertainty of individual impact assessments is evaluated. Our aim in explaining this revision process is to ensure consistency of EICAT assessments, by improving the understanding of the framework.","container-title":"NeoBiota","DOI":"10.3897/neobiota.62.52723","ISSN":"1314-2488","language":"en","license":"2021 Lara Volery, Tim M. Blackburn, Sandro Bertolino, Thomas Evans, Piero Genovesi, Sabrina Kumschick, Helen E. Roy, Kevin G. Smith, Sven Bacher","note":"publisher: Pensoft Publishers","page":"547-567","source":"neobiota.pensoft.net","title":"Improving the Environmental Impact Classification for Alien Taxa (EICAT): a summary of revisions to the framework and guidelines","title-short":"Improving the Environmental Impact Classification for Alien Taxa (EICAT)","URL":"https://neobiota.pensoft.net/article/52723/","volume":"62","author":[{"family":"Volery","given":"Lara"},{"family":"Blackburn","given":"Tim M."},{"family":"Bertolino","given":"Sandro"},{"family":"Evans","given":"Thomas"},{"family":"Genovesi","given":"Piero"},{"family":"Kumschick","given":"Sabrina"},{"family":"Roy","given":"Helen E."},{"family":"Smith","given":"Kevin G."},{"family":"Bacher","given":"Sven"}],"accessed":{"date-parts":[["2021",10,28]]},"issued":{"date-parts":[["2020",10,15]]}},"label":"page"}],"schema":"https://github.com/citation-style-language/schema/raw/master/csl-citation.json"} </w:instrText>
      </w:r>
      <w:r w:rsidR="00EF4898" w:rsidRPr="00837161">
        <w:fldChar w:fldCharType="separate"/>
      </w:r>
      <w:r w:rsidR="00EF4898" w:rsidRPr="00837161">
        <w:t>Volery et al., 2020b)</w:t>
      </w:r>
      <w:r w:rsidR="00EF4898" w:rsidRPr="00837161">
        <w:fldChar w:fldCharType="end"/>
      </w:r>
      <w:r w:rsidRPr="00837161">
        <w:t xml:space="preserve">. The sum of impact scores for species introduced by each pathway </w:t>
      </w:r>
      <w:r w:rsidR="008F3586" w:rsidRPr="00837161">
        <w:t>provide</w:t>
      </w:r>
      <w:r w:rsidR="00DD2E81" w:rsidRPr="00837161">
        <w:t>d</w:t>
      </w:r>
      <w:r w:rsidR="008F3586" w:rsidRPr="00837161">
        <w:t xml:space="preserve"> a pathway</w:t>
      </w:r>
      <w:r w:rsidRPr="00837161">
        <w:t xml:space="preserve"> </w:t>
      </w:r>
      <w:r w:rsidR="008111A5" w:rsidRPr="00837161">
        <w:t>prioritization</w:t>
      </w:r>
      <w:r w:rsidRPr="00837161">
        <w:t xml:space="preserve"> (</w:t>
      </w:r>
      <w:r w:rsidR="00191A6E">
        <w:rPr>
          <w:b/>
          <w:iCs/>
        </w:rPr>
        <w:t>Figure 5.7</w:t>
      </w:r>
      <w:r w:rsidRPr="00837161">
        <w:t xml:space="preserve">). </w:t>
      </w:r>
      <w:r w:rsidR="00DD2E81" w:rsidRPr="00837161">
        <w:t>This</w:t>
      </w:r>
      <w:r w:rsidR="00C04CE6" w:rsidRPr="00837161">
        <w:t xml:space="preserve"> was </w:t>
      </w:r>
      <w:r w:rsidR="00D26487" w:rsidRPr="00837161">
        <w:t xml:space="preserve">considered a more rigorous prioritization process than just using numbers of </w:t>
      </w:r>
      <w:r w:rsidR="00801B07" w:rsidRPr="00837161">
        <w:t xml:space="preserve">alien species per </w:t>
      </w:r>
      <w:r w:rsidR="00FC334E" w:rsidRPr="00837161">
        <w:t>pathway</w:t>
      </w:r>
      <w:r w:rsidR="008A02DC" w:rsidRPr="00837161">
        <w:t>,</w:t>
      </w:r>
      <w:r w:rsidR="00FC334E" w:rsidRPr="00837161">
        <w:t xml:space="preserve"> </w:t>
      </w:r>
      <w:r w:rsidR="00452298" w:rsidRPr="00837161">
        <w:t xml:space="preserve">because </w:t>
      </w:r>
      <w:r w:rsidR="00D14CC5" w:rsidRPr="00837161">
        <w:t xml:space="preserve">pathway management is about </w:t>
      </w:r>
      <w:r w:rsidR="000A7785" w:rsidRPr="00837161">
        <w:t xml:space="preserve">reducing the </w:t>
      </w:r>
      <w:r w:rsidR="00BC6C8A" w:rsidRPr="00837161">
        <w:t xml:space="preserve">risk of future </w:t>
      </w:r>
      <w:r w:rsidR="0036482B" w:rsidRPr="00837161">
        <w:t>arrival</w:t>
      </w:r>
      <w:r w:rsidR="00B75675" w:rsidRPr="00837161">
        <w:t>s</w:t>
      </w:r>
      <w:r w:rsidR="0036482B" w:rsidRPr="00837161">
        <w:t xml:space="preserve"> and </w:t>
      </w:r>
      <w:r w:rsidR="00BC6C8A" w:rsidRPr="00837161">
        <w:t>impacts</w:t>
      </w:r>
      <w:r w:rsidR="007C4C41" w:rsidRPr="00837161">
        <w:t>.</w:t>
      </w:r>
    </w:p>
    <w:p w14:paraId="7B9596B3" w14:textId="73A5B01C" w:rsidR="001B0409" w:rsidRPr="00837161" w:rsidRDefault="00C0338D" w:rsidP="00C11DFA">
      <w:pPr>
        <w:keepNext/>
        <w:spacing w:before="240" w:after="120" w:line="240" w:lineRule="auto"/>
      </w:pPr>
      <w:r>
        <w:rPr>
          <w:noProof/>
        </w:rPr>
        <w:drawing>
          <wp:anchor distT="0" distB="0" distL="114300" distR="114300" simplePos="0" relativeHeight="251659264" behindDoc="0" locked="0" layoutInCell="1" hidden="0" allowOverlap="1" wp14:anchorId="6A9C4253" wp14:editId="21B3F66F">
            <wp:simplePos x="0" y="0"/>
            <wp:positionH relativeFrom="column">
              <wp:posOffset>1158536</wp:posOffset>
            </wp:positionH>
            <wp:positionV relativeFrom="paragraph">
              <wp:posOffset>179705</wp:posOffset>
            </wp:positionV>
            <wp:extent cx="3557905" cy="4812030"/>
            <wp:effectExtent l="0" t="0" r="0" b="0"/>
            <wp:wrapTopAndBottom distT="0" distB="0"/>
            <wp:docPr id="1971555476" name="image18.png" descr="cid:image001.png@01D4D41B.7A3D4BF0"/>
            <wp:cNvGraphicFramePr/>
            <a:graphic xmlns:a="http://schemas.openxmlformats.org/drawingml/2006/main">
              <a:graphicData uri="http://schemas.openxmlformats.org/drawingml/2006/picture">
                <pic:pic xmlns:pic="http://schemas.openxmlformats.org/drawingml/2006/picture">
                  <pic:nvPicPr>
                    <pic:cNvPr id="0" name="image18.png" descr="cid:image001.png@01D4D41B.7A3D4BF0"/>
                    <pic:cNvPicPr preferRelativeResize="0"/>
                  </pic:nvPicPr>
                  <pic:blipFill>
                    <a:blip r:embed="rId32"/>
                    <a:srcRect/>
                    <a:stretch>
                      <a:fillRect/>
                    </a:stretch>
                  </pic:blipFill>
                  <pic:spPr>
                    <a:xfrm>
                      <a:off x="0" y="0"/>
                      <a:ext cx="3557905" cy="4812030"/>
                    </a:xfrm>
                    <a:prstGeom prst="rect">
                      <a:avLst/>
                    </a:prstGeom>
                    <a:ln/>
                  </pic:spPr>
                </pic:pic>
              </a:graphicData>
            </a:graphic>
          </wp:anchor>
        </w:drawing>
      </w:r>
    </w:p>
    <w:p w14:paraId="00000167" w14:textId="7723AE19" w:rsidR="00A758FD" w:rsidRPr="00C0338D" w:rsidRDefault="00C81287" w:rsidP="00AC1F76">
      <w:pPr>
        <w:keepNext/>
        <w:pBdr>
          <w:top w:val="nil"/>
          <w:left w:val="nil"/>
          <w:bottom w:val="nil"/>
          <w:right w:val="nil"/>
          <w:between w:val="nil"/>
        </w:pBdr>
        <w:spacing w:before="240" w:after="120" w:line="240" w:lineRule="auto"/>
        <w:rPr>
          <w:color w:val="000000"/>
        </w:rPr>
      </w:pPr>
      <w:bookmarkStart w:id="133" w:name="_heading=h.19c6y18" w:colFirst="0" w:colLast="0"/>
      <w:bookmarkStart w:id="134" w:name="_Ref104970643"/>
      <w:bookmarkStart w:id="135" w:name="_Toc2770937"/>
      <w:bookmarkStart w:id="136" w:name="_Toc87623103"/>
      <w:bookmarkStart w:id="137" w:name="_Toc147489360"/>
      <w:bookmarkEnd w:id="133"/>
      <w:r w:rsidRPr="00C0338D">
        <w:rPr>
          <w:b/>
          <w:color w:val="000000"/>
        </w:rPr>
        <w:t>Figure 5</w:t>
      </w:r>
      <w:r w:rsidR="00874FB8" w:rsidRPr="00C0338D">
        <w:rPr>
          <w:b/>
          <w:bCs/>
        </w:rPr>
        <w:t>.</w:t>
      </w:r>
      <w:r w:rsidR="00874FB8" w:rsidRPr="00C0338D">
        <w:rPr>
          <w:b/>
          <w:bCs/>
        </w:rPr>
        <w:fldChar w:fldCharType="begin"/>
      </w:r>
      <w:r w:rsidR="00874FB8" w:rsidRPr="00C0338D">
        <w:rPr>
          <w:b/>
          <w:bCs/>
        </w:rPr>
        <w:instrText>SEQ Figure_5. \* ARABIC</w:instrText>
      </w:r>
      <w:r w:rsidR="00874FB8" w:rsidRPr="00C0338D">
        <w:rPr>
          <w:b/>
          <w:bCs/>
        </w:rPr>
        <w:fldChar w:fldCharType="separate"/>
      </w:r>
      <w:r w:rsidR="00DC77F8" w:rsidRPr="00C0338D">
        <w:rPr>
          <w:b/>
          <w:bCs/>
          <w:noProof/>
        </w:rPr>
        <w:t>7</w:t>
      </w:r>
      <w:r w:rsidR="00874FB8" w:rsidRPr="00C0338D">
        <w:rPr>
          <w:b/>
          <w:bCs/>
        </w:rPr>
        <w:fldChar w:fldCharType="end"/>
      </w:r>
      <w:bookmarkEnd w:id="134"/>
      <w:r w:rsidR="00E46045" w:rsidRPr="00C0338D">
        <w:rPr>
          <w:b/>
          <w:bCs/>
        </w:rPr>
        <w:t>.</w:t>
      </w:r>
      <w:r w:rsidRPr="00C0338D">
        <w:rPr>
          <w:b/>
          <w:bCs/>
          <w:color w:val="000000"/>
        </w:rPr>
        <w:t xml:space="preserve"> </w:t>
      </w:r>
      <w:r w:rsidRPr="00C0338D">
        <w:rPr>
          <w:color w:val="000000"/>
        </w:rPr>
        <w:t>Example of a pathway prioritization with a case study from Great Britain (United Kingdom). Pathway ranks using weighted impact scores for all established alien species in Great Britain.</w:t>
      </w:r>
      <w:bookmarkEnd w:id="135"/>
      <w:bookmarkEnd w:id="136"/>
      <w:r w:rsidRPr="00C0338D">
        <w:rPr>
          <w:color w:val="000000"/>
        </w:rPr>
        <w:t xml:space="preserve"> Point size indicates total number of species introduced since 1950, while position of points </w:t>
      </w:r>
      <w:r w:rsidRPr="00C0338D">
        <w:rPr>
          <w:color w:val="000000"/>
        </w:rPr>
        <w:lastRenderedPageBreak/>
        <w:t xml:space="preserve">with error bars indicates the sum of impact values for the minimum, intermediate and maximum number of species introduced by each pathway since 1950. </w:t>
      </w:r>
      <w:r w:rsidR="00805BB7" w:rsidRPr="00837161">
        <w:t xml:space="preserve">Source: </w:t>
      </w:r>
      <w:r w:rsidR="005807BE" w:rsidRPr="00837161">
        <w:t xml:space="preserve">Booy </w:t>
      </w:r>
      <w:r w:rsidR="005B5303" w:rsidRPr="00837161">
        <w:rPr>
          <w:b/>
          <w:bCs/>
        </w:rPr>
        <w:fldChar w:fldCharType="begin"/>
      </w:r>
      <w:r w:rsidR="000F35EB">
        <w:instrText xml:space="preserve"> ADDIN ZOTERO_ITEM CSL_CITATION {"citationID":"T6Fr1AUX","properties":{"formattedCitation":"(2019)","plainCitation":"(2019)","noteIndex":0},"citationItems":[{"id":30086,"uris":["http://zotero.org/groups/2352922/items/DZTKHG52"],"itemData":{"id":30086,"type":"thesis","genre":"Ph.D. Thesis","publisher":"Newcastle University, UK.","title":"Prioritising the management of invasive non-native species","URL":"https://theses.ncl.ac.uk/jspui/handle/10443/4926","author":[{"family":"Booy","given":"Olaf"}],"issued":{"date-parts":[["2019"]]}},"label":"page","suppress-author":true}],"schema":"https://github.com/citation-style-language/schema/raw/master/csl-citation.json"} </w:instrText>
      </w:r>
      <w:r w:rsidR="005B5303" w:rsidRPr="00837161">
        <w:rPr>
          <w:b/>
          <w:bCs/>
        </w:rPr>
        <w:fldChar w:fldCharType="separate"/>
      </w:r>
      <w:r w:rsidR="00271B78" w:rsidRPr="00271B78">
        <w:t>(2019)</w:t>
      </w:r>
      <w:r w:rsidR="005B5303" w:rsidRPr="00837161">
        <w:rPr>
          <w:b/>
          <w:bCs/>
        </w:rPr>
        <w:fldChar w:fldCharType="end"/>
      </w:r>
      <w:r w:rsidR="00DE2B13">
        <w:t xml:space="preserve">, </w:t>
      </w:r>
      <w:hyperlink r:id="rId33" w:history="1">
        <w:r w:rsidR="00DE2B13" w:rsidRPr="006A0CE1">
          <w:rPr>
            <w:rStyle w:val="Hyperlink"/>
          </w:rPr>
          <w:t>https://theses.ncl.ac.uk/jspui/handle/10443/4926</w:t>
        </w:r>
      </w:hyperlink>
      <w:r w:rsidRPr="00C0338D">
        <w:rPr>
          <w:color w:val="000000"/>
        </w:rPr>
        <w:t>, under license CC BY 4.0.</w:t>
      </w:r>
      <w:bookmarkEnd w:id="137"/>
    </w:p>
    <w:p w14:paraId="00000168" w14:textId="77777777" w:rsidR="00A758FD" w:rsidRPr="00C0338D" w:rsidRDefault="00C81287" w:rsidP="00C0338D">
      <w:pPr>
        <w:pStyle w:val="Heading4"/>
      </w:pPr>
      <w:r w:rsidRPr="00C0338D">
        <w:t xml:space="preserve">Species </w:t>
      </w:r>
      <w:bookmarkEnd w:id="132"/>
      <w:r w:rsidRPr="00C0338D">
        <w:t>prioritization</w:t>
      </w:r>
    </w:p>
    <w:p w14:paraId="00000169" w14:textId="76BD1BA2" w:rsidR="00A758FD" w:rsidRPr="00C0338D" w:rsidRDefault="00C81287">
      <w:pPr>
        <w:spacing w:before="240" w:after="120" w:line="240" w:lineRule="auto"/>
        <w:rPr>
          <w:szCs w:val="22"/>
          <w:lang w:val="en-US"/>
        </w:rPr>
      </w:pPr>
      <w:r w:rsidRPr="00AC1F76">
        <w:t>Caceres</w:t>
      </w:r>
      <w:r w:rsidR="00FF055A">
        <w:rPr>
          <w:rFonts w:hint="eastAsia"/>
        </w:rPr>
        <w:t>-</w:t>
      </w:r>
      <w:r w:rsidRPr="00AC1F76">
        <w:t xml:space="preserve">Escobar et </w:t>
      </w:r>
      <w:r w:rsidRPr="00C0338D">
        <w:rPr>
          <w:lang w:val="es-ES"/>
        </w:rPr>
        <w:t xml:space="preserve">al. </w:t>
      </w:r>
      <w:r w:rsidR="00AA0A58" w:rsidRPr="00837161">
        <w:fldChar w:fldCharType="begin"/>
      </w:r>
      <w:r w:rsidR="000F35EB">
        <w:rPr>
          <w:lang w:val="es-ES"/>
        </w:rPr>
        <w:instrText xml:space="preserve"> ADDIN ZOTERO_ITEM CSL_CITATION {"citationID":"H8qJOcmn","properties":{"formattedCitation":"(2019)","plainCitation":"(2019)","noteIndex":0},"citationItems":[{"id":27463,"uris":["http://zotero.org/groups/2352922/items/T7M7G54Q"],"itemData":{"id":27463,"type":"article-journal","abstract":"Invasive species management involves complex and multidimensional challenges. There is considerable uncertainty regarding how to identify management strategies that will achieve invasive species control to enhance biodiversity, local economies and human well-being. Invasive species management on inhabited islands is especially challenging, often due to perceived socio-political risks and unexpected technical difficulties. Failing to incorporate local knowledge and local perspectives in the early stages of planning can compromise the ability of decision makers to achieve long-lasting conservation outcomes. Hence, engaging the community and accounting for stakeholder perceptions are essential for invasive species management, yet, these processes are often overlooked as they can be perceived as too difficult to implement, too costly and/or too slow for management timeframes. To address this gap, we present an application of invasive species management based on structured decision-making, and INFFER—a cost-benefit analysis tool—on Minjerribah-North Stradbroke Island (Australia). We assessed the cost-effectiveness of six management scenarios, co-developed with local land managers and community groups, aimed at preserving the environmental and cultural significance of the island by eradicating European red foxes (Vulpes vulpes) and feral cats (Felis catus). Information was collected in a survey that elicited local stakeholders' perspectives regarding the significance of the Island, their perception of the benefits of the proposed management scenarios, funding requirements, technical feasibility of implementation and socio-political risk. We found that low budgets achieve less cost-effective results than higher budgets. The best strategy focussed on controlling the European red foxes on Minjerribah. However, our results also highlight the need for more research on feral cat management. This work demonstrates how to use a structured decision support tool, such as INFFER, to assess contesting management strategies. Using appropriate decision support tools is particularly important when stakeholders' perceptions regarding management outcomes are heterogeneous and uncertain.","container-title":"People and Nature","DOI":"10.1002/pan3.27","ISSN":"2575-8314","issue":"2","language":"en","license":"© 2019 The Authors. People and Nature  published by John Wiley &amp; Sons Ltd on behalf of British Ecological Society","note":"_eprint: https://besjournals.onlinelibrary.wiley.com/doi/pdf/10.1002/p</w:instrText>
      </w:r>
      <w:r w:rsidR="000F35EB">
        <w:rPr>
          <w:rFonts w:hint="eastAsia"/>
          <w:lang w:val="es-ES"/>
        </w:rPr>
        <w:instrText>an3.27","page":"220-233","source":"Wiley Online Library","title":"Integrating local knowledge to prioritise invasive species management","URL":"https://besjournals.onlinelibrary.wiley.com/doi/abs/10.1002/pan3.27","volume":"1","author":[{"family":"Caceres</w:instrText>
      </w:r>
      <w:r w:rsidR="000F35EB">
        <w:rPr>
          <w:rFonts w:hint="eastAsia"/>
          <w:lang w:val="es-ES"/>
        </w:rPr>
        <w:instrText>‐</w:instrText>
      </w:r>
      <w:r w:rsidR="000F35EB">
        <w:rPr>
          <w:lang w:val="es-ES"/>
        </w:rPr>
        <w:instrText xml:space="preserve">Escobar","given":"Hernan"},{"family":"Kark","given":"Salit"},{"family":"Atkinson","given":"Scott C."},{"family":"Possingham","given":"Hugh P."},{"family":"Davis","given":"Katrina J."}],"accessed":{"date-parts":[["2020",8,9]]},"issued":{"date-parts":[["2019"]]}},"label":"page","suppress-author":true}],"schema":"https://github.com/citation-style-language/schema/raw/master/csl-citation.json"} </w:instrText>
      </w:r>
      <w:r w:rsidR="00AA0A58" w:rsidRPr="00837161">
        <w:fldChar w:fldCharType="separate"/>
      </w:r>
      <w:r w:rsidR="00271B78" w:rsidRPr="00271B78">
        <w:t>(2019)</w:t>
      </w:r>
      <w:r w:rsidR="00AA0A58" w:rsidRPr="00837161">
        <w:fldChar w:fldCharType="end"/>
      </w:r>
      <w:r w:rsidRPr="00C0338D">
        <w:rPr>
          <w:lang w:val="es-ES"/>
        </w:rPr>
        <w:t xml:space="preserve"> assessed the cost‐effectiveness of six management scenarios for </w:t>
      </w:r>
      <w:r w:rsidRPr="00C0338D">
        <w:rPr>
          <w:i/>
          <w:lang w:val="es-ES"/>
        </w:rPr>
        <w:t>Vulpes vulpes</w:t>
      </w:r>
      <w:r w:rsidRPr="00C0338D">
        <w:rPr>
          <w:lang w:val="es-ES"/>
        </w:rPr>
        <w:t xml:space="preserve"> (red fox) and </w:t>
      </w:r>
      <w:r w:rsidRPr="00C0338D">
        <w:rPr>
          <w:i/>
          <w:lang w:val="es-ES"/>
        </w:rPr>
        <w:t>Felis catus</w:t>
      </w:r>
      <w:r w:rsidRPr="00C0338D">
        <w:rPr>
          <w:lang w:val="es-ES"/>
        </w:rPr>
        <w:t xml:space="preserve"> (cat) that were co‐developed with local land managers and community groups on Minjerribah-North Stradbroke Island in Australia. </w:t>
      </w:r>
      <w:r w:rsidRPr="00C0338D">
        <w:t xml:space="preserve">Community prioritization of invasive alien plants was also undertaken in Chitwan-Annapurna Landscape of central Nepal using community memory of their arrival </w:t>
      </w:r>
      <w:r w:rsidR="00FF055A">
        <w:t xml:space="preserve">often </w:t>
      </w:r>
      <w:r w:rsidRPr="00C0338D">
        <w:t>due to a</w:t>
      </w:r>
      <w:r w:rsidR="00FF055A">
        <w:t xml:space="preserve"> </w:t>
      </w:r>
      <w:r w:rsidRPr="00C0338D">
        <w:t xml:space="preserve">lack of knowledge of their impact status </w:t>
      </w:r>
      <w:r w:rsidR="005B5303" w:rsidRPr="00837161">
        <w:fldChar w:fldCharType="begin"/>
      </w:r>
      <w:r w:rsidR="000F35EB">
        <w:instrText xml:space="preserve"> ADDIN ZOTERO_ITEM CSL_CITATION {"citationID":"hr4xIEBq","properties":{"formattedCitation":"(Shrestha et al., 2019)","plainCitation":"(Shrestha et al., 2019)","noteIndex":0},"citationItems":[{"id":56680,"uris":["http://zotero.org/groups/2352922/items/M374C7J2","http://zotero.org/groups/2352922/items/JX5FMNLV"],"itemData":{"id":56680,"type":"article-journal","container-title":"Journal of Environmental Management","DOI":"10.1016/j.jenvman.2018.06.034","ISSN":"03014797","journalAbbreviation":"Journal of Environmental Management","language":"en","page":"38-47","source":"DOI.org (Crossref)","title":"Community perception and prioritization of invasive alien plants in Chitwan-Annapurna Landscape, Nepal","URL":"https://linkinghub.elsevier.com/retrieve/pii/S0301479718306765","volume":"229","author":[{"family":"Shrestha","given":"Bharat Babu"},{"family":"Shrestha","given":"Uttam Babu"},{"family":"Sharma","given":"Krishna Prasad"},{"family":"Thapa-Parajuli","given":"Resham Bahadur"},{"family":"Devkota","given":"Anjana"},{"family":"Siwakoti","given":"Mohan"}],"accessed":{"date-parts":[["2023",6,8]]},"issued":{"date-parts":[["2019",1]]}},"label":"page"}],"schema":"https://github.com/citation-style-language/schema/raw/master/csl-citation.json"} </w:instrText>
      </w:r>
      <w:r w:rsidR="005B5303" w:rsidRPr="00837161">
        <w:fldChar w:fldCharType="separate"/>
      </w:r>
      <w:r w:rsidR="00271B78" w:rsidRPr="00271B78">
        <w:t>(Shrestha et al., 2019)</w:t>
      </w:r>
      <w:r w:rsidR="005B5303" w:rsidRPr="00837161">
        <w:fldChar w:fldCharType="end"/>
      </w:r>
      <w:r w:rsidR="005B5303" w:rsidRPr="00837161">
        <w:t>.</w:t>
      </w:r>
      <w:r w:rsidRPr="00C0338D">
        <w:t xml:space="preserve"> </w:t>
      </w:r>
    </w:p>
    <w:p w14:paraId="0000016A" w14:textId="02C54F37" w:rsidR="00A758FD" w:rsidRPr="00C0338D" w:rsidRDefault="00C81287">
      <w:pPr>
        <w:spacing w:before="240" w:after="120" w:line="240" w:lineRule="auto"/>
      </w:pPr>
      <w:r w:rsidRPr="00C0338D">
        <w:t xml:space="preserve">Prioritization through horizon scanning is a prerequisite for deciding which species to consider for risk analyses. The European Union used horizon scanning to prioritize a list of alien species not yet present in Europe to inform selection of alien species for risk assessment and potentially future listing </w:t>
      </w:r>
      <w:r w:rsidR="001B0409" w:rsidRPr="00837161">
        <w:rPr>
          <w:lang w:eastAsia="en-ZA"/>
        </w:rPr>
        <w:fldChar w:fldCharType="begin"/>
      </w:r>
      <w:r w:rsidR="000F35EB">
        <w:rPr>
          <w:lang w:eastAsia="en-ZA"/>
        </w:rPr>
        <w:instrText xml:space="preserve"> ADDIN ZOTERO_ITEM CSL_CITATION {"citationID":"UnY0pNrr","properties":{"formattedCitation":"(H. E. Roy, Bacher, et al., 2018)","plainCitation":"(H. E. Roy, Bacher, et al., 2018)","noteIndex":0},"citationItems":[{"id":11384,"uris":["http://zotero.org/groups/2352922/items/N8IFHGIK"],"itemData":{"id":11384,"type":"article-journal","abstract":"The European Union (EU) has recently published its first list of invasive alien species (IAS) of EU concern to which current legislation must apply. The list comprises species known to pose great threats to biodiversity and needs to be maintained and updated. Horizon scanning is seen as critical to identify the most threatening potential IAS that do not yet occur in Europe to be subsequently risk assessed for future listing. Accordingly, we present a systematic consensus horizon scanning procedure to derive a ranked list of potential IAS likely to arrive, establish, spread and have an impact on biodiversity in the region over the next decade. The approach is unique in the continental scale examined, the breadth of taxonomic groups and environments considered, and the methods and data sources used. International experts were brought together to address five broad thematic groups of potential IAS. For each thematic group the experts first independently assembled lists of potential IAS not yet established in the EU but potentially threatening biodiversity if introduced. Experts were asked to score the species within their thematic group for their separate likelihoods of i) arrival, ii) establishment, iii) spread, and iv) magnitude of the potential negative impact on biodiversity within the EU. Experts then convened for a 2-day workshop applying consensus methods to compile a ranked list of potential IAS. From an initial working list of 329 species, a list of 66 species not yet established in the EU that were considered to be very high (8 species), high (40 species) or medium (18 species) risk species was derived. Here, we present these species highlighting the potential negative impacts and the most likely biogeographic regions to be affected by these potential IAS.","container-title":"Global Change Biology","DOI":"10.1111/gcb.14527","ISSN":"1354-1013, 1365-2486","issue":"3","journalAbbreviation":"Glob Change Biol","language":"en","page":"1032-1048","source":"DOI.org (Crossref)","title":"Developing a list of invasive alien species likely to threaten biodiversity and ecosystems in the European Union","URL":"https://onlinelibrary.wiley.com/doi/abs/10.1111/gcb.14527","volume":"25","author":[{"family":"Roy","given":"Helen E."},{"family":"Bacher","given":"Sven"},{"family":"Essl","given":"Franz"},{"family":"Adriaens","given":"Tim"},{"family":"Aldridge","given":"David C."},{"family":"Bishop","given":"John D. D."},{"family":"Blackburn","given":"Tim M."},{"family":"Branquart","given":"Etienne"},{"family":"Brodie","given":"Juliet"},{"family":"Carboneras","given":"Carles"},{"family":"Cottier-Cook","given":"Elizabeth J."},{"family":"Copp","given":"Gordon H."},{"family":"Dean","given":</w:instrText>
      </w:r>
      <w:r w:rsidR="000F35EB">
        <w:rPr>
          <w:rFonts w:hint="eastAsia"/>
          <w:lang w:eastAsia="en-ZA"/>
        </w:rPr>
        <w:instrText>"Hannah J."},{"family":"Eilenberg","given":"Jørgen"},{"family":"Gallardo","given":"Belinda"},{"family":"Garcia","given":"Mariana"},{"family":"García</w:instrText>
      </w:r>
      <w:r w:rsidR="000F35EB">
        <w:rPr>
          <w:rFonts w:hint="eastAsia"/>
          <w:lang w:eastAsia="en-ZA"/>
        </w:rPr>
        <w:instrText>‐</w:instrText>
      </w:r>
      <w:r w:rsidR="000F35EB">
        <w:rPr>
          <w:rFonts w:hint="eastAsia"/>
          <w:lang w:eastAsia="en-ZA"/>
        </w:rPr>
        <w:instrText>Berthou","given":"Emili"},{"family":"Genovesi","given":"Piero"},{"family":"Hulme","given":"Philip E."},{"f</w:instrText>
      </w:r>
      <w:r w:rsidR="000F35EB">
        <w:rPr>
          <w:lang w:eastAsia="en-ZA"/>
        </w:rPr>
        <w:instrText xml:space="preserve">amily":"Kenis","given":"Marc"},{"family":"Kerckhof","given":"Francis"},{"family":"Kettunen","given":"Marianne"},{"family":"Minchin","given":"Dan"},{"family":"Nentwig","given":"Wolfgang"},{"family":"Nieto","given":"Ana"},{"family":"Pergl","given":"Jan"},{"family":"Pescott","given":"Oliver L."},{"family":"Peyton","given":"Jodey M."},{"family":"Preda","given":"Cristina"},{"family":"Roques","given":"Alain"},{"family":"Rorke","given":"Steph L."},{"family":"Scalera","given":"Riccardo"},{"family":"Schindler","given":"Stefan"},{"family":"Schönrogge","given":"Karsten"},{"family":"Sewell","given":"Jack"},{"family":"Solarz","given":"Wojciech"},{"family":"Stewart","given":"Alan J. A."},{"family":"Tricarico","given":"Elena"},{"family":"Vanderhoeven","given":"Sonia"},{"family":"Velde","given":"Gerard","non-dropping-particle":"van der"},{"family":"Vilà","given":"Montserrat"},{"family":"Wood","given":"Christine A."},{"family":"Zenetos","given":"Argyro"},{"family":"Rabitsch","given":"Wolfgang"}],"accessed":{"date-parts":[["2019",11,27]]},"issued":{"date-parts":[["2018",12,12]]}},"label":"page"}],"schema":"https://github.com/citation-style-language/schema/raw/master/csl-citation.json"} </w:instrText>
      </w:r>
      <w:r w:rsidR="001B0409" w:rsidRPr="00837161">
        <w:rPr>
          <w:lang w:eastAsia="en-ZA"/>
        </w:rPr>
        <w:fldChar w:fldCharType="separate"/>
      </w:r>
      <w:r w:rsidR="00271B78" w:rsidRPr="00271B78">
        <w:t>(H. E. Roy, Bacher, et al., 2018)</w:t>
      </w:r>
      <w:r w:rsidR="001B0409" w:rsidRPr="00837161">
        <w:rPr>
          <w:lang w:eastAsia="en-ZA"/>
        </w:rPr>
        <w:fldChar w:fldCharType="end"/>
      </w:r>
      <w:r w:rsidR="00301892" w:rsidRPr="00837161">
        <w:rPr>
          <w:lang w:eastAsia="en-ZA"/>
        </w:rPr>
        <w:t xml:space="preserve">. </w:t>
      </w:r>
      <w:r w:rsidR="008C2794" w:rsidRPr="00837161">
        <w:rPr>
          <w:lang w:eastAsia="en-ZA"/>
        </w:rPr>
        <w:t>The list, published in 201</w:t>
      </w:r>
      <w:r w:rsidR="0265B5DC" w:rsidRPr="00837161">
        <w:rPr>
          <w:lang w:eastAsia="en-ZA"/>
        </w:rPr>
        <w:t>8</w:t>
      </w:r>
      <w:r w:rsidR="008C2794" w:rsidRPr="00837161">
        <w:rPr>
          <w:lang w:eastAsia="en-ZA"/>
        </w:rPr>
        <w:t xml:space="preserve"> </w:t>
      </w:r>
      <w:r w:rsidR="00A81A43" w:rsidRPr="00837161">
        <w:rPr>
          <w:lang w:eastAsia="en-ZA"/>
        </w:rPr>
        <w:t xml:space="preserve">partly (coupled with risk assessment) informed the list of invasive alien species of European Concern that underpins the Regulation on </w:t>
      </w:r>
      <w:r w:rsidR="00B83A36" w:rsidRPr="00837161">
        <w:rPr>
          <w:lang w:eastAsia="en-ZA"/>
        </w:rPr>
        <w:t xml:space="preserve">invasive alien species </w:t>
      </w:r>
      <w:r w:rsidR="001B0409" w:rsidRPr="00837161">
        <w:rPr>
          <w:lang w:eastAsia="en-ZA"/>
        </w:rPr>
        <w:fldChar w:fldCharType="begin"/>
      </w:r>
      <w:r w:rsidR="007746C5">
        <w:rPr>
          <w:lang w:eastAsia="en-ZA"/>
        </w:rPr>
        <w:instrText xml:space="preserve"> ADDIN ZOTERO_ITEM CSL_CITATION {"citationID":"FWNvFTj1","properties":{"formattedCitation":"(European Union, 2014)","plainCitation":"(European Union, 2014)","noteIndex":0},"citationItems":[{"id":32820,"uris":["http://zotero.org/groups/2352922/items/KY7G8RRR"],"itemData":{"id":32820,"type":"document","language":"en","note":"No 1143, L 317, pp. 35-55","publisher":"Official Journal of the European Union, 57, 35.","title":"Regulation (EU) No 1143/2014 of the European Parliament and of the Council of 22 October 2014 on the prevention and management of the introduction and spread of invasive alien species.","URL":"http://eur-lex.europa.eu/legal-content/EN/TXT/?uri=OJ:JOL_2014_317_R_0003","author":[{"literal":"European Union"}],"issued":{"date-parts":[["2014"]]}},"label":"page"}],"schema":"https://github.com/citation-style-language/schema/raw/master/csl-citation.json"} </w:instrText>
      </w:r>
      <w:r w:rsidR="001B0409" w:rsidRPr="00837161">
        <w:rPr>
          <w:lang w:eastAsia="en-ZA"/>
        </w:rPr>
        <w:fldChar w:fldCharType="separate"/>
      </w:r>
      <w:r w:rsidR="00271B78" w:rsidRPr="00271B78">
        <w:t>(European Union, 2014)</w:t>
      </w:r>
      <w:r w:rsidR="001B0409" w:rsidRPr="00837161">
        <w:rPr>
          <w:lang w:eastAsia="en-ZA"/>
        </w:rPr>
        <w:fldChar w:fldCharType="end"/>
      </w:r>
      <w:r w:rsidR="001B0409" w:rsidRPr="00837161">
        <w:rPr>
          <w:lang w:eastAsia="en-ZA"/>
        </w:rPr>
        <w:t xml:space="preserve">. </w:t>
      </w:r>
      <w:r w:rsidR="00CE1108" w:rsidRPr="00837161">
        <w:rPr>
          <w:lang w:eastAsia="en-ZA"/>
        </w:rPr>
        <w:t>Experts</w:t>
      </w:r>
      <w:r w:rsidR="0033282B" w:rsidRPr="00837161">
        <w:rPr>
          <w:lang w:eastAsia="en-ZA"/>
        </w:rPr>
        <w:t xml:space="preserve"> prioritized </w:t>
      </w:r>
      <w:r w:rsidR="00224AD9" w:rsidRPr="00837161">
        <w:rPr>
          <w:lang w:eastAsia="en-ZA"/>
        </w:rPr>
        <w:t xml:space="preserve">species </w:t>
      </w:r>
      <w:r w:rsidR="00BC4C6D" w:rsidRPr="00837161">
        <w:rPr>
          <w:lang w:eastAsia="en-ZA"/>
        </w:rPr>
        <w:t>based on likelihoods of i) arrival, ii) establishment, iii) spread</w:t>
      </w:r>
      <w:r w:rsidR="00C16EEB">
        <w:rPr>
          <w:lang w:eastAsia="en-ZA"/>
        </w:rPr>
        <w:t xml:space="preserve"> and</w:t>
      </w:r>
      <w:r w:rsidR="00BC4C6D" w:rsidRPr="00837161">
        <w:rPr>
          <w:lang w:eastAsia="en-ZA"/>
        </w:rPr>
        <w:t xml:space="preserve"> iv) magnitude of the potential negative impact on biodiversity</w:t>
      </w:r>
      <w:r w:rsidR="00411D4F" w:rsidRPr="00837161">
        <w:rPr>
          <w:lang w:eastAsia="en-ZA"/>
        </w:rPr>
        <w:t xml:space="preserve"> </w:t>
      </w:r>
      <w:r w:rsidR="00A81A43" w:rsidRPr="00837161">
        <w:rPr>
          <w:lang w:eastAsia="en-ZA"/>
        </w:rPr>
        <w:t xml:space="preserve">and ecosystems </w:t>
      </w:r>
      <w:r w:rsidR="00411D4F" w:rsidRPr="00837161">
        <w:rPr>
          <w:lang w:eastAsia="en-ZA"/>
        </w:rPr>
        <w:t>over the next decade</w:t>
      </w:r>
      <w:r w:rsidR="00BC4C6D" w:rsidRPr="00837161">
        <w:rPr>
          <w:lang w:eastAsia="en-ZA"/>
        </w:rPr>
        <w:t>, within</w:t>
      </w:r>
      <w:r w:rsidR="00CE1108" w:rsidRPr="00837161">
        <w:rPr>
          <w:lang w:eastAsia="en-ZA"/>
        </w:rPr>
        <w:t xml:space="preserve"> species</w:t>
      </w:r>
      <w:r w:rsidR="00BC4C6D" w:rsidRPr="00837161">
        <w:rPr>
          <w:lang w:eastAsia="en-ZA"/>
        </w:rPr>
        <w:t xml:space="preserve"> </w:t>
      </w:r>
      <w:r w:rsidR="00CE1108" w:rsidRPr="00837161">
        <w:rPr>
          <w:lang w:eastAsia="en-ZA"/>
        </w:rPr>
        <w:t xml:space="preserve">thematic groups. </w:t>
      </w:r>
      <w:r w:rsidR="001B0409" w:rsidRPr="00837161">
        <w:rPr>
          <w:lang w:eastAsia="en-ZA"/>
        </w:rPr>
        <w:t xml:space="preserve">From </w:t>
      </w:r>
      <w:r w:rsidR="004E5508">
        <w:rPr>
          <w:lang w:eastAsia="en-ZA"/>
        </w:rPr>
        <w:t xml:space="preserve">the </w:t>
      </w:r>
      <w:r w:rsidR="001B0409" w:rsidRPr="00837161">
        <w:rPr>
          <w:lang w:eastAsia="en-ZA"/>
        </w:rPr>
        <w:t xml:space="preserve">329 species initially considered, </w:t>
      </w:r>
      <w:r w:rsidR="00D17F99" w:rsidRPr="00837161">
        <w:rPr>
          <w:lang w:eastAsia="en-ZA"/>
        </w:rPr>
        <w:t xml:space="preserve">a final prioritized </w:t>
      </w:r>
      <w:r w:rsidR="001B0409" w:rsidRPr="00837161">
        <w:rPr>
          <w:lang w:eastAsia="en-ZA"/>
        </w:rPr>
        <w:t xml:space="preserve">list </w:t>
      </w:r>
      <w:r w:rsidR="004E5508">
        <w:rPr>
          <w:lang w:eastAsia="en-ZA"/>
        </w:rPr>
        <w:t xml:space="preserve">was made </w:t>
      </w:r>
      <w:r w:rsidR="001B0409" w:rsidRPr="00837161">
        <w:rPr>
          <w:lang w:eastAsia="en-ZA"/>
        </w:rPr>
        <w:t xml:space="preserve">of 66 species </w:t>
      </w:r>
      <w:r w:rsidR="00163B4C" w:rsidRPr="00837161">
        <w:rPr>
          <w:lang w:eastAsia="en-ZA"/>
        </w:rPr>
        <w:t>includ</w:t>
      </w:r>
      <w:r w:rsidR="005F32B9" w:rsidRPr="00837161">
        <w:rPr>
          <w:lang w:eastAsia="en-ZA"/>
        </w:rPr>
        <w:t>ing</w:t>
      </w:r>
      <w:r w:rsidR="00163B4C" w:rsidRPr="00837161">
        <w:rPr>
          <w:lang w:eastAsia="en-ZA"/>
        </w:rPr>
        <w:t xml:space="preserve"> eight</w:t>
      </w:r>
      <w:r w:rsidR="001B0409" w:rsidRPr="00837161">
        <w:rPr>
          <w:lang w:eastAsia="en-ZA"/>
        </w:rPr>
        <w:t xml:space="preserve"> species </w:t>
      </w:r>
      <w:r w:rsidR="00163B4C" w:rsidRPr="00837161">
        <w:rPr>
          <w:lang w:eastAsia="en-ZA"/>
        </w:rPr>
        <w:t>cons</w:t>
      </w:r>
      <w:r w:rsidR="0045074F" w:rsidRPr="00837161">
        <w:rPr>
          <w:lang w:eastAsia="en-ZA"/>
        </w:rPr>
        <w:t xml:space="preserve">idered </w:t>
      </w:r>
      <w:r w:rsidR="001B0409" w:rsidRPr="00837161">
        <w:rPr>
          <w:lang w:eastAsia="en-ZA"/>
        </w:rPr>
        <w:t xml:space="preserve">very high risk, </w:t>
      </w:r>
      <w:r w:rsidR="00CC785D" w:rsidRPr="00837161">
        <w:rPr>
          <w:lang w:eastAsia="en-ZA"/>
        </w:rPr>
        <w:t xml:space="preserve">forty </w:t>
      </w:r>
      <w:r w:rsidR="001B0409" w:rsidRPr="00837161">
        <w:rPr>
          <w:lang w:eastAsia="en-ZA"/>
        </w:rPr>
        <w:t xml:space="preserve">species </w:t>
      </w:r>
      <w:r w:rsidR="00C0028D" w:rsidRPr="00837161">
        <w:rPr>
          <w:lang w:eastAsia="en-ZA"/>
        </w:rPr>
        <w:t>as</w:t>
      </w:r>
      <w:r w:rsidR="00CC785D" w:rsidRPr="00837161">
        <w:rPr>
          <w:lang w:eastAsia="en-ZA"/>
        </w:rPr>
        <w:t xml:space="preserve"> </w:t>
      </w:r>
      <w:r w:rsidR="001B0409" w:rsidRPr="00837161">
        <w:rPr>
          <w:lang w:eastAsia="en-ZA"/>
        </w:rPr>
        <w:t>high risk and</w:t>
      </w:r>
      <w:r w:rsidR="00CC785D" w:rsidRPr="00837161">
        <w:rPr>
          <w:lang w:eastAsia="en-ZA"/>
        </w:rPr>
        <w:t xml:space="preserve"> 18</w:t>
      </w:r>
      <w:r w:rsidR="001B0409" w:rsidRPr="00837161">
        <w:rPr>
          <w:lang w:eastAsia="en-ZA"/>
        </w:rPr>
        <w:t xml:space="preserve"> species </w:t>
      </w:r>
      <w:r w:rsidR="005F32B9" w:rsidRPr="00837161">
        <w:rPr>
          <w:lang w:eastAsia="en-ZA"/>
        </w:rPr>
        <w:t xml:space="preserve">as </w:t>
      </w:r>
      <w:r w:rsidR="001B0409" w:rsidRPr="00837161">
        <w:rPr>
          <w:lang w:eastAsia="en-ZA"/>
        </w:rPr>
        <w:t>medium risk.</w:t>
      </w:r>
      <w:r w:rsidR="004B1383" w:rsidRPr="00837161">
        <w:rPr>
          <w:lang w:eastAsia="en-ZA"/>
        </w:rPr>
        <w:t xml:space="preserve"> </w:t>
      </w:r>
      <w:r w:rsidR="008C4F37" w:rsidRPr="00837161">
        <w:rPr>
          <w:lang w:eastAsia="en-ZA"/>
        </w:rPr>
        <w:t xml:space="preserve">A similar process was undertaken in Australia </w:t>
      </w:r>
      <w:r w:rsidR="001A19CC" w:rsidRPr="00837161">
        <w:rPr>
          <w:lang w:eastAsia="en-ZA"/>
        </w:rPr>
        <w:t xml:space="preserve">where the </w:t>
      </w:r>
      <w:r w:rsidR="002B5877" w:rsidRPr="00837161">
        <w:rPr>
          <w:lang w:eastAsia="en-ZA"/>
        </w:rPr>
        <w:t xml:space="preserve">task </w:t>
      </w:r>
      <w:r w:rsidR="001A19CC" w:rsidRPr="00837161">
        <w:rPr>
          <w:lang w:eastAsia="en-ZA"/>
        </w:rPr>
        <w:t>was to</w:t>
      </w:r>
      <w:r w:rsidR="00D045AE" w:rsidRPr="00837161">
        <w:rPr>
          <w:lang w:eastAsia="en-ZA"/>
        </w:rPr>
        <w:t xml:space="preserve"> generate a National Priority List of Exotic Environmental Pests, Weeds and Diseases </w:t>
      </w:r>
      <w:r w:rsidR="008726F7" w:rsidRPr="00837161">
        <w:rPr>
          <w:lang w:eastAsia="en-ZA"/>
        </w:rPr>
        <w:t>from</w:t>
      </w:r>
      <w:r w:rsidR="00D045AE" w:rsidRPr="00837161">
        <w:rPr>
          <w:lang w:eastAsia="en-ZA"/>
        </w:rPr>
        <w:t xml:space="preserve"> which </w:t>
      </w:r>
      <w:r w:rsidR="00AC51A7" w:rsidRPr="00837161">
        <w:rPr>
          <w:lang w:eastAsia="en-ZA"/>
        </w:rPr>
        <w:t xml:space="preserve">the top </w:t>
      </w:r>
      <w:r w:rsidR="002B5877" w:rsidRPr="00837161">
        <w:rPr>
          <w:lang w:eastAsia="en-ZA"/>
        </w:rPr>
        <w:t>five</w:t>
      </w:r>
      <w:r w:rsidR="00AC51A7" w:rsidRPr="00837161">
        <w:rPr>
          <w:lang w:eastAsia="en-ZA"/>
        </w:rPr>
        <w:t xml:space="preserve"> to six </w:t>
      </w:r>
      <w:r w:rsidR="00E04AD0" w:rsidRPr="00837161">
        <w:rPr>
          <w:lang w:eastAsia="en-ZA"/>
        </w:rPr>
        <w:t xml:space="preserve">species </w:t>
      </w:r>
      <w:r w:rsidR="00514C6E" w:rsidRPr="00837161">
        <w:rPr>
          <w:lang w:eastAsia="en-ZA"/>
        </w:rPr>
        <w:t xml:space="preserve">(from </w:t>
      </w:r>
      <w:r w:rsidR="00AB5CAD" w:rsidRPr="00837161">
        <w:rPr>
          <w:lang w:eastAsia="en-ZA"/>
        </w:rPr>
        <w:t xml:space="preserve">168 </w:t>
      </w:r>
      <w:r w:rsidR="00A90FE0" w:rsidRPr="00837161">
        <w:rPr>
          <w:lang w:eastAsia="en-ZA"/>
        </w:rPr>
        <w:t xml:space="preserve">initially identified) </w:t>
      </w:r>
      <w:r w:rsidR="008726F7" w:rsidRPr="00837161">
        <w:rPr>
          <w:lang w:eastAsia="en-ZA"/>
        </w:rPr>
        <w:t xml:space="preserve">were </w:t>
      </w:r>
      <w:r w:rsidR="00AC51A7" w:rsidRPr="00837161">
        <w:rPr>
          <w:lang w:eastAsia="en-ZA"/>
        </w:rPr>
        <w:t>classed</w:t>
      </w:r>
      <w:r w:rsidR="0022574E" w:rsidRPr="00837161">
        <w:rPr>
          <w:lang w:eastAsia="en-ZA"/>
        </w:rPr>
        <w:t xml:space="preserve"> as </w:t>
      </w:r>
      <w:r w:rsidR="00C234BE" w:rsidRPr="00837161">
        <w:rPr>
          <w:lang w:eastAsia="en-ZA"/>
        </w:rPr>
        <w:t>posing the</w:t>
      </w:r>
      <w:r w:rsidR="002B5877" w:rsidRPr="00837161">
        <w:rPr>
          <w:lang w:eastAsia="en-ZA"/>
        </w:rPr>
        <w:t xml:space="preserve"> greatest threat </w:t>
      </w:r>
      <w:r w:rsidR="00C234BE" w:rsidRPr="00837161">
        <w:rPr>
          <w:lang w:eastAsia="en-ZA"/>
        </w:rPr>
        <w:t xml:space="preserve">to the environment </w:t>
      </w:r>
      <w:r w:rsidR="00C86FB1" w:rsidRPr="00837161">
        <w:rPr>
          <w:lang w:eastAsia="en-ZA"/>
        </w:rPr>
        <w:t xml:space="preserve">in each of </w:t>
      </w:r>
      <w:r w:rsidR="001F2438" w:rsidRPr="00837161">
        <w:rPr>
          <w:lang w:eastAsia="en-ZA"/>
        </w:rPr>
        <w:t xml:space="preserve">eight </w:t>
      </w:r>
      <w:r w:rsidR="008468EA" w:rsidRPr="00837161">
        <w:rPr>
          <w:lang w:eastAsia="en-ZA"/>
        </w:rPr>
        <w:t xml:space="preserve">biological groups </w:t>
      </w:r>
      <w:r w:rsidR="006251D2" w:rsidRPr="00837161">
        <w:rPr>
          <w:lang w:eastAsia="en-ZA"/>
        </w:rPr>
        <w:t>including marine, freshwater and terrestrial ecosystems</w:t>
      </w:r>
      <w:r w:rsidR="004D38BB">
        <w:rPr>
          <w:lang w:eastAsia="en-ZA"/>
        </w:rPr>
        <w:t xml:space="preserve"> </w:t>
      </w:r>
      <w:r w:rsidR="0044454C">
        <w:rPr>
          <w:lang w:eastAsia="en-ZA"/>
        </w:rPr>
        <w:fldChar w:fldCharType="begin"/>
      </w:r>
      <w:r w:rsidR="00B85BF0">
        <w:rPr>
          <w:lang w:eastAsia="en-ZA"/>
        </w:rPr>
        <w:instrText xml:space="preserve"> ADDIN ZOTERO_ITEM CSL_CITATION {"citationID":"xzGi8xU1","properties":{"formattedCitation":"(ABARES, 2021)","plainCitation":"(ABARES, 2021)","noteIndex":0},"citationItems":[{"id":60400,"uris":["http://zotero.org/groups/2352922/items/ABSNIPCN"],"itemData":{"id":60400,"type":"report","collection-title":"ABARES report to client prepared for the Chief Environmental Biosecurity Officer","event-place":"Canberra, ACT","publisher":"Department of Agriculture, Water and the Environment","publisher-place":"Canberra, ACT","title":"The National Priority List of Exotic Environmental Pests, Weeds and Diseases: Information Paper (Version 2.0)","URL":"https://www.agriculture.gov.au/sites/default/files/documents/eepl-information-paper.pdf","author":[{"literal":"ABARES"}],"issued":{"date-parts":[["2021"]]}}}],"schema":"https://github.com/citation-style-language/schema/raw/master/csl-citation.json"} </w:instrText>
      </w:r>
      <w:r w:rsidR="0044454C">
        <w:rPr>
          <w:lang w:eastAsia="en-ZA"/>
        </w:rPr>
        <w:fldChar w:fldCharType="separate"/>
      </w:r>
      <w:r w:rsidR="0044454C" w:rsidRPr="0044454C">
        <w:t>(ABARES, 2021)</w:t>
      </w:r>
      <w:r w:rsidR="0044454C">
        <w:rPr>
          <w:lang w:eastAsia="en-ZA"/>
        </w:rPr>
        <w:fldChar w:fldCharType="end"/>
      </w:r>
      <w:r w:rsidR="007C4C41" w:rsidRPr="00837161">
        <w:rPr>
          <w:lang w:eastAsia="en-ZA"/>
        </w:rPr>
        <w:t>.</w:t>
      </w:r>
    </w:p>
    <w:p w14:paraId="0000016B" w14:textId="44169B9B" w:rsidR="00A758FD" w:rsidRPr="00C0338D" w:rsidRDefault="00C81287">
      <w:pPr>
        <w:spacing w:before="240" w:after="120" w:line="240" w:lineRule="auto"/>
      </w:pPr>
      <w:r w:rsidRPr="00C0338D">
        <w:rPr>
          <w:u w:val="single"/>
        </w:rPr>
        <w:t>Risk assessment</w:t>
      </w:r>
      <w:r w:rsidRPr="00C0338D">
        <w:t xml:space="preserve">: The Risk Analysis for Alien Taxa (RAAT) framework was developed in South Africa as a standardized and transparent approach to prioritizing and regulating alien species based on evidence </w:t>
      </w:r>
      <w:r w:rsidR="001B0409" w:rsidRPr="00837161">
        <w:rPr>
          <w:lang w:eastAsia="en-ZA"/>
        </w:rPr>
        <w:fldChar w:fldCharType="begin"/>
      </w:r>
      <w:r w:rsidR="000F35EB">
        <w:rPr>
          <w:lang w:eastAsia="en-ZA"/>
        </w:rPr>
        <w:instrText xml:space="preserve"> ADDIN ZOTERO_ITEM CSL_CITATION {"citationID":"6cJA1nWF","properties":{"formattedCitation":"(Kumschick, Foxcroft, et al., 2020; Kumschick, Wilson, et al., 2020)","plainCitation":"(Kumschick, Foxcroft, et al., 2020; Kumschick, Wilson, et al., 2020)","dontUpdate":true,"noteIndex":0},"citationItems":[{"id":25109,"uris":["http://zotero.org/groups/2352922/items/PBKZ977Y"],"itemData":{"id":25109,"type":"article-journal","abstract":"Human livelihoods and well-being in almost all regions of the world depend on taxa which are alien. Such taxa also, however, threaten human health, sustainable development, and biodiversity. Since it is not feasible or desirable to control all alien taxa, decision-makers increasingly rely on risk analyses to formalise the best available evidence of the threats posed and whether and how they can be managed. There are a variety of schemes available that consider the risks of alien taxa, but we argue a new framework is needed: 1) given major recent developments in international frameworks dealing with biological invasions (including the scoring of impacts); 2) so that decisions can be made consistently across taxa, regions and realms; 3) to explicitly set out uncertainties; and 4) to provide decision-makers with information both on the risks posed and on what can be done to mitigate or prevent impacts. Any such scheme must also be flexible enough to deal with constraints in capacity and information. Here we present a framework to address these points – the Risk Analysis for Alien Taxa (RAAT). It outlines a series of questions related to an alien taxon’s likelihood of invasion, realised and potential impacts, and options for management. The framework provides a structure for collating relevant data from the published literature to support a robust, transparent process to list alien taxa under legislative and regulatory requirements, with the aim that it can be completed by a trained science graduate within a few days. The framework also provides a defensible process for developing recommendations for the management of assessed taxa. We trialled the framework in South Africa and outline the process followed and some of the taxa assessed to date.","container-title":"NeoBiota","DOI":"10.3897/neobiota.62.51031","ISSN":"1314-2488, 1619-0033","journalAbbreviation":"NB","page":"213-239","source":"DOI.org (Crossref)","title":"A framework to support alien species regulation: the Risk Analysis for Alien Taxa (RAAT)","title-short":"A framework to support alien species regulation","URL":"https://neobiota.pensoft.net/article/51031/","volume":"62","author":[{"family":"Kumschick","given":"Sabrina"},{"family":"Wilson","given":"John R. U."},{"family":"Foxcroft","given":"Llewellyn C."}],"accessed":{"date-parts":[["2021",3,16]]},"issued":{"date-parts":[["2020",10,15]]}},"label":"page"},{"id":30084,"uris":["http://zotero.org/groups/2352922/items/5LGCFRIH"],"itemData":{"id":30084,"type":"chapter","collection-title":"Invading Nature - Springer Series in Invasion Ecology","container-title":"Biological Invasions in South Africa","event-place":"Cham","ISBN":"978-3-030-32393-6","language":"en","note":"DOI: 10.1007/978-3-030-32394-3_20","page":"573-595","publisher":"Springer International Publishing","publisher-place":"Cham","source":"DOI.org (Crossref)","title":"Analysing the Risks Posed by Biological Invasions to South Africa","URL":"https://doi.org/10.1007/978-3-030-32394-3_20","volume":"14","editor":[{"family":"Wilgen","given":"Brian W.","non-dropping-particle":"van"},{"family":"Measey","given":"John"},{"family":"Richardson","given":"David M."},{"family":"Wilson","given":"John R."},{"family":"Zengeya","given":"Tsungai A."}],"author":[{"family":"Kumschick","given":"Sabrina"},{"family":"Foxcroft","given":"Llewellyn C."},{"family":"Wilson","given":"John R."}],"accessed":{"date-parts":[["2021",8,17]]},"issued":{"date-parts":[["2020"]]}},"label":"page"}],"schema":"https://github.com/citation-style-language/schema/raw/master/csl-citation.json"} </w:instrText>
      </w:r>
      <w:r w:rsidR="001B0409" w:rsidRPr="00837161">
        <w:rPr>
          <w:lang w:eastAsia="en-ZA"/>
        </w:rPr>
        <w:fldChar w:fldCharType="separate"/>
      </w:r>
      <w:r w:rsidR="00DD47B4" w:rsidRPr="00837161">
        <w:t>(Kumschick, Foxcroft, et al., 2020; Kumschick, Wilson, et al., 2020</w:t>
      </w:r>
      <w:r w:rsidR="001B0409" w:rsidRPr="00837161">
        <w:rPr>
          <w:lang w:eastAsia="en-ZA"/>
        </w:rPr>
        <w:fldChar w:fldCharType="end"/>
      </w:r>
      <w:r w:rsidR="00805BB7" w:rsidRPr="00837161">
        <w:rPr>
          <w:lang w:eastAsia="en-ZA"/>
        </w:rPr>
        <w:t>;</w:t>
      </w:r>
      <w:r w:rsidR="008C26B8" w:rsidRPr="00837161">
        <w:rPr>
          <w:lang w:eastAsia="en-ZA"/>
        </w:rPr>
        <w:t xml:space="preserve"> </w:t>
      </w:r>
      <w:r w:rsidR="00191A6E">
        <w:rPr>
          <w:b/>
          <w:iCs/>
        </w:rPr>
        <w:t>Figure 5.8</w:t>
      </w:r>
      <w:r w:rsidR="008C26B8" w:rsidRPr="00837161">
        <w:rPr>
          <w:lang w:eastAsia="en-ZA"/>
        </w:rPr>
        <w:t>)</w:t>
      </w:r>
      <w:r w:rsidR="001B0409" w:rsidRPr="00837161">
        <w:rPr>
          <w:lang w:eastAsia="en-ZA"/>
        </w:rPr>
        <w:t>.</w:t>
      </w:r>
      <w:r w:rsidRPr="00C0338D">
        <w:t xml:space="preserve"> The aim was to increase capacity through expert and stakeholder workshops to prioritize species for regulation and management plan development. The framework has since been used retrospectively on species already regulated to confirm whether these should continue to be listed. Of 650 regulated species, 62 have been assessed, several of these now have a recommendation to change their regulatory status as they are not present in the country (delist) or can no longer be eradicated (move to widespread list). The regulators are now processing these recommendations via a committee and stakeholder consultation and are considering giving the framework legal force. </w:t>
      </w:r>
    </w:p>
    <w:p w14:paraId="0000016C" w14:textId="4BCDAA4B" w:rsidR="00A758FD" w:rsidRPr="00C0338D" w:rsidRDefault="68A0FCA1">
      <w:pPr>
        <w:spacing w:before="240" w:after="120" w:line="240" w:lineRule="auto"/>
      </w:pPr>
      <w:r w:rsidRPr="00837161">
        <w:rPr>
          <w:u w:val="single"/>
        </w:rPr>
        <w:t>Risk management</w:t>
      </w:r>
      <w:r w:rsidR="383CADBB" w:rsidRPr="00837161">
        <w:t xml:space="preserve">: </w:t>
      </w:r>
      <w:r w:rsidR="54793646" w:rsidRPr="00837161">
        <w:t xml:space="preserve">On Viti Levu in Fiji, </w:t>
      </w:r>
      <w:r w:rsidRPr="00837161">
        <w:t xml:space="preserve">Daigneault and Brown </w:t>
      </w:r>
      <w:r w:rsidRPr="00837161">
        <w:fldChar w:fldCharType="begin"/>
      </w:r>
      <w:r w:rsidR="000F35EB">
        <w:instrText xml:space="preserve"> ADDIN ZOTERO_ITEM CSL_CITATION {"citationID":"GL2ognDY","properties":{"formattedCitation":"(2013)","plainCitation":"(2013)","noteIndex":0},"citationItems":[{"id":31370,"uris":["http://zotero.org/groups/2352922/items/DYAM5LJJ"],"itemData":{"id":31370,"type":"paper-conference","abstract":"Invasive species pose an enormous threat in the Pacific: not only do they strongly affect biodiversity, but they also potentially affect the economic, social, and cultural wellbeing of Pacific peoples. Invasive species can potentially be managed and their impacts can potentially be avoided, eliminated, or reduced. However, neither the costs nor the numerous benefits of management are well understood in the Pacific. Thus, we undertook cost-benefit analyses (CBAs) of managing five species that are well established on Viti Levu, Fiji: spathodea campanulata (African tulip tree), herpestus javanicus (small Asian mongoose), papuana uninodis (taro beetle), pycnonotus cafer (red-vented bulbul), and merremia peltata (merremia vine). These CBAs are informed by extensive survey data that record the incidence, management, and impacts of the five species in Fiji. We find that the most cost-effective management option varies by species, precluding a universal solution. Nevertheless, the benefits of management often exceed the costs of management by a wide margin, arguing for a more concerted effort to control the spread of invasive species in the Pacific.","container-title":"57th Australian Agricultural &amp; Resource Economics Society Annual Conference","DOI":"10.22004/AG.ECON.152140","event-place":"Sydney, New South Wales, Australia","language":"en","publisher":"Unknown","publisher-place":"Sydney, New South Wales, Australia","source":"DOI.org (Datacite)","title":"Invasive species management in the Pacific using survey data and benefit-cost analysis","URL":"https://ageconsearch.umn.edu/record/152140","author":[{"family":"Daigneault","given":"Adam J."},{"family":"Brown","given":"P."}],"accessed":{"date-parts":[["2021",7,6]]},"issued":{"date-parts":[["2013"]]}},"label":"page","suppress-author":true}],"schema":"https://github.com/citation-style-language/schema/raw/master/csl-citation.json"} </w:instrText>
      </w:r>
      <w:r w:rsidRPr="00837161">
        <w:fldChar w:fldCharType="separate"/>
      </w:r>
      <w:r w:rsidR="00271B78" w:rsidRPr="00271B78">
        <w:t>(2013)</w:t>
      </w:r>
      <w:r w:rsidRPr="00837161">
        <w:fldChar w:fldCharType="end"/>
      </w:r>
      <w:r w:rsidR="00C81287" w:rsidRPr="00C0338D">
        <w:t xml:space="preserve"> undertook cost-benefit analyses of the management of five established species: </w:t>
      </w:r>
      <w:r w:rsidR="00C81287" w:rsidRPr="00C0338D">
        <w:rPr>
          <w:i/>
        </w:rPr>
        <w:t>Spathodea campanulata</w:t>
      </w:r>
      <w:r w:rsidR="00C81287" w:rsidRPr="00C0338D">
        <w:t xml:space="preserve"> (African tulip tree), </w:t>
      </w:r>
      <w:r w:rsidR="00C81287" w:rsidRPr="00C0338D">
        <w:rPr>
          <w:i/>
        </w:rPr>
        <w:t>Herpestes javanicus</w:t>
      </w:r>
      <w:r w:rsidR="00C81287" w:rsidRPr="00C0338D">
        <w:t xml:space="preserve"> </w:t>
      </w:r>
      <w:r w:rsidR="00C81287" w:rsidRPr="00C0338D">
        <w:rPr>
          <w:i/>
        </w:rPr>
        <w:t>auropunctatus</w:t>
      </w:r>
      <w:r w:rsidR="00C81287" w:rsidRPr="00C0338D">
        <w:t xml:space="preserve"> (small Indian mongoose), </w:t>
      </w:r>
      <w:r w:rsidR="00C81287" w:rsidRPr="00C0338D">
        <w:rPr>
          <w:i/>
        </w:rPr>
        <w:t>Papuana huebneri</w:t>
      </w:r>
      <w:r w:rsidR="00C81287" w:rsidRPr="00C0338D">
        <w:t xml:space="preserve"> (taro beetle), </w:t>
      </w:r>
      <w:r w:rsidR="00C81287" w:rsidRPr="00C0338D">
        <w:rPr>
          <w:i/>
        </w:rPr>
        <w:t>Pycnonotus cafer</w:t>
      </w:r>
      <w:r w:rsidR="00C81287" w:rsidRPr="00C0338D">
        <w:t xml:space="preserve"> (red-vented bulbul)</w:t>
      </w:r>
      <w:r w:rsidR="00C16EEB">
        <w:t xml:space="preserve"> and</w:t>
      </w:r>
      <w:r w:rsidR="00C81287" w:rsidRPr="00C0338D">
        <w:t xml:space="preserve"> </w:t>
      </w:r>
      <w:r w:rsidR="00C81287" w:rsidRPr="00C0338D">
        <w:rPr>
          <w:i/>
        </w:rPr>
        <w:t xml:space="preserve">Decalobanthus peltatus </w:t>
      </w:r>
      <w:r w:rsidR="00C81287" w:rsidRPr="00C0338D">
        <w:t>(Merremia). These analyses used survey data, impacts due to the species and management options. The cost-benefit analysis showed that benefits from management far outweigh the costs supporting the need to better manage invasive alien species in the Pacific, but that the most cost-effective management option varied between species.</w:t>
      </w:r>
    </w:p>
    <w:p w14:paraId="0000016D" w14:textId="77777777" w:rsidR="00A758FD" w:rsidRDefault="00C81287">
      <w:pPr>
        <w:spacing w:before="240" w:after="120" w:line="240" w:lineRule="auto"/>
        <w:jc w:val="center"/>
        <w:rPr>
          <w:highlight w:val="white"/>
        </w:rPr>
      </w:pPr>
      <w:r>
        <w:rPr>
          <w:noProof/>
          <w:highlight w:val="white"/>
        </w:rPr>
        <w:lastRenderedPageBreak/>
        <w:drawing>
          <wp:inline distT="0" distB="0" distL="0" distR="0" wp14:anchorId="20C8306E" wp14:editId="3AF6AA27">
            <wp:extent cx="6115050" cy="4894580"/>
            <wp:effectExtent l="0" t="0" r="0" b="0"/>
            <wp:docPr id="1971555466" name="image3.png" descr="A flowchart of a risk assessmen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flowchart of a risk assessment&#10;&#10;Description automatically generated"/>
                    <pic:cNvPicPr preferRelativeResize="0"/>
                  </pic:nvPicPr>
                  <pic:blipFill>
                    <a:blip r:embed="rId34"/>
                    <a:srcRect/>
                    <a:stretch>
                      <a:fillRect/>
                    </a:stretch>
                  </pic:blipFill>
                  <pic:spPr>
                    <a:xfrm>
                      <a:off x="0" y="0"/>
                      <a:ext cx="6115050" cy="4894580"/>
                    </a:xfrm>
                    <a:prstGeom prst="rect">
                      <a:avLst/>
                    </a:prstGeom>
                    <a:ln/>
                  </pic:spPr>
                </pic:pic>
              </a:graphicData>
            </a:graphic>
          </wp:inline>
        </w:drawing>
      </w:r>
    </w:p>
    <w:p w14:paraId="0000016E" w14:textId="7D8CA870" w:rsidR="00A758FD" w:rsidRPr="00C0338D" w:rsidRDefault="00C81287" w:rsidP="00C0338D">
      <w:pPr>
        <w:keepNext/>
        <w:pBdr>
          <w:top w:val="nil"/>
          <w:left w:val="nil"/>
          <w:bottom w:val="nil"/>
          <w:right w:val="nil"/>
          <w:between w:val="nil"/>
        </w:pBdr>
        <w:spacing w:before="240" w:after="120" w:line="240" w:lineRule="auto"/>
        <w:rPr>
          <w:b/>
          <w:i/>
          <w:color w:val="000000"/>
        </w:rPr>
      </w:pPr>
      <w:bookmarkStart w:id="138" w:name="_heading=h.3tbugp1" w:colFirst="0" w:colLast="0"/>
      <w:bookmarkStart w:id="139" w:name="_Ref104970655"/>
      <w:bookmarkStart w:id="140" w:name="_Toc87623104"/>
      <w:bookmarkStart w:id="141" w:name="_Toc147489361"/>
      <w:bookmarkEnd w:id="138"/>
      <w:r w:rsidRPr="00C0338D">
        <w:rPr>
          <w:b/>
          <w:color w:val="000000"/>
        </w:rPr>
        <w:t>Figure 5</w:t>
      </w:r>
      <w:r w:rsidR="000A2DDC" w:rsidRPr="00C0338D">
        <w:rPr>
          <w:b/>
          <w:bCs/>
        </w:rPr>
        <w:t>.</w:t>
      </w:r>
      <w:r w:rsidR="000A2DDC" w:rsidRPr="00C0338D">
        <w:rPr>
          <w:b/>
          <w:bCs/>
        </w:rPr>
        <w:fldChar w:fldCharType="begin"/>
      </w:r>
      <w:r w:rsidR="000A2DDC" w:rsidRPr="00C0338D">
        <w:rPr>
          <w:b/>
          <w:bCs/>
        </w:rPr>
        <w:instrText>SEQ Figure_5. \* ARABIC</w:instrText>
      </w:r>
      <w:r w:rsidR="000A2DDC" w:rsidRPr="00C0338D">
        <w:rPr>
          <w:b/>
          <w:bCs/>
        </w:rPr>
        <w:fldChar w:fldCharType="separate"/>
      </w:r>
      <w:r w:rsidR="00DC77F8" w:rsidRPr="00C0338D">
        <w:rPr>
          <w:b/>
          <w:bCs/>
          <w:noProof/>
        </w:rPr>
        <w:t>8</w:t>
      </w:r>
      <w:r w:rsidR="000A2DDC" w:rsidRPr="00C0338D">
        <w:rPr>
          <w:b/>
          <w:bCs/>
        </w:rPr>
        <w:fldChar w:fldCharType="end"/>
      </w:r>
      <w:bookmarkEnd w:id="139"/>
      <w:bookmarkEnd w:id="140"/>
      <w:r w:rsidR="00E46045" w:rsidRPr="00C0338D">
        <w:rPr>
          <w:b/>
          <w:bCs/>
        </w:rPr>
        <w:t>.</w:t>
      </w:r>
      <w:r w:rsidRPr="00C0338D">
        <w:rPr>
          <w:b/>
          <w:color w:val="000000"/>
        </w:rPr>
        <w:t xml:space="preserve"> </w:t>
      </w:r>
      <w:r w:rsidRPr="00C0338D">
        <w:rPr>
          <w:color w:val="000000"/>
        </w:rPr>
        <w:t>Risk Analysis for Alien Taxa (RAAT) framework developed in South Africa as a standardized and transparent approach to prioritizing and regulating alien species based on evidence. The figure shows the process leading to the development of recommendations for the listing of alien taxa</w:t>
      </w:r>
      <w:r w:rsidRPr="00C0338D">
        <w:rPr>
          <w:i/>
          <w:color w:val="000000"/>
        </w:rPr>
        <w:t xml:space="preserve">. </w:t>
      </w:r>
      <w:r w:rsidRPr="00C0338D">
        <w:rPr>
          <w:color w:val="000000"/>
        </w:rPr>
        <w:t xml:space="preserve">Adapted from Kumschick, Foxcroft, et al. </w:t>
      </w:r>
      <w:r>
        <w:rPr>
          <w:rFonts w:eastAsia="Times New Roman"/>
          <w:color w:val="000000"/>
        </w:rPr>
        <w:t>(2020),</w:t>
      </w:r>
      <w:r>
        <w:rPr>
          <w:rFonts w:eastAsia="Times New Roman"/>
          <w:b/>
          <w:color w:val="000000"/>
        </w:rPr>
        <w:t xml:space="preserve"> </w:t>
      </w:r>
      <w:hyperlink r:id="rId35">
        <w:r>
          <w:rPr>
            <w:rFonts w:eastAsia="Times New Roman"/>
            <w:color w:val="0563C1"/>
            <w:u w:val="single"/>
          </w:rPr>
          <w:t>https://doi.org/10.1007/978-3-030-32394-3_20</w:t>
        </w:r>
      </w:hyperlink>
      <w:r w:rsidRPr="00C0338D">
        <w:rPr>
          <w:color w:val="000000"/>
        </w:rPr>
        <w:t>, under license CC BY 4.0.</w:t>
      </w:r>
      <w:bookmarkEnd w:id="141"/>
    </w:p>
    <w:p w14:paraId="0000016F" w14:textId="77777777" w:rsidR="00A758FD" w:rsidRPr="00C0338D" w:rsidRDefault="00C81287" w:rsidP="00C0338D">
      <w:pPr>
        <w:pStyle w:val="Heading4"/>
      </w:pPr>
      <w:bookmarkStart w:id="142" w:name="_heading=h.28h4qwu" w:colFirst="0" w:colLast="0"/>
      <w:bookmarkStart w:id="143" w:name="_Toc26520300"/>
      <w:bookmarkEnd w:id="142"/>
      <w:r w:rsidRPr="00C0338D">
        <w:t xml:space="preserve">Site </w:t>
      </w:r>
      <w:bookmarkEnd w:id="143"/>
      <w:r w:rsidRPr="00C0338D">
        <w:t>prioritization</w:t>
      </w:r>
    </w:p>
    <w:p w14:paraId="00000170" w14:textId="7CF4642C" w:rsidR="00A758FD" w:rsidRPr="00C0338D" w:rsidRDefault="00C81287">
      <w:pPr>
        <w:spacing w:before="240" w:after="120" w:line="240" w:lineRule="auto"/>
      </w:pPr>
      <w:bookmarkStart w:id="144" w:name="_heading=h.nmf14n" w:colFirst="0" w:colLast="0"/>
      <w:bookmarkStart w:id="145" w:name="_Toc26520301"/>
      <w:bookmarkEnd w:id="144"/>
      <w:r w:rsidRPr="00C0338D">
        <w:t xml:space="preserve">Prioritization of sites for invasive alien species management is built on the individual contexts of national environmental legislations (e.g., threatened species or ecosystem recovery and/or creating protected area networks), local knowledge, resources and management capacity and the cost-effectiveness of available management options. Managing invasive alien species in protected areas will also be prioritized based on the degree to which key ecosystems are invaded or at threat from invasion </w:t>
      </w:r>
      <w:r w:rsidR="00DA3AC7" w:rsidRPr="00837161">
        <w:fldChar w:fldCharType="begin"/>
      </w:r>
      <w:r w:rsidR="000F35EB">
        <w:instrText xml:space="preserve"> ADDIN ZOTERO_ITEM CSL_CITATION {"citationID":"hPqjc7VC","properties":{"formattedCitation":"(Foxcroft, Py\\uc0\\u353{}ek, et al., 2013; Giakoumi, Pey, et al., 2019; X. Liu et al., 2020)","plainCitation":"(Foxcroft, Pyšek, et al., 2013; Giakoumi, Pey, et al., 2019; X. Liu et al., 2020)","noteIndex":0},"citationItems":[{"id":56493,"uris":["http://zotero.org/groups/2352922/items/QT36M3J6","http://zotero.org/groups/2352922/items/75T56DRP"],"itemData":{"id":56493,"type":"article-journal","abstract":"Abstract\n            Protected areas are the cornerstone of biodiversity conservation. However, alien species invasion is an increasing threat to biodiversity, and the extent to which protected areas worldwide are resistant to incursions of alien species remains poorly understood. Here, we investigate establishment by 894 terrestrial alien animals from 11 taxonomic groups including vertebrates and invertebrates across 199,957 protected areas at the global scale. We find that &lt;10% of protected areas are home to any of the alien animals, but there is at least one established population within 10-100 km of the boundaries of 89%-99% of protected areas, while &gt;95% of protected areas are environmentally suitable for establishment. Higher alien richness is observed in IUCN category-II national parks supposedly with stricter protection, and in larger protected areas with higher human footprint and more recent designation. Our results demonstrate that protected areas provide important protection from biological invasions, but invasions may become an increasingly dominant problem in the near future.","container-title":"Nature Communications","DOI":"10.1038/s41467-020-16719-2","ISSN":"2041-1723","issue":"1","journalAbbreviation":"Nat Commun","language":"en","page":"2892","source":"DOI.org (Crossref)","title":"Animal invaders threaten protected areas worldwide","URL":"https://doi.org/10.1038/s41467-020-16719-2","volume":"11","author":[{"family":"Liu","given":"Xuan"},{"family":"Blackburn","given":"Tim M."},{"family":"Song","given":"Tianjian"},{"family":"Wang","given":"Xuyu"},{"family":"Huang","given":"Cong"},{"family":"Li","given":"Yiming"}],"accessed":{"date-parts":[["2023",6,8]]},"issued":{"date-parts":[["2020",6,8]]}},"label":"page"},{"id":31011,"uris":["http://zotero.org/groups/2352922/items/KJIAQIGQ"],"itemData":{"id":31011,"type":"book","collection-title":"Invading Nature - Springer Series in Invasion Ecology","event-place":"Dordrecht","ISBN":"978-94-007-7749-1","language":"en","note":"DOI: 10.1007/978-94-007-7750-7","publisher":"Springer Netherlands","publisher-place":"Dordrecht","source":"DOI.org (Crossref)","title":"Plant Invasions in Protected Areas: Patterns, Problems and Challenges","title-short":"Plant Invasions in Protected Areas","URL":"http://link.springer.com/10.1007/978-94-007-7750-7","volume":"7","editor":[{"family":"Foxcroft","given":"Llewellyn C."},{"family":"Pyšek","given":"Petr"},{"family":"Richardson","given":"David M."},{"family":"Genovesi","given":"Piero"}],"accessed":{"date-parts":[["2019",11,9]]},"issued":{"date-parts":[["2013"]]}},"label":"page"},{"id":27466,"uris":["http://zotero.org/groups/2352922/items/9ZLDX6E3"],"itemData":{"id":27466,"type":"article-journal","container-title":"Ecological Applications","DOI":"10.1002/eap.1809","ISSN":"1051-0761, 1939-5582","issue":"1","journalAbbreviation":"Ecol Appl","language":"en","page":"e01809","source":"DOI.org (Crossref)","title":"Exploring the relationships between marine protected areas and invasive fish in the world's most invaded sea","URL":"https://onlinelibrary.wiley.com/doi/10.1002/eap.1809","volume":"29","author":[{"family":"Giakoumi","given":"Sylvaine"},{"family":"Pey","given":"Alexis"},{"family":"Di Franco","given":"Antonio"},{"family":"Francour","given":"Patrice"},{"family":"Kizilkaya","given":"Zafer"},{"family":"Arda","given":"Yaprak"},{"family":"Raybaud","given":"Virginie"},{"family":"Guidetti","given":"Paolo"}],"accessed":{"date-parts":[["2021",7,8]]},"issued":{"date-parts":[["2019",1]]}},"label":"page"}],"schema":"https://github.com/citation-style-language/schema/raw/master/csl-citation.json"} </w:instrText>
      </w:r>
      <w:r w:rsidR="00DA3AC7" w:rsidRPr="00837161">
        <w:fldChar w:fldCharType="separate"/>
      </w:r>
      <w:r w:rsidR="00271B78" w:rsidRPr="00271B78">
        <w:t>(Foxcroft, Pyšek, et al., 2013; Giakoumi, Pey, et al., 2019; X. Liu et al., 2020)</w:t>
      </w:r>
      <w:r w:rsidR="00DA3AC7" w:rsidRPr="00837161">
        <w:fldChar w:fldCharType="end"/>
      </w:r>
      <w:r w:rsidR="00C556A5" w:rsidRPr="00837161">
        <w:t>.</w:t>
      </w:r>
      <w:r w:rsidRPr="00C0338D">
        <w:t xml:space="preserve"> A combined site and species prioritization framework was developed and implemented in the Brazilian tropical and subtropical dry and humid forest in the Itatiaia National Park </w:t>
      </w:r>
      <w:r w:rsidR="00DA3AC7" w:rsidRPr="00837161">
        <w:fldChar w:fldCharType="begin"/>
      </w:r>
      <w:r w:rsidR="000F35EB">
        <w:instrText xml:space="preserve"> ADDIN ZOTERO_ITEM CSL_CITATION {"citationID":"GexkKmuc","properties":{"formattedCitation":"(Ziller et al., 2020)","plainCitation":"(Ziller et al., 2020)","noteIndex":0},"citationItems":[{"id":24818,"uris":["http://zotero.org/groups/2352922/items/3Z4EKMVM"],"itemData":{"id":24818,"type":"article-journal","abstract":"Invasion by non-native species is one of the major threats to the conservation of biodiversity and to the provision of ecosystem services by protected areas. Invasive species often co-occur in protected areas, represented by sparse, isolated individuals or populations in different stages in the process of invasion. Species invasiveness, habitat invasibility and impact also differ between ecosystems, so the risk of invasion varies. Besides, prioritization is required due to constraints on time, financial and other resources. Priority-setting is therefore key to help protected area managers invest efforts on biological invasions that offer the best chances of producing large-scale positive results at the lowest cost possible. A priority-setting scheme for the control of invasive non-native species in natural areas is presented in this paper. The scheme, based on field observations of species occurrences, was applied to the Itatiaia National Park (Brazil). Priorities are calculated from a combination of three criteria attributed to each occurrence: species risk of invasion considering local ecosystems, invasion stage, and species frequency. Data collected in the field in the Itatiaia National Park were used to calculate priorities for 50 non-native species (six animals and 44 plants) in four locations in the Park. The highest priorities were attributed to species of high risk in an early stage of invasion occurring in one site, whereas a few widespread species of low risk were given lower priority. The scheme has proven functional for setting priorities for the control of non-native species in the Itatiaia National Park and in many other protected areas in Brazil.","container-title":"NeoBiota","DOI":"10.3897/neobiota.62.52633","ISSN":"1314-2488, 1619-0033","journalAbbreviation":"NB","page":"591-606","source":"DOI.org (Crossref)","title":"A priority-setting scheme for the management of invasive non-native species in protected areas","URL":"https://neobiota.pensoft.net/article/52633/","volume":"62","author":[{"family":"Ziller","given":"Sílvia R."},{"family":"Dechoum","given":"Michele de Sá"},{"family":"Silveira","given":"Raphaela Aparecida Duarte"},{"family":"Rosa","given":"Hugo Marques","non-dropping-particle":"da"},{"family":"Motta","given":"Marcelo Souza"},{"family":"Silva","given":"Leonardo Filipe","non-dropping-particle":"da"},{"family":"Oliveira","given":"Beatriz Cunha Mello"},{"family":"Zenni","given":"Rafael D."}],"accessed":{"date-parts":[["2021",3,16]]},"issued":{"date-parts":[["2020",10,15]]}},"label":"page"}],"schema":"https://github.com/citation-style-language/schema/raw/master/csl-citation.json"} </w:instrText>
      </w:r>
      <w:r w:rsidR="00DA3AC7" w:rsidRPr="00837161">
        <w:fldChar w:fldCharType="separate"/>
      </w:r>
      <w:r w:rsidR="00271B78" w:rsidRPr="00271B78">
        <w:t>(Ziller et al., 2020)</w:t>
      </w:r>
      <w:r w:rsidR="00DA3AC7" w:rsidRPr="00837161">
        <w:fldChar w:fldCharType="end"/>
      </w:r>
      <w:r w:rsidRPr="00C0338D">
        <w:t xml:space="preserve"> assessing</w:t>
      </w:r>
      <w:r w:rsidR="00FF055A">
        <w:t xml:space="preserve"> the level of</w:t>
      </w:r>
      <w:r w:rsidRPr="00C0338D">
        <w:t xml:space="preserve"> biological invasion across four locations by 50 alien species. High priority was given to sites with high risk or in the early stages of biological invasion and low invasive alien species frequency. Krug et al</w:t>
      </w:r>
      <w:r w:rsidR="00DD47B4" w:rsidRPr="00837161">
        <w:t>.</w:t>
      </w:r>
      <w:r w:rsidR="00FF055A">
        <w:t xml:space="preserve"> </w:t>
      </w:r>
      <w:r w:rsidR="00DA3AC7" w:rsidRPr="00837161">
        <w:fldChar w:fldCharType="begin"/>
      </w:r>
      <w:r w:rsidR="000F35EB">
        <w:instrText xml:space="preserve"> ADDIN ZOTERO_ITEM CSL_CITATION {"citationID":"wdaPZhrj","properties":{"formattedCitation":"(2009)","plainCitation":"(2009)","noteIndex":0},"citationItems":[{"id":24177,"uris":["http://zotero.org/groups/2352922/items/2GICZSZB"],"itemData":{"id":24177,"type":"article-journal","container-title":"South African Journal of Botany","DOI":"10.1016/j.sajb.2009.02.072","ISSN":"02546299","issue":"2","journalAbbreviation":"South African Journal of Botany","language":"en","page":"408-409","source":"DOI.org (Crossref)","title":"Prioritising areas for the management of invasive alien plants in the CFR: different strategies, different priorities?","title-short":"Prioritising areas for the management of invasive alien plants in the CFR","URL":"https://linkinghub.elsevier.com/retrieve/pii/S0254629909000763","volume":"75","author":[{"family":"Krug","given":"R.M."},{"family":"Roura-Pascual","given":"N."},{"family":"Richardson","given":"D.M."}],"accessed":{"date-parts":[["2020",4,10]]},"issued":{"date-parts":[["2009",4]]}},"label":"page","suppress-author":true}],"schema":"https://github.com/citation-style-language/schema/raw/master/csl-citation.json"} </w:instrText>
      </w:r>
      <w:r w:rsidR="00DA3AC7" w:rsidRPr="00837161">
        <w:fldChar w:fldCharType="separate"/>
      </w:r>
      <w:r w:rsidR="00271B78" w:rsidRPr="00271B78">
        <w:t>(2009)</w:t>
      </w:r>
      <w:r w:rsidR="00DA3AC7" w:rsidRPr="00837161">
        <w:fldChar w:fldCharType="end"/>
      </w:r>
      <w:r w:rsidRPr="00C0338D">
        <w:t xml:space="preserve"> developed a prioritization scheme for the management of invasive alien plants in the Cape Floristic Region (South Africa). The identification of priority areas was based on weighted decision criteria, but the influence of the weighting on the outputs requires evaluation.</w:t>
      </w:r>
    </w:p>
    <w:p w14:paraId="00000171" w14:textId="77777777" w:rsidR="00A758FD" w:rsidRPr="00C0338D" w:rsidRDefault="00C81287" w:rsidP="00C0338D">
      <w:pPr>
        <w:pStyle w:val="Heading4"/>
      </w:pPr>
      <w:r w:rsidRPr="00C0338D">
        <w:lastRenderedPageBreak/>
        <w:t>Management prioritization for species</w:t>
      </w:r>
    </w:p>
    <w:p w14:paraId="00000172" w14:textId="0F87BBC1" w:rsidR="00A758FD" w:rsidRPr="00C0338D" w:rsidRDefault="00C81287">
      <w:pPr>
        <w:spacing w:before="240" w:after="120" w:line="240" w:lineRule="auto"/>
      </w:pPr>
      <w:r w:rsidRPr="00C0338D">
        <w:t xml:space="preserve">Prioritization of management options for species rather than prioritizing species for management is also commonly undertaken for single or multiple species. </w:t>
      </w:r>
      <w:r w:rsidR="00FF055A">
        <w:rPr>
          <w:lang w:eastAsia="en-AU"/>
        </w:rPr>
        <w:t>A p</w:t>
      </w:r>
      <w:r w:rsidR="00F8473A" w:rsidRPr="00837161">
        <w:rPr>
          <w:lang w:eastAsia="en-AU"/>
        </w:rPr>
        <w:t>articipatory d</w:t>
      </w:r>
      <w:r w:rsidR="001B0409" w:rsidRPr="00837161">
        <w:rPr>
          <w:lang w:eastAsia="en-AU"/>
        </w:rPr>
        <w:t>ecision</w:t>
      </w:r>
      <w:r w:rsidR="00A91F9F">
        <w:rPr>
          <w:lang w:eastAsia="en-AU"/>
        </w:rPr>
        <w:t>-</w:t>
      </w:r>
      <w:r w:rsidR="001B0409" w:rsidRPr="00837161">
        <w:rPr>
          <w:lang w:eastAsia="en-AU"/>
        </w:rPr>
        <w:t xml:space="preserve">support software </w:t>
      </w:r>
      <w:r w:rsidR="00FD4044" w:rsidRPr="00837161">
        <w:rPr>
          <w:lang w:eastAsia="en-AU"/>
        </w:rPr>
        <w:t xml:space="preserve">“Zonation” </w:t>
      </w:r>
      <w:r w:rsidR="001B0409" w:rsidRPr="00837161">
        <w:rPr>
          <w:lang w:eastAsia="en-AU"/>
        </w:rPr>
        <w:t>developed for this purpose on Reunion Island</w:t>
      </w:r>
      <w:r w:rsidR="009C3907" w:rsidRPr="00837161">
        <w:rPr>
          <w:lang w:eastAsia="en-AU"/>
        </w:rPr>
        <w:t xml:space="preserve"> </w:t>
      </w:r>
      <w:r w:rsidR="00C25107" w:rsidRPr="00837161">
        <w:rPr>
          <w:lang w:eastAsia="en-AU"/>
        </w:rPr>
        <w:t xml:space="preserve">uses available </w:t>
      </w:r>
      <w:r w:rsidR="00D73D1D" w:rsidRPr="00837161">
        <w:rPr>
          <w:lang w:eastAsia="en-AU"/>
        </w:rPr>
        <w:t xml:space="preserve">spatial </w:t>
      </w:r>
      <w:r w:rsidR="00C25107" w:rsidRPr="00837161">
        <w:rPr>
          <w:lang w:eastAsia="en-AU"/>
        </w:rPr>
        <w:t xml:space="preserve">data </w:t>
      </w:r>
      <w:r w:rsidR="00490D22" w:rsidRPr="00837161">
        <w:rPr>
          <w:lang w:eastAsia="en-AU"/>
        </w:rPr>
        <w:t xml:space="preserve">on native species </w:t>
      </w:r>
      <w:r w:rsidR="002502C4" w:rsidRPr="00837161">
        <w:t>(</w:t>
      </w:r>
      <w:r w:rsidR="001066CE">
        <w:rPr>
          <w:b/>
          <w:iCs/>
        </w:rPr>
        <w:t>G</w:t>
      </w:r>
      <w:r w:rsidR="00777181" w:rsidRPr="001066CE">
        <w:rPr>
          <w:b/>
          <w:iCs/>
        </w:rPr>
        <w:t>lossary</w:t>
      </w:r>
      <w:r w:rsidR="00777181" w:rsidRPr="00837161">
        <w:t xml:space="preserve">) </w:t>
      </w:r>
      <w:r w:rsidR="00490D22" w:rsidRPr="00837161">
        <w:rPr>
          <w:lang w:eastAsia="en-AU"/>
        </w:rPr>
        <w:t xml:space="preserve">and invaded habitats </w:t>
      </w:r>
      <w:r w:rsidR="00D73D1D" w:rsidRPr="00837161">
        <w:rPr>
          <w:lang w:eastAsia="en-AU"/>
        </w:rPr>
        <w:t xml:space="preserve">to </w:t>
      </w:r>
      <w:r w:rsidR="006A1DE3" w:rsidRPr="00837161">
        <w:rPr>
          <w:lang w:eastAsia="en-AU"/>
        </w:rPr>
        <w:t xml:space="preserve">define conservation targets and </w:t>
      </w:r>
      <w:r w:rsidR="00D73D1D" w:rsidRPr="00837161">
        <w:rPr>
          <w:lang w:eastAsia="en-AU"/>
        </w:rPr>
        <w:t xml:space="preserve">provide projections </w:t>
      </w:r>
      <w:r w:rsidR="00C25107" w:rsidRPr="00837161">
        <w:rPr>
          <w:lang w:eastAsia="en-AU"/>
        </w:rPr>
        <w:t xml:space="preserve">at </w:t>
      </w:r>
      <w:r w:rsidR="00397502" w:rsidRPr="00837161">
        <w:rPr>
          <w:lang w:eastAsia="en-AU"/>
        </w:rPr>
        <w:t>management</w:t>
      </w:r>
      <w:r w:rsidR="00FF055A">
        <w:rPr>
          <w:lang w:eastAsia="en-AU"/>
        </w:rPr>
        <w:t>-</w:t>
      </w:r>
      <w:r w:rsidR="00397502" w:rsidRPr="00837161">
        <w:rPr>
          <w:lang w:eastAsia="en-AU"/>
        </w:rPr>
        <w:t>relevant scale</w:t>
      </w:r>
      <w:r w:rsidR="00FF055A">
        <w:rPr>
          <w:lang w:eastAsia="en-AU"/>
        </w:rPr>
        <w:t>, which helps</w:t>
      </w:r>
      <w:r w:rsidR="00C25107" w:rsidRPr="00837161">
        <w:rPr>
          <w:lang w:eastAsia="en-AU"/>
        </w:rPr>
        <w:t xml:space="preserve"> </w:t>
      </w:r>
      <w:r w:rsidR="001B0409" w:rsidRPr="00837161">
        <w:rPr>
          <w:lang w:eastAsia="en-AU"/>
        </w:rPr>
        <w:t xml:space="preserve">to </w:t>
      </w:r>
      <w:r w:rsidR="001F4405" w:rsidRPr="00837161">
        <w:rPr>
          <w:lang w:eastAsia="en-AU"/>
        </w:rPr>
        <w:t>prioritize</w:t>
      </w:r>
      <w:r w:rsidR="001B0409" w:rsidRPr="00837161">
        <w:rPr>
          <w:lang w:eastAsia="en-AU"/>
        </w:rPr>
        <w:t xml:space="preserve"> invasive alien plant management actions </w:t>
      </w:r>
      <w:r w:rsidR="00D7123D" w:rsidRPr="00837161">
        <w:rPr>
          <w:lang w:eastAsia="en-AU"/>
        </w:rPr>
        <w:fldChar w:fldCharType="begin"/>
      </w:r>
      <w:r w:rsidR="000F35EB">
        <w:rPr>
          <w:lang w:eastAsia="en-AU"/>
        </w:rPr>
        <w:instrText xml:space="preserve"> ADDIN ZOTERO_ITEM CSL_CITATION {"citationID":"Gcg2DHmX","properties":{"formattedCitation":"(Fenouillas et al., 2020)","plainCitation":"(Fenouillas et al., 2020)","noteIndex":0},"citationItems":[{"id":25138,"uris":["http://zotero.org/groups/2352922/items/4TYHBU7S"],"itemData":{"id":25138,"type":"document","abstract":"Contexte : Les invasions biologiques constituent une des menaces principales de l’érosion de la biodiversité dans le monde et notamment sur l’île de La Réunion. Cette étude a pour but de coordonner et de spatialiser les enjeux de conservation, en rassemblant toutes les données existantes pour établir un état des lieux spatialisé à une échelle utile aux gestionnaires afin de prioriser les actions de gestion des plantes exotiques envahissantes. Une approche de priorisation spatiale basée sur un algorithme d’aide à la décision a été utilisée. Cette approche est participative et co- développée avec les gestionnaires afin de répondre à une demande du département de La Réunion.\nApproche : Nous avons rassemblés un ensemble solide de données quant à la distribution de la faune et de la flore indigènes, la répartition des habitats et leur niveau d’invasion. L’ensemble de ces données ont été insérées au sein d’un logiciel d’aide à la décision, Zonation, permettant l’identification des enjeux de conservation. L’utilisation de ce logiciel permet l’identification de priorités objectives et basées sur des concepts clés. Ainsi, les priorités identifiées mettent en avant les zones peu envahies, les habitats et espèces rares et sont représentatives de l’ensemble de la biodiversité. Une fois les enjeux de conservation identifiés, il est possible de définir les priorités d’actions de lutte contre les plantes exotiques. Pour cela, trois critères opérationnels ont été utilisés : l’accessibilité de la zone, les priorités d’intervention et l’historique des chantiers.\nRésultats : Ces analyses nous ont permis d’identifier 58 500 ha d’enjeux de conservation parmi lesquels 30% sont considérés comme non envahis, ce qui implique des actions de surveillance. A l’inverse, 53 714 ha de zones potentielles d’intervention ont été identifiées. Parmi ces zones, 4392 ha sont considérés comme étant de forte priorité.\nTrois résultats principaux y sont présentés : la carte du degré d’invasion, les enjeux de conservation et les priorités d’actions de lutte.\nLes données spatiales sont téléchargeables sur le site du GEIR :\nhttps://www.especesinvasives.re/en-pratique/documents-et-outils/article/documents-et-outils","language":"Fran</w:instrText>
      </w:r>
      <w:r w:rsidR="000F35EB">
        <w:rPr>
          <w:rFonts w:hint="eastAsia"/>
          <w:lang w:eastAsia="en-AU"/>
        </w:rPr>
        <w:instrText>ç</w:instrText>
      </w:r>
      <w:r w:rsidR="000F35EB">
        <w:rPr>
          <w:lang w:eastAsia="en-AU"/>
        </w:rPr>
        <w:instrText xml:space="preserve">ais","publisher":"CIRAD, Saint Pierre","title":"Priorisation spatiale des actions de gestion des plantes exotiques envahissantes : une étape-clé de la conservation à long terme des milieux naturels à la Réunion. Version 1","URL":"https://agritrop.cirad.fr/596376/1/Rapport%20technique%20PNR_24_Aout2020.pdf","author":[{"family":"Fenouillas","given":"P"},{"family":"Ah-Peng","given":"C"},{"family":"Amy","given":"E"},{"family":"Bracco","given":"I"},{"family":"Gosset","given":"M"},{"family":"Ingrassia","given":"F"},{"family":"Lavergne","given":"C"},{"family":"Lequette","given":"B"},{"family":"Notter","given":"J C"},{"family":"Pausé","given":"J M"},{"family":"Payet","given":"N"},{"family":"Payet","given":"G"},{"family":"Picot","given":"F"},{"family":"Poungavanon","given":"N"},{"family":"Strasberg","given":"D"},{"family":"Thomas","given":"H"},{"family":"Triolo","given":"J"},{"family":"Turquet","given":"V"},{"family":"Rouget","given":"V"}],"issued":{"date-parts":[["2020"]]}},"label":"page"}],"schema":"https://github.com/citation-style-language/schema/raw/master/csl-citation.json"} </w:instrText>
      </w:r>
      <w:r w:rsidR="00D7123D" w:rsidRPr="00837161">
        <w:rPr>
          <w:lang w:eastAsia="en-AU"/>
        </w:rPr>
        <w:fldChar w:fldCharType="separate"/>
      </w:r>
      <w:r w:rsidR="00271B78" w:rsidRPr="00271B78">
        <w:t>(Fenouillas et al., 2020)</w:t>
      </w:r>
      <w:r w:rsidR="00D7123D" w:rsidRPr="00837161">
        <w:rPr>
          <w:lang w:eastAsia="en-AU"/>
        </w:rPr>
        <w:fldChar w:fldCharType="end"/>
      </w:r>
      <w:r w:rsidR="001B0409" w:rsidRPr="00837161">
        <w:rPr>
          <w:lang w:eastAsia="en-AU"/>
        </w:rPr>
        <w:t>.</w:t>
      </w:r>
      <w:r w:rsidRPr="00C0338D">
        <w:t xml:space="preserve"> Management priorities are defined based on three criteria: area accessibility; site history and likely intervention effectiveness. </w:t>
      </w:r>
    </w:p>
    <w:p w14:paraId="00000173" w14:textId="3ECF3FD6" w:rsidR="00A758FD" w:rsidRPr="00C0338D" w:rsidRDefault="009B4EFA">
      <w:pPr>
        <w:spacing w:before="240" w:after="120" w:line="240" w:lineRule="auto"/>
      </w:pPr>
      <w:r w:rsidRPr="00837161">
        <w:t xml:space="preserve">Helmstedt et al. </w:t>
      </w:r>
      <w:r w:rsidR="006D16CE" w:rsidRPr="00837161">
        <w:fldChar w:fldCharType="begin"/>
      </w:r>
      <w:r w:rsidR="000F35EB">
        <w:instrText xml:space="preserve"> ADDIN ZOTERO_ITEM CSL_CITATION {"citationID":"wKdGzZYA","properties":{"formattedCitation":"(2016)","plainCitation":"(2016)","noteIndex":0},"citationItems":[{"id":22685,"uris":["http://zotero.org/groups/2352922/items/7ASYMI3U"],"itemData":{"id":22685,"type":"article-journal","container-title":"Journal of Applied Ecology","DOI":"10.1111/1365-2664.12599","ISSN":"00218901","issue":"3","journalAbbreviation":"J Appl Ecol","language":"en","page":"733-741","source":"DOI.org (Crossref)","title":"Prioritizing eradication actions on islands: it's not all or nothing","title-short":"Prioritizing eradication actions on islands","URL":"http://doi.wiley.com/10.1111/1365-2664.12599","volume":"53","author":[{"family":"Helmstedt","given":"Kate J."},{"family":"Shaw","given":"Justine D."},{"family":"Bode","given":"Michael"},{"family":"Terauds","given":"Aleks"},{"family":"Springer","given":"Keith"},{"family":"Robinson","given":"Susan A."},{"family":"Possingham","given":"Hugh P."}],"editor":[{"family":"Driscoll","given":"Don"}],"accessed":{"date-parts":[["2020",6,10]]},"issued":{"date-parts":[["2016",6]]}},"label":"page","suppress-author":true}],"schema":"https://github.com/citation-style-language/schema/raw/master/csl-citation.json"} </w:instrText>
      </w:r>
      <w:r w:rsidR="006D16CE" w:rsidRPr="00837161">
        <w:fldChar w:fldCharType="separate"/>
      </w:r>
      <w:r w:rsidR="00271B78" w:rsidRPr="00271B78">
        <w:t>(2016)</w:t>
      </w:r>
      <w:r w:rsidR="006D16CE" w:rsidRPr="00837161">
        <w:fldChar w:fldCharType="end"/>
      </w:r>
      <w:r w:rsidR="006D16CE" w:rsidRPr="00837161">
        <w:t xml:space="preserve"> </w:t>
      </w:r>
      <w:r w:rsidR="000472A6" w:rsidRPr="00837161">
        <w:t xml:space="preserve">prioritized </w:t>
      </w:r>
      <w:r w:rsidR="007428CD" w:rsidRPr="00837161">
        <w:t xml:space="preserve">all </w:t>
      </w:r>
      <w:r w:rsidR="000472A6" w:rsidRPr="00837161">
        <w:t>e</w:t>
      </w:r>
      <w:r w:rsidR="001B0409" w:rsidRPr="00837161">
        <w:t xml:space="preserve">radication </w:t>
      </w:r>
      <w:r w:rsidR="00E13E90" w:rsidRPr="00837161">
        <w:t xml:space="preserve">strategy options </w:t>
      </w:r>
      <w:r w:rsidR="00A37F60" w:rsidRPr="00837161">
        <w:t xml:space="preserve">for invasive </w:t>
      </w:r>
      <w:r w:rsidR="00555381" w:rsidRPr="00837161">
        <w:t xml:space="preserve">alien </w:t>
      </w:r>
      <w:r w:rsidR="007428CD" w:rsidRPr="00837161">
        <w:t xml:space="preserve">mammals </w:t>
      </w:r>
      <w:r w:rsidR="000472A6" w:rsidRPr="00837161">
        <w:t>acr</w:t>
      </w:r>
      <w:r w:rsidR="007428CD" w:rsidRPr="00837161">
        <w:t>o</w:t>
      </w:r>
      <w:r w:rsidR="000472A6" w:rsidRPr="00837161">
        <w:t xml:space="preserve">ss all Australian </w:t>
      </w:r>
      <w:r w:rsidR="001B0409" w:rsidRPr="00837161">
        <w:t xml:space="preserve">islands </w:t>
      </w:r>
      <w:r w:rsidR="007428CD" w:rsidRPr="00837161">
        <w:t xml:space="preserve">taking into account the </w:t>
      </w:r>
      <w:r w:rsidR="001B0409" w:rsidRPr="00837161">
        <w:t>complex decisions faced by managers.</w:t>
      </w:r>
      <w:r w:rsidR="00C81287" w:rsidRPr="00C0338D">
        <w:t xml:space="preserve"> The optimal strategy was to eradicate a subset of invasive alien mammals, intentionally leaving some where either eradication costs were too high or removal might lead to complex ecological responses (e.g., trophic cascades). This eradication strategy was the most cost-effective generating 27 per cent greater ecological benefit across all islands compared to eradicating all invasive alien species on an island. </w:t>
      </w:r>
    </w:p>
    <w:p w14:paraId="00000174" w14:textId="01910F35" w:rsidR="00A758FD" w:rsidRPr="00C0338D" w:rsidRDefault="00C81287">
      <w:pPr>
        <w:spacing w:before="240" w:after="120" w:line="240" w:lineRule="auto"/>
        <w:rPr>
          <w:color w:val="44546A"/>
        </w:rPr>
      </w:pPr>
      <w:r w:rsidRPr="00C0338D">
        <w:t xml:space="preserve">For marine invasive alien species where eradication is very unlikely, managing abundance to below ecologically defined impact thresholds is a better strategy </w:t>
      </w:r>
      <w:r w:rsidR="001B0409" w:rsidRPr="00837161">
        <w:fldChar w:fldCharType="begin"/>
      </w:r>
      <w:r w:rsidR="000F35EB">
        <w:instrText xml:space="preserve"> ADDIN ZOTERO_ITEM CSL_CITATION {"citationID":"Q2YEb2Ot","properties":{"formattedCitation":"(Usseglio et al., 2017)","plainCitation":"(Usseglio et al., 2017)","noteIndex":0},"citationItems":[{"id":22619,"uris":["http://zotero.org/groups/2352922/items/RQ2SRI7L"],"itemData":{"id":22619,"type":"article-journal","abstract":"Introduced Indo-Pacific red lionfish (\n              Pterois volitans/miles\n              ) have spread throughout the greater Caribbean and are associated with a number of negative impacts on reef ecosystems. Human interventions, in the form of culling activities, are becoming common to reduce their numbers and mitigate the negative effects associated with the invasion. However, marine managers must often decide how to best allocate limited resources. Previous work has identified the population size thresholds needed to limit the negative impacts of lionfish. Here we develop a framework that allows managers to predict the removal effort required to achieve specific targets (represented as the percent of lionfish remaining on the reef). We found an important trade-off between time spent removing and achieving an increasingly smaller lionfish density. The model used in our suggested framework requires relatively little data to parameterize, allowing its use with already existing data, permitting managers to tailor their culling strategy to maximize efficiency and rate of success.","container-title":"PeerJ","DOI":"10.7717/peerj.3043","ISSN":"2167-8359","language":"en","page":"e3043","source":"DOI.org (Crossref)","title":"Effectiveness of removals of the invasive lionfish: how many dives are needed to deplete a reef?","title-short":"Effectiveness of removals of the invasive lionfish","URL":"https://peerj.com/articles/3043","volume":"5","author":[{"family":"Usseglio","given":"Paolo"},{"family":"Selwyn","given":"Jason D."},{"family":"Downey-Wall","given":"Alan M."},{"family":"Hogan","given":"J. Derek"}],"accessed":{"date-parts":[["2020",6,15]]},"issued":{"date-parts":[["2017",2,23]]}},"label":"page"}],"schema":"https://github.com/citation-style-language/schema/raw/master/csl-citation.json"} </w:instrText>
      </w:r>
      <w:r w:rsidR="001B0409" w:rsidRPr="00837161">
        <w:fldChar w:fldCharType="separate"/>
      </w:r>
      <w:r w:rsidR="00271B78" w:rsidRPr="00271B78">
        <w:t>(Usseglio et al., 2017)</w:t>
      </w:r>
      <w:r w:rsidR="001B0409" w:rsidRPr="00837161">
        <w:fldChar w:fldCharType="end"/>
      </w:r>
      <w:r w:rsidR="001B0409" w:rsidRPr="00837161">
        <w:t xml:space="preserve">. </w:t>
      </w:r>
      <w:r w:rsidR="009B4EFA" w:rsidRPr="00837161">
        <w:t xml:space="preserve">Giakoumi et al. </w:t>
      </w:r>
      <w:r w:rsidR="001B0409" w:rsidRPr="00837161">
        <w:fldChar w:fldCharType="begin"/>
      </w:r>
      <w:r w:rsidR="000F35EB">
        <w:instrText xml:space="preserve"> ADDIN ZOTERO_ITEM CSL_CITATION {"citationID":"wbnq1qMo","properties":{"formattedCitation":"(2019)","plainCitation":"(2019)","noteIndex":0},"citationItems":[{"id":29962,"uris":["http://zotero.org/groups/2352922/items/LJRP6WWC"],"itemData":{"id":29962,"type":"article-journal","container-title":"Science of The Total Environment","DOI":"10.1016/j.scitotenv.2019.06.282","ISSN":"00489697","journalAbbreviation":"Science of The Total Environment","language":"en","page":"976-982","source":"DOI.org (Crossref)","title":"Management priorities for marine invasive species","URL":"https://linkinghub.elsevier.com/retrieve/pii/S0048969719328554","volume":"688","author":[{"family":"Giakoumi","given":"Sylvaine"},{"family":"Katsanevakis","given":"Stelios"},{"family":"Albano","given":"Paolo G."},{"family":"Azzurro","given":"Ernesto"},{"family":"Cardoso","given":"Ana Cristina"},{"family":"Cebrian","given":"Emma"},{"family":"Deidun","given":"Alan"},{"family":"Edelist","given":"Dor"},{"family":"Francour","given":"Patrice"},{"family":"Jimenez","given":"Carlos"},{"family":"Mačić","given":"Vesna"},{"family":"Occhipinti-Ambrogi","given":"Anna"},{"family":"Rilov","given":"Gil"},{"family":"Sghaier","given":"Yassine Ramzi"}],"accessed":{"date-parts":[["2020",4,10]]},"issued":{"date-parts":[["2019",10]]}},"label":"page","suppress-author":true}],"schema":"https://github.com/citation-style-language/schema/raw/master/csl-citation.json"} </w:instrText>
      </w:r>
      <w:r w:rsidR="001B0409" w:rsidRPr="00837161">
        <w:fldChar w:fldCharType="separate"/>
      </w:r>
      <w:r w:rsidR="00271B78" w:rsidRPr="00271B78">
        <w:t>(2019)</w:t>
      </w:r>
      <w:r w:rsidR="001B0409" w:rsidRPr="00837161">
        <w:fldChar w:fldCharType="end"/>
      </w:r>
      <w:r w:rsidR="001B0409" w:rsidRPr="00837161">
        <w:t xml:space="preserve"> </w:t>
      </w:r>
      <w:r w:rsidR="00146885" w:rsidRPr="00837161">
        <w:t>used experts</w:t>
      </w:r>
      <w:r w:rsidR="001B0409" w:rsidRPr="00837161">
        <w:t xml:space="preserve"> to prioritize 11 management actions for 12 </w:t>
      </w:r>
      <w:r w:rsidR="004D2574" w:rsidRPr="00837161">
        <w:t>invasive alien</w:t>
      </w:r>
      <w:r w:rsidR="001B0409" w:rsidRPr="00837161">
        <w:t xml:space="preserve"> species </w:t>
      </w:r>
      <w:r w:rsidR="004D2574" w:rsidRPr="00837161">
        <w:t xml:space="preserve">with different </w:t>
      </w:r>
      <w:r w:rsidR="001B0409" w:rsidRPr="00837161">
        <w:t>distribution</w:t>
      </w:r>
      <w:r w:rsidR="00CE58DC" w:rsidRPr="00837161">
        <w:t>s and</w:t>
      </w:r>
      <w:r w:rsidR="001B0409" w:rsidRPr="00837161">
        <w:t xml:space="preserve"> dispersal capacity</w:t>
      </w:r>
      <w:r w:rsidR="00CE58DC" w:rsidRPr="00837161">
        <w:t>.</w:t>
      </w:r>
      <w:r w:rsidRPr="00C0338D">
        <w:t xml:space="preserve"> Each action was assessed using five criteria (effectiveness, feasibility, acceptability, impacts on native communities</w:t>
      </w:r>
      <w:r w:rsidR="00C16EEB">
        <w:t xml:space="preserve"> and</w:t>
      </w:r>
      <w:r w:rsidRPr="00C0338D">
        <w:t xml:space="preserve"> cost) combined into an “applicability” metric. Rapid removal early in the biological invasion process and seeking commercial value from remaining species were ranked the highest</w:t>
      </w:r>
      <w:r w:rsidR="00687412">
        <w:t xml:space="preserve"> management actions,</w:t>
      </w:r>
      <w:r w:rsidRPr="00C0338D">
        <w:t xml:space="preserve"> while application of biological control ranked the lowest.</w:t>
      </w:r>
    </w:p>
    <w:p w14:paraId="00000175" w14:textId="77777777" w:rsidR="00A758FD" w:rsidRPr="00C0338D" w:rsidRDefault="00C81287" w:rsidP="002F2F42">
      <w:pPr>
        <w:pStyle w:val="Heading3"/>
      </w:pPr>
      <w:bookmarkStart w:id="146" w:name="_heading=h.37m2jsg" w:colFirst="0" w:colLast="0"/>
      <w:bookmarkStart w:id="147" w:name="_Toc87623131"/>
      <w:bookmarkStart w:id="148" w:name="_Toc131681633"/>
      <w:bookmarkEnd w:id="146"/>
      <w:r w:rsidRPr="00C0338D">
        <w:t>Dealing with uncertainty in decision-making</w:t>
      </w:r>
      <w:bookmarkEnd w:id="147"/>
      <w:bookmarkEnd w:id="148"/>
      <w:r w:rsidRPr="00C0338D">
        <w:t xml:space="preserve"> </w:t>
      </w:r>
    </w:p>
    <w:p w14:paraId="660CB77C" w14:textId="70BD7C25" w:rsidR="00D014A7" w:rsidRPr="00837161" w:rsidRDefault="005B7C20" w:rsidP="00C11DFA">
      <w:pPr>
        <w:spacing w:before="240" w:after="120" w:line="240" w:lineRule="auto"/>
        <w:rPr>
          <w:lang w:eastAsia="en-AU"/>
        </w:rPr>
      </w:pPr>
      <w:bookmarkStart w:id="149" w:name="_heading=h.1mrcu09" w:colFirst="0" w:colLast="0"/>
      <w:bookmarkEnd w:id="145"/>
      <w:bookmarkEnd w:id="149"/>
      <w:r w:rsidRPr="00837161">
        <w:rPr>
          <w:lang w:eastAsia="en-AU"/>
        </w:rPr>
        <w:t>Decision-making</w:t>
      </w:r>
      <w:r w:rsidR="000F253C" w:rsidRPr="00837161">
        <w:rPr>
          <w:lang w:eastAsia="en-AU"/>
        </w:rPr>
        <w:t xml:space="preserve">, </w:t>
      </w:r>
      <w:r w:rsidR="007B19E5" w:rsidRPr="00837161">
        <w:rPr>
          <w:lang w:eastAsia="en-AU"/>
        </w:rPr>
        <w:t xml:space="preserve">including </w:t>
      </w:r>
      <w:r w:rsidR="000F253C" w:rsidRPr="00837161">
        <w:rPr>
          <w:lang w:eastAsia="en-AU"/>
        </w:rPr>
        <w:t>for</w:t>
      </w:r>
      <w:r w:rsidR="001B0409" w:rsidRPr="00837161">
        <w:rPr>
          <w:lang w:eastAsia="en-AU"/>
        </w:rPr>
        <w:t xml:space="preserve"> </w:t>
      </w:r>
      <w:r w:rsidR="00C0338D">
        <w:t>management of biological invasions</w:t>
      </w:r>
      <w:r w:rsidR="00687412">
        <w:t>,</w:t>
      </w:r>
      <w:r w:rsidR="00C0338D">
        <w:t xml:space="preserve"> </w:t>
      </w:r>
      <w:r w:rsidR="00751A5A" w:rsidRPr="00837161">
        <w:rPr>
          <w:lang w:eastAsia="en-AU"/>
        </w:rPr>
        <w:t xml:space="preserve">is </w:t>
      </w:r>
      <w:r w:rsidR="00CF05AB" w:rsidRPr="00837161">
        <w:rPr>
          <w:lang w:eastAsia="en-AU"/>
        </w:rPr>
        <w:t xml:space="preserve">weakened by </w:t>
      </w:r>
      <w:r w:rsidR="00844135" w:rsidRPr="00837161">
        <w:rPr>
          <w:lang w:eastAsia="en-AU"/>
        </w:rPr>
        <w:t xml:space="preserve">multiple forms of </w:t>
      </w:r>
      <w:r w:rsidR="00CF05AB" w:rsidRPr="00837161">
        <w:rPr>
          <w:lang w:eastAsia="en-AU"/>
        </w:rPr>
        <w:t>uncertainty</w:t>
      </w:r>
      <w:r w:rsidR="003F2CE4" w:rsidRPr="00837161">
        <w:rPr>
          <w:lang w:eastAsia="en-AU"/>
        </w:rPr>
        <w:t>, bias</w:t>
      </w:r>
      <w:r w:rsidR="00CF05AB" w:rsidRPr="00837161">
        <w:rPr>
          <w:lang w:eastAsia="en-AU"/>
        </w:rPr>
        <w:t xml:space="preserve"> and knowledge gaps</w:t>
      </w:r>
      <w:r w:rsidR="001B0409" w:rsidRPr="00837161">
        <w:rPr>
          <w:lang w:eastAsia="en-AU"/>
        </w:rPr>
        <w:t xml:space="preserve"> </w:t>
      </w:r>
      <w:r w:rsidR="001B0409" w:rsidRPr="00837161">
        <w:rPr>
          <w:lang w:eastAsia="en-AU"/>
        </w:rPr>
        <w:fldChar w:fldCharType="begin"/>
      </w:r>
      <w:r w:rsidR="000F35EB">
        <w:rPr>
          <w:lang w:eastAsia="en-AU"/>
        </w:rPr>
        <w:instrText xml:space="preserve"> ADDIN ZOTERO_ITEM CSL_CITATION {"citationID":"XiD4nGBL","properties":{"formattedCitation":"(Moon et al., 2017)","plainCitation":"(Moon et al., 2017)","noteIndex":0},"citationItems":[{"id":11270,"uris":["http://zotero.org/groups/2352922/items/M4V4ZWXW"],"itemData":{"id":11270,"type":"article-journal","container-title":"Biological Invasions","DOI":"10.1007/s10530-016-1351-7","ISSN":"1387-3547, 1573-1464","issue":"3","journalAbbreviation":"Biol Invasions","language":"en","page":"785-797","source":"DOI.org (Crossref)","title":"Environmental governance for urgent and uncertain problems","URL":"http://link.springer.com/10.1007/s10530-016-1351-7","volume":"19","author":[{"family":"Moon","given":"Katie"},{"family":"Blackman","given":"Deborah"},{"family":"Brewer","given":"Tom D."},{"family":"Sarre","given":"Stephen D."}],"accessed":{"date-parts":[["2020",12,3]]},"issued":{"date-parts":[["2017",3]]}},"label":"page"}],"schema":"https://github.com/citation-style-language/schema/raw/master/csl-citation.json"} </w:instrText>
      </w:r>
      <w:r w:rsidR="001B0409" w:rsidRPr="00837161">
        <w:rPr>
          <w:lang w:eastAsia="en-AU"/>
        </w:rPr>
        <w:fldChar w:fldCharType="separate"/>
      </w:r>
      <w:r w:rsidR="00271B78" w:rsidRPr="00271B78">
        <w:t>(Moon et al., 2017)</w:t>
      </w:r>
      <w:r w:rsidR="001B0409" w:rsidRPr="00837161">
        <w:rPr>
          <w:lang w:eastAsia="en-AU"/>
        </w:rPr>
        <w:fldChar w:fldCharType="end"/>
      </w:r>
      <w:r w:rsidR="001B0409" w:rsidRPr="00837161">
        <w:rPr>
          <w:lang w:eastAsia="en-AU"/>
        </w:rPr>
        <w:t xml:space="preserve">. </w:t>
      </w:r>
      <w:r w:rsidR="00787A55" w:rsidRPr="00837161">
        <w:rPr>
          <w:lang w:eastAsia="en-AU"/>
        </w:rPr>
        <w:t>Key gaps include future threats</w:t>
      </w:r>
      <w:r w:rsidR="00687412">
        <w:rPr>
          <w:lang w:eastAsia="en-AU"/>
        </w:rPr>
        <w:t xml:space="preserve">, </w:t>
      </w:r>
      <w:r w:rsidR="00B86A1A" w:rsidRPr="00837161">
        <w:rPr>
          <w:lang w:eastAsia="en-AU"/>
        </w:rPr>
        <w:t>likely</w:t>
      </w:r>
      <w:r w:rsidR="00687412">
        <w:rPr>
          <w:lang w:eastAsia="en-AU"/>
        </w:rPr>
        <w:t>-</w:t>
      </w:r>
      <w:r w:rsidR="001B0409" w:rsidRPr="00837161">
        <w:rPr>
          <w:lang w:eastAsia="en-AU"/>
        </w:rPr>
        <w:t>establish</w:t>
      </w:r>
      <w:r w:rsidR="00B86A1A" w:rsidRPr="00837161">
        <w:rPr>
          <w:lang w:eastAsia="en-AU"/>
        </w:rPr>
        <w:t xml:space="preserve">ment patterns </w:t>
      </w:r>
      <w:r w:rsidR="006A16E4" w:rsidRPr="00837161">
        <w:rPr>
          <w:lang w:eastAsia="en-AU"/>
        </w:rPr>
        <w:t xml:space="preserve">and the interactions with </w:t>
      </w:r>
      <w:r w:rsidR="001B0409" w:rsidRPr="00837161">
        <w:rPr>
          <w:lang w:eastAsia="en-AU"/>
        </w:rPr>
        <w:t xml:space="preserve">climate change </w:t>
      </w:r>
      <w:r w:rsidR="001B0409" w:rsidRPr="00837161">
        <w:rPr>
          <w:lang w:eastAsia="en-AU"/>
        </w:rPr>
        <w:fldChar w:fldCharType="begin"/>
      </w:r>
      <w:r w:rsidR="000F35EB">
        <w:rPr>
          <w:lang w:eastAsia="en-AU"/>
        </w:rPr>
        <w:instrText xml:space="preserve"> ADDIN ZOTERO_ITEM CSL_CITATION {"citationID":"axKS2oce","properties":{"formattedCitation":"(Leung et al., 2012)","plainCitation":"(Leung et al., 2012)","noteIndex":0},"citationItems":[{"id":32211,"uris":["http://zotero.org/groups/2352922/items/R9RJTXKB"],"itemData":{"id":32211,"type":"article-journal","abstract":"Some alien species cause substantial impacts, yet most are innocuous. Given limited resources, forecasting risks from alien species will help prioritise management. Given that risk assessment (RA) approaches vary widely, a synthesis is timely to highlight best practices. We reviewed quantitative and scoring RAs, integrating &gt; 300 publications into arguably the most rigorous quantitative RA framework currently existing, and mapping each study onto our framework, which combines Transport, Establishment, Abundance, Spread and Impact (TEASI). Quantitative models generally measured single risk components (78% of studies), often focusing on Establishment alone (79%). Although dominant in academia, quantitative RAs are underused in policy, and should be made more accessible. Accommodating heterogeneous limited data, combining across risk components, and developing generalised RAs across species, space and time without requiring new models for each species may increase attractiveness for policy applications. Comparatively, scoring approaches covered more risk components (50% examined &gt; 3 components), with Impact being the most common component (87%), and have been widely applied in policy (&gt; 57%), but primarily employed expert opinion. Our framework provides guidance for questions asked, combining scores and other improvements. Our risk framework need not be completely parameterised to be informative, but instead identifies opportunities for improvement in alien species RA.","container-title":"Ecology Letters","DOI":"10.1111/ele.12003","ISSN":"1461-023X","issue":"12","journalAbbreviation":"Ecol Lett","language":"en","note":"WOS:000310250600015","page":"1475-1493","source":"DOI.org (Crossref)","title":"TEASIng apart alien species risk assessments: a framework for best practices","title-short":"TEASIng apart alien species risk assessments","URL":"https://www.scopus.com/inward/record.uri?eid=2-s2.0-84867484022&amp;doi=10.1111%2fele.12003&amp;partnerID=40&amp;md5=82db3ec22be611e1a15ca31e1989f9ab","volume":"15","author":[{"family":"Leung","given":"Brian"},{"family":"Roura-Pascual","given":"Nuria"},{"family":"Bacher","given":"Sven"},{"family":"Heikkila","given":"Jaakko"},{"family":"Brotons","given":"Lluis"},{"family":"Burgman","given":"Mark A."},{"family":"Dehnen-Schmutz","given":"Katharina"},{"family":"Essl","given":"Franz"},{"family":"Hulme","given":"Philip E."},{"family":"Richardson","given":"David M."},{"family":"Sol","given":"Daniel"},{"family":"Vilà","given":"Montserrat"}],"issued":{"date-parts":[["2012",12]]}},"label":"page"}],"schema":"https://github.com/citation-style-language/schema/raw/master/csl-citation.json"} </w:instrText>
      </w:r>
      <w:r w:rsidR="001B0409" w:rsidRPr="00837161">
        <w:rPr>
          <w:lang w:eastAsia="en-AU"/>
        </w:rPr>
        <w:fldChar w:fldCharType="separate"/>
      </w:r>
      <w:r w:rsidR="00271B78" w:rsidRPr="00271B78">
        <w:t>(Leung et al., 2012)</w:t>
      </w:r>
      <w:r w:rsidR="001B0409" w:rsidRPr="00837161">
        <w:rPr>
          <w:lang w:eastAsia="en-AU"/>
        </w:rPr>
        <w:fldChar w:fldCharType="end"/>
      </w:r>
      <w:r w:rsidR="00C0028D" w:rsidRPr="00837161">
        <w:rPr>
          <w:lang w:eastAsia="en-AU"/>
        </w:rPr>
        <w:t xml:space="preserve">. </w:t>
      </w:r>
      <w:r w:rsidR="001B0409" w:rsidRPr="00837161">
        <w:rPr>
          <w:lang w:eastAsia="en-AU"/>
        </w:rPr>
        <w:t>Regan et al</w:t>
      </w:r>
      <w:r w:rsidR="00B15D9D" w:rsidRPr="00837161">
        <w:rPr>
          <w:lang w:eastAsia="en-AU"/>
        </w:rPr>
        <w:t>.</w:t>
      </w:r>
      <w:r w:rsidR="001B0409" w:rsidRPr="00837161">
        <w:rPr>
          <w:lang w:eastAsia="en-AU"/>
        </w:rPr>
        <w:t xml:space="preserve"> </w:t>
      </w:r>
      <w:r w:rsidR="001B0409" w:rsidRPr="00837161">
        <w:rPr>
          <w:lang w:eastAsia="en-AU"/>
        </w:rPr>
        <w:fldChar w:fldCharType="begin"/>
      </w:r>
      <w:r w:rsidR="000F35EB">
        <w:rPr>
          <w:lang w:eastAsia="en-AU"/>
        </w:rPr>
        <w:instrText xml:space="preserve"> ADDIN ZOTERO_ITEM CSL_CITATION {"citationID":"X0x8f1ye","properties":{"formattedCitation":"(2002)","plainCitation":"(2002)","noteIndex":0},"citationItems":[{"id":11691,"uris":["http://zotero.org/groups/2352922/items/FAWZTUAE"],"itemData":{"id":11691,"type":"article-journal","abstract":"Uncertainty is pervasive in ecology where the difﬁculties of dealing with sources of uncertainty are exacerbated by variation in the system itself. Attempts at classifying uncertainty in ecology have, for the most part, focused exclusively on epistemic uncertainty. In this paper we classify uncertainty into two main categories: epistemic uncertainty (uncertainty in determinate facts) and linguistic uncertainty (uncertainty in language). We provide a classiﬁcation of sources of uncertainty under the two main categories and demonstrate how each impacts on applications in ecology and conservation biology. In particular, we demonstrate the importance of recognizing the effect of linguistic uncertainty, in addition to epistemic uncertainty, in ecological applications. The signiﬁcance to ecology and conservation biology of developing a clear understanding of the various types of uncertainty, how they arise and how they might best be dealt with is highlighted. Finally, we discuss the various general strategies for dealing with each type of uncertainty and offer suggestions for treating compounding uncertainty from a range of sources.","container-title":"Ecological Applications","DOI":"10.1890/1051-0761(2002)012[0618:ATATOU]2.0.CO;2","ISSN":"1051-0761","issue":"2","journalAbbreviation":"Ecological Applications","language":"en","page":"618-628","source":"DOI.org (Crossref)","title":"A Taxonomy and Treatment of Uncertainty for Ecology and Conservation Biology","URL":"http://doi.wiley.com/10.1890/1051-0761(2002)012[0618:ATATOU]2.0.CO;2","volume":"12","author":[{"family":"Regan","given":"Helen M."},{"family":"Colyvan","given":"Mark"},{"family":"Burgman","given":"Mark A."}],"accessed":{"date-parts":[["2020",4,28]]},"issued":{"date-parts":[["2002",4]]}},"label":"page","suppress-author":true}],"schema":"https://github.com/citation-style-language/schema/raw/master/csl-citation.json"} </w:instrText>
      </w:r>
      <w:r w:rsidR="001B0409" w:rsidRPr="00837161">
        <w:rPr>
          <w:lang w:eastAsia="en-AU"/>
        </w:rPr>
        <w:fldChar w:fldCharType="separate"/>
      </w:r>
      <w:r w:rsidR="00271B78" w:rsidRPr="00271B78">
        <w:t>(2002)</w:t>
      </w:r>
      <w:r w:rsidR="001B0409" w:rsidRPr="00837161">
        <w:rPr>
          <w:lang w:eastAsia="en-AU"/>
        </w:rPr>
        <w:fldChar w:fldCharType="end"/>
      </w:r>
      <w:r w:rsidR="001B0409" w:rsidRPr="00837161">
        <w:rPr>
          <w:lang w:eastAsia="en-AU"/>
        </w:rPr>
        <w:t xml:space="preserve"> developed a typology of uncertainty in conservation </w:t>
      </w:r>
      <w:r w:rsidRPr="00837161">
        <w:rPr>
          <w:lang w:eastAsia="en-AU"/>
        </w:rPr>
        <w:t>decision-making</w:t>
      </w:r>
      <w:r w:rsidR="001B0409" w:rsidRPr="00837161">
        <w:rPr>
          <w:lang w:eastAsia="en-AU"/>
        </w:rPr>
        <w:t xml:space="preserve"> </w:t>
      </w:r>
      <w:r w:rsidR="769E8D7A" w:rsidRPr="00837161">
        <w:rPr>
          <w:lang w:eastAsia="en-AU"/>
        </w:rPr>
        <w:t>t</w:t>
      </w:r>
      <w:r w:rsidR="003E3639" w:rsidRPr="00837161">
        <w:rPr>
          <w:lang w:eastAsia="en-AU"/>
        </w:rPr>
        <w:t>ak</w:t>
      </w:r>
      <w:r w:rsidR="64E64C20" w:rsidRPr="00837161">
        <w:rPr>
          <w:lang w:eastAsia="en-AU"/>
        </w:rPr>
        <w:t>ing</w:t>
      </w:r>
      <w:r w:rsidR="003E3639" w:rsidRPr="00837161">
        <w:rPr>
          <w:lang w:eastAsia="en-AU"/>
        </w:rPr>
        <w:t xml:space="preserve"> </w:t>
      </w:r>
      <w:r w:rsidR="00687412">
        <w:rPr>
          <w:lang w:eastAsia="en-AU"/>
        </w:rPr>
        <w:t>these gaps</w:t>
      </w:r>
      <w:r w:rsidR="00687412" w:rsidRPr="00837161">
        <w:rPr>
          <w:lang w:eastAsia="en-AU"/>
        </w:rPr>
        <w:t xml:space="preserve"> </w:t>
      </w:r>
      <w:r w:rsidR="00DF404B" w:rsidRPr="00837161">
        <w:rPr>
          <w:lang w:eastAsia="en-AU"/>
        </w:rPr>
        <w:t>into account</w:t>
      </w:r>
      <w:r w:rsidR="001B0409" w:rsidRPr="00837161">
        <w:rPr>
          <w:lang w:eastAsia="en-AU"/>
        </w:rPr>
        <w:t xml:space="preserve">. This typology </w:t>
      </w:r>
      <w:r w:rsidR="00C33E10" w:rsidRPr="00837161">
        <w:rPr>
          <w:lang w:eastAsia="en-AU"/>
        </w:rPr>
        <w:t>includes</w:t>
      </w:r>
      <w:r w:rsidR="001B0409" w:rsidRPr="00837161">
        <w:rPr>
          <w:lang w:eastAsia="en-AU"/>
        </w:rPr>
        <w:t xml:space="preserve"> epistemic uncertainty associated with the knowledge of the system, and the linguistic uncertainty </w:t>
      </w:r>
      <w:r w:rsidR="000834C6" w:rsidRPr="00837161">
        <w:rPr>
          <w:lang w:eastAsia="en-AU"/>
        </w:rPr>
        <w:t>associ</w:t>
      </w:r>
      <w:r w:rsidR="00474FA3" w:rsidRPr="00837161">
        <w:rPr>
          <w:lang w:eastAsia="en-AU"/>
        </w:rPr>
        <w:t>a</w:t>
      </w:r>
      <w:r w:rsidR="000834C6" w:rsidRPr="00837161">
        <w:rPr>
          <w:lang w:eastAsia="en-AU"/>
        </w:rPr>
        <w:t xml:space="preserve">ted with communication between </w:t>
      </w:r>
      <w:r w:rsidR="001A61BA" w:rsidRPr="00837161">
        <w:rPr>
          <w:lang w:eastAsia="en-AU"/>
        </w:rPr>
        <w:t xml:space="preserve">culturally different </w:t>
      </w:r>
      <w:r w:rsidR="000834C6" w:rsidRPr="00837161">
        <w:rPr>
          <w:lang w:eastAsia="en-AU"/>
        </w:rPr>
        <w:t>stakeholders</w:t>
      </w:r>
      <w:r w:rsidR="001B0409" w:rsidRPr="00837161">
        <w:rPr>
          <w:lang w:eastAsia="en-AU"/>
        </w:rPr>
        <w:t xml:space="preserve">. </w:t>
      </w:r>
      <w:r w:rsidR="64732E92" w:rsidRPr="00837161">
        <w:rPr>
          <w:lang w:eastAsia="en-AU"/>
        </w:rPr>
        <w:t xml:space="preserve">It </w:t>
      </w:r>
      <w:r w:rsidR="001B0409" w:rsidRPr="00837161">
        <w:rPr>
          <w:lang w:eastAsia="en-AU"/>
        </w:rPr>
        <w:t xml:space="preserve">has been used to evaluate the degree of uncertainty associated with </w:t>
      </w:r>
      <w:r w:rsidR="008111A5" w:rsidRPr="00837161">
        <w:rPr>
          <w:lang w:eastAsia="en-AU"/>
        </w:rPr>
        <w:t>prioritization</w:t>
      </w:r>
      <w:r w:rsidR="001B0409" w:rsidRPr="00837161">
        <w:rPr>
          <w:lang w:eastAsia="en-AU"/>
        </w:rPr>
        <w:t xml:space="preserve"> approaches by</w:t>
      </w:r>
      <w:r w:rsidR="00613457" w:rsidRPr="00837161">
        <w:rPr>
          <w:lang w:eastAsia="en-AU"/>
        </w:rPr>
        <w:t xml:space="preserve"> McGeoch et al.</w:t>
      </w:r>
      <w:r w:rsidR="001B0409" w:rsidRPr="00837161">
        <w:rPr>
          <w:lang w:eastAsia="en-AU"/>
        </w:rPr>
        <w:t xml:space="preserve"> </w:t>
      </w:r>
      <w:r w:rsidR="001B0409" w:rsidRPr="00837161">
        <w:rPr>
          <w:lang w:eastAsia="en-AU"/>
        </w:rPr>
        <w:fldChar w:fldCharType="begin"/>
      </w:r>
      <w:r w:rsidR="000F35EB">
        <w:rPr>
          <w:lang w:eastAsia="en-AU"/>
        </w:rPr>
        <w:instrText xml:space="preserve"> ADDIN ZOTERO_ITEM CSL_CITATION {"citationID":"M6K7crHi","properties":{"formattedCitation":"(2012)","plainCitation":"(2012)","noteIndex":0},"citationItems":[{"id":29287,"uris":["http://zotero.org/groups/2352922/items/I5I5N6GD"],"itemData":{"id":29287,"type":"article-journal","abstract":"Lists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J."},{"family":"Marais","given":"Elrike"}],"accessed":{"date-parts":[["2019",11,9]]},"issued":{"date-parts":[["2012",4]]}},"label":"page","suppress-author":true}],"schema":"https://github.com/citation-style-language/schema/raw/master/csl-citation.json"} </w:instrText>
      </w:r>
      <w:r w:rsidR="001B0409" w:rsidRPr="00837161">
        <w:rPr>
          <w:lang w:eastAsia="en-AU"/>
        </w:rPr>
        <w:fldChar w:fldCharType="separate"/>
      </w:r>
      <w:r w:rsidR="00271B78" w:rsidRPr="00271B78">
        <w:t>(2012)</w:t>
      </w:r>
      <w:r w:rsidR="001B0409" w:rsidRPr="00837161">
        <w:rPr>
          <w:lang w:eastAsia="en-AU"/>
        </w:rPr>
        <w:fldChar w:fldCharType="end"/>
      </w:r>
      <w:r w:rsidR="001B0409" w:rsidRPr="00837161">
        <w:rPr>
          <w:lang w:eastAsia="en-AU"/>
        </w:rPr>
        <w:t xml:space="preserve"> (</w:t>
      </w:r>
      <w:r w:rsidR="00191A6E">
        <w:rPr>
          <w:b/>
          <w:iCs/>
        </w:rPr>
        <w:t>Table 5.2</w:t>
      </w:r>
      <w:r w:rsidR="001B0409" w:rsidRPr="00837161">
        <w:rPr>
          <w:lang w:eastAsia="en-AU"/>
        </w:rPr>
        <w:t>)</w:t>
      </w:r>
      <w:r w:rsidR="7FAD2061" w:rsidRPr="00837161">
        <w:rPr>
          <w:lang w:eastAsia="en-AU"/>
        </w:rPr>
        <w:t>.</w:t>
      </w:r>
      <w:r w:rsidR="00DA0FE5" w:rsidRPr="00837161">
        <w:rPr>
          <w:lang w:eastAsia="en-AU"/>
        </w:rPr>
        <w:t xml:space="preserve"> </w:t>
      </w:r>
      <w:r w:rsidR="00511E9D" w:rsidRPr="00837161">
        <w:rPr>
          <w:lang w:eastAsia="en-AU"/>
        </w:rPr>
        <w:t>T</w:t>
      </w:r>
      <w:r w:rsidR="001B0409" w:rsidRPr="00837161">
        <w:rPr>
          <w:lang w:eastAsia="en-AU"/>
        </w:rPr>
        <w:t>he majority of uncertainty sources are epistemic</w:t>
      </w:r>
      <w:r w:rsidR="00687412">
        <w:rPr>
          <w:lang w:eastAsia="en-AU"/>
        </w:rPr>
        <w:t xml:space="preserve">, and are </w:t>
      </w:r>
      <w:r w:rsidR="004319C9" w:rsidRPr="00837161">
        <w:rPr>
          <w:lang w:eastAsia="en-AU"/>
        </w:rPr>
        <w:t>caused by qua</w:t>
      </w:r>
      <w:r w:rsidR="004A582F" w:rsidRPr="00837161">
        <w:rPr>
          <w:lang w:eastAsia="en-AU"/>
        </w:rPr>
        <w:t>n</w:t>
      </w:r>
      <w:r w:rsidR="004319C9" w:rsidRPr="00837161">
        <w:rPr>
          <w:lang w:eastAsia="en-AU"/>
        </w:rPr>
        <w:t>titative inaccuracies</w:t>
      </w:r>
      <w:r w:rsidR="001B0409" w:rsidRPr="00837161">
        <w:rPr>
          <w:lang w:eastAsia="en-AU"/>
        </w:rPr>
        <w:t xml:space="preserve"> and knowledge </w:t>
      </w:r>
      <w:r w:rsidR="000176D9" w:rsidRPr="00837161">
        <w:rPr>
          <w:lang w:eastAsia="en-AU"/>
        </w:rPr>
        <w:t>gaps</w:t>
      </w:r>
      <w:r w:rsidR="001B0409" w:rsidRPr="00837161">
        <w:rPr>
          <w:lang w:eastAsia="en-AU"/>
        </w:rPr>
        <w:t>.</w:t>
      </w:r>
      <w:bookmarkStart w:id="150" w:name="_Ref104971596"/>
      <w:bookmarkStart w:id="151" w:name="_Toc87553785"/>
      <w:bookmarkStart w:id="152" w:name="_Toc87623084"/>
      <w:r w:rsidR="00D014A7" w:rsidRPr="00837161">
        <w:br w:type="page"/>
      </w:r>
    </w:p>
    <w:p w14:paraId="00000177" w14:textId="4A67E55A" w:rsidR="00A758FD" w:rsidRPr="00AC1F76" w:rsidRDefault="153D15DC" w:rsidP="00AC1F76">
      <w:pPr>
        <w:keepNext/>
        <w:pBdr>
          <w:top w:val="nil"/>
          <w:left w:val="nil"/>
          <w:bottom w:val="nil"/>
          <w:right w:val="nil"/>
          <w:between w:val="nil"/>
        </w:pBdr>
        <w:spacing w:before="240" w:after="120" w:line="240" w:lineRule="auto"/>
        <w:rPr>
          <w:color w:val="000000"/>
        </w:rPr>
      </w:pPr>
      <w:bookmarkStart w:id="153" w:name="_Ref131673006"/>
      <w:bookmarkStart w:id="154" w:name="_Toc147489079"/>
      <w:r w:rsidRPr="00C0338D">
        <w:rPr>
          <w:b/>
          <w:bCs/>
        </w:rPr>
        <w:lastRenderedPageBreak/>
        <w:t>Table 5.</w:t>
      </w:r>
      <w:r w:rsidRPr="00C0338D">
        <w:rPr>
          <w:b/>
          <w:bCs/>
        </w:rPr>
        <w:fldChar w:fldCharType="begin"/>
      </w:r>
      <w:r w:rsidRPr="00C0338D">
        <w:rPr>
          <w:b/>
          <w:bCs/>
        </w:rPr>
        <w:instrText>SEQ Table_5. \* ARABIC</w:instrText>
      </w:r>
      <w:r w:rsidRPr="00C0338D">
        <w:rPr>
          <w:b/>
          <w:bCs/>
        </w:rPr>
        <w:fldChar w:fldCharType="separate"/>
      </w:r>
      <w:r w:rsidR="00DC77F8" w:rsidRPr="00C0338D">
        <w:rPr>
          <w:b/>
          <w:bCs/>
          <w:noProof/>
        </w:rPr>
        <w:t>2</w:t>
      </w:r>
      <w:r w:rsidRPr="00C0338D">
        <w:rPr>
          <w:b/>
          <w:bCs/>
        </w:rPr>
        <w:fldChar w:fldCharType="end"/>
      </w:r>
      <w:bookmarkEnd w:id="150"/>
      <w:bookmarkEnd w:id="153"/>
      <w:r w:rsidR="00E46045" w:rsidRPr="00C0338D">
        <w:rPr>
          <w:b/>
          <w:bCs/>
        </w:rPr>
        <w:t>.</w:t>
      </w:r>
      <w:bookmarkStart w:id="155" w:name="_heading=h.46r0co2" w:colFirst="0" w:colLast="0"/>
      <w:bookmarkEnd w:id="155"/>
      <w:r w:rsidR="00C81287" w:rsidRPr="00AC1F76">
        <w:rPr>
          <w:b/>
          <w:color w:val="000000" w:themeColor="text1"/>
        </w:rPr>
        <w:t xml:space="preserve"> </w:t>
      </w:r>
      <w:r w:rsidR="00C81287" w:rsidRPr="00AC1F76">
        <w:rPr>
          <w:color w:val="000000" w:themeColor="text1"/>
        </w:rPr>
        <w:t xml:space="preserve">Dealing with uncertainty in </w:t>
      </w:r>
      <w:r w:rsidR="52A4F13C" w:rsidRPr="00AC1F76">
        <w:rPr>
          <w:color w:val="000000" w:themeColor="text1"/>
        </w:rPr>
        <w:t>decision-making</w:t>
      </w:r>
      <w:r w:rsidR="52A4F13C" w:rsidRPr="5E4965FB">
        <w:rPr>
          <w:rFonts w:eastAsia="Times New Roman"/>
          <w:color w:val="000000" w:themeColor="text1"/>
        </w:rPr>
        <w:t xml:space="preserve"> for </w:t>
      </w:r>
      <w:r w:rsidR="00C81287" w:rsidRPr="5E4965FB">
        <w:rPr>
          <w:rFonts w:eastAsia="Times New Roman"/>
          <w:color w:val="000000" w:themeColor="text1"/>
        </w:rPr>
        <w:t xml:space="preserve">management </w:t>
      </w:r>
      <w:r w:rsidR="212CB94D">
        <w:t>of biological invasions</w:t>
      </w:r>
      <w:bookmarkEnd w:id="154"/>
      <w:r w:rsidR="5A7C5823" w:rsidRPr="00AC1F76">
        <w:rPr>
          <w:b/>
          <w:color w:val="000000" w:themeColor="text1"/>
        </w:rPr>
        <w:t xml:space="preserve"> </w:t>
      </w:r>
    </w:p>
    <w:p w14:paraId="00000178" w14:textId="3F3BFF60" w:rsidR="00A758FD" w:rsidRPr="00C0338D" w:rsidRDefault="00C81287">
      <w:pPr>
        <w:spacing w:after="240"/>
      </w:pPr>
      <w:r w:rsidRPr="00C0338D">
        <w:t>Types of knowledge (epistemic) and linguistic uncertainty</w:t>
      </w:r>
      <w:r w:rsidR="00687412">
        <w:t>,</w:t>
      </w:r>
      <w:r w:rsidRPr="00C0338D">
        <w:t xml:space="preserve"> and errors associated with </w:t>
      </w:r>
      <w:r w:rsidR="00687412">
        <w:t xml:space="preserve">invasive </w:t>
      </w:r>
      <w:r w:rsidRPr="00C0338D">
        <w:t>alien species listing during the decision-making process</w:t>
      </w:r>
      <w:bookmarkEnd w:id="151"/>
      <w:bookmarkEnd w:id="152"/>
      <w:r w:rsidRPr="00C0338D">
        <w:t xml:space="preserve"> that can be considered and documented when relevant. Adapted from McGeoch et al. </w:t>
      </w:r>
      <w:r w:rsidR="000A2DDC" w:rsidRPr="00837161">
        <w:fldChar w:fldCharType="begin"/>
      </w:r>
      <w:r w:rsidR="000F35EB">
        <w:instrText xml:space="preserve"> ADDIN ZOTERO_ITEM CSL_CITATION {"citationID":"MFNbnhOT","properties":{"formattedCitation":"(2012)","plainCitation":"(2012)","noteIndex":0},"citationItems":[{"id":29287,"uris":["http://zotero.org/groups/2352922/items/I5I5N6GD"],"itemData":{"id":29287,"type":"article-journal","abstract":"Lists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J."},{"family":"Marais","given":"Elrike"}],"accessed":{"date-parts":[["2019",11,9]]},"issued":{"date-parts":[["2012",4]]}},"label":"page","suppress-author":true}],"schema":"https://github.com/citation-style-language/schema/raw/master/csl-citation.json"} </w:instrText>
      </w:r>
      <w:r w:rsidR="000A2DDC" w:rsidRPr="00837161">
        <w:fldChar w:fldCharType="separate"/>
      </w:r>
      <w:r w:rsidR="00271B78" w:rsidRPr="00271B78">
        <w:t>(2012)</w:t>
      </w:r>
      <w:r w:rsidR="000A2DDC" w:rsidRPr="00837161">
        <w:fldChar w:fldCharType="end"/>
      </w:r>
    </w:p>
    <w:tbl>
      <w:tblPr>
        <w:tblW w:w="935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00" w:firstRow="0" w:lastRow="0" w:firstColumn="0" w:lastColumn="0" w:noHBand="0" w:noVBand="1"/>
      </w:tblPr>
      <w:tblGrid>
        <w:gridCol w:w="1705"/>
        <w:gridCol w:w="2118"/>
        <w:gridCol w:w="5527"/>
      </w:tblGrid>
      <w:tr w:rsidR="00A758FD" w14:paraId="14F0EB76" w14:textId="77777777" w:rsidTr="00C0338D">
        <w:tc>
          <w:tcPr>
            <w:tcW w:w="1705" w:type="dxa"/>
            <w:vAlign w:val="center"/>
          </w:tcPr>
          <w:p w14:paraId="00000179" w14:textId="77777777" w:rsidR="00A758FD" w:rsidRPr="00C0338D" w:rsidRDefault="00C81287">
            <w:pPr>
              <w:jc w:val="center"/>
              <w:rPr>
                <w:b/>
              </w:rPr>
            </w:pPr>
            <w:r w:rsidRPr="00C0338D">
              <w:rPr>
                <w:b/>
              </w:rPr>
              <w:t>Type of uncertainty</w:t>
            </w:r>
          </w:p>
        </w:tc>
        <w:tc>
          <w:tcPr>
            <w:tcW w:w="7645" w:type="dxa"/>
            <w:gridSpan w:val="2"/>
            <w:vAlign w:val="center"/>
          </w:tcPr>
          <w:p w14:paraId="0000017A" w14:textId="77777777" w:rsidR="00A758FD" w:rsidRPr="00C0338D" w:rsidRDefault="00C81287">
            <w:pPr>
              <w:jc w:val="center"/>
              <w:rPr>
                <w:b/>
              </w:rPr>
            </w:pPr>
            <w:r w:rsidRPr="00C0338D">
              <w:rPr>
                <w:b/>
              </w:rPr>
              <w:t>Errors associated with alien species listing</w:t>
            </w:r>
          </w:p>
        </w:tc>
      </w:tr>
      <w:tr w:rsidR="00A758FD" w14:paraId="7985DD37" w14:textId="77777777" w:rsidTr="00C0338D">
        <w:tc>
          <w:tcPr>
            <w:tcW w:w="1705" w:type="dxa"/>
            <w:vMerge w:val="restart"/>
            <w:vAlign w:val="center"/>
          </w:tcPr>
          <w:p w14:paraId="0000017C" w14:textId="77777777" w:rsidR="00A758FD" w:rsidRPr="00C0338D" w:rsidRDefault="00C81287">
            <w:pPr>
              <w:jc w:val="center"/>
              <w:rPr>
                <w:b/>
              </w:rPr>
            </w:pPr>
            <w:r w:rsidRPr="00C0338D">
              <w:rPr>
                <w:b/>
              </w:rPr>
              <w:t>Epistemic uncertainty</w:t>
            </w:r>
          </w:p>
        </w:tc>
        <w:tc>
          <w:tcPr>
            <w:tcW w:w="2118" w:type="dxa"/>
            <w:vMerge w:val="restart"/>
            <w:vAlign w:val="center"/>
          </w:tcPr>
          <w:p w14:paraId="0000017D" w14:textId="77777777" w:rsidR="00A758FD" w:rsidRPr="00C0338D" w:rsidRDefault="00C81287">
            <w:r w:rsidRPr="00C0338D">
              <w:t>Measurement error</w:t>
            </w:r>
          </w:p>
        </w:tc>
        <w:tc>
          <w:tcPr>
            <w:tcW w:w="5527" w:type="dxa"/>
          </w:tcPr>
          <w:p w14:paraId="0000017E" w14:textId="77777777" w:rsidR="00A758FD" w:rsidRPr="00C0338D" w:rsidRDefault="00C81287">
            <w:r w:rsidRPr="00C0338D">
              <w:t>Human error</w:t>
            </w:r>
          </w:p>
        </w:tc>
      </w:tr>
      <w:tr w:rsidR="00A758FD" w14:paraId="1F846E89" w14:textId="77777777" w:rsidTr="00C0338D">
        <w:tc>
          <w:tcPr>
            <w:tcW w:w="1705" w:type="dxa"/>
            <w:vMerge/>
            <w:vAlign w:val="center"/>
          </w:tcPr>
          <w:p w14:paraId="0000017F"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ign w:val="center"/>
          </w:tcPr>
          <w:p w14:paraId="00000180" w14:textId="77777777" w:rsidR="00A758FD" w:rsidRPr="00C0338D" w:rsidRDefault="00A758FD" w:rsidP="00AC1F76">
            <w:pPr>
              <w:widowControl w:val="0"/>
              <w:pBdr>
                <w:top w:val="nil"/>
                <w:left w:val="nil"/>
                <w:bottom w:val="nil"/>
                <w:right w:val="nil"/>
                <w:between w:val="nil"/>
              </w:pBdr>
              <w:spacing w:line="276" w:lineRule="auto"/>
            </w:pPr>
          </w:p>
        </w:tc>
        <w:tc>
          <w:tcPr>
            <w:tcW w:w="5527" w:type="dxa"/>
          </w:tcPr>
          <w:p w14:paraId="00000181" w14:textId="77777777" w:rsidR="00A758FD" w:rsidRPr="00C0338D" w:rsidRDefault="00C81287">
            <w:r w:rsidRPr="00C0338D">
              <w:t>Incomplete information searches</w:t>
            </w:r>
          </w:p>
        </w:tc>
      </w:tr>
      <w:tr w:rsidR="00A758FD" w14:paraId="36913272" w14:textId="77777777" w:rsidTr="00C0338D">
        <w:tc>
          <w:tcPr>
            <w:tcW w:w="1705" w:type="dxa"/>
            <w:vMerge/>
            <w:vAlign w:val="center"/>
          </w:tcPr>
          <w:p w14:paraId="00000182"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restart"/>
            <w:vAlign w:val="center"/>
          </w:tcPr>
          <w:p w14:paraId="00000183" w14:textId="77777777" w:rsidR="00A758FD" w:rsidRPr="00C0338D" w:rsidRDefault="00C81287">
            <w:r w:rsidRPr="00C0338D">
              <w:t>Systematic error</w:t>
            </w:r>
          </w:p>
        </w:tc>
        <w:tc>
          <w:tcPr>
            <w:tcW w:w="5527" w:type="dxa"/>
          </w:tcPr>
          <w:p w14:paraId="00000184" w14:textId="77777777" w:rsidR="00A758FD" w:rsidRPr="00C0338D" w:rsidRDefault="00C81287">
            <w:r w:rsidRPr="00C0338D">
              <w:t>Species identification incorrect as a result of taxonomic uncertainty</w:t>
            </w:r>
          </w:p>
          <w:p w14:paraId="00000185" w14:textId="77777777" w:rsidR="00A758FD" w:rsidRPr="00C0338D" w:rsidRDefault="00A758FD"/>
        </w:tc>
      </w:tr>
      <w:tr w:rsidR="00A758FD" w14:paraId="7B490D7C" w14:textId="77777777" w:rsidTr="00C0338D">
        <w:tc>
          <w:tcPr>
            <w:tcW w:w="1705" w:type="dxa"/>
            <w:vMerge/>
            <w:vAlign w:val="center"/>
          </w:tcPr>
          <w:p w14:paraId="00000186"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ign w:val="center"/>
          </w:tcPr>
          <w:p w14:paraId="00000187" w14:textId="77777777" w:rsidR="00A758FD" w:rsidRPr="00C0338D" w:rsidRDefault="00A758FD" w:rsidP="00AC1F76">
            <w:pPr>
              <w:widowControl w:val="0"/>
              <w:pBdr>
                <w:top w:val="nil"/>
                <w:left w:val="nil"/>
                <w:bottom w:val="nil"/>
                <w:right w:val="nil"/>
                <w:between w:val="nil"/>
              </w:pBdr>
              <w:spacing w:line="276" w:lineRule="auto"/>
            </w:pPr>
          </w:p>
        </w:tc>
        <w:tc>
          <w:tcPr>
            <w:tcW w:w="5527" w:type="dxa"/>
          </w:tcPr>
          <w:p w14:paraId="00000188" w14:textId="77777777" w:rsidR="00A758FD" w:rsidRPr="00C0338D" w:rsidRDefault="00C81287">
            <w:r w:rsidRPr="00C0338D">
              <w:t>Survey information on presence, extent and population dynamics</w:t>
            </w:r>
          </w:p>
          <w:p w14:paraId="00000189" w14:textId="77777777" w:rsidR="00A758FD" w:rsidRPr="00C0338D" w:rsidRDefault="00A758FD"/>
        </w:tc>
      </w:tr>
      <w:tr w:rsidR="00A758FD" w14:paraId="3C975897" w14:textId="77777777" w:rsidTr="00C0338D">
        <w:tc>
          <w:tcPr>
            <w:tcW w:w="1705" w:type="dxa"/>
            <w:vMerge/>
            <w:vAlign w:val="center"/>
          </w:tcPr>
          <w:p w14:paraId="0000018A"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ign w:val="center"/>
          </w:tcPr>
          <w:p w14:paraId="0000018B" w14:textId="77777777" w:rsidR="00A758FD" w:rsidRPr="00C0338D" w:rsidRDefault="00A758FD" w:rsidP="00AC1F76">
            <w:pPr>
              <w:widowControl w:val="0"/>
              <w:pBdr>
                <w:top w:val="nil"/>
                <w:left w:val="nil"/>
                <w:bottom w:val="nil"/>
                <w:right w:val="nil"/>
                <w:between w:val="nil"/>
              </w:pBdr>
              <w:spacing w:line="276" w:lineRule="auto"/>
            </w:pPr>
          </w:p>
        </w:tc>
        <w:tc>
          <w:tcPr>
            <w:tcW w:w="5527" w:type="dxa"/>
          </w:tcPr>
          <w:p w14:paraId="0000018C" w14:textId="77777777" w:rsidR="00A758FD" w:rsidRPr="00C0338D" w:rsidRDefault="00C81287">
            <w:r w:rsidRPr="00C0338D">
              <w:t>Resolution and scaling of invasive alien species range</w:t>
            </w:r>
          </w:p>
          <w:p w14:paraId="0000018D" w14:textId="77777777" w:rsidR="00A758FD" w:rsidRPr="00C0338D" w:rsidRDefault="00A758FD"/>
        </w:tc>
      </w:tr>
      <w:tr w:rsidR="00A758FD" w14:paraId="152E6D27" w14:textId="77777777" w:rsidTr="00C0338D">
        <w:tc>
          <w:tcPr>
            <w:tcW w:w="1705" w:type="dxa"/>
            <w:vMerge/>
            <w:vAlign w:val="center"/>
          </w:tcPr>
          <w:p w14:paraId="0000018E"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ign w:val="center"/>
          </w:tcPr>
          <w:p w14:paraId="0000018F" w14:textId="77777777" w:rsidR="00A758FD" w:rsidRPr="00C0338D" w:rsidRDefault="00A758FD" w:rsidP="00AC1F76">
            <w:pPr>
              <w:widowControl w:val="0"/>
              <w:pBdr>
                <w:top w:val="nil"/>
                <w:left w:val="nil"/>
                <w:bottom w:val="nil"/>
                <w:right w:val="nil"/>
                <w:between w:val="nil"/>
              </w:pBdr>
              <w:spacing w:line="276" w:lineRule="auto"/>
            </w:pPr>
          </w:p>
        </w:tc>
        <w:tc>
          <w:tcPr>
            <w:tcW w:w="5527" w:type="dxa"/>
          </w:tcPr>
          <w:p w14:paraId="00000190" w14:textId="77777777" w:rsidR="00A758FD" w:rsidRPr="00C0338D" w:rsidRDefault="00C81287">
            <w:r w:rsidRPr="00C0338D">
              <w:t>Data and knowledge not documented</w:t>
            </w:r>
          </w:p>
        </w:tc>
      </w:tr>
      <w:tr w:rsidR="00A758FD" w14:paraId="311E31E8" w14:textId="77777777" w:rsidTr="00C0338D">
        <w:tc>
          <w:tcPr>
            <w:tcW w:w="1705" w:type="dxa"/>
            <w:vMerge/>
            <w:vAlign w:val="center"/>
          </w:tcPr>
          <w:p w14:paraId="00000191"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ign w:val="center"/>
          </w:tcPr>
          <w:p w14:paraId="00000192" w14:textId="77777777" w:rsidR="00A758FD" w:rsidRPr="00C0338D" w:rsidRDefault="00A758FD" w:rsidP="00AC1F76">
            <w:pPr>
              <w:widowControl w:val="0"/>
              <w:pBdr>
                <w:top w:val="nil"/>
                <w:left w:val="nil"/>
                <w:bottom w:val="nil"/>
                <w:right w:val="nil"/>
                <w:between w:val="nil"/>
              </w:pBdr>
              <w:spacing w:line="276" w:lineRule="auto"/>
            </w:pPr>
          </w:p>
        </w:tc>
        <w:tc>
          <w:tcPr>
            <w:tcW w:w="5527" w:type="dxa"/>
          </w:tcPr>
          <w:p w14:paraId="00000193" w14:textId="77777777" w:rsidR="00A758FD" w:rsidRPr="00C0338D" w:rsidRDefault="00C81287">
            <w:r w:rsidRPr="00C0338D">
              <w:t>Documented data and knowledge not readily or widely accessible</w:t>
            </w:r>
          </w:p>
        </w:tc>
      </w:tr>
      <w:tr w:rsidR="00A758FD" w14:paraId="6E6D68B8" w14:textId="77777777" w:rsidTr="00C0338D">
        <w:tc>
          <w:tcPr>
            <w:tcW w:w="1705" w:type="dxa"/>
            <w:vMerge/>
            <w:vAlign w:val="center"/>
          </w:tcPr>
          <w:p w14:paraId="00000194" w14:textId="77777777" w:rsidR="00A758FD" w:rsidRPr="00C0338D" w:rsidRDefault="00A758FD" w:rsidP="00AC1F76">
            <w:pPr>
              <w:widowControl w:val="0"/>
              <w:pBdr>
                <w:top w:val="nil"/>
                <w:left w:val="nil"/>
                <w:bottom w:val="nil"/>
                <w:right w:val="nil"/>
                <w:between w:val="nil"/>
              </w:pBdr>
              <w:spacing w:line="276" w:lineRule="auto"/>
            </w:pPr>
          </w:p>
        </w:tc>
        <w:tc>
          <w:tcPr>
            <w:tcW w:w="2118" w:type="dxa"/>
            <w:vAlign w:val="center"/>
          </w:tcPr>
          <w:p w14:paraId="00000195" w14:textId="77777777" w:rsidR="00A758FD" w:rsidRPr="00C0338D" w:rsidRDefault="00C81287">
            <w:r w:rsidRPr="00C0338D">
              <w:t>Stochasticity and natural variation</w:t>
            </w:r>
          </w:p>
        </w:tc>
        <w:tc>
          <w:tcPr>
            <w:tcW w:w="5527" w:type="dxa"/>
          </w:tcPr>
          <w:p w14:paraId="00000196" w14:textId="77777777" w:rsidR="00A758FD" w:rsidRPr="00C0338D" w:rsidRDefault="00C81287">
            <w:r w:rsidRPr="00C0338D">
              <w:t>Survey information on presence, extent and population dynamics</w:t>
            </w:r>
          </w:p>
        </w:tc>
      </w:tr>
      <w:tr w:rsidR="00A758FD" w14:paraId="76575A12" w14:textId="77777777" w:rsidTr="00C0338D">
        <w:tc>
          <w:tcPr>
            <w:tcW w:w="1705" w:type="dxa"/>
            <w:vMerge/>
            <w:vAlign w:val="center"/>
          </w:tcPr>
          <w:p w14:paraId="00000197"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restart"/>
            <w:vAlign w:val="center"/>
          </w:tcPr>
          <w:p w14:paraId="00000198" w14:textId="77777777" w:rsidR="00A758FD" w:rsidRPr="00C0338D" w:rsidRDefault="00C81287">
            <w:r w:rsidRPr="00C0338D">
              <w:t>Subjective judgement</w:t>
            </w:r>
          </w:p>
          <w:p w14:paraId="00000199" w14:textId="77777777" w:rsidR="00A758FD" w:rsidRPr="00C0338D" w:rsidRDefault="00A758FD"/>
        </w:tc>
        <w:tc>
          <w:tcPr>
            <w:tcW w:w="5527" w:type="dxa"/>
          </w:tcPr>
          <w:p w14:paraId="0000019A" w14:textId="77777777" w:rsidR="00A758FD" w:rsidRPr="00C0338D" w:rsidRDefault="00C81287">
            <w:r w:rsidRPr="00C0338D">
              <w:t>Baseline information on indigenous range</w:t>
            </w:r>
          </w:p>
        </w:tc>
      </w:tr>
      <w:tr w:rsidR="00A758FD" w14:paraId="10274EDE" w14:textId="77777777" w:rsidTr="00C0338D">
        <w:tc>
          <w:tcPr>
            <w:tcW w:w="1705" w:type="dxa"/>
            <w:vMerge/>
            <w:vAlign w:val="center"/>
          </w:tcPr>
          <w:p w14:paraId="0000019B" w14:textId="77777777" w:rsidR="00A758FD" w:rsidRPr="00C0338D" w:rsidRDefault="00A758FD" w:rsidP="00AC1F76">
            <w:pPr>
              <w:widowControl w:val="0"/>
              <w:pBdr>
                <w:top w:val="nil"/>
                <w:left w:val="nil"/>
                <w:bottom w:val="nil"/>
                <w:right w:val="nil"/>
                <w:between w:val="nil"/>
              </w:pBdr>
              <w:spacing w:line="276" w:lineRule="auto"/>
            </w:pPr>
          </w:p>
        </w:tc>
        <w:tc>
          <w:tcPr>
            <w:tcW w:w="2118" w:type="dxa"/>
            <w:vMerge/>
            <w:vAlign w:val="center"/>
          </w:tcPr>
          <w:p w14:paraId="0000019C" w14:textId="77777777" w:rsidR="00A758FD" w:rsidRPr="00C0338D" w:rsidRDefault="00A758FD" w:rsidP="00AC1F76">
            <w:pPr>
              <w:widowControl w:val="0"/>
              <w:pBdr>
                <w:top w:val="nil"/>
                <w:left w:val="nil"/>
                <w:bottom w:val="nil"/>
                <w:right w:val="nil"/>
                <w:between w:val="nil"/>
              </w:pBdr>
              <w:spacing w:line="276" w:lineRule="auto"/>
            </w:pPr>
          </w:p>
        </w:tc>
        <w:tc>
          <w:tcPr>
            <w:tcW w:w="5527" w:type="dxa"/>
          </w:tcPr>
          <w:p w14:paraId="0000019D" w14:textId="77777777" w:rsidR="00A758FD" w:rsidRPr="00C0338D" w:rsidRDefault="00C81287">
            <w:r w:rsidRPr="00C0338D">
              <w:t>Species designation as invasive</w:t>
            </w:r>
          </w:p>
        </w:tc>
      </w:tr>
      <w:tr w:rsidR="00A758FD" w14:paraId="4F094488" w14:textId="77777777" w:rsidTr="00C0338D">
        <w:tc>
          <w:tcPr>
            <w:tcW w:w="1705" w:type="dxa"/>
            <w:vMerge/>
            <w:vAlign w:val="center"/>
          </w:tcPr>
          <w:p w14:paraId="0000019E" w14:textId="77777777" w:rsidR="00A758FD" w:rsidRPr="00C0338D" w:rsidRDefault="00A758FD" w:rsidP="00AC1F76">
            <w:pPr>
              <w:widowControl w:val="0"/>
              <w:pBdr>
                <w:top w:val="nil"/>
                <w:left w:val="nil"/>
                <w:bottom w:val="nil"/>
                <w:right w:val="nil"/>
                <w:between w:val="nil"/>
              </w:pBdr>
              <w:spacing w:line="276" w:lineRule="auto"/>
            </w:pPr>
          </w:p>
        </w:tc>
        <w:tc>
          <w:tcPr>
            <w:tcW w:w="2118" w:type="dxa"/>
            <w:vAlign w:val="center"/>
          </w:tcPr>
          <w:p w14:paraId="0000019F" w14:textId="77777777" w:rsidR="00A758FD" w:rsidRPr="00C0338D" w:rsidRDefault="00C81287">
            <w:r w:rsidRPr="00C0338D">
              <w:t>Model uncertainty</w:t>
            </w:r>
          </w:p>
        </w:tc>
        <w:tc>
          <w:tcPr>
            <w:tcW w:w="5527" w:type="dxa"/>
          </w:tcPr>
          <w:p w14:paraId="000001A0" w14:textId="2386ABDF" w:rsidR="00A758FD" w:rsidRPr="00C0338D" w:rsidRDefault="00A07D67">
            <w:r w:rsidRPr="00A07D67">
              <w:t>Adequacy of research on impacts on biodiversity</w:t>
            </w:r>
          </w:p>
        </w:tc>
      </w:tr>
      <w:tr w:rsidR="00A758FD" w14:paraId="319703DA" w14:textId="77777777" w:rsidTr="00C0338D">
        <w:trPr>
          <w:cantSplit/>
          <w:trHeight w:val="728"/>
        </w:trPr>
        <w:tc>
          <w:tcPr>
            <w:tcW w:w="1705" w:type="dxa"/>
            <w:vMerge w:val="restart"/>
            <w:vAlign w:val="center"/>
          </w:tcPr>
          <w:p w14:paraId="000001A1" w14:textId="77777777" w:rsidR="00A758FD" w:rsidRPr="00C0338D" w:rsidRDefault="00C81287">
            <w:pPr>
              <w:jc w:val="center"/>
              <w:rPr>
                <w:b/>
              </w:rPr>
            </w:pPr>
            <w:r w:rsidRPr="00C0338D">
              <w:rPr>
                <w:b/>
              </w:rPr>
              <w:t>Linguistic uncertainty</w:t>
            </w:r>
          </w:p>
          <w:p w14:paraId="000001A2" w14:textId="77777777" w:rsidR="00A758FD" w:rsidRPr="00C0338D" w:rsidRDefault="00A758FD">
            <w:pPr>
              <w:jc w:val="center"/>
            </w:pPr>
          </w:p>
        </w:tc>
        <w:tc>
          <w:tcPr>
            <w:tcW w:w="2118" w:type="dxa"/>
            <w:vAlign w:val="center"/>
          </w:tcPr>
          <w:p w14:paraId="000001A3" w14:textId="77777777" w:rsidR="00A758FD" w:rsidRPr="00C0338D" w:rsidRDefault="00C81287">
            <w:r w:rsidRPr="00C0338D">
              <w:t>Vagueness</w:t>
            </w:r>
          </w:p>
          <w:p w14:paraId="000001A4" w14:textId="77777777" w:rsidR="00A758FD" w:rsidRPr="00C0338D" w:rsidRDefault="00A758FD"/>
        </w:tc>
        <w:tc>
          <w:tcPr>
            <w:tcW w:w="5527" w:type="dxa"/>
            <w:vAlign w:val="center"/>
          </w:tcPr>
          <w:p w14:paraId="000001A5" w14:textId="77777777" w:rsidR="00A758FD" w:rsidRPr="00C0338D" w:rsidRDefault="00C81287">
            <w:r w:rsidRPr="00C0338D">
              <w:t>Species designation as invasive</w:t>
            </w:r>
          </w:p>
          <w:p w14:paraId="000001A6" w14:textId="77777777" w:rsidR="00A758FD" w:rsidRPr="00C0338D" w:rsidRDefault="00A758FD"/>
        </w:tc>
      </w:tr>
      <w:tr w:rsidR="00A758FD" w14:paraId="097B91FF" w14:textId="77777777" w:rsidTr="00C0338D">
        <w:trPr>
          <w:trHeight w:val="878"/>
        </w:trPr>
        <w:tc>
          <w:tcPr>
            <w:tcW w:w="1705" w:type="dxa"/>
            <w:vMerge/>
            <w:vAlign w:val="center"/>
          </w:tcPr>
          <w:p w14:paraId="000001A7" w14:textId="77777777" w:rsidR="00A758FD" w:rsidRPr="00C0338D" w:rsidRDefault="00A758FD" w:rsidP="00AC1F76">
            <w:pPr>
              <w:widowControl w:val="0"/>
              <w:pBdr>
                <w:top w:val="nil"/>
                <w:left w:val="nil"/>
                <w:bottom w:val="nil"/>
                <w:right w:val="nil"/>
                <w:between w:val="nil"/>
              </w:pBdr>
              <w:spacing w:line="276" w:lineRule="auto"/>
            </w:pPr>
          </w:p>
        </w:tc>
        <w:tc>
          <w:tcPr>
            <w:tcW w:w="2118" w:type="dxa"/>
            <w:vAlign w:val="center"/>
          </w:tcPr>
          <w:p w14:paraId="000001A8" w14:textId="77777777" w:rsidR="00A758FD" w:rsidRPr="00C0338D" w:rsidRDefault="00C81287">
            <w:r w:rsidRPr="00C0338D">
              <w:t>Context dependence</w:t>
            </w:r>
          </w:p>
          <w:p w14:paraId="000001A9" w14:textId="77777777" w:rsidR="00A758FD" w:rsidRPr="00C0338D" w:rsidRDefault="00A758FD"/>
        </w:tc>
        <w:tc>
          <w:tcPr>
            <w:tcW w:w="5527" w:type="dxa"/>
            <w:vAlign w:val="center"/>
          </w:tcPr>
          <w:p w14:paraId="000001AA" w14:textId="77777777" w:rsidR="00A758FD" w:rsidRPr="00C0338D" w:rsidRDefault="00C81287">
            <w:r w:rsidRPr="00C0338D">
              <w:t>Resolution and scaling of alien range</w:t>
            </w:r>
          </w:p>
          <w:p w14:paraId="000001AB" w14:textId="77777777" w:rsidR="00A758FD" w:rsidRPr="00C0338D" w:rsidRDefault="00A758FD"/>
        </w:tc>
      </w:tr>
    </w:tbl>
    <w:p w14:paraId="000001AC" w14:textId="77777777" w:rsidR="00A758FD" w:rsidRPr="00C0338D" w:rsidRDefault="00A758FD"/>
    <w:p w14:paraId="26788B1E" w14:textId="69E6EED1" w:rsidR="001B0409" w:rsidRPr="00837161" w:rsidRDefault="006A6571" w:rsidP="00C11DFA">
      <w:pPr>
        <w:rPr>
          <w:lang w:eastAsia="en-AU"/>
        </w:rPr>
      </w:pPr>
      <w:r w:rsidRPr="00837161">
        <w:rPr>
          <w:lang w:eastAsia="en-AU"/>
        </w:rPr>
        <w:t>D</w:t>
      </w:r>
      <w:r w:rsidR="001B0409" w:rsidRPr="00837161">
        <w:rPr>
          <w:lang w:eastAsia="en-AU"/>
        </w:rPr>
        <w:t>ecision</w:t>
      </w:r>
      <w:r w:rsidR="00A91F9F">
        <w:rPr>
          <w:lang w:eastAsia="en-AU"/>
        </w:rPr>
        <w:t>-</w:t>
      </w:r>
      <w:r w:rsidR="001B0409" w:rsidRPr="00837161">
        <w:rPr>
          <w:lang w:eastAsia="en-AU"/>
        </w:rPr>
        <w:t>support tools</w:t>
      </w:r>
      <w:r w:rsidRPr="00837161">
        <w:rPr>
          <w:lang w:eastAsia="en-AU"/>
        </w:rPr>
        <w:t xml:space="preserve"> generally </w:t>
      </w:r>
      <w:r w:rsidR="001B0409" w:rsidRPr="00837161">
        <w:rPr>
          <w:lang w:eastAsia="en-AU"/>
        </w:rPr>
        <w:t>explicitly assess the uncertaint</w:t>
      </w:r>
      <w:r w:rsidR="00937B26" w:rsidRPr="00837161">
        <w:rPr>
          <w:lang w:eastAsia="en-AU"/>
        </w:rPr>
        <w:t xml:space="preserve">ies around assumptions or knowledge </w:t>
      </w:r>
      <w:r w:rsidR="001B0409" w:rsidRPr="00837161">
        <w:rPr>
          <w:lang w:eastAsia="en-AU"/>
        </w:rPr>
        <w:fldChar w:fldCharType="begin"/>
      </w:r>
      <w:r w:rsidR="000F35EB">
        <w:rPr>
          <w:lang w:eastAsia="en-AU"/>
        </w:rPr>
        <w:instrText xml:space="preserve"> ADDIN ZOTERO_ITEM CSL_CITATION {"citationID":"eE7u0jJN","properties":{"formattedCitation":"(Gonz\\uc0\\u225{}lez-Moreno et al., 2019; Leung et al., 2012; Probert et al., 2020)","plainCitation":"(González-Moreno et al., 2019; Leung et al., 2012; Probert et al., 2020)","noteIndex":0},"citationItems":[{"id":17051,"uris":["http://zotero.org/groups/2352922/items/43L7UY8S"],"itemData":{"id":17051,"type":"article-journal","abstract":"Standardized tools are needed to identify and prioritize the most harmful non-native species (NNS). A plethora of assessment protocols have been developed to evaluate the current and potential impacts of non-native species, but consistency among them has received limited attention. To estimate the consistency across impact assessment protocols, 89 specialists in biological invasions used 11 protocols to screen 57 NNS (2614 assessments). We tested if the consistency in the impact scoring across assessors, quantified as the coefficient of variation (CV), was dependent on the characteristics of the protocol, the taxonomic group and the expertise of the assessor. Mean CV across assessors was 40%, with a maximum of 223%. CV was lower for protocols with a low number of score levels, which demanded high levels of expertise, and when the assessors had greater expertise on the assessed species. The similarity among protocols with respect to the final scores was higher when the protocols considered the same impact types. We conclude that all protocols led to considerable inconsistency among assessors. In order to improve consistency, we highlight the importance of selecting assessors with high expertise, providing clear guidelines and adequate training but also deriving final decisions collaboratively by consensus.","container-title":"NeoBiota","DOI":"10.3897/neobiota.44.31650","ISSN":"1314-2488","language":"en","license":"2019Pablo González-Moreno, Lorenzo Lazzaro, Montserrat Vilà, Cristina Preda, Tim Adriaens, Sven Bacher, Giuseppe Brundu, Gordon H. Copp, Franz Essl, Emili García-Berthou, Stelios Katsanevakis, Toril Loennechen Moen, Frances E. Lucy, Wolfgang Nentwig, Helen E. Roy, Greta  Srėbalienė, Venche Talgø , Sonia Vanderhoeven, Ana  Andjelković, Kęstutis Arbačiauskas, Marie-Anne Auger-Rozenberg, Mi-Jung  Bae, Michel Bariche, Pieter Boets, Mário Boieiro, Paulo Alexandre Borges, João Canning-Clode, Federico Cardigos, Niki Chartosia, Elizabeth Joanne  Cottier-Cook, Fabio Crocetta, Bram D'hondt, Bruno Foggi, Swen Follak, Belinda Gallardo, Øivind  Gammelmo, Sylvaine  Giakoumi, Claudia  Giuliani, Guillaume Fried, Lucija Šerić Jelaska, Jonathan M. Jeschke, Miquel Jover, Alejandro Juárez-Escario, Stefanos Kalogirou, Aleksandra  Kočić, Eleni Kytinou, Ciaran Laverty, Vanessa Lozano, Alberto Maceda-Veiga, Elizabete Marchante, Hélia Marchante, Angeliki F. Martinou, Sandro Meyer, Dan Minchin, Ana Montero-Castaño, Maria Cristina Morais, Carmen  Morales-Rodriguez, Naida  Muhthassim, Zoltán Á. Nagy, Nikica  Ogris, Huseyin  Onen, Jan Pergl, Riikka  Puntila, Wolfgang Rabitsch, Triya Tessa Ramburn, Carla Rego, Fabian Reichenbach, Carmen Romeralo, Wolf-Christian Saul, Gritta Schrader, Rory Sheehan, Predrag Simonović, Marius Skolka, António Onofre Soares, Leif Sundheim, Ali Serhan Tarkan, Rumen Tomov, Elena Tricarico, Konstantinos Tsiamis, Ahmet Uludağ, Johan van Valkenburg, Hugo Verreycken, Anna Maria  Vettraino, Lluís Vilar, Øystein  Wiig, Johanna Witzell, Andrea Zanetta, Marc Kenis","page":"1-25","source":"neobiota.pensoft.net","title":"Consistency of impact assessment protocols for non-native species","URL":"https://neobiota.pensoft.net/article/31650/","volume":"44","author":[{"family":"González-Moreno","given":"Pablo"},{"family":"Lazzaro","given":"Lorenzo"},{"family":"Vilà","given":"Montserrat"},{"family":"Preda","given":"Cristina"},{"family":"Adriaens","given":"Tim"},{"family":"Bacher","given":"Sven"},{"family":"Brundu","given":"Giuseppe"},{"family":"Copp","given":"Gordon H."},{"family":"Essl","given":"Franz"},{"family":"García-Berthou","given":"Emili"},{"family":"Katsanevakis","given":"Stelios"},{"family":"Moen","given":"Toril Loennechen"},{"family":"Lucy","given":"Frances E."},{"family":"Nentwig","given":"Wolfgang"},{"family":"Roy","given":"Helen E."},{"family":"Srėbalienė","given":"Greta"},{"family":"Talgø","given":"Venche"},{"family":"Vanderhoeven","given":"Sonia"},{"family":"Andjelković","given":"Ana"},{"family":"Arbačiauskas","given":"Kęstutis"},{"family":"Auger-Rozenberg","given":"Marie-Anne"},{"family":"Bae","given":"Mi-Jung"},{"family":"Bariche","given":"Michel"},{"family":"Boets","given":"Pieter"},{"family":"Boieiro","given":"Mário"},{"family":"Borges","given":"Paulo Alexandre"},{"family":"Canning-Clode","given":"João"},{"family":"Cardigos","given":"Federico"},{"family":"Chartosia","given":"Niki"},{"family":"Cottier-Cook","given":"Elizabeth Joanne"},{"family":"Crocetta","given":"Fabio"},{"family":"D'hondt","given":"Bram"},{"family":"Foggi","given":"Bruno"},{"family":"Follak","given":"Swen"},{"family":"Gallardo","given":"Belinda"},{"family":"Gammelmo","given":"Øivind"},{"family":"Giakoumi","given":"Sylvaine"},{"family":"Giuliani","given":"Claudia"},{"family":"Fried","given":"Guillaume"},{"family":"Jelaska","given":"Lucija Šerić"},{"family":"Jeschke","given":"Jonathan M."},{"family":"Jover","given":"Miquel"},{"family":"Juárez-Escario","given":"Alejandro"},{"family":"Kalogirou","given":"Stefanos"},{"family":"Kočić","given":"Aleksandra"},{"family":"Kytinou","given":"Eleni"},{"family":"Laverty","given":"Ciaran"},{"family":"Lozano","given":"Vanessa"},{"family":"Maceda-Veiga","given":"Alberto"},{"family":"Marchante","given":"Elizabete"},{"family":"Marchante","given":"Hélia"},{"family":"Martinou","given":"Angeliki F."},{"family":"Meyer","given":"Sandro"},{"family":"Minchin","given":"Dan"},{"family":"Montero-Castaño","given":"Ana"},{"family":"Morais","given":"Maria Cristina"},{"family":"Morales-Rodriguez","given":"Carmen"},{"family":"Muhthassim","given":"Naida"},{"family":"Nagy","given":"Zoltán Á"},{"family":"Ogris","given":"Nikica"},{"family":"Onen","given":"Huseyin"},{"family":"Pergl","given":"Jan"},{"family":"Puntila","given":"Riikka"},{"family":"Rabitsch","given":"Wolfgang"},{"family":"Ramburn","given":"Triya Tessa"},{"family":"Rego","given":"Carla"},{"family":"Reichenbach","given":"Fabian"},{"family":"Romeralo","given":"Carmen"},{"family":"Saul","given":"Wolf-Christian"},{"family":"Schrader","given":"Gritta"},{"family":"Sheehan","given":"Rory"},{"family":"Simonović","given":"Predrag"},{"family":"Skolka","given":"Marius"},{"family":"Soares","given":"António Onofre"},{"family":"Sundheim","given":"Leif"},{"family":"Tarkan","given":"Ali Serhan"},{"family":"Tomov","given":"Rumen"},{"family":"Tricarico","given":"Elena"},{"family":"Tsiamis","given":"Konstantinos"},{"family":"Uludağ","given":"Ahmet"},{"family":"Valkenburg","given":"Johan","non-dropping-particle":"van"},{"family":"Verreycken","given":"Hugo"},{"family":"Vettraino","given":"Anna Maria"},{"family":"Vilar","given":"Lluís"},{"family":"Wiig","given":"Øystein"},{"family":"Witzell","given":"Johanna"},{"family":"Zanetta","given":"Andrea"},{"family":"Kenis","given":"Marc"}],"accessed":{"date-parts":[["2019",8,12]]},"issued":{"date-parts":[["2019",1,4]]}},"label":"page"},{"id":32211,"uris":["http://zotero.org/groups/2352922/items/R9RJTXKB"],"itemData":{"id":32211,"type":"article-journal","abstract":"Some alien species cause substantial impacts, yet most are innocuous. Given limited resources, forecasting risks from alien species will help prioritise management. Given that risk assessment (RA) approaches vary widely, a synthesis is timely to highlight best practices. We reviewed quantitative and scoring RAs, integrating &gt; 300 publications into arguably the most rigorous quantitative RA framework currently existing, and mapping each study onto our framework, which combines Transport, Establishment, Abundance, Spread and Impact (TEASI). Quantitative models generally measured single risk components (78% of studies), often focusing on Establishment alone (79%). Although dominant in academia, quantitative RAs are underused in policy, and should be made more accessible. Accommodating heterogeneous limited data, combining across risk components, and developing generalised RAs across species, space and time without requiring new models for each species may increase attractiveness for policy applications. Comparatively, scoring approaches covered more risk components (50% examined &gt; 3 components), with Impact being the most common component (87%), and have been widely applied in policy (&gt; 57%), but primarily employed expert opinion. Our framework provides guidance for questions asked, combining scores and other improvements. Our risk framework need not be completely parameterised to be informative, but instead identifies opportunities for improvement in alien species RA.","container-title":"Ecology Letters","DOI":"10.1111/ele.12003","ISSN":"1461-023X","issue":"12","journalAbbreviation":"Ecol Lett","language":"en","note":"WOS:000310250600015","page":"1475-1493","source":"DOI.org (Crossref)","title":"TEASIng apart alien species risk assessments: a framework for best practices","title-short":"TEASIng apart alien species risk assessments","URL":"https://www.scopus.com/inward/record.uri?eid=2-s2.0-84867484022&amp;doi=10.1111%2fele.12003&amp;partnerID=40&amp;md5=82db3ec22be611e1a15ca31e1989f9ab","volume":"15","author":[{"family":"Leung","given":"Brian"},{"family":"Roura-Pascual","given":"Nuria"},{"family":"Bacher","given":"Sven"},{"family":"Heikkila","given":"Jaakko"},{"family":"Brotons","given":"Lluis"},{"family":"Burgman","given":"Mark A."},{"family":"Dehnen-Schmutz","given":"Katharina"},{"family":"Essl","given":"Franz"},{"family":"Hulme","given":"Philip E."},{"family":"Richardson","given":"David M."},{"family":"Sol","given":"Daniel"},{"family":"Vilà","given":"Montserrat"}],"issued":{"date-parts":[["2012",12]]}},"label":"page"},{"id":25115,"uris":["http://zotero.org/groups/2352922/items/9RP6ZMMJ"],"itemData":{"id":25115,"type":"article-journal","abstract":"The Environmental Impact Classification for Alien Taxa (EICAT) and the Socio-Economic Impact Classification of Alien Taxa (SEICAT) have been proposed to provide unified methods for classifying alien species according to their magnitude of impacts. EICAT and SEICAT (herein “ICAT” when refered together) were designed to facilitate the comparison between taxa and invasion contexts by using a standardised, semi-quantitative scoring scheme. The ICAT scores are assigned after conducting a literature review to evaluate all impact observations against the protocols’ criteria. EICAT classifies impacts on the native biota of the recipient environments, whereas SEICAT classifies impacts on human activities. A key component of the process is to assign a level of confidence (high, medium or low) to account for uncertainty. Assessors assign confidence scores to each impact record depending on how confident they are that the assigned impact magnitude reflects the true situation. All possible sources of epistemic uncertainty are expected to be captured by one overall confidence score, neglecting linguistic uncertainties that assessors should be aware of. The current way of handling uncertainty is prone to subjectivity and therefore might lead to inconsistencies amongst assessors. This paper identifies the major sources of uncertainty for impacts classified under the ICAT frameworks, where they emerge in the assessment process and how they are likely to be contributing to biases and inconsistency in assessments. In addition, as the current procedures only capture uncertainty at the individual impact report, interspecific comparisons may be limited by various factors, including data availability. Therefore, ranking species, based on impact magnitude under the present systems, does not account for such uncertainty. We identify three types of biases occurring beyond the individual impact report level (and not captured by the confidence score): biases in the existing data, data collection and data assessment. These biases should be recognised when comparing alien species based on their impacts. Clarifying uncertainty concepts relevant to the ICAT frameworks will lead to more consistent impact assessments and more robust intra- and inter-specific comparisons of impact magnitudes.","container-title":"NeoBiota","DOI":"10.3897/neobiota.62.52010","ISSN":"1314-2488, 1619-0033","journalAbbreviation":"NB","page":"387-405","source":"DOI.org (Crossref)","title":"Understanding uncertainty in the Impact Classification for Alien Taxa (ICAT) assessments","URL":"https://neobiota.pensoft.net/article/52010/","volume":"62","author":[{"family":"Probert","given":"Anna F."},{"family":"Volery","given":"Lara"},{"family":"Kumschick","given":"Sabrina"},{"family":"Vimercati","given":"Giovanni"},{"family":"Bacher","given":"Sven"}],"accessed":{"date-parts":[["2021",3,16]]},"issued":{"date-parts":[["2020",10,15]]}},"label":"page"}],"schema":"https://github.com/citation-style-language/schema/raw/master/csl-citation.json"} </w:instrText>
      </w:r>
      <w:r w:rsidR="001B0409" w:rsidRPr="00837161">
        <w:rPr>
          <w:lang w:eastAsia="en-AU"/>
        </w:rPr>
        <w:fldChar w:fldCharType="separate"/>
      </w:r>
      <w:r w:rsidR="00271B78" w:rsidRPr="00271B78">
        <w:t>(González-Moreno et al., 2019; Leung et al., 2012; Probert et al., 2020)</w:t>
      </w:r>
      <w:r w:rsidR="001B0409" w:rsidRPr="00837161">
        <w:rPr>
          <w:lang w:eastAsia="en-AU"/>
        </w:rPr>
        <w:fldChar w:fldCharType="end"/>
      </w:r>
      <w:r w:rsidR="007926A6" w:rsidRPr="00837161">
        <w:rPr>
          <w:lang w:eastAsia="en-AU"/>
        </w:rPr>
        <w:t xml:space="preserve">, but not always </w:t>
      </w:r>
      <w:r w:rsidR="001B0409" w:rsidRPr="00837161">
        <w:rPr>
          <w:lang w:eastAsia="en-AU"/>
        </w:rPr>
        <w:fldChar w:fldCharType="begin"/>
      </w:r>
      <w:r w:rsidR="000F35EB">
        <w:rPr>
          <w:lang w:eastAsia="en-AU"/>
        </w:rPr>
        <w:instrText xml:space="preserve"> ADDIN ZOTERO_ITEM CSL_CITATION {"citationID":"6cjYHtVS","properties":{"formattedCitation":"(Caton et al., 2018)","plainCitation":"(Caton et al., 2018)","noteIndex":0},"citationItems":[{"id":26963,"uris":["http://zotero.org/groups/2352922/items/63K6IKXQ"],"itemData":{"id":26963,"type":"article-journal","container-title":"Risk Analysis","DOI":"10.1111/risa.12979","ISSN":"02724332","issue":"9","journalAbbreviation":"Risk Analysis","language":"en","page":"1972-1987","source":"DOI.org (Crossref)","title":"Quantitative Uncertainty Analysis for a Weed Risk Assessment System","title-short":"Quantitative Uncertainty Analysis for a Weed Risk Assessment System","URL":"http://doi.wiley.com/10.1111/risa.12979","volume":"38","author":[{"family":"Caton","given":"Barney P."},{"family":"Koop","given":"Anthony L."},{"family":"Fowler","given":"Larry"},{"family":"Newton","given":"Leslie"},{"family":"Kohl","given":"Lisa"}],"accessed":{"date-parts":[["2021",7,2]]},"issued":{"date-parts":[["2018",9]]}},"label":"page"}],"schema":"https://github.com/citation-style-language/schema/raw/master/csl-citation.json"} </w:instrText>
      </w:r>
      <w:r w:rsidR="001B0409" w:rsidRPr="00837161">
        <w:rPr>
          <w:lang w:eastAsia="en-AU"/>
        </w:rPr>
        <w:fldChar w:fldCharType="separate"/>
      </w:r>
      <w:r w:rsidR="00271B78" w:rsidRPr="00271B78">
        <w:t>(Caton et al., 2018)</w:t>
      </w:r>
      <w:r w:rsidR="001B0409" w:rsidRPr="00837161">
        <w:rPr>
          <w:lang w:eastAsia="en-AU"/>
        </w:rPr>
        <w:fldChar w:fldCharType="end"/>
      </w:r>
      <w:r w:rsidR="00823595" w:rsidRPr="00837161">
        <w:rPr>
          <w:lang w:eastAsia="en-AU"/>
        </w:rPr>
        <w:t xml:space="preserve">. </w:t>
      </w:r>
      <w:r w:rsidR="009442B1" w:rsidRPr="00837161">
        <w:rPr>
          <w:lang w:eastAsia="en-AU"/>
        </w:rPr>
        <w:t>Understanding</w:t>
      </w:r>
      <w:r w:rsidR="00870886" w:rsidRPr="00837161">
        <w:rPr>
          <w:lang w:eastAsia="en-AU"/>
        </w:rPr>
        <w:t xml:space="preserve"> bias and </w:t>
      </w:r>
      <w:r w:rsidR="009442B1" w:rsidRPr="00837161">
        <w:rPr>
          <w:lang w:eastAsia="en-AU"/>
        </w:rPr>
        <w:t>d</w:t>
      </w:r>
      <w:r w:rsidR="00823595" w:rsidRPr="00837161">
        <w:rPr>
          <w:lang w:eastAsia="en-AU"/>
        </w:rPr>
        <w:t xml:space="preserve">ocumenting </w:t>
      </w:r>
      <w:r w:rsidR="004E1D2E" w:rsidRPr="00837161">
        <w:rPr>
          <w:lang w:eastAsia="en-AU"/>
        </w:rPr>
        <w:t xml:space="preserve">and explaining </w:t>
      </w:r>
      <w:r w:rsidR="001B0409" w:rsidRPr="00837161">
        <w:rPr>
          <w:lang w:eastAsia="en-AU"/>
        </w:rPr>
        <w:t xml:space="preserve">uncertainty </w:t>
      </w:r>
      <w:r w:rsidR="004E1D2E" w:rsidRPr="00837161">
        <w:rPr>
          <w:lang w:eastAsia="en-AU"/>
        </w:rPr>
        <w:t xml:space="preserve">to </w:t>
      </w:r>
      <w:r w:rsidR="000133A7" w:rsidRPr="00837161">
        <w:rPr>
          <w:lang w:eastAsia="en-AU"/>
        </w:rPr>
        <w:t>decision</w:t>
      </w:r>
      <w:r w:rsidR="003D6524">
        <w:rPr>
          <w:lang w:eastAsia="en-AU"/>
        </w:rPr>
        <w:t xml:space="preserve"> </w:t>
      </w:r>
      <w:r w:rsidR="000133A7" w:rsidRPr="00837161">
        <w:rPr>
          <w:lang w:eastAsia="en-AU"/>
        </w:rPr>
        <w:t xml:space="preserve">makers and other </w:t>
      </w:r>
      <w:r w:rsidR="004E1D2E" w:rsidRPr="00837161">
        <w:rPr>
          <w:lang w:eastAsia="en-AU"/>
        </w:rPr>
        <w:t xml:space="preserve">stakeholders </w:t>
      </w:r>
      <w:r w:rsidR="00922404">
        <w:rPr>
          <w:lang w:eastAsia="en-AU"/>
        </w:rPr>
        <w:t>are</w:t>
      </w:r>
      <w:r w:rsidR="00922404" w:rsidRPr="00837161">
        <w:rPr>
          <w:lang w:eastAsia="en-AU"/>
        </w:rPr>
        <w:t xml:space="preserve"> </w:t>
      </w:r>
      <w:r w:rsidR="00207C33" w:rsidRPr="00837161">
        <w:rPr>
          <w:lang w:eastAsia="en-AU"/>
        </w:rPr>
        <w:t xml:space="preserve">critical in </w:t>
      </w:r>
      <w:r w:rsidR="001B0409" w:rsidRPr="00837161">
        <w:rPr>
          <w:lang w:eastAsia="en-AU"/>
        </w:rPr>
        <w:t xml:space="preserve">risk communication </w:t>
      </w:r>
      <w:r w:rsidR="001B0409" w:rsidRPr="00837161">
        <w:rPr>
          <w:lang w:eastAsia="en-AU"/>
        </w:rPr>
        <w:fldChar w:fldCharType="begin"/>
      </w:r>
      <w:r w:rsidR="000F35EB">
        <w:rPr>
          <w:lang w:eastAsia="en-AU"/>
        </w:rPr>
        <w:instrText xml:space="preserve"> ADDIN ZOTERO_ITEM CSL_CITATION {"citationID":"g8jBO010","properties":{"formattedCitation":"(Lundgren &amp; McMakin, 2018; Probert et al., 2022; WHO, 2013)","plainCitation":"(Lundgren &amp; McMakin, 2018; Probert et al., 2022; WHO, 2013)","noteIndex":0},"citationItems":[{"id":26962,"uris":["http://zotero.org/groups/2352922/items/ME7V47A4"],"itemData":{"id":26962,"type":"book","ISBN":"978-1-119-45614-8","language":"English","note":"OCLC: 1187897294","publisher":"Wiley-IEEE Press","source":"Open WorldCat","title":"Risk Communication A Handbook for Communicating Environmental, Safety, and Health Risks","URL":"https://nbn-resolving.org/urn:nbn:de:101:1-2018080804355041270690","author":[{"family":"Lundgren","given":"Regina E"},{"family":"McMakin","given":"Andrea H"}],"accessed":{"date-parts":[["2021",7,3]]},"issued":{"date-parts":[["2018"]]}},"label":"page"},{"id":54489,"uris":["http://zotero.org/groups/2352922/items/JMBGM93Y"],"itemData":{"id":54489,"type":"article-journal","abstract":"Community science (also often referred to as citizen science) provides a unique opportunity to address questions beyond the scope of other research methods whilst simultaneously engaging communities in the scientific process. This leads to broad educational benefits, empowers people, and can increase public awareness of societally relevant issues such as the biodiversity crisis. As such, community science has become a favourable framework for researching alien species where data on the presence, absence, abundance, phenology, and impact of species is important in informing management decisions. However, uncertainties arising at different stages can limit the interpretation of data and lead to projects failing to achieve their intended outcomes. Focusing on alien species centered community science projects, we identified key research questions and the relevant uncertainties that arise during the process of developing the study design, for example, when collecting the data and during the statistical analyses. Additionally, we assessed uncertainties from a linguistic perspective, and how the communication stages among project coordinators, participants and other stakeholders can alter the way in which information may be interpreted. We discuss existing methods for reducing uncertainty and suggest further solutions to improve data reliability. Further, we make suggestions to reduce the uncertainties that emerge at each project step and provide guidance and recommendations that can be readily applied in practice. Reducing uncertainties is essential and necessary to strengthen the scientific and community outcomes of community science, which is of particular importance to ensure the success of projects aimed at detecting novel alien species and monitoring their dynamics across space and time.","container-title":"Biological Invasions","DOI":"10.1007/s10530-022-02858-8","ISSN":"1573-1464","issue":"11","journalAbbreviation":"Biol Invasions","language":"en","page":"3395-3421","source":"Springer Link","title":"Identifying, reducing, and communicating uncertainty in community science: a focus on alien species","title-short":"Identifying, reducing, and communicating uncertainty in community science","URL":"https://doi.org/10.1007/s10530-022-02858-8","volume":"24","author":[{"family":"Probert","given":"Anna F."},{"family":"Wegmann","given":"Daniel"},{"family":"Volery","given":"Lara"},{"family":"Adriaens","given":"Tim"},{"family":"Bakiu","given":"Rigers"},{"family":"Bertolino","given":"Sandro"},{"family":"Essl","given":"Franz"},{"family":"Gervasini","given":"Eugenio"},{"family":"Groom","given":"Quentin"},{"family":"Latombe","given":"Guillaume"},{"family":"Marisavljevic","given":"Dragana"},{"family":"Mumford","given":"John"},{"family":"Pergl","given":"Jan"},{"family":"Preda","given":"Cristina"},{"family":"Roy","given":"Helen E."},{"family":"Scalera","given":"Riccardo"},{"family":"Teixeira","given":"Heliana"},{"family":"Tricarico","given":"Elena"},{"family":"Vanderhoeven","given":"Sonia"},{"family":"Bacher","given":"Sven"}],"accessed":{"date-parts":[["2023",2,14]]},"issued":{"date-parts":[["2022",11,1]]}},"label":"page"},{"id":10242,"uris":["http://zotero.org/groups/2352922/items/MFAX5ADZ"],"itemData":{"id":10242,"type":"book","abstract":"Public administrations at all levels must often manage complex situations related to environmental determinants of health, often surrounded by controversy. Many factors contribute to a rapid escalation of those situations: increased sensitivity in the face of uncertain risks, uneven distribution of risks and benefits, and decreasing trust in authorities and entities involved in making decisions influencing public health. There is a need, in such circumstances, to assess the extent of possible health and environment impacts and to manage information, evidence and communication on possible risks, while understanding and taking into consideration the opinions, interests and values of the relevant stakeholders.\nA workshop, jointly organized by the WHO European Office for Investment for Health and Development in Venice and the WHO European Centre for Environment and Health in Bonn, was held in Trento, Italy with the aim of sharing experiences in the management and communication of environmental risks.\nThis report builds on the presentations and discussions from the workshop and presents a series of key messages useful to regional and local authorities, as well as to risk managers in general.","event-place":"Denmark","ISBN":"978 92 890 00512","publisher":"World Health Organization","publisher-place":"Denmark","title":"Health and environment: communicating the risks","URL":"https://apps.who.int/iris/bitstream/handle/10665/108629/9789289000512-eng.pdf?sequence=1&amp;isAllowed=y","author":[{"literal":"WHO"}],"issued":{"date-parts":[["2013"]]}},"label":"page"}],"schema":"https://github.com/citation-style-language/schema/raw/master/csl-citation.json"} </w:instrText>
      </w:r>
      <w:r w:rsidR="001B0409" w:rsidRPr="00837161">
        <w:rPr>
          <w:lang w:eastAsia="en-AU"/>
        </w:rPr>
        <w:fldChar w:fldCharType="separate"/>
      </w:r>
      <w:r w:rsidR="00271B78" w:rsidRPr="00271B78">
        <w:t>(Lundgren &amp; McMakin, 2018; Probert et al., 2022; WHO, 2013)</w:t>
      </w:r>
      <w:r w:rsidR="001B0409" w:rsidRPr="00837161">
        <w:rPr>
          <w:lang w:eastAsia="en-AU"/>
        </w:rPr>
        <w:fldChar w:fldCharType="end"/>
      </w:r>
      <w:r w:rsidR="001B0409" w:rsidRPr="00837161">
        <w:rPr>
          <w:lang w:eastAsia="en-AU"/>
        </w:rPr>
        <w:t xml:space="preserve"> and </w:t>
      </w:r>
      <w:r w:rsidR="00D50C96" w:rsidRPr="00837161">
        <w:rPr>
          <w:lang w:eastAsia="en-AU"/>
        </w:rPr>
        <w:t xml:space="preserve">management decision-making </w:t>
      </w:r>
      <w:r w:rsidR="001B0409" w:rsidRPr="00837161">
        <w:rPr>
          <w:lang w:eastAsia="en-AU"/>
        </w:rPr>
        <w:fldChar w:fldCharType="begin"/>
      </w:r>
      <w:r w:rsidR="000F35EB">
        <w:rPr>
          <w:lang w:eastAsia="en-AU"/>
        </w:rPr>
        <w:instrText xml:space="preserve"> ADDIN ZOTERO_ITEM CSL_CITATION {"citationID":"rwLt0TWh","properties":{"formattedCitation":"(D. A. Clarke et al., 2021; S. Liu et al., 2011; Vanderhoeven et al., 2017; A. I. Ward et al., 2020)","plainCitation":"(D. A. Clarke et al., 2021; S. Liu et al., 2011; Vanderhoeven et al., 2017; A. I. Ward et al., 2020)","noteIndex":0},"citationItems":[{"id":26967,"uris":["http://zotero.org/groups/2352922/items/GTA6KUJN"],"itemData":{"id":26967,"type":"article-journal","container-title":"Ecosphere","DOI":"10.1002/ecs2.3461","ISSN":"2150-8925, 2150-8925","issue":"4","journalAbbreviation":"Ecosphere","language":"en","page":"e03461","source":"DOI.org (Crossref)","title":"Options for reducing uncertainty in impact classification for alien species","URL":"https://onlinelibrary.wiley.com/doi/10.1002/ecs2.3461","volume":"12","author":[{"family":"Clarke","given":"David A."},{"family":"Palmer","given":"David J."},{"family":"McGrannachan","given":"Chris"},{"family":"Burgess","given":"Treena I."},{"family":"Chown","given":"Steven L."},{"family":"Clarke","given":"Rohan H."},{"family":"Kumschick","given":"Sabrina"},{"family":"Lach","given":"Lori"},{"family":"Liebhold","given":"Andrew M."},{"family":"Roy","given":"Helen E."},{"family":"Saunders","given":"Manu E."},{"family":"Yeates","given":"David K."},{"family":"Zalucki","given":"Myron P."},{"family":"McGeoch","given":"Melodie A."}],"accessed":{"date-parts":[["2021",7,1]]},"issued":{"date-parts":[["2021",4]]}},"label":"page"},{"id":30560,"uris":["http://zotero.org/groups/2352922/items/QKXHQTGH"],"itemData":{"id":30560,"type":"article-journal","abstract":"The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J."},{"family":"Cook","given":"David"}],"accessed":{"date-parts":[["2019",9,11]]},"issued":{"date-parts":[["2011",8,9]]}},"label":"page"},{"id":22747,"uris":["http://zotero.org/groups/2352922/items/EY32RN7C"],"itemData":{"id":22747,"type":"article-journal","abstract":"Risk assessment tools for listing invasive alien species need to incorporate all available evidence and expertise. Beyond the wealth of protocols developed to date, we argue that the current way of performing risk analysis has several shortcomings. In particular, lack of data on ecological impacts, transparency and repeatability of assessments as well as the incorporation of uncertainty should all be explicitly considered. We recommend improved quality control of risk assessments through formalized peer review with clear feedback between assessors and reviewers. Alternatively, a consensus building process can be applied to better capture opinions of different experts, thereby maximizing the evidential basis. Elaborating on manageability of invasive species is further needed to fully answer all risk analysis requirements. Tackling the issue of invasive species urges better handling of the acquired information on risk and the exploration of improved methods for decision making on biodiversity management. This is crucial for efficient conservation resource allocation and uptake by stakeholders and the public. © 2017, The Author(s).","container-title":"Biological Invasions","DOI":"10.1007/s10530-017-1434-0","ISSN":"1573-1464","issue":"9","journalAbbreviation":"Biol Invasions","language":"en","page":"2507-2517","source":"Springer Link","title":"Beyond protocols: improving the reliability of expert-based risk analysis underpinning invasive species policies","title-short":"Beyond protocols","URL":"https://doi.org/10.1007/s10530-017-1434-0","volume":"19","author":[{"family":"Vanderhoeven","given":"Sonia"},{"family":"Branquart","given":"Etienne"},{"family":"Casaer","given":"Jim"},{"family":"D’hondt","given":"Bram"},{"family":"Hulme","given":"Philip E."},{"family":"Shwartz","given":"Assaf"},{"family":"Strubbe","given":"Diederik"},{"family":"Turbé","given":"Anne"},{"family":"Verreycken","given":"Hugo"},{"family":"Adriaens","given":"Tim"}],"accessed":{"date-parts":[["2019",8,12]]},"issued":{"date-parts":[["2017",9,1]]}},"label":"page"},{"id":27401,"uris":["http://zotero.org/groups/2352922/items/H9DAA869"],"itemData":{"id":27401,"type":"article-journal","container-title":"Mammal Revi</w:instrText>
      </w:r>
      <w:r w:rsidR="000F35EB">
        <w:rPr>
          <w:rFonts w:hint="eastAsia"/>
          <w:lang w:eastAsia="en-AU"/>
        </w:rPr>
        <w:instrText>ew","DOI":"10.1111/mam.12188","ISSN":"0305-1838, 1365-2907","issue":"2","journalAbbreviation":"Mam Rev","language":"en","page":"211-220","source":"DOI.org (Crossref)","title":"Using and communicating uncertainty for the effective control of invasive non</w:instrText>
      </w:r>
      <w:r w:rsidR="000F35EB">
        <w:rPr>
          <w:rFonts w:hint="eastAsia"/>
          <w:lang w:eastAsia="en-AU"/>
        </w:rPr>
        <w:instrText>‐</w:instrText>
      </w:r>
      <w:r w:rsidR="000F35EB">
        <w:rPr>
          <w:rFonts w:hint="eastAsia"/>
          <w:lang w:eastAsia="en-AU"/>
        </w:rPr>
        <w:instrText>n</w:instrText>
      </w:r>
      <w:r w:rsidR="000F35EB">
        <w:rPr>
          <w:lang w:eastAsia="en-AU"/>
        </w:rPr>
        <w:instrText xml:space="preserve">ative species","URL":"https://onlinelibrary.wiley.com/doi/abs/10.1111/mam.12188","volume":"50","author":[{"family":"Ward","given":"Alastair I."},{"family":"Richardson","given":"Suzanne"},{"family":"Macarthur","given":"Roy"},{"family":"Mill","given":"Aileen C."}],"accessed":{"date-parts":[["2021",7,6]]},"issued":{"date-parts":[["2020",4]]}},"label":"page"}],"schema":"https://github.com/citation-style-language/schema/raw/master/csl-citation.json"} </w:instrText>
      </w:r>
      <w:r w:rsidR="001B0409" w:rsidRPr="00837161">
        <w:rPr>
          <w:lang w:eastAsia="en-AU"/>
        </w:rPr>
        <w:fldChar w:fldCharType="separate"/>
      </w:r>
      <w:r w:rsidR="00271B78" w:rsidRPr="00271B78">
        <w:t>(D. A. Clarke et al., 2021; S. Liu et al., 2011; Vanderhoeven et al., 2017; A. I. Ward et al., 2020)</w:t>
      </w:r>
      <w:r w:rsidR="001B0409" w:rsidRPr="00837161">
        <w:rPr>
          <w:lang w:eastAsia="en-AU"/>
        </w:rPr>
        <w:fldChar w:fldCharType="end"/>
      </w:r>
      <w:r w:rsidR="001B0409" w:rsidRPr="00837161">
        <w:rPr>
          <w:lang w:eastAsia="en-AU"/>
        </w:rPr>
        <w:t xml:space="preserve">. </w:t>
      </w:r>
      <w:r w:rsidR="00A50610" w:rsidRPr="00837161">
        <w:rPr>
          <w:lang w:eastAsia="en-AU"/>
        </w:rPr>
        <w:t xml:space="preserve">This allows </w:t>
      </w:r>
      <w:r w:rsidR="004B2E19" w:rsidRPr="00837161">
        <w:rPr>
          <w:lang w:eastAsia="en-AU"/>
        </w:rPr>
        <w:t xml:space="preserve">a degree of confidence to be </w:t>
      </w:r>
      <w:r w:rsidR="00044232" w:rsidRPr="00837161">
        <w:rPr>
          <w:lang w:eastAsia="en-AU"/>
        </w:rPr>
        <w:t>associ</w:t>
      </w:r>
      <w:r w:rsidR="00C64407" w:rsidRPr="00837161">
        <w:rPr>
          <w:lang w:eastAsia="en-AU"/>
        </w:rPr>
        <w:t>a</w:t>
      </w:r>
      <w:r w:rsidR="00044232" w:rsidRPr="00837161">
        <w:rPr>
          <w:lang w:eastAsia="en-AU"/>
        </w:rPr>
        <w:t xml:space="preserve">ted with </w:t>
      </w:r>
      <w:r w:rsidR="00A50610" w:rsidRPr="00837161">
        <w:rPr>
          <w:lang w:eastAsia="en-AU"/>
        </w:rPr>
        <w:t>decisions</w:t>
      </w:r>
      <w:r w:rsidR="00922404">
        <w:rPr>
          <w:lang w:eastAsia="en-AU"/>
        </w:rPr>
        <w:t>,</w:t>
      </w:r>
      <w:r w:rsidR="007A48A6" w:rsidRPr="00837161">
        <w:rPr>
          <w:lang w:eastAsia="en-AU"/>
        </w:rPr>
        <w:t xml:space="preserve"> </w:t>
      </w:r>
      <w:r w:rsidR="00044232" w:rsidRPr="00837161">
        <w:rPr>
          <w:lang w:eastAsia="en-AU"/>
        </w:rPr>
        <w:t>increasing their legitimacy</w:t>
      </w:r>
      <w:r w:rsidR="00C64407" w:rsidRPr="00837161">
        <w:rPr>
          <w:lang w:eastAsia="en-AU"/>
        </w:rPr>
        <w:t xml:space="preserve"> </w:t>
      </w:r>
      <w:r w:rsidR="005171FF" w:rsidRPr="00837161">
        <w:rPr>
          <w:lang w:eastAsia="en-AU"/>
        </w:rPr>
        <w:t xml:space="preserve">and </w:t>
      </w:r>
      <w:r w:rsidR="00C6515B" w:rsidRPr="00837161">
        <w:rPr>
          <w:lang w:eastAsia="en-AU"/>
        </w:rPr>
        <w:t>providing transpar</w:t>
      </w:r>
      <w:r w:rsidR="00FD57A6" w:rsidRPr="00837161">
        <w:rPr>
          <w:lang w:eastAsia="en-AU"/>
        </w:rPr>
        <w:t>e</w:t>
      </w:r>
      <w:r w:rsidR="00C6515B" w:rsidRPr="00837161">
        <w:rPr>
          <w:lang w:eastAsia="en-AU"/>
        </w:rPr>
        <w:t xml:space="preserve">ncy </w:t>
      </w:r>
      <w:r w:rsidR="005D5CE5" w:rsidRPr="00837161">
        <w:rPr>
          <w:lang w:eastAsia="en-AU"/>
        </w:rPr>
        <w:t>for</w:t>
      </w:r>
      <w:r w:rsidR="00FD57A6" w:rsidRPr="00837161">
        <w:rPr>
          <w:lang w:eastAsia="en-AU"/>
        </w:rPr>
        <w:t xml:space="preserve"> managers </w:t>
      </w:r>
      <w:r w:rsidR="001B0409" w:rsidRPr="00837161">
        <w:rPr>
          <w:lang w:eastAsia="en-AU"/>
        </w:rPr>
        <w:fldChar w:fldCharType="begin"/>
      </w:r>
      <w:r w:rsidR="000F35EB">
        <w:rPr>
          <w:lang w:eastAsia="en-AU"/>
        </w:rPr>
        <w:instrText xml:space="preserve"> ADDIN ZOTERO_ITEM CSL_CITATION {"citationID":"VsZNsi8J","properties":{"formattedCitation":"(Est\\uc0\\u233{}vez et al., 2015; van der Bles, 2019)","plainCitation":"(Estévez et al., 2015; van der Bles, 2019)","noteIndex":0},"citationItems":[{"id":30389,"uris":["http://zotero.org/groups/2352922/items/RICLEV26"],"itemData":{"id":30389,"type":"article-journal","abstract":"Decision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A."}],"accessed":{"date-parts":[["2021",4,13]]},"issued":{"date-parts":[["2015",2]]}},"label":"page"},{"id":15309,"uris":["http://zotero.org/groups/2352922/items/XKQA2S67"],"itemData":{"id":15309,"type":"article-journal","container-title":"New Scientist","DOI":"10.1016/S0262-4079(19)31224-2","ISSN":"02624079","issue":"3237","journalAbbreviation":"New Scientist","language":"en","page":"21","source":"DOI.org (Crossref)","title":"Be certainly uncertain","URL":"https://linkinghub.elsevier.com/retrieve/pii/S0262407919312242","volume":"243","author":[{"family":"Bles","given":"Anne Marthe","non-dropping-particle":"van der"}],"accessed":{"date-parts":[["2019",9,19]]},"issued":{"date-parts":[["2019",7]]}},"label":"page"}],"schema":"https://github.com/citation-style-language/schema/raw/master/csl-citation.json"} </w:instrText>
      </w:r>
      <w:r w:rsidR="001B0409" w:rsidRPr="00837161">
        <w:rPr>
          <w:lang w:eastAsia="en-AU"/>
        </w:rPr>
        <w:fldChar w:fldCharType="separate"/>
      </w:r>
      <w:r w:rsidR="00271B78" w:rsidRPr="00271B78">
        <w:t>(Estévez et al., 2015; van der Bles, 2019)</w:t>
      </w:r>
      <w:r w:rsidR="001B0409" w:rsidRPr="00837161">
        <w:rPr>
          <w:lang w:eastAsia="en-AU"/>
        </w:rPr>
        <w:fldChar w:fldCharType="end"/>
      </w:r>
      <w:r w:rsidR="001B0409" w:rsidRPr="00837161">
        <w:rPr>
          <w:lang w:eastAsia="en-AU"/>
        </w:rPr>
        <w:t>.</w:t>
      </w:r>
      <w:r w:rsidR="00B93195" w:rsidRPr="00837161">
        <w:rPr>
          <w:lang w:eastAsia="en-AU"/>
        </w:rPr>
        <w:t xml:space="preserve"> </w:t>
      </w:r>
    </w:p>
    <w:p w14:paraId="797DD317" w14:textId="63226234" w:rsidR="001B0409" w:rsidRPr="00837161" w:rsidRDefault="0007191B" w:rsidP="002F2F42">
      <w:pPr>
        <w:pStyle w:val="Heading3"/>
      </w:pPr>
      <w:r w:rsidRPr="0007191B">
        <w:t>Quantitative decision- support tools for implementing management options</w:t>
      </w:r>
    </w:p>
    <w:p w14:paraId="6B180759" w14:textId="5B64B10C" w:rsidR="5ABCC206" w:rsidRPr="00837161" w:rsidRDefault="3C3BFA70" w:rsidP="00C11DFA">
      <w:pPr>
        <w:spacing w:before="240" w:after="120" w:line="240" w:lineRule="auto"/>
      </w:pPr>
      <w:r w:rsidRPr="00837161">
        <w:t>Many q</w:t>
      </w:r>
      <w:r w:rsidR="66FF4C05" w:rsidRPr="00837161">
        <w:t>uantitative d</w:t>
      </w:r>
      <w:r w:rsidR="4F411130" w:rsidRPr="00837161">
        <w:t>ecision</w:t>
      </w:r>
      <w:r w:rsidR="00A91F9F">
        <w:t>-</w:t>
      </w:r>
      <w:r w:rsidR="4F411130" w:rsidRPr="00837161">
        <w:t xml:space="preserve">support </w:t>
      </w:r>
      <w:r w:rsidR="0737E5F3" w:rsidRPr="00837161">
        <w:t>models and platforms</w:t>
      </w:r>
      <w:r w:rsidR="4F411130" w:rsidRPr="00837161">
        <w:t xml:space="preserve"> </w:t>
      </w:r>
      <w:r w:rsidRPr="00837161">
        <w:t xml:space="preserve">have been developed to </w:t>
      </w:r>
      <w:r w:rsidR="3C39476F" w:rsidRPr="00837161">
        <w:t>support management imple</w:t>
      </w:r>
      <w:r w:rsidR="57F2CF60" w:rsidRPr="00837161">
        <w:t>mentation</w:t>
      </w:r>
      <w:r w:rsidR="4F411130" w:rsidRPr="00837161">
        <w:t xml:space="preserve">. Some generic </w:t>
      </w:r>
      <w:r w:rsidR="1703E044" w:rsidRPr="00837161">
        <w:t xml:space="preserve">modelling </w:t>
      </w:r>
      <w:r w:rsidR="4F411130" w:rsidRPr="00837161">
        <w:t xml:space="preserve">platforms </w:t>
      </w:r>
      <w:r w:rsidR="35316738" w:rsidRPr="00837161">
        <w:t xml:space="preserve">have already been discussed </w:t>
      </w:r>
      <w:r w:rsidR="4F411130" w:rsidRPr="00837161">
        <w:t>(</w:t>
      </w:r>
      <w:r w:rsidR="7AFE6926" w:rsidRPr="00837161">
        <w:t xml:space="preserve">e.g., </w:t>
      </w:r>
      <w:r w:rsidR="4F411130" w:rsidRPr="00837161">
        <w:t xml:space="preserve">Tools for assessing pest and pathogen aerial spread </w:t>
      </w:r>
      <w:r w:rsidR="00E114AF" w:rsidRPr="00837161">
        <w:rPr>
          <w:rFonts w:eastAsia="游明朝"/>
          <w:lang w:eastAsia="ja-JP"/>
        </w:rPr>
        <w:t>(</w:t>
      </w:r>
      <w:r w:rsidR="4F411130" w:rsidRPr="00837161">
        <w:t>TAPPAS</w:t>
      </w:r>
      <w:r w:rsidR="00E114AF" w:rsidRPr="00837161">
        <w:t>)</w:t>
      </w:r>
      <w:r w:rsidR="334D4B16" w:rsidRPr="00837161">
        <w:t xml:space="preserve">; </w:t>
      </w:r>
      <w:r w:rsidR="00AF363E" w:rsidRPr="00837161">
        <w:fldChar w:fldCharType="begin"/>
      </w:r>
      <w:r w:rsidR="000F35EB">
        <w:instrText xml:space="preserve"> ADDIN ZOTERO_ITEM CSL_CITATION {"citationID":"0tn2fot5","properties":{"formattedCitation":"(Durr et al., 2017)","plainCitation":"(Durr et al., 2017)","dontUpdate":true,"noteIndex":0},"citationItems":[{"id":16769,"uris":["http://zotero.org/groups/2352922/items/Z7HRL47X"],"itemData":{"id":16769,"type":"article-journal","abstract":"The possibility that outbreaks of bluetongue (BT) and African horse sickness (AHS) might occur via long distance wind dispersion (LDWD) of their insect vector (Culicoides spp.) was proposed by R.F. Sellers in a series of papers published between 1977 and 1991. These investigated the role of LDWD in outbreaks, including that of BT in Portugal (1956) and AHS in Spain (1966), by means of examining synoptic chart inferred trajectories. Using internationally accessible climate data-sets of atmospheric conditions, we investigated six of the scenarios described in Sellers’ papers, but allowing for the dispersal of individual midges, modelled as particles, from the purported sources. For this re-analysis, we used a custom-built Big Data application (“TAPPAS”) which couples a user-friendly web-interface with an established atmospheric dispersal model (“HYSPLIT”). For the two AHS outbreaks (Cyprus 1960 and Spain 1966) there was strong support from our re-analysis of the role of LDWD, but for the BT outbreaks, the reassessments were more complex, and for one of these (Western Turkey in 1977) we could discount LDWD as the means of direct introduction of the virus. By contrast, while the outbreak in Cyprus (1977) showed LDWD was a plausible means of introduction, there is an apparent inconsistency in that the outbreaks were localised whilst the dispersion events covered much of the island. For Portugal (1956), LDWD from Morocco on the dates suggested by Sellers is very unlikely to have been the pathway for introduction, and for the detection of serotype 2 in Florida (1982) LDWD from Cuba would require an assumption of a very long survival time for the midges (i.e. 30 hours) in the air column. Except for the western Turkey example, the BT reanalyses show the limitation of LDWD modelling when used by itself, and indicate the need for the integration of susceptible host population distribution (and other covariate) data into the modelling process. We predict that molecular methods, and particularly the comparison of full genome sequences of the virus at the purported source and the incursion site, will have an increasingly important role in providing validation for inferred LDWD.","container-title":"Frontiers in Veterinary Science","DOI":"10.3389/fvets.2017.00098","ISSN":"2297-1769","journalAbbreviation":"Front. Vet. Sci.","language":"English","source":"Frontiers","title":"Sellers’ Revisited: A Big Data Reassessment of Historical Outbreaks of Bluetongue and African Horse Sickness due to the Long-Distance Wind Dispersion of &lt;i&gt;Culicoides&lt;/i&gt; Midges","title-short":"Sellers’ Revisited","URL":"https://www.frontiersin.org/articles/10.3389/fvets.2017.00098/full","volume":"4","author":[{"family":"Durr","given":"Peter A."},{"family":"Graham","given":"Kerryne"},{"family":"Klinken","given":"Rieks D.","non-dropping-particle":"van"}],"accessed":{"date-parts":[["2019",12,9]]},"issued":{"date-parts":[["2017"]]}}}],"schema":"https://github.com/citation-style-language/schema/raw/master/csl-citation.json"} </w:instrText>
      </w:r>
      <w:r w:rsidR="00AF363E" w:rsidRPr="00837161">
        <w:fldChar w:fldCharType="separate"/>
      </w:r>
      <w:r w:rsidR="4F411130" w:rsidRPr="00837161">
        <w:t>Durr et al., 2017</w:t>
      </w:r>
      <w:r w:rsidR="00AF363E" w:rsidRPr="00837161">
        <w:fldChar w:fldCharType="end"/>
      </w:r>
      <w:r w:rsidR="6D9FBE7B" w:rsidRPr="00837161">
        <w:t>;</w:t>
      </w:r>
      <w:r w:rsidR="7FB092D7" w:rsidRPr="00837161">
        <w:t xml:space="preserve"> </w:t>
      </w:r>
      <w:r w:rsidR="334D4B16" w:rsidRPr="001066CE">
        <w:rPr>
          <w:b/>
          <w:iCs/>
        </w:rPr>
        <w:t xml:space="preserve">section </w:t>
      </w:r>
      <w:r w:rsidR="7FB092D7" w:rsidRPr="001066CE">
        <w:rPr>
          <w:b/>
          <w:iCs/>
        </w:rPr>
        <w:t>5.2.2.1</w:t>
      </w:r>
      <w:r w:rsidR="4F411130" w:rsidRPr="00837161">
        <w:t>). The</w:t>
      </w:r>
      <w:r w:rsidR="7D12C035" w:rsidRPr="00837161">
        <w:t>ir</w:t>
      </w:r>
      <w:r w:rsidR="4F411130" w:rsidRPr="00837161">
        <w:t xml:space="preserve"> utility is broad and, when validated, can be cost</w:t>
      </w:r>
      <w:r w:rsidR="1703E044" w:rsidRPr="00837161">
        <w:t>-</w:t>
      </w:r>
      <w:r w:rsidR="4F411130" w:rsidRPr="00837161">
        <w:t xml:space="preserve">effective </w:t>
      </w:r>
      <w:r w:rsidR="00AF363E" w:rsidRPr="00837161">
        <w:fldChar w:fldCharType="begin"/>
      </w:r>
      <w:r w:rsidR="000F35EB">
        <w:instrText xml:space="preserve"> ADDIN ZOTERO_ITEM CSL_CITATION {"citationID":"d73Xu7JD","properties":{"formattedCitation":"(M. E. Wilson &amp; Coulson, 2016)","plainCitation":"(M. E. Wilson &amp; Coulson, 2016)","noteIndex":0},"citationItems":[{"id":11202,"uris":["http://zotero.org/groups/2352922/items/4XPX2TXC"],"itemData":{"id":11202,"type":"article-journal","abstract":"Context Fertility control of females with levonorgestrel or deslorelin implants shows promise for managing populations of overabundant eastern grey kangaroos (Macropus giganteus). Although these implants have been tested separately in captive and free-ranging kangaroos, there has been no direct comparison under equivalent field conditions. Aims We investigated the long-term efficacy of levonorgestrel and deslorelin implants, together with the cost of treatment, ease of administration, and the welfare of the animals, in a side-by-side trial under realistic management conditions. Methods We captured 65 adult female kangaroos over 11 days at a golf course in Anglesea, Victoria, Australia. We assigned each female to one of the following three experimental groups: levonorgestrel (210 mg, n = 18), deslorelin (9.4 mg, n = 24) or procedural control (n = 23). We monitored reproductive success for 8 years, by observing young in the pouch in winter and spring. Key results Natural fertility was high; in most years, less than 20% of control females failed to reproduce. For deslorelin-treated females, the odds of failing to reproduce were four times higher than for the control group; for levonorgestrel-treated females, these odds were 74 times higher. Deslorelin was ineffective after 3 years, whereas levonorgestrel was effective for at least 5 years. Conclusions Levonorgestrel was markedly superior in efficacy, as shown by a stronger contraceptive effect persisting for longer. In other respects, the two implants were comparable, being similar in cost and ease of delivery, and equally safe. Implications Only levonorgestrel implants fulfill their promise for non-lethal, long-term control of kangaroo populations. Deslorelin implants cannot be recommended for this purpose.","container-title":"Wildlife Research","DOI":"10.1071/WR15176","ISSN":"1448-5494","issue":"3","journalAbbreviation":"Wildl. Res.","language":"en","note":"publisher: CSIRO PUBLISHING","page":"212-219","source":"www.publish.csiro.au","title":"Comparative efficacy of levonorgestrel and deslorelin contraceptive implants in free-ranging eastern grey kangaroos (&lt;i&gt;Macropus giganteus&lt;/i&gt;)","URL":"https://www.publish.csiro.au/wr/WR15176","volume":"43","author":[{"family":"Wilson","given":"Michelle E."},{"family":"Coulson","given":"Graeme"}],"accessed":{"date-parts":[["2020",8,17]]},"issued":{"date-parts":[["2016",6,24]]}},"label":"page"}],"schema":"https://github.com/citation-style-language/schema/raw/master/csl-citation.json"} </w:instrText>
      </w:r>
      <w:r w:rsidR="00AF363E" w:rsidRPr="00837161">
        <w:fldChar w:fldCharType="separate"/>
      </w:r>
      <w:r w:rsidR="00271B78" w:rsidRPr="00271B78">
        <w:t>(M. E. Wilson &amp; Coulson, 2016)</w:t>
      </w:r>
      <w:r w:rsidR="00AF363E" w:rsidRPr="00837161">
        <w:fldChar w:fldCharType="end"/>
      </w:r>
      <w:r w:rsidR="4F411130" w:rsidRPr="00837161">
        <w:t xml:space="preserve">. </w:t>
      </w:r>
      <w:r w:rsidR="1F294B04" w:rsidRPr="00837161">
        <w:lastRenderedPageBreak/>
        <w:t>Such platforms</w:t>
      </w:r>
      <w:r w:rsidR="4F411130" w:rsidRPr="00837161">
        <w:t xml:space="preserve"> can be tailored to different manager </w:t>
      </w:r>
      <w:r w:rsidR="73A8A940" w:rsidRPr="00837161">
        <w:t xml:space="preserve">perceptions or </w:t>
      </w:r>
      <w:r w:rsidR="640B28EF" w:rsidRPr="00837161">
        <w:t xml:space="preserve">risk, types of </w:t>
      </w:r>
      <w:r w:rsidR="005A71EB" w:rsidRPr="00837161">
        <w:t>invasive alien species</w:t>
      </w:r>
      <w:r w:rsidR="640B28EF" w:rsidRPr="00837161">
        <w:t xml:space="preserve"> and</w:t>
      </w:r>
      <w:r w:rsidR="4F411130" w:rsidRPr="00837161">
        <w:t xml:space="preserve"> policy options </w:t>
      </w:r>
      <w:r w:rsidR="00AF363E" w:rsidRPr="00837161">
        <w:fldChar w:fldCharType="begin"/>
      </w:r>
      <w:r w:rsidR="000F35EB">
        <w:instrText xml:space="preserve"> ADDIN ZOTERO_ITEM CSL_CITATION {"citationID":"46S9rO3L","properties":{"formattedCitation":"(Lodge et al., 2016; Perrings, 2016)","plainCitation":"(Lodge et al., 2016; Perrings, 2016)","noteIndex":0},"citationItems":[{"id":24353,"uris":["http://zotero.org/groups/2352922/items/NRHWTKNK"],"itemData":{"id":24353,"type":"article-journal","abstract":"Risk analysis of species invasions links biology and economics, is increasingly mandated by international and national policies, and enables improved management of invasive species. Biological invasions proceed through a series of transition probabilities (i.e., introduction, establishment, spread, and impact), and each of these presents opportunities for management. Recent research advances have improved estimates of probability and associated uncertainty. Improvements have come from species-specific trait-based risk assessments (of estimates of introduction, establishment, spread, and impact probabilities, especially from pathways of commerce in living organisms), spatially explicit dispersal models (introduction and spread, especially from transportation pathways), and species distribution models (establishment, spread, and impact). Results of these forecasting models combined with improved and cheaper surveillance technologies and practices [e.g., environmental DNA (eDNA), drones, citizen science] enable more efficient management by focusing surveillance, prevention, eradication, and control efforts on the highest-risk species and locations. Bioeconomic models account for the interacting dynamics within and between ecological and economic systems, and allow decision makers to better understand the financial consequences of alternative management strategies. In general, recent research advances demonstrate that prevention is the policy with the greatest long-term net benefit.","container-title":"Annual Review of Environment and Resources","DOI":"10.1146/annurev-environ-110615-085532","ISSN":"1543-5938, 1545-2050","issue":"1","note":"_eprint: https://doi.org/10.1146/annurev-environ-110615-085532","page":"453-488","source":"Annual Reviews","title":"Risk Analysis and Bioeconomics of Invasive Species to Inform Policy and Management","URL":"https://doi.org/10.1146/annurev-environ-110615-085532","volume":"41","author":[{"family":"Lodge","given":"David M."},{"family":"Simonin","given":"Paul W."},{"family":"Burgiel","given":"Stanley W."},{"family":"Keller","given":"Reuben P."},{"family":"Bossenbroek","given":"Jonathan M."},{"family":"Jerde","given":"Christopher L."},{"family":"Kramer","given":"Andrew M."},{"family":"Rutherford","given":"Edward S."},{"family":"Barnes","given":"Matthew A."},{"family":"Wittmann","given":"Marion E."},{"family":"Chadderton","given":"W. Lindsay"},{"family":"Apriesnig","given":"Jenny L."},{"family":"Beletsky","given":"Dmitry"},{"family":"Cooke","given":"Roger M."},{"family":"Drake","given":"John M."},{"family":"Egan","given":"Scott P."},{"family":"Finnoff","given":"David C."},{"family":"Gantz","given":"Crysta A."},{"family":"Grey","given":"Erin K."},{"family":"Hoff","given":"Michael H."},{"family":"Howeth","given":"Jennifer G."},{"family":"Jensen","given":"Richard A."},{"family":"Larson","given":"Eric R."},{"family":"Mandrak","given":"Nicholas E."},{"family":"Mason","given":"Doran M."},{"family":"Martinez","given":"Felix A."},{"family":"Newcomb","given":"Tammy J."},{"family":"Rothlisberger","given":"John D."},{"family":"Tucker","given":"Andrew J."},{"family":"Warziniack","given":"Travis W."},{"family":"Zhang","given":"Hongyan"}],"accessed":{"date-parts":[["2020",6,14]]},"issued":{"date-parts":[["2016"]]}},"label":"page"},{"id":22655,"uris":["http://zotero.org/groups/2352922/items/GRZL7UZB"],"itemData":{"id":22655,"type":"article-journal","abstract":"Infectious animal and plant diseases introduced through international trade in goods and services are a classic example of market externality. The potential harm they do is visited on people other than those engaged in their export or import, and is not taken into account in reaching export or import decisions. The use of economic instruments to internalize market externalities has been shown to yield substantial benefits in many areas of economic activity. By confronting decision-makers with the expected damage they cause, instruments of this kind have forced decision-makers to take the wider costs of their actions into account. This paper reviews the arguments for extending the range of instruments currently used to manage trade-related pest and pathogen risks, and assesses the options for deploying new instruments in the existing regulatory environment.","container-title":"Food Security","DOI":"10.1007/s12571-015-0523-0","ISSN":"1876-4525","issue":"1","journalAbbreviation":"Food Sec.","language":"en","page":"27-35","source":"Springer Link","title":"Options for managing the infectious animal and plant disease risks of international trade","URL":"https://doi.org/10.1007/s12571-015-0523-0","volume":"8","author":[{"family":"Perrings","given":"Charles"}],"accessed":{"date-parts":[["2020",6,14]]},"issued":{"date-parts":[["2016",2,1]]}},"label":"page"}],"schema":"https://github.com/citation-style-language/schema/raw/master/csl-citation.json"} </w:instrText>
      </w:r>
      <w:r w:rsidR="00AF363E" w:rsidRPr="00837161">
        <w:fldChar w:fldCharType="separate"/>
      </w:r>
      <w:r w:rsidR="00271B78" w:rsidRPr="00271B78">
        <w:t>(Lodge et al., 2016; Perrings, 2016)</w:t>
      </w:r>
      <w:r w:rsidR="00AF363E" w:rsidRPr="00837161">
        <w:fldChar w:fldCharType="end"/>
      </w:r>
      <w:r w:rsidR="4F411130" w:rsidRPr="00837161">
        <w:t xml:space="preserve"> </w:t>
      </w:r>
      <w:r w:rsidR="5F201C6C" w:rsidRPr="00837161">
        <w:t xml:space="preserve">and other management </w:t>
      </w:r>
      <w:r w:rsidR="125E43CE" w:rsidRPr="00837161">
        <w:t xml:space="preserve">types such as </w:t>
      </w:r>
      <w:r w:rsidR="4F411130" w:rsidRPr="00837161">
        <w:t>pathway management</w:t>
      </w:r>
      <w:r w:rsidR="00B32C3D" w:rsidRPr="00837161">
        <w:t xml:space="preserve"> </w:t>
      </w:r>
      <w:r w:rsidR="00B32C3D" w:rsidRPr="00837161">
        <w:fldChar w:fldCharType="begin"/>
      </w:r>
      <w:r w:rsidR="000F35EB">
        <w:instrText xml:space="preserve"> ADDIN ZOTERO_ITEM CSL_CITATION {"citationID":"XY9F8h6u","properties":{"formattedCitation":"(Leung et al., 2014)","plainCitation":"(Leung et al., 2014)","noteIndex":0},"citationItems":[{"id":10520,"uris":["http://zotero.org/groups/2352922/items/UIDCP8GX"],"itemData":{"id":10520,"type":"article-journal","abstract":"Invasive species policies are often directed at pathways of introduction, yet few analyses have examined risk at the pathway level. We synthesize the best available economic and ecological information surrounding International Standards for Phytosanitary Measures No 15 (ISPM15), a pathway-level international phytosanitary policy for treatment of wood packaging material. We highlight temporal factors for calculation of net benefits, emphasizing that while we cannot stop invasions, even delaying new arrivals results in substantial economic benefits. We show that policy implementation, although costly and yielding only moderate protection, can generate &gt;US$11 billion in cumulative net benefits by 2050, averting the introduction of more pests than currently exist in the US. We also discuss the relative importance of different sources of scientific uncertainty and identify the most crucial data needs. This is the first pathway-level economic risk analysis assessing the current scientific evidence for the net benefits of a phytosanitary policy.","container-title":"Frontiers in Ecology and the Environment","DOI":"10.1890/130311","ISSN":"1540-9295","issue":"5","journalAbbreviation":"Frontiers in Ecology and the Environment","language":"en","page":"273-279","source":"DOI.org (Crossref)","title":"Pathway-level risk analysis: the net present value of an invasive species policy in the US","title-short":"Pathway-level risk analysis","URL":"http://doi.wiley.com/10.1890/130311","volume":"12","author":[{"family":"Leung","given":"Brian"},{"family":"Springborn","given":"Michael R"},{"family":"Turner","given":"James A"},{"family":"Brockerhoff","given":"Eckehard G"}],"accessed":{"date-parts":[["2020",4,3]]},"issued":{"date-parts":[["2014",6]]}},"label":"page"}],"schema":"https://github.com/citation-style-language/schema/raw/master/csl-citation.json"} </w:instrText>
      </w:r>
      <w:r w:rsidR="00B32C3D" w:rsidRPr="00837161">
        <w:fldChar w:fldCharType="separate"/>
      </w:r>
      <w:r w:rsidR="00271B78" w:rsidRPr="00271B78">
        <w:t>(Leung et al., 2014)</w:t>
      </w:r>
      <w:r w:rsidR="00B32C3D" w:rsidRPr="00837161">
        <w:fldChar w:fldCharType="end"/>
      </w:r>
      <w:r w:rsidR="4F411130" w:rsidRPr="00837161">
        <w:t>.</w:t>
      </w:r>
    </w:p>
    <w:p w14:paraId="13DED40D" w14:textId="7DA07A89" w:rsidR="001B0409" w:rsidRPr="00837161" w:rsidRDefault="38630B06" w:rsidP="00C11DFA">
      <w:pPr>
        <w:spacing w:before="240" w:after="120" w:line="240" w:lineRule="auto"/>
      </w:pPr>
      <w:r w:rsidRPr="00837161">
        <w:t>Such modelling platforms</w:t>
      </w:r>
      <w:r w:rsidR="6F37074E" w:rsidRPr="00837161">
        <w:t xml:space="preserve"> can </w:t>
      </w:r>
      <w:r w:rsidR="2E65CB15" w:rsidRPr="00837161">
        <w:t>help answer</w:t>
      </w:r>
      <w:r w:rsidR="00AC6B51">
        <w:t>ing</w:t>
      </w:r>
      <w:r w:rsidR="6F37074E" w:rsidRPr="00837161">
        <w:t xml:space="preserve"> a wide range of risk-based </w:t>
      </w:r>
      <w:r w:rsidR="00C0338D">
        <w:t>management</w:t>
      </w:r>
      <w:r w:rsidR="00AC6B51">
        <w:t>-</w:t>
      </w:r>
      <w:r w:rsidR="00C0338D">
        <w:t>related questions important to all stakeholder communities involved in a response to control an invasive alien species</w:t>
      </w:r>
      <w:r w:rsidR="6F37074E" w:rsidRPr="00837161">
        <w:t xml:space="preserve">. </w:t>
      </w:r>
      <w:r w:rsidR="2585FA41" w:rsidRPr="00837161">
        <w:t>D</w:t>
      </w:r>
      <w:r w:rsidR="6707B2E7" w:rsidRPr="00837161">
        <w:t>yna</w:t>
      </w:r>
      <w:r w:rsidR="51463978" w:rsidRPr="00837161">
        <w:t xml:space="preserve">mic </w:t>
      </w:r>
      <w:r w:rsidR="2585FA41" w:rsidRPr="00837161">
        <w:t>modelling platforms</w:t>
      </w:r>
      <w:r w:rsidR="6F37074E" w:rsidRPr="00837161">
        <w:t xml:space="preserve"> </w:t>
      </w:r>
      <w:r w:rsidR="59B52C3C" w:rsidRPr="00837161">
        <w:t xml:space="preserve">can </w:t>
      </w:r>
      <w:r w:rsidR="6F37074E" w:rsidRPr="00837161">
        <w:t>be deploy</w:t>
      </w:r>
      <w:r w:rsidR="4CCF6F87" w:rsidRPr="00837161">
        <w:t>ed</w:t>
      </w:r>
      <w:r w:rsidR="6F37074E" w:rsidRPr="00837161">
        <w:t xml:space="preserve"> during a management response to influence real-time decision-making. These tools have been applied, for example, for the eradication of foot-and-mouth disease </w:t>
      </w:r>
      <w:r w:rsidRPr="00837161">
        <w:fldChar w:fldCharType="begin"/>
      </w:r>
      <w:r w:rsidR="000F35EB">
        <w:instrText xml:space="preserve"> ADDIN ZOTERO_ITEM CSL_CITATION {"citationID":"Ci1cYKD9","properties":{"formattedCitation":"(Garner &amp; Beckett, 2005)","plainCitation":"(Garner &amp; Beckett, 2005)","noteIndex":0},"citationItems":[{"id":17229,"uris":["http://zotero.org/groups/2352922/items/5W4ZRVII"],"itemData":{"id":17229,"type":"article-journal","abstract":"Preparedness for an incursion of an exotic animal disease is of key importance to government, industry, producers and the Australian community. An important aspect of Australia's preparedness for a possible incursion of foot-and-mouth disease is investigation into the likely effectiveness and cost-efficiency of eradication strategies when applied to different regional outbreak scenarios. Disease modelling is a tool that can be used to study diseases such as foot-and-mouth disease to better understand potential disease spread and control under different conditions. The Australian Government Department of Agriculture, Fisheries and Forestry has been involved with epidemiologic simulation modelling for more than 10 years, and has developed a sophisticated spatial model for foot-and-mouth disease (AusSpread) that operates within a geographic information system framework. The model accommodates real farm boundary or point-location data, as well as synthesised data based on agricultural census and land use information. The model also allows for interactions between herds or flocks of different animal species and production type, and considers the role that such interactions are likely to play in the epidemiology of a regional outbreak of foot-and-mouth disease. The user can choose mitigations and eradication strategies from those that are currently described in Australia's veterinary emergency plan. The model also allows the user to evaluate the impact of constraints on the availability of resources for mitigations or eradication measures. Outputs include a range of maps and tabulated outbreak statistics describing the geographic extent of the outbreak and its duration, the numbers of affected, slaughtered, and, as relevant, vaccinated herds or flocks, and the cost of control and eradication. Cost-related outputs are based on budgets of the value of stock and the cost of mitigations, each of which can be varied by the user. These outputs are a valuable resource to assist with policy development and disease management.","container-title":"Australian Veterinary Journal","DOI":"10.1111/j.1751-0813.2005.tb11589.x","ISSN":"1751-0813","issue":"12","language":"en","page":"758-766","source":"Wiley Online Library","title":"Modelling the spread of foot-and-mouth disease in Australia","URL":"https://onlinelibrary.wiley.com/doi/abs/10.1111/j.1751-0813.2005.tb11589.x","volume":"83","author":[{"family":"Garner","given":"M G"},{"family":"Beckett","given":"S D"}],"accessed":{"date-parts":[["2019",12,9]]},"issued":{"date-parts":[["2005"]]}},"label":"page"}],"schema":"https://github.com/citation-style-language/schema/raw/master/csl-citation.json"} </w:instrText>
      </w:r>
      <w:r w:rsidRPr="00837161">
        <w:fldChar w:fldCharType="separate"/>
      </w:r>
      <w:r w:rsidR="00271B78" w:rsidRPr="00271B78">
        <w:t>(Garner &amp; Beckett, 2005)</w:t>
      </w:r>
      <w:r w:rsidRPr="00837161">
        <w:fldChar w:fldCharType="end"/>
      </w:r>
      <w:r w:rsidR="6F37074E" w:rsidRPr="00837161">
        <w:t xml:space="preserve">, pandemic influenza </w:t>
      </w:r>
      <w:r w:rsidRPr="00837161">
        <w:fldChar w:fldCharType="begin"/>
      </w:r>
      <w:r w:rsidR="000F35EB">
        <w:instrText xml:space="preserve"> ADDIN ZOTERO_ITEM CSL_CITATION {"citationID":"sy4GeXk5","properties":{"formattedCitation":"(Beckett, 2008)","plainCitation":"(Beckett, 2008)","noteIndex":0},"citationItems":[{"id":30080,"uris":["http://zotero.org/groups/2352922/items/5QR9EAMS"],"itemData":{"id":30080,"type":"document","note":"No unique identifier","title":"Simulation modelling environment for pandemic influenza","author":[{"family":"Beckett","given":"Sam"}],"issued":{"date-parts":[["2008"]]}},"label":"page"}],"schema":"https://github.com/citation-style-language/schema/raw/master/csl-citation.json"} </w:instrText>
      </w:r>
      <w:r w:rsidRPr="00837161">
        <w:fldChar w:fldCharType="separate"/>
      </w:r>
      <w:r w:rsidR="00271B78" w:rsidRPr="00271B78">
        <w:t>(Beckett, 2008)</w:t>
      </w:r>
      <w:r w:rsidRPr="00837161">
        <w:fldChar w:fldCharType="end"/>
      </w:r>
      <w:r w:rsidR="6F37074E" w:rsidRPr="00837161">
        <w:t xml:space="preserve">, </w:t>
      </w:r>
      <w:r w:rsidR="00DE174D" w:rsidRPr="00837161">
        <w:rPr>
          <w:i/>
          <w:iCs/>
        </w:rPr>
        <w:t xml:space="preserve">Vulpes vulpes </w:t>
      </w:r>
      <w:r w:rsidR="00DE174D" w:rsidRPr="00837161">
        <w:t>(</w:t>
      </w:r>
      <w:r w:rsidR="00E73D84" w:rsidRPr="00837161">
        <w:t>red fox</w:t>
      </w:r>
      <w:r w:rsidR="00ED5EBE" w:rsidRPr="00837161">
        <w:t>)</w:t>
      </w:r>
      <w:r w:rsidR="6F37074E" w:rsidRPr="00837161">
        <w:t xml:space="preserve">, </w:t>
      </w:r>
      <w:r w:rsidR="00DE174D" w:rsidRPr="00837161">
        <w:rPr>
          <w:i/>
        </w:rPr>
        <w:t>Sus scrofa</w:t>
      </w:r>
      <w:r w:rsidR="00DE174D" w:rsidRPr="00837161">
        <w:t xml:space="preserve"> (</w:t>
      </w:r>
      <w:r w:rsidR="00E73D84" w:rsidRPr="00837161">
        <w:t>feral pig</w:t>
      </w:r>
      <w:r w:rsidR="00DE174D" w:rsidRPr="00837161">
        <w:t>)</w:t>
      </w:r>
      <w:r w:rsidR="6F37074E" w:rsidRPr="00837161">
        <w:t xml:space="preserve">, </w:t>
      </w:r>
      <w:r w:rsidR="00DE174D" w:rsidRPr="00837161">
        <w:rPr>
          <w:i/>
          <w:iCs/>
        </w:rPr>
        <w:t>Felis catus</w:t>
      </w:r>
      <w:r w:rsidR="00DE174D" w:rsidRPr="00837161">
        <w:t xml:space="preserve"> (</w:t>
      </w:r>
      <w:r w:rsidR="6F37074E" w:rsidRPr="00837161">
        <w:t>cat</w:t>
      </w:r>
      <w:r w:rsidR="00DE174D" w:rsidRPr="00837161">
        <w:t>;</w:t>
      </w:r>
      <w:r w:rsidR="6F37074E" w:rsidRPr="00837161">
        <w:t xml:space="preserve"> </w:t>
      </w:r>
      <w:r w:rsidRPr="00837161">
        <w:fldChar w:fldCharType="begin"/>
      </w:r>
      <w:r w:rsidR="00E25D54">
        <w:instrText xml:space="preserve"> ADDIN ZOTERO_ITEM CSL_CITATION {"citationID":"EDgpyFzk","properties":{"formattedCitation":"(Ramsey et al., 2011)","plainCitation":"(Ramsey et al., 2011)","dontUpdate":true,"noteIndex":0},"citationItems":[{"id":25134,"uris":["http://zotero.org/groups/2352922/items/WH2UQZCT"],"itemData":{"id":25134,"type":"article-journal","abstract":"It is usually uncertain when to declare success and stop control in pest eradication operations that rely on successive reductions of the population. We used the data collected during a project to eradicate feral cats from San Nicolas Island, California to estimate both the number of cats remaining towards the end of the project, and the amount and type of surveillance effort required to declare successful eradication after the last known cat was removed. Fifty seven cats were removed between June 2009 and April 2010 and our model estimated that there was a 95% chance that a further 1 to 4 cats remained, with 1 cat being the most likely number. After this time a further two cats were detected and removed and the model predicted this outcome with a probability of 0.25. If managers wished to confirm eradication success at this point, we estimated that 55 km of effort searching for recent evidence of cats over the whole island without detecting any would provide 99% certainty that no cats remained (stopping rule 1). Alternatively, the optimal amount of search effort for evidence that minimized the joint cost of searching and the cost of wrongly declaring eradication was 75 km (stopping rule 2). The equivalent amount of camera-nights (26 cameras were available) required to declare successful eradication were 416 (stopping rule 1) and 1196 camera nights (stopping rule 2). During the confirmation phase, 270 km of sign search effort and 3294 camera-nights surveillance were used from late June 2010, when the last cat was removed, through August 2010, without detecting signs of survivors. Managers can be very confident that eradication has been successful.","container-title":"New Zealand Journal of Ecology","ISSN":"0110-6465","issue":"2","note":"publisher: New Zealand Ecological Society","page":"163-173","source":"JSTOR","title":"Quantifying the success of feral cat eradication, San Nicolas Island, California","URL":"https://www.jstor.org/stable/24060664","volume":"35","author":[{"family":"Ramsey","given":"David S. L."},{"family":"Parkes","given":"John P."},{"family":"Will","given":"David"},{"family":"Hanson","given":"Chad C."},{"family":"Campbell","given":"Karl J."}],"accessed":{"date-parts":[["2021",3,31]]},"issued":{"date-parts":[["2011"]]}},"label":"page"}],"schema":"https://github.com/citation-style-language/schema/raw/master/csl-citation.json"} </w:instrText>
      </w:r>
      <w:r w:rsidRPr="00837161">
        <w:fldChar w:fldCharType="separate"/>
      </w:r>
      <w:r w:rsidR="00E25D54" w:rsidRPr="00E25D54">
        <w:t>Ramsey et al., 2011)</w:t>
      </w:r>
      <w:r w:rsidRPr="00837161">
        <w:fldChar w:fldCharType="end"/>
      </w:r>
      <w:r w:rsidR="6F37074E" w:rsidRPr="00837161">
        <w:t xml:space="preserve">, </w:t>
      </w:r>
      <w:r w:rsidR="000473B5" w:rsidRPr="000473B5">
        <w:rPr>
          <w:i/>
          <w:iCs/>
        </w:rPr>
        <w:t>Trachemys scripta elegans</w:t>
      </w:r>
      <w:r w:rsidR="000473B5" w:rsidRPr="000473B5">
        <w:t xml:space="preserve"> </w:t>
      </w:r>
      <w:r w:rsidR="002A4D1D">
        <w:t>(red-eared sliders)</w:t>
      </w:r>
      <w:r w:rsidR="6F37074E" w:rsidRPr="00837161">
        <w:t xml:space="preserve"> </w:t>
      </w:r>
      <w:r w:rsidRPr="00837161">
        <w:fldChar w:fldCharType="begin"/>
      </w:r>
      <w:r w:rsidR="000F35EB">
        <w:instrText xml:space="preserve"> ADDIN ZOTERO_ITEM CSL_CITATION {"citationID":"7bU0lxFF","properties":{"formattedCitation":"(Garc\\uc0\\u237{}a-D\\uc0\\u237{}az, Ramsey, et al., 2017)","plainCitation":"(García-Díaz, Ramsey, et al., 2017)","noteIndex":0},"citationItems":[{"id":25133,"uris":["http://zotero.org/groups/2352922/items/KI8P7LN7"],"itemData":{"id":25133,"type":"article-journal","abstract":"Confirming eradication success can be notoriously difficult and costly, especially when the species is still present but remains undetected, due to very low population densities and imperfect detection methods. There has been a lack of research on appropriate guidelines and estimation procedures for declaring eradication success for programs aimed at eradicating alien reptiles. Here we develop quantitative rules for confirmation monitoring in eradication campaigns of the red-eared slider turtle (Trachemys scripta elegans). We used a database of slider trapping data from control and eradication campaigns conducted in localities across the Iberian Peninsula and southern France to construct models for inferring appropriate trapping efforts for confirming slider turtle eradication. Basking traps were slightly more efficient than net traps in capturing sliders, although trapping was an inefficient monitoring method given the low capture probabilities estimated. The results of our spatially-explicit eradication scenarios revealed the importance of habitat configuration in declaring eradication success. Declaration of eradication success is contingent on the thresholds set to minimise false positives (i.e., falsely declaring eradication successful), but in any scenario large trapping efforts were required to confirm eradication. Given the low estimated capture probabilities, alternative methods such as eDNA and visual surveys should be considered for monitoring sliders. We suggest that if the costs associated with the impact of alien sliders can be adequately estimated, then eradication can be confirmed by rules minimising both false positive and negative error rates. Otherwise, rules minimising false positive errors would be more appropriate.","container-title":"Biological Invasions","DOI":"10.1007/s10530-017-1480-7","ISSN":"1573-1464","issue":"9","journalAbbreviation":"Biol Invasions","language":"en","page":"2739-2750","source":"Springer Link","title":"Challenges in confirming eradication success of invasive red-eared sliders","URL":"https://doi.org/10.1007/s10530-017-1480-7","volume":"19","author":[{"family":"García-Díaz","given":"Pablo"},{"family":"Ramsey","given":"David S. L."},{"family":"Woolnough","given":"Andrew P."},{"family":"Franch","given":"Marc"},{"family":"Llorente","given":"Gustavo A."},{"family":"Montori","given":"Albert"},{"family":"Buenetxea","given":"Xabier"},{"family":"Larrinaga","given":"Asier R."},{"family":"Lasceve","given":"Matthieu"},{"family":"Álvarez","given":"Alberto"},{"family":"Traverso","given":"José María"},{"family":"Valdeón","given":"Aitor"},{"family":"Crespo","given":"Ariñe"},{"family":"Rada","given":"Virginia"},{"family":"Ayllón","given":"Enrique"},{"family":"Sancho","given":"Vicente"},{"family":"Lacomba","given":"J. Ignacio"},{"family":"Bataller","given":"José Vicente"},{"family":"Lizana","given":"Miguel"}],"accessed":{"date-parts":[["2021",3,31]]},"issued":{"date-parts":[["2017",9,1]]}}}],"schema":"https://github.com/citation-style-language/schema/raw/master/csl-citation.json"} </w:instrText>
      </w:r>
      <w:r w:rsidRPr="00837161">
        <w:fldChar w:fldCharType="separate"/>
      </w:r>
      <w:r w:rsidR="00271B78" w:rsidRPr="00271B78">
        <w:t>(García-Díaz, Ramsey, et al., 2017)</w:t>
      </w:r>
      <w:r w:rsidRPr="00837161">
        <w:fldChar w:fldCharType="end"/>
      </w:r>
      <w:r w:rsidR="6F37074E" w:rsidRPr="00837161">
        <w:t xml:space="preserve"> and various weedy plant species </w:t>
      </w:r>
      <w:r w:rsidRPr="00837161">
        <w:fldChar w:fldCharType="begin"/>
      </w:r>
      <w:r w:rsidR="000F35EB">
        <w:instrText xml:space="preserve"> ADDIN ZOTERO_ITEM CSL_CITATION {"citationID":"mhYioB39","properties":{"formattedCitation":"(Panetta, 2012; T. J. Regan et al., 2006; J. R. U. Wilson et al., 2016)","plainCitation":"(Panetta, 2012; T. J. Regan et al., 2006; J. R. U. Wilson et al., 2016)","noteIndex":0},"citationItems":[{"id":16767,"uris":["http://zotero.org/groups/2352922/items/H77C2YLQ"],"itemData":{"id":16767,"type":"article-journal","abstract":"Aim To develop approaches to the evaluation of programmes whose strategic objectives are to halt or slow weed spread. Location Australia. Methods Key aspects in the evaluation of weed containment programmes are considered. These include the relevance of models that predict the effects of management intervention on spread, the detection of spread, evidence for containment failure and metrics for absolute or partial containment. Case studies documenting either near-absolute (Orobanche ramosa L., branched broomrape) or partial (Parthenium hysterophorus (L.) King and Robinson, parthenium) containment are presented. Results While useful for informing containment strategies, predictive models cannot be employed in containment programme evaluation owing to the highly stochastic nature of realized weed spread. The quality of observations is critical to the timely detection of weed spread. Effectiveness of surveillance and monitoring activities will be improved by utilizing information on habitat suitability and identification of sites from which spread could most compromise containment. Proof of containment failure may be difficult to obtain. The default option of assuming that a new detection represents containment failure could lead to an underestimate of containment success, the magnitude of which will depend on how often this assumption is made. Main conclusions Evaluation of weed containment programmes will be relatively straightforward if containment is either absolute or near-absolute and may be based on total containment area and direct measures of containment failure, for example, levels of dispersal, establishment and reproduction beyond (but proximal to) the containment line. Where containment is only partial, other measures of containment effectiveness will be required. These may include changes in the rates of detection of new infestations following the institution of interventions designed to reduce dispersal, the degree of compliance with such interventions, and the effectiveness of tactics intended to reduce fecundity or other demographic drivers of spread.","container-title":"Diversity and Distributions","DOI":"10.1111/j.1472-4642.2012.00932.x","ISSN":"1472-4642","issue":"10","language":"en","license":"© 2012 Blackwell Publishing Ltd","page":"1024-1032","source":"Wiley Online Library","title":"Evaluating the performance of weed containment programmes","URL":"https://onlinelibrary.wiley.com/doi/abs/10.1111/j.1472-4642.2012.00932.x","volume":"18","author":[{"family":"Panetta","given":"F. Dane"}],"accessed":{"date-parts":[["2019",12,9]]},"issued":{"date-parts":[["2012"]]}},"label":"page"},{"id":24096,"uris":["http://zotero.org/groups/2352922/items/H8K7MZ7M"],"itemData":{"id":24096,"type":"article-journal","abstract":"The notion of being sure that you have completely eradicated an invasive species is fanciful because of imperfect detection and persistent seed banks. Eradication is commonly declared either on an ad hoc basis, on notions of seed bank longevity, or on setting arbitrary thresholds of 1% or 5% confidence that the species is not present. Rather than declaring eradication at some arbitrary level of confidence, we take an economic approach in which we stop looking when the expected costs outweigh the expected benefits. We develop theory that determines the number of years of absent surveys required to minimize the net expected cost. Given detection of a species is imperfect, the optimal stopping time is a trade-off between the cost of continued surveying and the cost of escape and damage if eradication is declared too soon. A simple rule of thumb compares well to the exact optimal solution using stochastic dynamic programming. Application of the approach to the eradication programme of Helenium amarum reveals that the actual stopping time was a precautionary one given the ranges for each parameter.","container-title":"Ecology Letters","DOI":"10.1111/j.1461-0248.2006.00920.x","ISSN":"1461-0248","issue":"7","language":"en","page":"759-766","source":"Wiley Online Library","title":"Optimal eradication: when to stop looking for an invasive plant","title-short":"Optimal eradication","URL":"https://onlinelibrary.wiley.com/doi/abs/10.1111/j.1461-0248.2006.00920.x","volume":"9","author":[{"family":"Regan","given":"Tracey J."},{"family":"McCarthy","given":"Michael A."},{"family":"Baxter","given":"Peter W. J."},{"family":"Panetta","given":"F. Dane"},{"family":"Possingham","given":"Hugh P."}],"accessed":{"date-parts":[["2019",12,9]]},"issued":{"date-parts":[["2006"]]}},"label":"page"},{"id":26545,"uris":["http://zotero.org/groups/2352922/items/UBI33635"],"itemData":{"id":26545,"type":"book","abstract":"Ecologists, land managers and policymakers continue to search for the most effective ways to manage biological invasions. An emerging lesson is that proactive management can limit negative impacts, reduce risks and save money. This book explores how to detect and respond to alien plant incursions, summarising the most current literature, providing practical recommendations and reviewing the conditions and processes necessary to achieve prevention, eradication and containment. Chapter topics include assessing invasiveness and the impact of alien plants, how to improve surveillance efforts, how to make timely management decisions, and how legislation and strategic planning can support management. Each chapter includes text boxes written by international experts that discuss topical issues such as spatial predictive modelling, costing invasions, biosecurity, biofuels, and dealing with conflict species.","ISBN":"978-1-316-77667-4","language":"en","note":"Google-Books-ID: u4owDQAAQBAJ","number-of-pages":"285","publisher":"Cambridge University Press","source":"Google Books","title":"Detecting and Responding to Alien Plant Incursions","URL":"https://scholar.google.com.au/scholar?hl=en&amp;as_sdt=0%2C5&amp;q=Detecting+and+responding+to+alien+plant+incursions&amp;btnG=","author":[{"family":"Wilson","given":"John R. U."},{"family":"Panetta","given":"F. Dane"},{"family":"Lindgren","given":"Cory"}],"issued":{"date-parts":[["2016",10,20]]}},"label":"page"}],"schema":"https://github.com/citation-style-language/schema/raw/master/csl-citation.json"} </w:instrText>
      </w:r>
      <w:r w:rsidRPr="00837161">
        <w:fldChar w:fldCharType="separate"/>
      </w:r>
      <w:r w:rsidR="00271B78" w:rsidRPr="00271B78">
        <w:t>(Panetta, 2012; T. J. Regan et al., 2006; J. R. U. Wilson et al., 2016)</w:t>
      </w:r>
      <w:r w:rsidRPr="00837161">
        <w:fldChar w:fldCharType="end"/>
      </w:r>
      <w:r w:rsidR="6F37074E" w:rsidRPr="00837161">
        <w:t xml:space="preserve">. Publicly available tools are also under development for cost-effective decisions when </w:t>
      </w:r>
      <w:r w:rsidR="00AC6B51">
        <w:t>eradicating</w:t>
      </w:r>
      <w:r w:rsidR="00AC6B51" w:rsidRPr="00837161">
        <w:t xml:space="preserve"> </w:t>
      </w:r>
      <w:r w:rsidR="6F37074E" w:rsidRPr="00837161">
        <w:t xml:space="preserve">invasive alien species </w:t>
      </w:r>
      <w:r w:rsidRPr="00837161">
        <w:fldChar w:fldCharType="begin"/>
      </w:r>
      <w:r w:rsidR="000F35EB">
        <w:instrText xml:space="preserve"> ADDIN ZOTERO_ITEM CSL_CITATION {"citationID":"Sfpst7Tf","properties":{"formattedCitation":"(Centre for Invasive Species Solutions, 2021)","plainCitation":"(Centre for Invasive Species Solutions, 2021)","noteIndex":0},"citationItems":[{"id":31928,"uris":["http://zotero.org/groups/2352922/items/8U2NL6CG"],"itemData":{"id":31928,"type":"post-weblog","abstract":"The Centre for Invasive Species Solutions is Australia’s collaborative research centre focusing on research, development and extension to enhance invasive species management strategies among landholders and land managers.","container-title":"Centre for Invasive Species Solutions","language":"en-AU","title":"Tools for developing cost-effective decisions for managing invasive pest eradications","URL":"https://invasives.com.au/research/tools-developing-cost-effective-decisions-managing-invasive-pest-eradications/","author":[{"literal":"Centre for Invasive Species Solutions"}],"accessed":{"date-parts":[["2021",12,1]]},"issued":{"date-parts":[["2021"]]}},"label":"page"}],"schema":"https://github.com/citation-style-language/schema/raw/master/csl-citation.json"} </w:instrText>
      </w:r>
      <w:r w:rsidRPr="00837161">
        <w:fldChar w:fldCharType="separate"/>
      </w:r>
      <w:r w:rsidR="00271B78" w:rsidRPr="00271B78">
        <w:t>(Centre for Invasive Species Solutions, 2021)</w:t>
      </w:r>
      <w:r w:rsidRPr="00837161">
        <w:fldChar w:fldCharType="end"/>
      </w:r>
      <w:r w:rsidR="746B5E4D" w:rsidRPr="00837161">
        <w:t xml:space="preserve">. </w:t>
      </w:r>
      <w:r w:rsidR="6F37074E" w:rsidRPr="00837161">
        <w:t>Eradication program</w:t>
      </w:r>
      <w:r w:rsidR="00326152" w:rsidRPr="00837161">
        <w:t>me</w:t>
      </w:r>
      <w:r w:rsidR="6F37074E" w:rsidRPr="00837161">
        <w:t xml:space="preserve">s can have rule-of-thumb-based models or be dynamically assessed for likelihood </w:t>
      </w:r>
      <w:r w:rsidR="53EEA35A" w:rsidRPr="00837161">
        <w:t xml:space="preserve">of success </w:t>
      </w:r>
      <w:r w:rsidRPr="00837161">
        <w:fldChar w:fldCharType="begin"/>
      </w:r>
      <w:r w:rsidR="000F35EB">
        <w:instrText xml:space="preserve"> ADDIN ZOTERO_ITEM CSL_CITATION {"citationID":"dbFrkHGo","properties":{"formattedCitation":"(Panetta et al., 2011; Panetta &amp; Cacho, 2014)","plainCitation":"(Panetta et al., 2011; Panetta &amp; Cacho, 2014)","noteIndex":0},"citationItems":[{"id":16768,"uris":["http://zotero.org/groups/2352922/items/YQSB5M2R"],"itemData":{"id":16768,"type":"article-journal","abstract":"Aim To refine strategies for the containment of weed invasions. Location World-wide, but primarily Australia and Galapagos Islands. Methods By employing theoretical and semi-quantitative models, we estimated conditions under which barrier zones should be established and maintained around core infestations and when eradication of outliers should be attempted. Reference was made to published information on generic dispersal distances and the biological characteristics of a wide variety of weeds, including the targets of well-documented successful and failed eradication programmes. Results When weeds generate fat-tailed dispersal distance distributions having relatively high median values, search efficiency will be compromised if barrier zones are employed. The theoretical model developed supports the non-use of barrier zones in management strategies targeting tree weeds that are predominantly wind dispersed, or any species that are dispersed by birds or larger wild mammals. Many weeds that have major impacts on natural ecosystems fall within these categories. Eradication of outliers generally should not be considered where weeds have short juvenile phases and long-lived seeds. Four containment substrategies are distinguished on the basis of whether barrier zones around core infestations are established and whether the eradication of outliers is attempted. The suitability of individual substrategies is indicated for weeds of a variety of growth forms, occurring in a range of land uses, and a decision tree is presented for categorical assignment. Main conclusions A structured approach to the development of weed containment strategies will help to promote the efficient use of limited resources. Targeted species vary according to both the relative ease with which core populations can be contained and outlier populations eradicated – containment strategies should be designed accordingly. This study shows that semi-quantitative models can be powerful adjuncts to their theoretical counterparts in support of decision-making for the management of weed invasions.","container-title":"Diversity and Distributions","DOI":"10.1111/ddi.12170","ISSN":"1472-4642","issue":"5","language":"en","license":"© 2014 John Wiley &amp; Sons Ltd","page":"555-566","source":"Wiley Online Library","title":"Designing weed containment strategies: An approach based on feasibilities of eradication and containment","title-short":"Designing weed containment strategies","URL":"https://onlinelibrary.wiley.com/doi/abs/10.1111/ddi.12170","volume":"20","author":[{"family":"Panetta","given":"F. Dane"},{"family":"Cacho","given":"Oscar J."}],"accessed":{"date-parts":[["2019",12,9]]},"issued":{"date-parts":[["2014"]]}},"label":"page"},{"id":16766,"uris":["http://zotero.org/groups/2352922/items/8U5A4PWR"],"itemData":{"id":16766,"type":"article-journal","abstract":"1. Weed eradication efforts often must be sustained for long periods owing to the existence of persistent seed banks, among other factors. Decision makers need to consider both the amount of investment required and the period over which investment must be maintained when determining whether to commit to (or continue) an eradication programme. However, a basis for estimating eradication programme duration based on simple data has been lacking. Here, we present a stochastic dynamic model that can provide such estimates. 2. The model is based upon the rates of progression of infestations from the active to the monitoring state (i.e. no plants detected for at least 12 months), rates of reversion of infestations from monitoring to the active state and the frequency distribution of time since last detection for all infestations. Isoquants that illustrate the combinations of progression and reversion parameters corresponding to eradication within different time frames are generated. 3. The model is applied to ongoing eradication programmes targeting branched broomrape Orobanche ramosa and chromolaena Chromolaena odorata. The minimum periods in which eradication could potentially be achieved were 22 and 23 years, respectively. On the basis of programme performance until 2008, however, eradication is predicted to take considerably longer for both species (on average, 62 and 248 years, respectively). Performance of the branched broomrape programme could be best improved through reducing rates of reversion to the active state; for chromolaena, boosting rates of progression to the monitoring state is more important. 4. Synthesis and applications. Our model for estimating weed eradication programme duration, which captures critical transitions between a limited number of states, is readily applicable to any weed. A particular strength of the method lies in its minimal data requirements. These comprise estimates of maximum seed persistence and infested area, plus consistent annual records of the detection (or otherwise) of the weed in each infestation. This work provides a framework for identifying where improvements in management are needed and a basis for testing the effectiveness of alternative tactics. If adopted, our approach should help improve decision making with regard to eradication as a management strategy.","container-title":"Journal of Applied Ecology","DOI":"10.1111/j.1365-2664.2011.02000.x","ISSN":"1365-2664","issue":"4","language":"en","license":"© 2011 The Authors. Journal of Applied Ecology © 2011 British Ecological Society","page":"980-988","source":"Wiley Online Library","title":"Estimating and influencing the duration of weed eradication programmes","URL":"https://besjournals.onlinelibrary.wiley.com/doi/abs/10.1111/j.1365-2664.2011.02000.x","volume":"48","author":[{"family":"Panetta","given":"F. Dane"},{"family":"Cacho","given":"Osca</w:instrText>
      </w:r>
      <w:r w:rsidR="000F35EB">
        <w:rPr>
          <w:rFonts w:hint="eastAsia"/>
        </w:rPr>
        <w:instrText>r"},{"family":"Hester","given":"Susie"},{"family":"Sims</w:instrText>
      </w:r>
      <w:r w:rsidR="000F35EB">
        <w:rPr>
          <w:rFonts w:hint="eastAsia"/>
        </w:rPr>
        <w:instrText>‐</w:instrText>
      </w:r>
      <w:r w:rsidR="000F35EB">
        <w:rPr>
          <w:rFonts w:hint="eastAsia"/>
        </w:rPr>
        <w:instrText>Chilton","given":"Nikki"},{"family":"Brooks","given":"Simon"}],"accessed":{"date-parts":[["2019",12,9]]},"issued":{"date-parts":[["2011"]]}},"label":"page"}],"schema":"https://github.com/citation-sty</w:instrText>
      </w:r>
      <w:r w:rsidR="000F35EB">
        <w:instrText xml:space="preserve">le-language/schema/raw/master/csl-citation.json"} </w:instrText>
      </w:r>
      <w:r w:rsidRPr="00837161">
        <w:fldChar w:fldCharType="separate"/>
      </w:r>
      <w:r w:rsidR="00271B78" w:rsidRPr="00271B78">
        <w:t>(Panetta et al., 2011; Panetta &amp; Cacho, 2014)</w:t>
      </w:r>
      <w:r w:rsidRPr="00837161">
        <w:fldChar w:fldCharType="end"/>
      </w:r>
      <w:r w:rsidR="6F37074E" w:rsidRPr="00837161">
        <w:t xml:space="preserve">. </w:t>
      </w:r>
      <w:r w:rsidR="1DEDC3C6" w:rsidRPr="00837161">
        <w:t>These help</w:t>
      </w:r>
      <w:r w:rsidR="4EB4756F" w:rsidRPr="00837161">
        <w:t xml:space="preserve"> to ensure</w:t>
      </w:r>
      <w:r w:rsidR="1DEDC3C6" w:rsidRPr="00837161">
        <w:t xml:space="preserve"> eradication program</w:t>
      </w:r>
      <w:r w:rsidR="00326152" w:rsidRPr="00837161">
        <w:t>me</w:t>
      </w:r>
      <w:r w:rsidR="1DEDC3C6" w:rsidRPr="00837161">
        <w:t xml:space="preserve">s </w:t>
      </w:r>
      <w:r w:rsidR="4EB4756F" w:rsidRPr="00837161">
        <w:t xml:space="preserve">are neither </w:t>
      </w:r>
      <w:r w:rsidR="1DEDC3C6" w:rsidRPr="00837161">
        <w:t xml:space="preserve">terminated too </w:t>
      </w:r>
      <w:r w:rsidR="4EB4756F" w:rsidRPr="00837161">
        <w:t>early</w:t>
      </w:r>
      <w:r w:rsidR="1BC69D66" w:rsidRPr="00837161">
        <w:t xml:space="preserve"> </w:t>
      </w:r>
      <w:r w:rsidRPr="00837161">
        <w:fldChar w:fldCharType="begin"/>
      </w:r>
      <w:r w:rsidR="000F35EB">
        <w:instrText xml:space="preserve"> ADDIN ZOTERO_ITEM CSL_CITATION {"citationID":"HHx3tIfj","properties":{"formattedCitation":"(Rout et al., 2014)","plainCitation":"(Rout et al., 2014)","noteIndex":0},"citationItems":[{"id":27404,"uris":["http://zotero.org/groups/2352922/items/CG5JGVMW"],"itemData":{"id":27404,"type":"article-journal","container-title":"Animal Conservation","DOI":"10.1111/acv.12065","ISSN":"13679430","issue":"2","journalAbbreviation":"Anim Conserv","language":"en","page":"125-132","source":"DOI.org (Crossref)","title":"When to declare successful eradication of an invasive predator?","title-short":"When to declare successful eradication of an invasive predator?","URL":"https://onlinelibrary.wiley.com/doi/10.1111/acv.12065","volume":"17","author":[{"family":"Rout","given":"T. M."},{"family":"Kirkwood","given":"R."},{"family":"Sutherland","given":"D. R."},{"family":"Murphy","given":"S."},{"family":"McCarthy","given":"M. A."}],"accessed":{"date-parts":[["2021",7,6]]},"issued":{"date-parts":[["2014",4]]}},"label":"page"}],"schema":"https://github.com/citation-style-language/schema/raw/master/csl-citation.json"} </w:instrText>
      </w:r>
      <w:r w:rsidRPr="00837161">
        <w:fldChar w:fldCharType="separate"/>
      </w:r>
      <w:r w:rsidR="00271B78" w:rsidRPr="00271B78">
        <w:t>(Rout et al., 2014)</w:t>
      </w:r>
      <w:r w:rsidRPr="00837161">
        <w:fldChar w:fldCharType="end"/>
      </w:r>
      <w:r w:rsidR="6E4DFC94" w:rsidRPr="00837161">
        <w:t xml:space="preserve"> </w:t>
      </w:r>
      <w:r w:rsidR="0007191B">
        <w:t>n</w:t>
      </w:r>
      <w:r w:rsidR="4EB4756F" w:rsidRPr="00837161">
        <w:t xml:space="preserve">or run beyond </w:t>
      </w:r>
      <w:r w:rsidR="3676A4C6" w:rsidRPr="00837161">
        <w:t>an</w:t>
      </w:r>
      <w:r w:rsidR="6E4DFC94" w:rsidRPr="00837161">
        <w:t xml:space="preserve">y real </w:t>
      </w:r>
      <w:r w:rsidR="3676A4C6" w:rsidRPr="00837161">
        <w:t>strong likelihood of success</w:t>
      </w:r>
      <w:r w:rsidR="31182E9E" w:rsidRPr="00837161">
        <w:t xml:space="preserve">. </w:t>
      </w:r>
      <w:r w:rsidR="00AC6B51">
        <w:t>D</w:t>
      </w:r>
      <w:r w:rsidR="31182E9E" w:rsidRPr="00837161">
        <w:t xml:space="preserve">ecision-making </w:t>
      </w:r>
      <w:r w:rsidR="00AC6B51">
        <w:t xml:space="preserve">in the context of eradication programmes </w:t>
      </w:r>
      <w:r w:rsidR="3ABC3412" w:rsidRPr="00837161">
        <w:t xml:space="preserve">can also be assisted by </w:t>
      </w:r>
      <w:r w:rsidR="1DEDC3C6" w:rsidRPr="00837161">
        <w:t xml:space="preserve">Bayesian statistical methods </w:t>
      </w:r>
      <w:r w:rsidRPr="00837161">
        <w:fldChar w:fldCharType="begin"/>
      </w:r>
      <w:r w:rsidR="000F35EB">
        <w:instrText xml:space="preserve"> ADDIN ZOTERO_ITEM CSL_CITATION {"citationID":"laY2kEnF","properties":{"formattedCitation":"(J. M. Keith &amp; Spring, 2013; Solow et al., 2008)","plainCitation":"(J. M. Keith &amp; Spring, 2013; Solow et al., 2008)","noteIndex":0},"citationItems":[{"id":27402,"uris":["http://zotero.org/groups/2352922/items/226RJDDJ"],"itemData":{"id":27402,"type":"article-journal","container-title":"Proceedings of the National Academy of Sciences","DOI":"10.1073/pnas.1216146110","ISSN":"0027-8424, 1091-6490","issue":"33","journalAbbreviation":"Proceedings of the National Academy of Sciences","language":"en","page":"13428-13433","source":"DOI.org (Crossref)","title":"Agent-based Bayesian approach to monitoring the progress of invasive species eradication programs","URL":"http://www.pnas.org/cgi/doi/10.1073/pnas.1216146110","volume":"110","author":[{"family":"Keith","given":"J. M."},{"family":"Spring","given":"D."}],"accessed":{"date-parts":[["2021",7,6]]},"issued":{"date-parts":[["2013",8,13]]}},"label":"page"},{"id":27403,"uris":["http://zotero.org/groups/2352922/items/RBNG64TF"],"itemData":{"id":27403,"type":"article-journal","container-title":"Journal of Applied Ecology","DOI":"10.1111/j.1365-2664.2007.01446.x","ISSN":"00218901, 13652664","issue":"2","language":"en","page":"424-427","source":"DOI.org (Crossref)","title":"The untamed shrew: on the termination of an eradication programme for an introduced species","title-short":"The untamed shrew","URL":"https://onlinelibrary.wiley.com/doi/10.1111/j.1365-2664.2007.01446.x","volume":"45","author":[{"family":"Solow","given":"Andrew"},{"family":"Seymour","given":"Adrian"},{"family":"Beet","given":"Andrew"},{"family":"Harris","given":"Stephen"}],"accessed":{"date-parts":[["2021",7,6]]},"issued":{"date-parts":[["2008",4]]}},"label":"page"}],"schema":"https://github.com/citation-style-language/schema/raw/master/csl-citation.json"} </w:instrText>
      </w:r>
      <w:r w:rsidRPr="00837161">
        <w:fldChar w:fldCharType="separate"/>
      </w:r>
      <w:r w:rsidR="00271B78" w:rsidRPr="00271B78">
        <w:t>(J. M. Keith &amp; Spring, 2013; Solow et al., 2008)</w:t>
      </w:r>
      <w:r w:rsidRPr="00837161">
        <w:fldChar w:fldCharType="end"/>
      </w:r>
      <w:r w:rsidR="72C393BF" w:rsidRPr="00837161">
        <w:t>.</w:t>
      </w:r>
      <w:r w:rsidR="1DEDC3C6" w:rsidRPr="00837161">
        <w:t xml:space="preserve"> Other methods include scenario tree analysis </w:t>
      </w:r>
      <w:r w:rsidRPr="00837161">
        <w:fldChar w:fldCharType="begin"/>
      </w:r>
      <w:r w:rsidR="000F35EB">
        <w:instrText xml:space="preserve"> ADDIN ZOTERO_ITEM CSL_CITATION {"citationID":"Tf2mMV1d","properties":{"formattedCitation":"(Dominiak et al., 2011)","plainCitation":"(Dominiak et al., 2011)","noteIndex":0},"citationItems":[{"id":30202,"uris":["http://zotero.org/groups/2352922/items/TZMIRG9R"],"itemData":{"id":30202,"type":"article-journal","container-title":"Plant Protection Quarterly","ISSN":"0815-2195","issue":"4","page":"124-129","title":"Scenario tree risk analysis of zero detections and the eradication of yellow crazy ant (’&lt;i&gt;Anoplolepis gracilipes&lt;/i&gt;’ (Smith)), in New South Wales, Australia","URL":"https://search.informit.org/doi/10.3316/informit.593474062968814","volume":"26","author":[{"family":"Dominiak","given":"B"},{"family":"Gott","given":"K"},{"family":"McIver","given":"D"},{"family":"Grant","given":"T"},{"family":"Gillespie","given":"P"},{"family":"Worsley","given":"P"},{"family":"Clift","given":"A"},{"family":"Sergeant","given":"E"}],"issued":{"date-parts":[["2011"]]}},"label":"page"}],"schema":"https://github.com/citation-style-language/schema/raw/master/csl-citation.json"} </w:instrText>
      </w:r>
      <w:r w:rsidRPr="00837161">
        <w:fldChar w:fldCharType="separate"/>
      </w:r>
      <w:r w:rsidR="00271B78" w:rsidRPr="00271B78">
        <w:t>(Dominiak et al., 2011)</w:t>
      </w:r>
      <w:r w:rsidRPr="00837161">
        <w:fldChar w:fldCharType="end"/>
      </w:r>
      <w:r w:rsidR="1DEDC3C6" w:rsidRPr="00837161">
        <w:t xml:space="preserve"> and Epitools</w:t>
      </w:r>
      <w:r w:rsidR="19C60169" w:rsidRPr="00837161">
        <w:t xml:space="preserve"> </w:t>
      </w:r>
      <w:r w:rsidRPr="00837161">
        <w:fldChar w:fldCharType="begin"/>
      </w:r>
      <w:r w:rsidR="000F35EB">
        <w:instrText xml:space="preserve"> ADDIN ZOTERO_ITEM CSL_CITATION {"citationID":"TU3CwJH4","properties":{"formattedCitation":"(Sergeant, ESG, 2018)","plainCitation":"(Sergeant, ESG, 2018)","noteIndex":0},"citationItems":[{"id":53069,"uris":["http://zotero.org/groups/2352922/items/QUJCLCMW"],"itemData":{"id":53069,"type":"webpage","container-title":"Ausvet","title":"Epitools Epidemiological Calculators","URL":"http://epitools.ausvet.com.au.","author":[{"literal":"Sergeant, ESG"}],"accessed":{"date-parts":[["2022",8,31]]},"issued":{"date-parts":[["2018"]]}},"label":"page"}],"schema":"https://github.com/citation-style-language/schema/raw/master/csl-citation.json"} </w:instrText>
      </w:r>
      <w:r w:rsidRPr="00837161">
        <w:fldChar w:fldCharType="separate"/>
      </w:r>
      <w:r w:rsidR="00271B78" w:rsidRPr="00271B78">
        <w:t>(Sergeant, ESG, 2018)</w:t>
      </w:r>
      <w:r w:rsidRPr="00837161">
        <w:fldChar w:fldCharType="end"/>
      </w:r>
      <w:r w:rsidR="1DEDC3C6" w:rsidRPr="00837161">
        <w:t>.</w:t>
      </w:r>
      <w:r w:rsidR="6F37074E" w:rsidRPr="00837161">
        <w:t xml:space="preserve"> Predator-Free New Zealand has recently generated a rapid eradication assessment tool for invasive </w:t>
      </w:r>
      <w:r w:rsidR="00555381" w:rsidRPr="00837161">
        <w:t xml:space="preserve">alien </w:t>
      </w:r>
      <w:r w:rsidR="6F37074E" w:rsidRPr="00837161">
        <w:t xml:space="preserve">mammals </w:t>
      </w:r>
      <w:r w:rsidRPr="00837161">
        <w:fldChar w:fldCharType="begin"/>
      </w:r>
      <w:r w:rsidR="000F35EB">
        <w:instrText xml:space="preserve"> ADDIN ZOTERO_ITEM CSL_CITATION {"citationID":"iYrxyXqh","properties":{"formattedCitation":"(J. H. K. Kim et al., 2020)","plainCitation":"(J. H. K. Kim et al., 2020)","noteIndex":0},"citationItems":[{"id":22659,"uris":["http://zotero.org/groups/2352922/items/22F5BXKU"],"itemData":{"id":22659,"type":"article-journal","abstract":"Abstract Context Eradication of invasive species is necessary to protect and assist the recovery of native species and ecosystems. Knowing when to declare an eradication has been successful after ongoing non-detections is a challenge. Aims The rapid eradication assessment (REA) model is a powerful simulation framework to determine, given model parameters and a fixed level of monitoring effort, the level of confidence in declaring the success of pest eradication. The aim of the present study was to extend the current functionality of the REA model for broader applicability. Methods The REA model was advanced so that it was able to account for (1) usage of multiple static device types with different probabilities of detection, (2) incursion detection at a known location and (3) usage of mobile detection devices, which are increasingly being used in conservation. Key results An invasive rat incursion response on Great Mercury Island in New Zealand is used as a comprehensive example to demonstrate the distribution of estimated probability of pest absence among the cases using the current REA model and the extensions presented here. Conclusions Although Great Mercury Island already had a sparse but extensive island-wide network of static biosecurity surveillance devices, and deployed additional static devices around the area of incursion, the greatest improvement in the estimated probability of pest absence following a rat incursion was from additionally using a trained rodent-detection dog. Implications The added functionality in the REA model and demonstration of its use on a real-world scenario will allow more realistic application by wildlife managers.","container-title":"Wildlife Research","DOI":"10.1071/WR18154","ISSN":"1448-5494","issue":"2","journalAbbreviation":"Wildl. Res.","language":"en","note":"publisher: CSIRO PUBLISHING","page":"128-136","source":"www.publish.csiro.au","title":"Rapid eradication assessment (REA): a tool for pest absence confirmation","title-short":"Rapid eradication assessment (REA)","URL":"https://www.publish.csiro.au/wr/WR18154","volume":"47","author":[{"family":"Kim","given":"Juliana H. K."},{"family":"Corson","given":"Peter"},{"family":"Mulgan","given":"Nick"},{"family":"Russell","given":"James C."}],"accessed":{"date-parts":[["2020",6,14]]},"issued":{"date-parts":[["2020",4,3]]}},"label":"page"}],"schema":"https://github.com/citation-style-language/schema/raw/master/csl-citation.json"} </w:instrText>
      </w:r>
      <w:r w:rsidRPr="00837161">
        <w:fldChar w:fldCharType="separate"/>
      </w:r>
      <w:r w:rsidR="00271B78" w:rsidRPr="00271B78">
        <w:t>(J. H. K. Kim et al., 2020)</w:t>
      </w:r>
      <w:r w:rsidRPr="00837161">
        <w:fldChar w:fldCharType="end"/>
      </w:r>
      <w:r w:rsidR="6F37074E" w:rsidRPr="00837161">
        <w:t>.</w:t>
      </w:r>
    </w:p>
    <w:p w14:paraId="6679ADCB" w14:textId="74D63D1A" w:rsidR="0002258F" w:rsidRPr="00837161" w:rsidRDefault="00C0338D" w:rsidP="00C11DFA">
      <w:pPr>
        <w:spacing w:before="240" w:after="120" w:line="240" w:lineRule="auto"/>
      </w:pPr>
      <w:r>
        <w:t>Pest risk maps are commonly used for strategic and tactical decision</w:t>
      </w:r>
      <w:r w:rsidR="00A91F9F">
        <w:t>-</w:t>
      </w:r>
      <w:r>
        <w:t xml:space="preserve">support in managing biological invasions. </w:t>
      </w:r>
      <w:r w:rsidR="00555381" w:rsidRPr="00837161">
        <w:t xml:space="preserve">However, </w:t>
      </w:r>
      <w:r w:rsidR="001F678D" w:rsidRPr="00837161">
        <w:t xml:space="preserve">such maps rarely </w:t>
      </w:r>
      <w:r w:rsidR="007A4B51" w:rsidRPr="00837161">
        <w:t xml:space="preserve">measure spatial risk and </w:t>
      </w:r>
      <w:r w:rsidR="007C0062">
        <w:t xml:space="preserve">are </w:t>
      </w:r>
      <w:r w:rsidR="007A4B51" w:rsidRPr="00837161">
        <w:t xml:space="preserve">generally only used </w:t>
      </w:r>
      <w:r w:rsidR="00A05233" w:rsidRPr="00837161">
        <w:t>to estimate risk in one component of the invasion curve (</w:t>
      </w:r>
      <w:r w:rsidR="00BE34F5" w:rsidRPr="00837161">
        <w:t xml:space="preserve">general introduction </w:t>
      </w:r>
      <w:r w:rsidR="0007191B">
        <w:t>or</w:t>
      </w:r>
      <w:r w:rsidR="00BE34F5" w:rsidRPr="00837161">
        <w:t xml:space="preserve"> </w:t>
      </w:r>
      <w:r w:rsidR="00067EF6" w:rsidRPr="00837161">
        <w:t>establishment</w:t>
      </w:r>
      <w:r w:rsidR="00BE34F5" w:rsidRPr="00837161">
        <w:t xml:space="preserve"> risks</w:t>
      </w:r>
      <w:r w:rsidR="008028CF" w:rsidRPr="00837161">
        <w:t xml:space="preserve"> </w:t>
      </w:r>
      <w:r w:rsidR="0007191B">
        <w:t>–</w:t>
      </w:r>
      <w:r w:rsidR="0007191B">
        <w:rPr>
          <w:b/>
          <w:bCs/>
        </w:rPr>
        <w:t xml:space="preserve"> Figure 5.1</w:t>
      </w:r>
      <w:r w:rsidR="00A05233" w:rsidRPr="00837161">
        <w:t>)</w:t>
      </w:r>
      <w:r w:rsidR="00024B28" w:rsidRPr="00837161">
        <w:t xml:space="preserve">, </w:t>
      </w:r>
      <w:r w:rsidR="008D4609">
        <w:t>and</w:t>
      </w:r>
      <w:r w:rsidR="008D4609" w:rsidRPr="00837161">
        <w:t xml:space="preserve"> </w:t>
      </w:r>
      <w:r w:rsidR="00024B28" w:rsidRPr="00837161">
        <w:t xml:space="preserve">can be improved to understand risks </w:t>
      </w:r>
      <w:r w:rsidR="00BE34F5" w:rsidRPr="00837161">
        <w:t xml:space="preserve">and consequences </w:t>
      </w:r>
      <w:r w:rsidR="00024B28" w:rsidRPr="00837161">
        <w:t xml:space="preserve">across the invasion </w:t>
      </w:r>
      <w:r w:rsidR="00092292" w:rsidRPr="00837161">
        <w:t>steps and interdependencies</w:t>
      </w:r>
      <w:r w:rsidR="003E21DC" w:rsidRPr="00837161">
        <w:t xml:space="preserve"> </w:t>
      </w:r>
      <w:r w:rsidR="00374B7D" w:rsidRPr="00837161">
        <w:fldChar w:fldCharType="begin"/>
      </w:r>
      <w:r w:rsidR="000F35EB">
        <w:instrText xml:space="preserve"> ADDIN ZOTERO_ITEM CSL_CITATION {"citationID":"qDMDJvDK","properties":{"formattedCitation":"(Camac et al., 2020)","plainCitation":"(Camac et al., 2020)","noteIndex":0},"citationItems":[{"id":10096,"uris":["http://zotero.org/groups/2352922/items/R64DPA3Y"],"itemData":{"id":10096,"type":"report","genre":"Technical Report for CEBRA project 170607","language":"en","note":"publisher: University of Melbourne","source":"DOI.org (Datacite)","title":"Developing pragmatic maps of establishment likelihood for plant pests","URL":"http://rgdoi.net/10.13140/RG.2.2.21964.23685","author":[{"family":"Camac","given":"James"},{"family":"Baumgartner","given":"John"},{"family":"Robinson","given":"Andrew"},{"family":"Elith","given":"Jane"}],"contributor":[{"family":"Subasinghe","given":"Ranjith"},{"family":"Stanaway","given":"Mark"},{"family":"Collins","given":"Susie"},{"family":"Gibert","given":"Anaïs"},{"family":"Hill","given":"Matthew"},{"family":"Caley","given":"Peter"},{"family":"Barry","given":"Simon"}],"accessed":{"date-parts":[["2021",11,11]]},"issued":{"date-parts":[["2020"]]}},"label":"page"}],"schema":"https://github.com/citation-style-language/schema/raw/master/csl-citation.json"} </w:instrText>
      </w:r>
      <w:r w:rsidR="00374B7D" w:rsidRPr="00837161">
        <w:fldChar w:fldCharType="separate"/>
      </w:r>
      <w:r w:rsidR="00271B78" w:rsidRPr="00271B78">
        <w:t>(Camac et al., 2020)</w:t>
      </w:r>
      <w:r w:rsidR="00374B7D" w:rsidRPr="00837161">
        <w:fldChar w:fldCharType="end"/>
      </w:r>
      <w:r w:rsidR="00092292" w:rsidRPr="00837161">
        <w:t xml:space="preserve">. </w:t>
      </w:r>
      <w:r w:rsidR="004C4C6B" w:rsidRPr="00837161">
        <w:t>More complex p</w:t>
      </w:r>
      <w:r w:rsidR="001B0409" w:rsidRPr="00837161">
        <w:t>opulation-based model</w:t>
      </w:r>
      <w:r w:rsidR="00F8331C" w:rsidRPr="00837161">
        <w:t>l</w:t>
      </w:r>
      <w:r w:rsidR="001B0409" w:rsidRPr="00837161">
        <w:t xml:space="preserve">ing platforms can combine ecological distribution and climate data with process-based models to </w:t>
      </w:r>
      <w:r w:rsidR="008D4609">
        <w:t>model</w:t>
      </w:r>
      <w:r w:rsidR="008D4609" w:rsidRPr="00837161">
        <w:t xml:space="preserve"> </w:t>
      </w:r>
      <w:r w:rsidR="001B0409" w:rsidRPr="00837161">
        <w:t xml:space="preserve">pest establishment and spread, density and </w:t>
      </w:r>
      <w:r w:rsidR="008D4609">
        <w:t xml:space="preserve">include </w:t>
      </w:r>
      <w:r w:rsidR="001B0409" w:rsidRPr="00837161">
        <w:t>impact risk analysis (</w:t>
      </w:r>
      <w:r w:rsidR="00BA147F" w:rsidRPr="00837161">
        <w:t xml:space="preserve">e.g., </w:t>
      </w:r>
      <w:r w:rsidR="001B0409" w:rsidRPr="00837161">
        <w:fldChar w:fldCharType="begin"/>
      </w:r>
      <w:r w:rsidR="000F35EB">
        <w:instrText xml:space="preserve"> ADDIN ZOTERO_ITEM CSL_CITATION {"citationID":"9XD3gtLk","properties":{"formattedCitation":"(Kriticos et al., 2017; Z. Li et al., 2016)","plainCitation":"(Kriticos et al., 2017; Z. Li et al., 2016)","dontUpdate":true,"noteIndex":0},"citationItems":[{"id":28942,"uris":["http://zotero.org/groups/2352922/items/JYKMH99W"],"itemData":{"id":28942,"type":"article-journal","abstract":"The brown marmorated stinkbug, Halyomorpha halys is a highly polyphagous invasive insect, which has more than 300 reported hosts, including important horticultural crops. It has spread to every Northern Hemisphere continent, most recently to Europe. Whilst there have been no reports of incursions into Southern Hemisphere countries, there have been many interceptions associated with trade and postal goods. We modelled the potential distribution of H. halys using CLIMEX, a process-oriented bioclimatic niche model. The model was validated with independent widespread distribution data in the USA, and more limited data from Europe. The model agreed with all credible distribution data. The few exceptions in the distribution dataset appeared to be transient observations of hitchhikers, or were found at the edge of the range, in regions with topographic relief that was not captured in the climatic datasets used to fit and project the model. There appears to be potential for further spread in North America, particularly in central and southern states of the USA. In Europe, there is substantial potential for further spread, though under historical climate the UK, Ireland, Scandinavia and the Baltic states of Estonia, Lithuania and Latvia appear not to be at risk of establishment of H. halys. In the Southern Hemisphere, regions with moist tropical, sub-tropical, Mediterranean and warm-temperate climates appear to be at substantial risk on each continent. The threats are greatest in prime horticultural production areas.","container-title":"Journal of Pest Science","DOI":"10.1007/s10340-017-0869-5","ISSN":"1612-4766","issue":"4","journalAbbreviation":"J Pest Sci","language":"en","page":"1033-1043","source":"Springer Link","title":"The potential global distribution of the brown marmorated stink bug, &lt;i&gt;Halyomorpha halys&lt;/i&gt;, a critical threat to plant biosecurity","URL":"https://doi.org/10.1007/s10340-017-0869-5","volume":"90","author":[{"family":"Kriticos","given":"D. J."},{"family":"Kean","given":"John M."},{"family":"Phillips","given":"Craig B."},{"family":"Senay","given":"Senait D."},{"family":"Acosta","given":"Hernando"},{"family":"Haye","given":"Tim"}],"accessed":{"date-parts":[["2020",6,14]]},"issued":{"date-parts":[["2017",9,1]]}},"label":"page"},{"id":11230,"uris":["http://zotero.org/groups/2352922/items/2Q6J62Y4"],"itemData":{"id":11230,"type":"article-journal","abstract":"Diamondback moth or DBM is the major pest of Brassica vegetable production worldwide. Control has relied on insecticides, and DBM resistance to these compounds has evolved rapidly. We review and summarize data on DBM population dynamics across a large latitudinal gradient from southwest to northeast China: DBM is, on average, more common in southern locations than in northern locations. The species' phenology is consistent: in southern and central locations there is a decline during hot summer months, while in the north, the species can only exist in the summer following migrations from the south. A cohort-based discrete-time model, driven by daily maximum and minimum temperatures and rainfall, which was built using the DYMEX modelling software, captures the age-structured population dynamics of DBM at representative locations, with year round cropping and threshold-based insecticide applications. The scale of the simulated pest problem varies with cropping practices. Local production breaks and strict post-harvest crop hygiene are associated with lower DBM populations. Biological control appears to improve the management of DBM. Of the management strategies explored, non-threshold based applications of insecticides with reduced spray efficacy (due to poor application or resistance) appear the least effective. The model simulates the phenology and abundance patterns in the population dynamics across the climatic gradient in China reasonably well. With planned improvements, and backed by a system of field sampling and weather inputs, it should serve well as a platform for a local pest forecast system, spanning the range of DBM in China, and perhaps elsewhere.","container-title":"Bulletin of Entomological Research","DOI":"10.1017/S0007485315001017","ISSN":"0007-4853, 1475-2670","issue":"2","language":"en","note":"publisher: Cambridge University Press","page":"197-214","source":"Cambridge University Press","title":"Population dynamics and management of diamondback moth (&lt;i&gt;Plutella xylostella&lt;/i&gt;) in China: the relative contributions of climate, natural enemies and cropping patterns","title-short":"Population dynamics and management of diamondback moth (Plutella xylostella) in China","URL":"https://www.cambridge.org/core/journals/bulletin-of-entomological-research/article/population-dynamics-and-management-of-diamondback-moth-plutella-xylostella-in-china-the-relative-contributions-of-climate-natural-enemies-and-cropping-patterns/BE958EEF80CD1D138BDDBE4BC9C7E11C","volume":"106","author":[{"family":"Li","given":"Z."},{"family":"Zalucki","given":"M. P."},{"family":"Yonow","given":"T."},{"family":"Kriticos","given":"D. J."},{"family":"Bao","given":"H."},{"family":"Chen","given":"H."},{"family":"Hu","given":"Z."},{"family":"Feng","given":"X."},{"family":"Furlong","given":"M. J."}],"accessed":{"date-parts":[["2020",6,14]]},"issued":{"date-parts":[["2016",4]]}},"label":"page"}],"schema":"https://github.com/citation-style-language/schema/raw/master/csl-citation.json"} </w:instrText>
      </w:r>
      <w:r w:rsidR="001B0409" w:rsidRPr="00837161">
        <w:fldChar w:fldCharType="separate"/>
      </w:r>
      <w:r w:rsidR="00027D33" w:rsidRPr="00837161">
        <w:t>Kriticos et al., 2017; Z. Li et al., 2016)</w:t>
      </w:r>
      <w:r w:rsidR="001B0409" w:rsidRPr="00837161">
        <w:fldChar w:fldCharType="end"/>
      </w:r>
      <w:r w:rsidR="001B0409" w:rsidRPr="00837161">
        <w:t>. These types of model</w:t>
      </w:r>
      <w:r w:rsidR="00A84BB3" w:rsidRPr="00837161">
        <w:t>s</w:t>
      </w:r>
      <w:r w:rsidR="001B0409" w:rsidRPr="00837161">
        <w:t xml:space="preserve"> can be made scalable from region down to farm level and provide risk-maps in near-real-time. Similar modelling tools also support </w:t>
      </w:r>
      <w:r w:rsidR="005B7C20" w:rsidRPr="00837161">
        <w:t>decision-making</w:t>
      </w:r>
      <w:r w:rsidR="001B0409" w:rsidRPr="00837161">
        <w:t xml:space="preserve"> around long-term management</w:t>
      </w:r>
      <w:r w:rsidR="3ED07471" w:rsidRPr="00837161">
        <w:t xml:space="preserve"> of</w:t>
      </w:r>
      <w:r w:rsidR="001B0409" w:rsidRPr="00837161">
        <w:t xml:space="preserve"> invasive alien species and evaluating control program</w:t>
      </w:r>
      <w:r w:rsidR="00326152" w:rsidRPr="00837161">
        <w:t>me</w:t>
      </w:r>
      <w:r w:rsidR="001B0409" w:rsidRPr="00837161">
        <w:t xml:space="preserve">s </w:t>
      </w:r>
      <w:r w:rsidR="001B0409" w:rsidRPr="00837161">
        <w:rPr>
          <w:u w:val="single"/>
        </w:rPr>
        <w:fldChar w:fldCharType="begin"/>
      </w:r>
      <w:r w:rsidR="000F35EB">
        <w:rPr>
          <w:u w:val="single"/>
        </w:rPr>
        <w:instrText xml:space="preserve"> ADDIN ZOTERO_ITEM CSL_CITATION {"citationID":"5mE7IzKP","properties":{"formattedCitation":"(Bourd\\uc0\\u244{}t et al., 2018; Shephard et al., 2016)","plainCitation":"(Bourdôt et al., 2018; Shephard et al., 2016)","noteIndex":0},"citationItems":[{"id":23989,"uris":["http://zotero.org/groups/2352922/items/WIS9M23N"],"itemData":{"id":23989,"type":"paper-conference","container-title":"21st Australasian Weeds Conference","event-place":"Sydney, New South Wales, Australia","event-title":"21st Australasian Weeds Conference, \"Weed Biosecurity - Protecting our Future\"","ISBN":"978-0-9954159-1-1","page":"82–85","publisher-place":"Sydney, New South Wales, Australia","source":"Google Scholar","title":"A national weed management decision-support system","URL":"https://caws.org.nz/old-site/awc/2018/awc201810821.pdf","author":[{"family":"Bourdôt","given":"Graeme W."},{"family":"Kriticos","given":"Darren J."},{"family":"Dodd","given":"Michael B."}],"issued":{"date-parts":[["2018"]]}},"label":"page"},{"id":16765,"uris":["http://zotero.org/groups/2352922/items/WK2E8I2W"],"itemData":{"id":16765,"type":"article-journal","abstract":"Objective To determine the farm economic impact of bovine Johne's disease (BJD) infection and controls in commercial Victorian dairy herds. Design Benefit-cost analysis of BJD and various control methods in a Victorian dairy herd. Results Farm losses from BJD occurred from clinical disease. Clinical cases occur on average in 5-year-old cows, resulting in losses of A$1895 in the year of culling and A$221 in the year preceding culling, giving a total loss of A$2116. Early removal also resulted in loss of future profit equating to A$375 per year. This is the annualised value of foregone future income and costs expressed as a net present value (NPV). The total loss from removal of a clinical case was estimated as A$2491. The average clinical incidence in infected dairy herds prior to entry into the Victorian Bovine Johne's Test-and-Control Program (TCP) was 1.8% and the average Victorian dairy herd size was 262 cows in 2013–14, resulting in annual losses of 4.7 clinical cases if infected and implementing no BJD control. Farm annual loss of profit was estimated as A$11,748 ($44.84 per cow/year). Control of BJD using vaccination, test-and-cull or combined approaches was economical but the cost of implementation in initial years would exceed disease costs. Vaccination-based control provided minimal long-term losses and was the most cost-effective control over a 10-year planning horizon. Conclusion Endemic BJD resulted in modest but persistent losses in typical infected dairy herds. Control of disease using test-and-cull, vaccination or combined test-and-cull with vaccination was cost-effective.","container-title":"Australian Veterinary Journal","DOI":"10.1111/avj.12455","ISSN":"1751-0813","issue":"7","language":"en","license":"© 2016 Australian Veterinary Association","page":"232-239","source":"Wiley Online Library","title":"Farm economic impacts of bovine Johne's disease in endemically infected Australian dairy herds","URL":"https://onlinelibrary.wiley.com/doi/abs/10.1111/avj.12455","volume":"94","author":[{"family":"Shephard","given":"R. W."},{"family":"Williams","given":"S. H."},{"family":"Beckett","given":"S. D."}],"accessed":{"date-parts":[["2019",12,9]]},"issued":{"date-parts":[["2016"]]}},"label":"page"}],"schema":"https://github.com/citation-style-language/schema/raw/master/csl-citation.json"} </w:instrText>
      </w:r>
      <w:r w:rsidR="001B0409" w:rsidRPr="00837161">
        <w:rPr>
          <w:u w:val="single"/>
        </w:rPr>
        <w:fldChar w:fldCharType="separate"/>
      </w:r>
      <w:r w:rsidR="00271B78" w:rsidRPr="00271B78">
        <w:t>(Bourdôt et al., 2018; Shephard et al., 2016)</w:t>
      </w:r>
      <w:r w:rsidR="001B0409" w:rsidRPr="00837161">
        <w:rPr>
          <w:u w:val="single"/>
        </w:rPr>
        <w:fldChar w:fldCharType="end"/>
      </w:r>
      <w:r w:rsidR="001B0409" w:rsidRPr="00837161">
        <w:t xml:space="preserve"> as well as supporting ecosystem restoration to build resilience to prevent reinvasion. Most modern tools will have a mapping capability, and most will also use spatial information as a component of their evaluation </w:t>
      </w:r>
      <w:r w:rsidR="001B0409" w:rsidRPr="00837161">
        <w:fldChar w:fldCharType="begin"/>
      </w:r>
      <w:r w:rsidR="000F35EB">
        <w:instrText xml:space="preserve"> ADDIN ZOTERO_ITEM CSL_CITATION {"citationID":"e8TxJh63","properties":{"formattedCitation":"(Beckett &amp; Garner, 2007)","plainCitation":"(Beckett &amp; Garner, 2007)","noteIndex":0},"citationItems":[{"id":16772,"uris":["http://zotero.org/groups/2352922/items/PU5NZCWP"],"itemData":{"id":16772,"type":"article-journal","container-title":"Veterinaria Italiana","issue":"3","note":"PMID: 20422538","page":"595–604","source":"Google Scholar","title":"Simulating disease spread within a geographic information system environment","URL":"https://pubmed.ncbi.nlm.nih.gov/20422538/","volume":"43","author":[{"family":"Beckett","given":"Sam"},{"family":"Garner","given":"M. Graeme"}],"issued":{"date-parts":[["2007"]]}},"label":"page"}],"schema":"https://github.com/citation-style-language/schema/raw/master/csl-citation.json"} </w:instrText>
      </w:r>
      <w:r w:rsidR="001B0409" w:rsidRPr="00837161">
        <w:fldChar w:fldCharType="separate"/>
      </w:r>
      <w:r w:rsidR="00271B78" w:rsidRPr="00271B78">
        <w:t>(Beckett &amp; Garner, 2007)</w:t>
      </w:r>
      <w:r w:rsidR="001B0409" w:rsidRPr="00837161">
        <w:fldChar w:fldCharType="end"/>
      </w:r>
      <w:r w:rsidR="001B0409" w:rsidRPr="00837161">
        <w:t>. Such tools can include individual-based (or agent-based) simulation models (</w:t>
      </w:r>
      <w:r w:rsidR="00BA147F" w:rsidRPr="00837161">
        <w:t xml:space="preserve">e.g., </w:t>
      </w:r>
      <w:r w:rsidR="001B0409" w:rsidRPr="00837161">
        <w:fldChar w:fldCharType="begin"/>
      </w:r>
      <w:r w:rsidR="000F35EB">
        <w:instrText xml:space="preserve"> ADDIN ZOTERO_ITEM CSL_CITATION {"citationID":"P2prkPQd","properties":{"formattedCitation":"(Beckett, 2008)","plainCitation":"(Beckett, 2008)","dontUpdate":true,"noteIndex":0},"citationItems":[{"id":30080,"uris":["http://zotero.org/groups/2352922/items/5QR9EAMS"],"itemData":{"id":30080,"type":"document","note":"No unique identifier","title":"Simulation modelling environment for pandemic influenza","author":[{"family":"Beckett","given":"Sam"}],"issued":{"date-parts":[["2008"]]}},"label":"page"}],"schema":"https://github.com/citation-style-language/schema/raw/master/csl-citation.json"} </w:instrText>
      </w:r>
      <w:r w:rsidR="001B0409" w:rsidRPr="00837161">
        <w:fldChar w:fldCharType="separate"/>
      </w:r>
      <w:r w:rsidR="00113B93" w:rsidRPr="00837161">
        <w:t>Beckett, 2008)</w:t>
      </w:r>
      <w:r w:rsidR="001B0409" w:rsidRPr="00837161">
        <w:fldChar w:fldCharType="end"/>
      </w:r>
      <w:r w:rsidR="001B0409" w:rsidRPr="00837161">
        <w:t>, stochastic and deterministic mathematical models (</w:t>
      </w:r>
      <w:r w:rsidR="00BA147F" w:rsidRPr="00837161">
        <w:t xml:space="preserve">e.g., </w:t>
      </w:r>
      <w:r w:rsidR="001B0409" w:rsidRPr="00837161">
        <w:fldChar w:fldCharType="begin"/>
      </w:r>
      <w:r w:rsidR="000F35EB">
        <w:instrText xml:space="preserve"> ADDIN ZOTERO_ITEM CSL_CITATION {"citationID":"go6nKzB3","properties":{"formattedCitation":"(Buckley et al., 2005; Tildesley et al., 2012)","plainCitation":"(Buckley et al., 2005; Tildesley et al., 2012)","dontUpdate":true,"noteIndex":0},"citationItems":[{"id":22656,"uris":["http://zotero.org/groups/2352922/items/U2RH332H"],"itemData":{"id":22656,"type":"article-journal","abstract":"1 Coupled plant–herbivore models, allowing feedback from plant to herbivore populations and vice versa, enable us to predict the impact of biocontrol agents on their target weed populations; however, they are rarely used in biocontrol studies. We describe the population biology of the invasive plant Echium plantagineum and the weevil Mogulones larvatus, a biocontrol agent, in Australia. In order to understand the dynamics of this plant–herbivore system, a series of coupled models of increasing complexity was developed. 2 A simple model was extended to include a seed bank, density-dependent plant fecundity, competition between weevil larvae and plant tolerance of herbivory, where below a threshold plants could compensate for larval feeding. Parameters and functional forms were estimated from experimental and field data. 3 The plant model, in the absence of the weevil, exhibited stable dynamics and provided a good quantitative description of field densities before the weevil was introduced. 4 In the coupled plant–herbivore model, density dependence in both plant fecundity and weevil larval competition stabilized the dynamics. Without larval competition the model was unstable, and plant tolerance of herbivory exacerbated this instability. This was a result of a time delay in plant response to herbivore densities. 5 Synthesis and applications. The coupled plant–herbivore model allowed us to predict whether stable coexistence of target plant and biocontrol agents was achievable at an acceptable level. We found this to be the case for the Echium–Mogulones system and believe that similar models would be of use when assessing new agents in this and other invasive plant biocontrol systems. Density dependence in new biocontrol agents should be assessed in order to determine whether it is likely to result in the aims of classical biocontrol: low, stable and sustainable populations of plant and herbivore. Further work should be done to characterize the strength of density dependence according to the niche occupied by the biocontrol agent, for example the strength and functional form of density dependence in stem borers may be quite different to that of defoliators.","container-title":"Journal of Applied Ecology","DOI":"10.1111/j.1365-2664.2005.00991.x","ISSN":"1365-2664","issue":"1","language":"en","note":"_eprint: https://besjournals.onlinelibrary.wiley.com/doi/pdf/10.1111/j.1365-2664.2005.00991.x","page":"70-79","source":"Wiley Online Library","title":"Stable coexistence of an invasive plant and biocontrol agent: a parameterized coupled plant–herbivore model","title-short":"Stable coexistence of an invasive plant and biocontrol agent","URL":"https://besjournals.onlinelibrary.wiley.com/doi/abs/10.1111/j.1365-2664.2005.00991.x","volume":"42","author":[{"family":"Buckley","given":"Yvonne M."},{"family":"Rees","given":"Mark"},{"family":"Sheppard","given":"Andrew W."},{"family":"Smyth","given":"Matthew J."}],"accessed":{"date-parts":[["2020",6,14]]},"issued":{"date-parts":[["2005"]]}},"label":"page"},{"id":24106,"uris":["http://zotero.org/groups/2352922/items/HJXQPPW3"],"itemData":{"id":24106,"type":"article-journal","abstract":"In this paper, we simulate outbreaks of foot-and-mouth disease in the Commonwealth of Pennsylvania, USA – after the introduction of a state-wide movement ban – as they might unfold in the presence of mitigation strategies. We have adapted a model previously used to investigate FMD control policies in the UK to examine the potential for disease spread given an infection seeded in each county in Pennsylvania. The results are highly dependent upon the county of introduction and the spatial scale of transmission. Should the transmission kernel be identical to that for the UK, the epidemic impact is limited to fewer than 20 premises, regardless of the county of introduction. However, for wider kernels where infection can spread further, outbreaks seeded in or near the county with highest density of premises and animals result in large epidemics (&gt;150 premises). Ring culling and vaccination reduce epidemic size, with the optimal radius of the rings being dependent upon the county of introduction. Should the kernel width exceed a given county-dependent threshold, ring culling is unable to control the epidemic. We find that a vaccinate-to-live policy is generally preferred to ring culling (in terms of reducing the overall number of premises culled), indicating that well-targeted control can dramatically reduce the risk of large scale outbreaks of foot-and-mouth disease occurring in Pennsylvania.","container-title":"Preventive Veterinary Medicine","DOI":"10.1016/j.prevetmed.2011.11.007","ISSN":"0167-5877","issue":"3","journalAbbreviation":"Preventive Veterinary Medicine","language":"en","page":"224-239","source":"ScienceDirect","title":"Modeling the spread and control of foot-and-mouth disease in Pennsylvania following its discovery and options for control","URL":"http://www.sciencedirect.com/science/article/pii/S0167587711003527","volume":"104","author":[{"family":"Tildesley","given":"Michael J."},{"family":"Smith","given":"Gary"},{"family":"Keeling","given":"Matt J."}],"accessed":{"date-parts":[["2019",12,9]]},"issued":{"date-parts":[["2012",5,1]]}},"label":"page"}],"schema":"https://github.com/citation-style-language/schema/raw/master/csl-citation.json"} </w:instrText>
      </w:r>
      <w:r w:rsidR="001B0409" w:rsidRPr="00837161">
        <w:fldChar w:fldCharType="separate"/>
      </w:r>
      <w:r w:rsidR="00113B93" w:rsidRPr="00837161">
        <w:t>Buckley et al., 2005; Tildesley et al., 2012)</w:t>
      </w:r>
      <w:r w:rsidR="001B0409" w:rsidRPr="00837161">
        <w:fldChar w:fldCharType="end"/>
      </w:r>
      <w:r w:rsidR="001B0409" w:rsidRPr="00837161">
        <w:t xml:space="preserve"> or, a combination of individual-based and mathematical approaches (</w:t>
      </w:r>
      <w:r w:rsidR="00BA147F" w:rsidRPr="00837161">
        <w:t xml:space="preserve">e.g., </w:t>
      </w:r>
      <w:r w:rsidR="001B0409" w:rsidRPr="00837161">
        <w:fldChar w:fldCharType="begin"/>
      </w:r>
      <w:r w:rsidR="00E25D54">
        <w:instrText xml:space="preserve"> ADDIN ZOTERO_ITEM CSL_CITATION {"citationID":"PErXl7oX","properties":{"formattedCitation":"(Bradhurst et al., 2015)","plainCitation":"(Bradhurst et al., 2015)","dontUpdate":true,"noteIndex":0},"citationItems":[{"id":16771,"uris":["http://zotero.org/groups/2352922/items/87JKDMUG"],"itemData":{"id":16771,"type":"article-journal","abstract":"Foot-and-mouth disease (FMD) is a highly contagious and economically important viral disease of cloven-hoofed animals. Australia's freedom from FMD underpins a valuable trade in live animals and animal products. An outbreak of FMD would result in the loss of export markets and cause severe disruption to domestic markets. The prevention of, and contingency planning for, FMD are of key importance to government, industry, producers and the community. The spread and control of FMD is complex and dynamic due to a highly contagious multi-host pathogen operating in a heterogeneous environment across multiple jurisdictions. Epidemiological modelling is increasingly being recognized as a valuable tool for investigating the spread of disease under different conditions and the effectiveness of control strategies. Models of infectious disease can be broadly classified as: population-based models that are formulated from the top-down and employ population-level relationships to describe individual-level behaviour, individual-based models that are formulated from the bottom-up and aggregate individual-level behaviour to reveal population-level relationships, or hybrid models which combine the two approaches into a single model. The Australian Animal Disease Spread (AADIS) hybrid model employs a deterministic equation-based model (EBM) to model within-herd spread of FMD, and a stochastic, spatially-explicit agent-based model (ABM) to model between-herd spread and control. The EBM provides concise and computationally efficient predictions of herd prevalence and clinical signs over time. The ABM captures the complex, stochastic and heterogeneous environment in which an FMD epidemic operates. The AADIS event-driven hybrid EBM/ABM architecture is a flexible, efficient and extensible framework for modelling the spread and control of disease in livestock on a national scale. We present an overview of the AADIS hybrid approach and a description of the model's epidemiological capabilities","container-title":"Frontiers in Environmental Science","DOI":"10.3389/fenvs.2015.00017","ISSN":"2296-665X","issue":"17","journalAbbreviation":"Front. Environ. Sci.","language":"English","source":"Frontiers","title":"A hybrid modeling approach to simulating foot-and-mouth disease outbreaks in Australian livestock","URL":"https://www.frontiersin.org/articles/10.3389/fenvs.2015.00017/full","volume":"3","author":[{"family":"Bradhurst","given":"Richard A."},{"family":"Roche","given":"Sharon E."},{"family":"East","given":"Iain J."},{"family":"Kwan","given":"Paul"},{"family":"Garner","given":"M. Graeme"}],"accessed":{"date-parts":[["2019",12,9]]},"issued":{"date-parts":[["2015"]]}},"label":"page"}],"schema":"https://github.com/citation-style-language/schema/raw/master/csl-citation.json"} </w:instrText>
      </w:r>
      <w:r w:rsidR="001B0409" w:rsidRPr="00837161">
        <w:fldChar w:fldCharType="separate"/>
      </w:r>
      <w:r w:rsidR="00113B93" w:rsidRPr="00837161">
        <w:t>Bradhurst et al., 2015)</w:t>
      </w:r>
      <w:r w:rsidR="001B0409" w:rsidRPr="00837161">
        <w:fldChar w:fldCharType="end"/>
      </w:r>
      <w:r w:rsidR="001B0409" w:rsidRPr="00837161">
        <w:t>. High power computing helps draw inference</w:t>
      </w:r>
      <w:r w:rsidR="004D2C3F">
        <w:t>s</w:t>
      </w:r>
      <w:r w:rsidR="001B0409" w:rsidRPr="00837161">
        <w:t xml:space="preserve"> on invasive </w:t>
      </w:r>
      <w:r w:rsidR="00555381" w:rsidRPr="00837161">
        <w:t xml:space="preserve">alien </w:t>
      </w:r>
      <w:r w:rsidR="001B0409" w:rsidRPr="00837161">
        <w:t>population change in space and time. Other model types include bioeconomic modelling, option value models, endogenous risk theory models, and other economic models. Many of these types of tool</w:t>
      </w:r>
      <w:r w:rsidR="7A5F5791" w:rsidRPr="00837161">
        <w:t>s</w:t>
      </w:r>
      <w:r w:rsidR="001B0409" w:rsidRPr="00837161">
        <w:t xml:space="preserve"> can also benefit from artificial intelligence to assist optimizing dynamic response approaches. Collectively, there are no fixed impediments to any of these forms of modelling, other than the availability of the relevant data, including spatial data and the time and investment required to design, implement and validate a model</w:t>
      </w:r>
      <w:r w:rsidR="003F3FD4" w:rsidRPr="00837161">
        <w:t xml:space="preserve"> </w:t>
      </w:r>
      <w:r w:rsidR="002502C4" w:rsidRPr="00837161">
        <w:t>(</w:t>
      </w:r>
      <w:r w:rsidR="001066CE">
        <w:rPr>
          <w:b/>
          <w:iCs/>
        </w:rPr>
        <w:t>C</w:t>
      </w:r>
      <w:r w:rsidR="003F3FD4" w:rsidRPr="001066CE">
        <w:rPr>
          <w:b/>
          <w:iCs/>
        </w:rPr>
        <w:t>hapter 1</w:t>
      </w:r>
      <w:r w:rsidR="003F3FD4" w:rsidRPr="001066CE">
        <w:rPr>
          <w:iCs/>
        </w:rPr>
        <w:t xml:space="preserve">, </w:t>
      </w:r>
      <w:r w:rsidR="003F3FD4" w:rsidRPr="001066CE">
        <w:rPr>
          <w:b/>
          <w:iCs/>
        </w:rPr>
        <w:t>section 1.6.7.3</w:t>
      </w:r>
      <w:r w:rsidR="003F3FD4" w:rsidRPr="00837161">
        <w:t>)</w:t>
      </w:r>
      <w:r w:rsidR="001B0409" w:rsidRPr="00837161">
        <w:t>.</w:t>
      </w:r>
      <w:r w:rsidR="0002258F" w:rsidRPr="00837161">
        <w:rPr>
          <w:lang w:eastAsia="ja-JP"/>
        </w:rPr>
        <w:br w:type="page"/>
      </w:r>
    </w:p>
    <w:p w14:paraId="000001B2" w14:textId="28AFE8FB" w:rsidR="00A758FD" w:rsidRPr="00C0338D" w:rsidRDefault="00C81287" w:rsidP="002F2F42">
      <w:pPr>
        <w:pStyle w:val="Heading1"/>
      </w:pPr>
      <w:bookmarkStart w:id="156" w:name="_heading=h.2lwamvv" w:colFirst="0" w:colLast="0"/>
      <w:bookmarkStart w:id="157" w:name="_Toc26705995"/>
      <w:bookmarkStart w:id="158" w:name="_Toc69313974"/>
      <w:bookmarkStart w:id="159" w:name="_Toc87623133"/>
      <w:bookmarkStart w:id="160" w:name="_Toc146810106"/>
      <w:bookmarkStart w:id="161" w:name="_Toc131681635"/>
      <w:bookmarkStart w:id="162" w:name="_Toc149555471"/>
      <w:bookmarkEnd w:id="156"/>
      <w:r w:rsidRPr="00C0338D">
        <w:lastRenderedPageBreak/>
        <w:t>Targeting pathways, species and sites in practice</w:t>
      </w:r>
      <w:bookmarkEnd w:id="157"/>
      <w:bookmarkEnd w:id="158"/>
      <w:bookmarkEnd w:id="159"/>
      <w:bookmarkEnd w:id="160"/>
      <w:bookmarkEnd w:id="161"/>
      <w:bookmarkEnd w:id="162"/>
    </w:p>
    <w:p w14:paraId="000001B3" w14:textId="59F30AFA" w:rsidR="00A758FD" w:rsidRPr="00C0338D" w:rsidRDefault="00C81287" w:rsidP="002F2F42">
      <w:pPr>
        <w:pStyle w:val="Heading2"/>
      </w:pPr>
      <w:bookmarkStart w:id="163" w:name="_Toc146810107"/>
      <w:bookmarkStart w:id="164" w:name="_Toc26705996"/>
      <w:bookmarkStart w:id="165" w:name="_Toc69313975"/>
      <w:bookmarkStart w:id="166" w:name="_Toc87623134"/>
      <w:bookmarkStart w:id="167" w:name="_Toc131681636"/>
      <w:bookmarkStart w:id="168" w:name="_Toc149555472"/>
      <w:r w:rsidRPr="00C0338D">
        <w:t>When to implement pathway, species-</w:t>
      </w:r>
      <w:r w:rsidR="143866C3">
        <w:t>based</w:t>
      </w:r>
      <w:r w:rsidRPr="00C0338D">
        <w:t xml:space="preserve"> and site-based management strategies</w:t>
      </w:r>
      <w:bookmarkEnd w:id="163"/>
      <w:bookmarkEnd w:id="164"/>
      <w:bookmarkEnd w:id="165"/>
      <w:bookmarkEnd w:id="166"/>
      <w:bookmarkEnd w:id="167"/>
      <w:bookmarkEnd w:id="168"/>
    </w:p>
    <w:p w14:paraId="000001B4" w14:textId="1C51C61E" w:rsidR="00A758FD" w:rsidRPr="00C0338D" w:rsidRDefault="00C81287">
      <w:pPr>
        <w:spacing w:before="240" w:after="120" w:line="240" w:lineRule="auto"/>
      </w:pPr>
      <w:r w:rsidRPr="00C0338D">
        <w:t xml:space="preserve">As discussed in </w:t>
      </w:r>
      <w:r w:rsidRPr="00C0338D">
        <w:rPr>
          <w:b/>
        </w:rPr>
        <w:t>section 5.1</w:t>
      </w:r>
      <w:r w:rsidRPr="00C0338D">
        <w:t xml:space="preserve">, there are three main approaches for </w:t>
      </w:r>
      <w:r w:rsidR="008D4609">
        <w:t xml:space="preserve">the </w:t>
      </w:r>
      <w:r w:rsidRPr="00C0338D">
        <w:t>management of invasive alien species</w:t>
      </w:r>
      <w:r w:rsidR="008D4609">
        <w:t xml:space="preserve">: </w:t>
      </w:r>
      <w:r w:rsidRPr="00C0338D">
        <w:t>management of the pathways of biological invasion, management of the invasive alien species itself and site-based or ecosystem-based management. Pathway management approaches use methods to prevent incursions at the point of entry/border</w:t>
      </w:r>
      <w:r w:rsidR="00C16EEB">
        <w:t xml:space="preserve"> and</w:t>
      </w:r>
      <w:r w:rsidRPr="00C0338D">
        <w:t xml:space="preserve"> post-border dispersal within jurisdictions (</w:t>
      </w:r>
      <w:r w:rsidRPr="00C0338D">
        <w:rPr>
          <w:b/>
        </w:rPr>
        <w:t>sections 5.2.2.2</w:t>
      </w:r>
      <w:r w:rsidRPr="00C0338D">
        <w:t>,</w:t>
      </w:r>
      <w:r w:rsidRPr="00C0338D">
        <w:rPr>
          <w:b/>
        </w:rPr>
        <w:t xml:space="preserve"> 5.4</w:t>
      </w:r>
      <w:r w:rsidRPr="00C0338D">
        <w:t>). Eradication, containment, or suppression of invasive alien species (control) are the main means of species-</w:t>
      </w:r>
      <w:r w:rsidR="69FA1925">
        <w:t>based</w:t>
      </w:r>
      <w:r w:rsidRPr="00C0338D">
        <w:t xml:space="preserve"> management. The likelihood of successful species-</w:t>
      </w:r>
      <w:r w:rsidR="374EE2D6">
        <w:t>based</w:t>
      </w:r>
      <w:r w:rsidRPr="00C0338D">
        <w:t xml:space="preserve"> management usually declines with increasing distribution and density of the target invasive alien species </w:t>
      </w:r>
      <w:r w:rsidR="76DC2175" w:rsidRPr="00837161">
        <w:t>(</w:t>
      </w:r>
      <w:r w:rsidR="00191A6E">
        <w:rPr>
          <w:b/>
          <w:iCs/>
        </w:rPr>
        <w:t>Figure 5.1</w:t>
      </w:r>
      <w:r w:rsidR="76DC2175" w:rsidRPr="00837161">
        <w:t>),</w:t>
      </w:r>
      <w:r w:rsidRPr="00C0338D">
        <w:t xml:space="preserve"> except for classical biological control. Where the ability of a species-</w:t>
      </w:r>
      <w:r w:rsidR="6B2E79B5">
        <w:t>based</w:t>
      </w:r>
      <w:r w:rsidRPr="00C0338D">
        <w:t xml:space="preserve"> programme to eradicate, contain or control the target invasive alien species is limited or where the emphasis may be </w:t>
      </w:r>
      <w:r w:rsidR="0007191B">
        <w:t>on</w:t>
      </w:r>
      <w:r w:rsidRPr="00C0338D">
        <w:t xml:space="preserve"> maintain</w:t>
      </w:r>
      <w:r w:rsidR="0007191B">
        <w:t>ing</w:t>
      </w:r>
      <w:r w:rsidRPr="00C0338D">
        <w:t xml:space="preserve"> natural assets (e.g., threatened and endangered species or ecosystems), </w:t>
      </w:r>
      <w:r w:rsidR="0007191B">
        <w:t xml:space="preserve">or </w:t>
      </w:r>
      <w:r w:rsidR="000D72F2">
        <w:t>on the maintenance of</w:t>
      </w:r>
      <w:r w:rsidR="0007191B">
        <w:t xml:space="preserve"> </w:t>
      </w:r>
      <w:r w:rsidRPr="00C0338D">
        <w:t xml:space="preserve">a site-based approach may </w:t>
      </w:r>
      <w:r w:rsidR="000D72F2">
        <w:t xml:space="preserve">be most </w:t>
      </w:r>
      <w:r w:rsidRPr="00C0338D">
        <w:t xml:space="preserve">likely </w:t>
      </w:r>
      <w:r w:rsidR="000D72F2">
        <w:t xml:space="preserve">to </w:t>
      </w:r>
      <w:r w:rsidRPr="00C0338D">
        <w:t>achieve long-term conservation outcomes, especially in terrestrial and closed water systems. This is particularly relevant for sites of high biodiversity and ecosystem significance in the context of nature’s contributions to people and good quality of life</w:t>
      </w:r>
      <w:r w:rsidR="008D4609">
        <w:t xml:space="preserve"> conservation</w:t>
      </w:r>
      <w:r w:rsidRPr="00C0338D">
        <w:t xml:space="preserve">. Site-based approaches also aim to manage sites at risk from, or impacted by, multiple invasive alien species. </w:t>
      </w:r>
    </w:p>
    <w:p w14:paraId="000001B5" w14:textId="1316412F" w:rsidR="00A758FD" w:rsidRPr="00C0338D" w:rsidRDefault="00C81287">
      <w:pPr>
        <w:spacing w:before="240" w:after="120" w:line="240" w:lineRule="auto"/>
      </w:pPr>
      <w:r w:rsidRPr="00C0338D">
        <w:t>Site-based approaches are focused on delineated areas based on the values, objectives and environmental assets of the site. These</w:t>
      </w:r>
      <w:r w:rsidR="000D72F2">
        <w:t xml:space="preserve"> delineated</w:t>
      </w:r>
      <w:r w:rsidRPr="00C0338D">
        <w:t xml:space="preserve"> areas may include islands, protected areas, </w:t>
      </w:r>
      <w:r w:rsidR="000D72F2">
        <w:t>I</w:t>
      </w:r>
      <w:r w:rsidRPr="00C0338D">
        <w:t xml:space="preserve">ndigenous sacred sites or other designated areas that contribute to good quality of life. Following site identification and prioritization, site-based management strategies generally include invasive alien species removal combined with site restoration in terrestrial ecosystems. At the ecosystem level, this is often described as ecosystem-based management. </w:t>
      </w:r>
      <w:r w:rsidR="76DC2175" w:rsidRPr="00837161">
        <w:rPr>
          <w:rFonts w:eastAsia="Calibri"/>
        </w:rPr>
        <w:t xml:space="preserve">All three types of management approaches play key roles in </w:t>
      </w:r>
      <w:r w:rsidR="00C0338D">
        <w:t xml:space="preserve">management of biological invasions </w:t>
      </w:r>
      <w:r w:rsidR="76DC2175" w:rsidRPr="00837161">
        <w:rPr>
          <w:rFonts w:eastAsia="Calibri"/>
        </w:rPr>
        <w:t>and are not mutually exclusive, therefore strategies and decision-making frameworks are needed to determine the context of when each mana</w:t>
      </w:r>
      <w:r w:rsidR="2AFFB004" w:rsidRPr="00837161">
        <w:rPr>
          <w:rFonts w:eastAsia="Calibri"/>
        </w:rPr>
        <w:t>gement approach is best applied</w:t>
      </w:r>
      <w:r w:rsidR="76DC2175" w:rsidRPr="00837161">
        <w:rPr>
          <w:rFonts w:eastAsia="Calibri"/>
        </w:rPr>
        <w:t xml:space="preserve"> </w:t>
      </w:r>
      <w:r w:rsidR="001B0409" w:rsidRPr="00837161">
        <w:rPr>
          <w:rFonts w:eastAsia="Calibri"/>
        </w:rPr>
        <w:fldChar w:fldCharType="begin"/>
      </w:r>
      <w:r w:rsidR="000F35EB">
        <w:rPr>
          <w:rFonts w:eastAsia="Calibri"/>
        </w:rPr>
        <w:instrText xml:space="preserve"> ADDIN ZOTERO_ITEM CSL_CITATION {"citationID":"RYPAtCRE","properties":{"formattedCitation":"(Downey &amp; Sheppard, 2006)","plainCitation":"(Downey &amp; Sheppard, 2006)","noteIndex":0},"citationItems":[{"id":22743,"uris":["http://zotero.org/groups/2352922/items/ZW9IZECF"],"itemData":{"id":22743,"type":"paper-conference","container-title":"The Proceedings of the 15th Australian Weeds Conference: Managing Weeds in a Changing Climate","event-place":"Adelaide Convention Centre, Adelaide, South Australia","event-title":"15th Australian Weeds Conference","language":"en","page":"264-267","publisher":"Weed Management Society of South Australia Inc.","publisher-place":"Adelaide Convention Centre, Adelaide, South Australia","source":"www.researchgate.net","title":"Site- versus species-based approaches to weed management in Australia","URL":"https://www.researchgate.net/publication/276411938_Site-_versus_species-based_approaches_to_weed_management_in_Australia","author":[{"family":"Downey","given":"Paul O."},{"family":"Sheppard","given":"A. W."}],"editor":[{"family":"Preston","given":"C"},{"family":"Watts","given":"J","suffix":"H."},{"family":"Crossman","given":"N. D."}],"accessed":{"date-parts":[["2020",6,25]]},"issued":{"date-parts":[["2006"]]}},"label":"page"}],"schema":"https://github.com/citation-style-language/schema/raw/master/csl-citation.json"} </w:instrText>
      </w:r>
      <w:r w:rsidR="001B0409" w:rsidRPr="00837161">
        <w:rPr>
          <w:rFonts w:eastAsia="Calibri"/>
        </w:rPr>
        <w:fldChar w:fldCharType="separate"/>
      </w:r>
      <w:r w:rsidR="00271B78" w:rsidRPr="00271B78">
        <w:t>(Downey &amp; Sheppard, 2006)</w:t>
      </w:r>
      <w:r w:rsidR="001B0409" w:rsidRPr="00837161">
        <w:rPr>
          <w:rFonts w:eastAsia="Calibri"/>
        </w:rPr>
        <w:fldChar w:fldCharType="end"/>
      </w:r>
      <w:r w:rsidR="76DC2175" w:rsidRPr="00837161">
        <w:rPr>
          <w:rFonts w:eastAsia="Calibri"/>
        </w:rPr>
        <w:t>.</w:t>
      </w:r>
      <w:r w:rsidRPr="00C0338D">
        <w:t xml:space="preserve"> Selection of the most appropriate approach depends on the outcomes sought and the available resources.</w:t>
      </w:r>
    </w:p>
    <w:p w14:paraId="000001B6" w14:textId="77777777" w:rsidR="00A758FD" w:rsidRPr="00AC1F76" w:rsidRDefault="00C81287" w:rsidP="002F2F42">
      <w:pPr>
        <w:pStyle w:val="Heading3"/>
      </w:pPr>
      <w:bookmarkStart w:id="169" w:name="_heading=h.2zbgiuw" w:colFirst="0" w:colLast="0"/>
      <w:bookmarkStart w:id="170" w:name="_Toc69313976"/>
      <w:bookmarkStart w:id="171" w:name="_Toc87623135"/>
      <w:bookmarkStart w:id="172" w:name="_Toc131681637"/>
      <w:bookmarkEnd w:id="169"/>
      <w:r w:rsidRPr="00AC1F76">
        <w:t>Implementing pathway management strategies</w:t>
      </w:r>
      <w:bookmarkEnd w:id="170"/>
      <w:bookmarkEnd w:id="171"/>
      <w:bookmarkEnd w:id="172"/>
    </w:p>
    <w:p w14:paraId="000001B7" w14:textId="56EEA918" w:rsidR="00A758FD" w:rsidRPr="00C0338D" w:rsidRDefault="420314A4">
      <w:pPr>
        <w:spacing w:before="240" w:after="120" w:line="240" w:lineRule="auto"/>
      </w:pPr>
      <w:r w:rsidRPr="00837161">
        <w:t xml:space="preserve">Pathway </w:t>
      </w:r>
      <w:r w:rsidR="13FE9CAA" w:rsidRPr="00837161">
        <w:t>m</w:t>
      </w:r>
      <w:r w:rsidR="77436CFE" w:rsidRPr="00837161">
        <w:t xml:space="preserve">anagement </w:t>
      </w:r>
      <w:r w:rsidR="008D4609">
        <w:t>can be</w:t>
      </w:r>
      <w:r w:rsidR="77436CFE" w:rsidRPr="00837161">
        <w:t xml:space="preserve"> applied to international pathways, which facilitate long-distance global invasive alien species dispersal (</w:t>
      </w:r>
      <w:r w:rsidR="111E63D2" w:rsidRPr="00837161">
        <w:t xml:space="preserve">e.g., </w:t>
      </w:r>
      <w:r w:rsidR="00EA4005" w:rsidRPr="00837161">
        <w:t xml:space="preserve">postal </w:t>
      </w:r>
      <w:r w:rsidR="77436CFE" w:rsidRPr="00837161">
        <w:t>mail, trade, human travel, transport vessels</w:t>
      </w:r>
      <w:r w:rsidR="777DEE6B" w:rsidRPr="00837161">
        <w:t>, inland and marine canals</w:t>
      </w:r>
      <w:r w:rsidRPr="00837161">
        <w:fldChar w:fldCharType="begin"/>
      </w:r>
      <w:r w:rsidR="000F35EB">
        <w:instrText xml:space="preserve"> ADDIN ZOTERO_ITEM CSL_CITATION {"citationID":"15i56Qao","properties":{"formattedCitation":"(Hulme, 2009)","plainCitation":"(Hulme, 2009)","dontUpdate":true,"noteIndex":0},"citationItems":[{"id":32387,"uris":["http://zotero.org/groups/2352922/items/M3KQUD2U"],"itemData":{"id":32387,"type":"article-journal","abstract":"1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Pr="00837161">
        <w:fldChar w:fldCharType="separate"/>
      </w:r>
      <w:r w:rsidR="00113B93" w:rsidRPr="00837161">
        <w:t>; Hulme, 2009)</w:t>
      </w:r>
      <w:r w:rsidRPr="00837161">
        <w:fldChar w:fldCharType="end"/>
      </w:r>
      <w:r w:rsidR="77436CFE" w:rsidRPr="00837161">
        <w:t xml:space="preserve"> and post-border domestic pathways (</w:t>
      </w:r>
      <w:r w:rsidR="111E63D2" w:rsidRPr="00837161">
        <w:t xml:space="preserve">e.g., </w:t>
      </w:r>
      <w:r w:rsidR="77436CFE" w:rsidRPr="00837161">
        <w:t>spread via agriculture or domestic trade, local travel and transport).</w:t>
      </w:r>
      <w:r w:rsidR="00C81287" w:rsidRPr="00C0338D">
        <w:t xml:space="preserve"> Commodity-related drivers such as manufacturing, agricultural and pet trade shipping routes (including e-commerce; </w:t>
      </w:r>
      <w:r w:rsidR="00CF348C">
        <w:rPr>
          <w:b/>
          <w:iCs/>
        </w:rPr>
        <w:t>G</w:t>
      </w:r>
      <w:r w:rsidR="00F2396D" w:rsidRPr="00CF348C">
        <w:rPr>
          <w:b/>
          <w:iCs/>
        </w:rPr>
        <w:t>lossary</w:t>
      </w:r>
      <w:r w:rsidR="00C81287" w:rsidRPr="00C0338D">
        <w:t>) and human-travel networks such as tourism and airline travel create invasion pathways (</w:t>
      </w:r>
      <w:r w:rsidR="00C81287" w:rsidRPr="00C0338D">
        <w:rPr>
          <w:b/>
        </w:rPr>
        <w:t>Chapter 3</w:t>
      </w:r>
      <w:r w:rsidR="00C81287" w:rsidRPr="00C0338D">
        <w:t>,</w:t>
      </w:r>
      <w:r w:rsidR="00C81287" w:rsidRPr="00C0338D">
        <w:rPr>
          <w:b/>
        </w:rPr>
        <w:t xml:space="preserve"> section 3.2.3.4</w:t>
      </w:r>
      <w:r w:rsidR="00C81287" w:rsidRPr="00C0338D">
        <w:t xml:space="preserve">). Key components of pathway management include phytosanitary treatment of imported commodities and a combination of both active and general surveillance methods for early detection of invasive alien species to enable management outcomes to be achievable </w:t>
      </w:r>
      <w:r w:rsidR="1F7FE3CF" w:rsidRPr="00837161">
        <w:t>(</w:t>
      </w:r>
      <w:r w:rsidR="00191A6E">
        <w:rPr>
          <w:b/>
          <w:iCs/>
        </w:rPr>
        <w:t>Figure 5.1</w:t>
      </w:r>
      <w:r w:rsidR="00731EF2" w:rsidRPr="00837161">
        <w:t>)</w:t>
      </w:r>
      <w:r w:rsidR="1F7FE3CF" w:rsidRPr="00837161">
        <w:t>.</w:t>
      </w:r>
      <w:r w:rsidR="00C81287" w:rsidRPr="00C0338D">
        <w:t xml:space="preserve"> </w:t>
      </w:r>
    </w:p>
    <w:p w14:paraId="000001B8" w14:textId="7AE3B0CA" w:rsidR="00A758FD" w:rsidRPr="00C0338D" w:rsidRDefault="00C81287">
      <w:pPr>
        <w:spacing w:before="240" w:after="120" w:line="240" w:lineRule="auto"/>
      </w:pPr>
      <w:r w:rsidRPr="00C0338D">
        <w:t>Comparisons of general patterns of species introductions globally indicate that the commercial animal-trade (livestock, aquaculture introductions, companion animals</w:t>
      </w:r>
      <w:r w:rsidR="00C16EEB">
        <w:t xml:space="preserve"> and</w:t>
      </w:r>
      <w:r w:rsidRPr="00C0338D">
        <w:t xml:space="preserve"> illegal pet trade), plant-trade (agricultural and horticultural commodities and trade in wood, seeds and ornamental and nursery stock), wood packaging</w:t>
      </w:r>
      <w:r w:rsidR="00C16EEB">
        <w:t xml:space="preserve"> and</w:t>
      </w:r>
      <w:r w:rsidRPr="00C0338D">
        <w:t xml:space="preserve"> hitchhiker or contaminating pests and diseases arriving on other freight are the most significant pathways for terrestrial and freshwater species, whereas ballast water and hull biofouling are important invasion pathways for marine species </w:t>
      </w:r>
      <w:r w:rsidR="001B0409" w:rsidRPr="00837161">
        <w:fldChar w:fldCharType="begin"/>
      </w:r>
      <w:r w:rsidR="000F35EB">
        <w:instrText xml:space="preserve"> ADDIN ZOTERO_ITEM CSL_CITATION {"citationID":"3Dnra1G8","properties":{"formattedCitation":"(Downey &amp; Sheppard, 2006; Hulme, 2009)","plainCitation":"(Downey &amp; Sheppard, 2006; Hulme, 2009)","noteIndex":0},"citationItems":[{"id":22743,"uris":["http://zotero.org/groups/2352922/items/ZW9IZECF"],"itemData":{"id":22743,"type":"paper-conference","container-title":"The Proceedings of the 15th Australian Weeds Conference: Managing Weeds in a Changing Climate","event-place":"Adelaide Convention Centre, Adelaide, South Australia","event-title":"15th Australian Weeds Conference","language":"en","page":"264-267","publisher":"Weed Management Society of South Australia Inc.","publisher-place":"Adelaide Convention Centre, Adelaide, South Australia","source":"www.researchgate.net","title":"Site- versus species-based approaches to weed management in Australia","URL":"https://www.researchgate.net/publication/276411938_Site-_versus_species-based_approaches_to_weed_management_in_Australia","author":[{"family":"Downey","given":"Paul O."},{"family":"Sheppard","given":"A. W."}],"editor":[{"family":"Preston","given":"C"},{"family":"Watts","given":"J","suffix":"H."},{"family":"Crossman","given":"N. D."}],"accessed":{"date-parts":[["2020",6,25]]},"issued":{"date-parts":[["2006"]]}},"label":"page"},{"id":32387,"uris":["http://zotero.org/groups/2352922/items/M3KQUD2U"],"itemData":{"id":32387,"type":"article-journal","abstract":"1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001B0409" w:rsidRPr="00837161">
        <w:fldChar w:fldCharType="separate"/>
      </w:r>
      <w:r w:rsidR="00271B78" w:rsidRPr="00271B78">
        <w:t>(Downey &amp; Sheppard, 2006; Hulme, 2009)</w:t>
      </w:r>
      <w:r w:rsidR="001B0409" w:rsidRPr="00837161">
        <w:fldChar w:fldCharType="end"/>
      </w:r>
      <w:r w:rsidR="4F411130" w:rsidRPr="00837161">
        <w:t xml:space="preserve">. International cooperation </w:t>
      </w:r>
      <w:r w:rsidR="715389A5" w:rsidRPr="00837161">
        <w:t>helps</w:t>
      </w:r>
      <w:r w:rsidR="4F411130" w:rsidRPr="00837161">
        <w:t xml:space="preserve"> </w:t>
      </w:r>
      <w:r w:rsidR="6BD49E0E" w:rsidRPr="00837161">
        <w:t>to</w:t>
      </w:r>
      <w:r w:rsidR="4F411130" w:rsidRPr="00837161">
        <w:t xml:space="preserve"> </w:t>
      </w:r>
      <w:r w:rsidR="5E3F9D1F" w:rsidRPr="00837161">
        <w:t>understand pathway risks and</w:t>
      </w:r>
      <w:r w:rsidR="4F411130" w:rsidRPr="00837161">
        <w:t xml:space="preserve"> manage long-distance pathways, through legislation, regulation, international guidelines and agreements (</w:t>
      </w:r>
      <w:r w:rsidR="5C7BF285" w:rsidRPr="00837161">
        <w:t>e.g.</w:t>
      </w:r>
      <w:r w:rsidR="00A644BA" w:rsidRPr="00837161">
        <w:t>,</w:t>
      </w:r>
      <w:r w:rsidR="5C7BF285" w:rsidRPr="00837161">
        <w:t xml:space="preserve"> </w:t>
      </w:r>
      <w:r w:rsidR="00B3101D" w:rsidRPr="00837161">
        <w:t>IPPC</w:t>
      </w:r>
      <w:r w:rsidR="4F411130" w:rsidRPr="00837161">
        <w:t xml:space="preserve">, </w:t>
      </w:r>
      <w:r w:rsidR="471261C8" w:rsidRPr="00837161">
        <w:t>WOAH</w:t>
      </w:r>
      <w:r w:rsidR="00A644BA" w:rsidRPr="00837161">
        <w:t>)</w:t>
      </w:r>
      <w:r w:rsidR="4F411130" w:rsidRPr="00837161">
        <w:t xml:space="preserve">, risk analysis, risk mapping, control of </w:t>
      </w:r>
      <w:r w:rsidR="00C0338D">
        <w:t>invasive alien species</w:t>
      </w:r>
      <w:r w:rsidR="00C0338D" w:rsidRPr="00837161">
        <w:t xml:space="preserve"> </w:t>
      </w:r>
      <w:r w:rsidR="4F411130" w:rsidRPr="00837161">
        <w:t xml:space="preserve">and </w:t>
      </w:r>
      <w:r w:rsidR="4F411130" w:rsidRPr="00837161">
        <w:lastRenderedPageBreak/>
        <w:t xml:space="preserve">mitigation of impacts </w:t>
      </w:r>
      <w:r w:rsidR="001B0409" w:rsidRPr="00837161">
        <w:fldChar w:fldCharType="begin"/>
      </w:r>
      <w:r w:rsidR="000F35EB">
        <w:instrText xml:space="preserve"> ADDIN ZOTERO_ITEM CSL_CITATION {"citationID":"RFSAAXcf","properties":{"formattedCitation":"(CBD, 2014; Hulme, 2009; Paini et al., 2016)","plainCitation":"(CBD, 2014; Hulme, 2009; Paini et al., 2016)","noteIndex":0},"citationItems":[{"id":32137,"uris":["http://zotero.org/groups/2352922/items/JUHVB9UU"],"itemData":{"id":32137,"type":"paper-conference","collection-title":"UNEP/CBD/SBSTTA/18/9/Add.1","event-place":"Montreal, Canada","event-title":"Eighteenth meeting of Subsidiary Body on Scientific, Technical and Technological Advice","page":"18","publisher":"Convention on Biodiversity, United Nations Environment Programme","publisher-place":"Montreal, Canada","title":"Pathways of introduction of invasive species, their prioritization and management","URL":"https://www.cbd.int/doc/meetings/sbstta/sbstta-18/official/sbstta-18-09-add1-en.pdf","author":[{"literal":"CBD"}],"accessed":{"date-parts":[["2019",10,22]]},"issued":{"date-parts":[["2014"]]}},"label":"page"},{"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E."}],"accessed":{"date-parts":[["2019",12,5]]},"issued":{"date-parts":[["2009"]]}},"label":"page"},{"id":32747,"uris":["http://zotero.org/groups/2352922/items/RNT897GG"],"itemData":{"id":32747,"type":"article-journal","abstract":"Invasive species present significant threats to global agriculture, although how the magnitude and distribution of the threats vary between countries and regions remains unclear. Here, we present an analysis of almost 1,300 known invasive insect pests and pathogens, calculating the total potential cost of these species invading each of 124 countries of the world, as well as determining which countries present the greatest threat to the rest of the world given their trading partners and incumbent pool of invasive species. We find that countries vary in terms of potential threat from invasive species and also their role as potential sources, with apparently similar countries sometimes varying markedly depending on specifics of agricultural commodities and trade patterns. Overall, the biggest agricultural producers (China and the United States) could experience the greatest absolute cost from further species invasions. However, developing countries, in particular, Sub-Saharan African countries, appear most vulnerable in relative terms. Furthermore, China and the United States represent the greatest potential sources of invasive species for the rest of the world. The analysis reveals considerable scope for ongoing redistribution of known invasive pests and highlights the need for international cooperation to slow their spread.","container-title":"Proceedings of the National Academy of Sciences of the United States of America","DOI":"10.1073/pnas.1602205113","ISSN":"0027-8424","issue":"27","language":"en","note":"WOS:000379021700076","page":"7575-7579","title":"Global threat to agriculture from invasive species","URL":"https://www.scopus.com/inward/record.uri?eid=2-s2.0-84977268919&amp;doi=10.1073%2fpnas.1602205113&amp;partnerID=40&amp;md5=2d6cdb43a462b78052f067589196fd2d","volume":"113","author":[{"family":"Paini","given":"Dean R."},{"family":"Sheppard","given":"Andy W."},{"family":"Cook","given":"David C."},{"family":"De Barro","given":"Paul J."},{"family":"Worner","given":"Susan P."},{"family":"Thomas","given":"Matthew B."}],"issued":{"date-parts":[["2016",7,5]]}},"label":"page"}],"schema":"https://github.com/citation-style-language/schema/raw/master/csl-citation.json"} </w:instrText>
      </w:r>
      <w:r w:rsidR="001B0409" w:rsidRPr="00837161">
        <w:fldChar w:fldCharType="separate"/>
      </w:r>
      <w:r w:rsidR="00271B78" w:rsidRPr="00271B78">
        <w:t>(CBD, 2014; Hulme, 2009; Paini et al., 2016)</w:t>
      </w:r>
      <w:r w:rsidR="001B0409" w:rsidRPr="00837161">
        <w:fldChar w:fldCharType="end"/>
      </w:r>
      <w:r w:rsidR="4F411130" w:rsidRPr="00837161">
        <w:t xml:space="preserve">. The </w:t>
      </w:r>
      <w:r w:rsidR="585798C0" w:rsidRPr="00837161">
        <w:t xml:space="preserve">IPPC </w:t>
      </w:r>
      <w:r w:rsidR="4F411130" w:rsidRPr="00837161">
        <w:t>has defined trade pathways of invasive alien species movement and provides</w:t>
      </w:r>
      <w:r w:rsidR="00F26EC4" w:rsidRPr="00837161">
        <w:t xml:space="preserve"> </w:t>
      </w:r>
      <w:r w:rsidR="4F411130" w:rsidRPr="00837161">
        <w:t xml:space="preserve">standards on most plant trade pathways with respect to alien species movements through a range of </w:t>
      </w:r>
      <w:r w:rsidR="009E0498" w:rsidRPr="00837161">
        <w:t xml:space="preserve">ISPM </w:t>
      </w:r>
      <w:r w:rsidR="4F411130" w:rsidRPr="00837161">
        <w:t>for example the adoption of</w:t>
      </w:r>
      <w:r w:rsidR="00F26EC4" w:rsidRPr="00837161">
        <w:t xml:space="preserve"> </w:t>
      </w:r>
      <w:r w:rsidR="4F411130" w:rsidRPr="00837161">
        <w:t>ISPM</w:t>
      </w:r>
      <w:r w:rsidR="001D7F1A" w:rsidRPr="00837161">
        <w:t>-</w:t>
      </w:r>
      <w:r w:rsidR="4F411130" w:rsidRPr="00837161">
        <w:t>15 in 2002 to manage wood boring insects in wood packaging material such as pallets has seen a reduction in incidence of invasive wood borers</w:t>
      </w:r>
      <w:r w:rsidR="005B5303" w:rsidRPr="00837161">
        <w:t xml:space="preserve"> </w:t>
      </w:r>
      <w:r w:rsidR="005B5303" w:rsidRPr="00837161">
        <w:fldChar w:fldCharType="begin"/>
      </w:r>
      <w:r w:rsidR="000F35EB">
        <w:instrText xml:space="preserve"> ADDIN ZOTERO_ITEM CSL_CITATION {"citationID":"NwMXIw25","properties":{"formattedCitation":"(Haack et al., 2014)","plainCitation":"(Haack et al., 2014)","noteIndex":0},"citationItems":[{"id":12579,"uris":["http://zotero.org/groups/2352922/items/Z34CLUYF"],"itemData":{"id":12579,"type":"article-journal","container-title":"PLoS ONE","DOI":"10.1371/journal.pone.0096611","ISSN":"1932-6203","issue":"5","journalAbbreviation":"PLoS ONE","language":"en","page":"e96611","source":"DOI.org (Crossref)","title":"Effectiveness of the International Phytosanitary Standard ISPM No. 15 on Reducing Wood Borer Infestation Rates in Wood Packaging Material Entering the United States","URL":"https://dx.plos.org/10.1371/journal.pone.0096611","volume":"9","author":[{"family":"Haack","given":"Robert A."},{"family":"Britton","given":"Kerry O."},{"family":"Brockerhoff","given":"Eckehard G."},{"family":"Cavey","given":"Joseph F."},{"family":"Garrett","given":"Lynn J."},{"family":"Kimberley","given":"Mark"},{"family":"Lowenstein","given":"Frank"},{"family":"Nuding","given":"Amelia"},{"family":"Olson","given":"Lars J."},{"family":"Turner","given":"James"},{"family":"Vasilaky","given":"Kathryn N."}],"editor":[{"family":"Roberts","given":"David L."}],"accessed":{"date-parts":[["2019",10,23]]},"issued":{"date-parts":[["2014",5,14]]}},"label":"page"}],"schema":"https://github.com/citation-style-language/schema/raw/master/csl-citation.json"} </w:instrText>
      </w:r>
      <w:r w:rsidR="005B5303" w:rsidRPr="00837161">
        <w:fldChar w:fldCharType="separate"/>
      </w:r>
      <w:r w:rsidR="00271B78" w:rsidRPr="00271B78">
        <w:t>(Haack et al., 2014)</w:t>
      </w:r>
      <w:r w:rsidR="005B5303" w:rsidRPr="00837161">
        <w:fldChar w:fldCharType="end"/>
      </w:r>
      <w:r w:rsidR="4F411130" w:rsidRPr="00837161">
        <w:t>. The exception</w:t>
      </w:r>
      <w:r w:rsidR="0B87AA9E" w:rsidRPr="00837161">
        <w:t>s</w:t>
      </w:r>
      <w:r w:rsidR="4F411130" w:rsidRPr="00837161">
        <w:t xml:space="preserve"> </w:t>
      </w:r>
      <w:r w:rsidR="0B87AA9E" w:rsidRPr="00837161">
        <w:t>are</w:t>
      </w:r>
      <w:r w:rsidR="4F411130" w:rsidRPr="00837161">
        <w:t xml:space="preserve"> pathways of “contaminating pests”</w:t>
      </w:r>
      <w:r w:rsidR="09F48ABA" w:rsidRPr="00837161">
        <w:t xml:space="preserve"> (i.e.</w:t>
      </w:r>
      <w:r w:rsidR="6CB21E88" w:rsidRPr="00837161">
        <w:t>,</w:t>
      </w:r>
      <w:r w:rsidR="6E88987F" w:rsidRPr="00837161">
        <w:t xml:space="preserve"> </w:t>
      </w:r>
      <w:r w:rsidR="00BC187C" w:rsidRPr="00837161">
        <w:t>“</w:t>
      </w:r>
      <w:r w:rsidR="6E88987F" w:rsidRPr="00837161">
        <w:t>hitchhikers</w:t>
      </w:r>
      <w:r w:rsidR="00BC187C" w:rsidRPr="00837161">
        <w:t>”</w:t>
      </w:r>
      <w:r w:rsidR="09F48ABA" w:rsidRPr="00837161">
        <w:t>)</w:t>
      </w:r>
      <w:r w:rsidR="4F411130" w:rsidRPr="00837161">
        <w:t>, which spread through trade via movement of sea and air containers but are not associated with any specific</w:t>
      </w:r>
      <w:r w:rsidR="1136D881" w:rsidRPr="00837161">
        <w:t xml:space="preserve"> </w:t>
      </w:r>
      <w:r w:rsidR="4F411130" w:rsidRPr="00837161">
        <w:t>commodities</w:t>
      </w:r>
      <w:r w:rsidR="009E0498" w:rsidRPr="00837161">
        <w:t xml:space="preserve"> </w:t>
      </w:r>
      <w:r w:rsidR="009E0498" w:rsidRPr="00837161">
        <w:fldChar w:fldCharType="begin"/>
      </w:r>
      <w:r w:rsidR="000F35EB">
        <w:instrText xml:space="preserve"> ADDIN ZOTERO_ITEM CSL_CITATION {"citationID":"tqO6DPKU","properties":{"formattedCitation":"(IPPC-CPM, 2020)","plainCitation":"(IPPC-CPM, 2020)","noteIndex":0},"citationItems":[{"id":53330,"uris":["http://zotero.org/groups/2352922/items/5WZRTB9Y"],"itemData":{"id":53330,"type":"document","publisher":"International Plant Protection Convention","title":"Reduce the incidence of contaminating pests associated with regulated articles and unregulated goods to protect plant health and facilitate trade (2019-002). Draft CPM recommendation.","URL":"https://assets.ippc.int/static/media/files/publication/en/2021/01/16_CPM_2021_ANNEX2_2019-002_Draft_CPM_Rec_Contaminting_pests_2020-12-25.pdf","author":[{"literal":"IPPC-CPM"}],"accessed":{"date-parts":[["2022",9,21]]},"issued":{"date-parts":[["2020"]]}},"label":"page"}],"schema":"https://github.com/citation-style-language/schema/raw/master/csl-citation.json"} </w:instrText>
      </w:r>
      <w:r w:rsidR="009E0498" w:rsidRPr="00837161">
        <w:fldChar w:fldCharType="separate"/>
      </w:r>
      <w:r w:rsidR="00271B78" w:rsidRPr="00271B78">
        <w:t>(IPPC-CPM, 2020)</w:t>
      </w:r>
      <w:r w:rsidR="009E0498" w:rsidRPr="00837161">
        <w:fldChar w:fldCharType="end"/>
      </w:r>
      <w:r w:rsidR="0B87AA9E" w:rsidRPr="00837161">
        <w:t xml:space="preserve"> and e-commerce</w:t>
      </w:r>
      <w:r w:rsidR="16123DC3" w:rsidRPr="00837161">
        <w:t xml:space="preserve"> </w:t>
      </w:r>
      <w:r w:rsidR="001B4840" w:rsidRPr="00837161">
        <w:fldChar w:fldCharType="begin"/>
      </w:r>
      <w:r w:rsidR="000F35EB">
        <w:instrText xml:space="preserve"> ADDIN ZOTERO_ITEM CSL_CITATION {"citationID":"CLxVaYZa","properties":{"formattedCitation":"(Stringham et al., 2021)","plainCitation":"(Stringham et al., 2021)","noteIndex":0},"citationItems":[{"id":10271,"uris":["http://zotero.org/groups/2352922/items/SASZF5F6"],"itemData":{"id":10271,"type":"article-journal","container-title":"Conservation Letters","DOI":"10.1111/conl.12833","ISSN":"1755-263X, 1755-263X","issue":"6","journalAbbreviation":"CONSERVATION LETTERS","language":"en","page":"e12833","source":"D</w:instrText>
      </w:r>
      <w:r w:rsidR="000F35EB">
        <w:rPr>
          <w:rFonts w:hint="eastAsia"/>
        </w:rPr>
        <w:instrText>OI.org (Crossref)","title":"Live reptile smuggling is predicted by trends in the legal exotic pet trade","URL":"https://onlinelibrary.wiley.com/doi/10.1111/conl.12833","volume":"14","author":[{"family":"Stringham","given":"Oliver C."},{"family":"García</w:instrText>
      </w:r>
      <w:r w:rsidR="000F35EB">
        <w:rPr>
          <w:rFonts w:hint="eastAsia"/>
        </w:rPr>
        <w:instrText>‐</w:instrText>
      </w:r>
      <w:r w:rsidR="000F35EB">
        <w:rPr>
          <w:rFonts w:hint="eastAsia"/>
        </w:rPr>
        <w:instrText>Dí</w:instrText>
      </w:r>
      <w:r w:rsidR="000F35EB">
        <w:instrText xml:space="preserve">az","given":"Pablo"},{"family":"Toomes","given":"Adam"},{"family":"Mitchell","given":"Lewis"},{"family":"Ross","given":"Joshua V."},{"family":"Cassey","given":"Phillip"}],"accessed":{"date-parts":[["2021",10,6]]},"issued":{"date-parts":[["2021",8,17]]}},"label":"page"}],"schema":"https://github.com/citation-style-language/schema/raw/master/csl-citation.json"} </w:instrText>
      </w:r>
      <w:r w:rsidR="001B4840" w:rsidRPr="00837161">
        <w:fldChar w:fldCharType="separate"/>
      </w:r>
      <w:r w:rsidR="00271B78" w:rsidRPr="00271B78">
        <w:t>(Stringham et al., 2021)</w:t>
      </w:r>
      <w:r w:rsidR="001B4840" w:rsidRPr="00837161">
        <w:fldChar w:fldCharType="end"/>
      </w:r>
      <w:r w:rsidR="4F411130" w:rsidRPr="00837161">
        <w:t>, but th</w:t>
      </w:r>
      <w:r w:rsidR="406FFF73" w:rsidRPr="00837161">
        <w:t>ese are</w:t>
      </w:r>
      <w:r w:rsidR="00F26EC4" w:rsidRPr="00837161">
        <w:t xml:space="preserve"> </w:t>
      </w:r>
      <w:r w:rsidR="4F411130" w:rsidRPr="00837161">
        <w:t xml:space="preserve">being addressed. </w:t>
      </w:r>
      <w:r w:rsidR="47261731" w:rsidRPr="00837161">
        <w:t>While e</w:t>
      </w:r>
      <w:r w:rsidR="203C1E1E" w:rsidRPr="00837161">
        <w:t xml:space="preserve">-commerce is a key driver and pathway </w:t>
      </w:r>
      <w:r w:rsidR="47261731" w:rsidRPr="00837161">
        <w:t>of</w:t>
      </w:r>
      <w:r w:rsidR="3E6A90DA" w:rsidRPr="00837161">
        <w:t xml:space="preserve"> </w:t>
      </w:r>
      <w:r w:rsidR="203C1E1E" w:rsidRPr="00837161">
        <w:t xml:space="preserve">international concern due to the increasing </w:t>
      </w:r>
      <w:r w:rsidR="47261731" w:rsidRPr="00837161">
        <w:t xml:space="preserve">global </w:t>
      </w:r>
      <w:r w:rsidR="203C1E1E" w:rsidRPr="00837161">
        <w:t>volume</w:t>
      </w:r>
      <w:r w:rsidR="47261731" w:rsidRPr="00837161">
        <w:t>s</w:t>
      </w:r>
      <w:r w:rsidR="203C1E1E" w:rsidRPr="00837161">
        <w:t xml:space="preserve"> </w:t>
      </w:r>
      <w:r w:rsidR="47261731" w:rsidRPr="00837161">
        <w:t xml:space="preserve">of parcel mail </w:t>
      </w:r>
      <w:r w:rsidR="002502C4" w:rsidRPr="00837161">
        <w:t>(</w:t>
      </w:r>
      <w:r w:rsidR="00CF348C">
        <w:rPr>
          <w:b/>
          <w:iCs/>
        </w:rPr>
        <w:t>C</w:t>
      </w:r>
      <w:r w:rsidR="203C1E1E" w:rsidRPr="00CF348C">
        <w:rPr>
          <w:b/>
          <w:iCs/>
        </w:rPr>
        <w:t xml:space="preserve">hapter </w:t>
      </w:r>
      <w:r w:rsidR="3C3FDE74" w:rsidRPr="00CF348C">
        <w:rPr>
          <w:b/>
          <w:iCs/>
        </w:rPr>
        <w:t>3</w:t>
      </w:r>
      <w:r w:rsidR="3C3FDE74" w:rsidRPr="00CF348C">
        <w:rPr>
          <w:iCs/>
        </w:rPr>
        <w:t>,</w:t>
      </w:r>
      <w:r w:rsidR="3C3FDE74" w:rsidRPr="00CF348C">
        <w:rPr>
          <w:b/>
          <w:iCs/>
        </w:rPr>
        <w:t xml:space="preserve"> section</w:t>
      </w:r>
      <w:r w:rsidR="203C1E1E" w:rsidRPr="00CF348C">
        <w:rPr>
          <w:b/>
          <w:iCs/>
        </w:rPr>
        <w:t xml:space="preserve"> 3</w:t>
      </w:r>
      <w:r w:rsidR="58046DBC" w:rsidRPr="00CF348C">
        <w:rPr>
          <w:b/>
          <w:iCs/>
        </w:rPr>
        <w:t>.2.3</w:t>
      </w:r>
      <w:r w:rsidR="00B1794A" w:rsidRPr="00CF348C">
        <w:rPr>
          <w:b/>
          <w:iCs/>
        </w:rPr>
        <w:t>.1</w:t>
      </w:r>
      <w:r w:rsidR="203C1E1E" w:rsidRPr="00837161">
        <w:t>)</w:t>
      </w:r>
      <w:r w:rsidR="47261731" w:rsidRPr="00837161">
        <w:t xml:space="preserve">, international efforts are underway to address this pathway </w:t>
      </w:r>
      <w:r w:rsidR="004C0A2C" w:rsidRPr="00837161">
        <w:fldChar w:fldCharType="begin"/>
      </w:r>
      <w:r w:rsidR="000F35EB">
        <w:instrText xml:space="preserve"> ADDIN ZOTERO_ITEM CSL_CITATION {"citationID":"pdSb9JF4","properties":{"formattedCitation":"(CBD, 2020b)","plainCitation":"(CBD, 2020b)","noteIndex":0},"citationItems":[{"id":30927,"uris":["http://zotero.org/groups/2352922/items/9CQC3VMW"],"itemData":{"id":30927,"type":"paper-conference","collection-title":"CBD/SBSTTA/24/10","event-place":"Quebec City, Canada","event-title":"Twenty-fourth meeting of Subsidiary body on scientific technical and technological advice","language":"en","publisher-place":"Quebec City, Canada","source":"Zotero","title":"Invasive alien species","URL":"https://www.cbd.int/doc/c/4e0e/0677/296c40f85b26a582b8116160/sbstta-24-10-en.pdf","author":[{"literal":"CBD"}],"issued":{"date-parts":[["2020",7,10]]}},"label":"page"}],"schema":"https://github.com/citation-style-language/schema/raw/master/csl-citation.json"} </w:instrText>
      </w:r>
      <w:r w:rsidR="004C0A2C" w:rsidRPr="00837161">
        <w:fldChar w:fldCharType="separate"/>
      </w:r>
      <w:r w:rsidR="00271B78" w:rsidRPr="00271B78">
        <w:t>(CBD, 2020b)</w:t>
      </w:r>
      <w:r w:rsidR="004C0A2C" w:rsidRPr="00837161">
        <w:fldChar w:fldCharType="end"/>
      </w:r>
      <w:r w:rsidR="203C1E1E" w:rsidRPr="00837161">
        <w:t xml:space="preserve">. </w:t>
      </w:r>
      <w:r w:rsidR="00191A6E">
        <w:rPr>
          <w:b/>
          <w:iCs/>
        </w:rPr>
        <w:t xml:space="preserve">Table 5.3 </w:t>
      </w:r>
      <w:r w:rsidRPr="00C0338D">
        <w:t>illustrates options for implementing a coordinated e-commerce management programme.</w:t>
      </w:r>
    </w:p>
    <w:p w14:paraId="000001B9" w14:textId="4AE60885" w:rsidR="00A758FD" w:rsidRPr="00C0338D" w:rsidRDefault="00C81287" w:rsidP="00C0338D">
      <w:pPr>
        <w:keepNext/>
        <w:pBdr>
          <w:top w:val="nil"/>
          <w:left w:val="nil"/>
          <w:bottom w:val="nil"/>
          <w:right w:val="nil"/>
          <w:between w:val="nil"/>
        </w:pBdr>
        <w:spacing w:before="240" w:after="120" w:line="240" w:lineRule="auto"/>
        <w:rPr>
          <w:b/>
          <w:color w:val="000000"/>
        </w:rPr>
      </w:pPr>
      <w:bookmarkStart w:id="173" w:name="_heading=h.1egqt2p" w:colFirst="0" w:colLast="0"/>
      <w:bookmarkStart w:id="174" w:name="_Ref104971608"/>
      <w:bookmarkStart w:id="175" w:name="_Toc147489080"/>
      <w:bookmarkStart w:id="176" w:name="_Toc87623085"/>
      <w:bookmarkEnd w:id="173"/>
      <w:r w:rsidRPr="00C0338D">
        <w:rPr>
          <w:b/>
          <w:color w:val="000000"/>
        </w:rPr>
        <w:t>Table 5</w:t>
      </w:r>
      <w:r w:rsidR="00A43770" w:rsidRPr="00837161">
        <w:t>.</w:t>
      </w:r>
      <w:r w:rsidR="00A43770" w:rsidRPr="00C0338D">
        <w:rPr>
          <w:b/>
          <w:bCs/>
        </w:rPr>
        <w:fldChar w:fldCharType="begin"/>
      </w:r>
      <w:r w:rsidR="00A43770" w:rsidRPr="00C0338D">
        <w:rPr>
          <w:b/>
          <w:bCs/>
        </w:rPr>
        <w:instrText>SEQ Table_5. \* ARABIC</w:instrText>
      </w:r>
      <w:r w:rsidR="00A43770" w:rsidRPr="00C0338D">
        <w:rPr>
          <w:b/>
          <w:bCs/>
        </w:rPr>
        <w:fldChar w:fldCharType="separate"/>
      </w:r>
      <w:r w:rsidR="00DC77F8" w:rsidRPr="00C0338D">
        <w:rPr>
          <w:b/>
          <w:bCs/>
          <w:noProof/>
        </w:rPr>
        <w:t>3</w:t>
      </w:r>
      <w:r w:rsidR="00A43770" w:rsidRPr="00C0338D">
        <w:rPr>
          <w:b/>
          <w:bCs/>
        </w:rPr>
        <w:fldChar w:fldCharType="end"/>
      </w:r>
      <w:bookmarkEnd w:id="174"/>
      <w:r w:rsidR="00437E62" w:rsidRPr="00C0338D">
        <w:rPr>
          <w:b/>
          <w:bCs/>
        </w:rPr>
        <w:t>.</w:t>
      </w:r>
      <w:r w:rsidRPr="00C0338D">
        <w:rPr>
          <w:b/>
          <w:color w:val="000000"/>
        </w:rPr>
        <w:t xml:space="preserve"> </w:t>
      </w:r>
      <w:r w:rsidRPr="00C0338D">
        <w:rPr>
          <w:color w:val="000000"/>
        </w:rPr>
        <w:t>Management challenges and information needed when addressing invasive alien species risk associated with e-commerce</w:t>
      </w:r>
      <w:bookmarkEnd w:id="175"/>
    </w:p>
    <w:p w14:paraId="1A8728F5" w14:textId="78BF010A" w:rsidR="00A43770" w:rsidRPr="00837161" w:rsidRDefault="00C0338D" w:rsidP="00C11DFA">
      <w:r>
        <w:t>E</w:t>
      </w:r>
      <w:r w:rsidR="005E0CF0" w:rsidRPr="00837161">
        <w:t xml:space="preserve">-commerce is </w:t>
      </w:r>
      <w:r w:rsidR="00A43770" w:rsidRPr="00837161">
        <w:t>a rapidly increasing means of invasive alien species spread</w:t>
      </w:r>
      <w:bookmarkEnd w:id="176"/>
      <w:r w:rsidR="005E0CF0" w:rsidRPr="00837161">
        <w:t xml:space="preserve">. </w:t>
      </w:r>
      <w:r w:rsidR="00D014A7" w:rsidRPr="00837161">
        <w:t>Adapted</w:t>
      </w:r>
      <w:r w:rsidR="00F545DA" w:rsidRPr="00837161">
        <w:t xml:space="preserve"> from</w:t>
      </w:r>
      <w:r w:rsidR="00D014A7" w:rsidRPr="00837161">
        <w:t>:</w:t>
      </w:r>
      <w:r w:rsidR="00227602" w:rsidRPr="00837161">
        <w:t xml:space="preserve"> CBD</w:t>
      </w:r>
      <w:r w:rsidR="00F545DA" w:rsidRPr="00837161">
        <w:t xml:space="preserve"> </w:t>
      </w:r>
      <w:r w:rsidR="00AC2A14" w:rsidRPr="00837161">
        <w:fldChar w:fldCharType="begin"/>
      </w:r>
      <w:r w:rsidR="000F35EB">
        <w:instrText xml:space="preserve"> ADDIN ZOTERO_ITEM CSL_CITATION {"citationID":"GKqD7HPz","properties":{"formattedCitation":"(2022c)","plainCitation":"(2022c)","noteIndex":0},"citationItems":[{"id":54326,"uris":["http://zotero.org/groups/2352922/items/LWRD44DU"],"itemData":{"id":54326,"type":"paper-conference","collection-title":"CBD/COP/15/WG2/CRP.5","event-place":"Montreal, Canada","event-title":"Fifteenth meeting of Conference of Parties to the Convention on Biological Diversity","language":"en","publisher-place":"Montreal, Canada","source":"Zotero","title":"Invasive alien species: Draft decision submitted by the Chair","URL":"https://www.cbd.int/doc/c/ce5d/79c3/176ae7eb5c434bf4dcd42eac/cop-15-wg2-crp-05-en.pdf","author":[{"literal":"CBD"}],"issued":{"date-parts":[["2022"]]}},"label":"page","suppress-author":true}],"schema":"https://github.com/citation-style-language/schema/raw/master/csl-citation.json"} </w:instrText>
      </w:r>
      <w:r w:rsidR="00AC2A14" w:rsidRPr="00837161">
        <w:fldChar w:fldCharType="separate"/>
      </w:r>
      <w:r w:rsidR="00271B78" w:rsidRPr="00271B78">
        <w:t>(2022c)</w:t>
      </w:r>
      <w:r w:rsidR="00AC2A14" w:rsidRPr="00837161">
        <w:fldChar w:fldCharType="end"/>
      </w:r>
    </w:p>
    <w:tbl>
      <w:tblPr>
        <w:tblW w:w="90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A0" w:firstRow="1" w:lastRow="0" w:firstColumn="1" w:lastColumn="0" w:noHBand="0" w:noVBand="1"/>
      </w:tblPr>
      <w:tblGrid>
        <w:gridCol w:w="2130"/>
        <w:gridCol w:w="6886"/>
      </w:tblGrid>
      <w:tr w:rsidR="00A758FD" w14:paraId="5CF8FFDF" w14:textId="77777777" w:rsidTr="00C0338D">
        <w:trPr>
          <w:trHeight w:val="661"/>
        </w:trPr>
        <w:tc>
          <w:tcPr>
            <w:tcW w:w="2130" w:type="dxa"/>
          </w:tcPr>
          <w:p w14:paraId="000001BB" w14:textId="5A36B1FA" w:rsidR="00A758FD" w:rsidRPr="009A04E6" w:rsidRDefault="00C81287">
            <w:pPr>
              <w:rPr>
                <w:b/>
                <w:bCs/>
              </w:rPr>
            </w:pPr>
            <w:r w:rsidRPr="009A04E6">
              <w:rPr>
                <w:b/>
                <w:bCs/>
              </w:rPr>
              <w:t>Management challenges</w:t>
            </w:r>
          </w:p>
        </w:tc>
        <w:tc>
          <w:tcPr>
            <w:tcW w:w="6886" w:type="dxa"/>
          </w:tcPr>
          <w:p w14:paraId="000001BC" w14:textId="77777777" w:rsidR="00A758FD" w:rsidRPr="009A04E6" w:rsidRDefault="00C81287">
            <w:pPr>
              <w:rPr>
                <w:b/>
                <w:bCs/>
              </w:rPr>
            </w:pPr>
            <w:r w:rsidRPr="009A04E6">
              <w:rPr>
                <w:b/>
                <w:bCs/>
              </w:rPr>
              <w:t xml:space="preserve"> Information needed and implementation options</w:t>
            </w:r>
          </w:p>
        </w:tc>
      </w:tr>
      <w:tr w:rsidR="00A758FD" w14:paraId="577D006D" w14:textId="77777777" w:rsidTr="00C0338D">
        <w:trPr>
          <w:trHeight w:val="672"/>
        </w:trPr>
        <w:tc>
          <w:tcPr>
            <w:tcW w:w="2130" w:type="dxa"/>
          </w:tcPr>
          <w:p w14:paraId="000001BD" w14:textId="77777777" w:rsidR="00A758FD" w:rsidRPr="00C0338D" w:rsidRDefault="00C81287">
            <w:r w:rsidRPr="00C0338D">
              <w:t>Risk</w:t>
            </w:r>
          </w:p>
        </w:tc>
        <w:tc>
          <w:tcPr>
            <w:tcW w:w="6886" w:type="dxa"/>
          </w:tcPr>
          <w:p w14:paraId="000001BE" w14:textId="77777777" w:rsidR="00A758FD" w:rsidRPr="00C0338D" w:rsidRDefault="00C81287">
            <w:r w:rsidRPr="00C0338D">
              <w:t>Improving information on the risks posed by e-commerce (including illegal e-commerce).</w:t>
            </w:r>
          </w:p>
          <w:p w14:paraId="000001BF" w14:textId="77777777" w:rsidR="00A758FD" w:rsidRPr="00C0338D" w:rsidRDefault="00C81287">
            <w:r w:rsidRPr="00C0338D">
              <w:t>Establish an international invasive alien species risk-based labelling system for shipments potentially containing invasive alien species as environmentally hazardous living organisms.</w:t>
            </w:r>
          </w:p>
        </w:tc>
      </w:tr>
      <w:tr w:rsidR="00A758FD" w14:paraId="71863D72" w14:textId="77777777" w:rsidTr="00C0338D">
        <w:tc>
          <w:tcPr>
            <w:tcW w:w="2130" w:type="dxa"/>
          </w:tcPr>
          <w:p w14:paraId="000001C0" w14:textId="77777777" w:rsidR="00A758FD" w:rsidRPr="00C0338D" w:rsidRDefault="00C81287">
            <w:r w:rsidRPr="00C0338D">
              <w:t>Commodities and invasive alien species</w:t>
            </w:r>
          </w:p>
        </w:tc>
        <w:tc>
          <w:tcPr>
            <w:tcW w:w="6886" w:type="dxa"/>
          </w:tcPr>
          <w:p w14:paraId="000001C1" w14:textId="77777777" w:rsidR="00A758FD" w:rsidRPr="00C0338D" w:rsidRDefault="00C81287">
            <w:r w:rsidRPr="00C0338D">
              <w:t>Identify commodities related to soils and growing media and living organisms.</w:t>
            </w:r>
          </w:p>
          <w:p w14:paraId="000001C2" w14:textId="77777777" w:rsidR="00A758FD" w:rsidRPr="00C0338D" w:rsidRDefault="00C81287">
            <w:r w:rsidRPr="00C0338D">
              <w:t>Create lists that specify which alien species may possibly be imported, including plants (and plant related), aquatic organisms, pet-trade.</w:t>
            </w:r>
          </w:p>
        </w:tc>
      </w:tr>
      <w:tr w:rsidR="00A758FD" w14:paraId="45F0352D" w14:textId="77777777" w:rsidTr="00C0338D">
        <w:tc>
          <w:tcPr>
            <w:tcW w:w="2130" w:type="dxa"/>
          </w:tcPr>
          <w:p w14:paraId="000001C3" w14:textId="77777777" w:rsidR="00A758FD" w:rsidRPr="00C0338D" w:rsidRDefault="00C81287">
            <w:r w:rsidRPr="00C0338D">
              <w:t>Tools</w:t>
            </w:r>
          </w:p>
        </w:tc>
        <w:tc>
          <w:tcPr>
            <w:tcW w:w="6886" w:type="dxa"/>
          </w:tcPr>
          <w:p w14:paraId="000001C4" w14:textId="78B700DF" w:rsidR="00A758FD" w:rsidRPr="00C0338D" w:rsidRDefault="000D72F2">
            <w:r>
              <w:t>Use a</w:t>
            </w:r>
            <w:r w:rsidR="00C81287" w:rsidRPr="00C0338D">
              <w:t>utonomous internet tools to identify and locate e-commerce traders and other stakeholders.</w:t>
            </w:r>
          </w:p>
          <w:p w14:paraId="000001C5" w14:textId="77777777" w:rsidR="00A758FD" w:rsidRPr="00C0338D" w:rsidRDefault="00C81287">
            <w:r w:rsidRPr="00C0338D">
              <w:t xml:space="preserve">Gather data to monitor compliance and to evaluate the efficacy of risk mitigation measures. </w:t>
            </w:r>
          </w:p>
          <w:p w14:paraId="000001C6" w14:textId="77777777" w:rsidR="00A758FD" w:rsidRPr="00C0338D" w:rsidRDefault="00C81287">
            <w:r w:rsidRPr="00C0338D">
              <w:t xml:space="preserve">Apply non-intrusive inspection technologies and disseminate good practices and risk-based interventions using data analytics. </w:t>
            </w:r>
          </w:p>
          <w:p w14:paraId="000001C7" w14:textId="77777777" w:rsidR="00A758FD" w:rsidRPr="00C0338D" w:rsidRDefault="00C81287">
            <w:r w:rsidRPr="00C0338D">
              <w:t xml:space="preserve">Improve tools to support efficient international collaboration to link existing security initiatives with invasive alien species risk management and targeted (risk-based) inspections (databases and advanced digital supply chain management systems). </w:t>
            </w:r>
          </w:p>
        </w:tc>
      </w:tr>
      <w:tr w:rsidR="00A758FD" w14:paraId="2B34D571" w14:textId="77777777" w:rsidTr="00C0338D">
        <w:tc>
          <w:tcPr>
            <w:tcW w:w="2130" w:type="dxa"/>
          </w:tcPr>
          <w:p w14:paraId="000001C8" w14:textId="77777777" w:rsidR="00A758FD" w:rsidRPr="00C0338D" w:rsidRDefault="00C81287">
            <w:r w:rsidRPr="00C0338D">
              <w:t>Communication and training</w:t>
            </w:r>
          </w:p>
        </w:tc>
        <w:tc>
          <w:tcPr>
            <w:tcW w:w="6886" w:type="dxa"/>
          </w:tcPr>
          <w:p w14:paraId="000001C9" w14:textId="77777777" w:rsidR="00A758FD" w:rsidRPr="00C0338D" w:rsidRDefault="00C81287">
            <w:r w:rsidRPr="00C0338D">
              <w:t xml:space="preserve">Better inform and communicate with all stakeholders and Indigenous Peoples and local communities in the early detection of incursion or spread of e-commerce derived invasive alien species in natural and managed ecosystems across traditional lands and waters. </w:t>
            </w:r>
          </w:p>
          <w:p w14:paraId="000001CA" w14:textId="77777777" w:rsidR="00A758FD" w:rsidRPr="00C0338D" w:rsidRDefault="00C81287">
            <w:r w:rsidRPr="00C0338D">
              <w:t>Develop voluntary codes of practices and standards to regulate cross-border e-commerce.</w:t>
            </w:r>
          </w:p>
          <w:p w14:paraId="000001CB" w14:textId="77777777" w:rsidR="00A758FD" w:rsidRPr="00C0338D" w:rsidRDefault="00C81287">
            <w:r w:rsidRPr="00C0338D">
              <w:t xml:space="preserve">Develop and implement training programmes and tools to facilitate appropriate levels of monitoring and inspection in e-commerce markets. </w:t>
            </w:r>
          </w:p>
        </w:tc>
      </w:tr>
      <w:tr w:rsidR="00A758FD" w14:paraId="24ED1E94" w14:textId="77777777" w:rsidTr="00C0338D">
        <w:tc>
          <w:tcPr>
            <w:tcW w:w="2130" w:type="dxa"/>
          </w:tcPr>
          <w:p w14:paraId="000001CC" w14:textId="77777777" w:rsidR="00A758FD" w:rsidRPr="00C0338D" w:rsidRDefault="00C81287">
            <w:r w:rsidRPr="00C0338D">
              <w:lastRenderedPageBreak/>
              <w:t>Management</w:t>
            </w:r>
          </w:p>
        </w:tc>
        <w:tc>
          <w:tcPr>
            <w:tcW w:w="6886" w:type="dxa"/>
          </w:tcPr>
          <w:p w14:paraId="000001CD" w14:textId="77777777" w:rsidR="00A758FD" w:rsidRPr="00C0338D" w:rsidRDefault="00C81287">
            <w:r w:rsidRPr="00C0338D">
              <w:t>Develop and apply improved management measures to minimize the risks of introduction of invasive alien species through e-commerce, consistent with international obligations.</w:t>
            </w:r>
          </w:p>
        </w:tc>
      </w:tr>
      <w:tr w:rsidR="00A758FD" w14:paraId="37BAD507" w14:textId="77777777" w:rsidTr="00C0338D">
        <w:tc>
          <w:tcPr>
            <w:tcW w:w="2130" w:type="dxa"/>
          </w:tcPr>
          <w:p w14:paraId="000001CE" w14:textId="77777777" w:rsidR="00A758FD" w:rsidRPr="00C0338D" w:rsidRDefault="00C81287">
            <w:r w:rsidRPr="00C0338D">
              <w:t xml:space="preserve">Hazard identification </w:t>
            </w:r>
          </w:p>
        </w:tc>
        <w:tc>
          <w:tcPr>
            <w:tcW w:w="6886" w:type="dxa"/>
          </w:tcPr>
          <w:p w14:paraId="000001CF" w14:textId="77777777" w:rsidR="00A758FD" w:rsidRPr="00C0338D" w:rsidRDefault="00C81287">
            <w:r w:rsidRPr="00C0338D">
              <w:t>A substantial challenge is posed by living organisms currently being traded through e-commerce and whose risks have not yet been assessed.</w:t>
            </w:r>
          </w:p>
        </w:tc>
      </w:tr>
    </w:tbl>
    <w:p w14:paraId="000001D0" w14:textId="17ACF14E" w:rsidR="00A758FD" w:rsidRPr="00C0338D" w:rsidRDefault="00C81287">
      <w:pPr>
        <w:spacing w:before="240" w:after="120" w:line="240" w:lineRule="auto"/>
        <w:rPr>
          <w:i/>
        </w:rPr>
      </w:pPr>
      <w:r w:rsidRPr="00C0338D">
        <w:t>Six categories of pathways of invasion have been recognized: release, escape, transport – containment, transport – stowaway, corridors and unaided (</w:t>
      </w:r>
      <w:r w:rsidRPr="00C0338D">
        <w:rPr>
          <w:b/>
        </w:rPr>
        <w:t>Chapter 1</w:t>
      </w:r>
      <w:r w:rsidRPr="00C0338D">
        <w:t>,</w:t>
      </w:r>
      <w:r w:rsidRPr="00C0338D">
        <w:rPr>
          <w:b/>
        </w:rPr>
        <w:t xml:space="preserve"> section 1.4.1</w:t>
      </w:r>
      <w:r w:rsidRPr="00C0338D">
        <w:t>;</w:t>
      </w:r>
      <w:r w:rsidRPr="00C0338D">
        <w:rPr>
          <w:b/>
        </w:rPr>
        <w:t xml:space="preserve"> </w:t>
      </w:r>
      <w:r>
        <w:rPr>
          <w:b/>
        </w:rPr>
        <w:t>Chapter</w:t>
      </w:r>
      <w:r w:rsidRPr="00C0338D">
        <w:rPr>
          <w:b/>
        </w:rPr>
        <w:t xml:space="preserve"> 2</w:t>
      </w:r>
      <w:r w:rsidRPr="00C0338D">
        <w:t>,</w:t>
      </w:r>
      <w:r w:rsidRPr="00C0338D">
        <w:rPr>
          <w:b/>
        </w:rPr>
        <w:t xml:space="preserve"> section 2.1.2</w:t>
      </w:r>
      <w:r w:rsidRPr="00C0338D">
        <w:t>,</w:t>
      </w:r>
      <w:r w:rsidRPr="00C0338D">
        <w:rPr>
          <w:b/>
        </w:rPr>
        <w:t xml:space="preserve"> </w:t>
      </w:r>
      <w:r w:rsidR="00B8183C" w:rsidRPr="00CF348C">
        <w:rPr>
          <w:b/>
          <w:iCs/>
        </w:rPr>
        <w:t>Table</w:t>
      </w:r>
      <w:r w:rsidRPr="00C0338D">
        <w:rPr>
          <w:b/>
        </w:rPr>
        <w:t xml:space="preserve"> 2.1</w:t>
      </w:r>
      <w:r w:rsidRPr="00C0338D">
        <w:t>;</w:t>
      </w:r>
      <w:r w:rsidRPr="00C0338D">
        <w:rPr>
          <w:b/>
        </w:rPr>
        <w:t xml:space="preserve"> Chapter 3</w:t>
      </w:r>
      <w:r w:rsidRPr="00C0338D">
        <w:t>,</w:t>
      </w:r>
      <w:r w:rsidRPr="00C0338D">
        <w:rPr>
          <w:b/>
        </w:rPr>
        <w:t xml:space="preserve"> section 3.1.1</w:t>
      </w:r>
      <w:r w:rsidRPr="00C0338D">
        <w:t>). Deliberate releases, escape from confinement, containment of propagules (e.g., sanitary and phytosanitary control), prevention of stowaways</w:t>
      </w:r>
      <w:r w:rsidR="00C16EEB">
        <w:t xml:space="preserve"> and</w:t>
      </w:r>
      <w:r w:rsidRPr="00C0338D">
        <w:t xml:space="preserve"> early detection and rapid response to combat natural spread from neighbouring regions need effective regulations at the jurisdictional level. Where jurisdictions do not have pathway management protocols in place invasive alien species will continue to establish (</w:t>
      </w:r>
      <w:r w:rsidRPr="00C0338D">
        <w:rPr>
          <w:b/>
        </w:rPr>
        <w:t>section 5.5</w:t>
      </w:r>
      <w:r w:rsidRPr="00C0338D">
        <w:t xml:space="preserve">), but where they are used effectively excellent pathway management can be achieved (e.g., </w:t>
      </w:r>
      <w:r w:rsidR="00191A6E">
        <w:rPr>
          <w:b/>
          <w:bCs/>
          <w:iCs/>
        </w:rPr>
        <w:t>Box 5.2</w:t>
      </w:r>
      <w:r w:rsidR="001B0409" w:rsidRPr="00837161">
        <w:t>).</w:t>
      </w:r>
      <w:r w:rsidRPr="00C0338D">
        <w:t xml:space="preserve"> Various codes of conduct have been endorsed by the European Union for the pathway management of invasive alien species </w:t>
      </w:r>
      <w:r w:rsidR="00BA2488" w:rsidRPr="00837161">
        <w:fldChar w:fldCharType="begin"/>
      </w:r>
      <w:r w:rsidR="000F35EB">
        <w:instrText xml:space="preserve"> ADDIN ZOTERO_ITEM CSL_CITATION {"citationID":"NgW2y5mc","properties":{"formattedCitation":"(Council of Europe, 2021)","plainCitation":"(Council of Europe, 2021)","noteIndex":0},"citationItems":[{"id":29634,"uris":["http://zotero.org/groups/2352922/items/PLWQRCB2"],"itemData":{"id":29634,"type":"webpage","container-title":"Convention on the Conservation of European Wildlife and Natural Habitats","language":"en-GB","title":"Group of experts on Invasive Alien Species (IAS)","URL":"https://www.coe.int/en/web/bern-convention/on-invasive-alien-species","author":[{"literal":"Council of Europe"}],"accessed":{"date-parts":[["2021",7,15]]},"issued":{"date-parts":[["2021"]]}},"label":"page"}],"schema":"https://github.com/citation-style-language/schema/raw/master/csl-citation.json"} </w:instrText>
      </w:r>
      <w:r w:rsidR="00BA2488" w:rsidRPr="00837161">
        <w:fldChar w:fldCharType="separate"/>
      </w:r>
      <w:r w:rsidR="00271B78" w:rsidRPr="00271B78">
        <w:t>(Council of Europe, 2021)</w:t>
      </w:r>
      <w:r w:rsidR="00BA2488" w:rsidRPr="00837161">
        <w:fldChar w:fldCharType="end"/>
      </w:r>
      <w:r w:rsidRPr="00C0338D">
        <w:t xml:space="preserve"> </w:t>
      </w:r>
    </w:p>
    <w:p w14:paraId="000001D1" w14:textId="5989697C" w:rsidR="00A758FD" w:rsidRPr="00C0338D" w:rsidRDefault="00C81287">
      <w:pPr>
        <w:spacing w:before="240" w:after="120" w:line="240" w:lineRule="auto"/>
      </w:pPr>
      <w:bookmarkStart w:id="177" w:name="_heading=h.3ygebqi" w:colFirst="0" w:colLast="0"/>
      <w:bookmarkEnd w:id="177"/>
      <w:r w:rsidRPr="00C0338D">
        <w:t>Managing intentional introduction pathways helps prevent</w:t>
      </w:r>
      <w:r w:rsidR="000D72F2">
        <w:t>ing</w:t>
      </w:r>
      <w:r w:rsidRPr="00C0338D">
        <w:t xml:space="preserve"> alien species </w:t>
      </w:r>
      <w:r w:rsidR="000D72F2">
        <w:t xml:space="preserve">that have been </w:t>
      </w:r>
      <w:r w:rsidRPr="00C0338D">
        <w:t xml:space="preserve">profiled through import risk analysis </w:t>
      </w:r>
      <w:r w:rsidR="000D72F2">
        <w:t xml:space="preserve">and that have </w:t>
      </w:r>
      <w:r w:rsidRPr="00C0338D">
        <w:t xml:space="preserve">high potential ecological impacts, reducing future unintentional spread and ecosystem impact risks </w:t>
      </w:r>
      <w:r w:rsidR="00F25D44" w:rsidRPr="00837161">
        <w:fldChar w:fldCharType="begin"/>
      </w:r>
      <w:r w:rsidR="000F35EB">
        <w:instrText xml:space="preserve"> ADDIN ZOTERO_ITEM CSL_CITATION {"citationID":"yYBhf4Kj","properties":{"formattedCitation":"(Pergl et al., 2017)","plainCitation":"(Pergl et al., 2017)","noteIndex":0},"citationItems":[{"id":29289,"uris":["http://zotero.org/groups/2352922/items/ZHLNXL5I"],"itemData":{"id":29289,"type":"article-journal","abstract":"Prioritization of introduction pathways is seen as an important component of the management of biological invasions. We address whether established alien plants, mammals, freshwater fish and terrestrial invertebrates with known ecological impacts are associated with particular introduction pathways (release, escape, contaminant, stowaway, corridor and unaided). We used the information from the European alien species database DAISIE (www.europe-aliens.org) supplemented by the EASIN catalogue (European Alien Species Information Network), and expert knowledge.\\n Plants introduced by the pathways release, corridor and unaided were disproportionately more likely to have ecological impacts than those introduced as contaminants. In contrast, impacts were not associated with particular introduction pathways for invertebrates, mammals or fish. Thus, while for plants management strategies should be targeted towards the appropriate pathways, for animals, management should focus on reducing the total number of taxa introduced, targeting those pathways responsible for high numbers of introductions. However, regardless of taxonomic group, having multiple introduction pathways increases the likelihood of the species having an ecological impact. This may simply reflect that species introduced by multiple pathways have high propagule pressure and so have a high probability of establishment. Clearly, patterns of invasion are determined by many interacting factors and management strategies should reflect this complexity.","container-title":"NeoBiota","DOI":"10.3897/neobiota.32.10199","ISSN":"1314-2488","issue":"October 2016","page":"1-20","title":"Troubling travellers: are ecologically harmful alien species associated with particular introduction pathways?","URL":"http://neobiota.pensoft.net/articles.php?id=10199","volume":"32","author":[{"family":"Pergl","given":"Jan"},{"family":"Pyšek","given":"Petr"},{"family":"Bacher","given":"Sven"},{"family":"Essl","given":"Franz"},{"family":"Genovesi","given":"Piero"},{"family":"Harrower","given":"Colin A."},{"family":"Hulme","given":"Philip E."},{"family":"Jeschke","given":"Jonathan E."},{"family":"Kenis","given":"Marc"},{"family":"Kühn","given":"Ingolf"},{"family":"Perglová","given":"Irena"},{"family":"Rabitsch","given":"Wolfgang"},{"family":"Roques","given":"Alain"},{"family":"Roy","given":"David B."},{"family":"Roy","given":"Helen E."},{"family":"Vilà","given":"Montserrat"},{"family":"Winter","given":"Marten"},{"family":"Nentwig","given":"Wolfgang"}],"issued":{"date-parts":[["2017",1]]}},"label":"page"}],"schema":"https://github.com/citation-style-language/schema/raw/master/csl-citation.json"} </w:instrText>
      </w:r>
      <w:r w:rsidR="00F25D44" w:rsidRPr="00837161">
        <w:fldChar w:fldCharType="separate"/>
      </w:r>
      <w:r w:rsidR="00271B78" w:rsidRPr="00271B78">
        <w:t>(Pergl et al., 2017)</w:t>
      </w:r>
      <w:r w:rsidR="00F25D44" w:rsidRPr="00837161">
        <w:fldChar w:fldCharType="end"/>
      </w:r>
      <w:r w:rsidR="7CDD63D6" w:rsidRPr="00837161">
        <w:t xml:space="preserve">. Understanding pathway risks </w:t>
      </w:r>
      <w:r w:rsidR="000D72F2">
        <w:t>through</w:t>
      </w:r>
      <w:r w:rsidR="7CDD63D6" w:rsidRPr="00837161">
        <w:t xml:space="preserve"> analyses of levels of trade between ecologically compatible countries and numbers of high</w:t>
      </w:r>
      <w:r w:rsidR="665E4B9F" w:rsidRPr="00837161">
        <w:t>-</w:t>
      </w:r>
      <w:r w:rsidR="7CDD63D6" w:rsidRPr="00837161">
        <w:t>risk invasive alien species they do not yet share</w:t>
      </w:r>
      <w:r w:rsidR="000D72F2">
        <w:t xml:space="preserve"> can </w:t>
      </w:r>
      <w:r w:rsidR="000D72F2" w:rsidRPr="00837161">
        <w:t>help</w:t>
      </w:r>
      <w:r w:rsidR="000D72F2">
        <w:t xml:space="preserve"> to</w:t>
      </w:r>
      <w:r w:rsidR="000D72F2" w:rsidRPr="00837161">
        <w:t xml:space="preserve"> better target pathway management</w:t>
      </w:r>
      <w:r w:rsidR="7CDD63D6" w:rsidRPr="00837161">
        <w:t xml:space="preserve">. Risk can be quantified based on likelihood of arrival and establishment of whole complexes of invasive alien species </w:t>
      </w:r>
      <w:r w:rsidR="00F25D44" w:rsidRPr="00837161">
        <w:fldChar w:fldCharType="begin"/>
      </w:r>
      <w:r w:rsidR="000F35EB">
        <w:instrText xml:space="preserve"> ADDIN ZOTERO_ITEM CSL_CITATION {"citationID":"OxoR1WmM","properties":{"formattedCitation":"(Banks et al., 2015)","plainCitation":"(Banks et al., 2015)","noteIndex":0},"citationItems":[{"id":28781,"uris":["http://zotero.org/groups/2352922/items/F9DZM8LW"],"itemData":{"id":28781,"type":"article-journal","abstract":"More people and goods are moving further and more frequently via many different trade and transport networks under current trends of globalisation. These networks can play a major role in the unintended introduction of exotic species to new locations. With the continuing rise in global trade, more research attention is being focused on the role of networks in the spread of invasive species. This represents an emerging ﬁeld of research in invasion science and the substantial knowledge being generated within other disciplines can provide ecologists with new tools with which to study invasions. For the ﬁrst time, we synthesise studies from several perspectives, approaches and disciplines to derive the fundamental characteristics of network topology determining the likelihood of spread of organisms via trade and transport networks. These characteristics can be used to identify critical points of vulnerability within these networks and enable the development of more effective strategies to prevent invasions.","container-title":"Ecology Letters","DOI":"10.1111/ele.12397","ISSN":"1461023X","issue":"2","journalAbbreviation":"Ecol Lett","language":"en","page":"188-199","source":"DOI.org (Crossref)","title":"The role of global trade and transport network topology in the human-mediated dispersal of alien species","URL":"http://doi.wiley.com/10.1111/ele.12397","volume":"18","author":[{"family":"Banks","given":"Natalie Clare"},{"family":"Paini","given":"Dean Ronald"},{"family":"Bayliss","given":"Kirsty Louise"},{"family":"Hodda","given":"Michael"}],"editor":[{"family":"Vilà","given":"Montserrat"}],"accessed":{"date-parts":[["2019",10,15]]},"issued":{"date-parts":[["2015",2]]}},"label":"page"}],"schema":"https://github.com/citation-style-language/schema/raw/master/csl-citation.json"} </w:instrText>
      </w:r>
      <w:r w:rsidR="00F25D44" w:rsidRPr="00837161">
        <w:fldChar w:fldCharType="separate"/>
      </w:r>
      <w:r w:rsidR="00271B78" w:rsidRPr="00271B78">
        <w:t>(Banks et al., 2015)</w:t>
      </w:r>
      <w:r w:rsidR="00F25D44" w:rsidRPr="00837161">
        <w:fldChar w:fldCharType="end"/>
      </w:r>
      <w:r w:rsidR="7CDD63D6" w:rsidRPr="00837161">
        <w:t>. An a</w:t>
      </w:r>
      <w:r w:rsidR="7CDD63D6" w:rsidRPr="00837161">
        <w:rPr>
          <w:rFonts w:eastAsia="Calibri"/>
        </w:rPr>
        <w:t xml:space="preserve">nalysis of almost 1,300 known invasive </w:t>
      </w:r>
      <w:r w:rsidR="00C533BC" w:rsidRPr="00837161">
        <w:rPr>
          <w:rFonts w:eastAsia="Calibri"/>
        </w:rPr>
        <w:t xml:space="preserve">alien </w:t>
      </w:r>
      <w:r w:rsidR="7CDD63D6" w:rsidRPr="00837161">
        <w:rPr>
          <w:rFonts w:eastAsia="Calibri"/>
        </w:rPr>
        <w:t xml:space="preserve">insect pests and pathogens, based on total potential cost of these species invading each of 124 countries showed apparently climatically similar countries varying markedly in risk profile, depending on specifics of agricultural commodities and trade patterns </w:t>
      </w:r>
      <w:r w:rsidR="00F25D44" w:rsidRPr="00837161">
        <w:rPr>
          <w:rFonts w:eastAsia="Calibri"/>
        </w:rPr>
        <w:fldChar w:fldCharType="begin"/>
      </w:r>
      <w:r w:rsidR="000F35EB">
        <w:rPr>
          <w:rFonts w:eastAsia="Calibri"/>
        </w:rPr>
        <w:instrText xml:space="preserve"> ADDIN ZOTERO_ITEM CSL_CITATION {"citationID":"AEalVe5u","properties":{"formattedCitation":"(Paini et al., 2016)","plainCitation":"(Paini et al., 2016)","noteIndex":0},"citationItems":[{"id":32747,"uris":["http://zotero.org/groups/2352922/items/RNT897GG"],"itemData":{"id":32747,"type":"article-journal","abstract":"Invasive species present significant threats to global agriculture, although how the magnitude and distribution of the threats vary between countries and regions remains unclear. Here, we present an analysis of almost 1,300 known invasive insect pests and pathogens, calculating the total potential cost of these species invading each of 124 countries of the world, as well as determining which countries present the greatest threat to the rest of the world given their trading partners and incumbent pool of invasive species. We find that countries vary in terms of potential threat from invasive species and also their role as potential sources, with apparently similar countries sometimes varying markedly depending on specifics of agricultural commodities and trade patterns. Overall, the biggest agricultural producers (China and the United States) could experience the greatest absolute cost from further species invasions. However, developing countries, in particular, Sub-Saharan African countries, appear most vulnerable in relative terms. Furthermore, China and the United States represent the greatest potential sources of invasive species for the rest of the world. The analysis reveals considerable scope for ongoing redistribution of known invasive pests and highlights the need for international cooperation to slow their spread.","container-title":"Proceedings of the National Academy of Sciences of the United States of America","DOI":"10.1073/pnas.1602205113","ISSN":"0027-8424","issue":"27","language":"en","note":"WOS:000379021700076","page":"7575-7579","title":"Global threat to agriculture from invasive species","URL":"https://www.scopus.com/inward/record.uri?eid=2-s2.0-84977268919&amp;doi=10.1073%2fpnas.1602205113&amp;partnerID=40&amp;md5=2d6cdb43a462b78052f067589196fd2d","volume":"113","author":[{"family":"Paini","given":"Dean R."},{"family":"Sheppard","given":"Andy W."},{"family":"Cook","given":"David C."},{"family":"De Barro","given":"Paul J."},{"family":"Worner","given":"Susan P."},{"family":"Thomas","given":"Matthew B."}],"issued":{"date-parts":[["2016",7,5]]}},"label":"page"}],"schema":"https://github.com/citation-style-language/schema/raw/master/csl-citation.json"} </w:instrText>
      </w:r>
      <w:r w:rsidR="00F25D44" w:rsidRPr="00837161">
        <w:rPr>
          <w:rFonts w:eastAsia="Calibri"/>
        </w:rPr>
        <w:fldChar w:fldCharType="separate"/>
      </w:r>
      <w:r w:rsidR="00271B78" w:rsidRPr="00271B78">
        <w:t>(Paini et al., 2016)</w:t>
      </w:r>
      <w:r w:rsidR="00F25D44" w:rsidRPr="00837161">
        <w:rPr>
          <w:rFonts w:eastAsia="Calibri"/>
        </w:rPr>
        <w:fldChar w:fldCharType="end"/>
      </w:r>
      <w:r w:rsidR="7CDD63D6" w:rsidRPr="00837161">
        <w:rPr>
          <w:rFonts w:eastAsia="Calibri"/>
        </w:rPr>
        <w:t xml:space="preserve">. </w:t>
      </w:r>
      <w:r w:rsidR="509B3973" w:rsidRPr="00837161">
        <w:rPr>
          <w:rFonts w:eastAsia="Calibri"/>
        </w:rPr>
        <w:t xml:space="preserve">According to the same study, the </w:t>
      </w:r>
      <w:r w:rsidR="7CDD63D6" w:rsidRPr="00837161">
        <w:rPr>
          <w:rFonts w:eastAsia="Calibri"/>
        </w:rPr>
        <w:t xml:space="preserve">biggest agricultural producers were the greatest potential sources of </w:t>
      </w:r>
      <w:r w:rsidR="7CDD63D6" w:rsidRPr="00837161">
        <w:t>invasive alien species</w:t>
      </w:r>
      <w:r w:rsidR="7CDD63D6" w:rsidRPr="00837161">
        <w:rPr>
          <w:rFonts w:eastAsia="Calibri"/>
        </w:rPr>
        <w:t xml:space="preserve"> but could also experience the greatest cost from future </w:t>
      </w:r>
      <w:r w:rsidR="00C533BC" w:rsidRPr="00837161">
        <w:rPr>
          <w:rFonts w:eastAsia="Calibri"/>
        </w:rPr>
        <w:t xml:space="preserve">biological </w:t>
      </w:r>
      <w:r w:rsidR="7CDD63D6" w:rsidRPr="00837161">
        <w:rPr>
          <w:rFonts w:eastAsia="Calibri"/>
        </w:rPr>
        <w:t>invasions. Similarly</w:t>
      </w:r>
      <w:r w:rsidR="235521F0" w:rsidRPr="00837161">
        <w:rPr>
          <w:rFonts w:eastAsia="Calibri"/>
        </w:rPr>
        <w:t>,</w:t>
      </w:r>
      <w:r w:rsidR="7CDD63D6" w:rsidRPr="00837161">
        <w:rPr>
          <w:rFonts w:eastAsia="Calibri"/>
        </w:rPr>
        <w:t xml:space="preserve"> data from </w:t>
      </w:r>
      <w:r w:rsidR="7CDD63D6" w:rsidRPr="00837161">
        <w:t xml:space="preserve">border interceptions, trade volumes, country pest occurrence records and climate suitability models can be used to develop models to estimate the exposure risk of potential and current trading partners </w:t>
      </w:r>
      <w:r w:rsidR="00434FC0">
        <w:t>leading to</w:t>
      </w:r>
      <w:r w:rsidR="00434FC0" w:rsidRPr="00837161">
        <w:t xml:space="preserve"> </w:t>
      </w:r>
      <w:r w:rsidR="7CDD63D6" w:rsidRPr="00837161">
        <w:t xml:space="preserve">an established population of a new high threat pest or disease </w:t>
      </w:r>
      <w:r w:rsidR="00F25D44" w:rsidRPr="00837161">
        <w:fldChar w:fldCharType="begin"/>
      </w:r>
      <w:r w:rsidR="000F35EB">
        <w:instrText xml:space="preserve"> ADDIN ZOTERO_ITEM CSL_CITATION {"citationID":"7Uo9GPwX","properties":{"formattedCitation":"(Camac et al., 2021)","plainCitation":"(Camac et al., 2021)","noteIndex":0},"citationItems":[{"id":31766,"uris":["http://zotero.org/groups/2352922/items/VS5H7GS5"],"itemData":{"id":31766,"type":"report","genre":"Technical Report for CEBRA project 190606","language":"en","page":"59","source":"Zotero","title":"Estimating trading partner exposure risk to new pests or diseases","URL":"https://cebra.unimelb.edu.au/__data/assets/pdf_file/0006/3825834/190606_finalreport.pdf","author":[{"family":"Camac","given":"James"},{"family":"Baumgartner","given":"John"},{"family":"Garms","given":"Brian"},{"family":"Robinson","given":"Andrew"},{"family":"Kompas","given":"Tom"}],"issued":{"date-parts":[["2021"]]}},"label":"page"}],"schema":"https://github.com/citation-style-language/schema/raw/master/csl-citation.json"} </w:instrText>
      </w:r>
      <w:r w:rsidR="00F25D44" w:rsidRPr="00837161">
        <w:fldChar w:fldCharType="separate"/>
      </w:r>
      <w:r w:rsidR="00271B78" w:rsidRPr="00271B78">
        <w:t>(Camac et al., 2021)</w:t>
      </w:r>
      <w:r w:rsidR="00F25D44" w:rsidRPr="00837161">
        <w:fldChar w:fldCharType="end"/>
      </w:r>
      <w:r w:rsidR="7CDD63D6" w:rsidRPr="00837161">
        <w:t>.</w:t>
      </w:r>
      <w:r w:rsidR="2FA297AF" w:rsidRPr="00837161">
        <w:t xml:space="preserve"> </w:t>
      </w:r>
      <w:r w:rsidR="579A3653" w:rsidRPr="00837161">
        <w:t>A p</w:t>
      </w:r>
      <w:r w:rsidR="2FA297AF" w:rsidRPr="00837161">
        <w:t>athway-</w:t>
      </w:r>
      <w:r w:rsidR="00067EF6" w:rsidRPr="00837161">
        <w:t>centred</w:t>
      </w:r>
      <w:r w:rsidR="2FA297AF" w:rsidRPr="00837161">
        <w:t xml:space="preserve"> conceptual model</w:t>
      </w:r>
      <w:r w:rsidR="579A3653" w:rsidRPr="00837161">
        <w:t xml:space="preserve"> has also been used to determine the role of </w:t>
      </w:r>
      <w:r w:rsidR="2FA297AF" w:rsidRPr="00837161">
        <w:t xml:space="preserve">pathways in </w:t>
      </w:r>
      <w:r w:rsidR="579A3653" w:rsidRPr="00837161">
        <w:t xml:space="preserve">invasive alien species </w:t>
      </w:r>
      <w:r w:rsidR="2FA297AF" w:rsidRPr="00837161">
        <w:t>establishment</w:t>
      </w:r>
      <w:r w:rsidR="10521E51" w:rsidRPr="00837161">
        <w:t xml:space="preserve"> </w:t>
      </w:r>
      <w:r w:rsidR="2FA297AF" w:rsidRPr="00837161">
        <w:t xml:space="preserve">and </w:t>
      </w:r>
      <w:r w:rsidR="10521E51" w:rsidRPr="00837161">
        <w:t xml:space="preserve">design </w:t>
      </w:r>
      <w:r w:rsidR="2FA297AF" w:rsidRPr="00837161">
        <w:t>early detection</w:t>
      </w:r>
      <w:r w:rsidR="10521E51" w:rsidRPr="00837161">
        <w:t xml:space="preserve"> and </w:t>
      </w:r>
      <w:r w:rsidR="2FA297AF" w:rsidRPr="00837161">
        <w:t>rapid response program</w:t>
      </w:r>
      <w:r w:rsidR="7763E2A2" w:rsidRPr="00837161">
        <w:t>me</w:t>
      </w:r>
      <w:r w:rsidR="2FA297AF" w:rsidRPr="00837161">
        <w:t>s</w:t>
      </w:r>
      <w:r w:rsidR="00C97743" w:rsidRPr="00837161">
        <w:t xml:space="preserve"> </w:t>
      </w:r>
      <w:r w:rsidR="00F25D44" w:rsidRPr="00837161">
        <w:fldChar w:fldCharType="begin"/>
      </w:r>
      <w:r w:rsidR="000F35EB">
        <w:instrText xml:space="preserve"> ADDIN ZOTERO_ITEM CSL_CITATION {"citationID":"GiTNtruj","properties":{"formattedCitation":"(Colunga-Garcia et al., 2013)","plainCitation":"(Colunga-Garcia et al., 2013)","noteIndex":0},"citationItems":[{"id":29345,"uris":["http://zotero.org/groups/2352922/items/J95K3BR2"],"itemData":{"id":29345,"type":"article-journal","container-title":"NeoBiota","DOI":"10.3897/neobiota.18.4019","ISSN":"1314-2488, 1619-0033","journalAbbreviation":"NB","page":"103-118","source":"DOI.org (Crossref)","title":"Understanding trade pathways to target biosecurity surveillance","URL":"http://neobiota.pensoft.net/articles.php?id=1252","volume":"18","author":[{"family":"Colunga-Garcia","given":"Manuel"},{"family":"Haack","given":"Robert A."},{"family":"Magarey","given":"Roger D."},{"family":"Borchert","given":"Daniel M."}],"accessed":{"date-parts":[["2021",3,15]]},"issued":{"date-parts":[["2013",9,13]]}},"label":"page"}],"schema":"https://github.com/citation-style-language/schema/raw/master/csl-citation.json"} </w:instrText>
      </w:r>
      <w:r w:rsidR="00F25D44" w:rsidRPr="00837161">
        <w:fldChar w:fldCharType="separate"/>
      </w:r>
      <w:r w:rsidR="00271B78" w:rsidRPr="00271B78">
        <w:t>(Colunga-Garcia et al., 2013)</w:t>
      </w:r>
      <w:r w:rsidR="00F25D44" w:rsidRPr="00837161">
        <w:fldChar w:fldCharType="end"/>
      </w:r>
      <w:r w:rsidR="2292DD8D" w:rsidRPr="00837161">
        <w:t>.</w:t>
      </w:r>
      <w:bookmarkStart w:id="178" w:name="_Ref104972330"/>
      <w:bookmarkStart w:id="179" w:name="_Toc87623062"/>
    </w:p>
    <w:p w14:paraId="000001D2" w14:textId="52ECBD12" w:rsidR="00A758FD" w:rsidRPr="00C0338D" w:rsidRDefault="00C81287" w:rsidP="00C0338D">
      <w:pPr>
        <w:keepNext/>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bookmarkStart w:id="180" w:name="_heading=h.2dlolyb" w:colFirst="0" w:colLast="0"/>
      <w:bookmarkStart w:id="181" w:name="_Ref131672905"/>
      <w:bookmarkStart w:id="182" w:name="_Toc147488937"/>
      <w:bookmarkEnd w:id="180"/>
      <w:r w:rsidRPr="00C0338D">
        <w:rPr>
          <w:b/>
        </w:rPr>
        <w:t>Box 5</w:t>
      </w:r>
      <w:r w:rsidR="00D92349" w:rsidRPr="00837161">
        <w:rPr>
          <w:b/>
          <w:bCs/>
        </w:rPr>
        <w:t>.</w:t>
      </w:r>
      <w:r w:rsidR="008B4C9F" w:rsidRPr="00837161">
        <w:rPr>
          <w:b/>
          <w:bCs/>
        </w:rPr>
        <w:fldChar w:fldCharType="begin"/>
      </w:r>
      <w:r w:rsidR="008B4C9F" w:rsidRPr="00837161">
        <w:rPr>
          <w:b/>
          <w:bCs/>
        </w:rPr>
        <w:instrText>SEQ Box_5. \* ARABIC</w:instrText>
      </w:r>
      <w:r w:rsidR="008B4C9F" w:rsidRPr="00837161">
        <w:rPr>
          <w:b/>
          <w:bCs/>
        </w:rPr>
        <w:fldChar w:fldCharType="separate"/>
      </w:r>
      <w:r w:rsidR="00DC77F8">
        <w:rPr>
          <w:b/>
          <w:bCs/>
          <w:noProof/>
        </w:rPr>
        <w:t>2</w:t>
      </w:r>
      <w:r w:rsidR="008B4C9F" w:rsidRPr="00837161">
        <w:rPr>
          <w:b/>
          <w:bCs/>
        </w:rPr>
        <w:fldChar w:fldCharType="end"/>
      </w:r>
      <w:bookmarkEnd w:id="178"/>
      <w:bookmarkEnd w:id="181"/>
      <w:r w:rsidR="004140BE" w:rsidRPr="00837161">
        <w:rPr>
          <w:b/>
          <w:bCs/>
        </w:rPr>
        <w:t>.</w:t>
      </w:r>
      <w:r w:rsidRPr="00C0338D">
        <w:rPr>
          <w:b/>
        </w:rPr>
        <w:t xml:space="preserve"> Case study: A successful pathway management programme from Barrow Island, Australia</w:t>
      </w:r>
      <w:bookmarkEnd w:id="179"/>
      <w:bookmarkEnd w:id="182"/>
    </w:p>
    <w:p w14:paraId="000001D3" w14:textId="439A3E85" w:rsidR="00A758FD" w:rsidRPr="00C0338D" w:rsidRDefault="00C81287" w:rsidP="00C0338D">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r w:rsidRPr="00C0338D">
        <w:t xml:space="preserve">One of the most ambitious and successful programmes of pathway management was the zero-tolerance biosecurity programme applied to protecting a class A nature reserve - Barrow Island, Australia </w:t>
      </w:r>
      <w:r w:rsidR="0454FABA" w:rsidRPr="00837161">
        <w:t>(</w:t>
      </w:r>
      <w:r w:rsidR="00191A6E">
        <w:rPr>
          <w:b/>
          <w:iCs/>
        </w:rPr>
        <w:t>Figure 5.9</w:t>
      </w:r>
      <w:r w:rsidR="1E57C30D" w:rsidRPr="00837161">
        <w:t>;</w:t>
      </w:r>
      <w:r w:rsidR="001B0409" w:rsidRPr="00837161">
        <w:fldChar w:fldCharType="begin"/>
      </w:r>
      <w:r w:rsidR="000F35EB">
        <w:instrText xml:space="preserve"> ADDIN ZOTERO_ITEM CSL_CITATION {"citationID":"szl04GAj","properties":{"formattedCitation":"(Merwe, 2015; Moro et al., 2018; Scott et al., 2017)","plainCitation":"(Merwe, 2015; Moro et al., 2018; Scott et al., 2017)","dontUpdate":true,"noteIndex":0},"citationItems":[{"id":31076,"uris":["http://zotero.org/groups/2352922/items/ZKJPQRV7"],"itemData":{"id":31076,"type":"paper-conference","DOI":"10.2118/177952-MS","event-title":"Abu Dhabi International Petroleum Exhibition and Conference","language":"en","publisher":"OnePetro","source":"onepetro.org","title":"Barrow Island Quarantine: Beyond Best Practice","title-short":"Barrow Island Quarantine","URL":"https://onepetro.org/SPEADIP/proceedings/15ADIP/1-15ADIP/D011S007R002/180212","author":[{"family":"Merwe","given":"Johann Van"}],"accessed":{"date-parts":[["2021",10,31]]},"issued":{"date-parts":[["2015",11,9]]}},"label":"page"},{"id":24421,"uris":["http://zotero.org/groups/2352922/items/CYCKJEAH"],"itemData":{"id":24421,"type":"article-journal","abstract":"Invasive animals have been linked to the extinctions of native wildlife, and to significant agricultural financial losses or impacts. Current approaches to control invasive species require ongoing resources and management over large geographic scales, and often result in the short-term suppression of populations. New and innovative approaches are warranted. Recently, the RNA guided gene drive system based on CRISPR/Cas9 is being proposed as a potential gene editing tool that could be used by wildlife managers as a non-lethal addition or alternative to help reduce pest animal populations. While regulatory control and social acceptance are crucial issues that must be addressed, there is an opportunity now to identify the knowledge and research gaps that exist for some important invasive species. Here we systematically determine the knowledge gaps for pest species for which gene drives could potentially be applied. We apply a conceptual ecological risk framework within the gene drive context within an Australian environment to identify key requirements for undertaking work on seven exemplar invasive species in Australia. This framework allows an evaluation of the potential research on an invasive species of interest and within a gene drive and risk context. We consider the currently available biological, genetic and ecological information for the house mouse, European red fox, feral cat, European rabbit, cane toad, black rat and European starling to evaluate knowledge gaps and identify candidate species for future research. We discuss these findings in the context of future thematic areas of research worth pursuing in preparation for a more formal assessment of the use of gene drives as a novel strategy for the control of these and other invasive species.","container-title":"Global Ecology and Conservation","DOI":"10.1016/j.gecco.2017.e00363","ISSN":"2351-9894","journalAbbreviation":"Global Ecology and Conservation","language":"en","page":"e00363","source":"ScienceDirect","title":"Identifying knowledge gaps for gene drive research to control invasive animal species: The next CRISPR step","title-short":"Identifying knowledge gaps for gene drive research to control invasive animal species","URL":"http://www.sciencedirect.com/science/article/pii/S2351989417302196","volume":"13","author":[{"family":"Moro","given":"Dorian"},{"family":"Byrne","given":"Margaret"},{"family":"Kennedy","given":"Malcolm"},{"family":"Campbell","given":"Susan"},{"family":"Tizard","given":"Mark"}],"accessed":{"date-parts":[["2020",12,19]]},"issued":{"date-parts":[["2018",1,1]]}},"label":"page"},{"id":24522,"uris":["http://zotero.org/groups/2352922/items/4Q637CCJ"],"itemData":{"id":24522,"type":"article-journal","container-title":"Scientific Reports","DOI":"10.1038/s41598-017-00450-y","ISSN":"2045-2322","issue":"1","journalAbbreviation":"Sci Rep","language":"en","page":"772","source":"DOI.org (Crossref)","title":"Zero-tolerance biosecurity protects high-conservation-value island nature reserve","URL":"http://www.nature.com/articles/s41598-017-00450-y","volume":"7","author":[{"family":"Scott","given":"John K."},{"family":"McKirdy","given":"Simon J."},{"family":"Merwe","given":"Johann","non-dropping-particle":"van der"},{"family":"Green","given":"Roy"},{"family":"Burbidge","given":"Andrew A."},{"family":"Pickles","given":"Greg"},{"family":"Hardie","given":"Darryl C."},{"family":"Morris","given":"Keith"},{"family":"Kendrick","given":"Peter G."},{"family":"Thomas","given":"Melissa L."},{"family":"Horton","given":"Kristin L."},{"family":"O’Connor","given":"Simon M."},{"family":"Downs","given":"Justin"},{"family":"Stoklosa","given":"Richard"},{"family":"Lagdon","given":"Russell"},{"family":"Marks","given":"Barbara"},{"family":"Nairn","given":"Malcolm"},{"family":"Mengersen","given":"Kerrie"}],"accessed":{"date-parts":[["2020",6,24]]},"issued":{"date-parts":[["2017",12]]}},"label":"page"}],"schema":"https://github.com/citation-style-language/schema/raw/master/csl-citation.json"} </w:instrText>
      </w:r>
      <w:r w:rsidR="001B0409" w:rsidRPr="00837161">
        <w:fldChar w:fldCharType="separate"/>
      </w:r>
      <w:r w:rsidR="009F7B3E" w:rsidRPr="00837161">
        <w:t xml:space="preserve"> Merwe, 2015; Moro et al., 2018; Scott et al., 2017)</w:t>
      </w:r>
      <w:r w:rsidR="001B0409" w:rsidRPr="00837161">
        <w:fldChar w:fldCharType="end"/>
      </w:r>
      <w:r w:rsidR="5D3CDAA5" w:rsidRPr="00837161">
        <w:t>.</w:t>
      </w:r>
      <w:r w:rsidRPr="00C0338D">
        <w:t xml:space="preserve"> The construction of a large liquefied natural gas plant required the transfer of material and personnel through marine vessels and aircraft to the island (</w:t>
      </w:r>
      <w:r w:rsidRPr="00C0338D">
        <w:rPr>
          <w:b/>
        </w:rPr>
        <w:t>Chapter 3</w:t>
      </w:r>
      <w:r w:rsidRPr="00C0338D">
        <w:t>,</w:t>
      </w:r>
      <w:r w:rsidRPr="00C0338D">
        <w:rPr>
          <w:b/>
        </w:rPr>
        <w:t xml:space="preserve"> section 3.3.2</w:t>
      </w:r>
      <w:r w:rsidRPr="00C0338D">
        <w:t>). Since higher traffic brings a higher risk of introductions of invasive alien species (</w:t>
      </w:r>
      <w:r w:rsidRPr="00C0338D">
        <w:rPr>
          <w:b/>
        </w:rPr>
        <w:t>Chapter 3</w:t>
      </w:r>
      <w:r w:rsidRPr="00C0338D">
        <w:t>,</w:t>
      </w:r>
      <w:r w:rsidRPr="00C0338D">
        <w:rPr>
          <w:b/>
        </w:rPr>
        <w:t xml:space="preserve"> section 3.2.3.1</w:t>
      </w:r>
      <w:r w:rsidRPr="00C0338D">
        <w:t xml:space="preserve">; </w:t>
      </w:r>
      <w:r w:rsidRPr="00C0338D">
        <w:rPr>
          <w:b/>
        </w:rPr>
        <w:t>Chapter 2</w:t>
      </w:r>
      <w:r w:rsidRPr="00C0338D">
        <w:t>,</w:t>
      </w:r>
      <w:r w:rsidRPr="00C0338D">
        <w:rPr>
          <w:b/>
        </w:rPr>
        <w:t xml:space="preserve"> </w:t>
      </w:r>
      <w:r w:rsidR="5D3CDAA5" w:rsidRPr="00CF348C">
        <w:rPr>
          <w:b/>
          <w:iCs/>
        </w:rPr>
        <w:t>Box</w:t>
      </w:r>
      <w:r w:rsidRPr="00C0338D">
        <w:rPr>
          <w:b/>
        </w:rPr>
        <w:t xml:space="preserve"> 2.5</w:t>
      </w:r>
      <w:r w:rsidRPr="00C0338D">
        <w:t xml:space="preserve">), a condition for the construction and operation of this project was that no alien species establish in the reserve. To date the Chevron pathway management programme for Barrow Island has been a success. The success of this biosecurity programme resulted from a risk analysis of all material and passenger pathways; identifying decontamination points and marine loading facilities; and all cargo undergoing pre-border cleaning, treatment, packaging and inspection of all transports and cargo (including a purpose-built low biosecurity risk container design) prior to transportation to the </w:t>
      </w:r>
      <w:r w:rsidRPr="00C0338D">
        <w:lastRenderedPageBreak/>
        <w:t xml:space="preserve">island. A quarantine system including behavioural incentives such as performance credits for all island personnel was established to prevent the establishment of terrestrial and marine alien species to the island and surrounding marine habitats. Marine invasions were the most challenging (e.g., </w:t>
      </w:r>
      <w:r w:rsidR="004C2C15" w:rsidRPr="00837161">
        <w:fldChar w:fldCharType="begin"/>
      </w:r>
      <w:r w:rsidR="000F35EB">
        <w:instrText xml:space="preserve"> ADDIN ZOTERO_ITEM CSL_CITATION {"citationID":"2jZ6CE6f","properties":{"formattedCitation":"(Dias et al., 2021)","plainCitation":"(Dias et al., 2021)","dontUpdate":true,"noteIndex":0},"citationItems":[{"id":31185,"uris":["http://zotero.org/groups/2352922/items/LGH627D4"],"itemData":{"id":31185,"type":"article-journal","abstract":"Anthropogenic agents of ocean change such as biological invasions, overfishing, habitat destruction, pollution and ocean acidification and warming are known to have a dramatic impact on marine ecosystems worldwide. They are also intrinsically connected. In Western Australia, a “hot-plate” settlement panel system aimed at investigating the effect of ocean warming on fouling communities led to the first report of a notorious worldwide invasive ascidian species Didemnum perlucidum. This species was subsequently recorded from numerous locations along the coast and included in the Western Australia Prevention List for Introduced Marine Pests. In the present study we used microsatellite markers to determine whether these populations are the result of single or multiple introductions to Australia and if anthropogenic vectors might have facilitated its spread. By including samples collected worldwide, we further aimed to evaluate broad-scale patterns of variation and ascertain whether regional differences could be used to determine the source of introductions of D. perlucidum to Australia. Our results report an extended geographic range for D. perlucidum in Australia and worldwide, in what is the most comprehensive genetic study of this species. Our data further supports the introduced status of D. perlucidum in Australia, an introduction that our results suggest having occurred most likely as a result of multiple events with subsequent admixture. The similarity between genotypes at locations in Western Australia suggests that domestic transport plays a crucial role in shaping these populations, most likely enhanced by climatic anomalies such as heat waves. The identification of the D. perlucidum native range and sourcing of international samples from potential sites of introduction to Australia, particularly south-east Asia, remains essential to understand the presence of this species in the country. Nevertheless, during this study we were able to increase our understanding of D. perlucidum populations in Western Australia. This work provides an important baseline for D. perlucidum management and protection of high value marine areas, in Australia and worldwide.","container-title":"Aquatic Invasions","DOI":"10.3391/ai.2021.16.2.06","ISSN":"18185487","issue":"2","journalAbbreviation":"AI","language":"en","page":"297-313","source":"DOI.org (Crossref)","title":"Multiple introductions and regional spread shape the distribution of the cryptic ascidian &lt;i&gt;Didemnum perlucidum&lt;/i&gt; in Australia: an important baseline for management under climate change","title-short":"Multiple introductions and regional spread shape the distribution of the cryptic ascidian Didemnum perlucidum in Australia","URL":"https://www.reabic.net/aquaticinvasions/2021/issue2.aspx","volume":"16","author":[{"family":"Dias","given":"P Joana"},{"family":"Lukehurst","given":"Sherralee S"},{"family":"Simpson","given":"Tiffany"},{"family":"Rocha","given":"Rosana M"},{"family":"Tovar-Hernández","given":"María Ana"},{"family":"Wellington","given":"Claire"},{"family":"McDonald","given":"Justin I"},{"family":"Snow","given":"Michael"},{"family":"Kennington","given":"W Jason"}],"accessed":{"date-parts":[["2021",11,1]]},"issued":{"date-parts":[["2021"]]}},"label":"page"}],"schema":"https://github.com/citation-style-language/schema/raw/master/csl-citation.json"} </w:instrText>
      </w:r>
      <w:r w:rsidR="004C2C15" w:rsidRPr="00837161">
        <w:fldChar w:fldCharType="separate"/>
      </w:r>
      <w:r w:rsidR="009F7B3E" w:rsidRPr="00837161">
        <w:t>Dias et al., 2021)</w:t>
      </w:r>
      <w:r w:rsidR="004C2C15" w:rsidRPr="00837161">
        <w:fldChar w:fldCharType="end"/>
      </w:r>
      <w:r w:rsidR="5D3CDAA5" w:rsidRPr="00837161">
        <w:t>.</w:t>
      </w:r>
      <w:r w:rsidRPr="00C0338D">
        <w:t xml:space="preserve"> Seventy five percent of invasive alien species were detected pre-border (the majority on transport equipment or materials) which were invertebrates or seeds and 61 per cent detected post-border were via human assisted pathways on personnel and in luggage. </w:t>
      </w:r>
    </w:p>
    <w:p w14:paraId="000001D4" w14:textId="77777777" w:rsidR="00A758FD" w:rsidRDefault="00C8128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jc w:val="center"/>
      </w:pPr>
      <w:r>
        <w:rPr>
          <w:noProof/>
        </w:rPr>
        <w:drawing>
          <wp:inline distT="0" distB="0" distL="0" distR="0" wp14:anchorId="23EA6ADE" wp14:editId="7312922C">
            <wp:extent cx="6115050" cy="3338195"/>
            <wp:effectExtent l="0" t="0" r="0" b="0"/>
            <wp:docPr id="1971555469" name="image9.png" descr="A map of australia with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A map of australia with different colors&#10;&#10;Description automatically generated"/>
                    <pic:cNvPicPr preferRelativeResize="0"/>
                  </pic:nvPicPr>
                  <pic:blipFill>
                    <a:blip r:embed="rId36"/>
                    <a:srcRect/>
                    <a:stretch>
                      <a:fillRect/>
                    </a:stretch>
                  </pic:blipFill>
                  <pic:spPr>
                    <a:xfrm>
                      <a:off x="0" y="0"/>
                      <a:ext cx="6115050" cy="3338195"/>
                    </a:xfrm>
                    <a:prstGeom prst="rect">
                      <a:avLst/>
                    </a:prstGeom>
                    <a:ln/>
                  </pic:spPr>
                </pic:pic>
              </a:graphicData>
            </a:graphic>
          </wp:inline>
        </w:drawing>
      </w:r>
    </w:p>
    <w:p w14:paraId="000001D5" w14:textId="0A5BB68F" w:rsidR="00A758FD" w:rsidRPr="00C0338D" w:rsidRDefault="00C81287" w:rsidP="00C0338D">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183" w:name="_heading=h.sqyw64" w:colFirst="0" w:colLast="0"/>
      <w:bookmarkStart w:id="184" w:name="_Ref104970677"/>
      <w:bookmarkStart w:id="185" w:name="_Toc87623105"/>
      <w:bookmarkStart w:id="186" w:name="_Toc147489362"/>
      <w:bookmarkEnd w:id="183"/>
      <w:r w:rsidRPr="00C0338D">
        <w:rPr>
          <w:b/>
          <w:color w:val="000000"/>
        </w:rPr>
        <w:t>Figure 5</w:t>
      </w:r>
      <w:r w:rsidR="7D077C99" w:rsidRPr="00C0338D">
        <w:rPr>
          <w:b/>
          <w:bCs/>
        </w:rPr>
        <w:t>.</w:t>
      </w:r>
      <w:r w:rsidR="00975896" w:rsidRPr="00C0338D">
        <w:rPr>
          <w:b/>
          <w:bCs/>
        </w:rPr>
        <w:fldChar w:fldCharType="begin"/>
      </w:r>
      <w:r w:rsidR="00975896" w:rsidRPr="00C0338D">
        <w:rPr>
          <w:b/>
          <w:bCs/>
        </w:rPr>
        <w:instrText xml:space="preserve"> SEQ Figure_5. \* ARABIC </w:instrText>
      </w:r>
      <w:r w:rsidR="00975896" w:rsidRPr="00C0338D">
        <w:rPr>
          <w:b/>
          <w:bCs/>
        </w:rPr>
        <w:fldChar w:fldCharType="separate"/>
      </w:r>
      <w:r w:rsidR="00DC77F8" w:rsidRPr="00C0338D">
        <w:rPr>
          <w:b/>
          <w:bCs/>
          <w:noProof/>
        </w:rPr>
        <w:t>9</w:t>
      </w:r>
      <w:r w:rsidR="00975896" w:rsidRPr="00C0338D">
        <w:rPr>
          <w:b/>
          <w:bCs/>
        </w:rPr>
        <w:fldChar w:fldCharType="end"/>
      </w:r>
      <w:bookmarkEnd w:id="184"/>
      <w:r w:rsidR="00922E3C" w:rsidRPr="00C0338D">
        <w:rPr>
          <w:b/>
          <w:bCs/>
        </w:rPr>
        <w:t>.</w:t>
      </w:r>
      <w:r w:rsidRPr="00C0338D">
        <w:rPr>
          <w:b/>
          <w:color w:val="000000"/>
        </w:rPr>
        <w:t xml:space="preserve"> </w:t>
      </w:r>
      <w:r w:rsidRPr="00C0338D">
        <w:rPr>
          <w:color w:val="000000"/>
        </w:rPr>
        <w:t>Map of Barrow Island in north-western Australia which is dominated by grasslands and has an area of 202 km</w:t>
      </w:r>
      <w:r w:rsidRPr="00AC1F76">
        <w:rPr>
          <w:color w:val="000000"/>
          <w:vertAlign w:val="superscript"/>
        </w:rPr>
        <w:t>2</w:t>
      </w:r>
      <w:r w:rsidRPr="00C0338D">
        <w:rPr>
          <w:color w:val="000000"/>
        </w:rPr>
        <w:t>.</w:t>
      </w:r>
      <w:bookmarkEnd w:id="185"/>
      <w:bookmarkEnd w:id="186"/>
    </w:p>
    <w:p w14:paraId="000001D6" w14:textId="170A5CDC" w:rsidR="00A758FD" w:rsidRPr="00C0338D" w:rsidRDefault="00C81287">
      <w:pPr>
        <w:spacing w:before="240" w:after="120" w:line="240" w:lineRule="auto"/>
      </w:pPr>
      <w:r w:rsidRPr="00C0338D">
        <w:t xml:space="preserve">In several regions, control actions have reduced numbers of species deliberately released and to some extent escapes, although species continue to be introduced unintentionally as contaminants and stowaways </w:t>
      </w:r>
      <w:r w:rsidR="001B0409" w:rsidRPr="00837161">
        <w:fldChar w:fldCharType="begin"/>
      </w:r>
      <w:r w:rsidR="000F35EB">
        <w:instrText xml:space="preserve"> ADDIN ZOTERO_ITEM CSL_CITATION {"citationID":"wqeabOV5","properties":{"formattedCitation":"(Hulme et al., 2008)","plainCitation":"(Hulme et al., 2008)","noteIndex":0},"citationItems":[{"id":30462,"uris":["http://zotero.org/groups/2352922/items/WXMFBV44"],"itemData":{"id":30462,"type":"article-journal","container-title":"Journal of Applied Ecology","DOI":"10.1111/j.1365-2664.2007.01442.x","ISSN":"00218901, 13652664","issue":"2","language":"en","page":"403-414","source":"DOI.org (Crossref)","title":"Grasping at the routes of biological invasions: a framework for integrating pathways into policy","title-short":"Grasping at the routes of biological invasions","URL":"https://onlinelibrary.wiley.com/doi/10.1111/j.1365-2664.2007.01442.x","volume":"45","author":[{"family":"Hulme","given":"Philip E."},{"family":"Bacher","given":"S."},{"family":"Kenis","given":"M."},{"family":"Klotz","given":"S."},{"family":"Kühn","given":"I."},{"family":"Minchin","given":"D."},{"family":"Nentwig","given":"W."},{"family":"Olenin","given":"S."},{"family":"Panov","given":"V."},{"family":"Pergl","given":"J."},{"family":"Pyšek","given":"P."},{"family":"Roques","given":"A."},{"family":"Sol","given":"D."},{"family":"Solarz","given":"W."},{"family":"Vilà","given":"M."}],"accessed":{"date-parts":[["2021",8,23]]},"issued":{"date-parts":[["2008",4]]}},"label":"page"}],"schema":"https://github.com/citation-style-language/schema/raw/master/csl-citation.json"} </w:instrText>
      </w:r>
      <w:r w:rsidR="001B0409" w:rsidRPr="00837161">
        <w:fldChar w:fldCharType="separate"/>
      </w:r>
      <w:r w:rsidR="00271B78" w:rsidRPr="00271B78">
        <w:t>(Hulme et al., 2008)</w:t>
      </w:r>
      <w:r w:rsidR="001B0409" w:rsidRPr="00837161">
        <w:fldChar w:fldCharType="end"/>
      </w:r>
      <w:r w:rsidR="001B0409" w:rsidRPr="00837161">
        <w:t xml:space="preserve">. For example, more than 400 metazoan introductions were reported to have spread through the Suez Canal </w:t>
      </w:r>
      <w:r w:rsidR="001B0409" w:rsidRPr="00837161">
        <w:fldChar w:fldCharType="begin"/>
      </w:r>
      <w:r w:rsidR="000F35EB">
        <w:instrText xml:space="preserve"> ADDIN ZOTERO_ITEM CSL_CITATION {"citationID":"RGFM2gQm","properties":{"formattedCitation":"(Galil et al., 2021)","plainCitation":"(Galil et al., 2021)","noteIndex":0},"citationItems":[{"id":31736,"uris":["http://zotero.org/groups/2352922/items/96HS763Q"],"itemData":{"id":31736,"type":"article-journal","container-title":"Hydrobiologia","DOI":"10.1007/s10750-020-04420-w","ISSN":"0018-8158, 1573-5117","issue":"9","journalAbbreviation":"Hydrobiologia","language":"en","page":"2011-2029","source":"DOI.org (Crossref)","title":"Non-indigenous species along the Israeli Mediterranean coast: tally, policy, outlook","title-short":"Non-indigenous species along the Israeli Mediterranean coast","URL":"https://link.springer.com/10.1007/s10750-020-04420-w","volume":"848","author":[{"family":"Galil","given":"Bella S."},{"family":"Mienis","given":"Henk K."},{"family":"Hoffman","given":"Razy"},{"family":"Goren","given":"Menachem"}],"accessed":{"date-parts":[["2021",8,13]]},"issued":{"date-parts":[["2021",5]]}},"label":"page"}],"schema":"https://github.com/citation-style-language/schema/raw/master/csl-citation.json"} </w:instrText>
      </w:r>
      <w:r w:rsidR="001B0409" w:rsidRPr="00837161">
        <w:fldChar w:fldCharType="separate"/>
      </w:r>
      <w:r w:rsidR="00271B78" w:rsidRPr="00271B78">
        <w:t>(Galil et al., 2021)</w:t>
      </w:r>
      <w:r w:rsidR="001B0409" w:rsidRPr="00837161">
        <w:fldChar w:fldCharType="end"/>
      </w:r>
      <w:r w:rsidR="001B0409" w:rsidRPr="00837161">
        <w:t>, and of 1</w:t>
      </w:r>
      <w:r w:rsidR="000D72F2">
        <w:t>,</w:t>
      </w:r>
      <w:r w:rsidR="001B0409" w:rsidRPr="00837161">
        <w:t xml:space="preserve">257 alien marine species in Europe, shipping </w:t>
      </w:r>
      <w:r w:rsidR="001B0409" w:rsidRPr="00837161">
        <w:fldChar w:fldCharType="begin"/>
      </w:r>
      <w:r w:rsidR="000F35EB">
        <w:instrText xml:space="preserve"> ADDIN ZOTERO_ITEM CSL_CITATION {"citationID":"TvaXXsrm","properties":{"formattedCitation":"(Katsanevakis et al., 2013)","plainCitation":"(Katsanevakis et al., 2013)","noteIndex":0},"citationItems":[{"id":53357,"uris":["http://zotero.org/groups/2352922/items/LBS9PBN9"],"itemData":{"id":53357,"type":"article-journal","container-title":"Management of Biological Invasions","DOI":"10.3391/mbi.2013.4.1.02","ISSN":"19898649","issue":"1","journalAbbreviation":"MBI","page":"3-6","source":"DOI.org (Crossref)","title":"Implementing the European policies for alien species – networking, science, and partnership in a complex environment","URL":"http://www.reabic.net/journals/mbi/2013/Issue1.aspx","volume":"4","author":[{"family":"Katsanevakis","given":"Stelios"},{"family":"Genovesi","given":"Piero"},{"family":"Gaiji","given":"Samy"},{"family":"Hvid","given":"Helene Nyegaard"},{"family":"Roy","given":"Helen E."},{"family":"Nunes","given":"Ana Luisa"},{"family":"Aguado","given":"Francisco Sanchez"},{"family":"Bogucarskis","given":"Konstantins"},{"family":"Debusscher","given":"Bos"},{"family":"Deriu","given":"Ivan"},{"family":"Harrower","given":"Colin"},{"family":"Josefsson","given":"Melanie"},{"family":"Lucy","given":"Frances"},{"family":"Marchini","given":"Agnese"},{"family":"Richards","given":"Gareth"},{"family":"Trichkova","given":"Teodora"},{"family":"Vanderhoeven","given":"Sonia"},{"family":"Zenetos","given":"Argyro"},{"family":"Cardoso","given":"Ana Cristina"}],"accessed":{"date-parts":[["2022",9,15]]},"issued":{"date-parts":[["2013",2]]}},"label":"page"}],"schema":"https://github.com/citation-style-language/schema/raw/master/csl-citation.json"} </w:instrText>
      </w:r>
      <w:r w:rsidR="001B0409" w:rsidRPr="00837161">
        <w:fldChar w:fldCharType="separate"/>
      </w:r>
      <w:r w:rsidR="00271B78" w:rsidRPr="00271B78">
        <w:t>(Katsanevakis et al., 2013)</w:t>
      </w:r>
      <w:r w:rsidR="001B0409" w:rsidRPr="00837161">
        <w:fldChar w:fldCharType="end"/>
      </w:r>
      <w:r w:rsidR="001B0409" w:rsidRPr="00837161">
        <w:t xml:space="preserve"> and the Suez </w:t>
      </w:r>
      <w:r w:rsidR="3FC5CA59" w:rsidRPr="00837161">
        <w:t>C</w:t>
      </w:r>
      <w:r w:rsidR="001B0409" w:rsidRPr="00837161">
        <w:t xml:space="preserve">anal </w:t>
      </w:r>
      <w:r w:rsidR="001B0409" w:rsidRPr="00837161">
        <w:fldChar w:fldCharType="begin"/>
      </w:r>
      <w:r w:rsidR="000F35EB">
        <w:instrText xml:space="preserve"> ADDIN ZOTERO_ITEM CSL_CITATION {"citationID":"ufzTFyqt","properties":{"formattedCitation":"(Galil et al., 2021)","plainCitation":"(Galil et al., 2021)","noteIndex":0},"citationItems":[{"id":31736,"uris":["http://zotero.org/groups/2352922/items/96HS763Q"],"itemData":{"id":31736,"type":"article-journal","container-title":"Hydrobiologia","DOI":"10.1007/s10750-020-04420-w","ISSN":"0018-8158, 1573-5117","issue":"9","journalAbbreviation":"Hydrobiologia","language":"en","page":"2011-2029","source":"DOI.org (Crossref)","title":"Non-indigenous species along the Israeli Mediterranean coast: tally, policy, outlook","title-short":"Non-indigenous species along the Israeli Mediterranean coast","URL":"https://link.springer.com/10.1007/s10750-020-04420-w","volume":"848","author":[{"family":"Galil","given":"Bella S."},{"family":"Mienis","given":"Henk K."},{"family":"Hoffman","given":"Razy"},{"family":"Goren","given":"Menachem"}],"accessed":{"date-parts":[["2021",8,13]]},"issued":{"date-parts":[["2021",5]]}},"label":"page"}],"schema":"https://github.com/citation-style-language/schema/raw/master/csl-citation.json"} </w:instrText>
      </w:r>
      <w:r w:rsidR="001B0409" w:rsidRPr="00837161">
        <w:fldChar w:fldCharType="separate"/>
      </w:r>
      <w:r w:rsidR="00271B78" w:rsidRPr="00271B78">
        <w:t>(Galil et al., 2021)</w:t>
      </w:r>
      <w:r w:rsidR="001B0409" w:rsidRPr="00837161">
        <w:fldChar w:fldCharType="end"/>
      </w:r>
      <w:r w:rsidR="001B0409" w:rsidRPr="00837161">
        <w:t xml:space="preserve"> were likely responsible for increasing introductions. The freshwater </w:t>
      </w:r>
      <w:r w:rsidR="00260C51" w:rsidRPr="00837161">
        <w:t xml:space="preserve">fish </w:t>
      </w:r>
      <w:r w:rsidR="00715629" w:rsidRPr="00837161">
        <w:rPr>
          <w:i/>
          <w:iCs/>
        </w:rPr>
        <w:t>Pseudorasbora parva</w:t>
      </w:r>
      <w:r w:rsidR="00715629" w:rsidRPr="00837161">
        <w:t xml:space="preserve"> </w:t>
      </w:r>
      <w:r w:rsidR="001B0409" w:rsidRPr="00837161">
        <w:t>(</w:t>
      </w:r>
      <w:r w:rsidR="00715629" w:rsidRPr="00837161">
        <w:t>topmouth gudgeon</w:t>
      </w:r>
      <w:r w:rsidR="001B0409" w:rsidRPr="00837161">
        <w:t>), spread across Europe</w:t>
      </w:r>
      <w:r w:rsidR="00260C51" w:rsidRPr="00837161">
        <w:t>,</w:t>
      </w:r>
      <w:r w:rsidR="001B0409" w:rsidRPr="00837161">
        <w:t xml:space="preserve"> </w:t>
      </w:r>
      <w:r w:rsidR="22B8A26A" w:rsidRPr="00837161">
        <w:t>w</w:t>
      </w:r>
      <w:r w:rsidR="54E83959" w:rsidRPr="00837161">
        <w:t>as</w:t>
      </w:r>
      <w:r w:rsidR="001B0409" w:rsidRPr="00837161">
        <w:t xml:space="preserve"> a contaminant of commercially-exported fish consignments </w:t>
      </w:r>
      <w:r w:rsidR="001B0409" w:rsidRPr="00837161">
        <w:fldChar w:fldCharType="begin"/>
      </w:r>
      <w:r w:rsidR="000F35EB">
        <w:instrText xml:space="preserve"> ADDIN ZOTERO_ITEM CSL_CITATION {"citationID":"1vFuGUyw","properties":{"formattedCitation":"(Gozlan et al., 2010)","plainCitation":"(Gozlan et al., 2010)","dontUpdate":true,"noteIndex":0},"citationItems":[{"id":29251,"uris":["http://zotero.org/groups/2352922/items/JTNGRJNZ"],"itemData":{"id":29251,"type":"article-journal","abstract":"In recent years, policy-makers have sought the development of appropriate tools to prevent and manage introductions of invasive species. However, these tools are not well suited for introductions of non-target species that are unknowingly released alongside intentionally-introduced species. The most compelling example of such invasion is arguably the topmouth gudgeon Pseudorasbora parva, a small cyprinid species originating from East Asia. A combination of sociological, economical and biological factors has fuelled their rapid invasion since the 1960s; 32 countries (from Central Asia to North Africa) have been invaded in less than 50 years. Based on a combination of monitoring surveys (2535 populations sampled) and literature reviews, this paper aims to quantify and characterise important invasion parameters, such as pathways of introduction, time between introduction and detection, lag phase and plasticity of life history traits. Every decade, five new countries have reported P. parva introduction, mainly resulting from the movement of Chinese carps for fish farming. The mean detection period after first introduction was 4 years, a duration insufficient to prevent their pan-continental invasion. High phenotypic plasticity in fitness related traits such as growth, early maturity, fecundity, reproductive behaviour and the ability to cope with novel pathogens has predisposed P. parva to being a strong invader. The Pseudorasbora parva invasion has provided quantitative data for the development of 1) early warning systems across different spatial scales; 2) rapid eradication programmes prior to natural spread in open systems and 3) sound risk assessments with emphasis on plasticity of life history traits.","container-title":"Fish and Fisheries","DOI":"10.1111/j.1467-2979.2010.00361.x","ISSN":"1467-2979","issue":"4","language":"en","note":"_eprint: https://onlinelibrary.wiley.com/doi/pdf/10.1111/j.1467-2979.2010.00361.x","page":"315-340","source":"Wiley Online Library","title":"Pan-continental invasion of &lt;i&gt;Pseudorasbora parva&lt;/i&gt;: towards a better understanding of freshwater fish invasions","title-short":"Pan-continental invasion of Pseudorasbora parva","URL":"https://onlinelibrary.wiley.com/doi/abs/10.1111/j.1467-2979.2010.00361.x","volume":"11","author":[{"family":"Gozlan","given":"Rodolphe E."},{"family":"Andreou","given":"Demetra"},{"family":"Asaeda","given":"Takashi"},{"family":"Beyer","given":"Kathleen"},{"family":"Bouhadad","given":"Rachid"},{"family":"Burnard","given":"Dean"},{"family":"Caiola","given":"Nuno"},{"family":"Cakic","given":"Predrag"},{"family":"Djikanovic","given":"Vesna"},{"family":"Esmaeili","given":"Hamid R."},{"family":"Falka","given":"Istvan"},{"family":"Golicher","given":"Duncan"},{"family":"Harka","given":"Akos"},{"family":"Jeney","given":"Galina"},{"family":"Kováč","given":"Vladimír"},{"family":"Musil","given":"Jiří"},{"family":"Nocita","given":"Annamaria"},{"family":"Povz","given":"Meta"},{"family":"Poulet","given":"Nicolas"},{"family":"Virbickas","given":"Tomas"},{"family":"Wolter","given":"Christian"},{"family":"Tarkan","given":"A. Serhan"},{"family":"Tricarico","given":"Elena"},{"family":"Trichkova","given":"Teodora"},{"family":"Verreycken","given":"Hugo"},{"family":"Witkowski","given":"Andrzej"},{"family":"Zhang","given":"Chun Guang"},{"family":"Zweimueller","given":"Irene"},{"family":"Britton","given":"J. Robert"}],"accessed":{"date-parts":[["2021",7,15]]},"issued":{"date-parts":[["2010"]]}},"label":"page"}],"schema":"https://github.com/citation-style-language/schema/raw/master/csl-citation.json"} </w:instrText>
      </w:r>
      <w:r w:rsidR="001B0409" w:rsidRPr="00837161">
        <w:fldChar w:fldCharType="separate"/>
      </w:r>
      <w:r w:rsidR="009F7B3E" w:rsidRPr="00837161">
        <w:t>(Gozlan et al., 2010</w:t>
      </w:r>
      <w:r w:rsidR="001B0409" w:rsidRPr="00837161">
        <w:fldChar w:fldCharType="end"/>
      </w:r>
      <w:r w:rsidR="004F03F2" w:rsidRPr="00837161">
        <w:t>;</w:t>
      </w:r>
      <w:r w:rsidRPr="00C0338D">
        <w:t xml:space="preserve"> </w:t>
      </w:r>
      <w:r w:rsidRPr="00C0338D">
        <w:rPr>
          <w:b/>
        </w:rPr>
        <w:t>Chapter 3</w:t>
      </w:r>
      <w:r w:rsidRPr="00C0338D">
        <w:t>,</w:t>
      </w:r>
      <w:r w:rsidRPr="00C0338D">
        <w:rPr>
          <w:b/>
        </w:rPr>
        <w:t xml:space="preserve"> section 3.2.3.2</w:t>
      </w:r>
      <w:r w:rsidRPr="00C0338D">
        <w:t xml:space="preserve">). </w:t>
      </w:r>
    </w:p>
    <w:p w14:paraId="000001D7" w14:textId="43B4B1DD" w:rsidR="00A758FD" w:rsidRPr="00AC1F76" w:rsidRDefault="00C81287" w:rsidP="002F2F42">
      <w:pPr>
        <w:pStyle w:val="Heading3"/>
      </w:pPr>
      <w:bookmarkStart w:id="187" w:name="_heading=h.3cqmetx" w:colFirst="0" w:colLast="0"/>
      <w:bookmarkStart w:id="188" w:name="_Toc69313977"/>
      <w:bookmarkStart w:id="189" w:name="_Toc87623136"/>
      <w:bookmarkStart w:id="190" w:name="_Toc131681638"/>
      <w:bookmarkEnd w:id="187"/>
      <w:r w:rsidRPr="00AC1F76">
        <w:t>Implementing species-</w:t>
      </w:r>
      <w:r w:rsidR="62CF7703">
        <w:t>based</w:t>
      </w:r>
      <w:r w:rsidRPr="00AC1F76">
        <w:t xml:space="preserve"> </w:t>
      </w:r>
      <w:bookmarkEnd w:id="188"/>
      <w:r w:rsidRPr="00AC1F76">
        <w:t>surveillance and management</w:t>
      </w:r>
      <w:bookmarkEnd w:id="189"/>
      <w:bookmarkEnd w:id="190"/>
    </w:p>
    <w:p w14:paraId="000001D8" w14:textId="4E6DD1EF" w:rsidR="00A758FD" w:rsidRPr="00C0338D" w:rsidRDefault="00C81287">
      <w:pPr>
        <w:spacing w:before="240" w:after="120" w:line="240" w:lineRule="auto"/>
      </w:pPr>
      <w:r w:rsidRPr="00C0338D">
        <w:t>Surveillance aims to detect new invasive alien species incursions early enough to allow for an effective rapid response towards eradication (</w:t>
      </w:r>
      <w:r w:rsidRPr="00C0338D">
        <w:rPr>
          <w:b/>
        </w:rPr>
        <w:t>section 5.4.2</w:t>
      </w:r>
      <w:r w:rsidRPr="00C0338D">
        <w:t xml:space="preserve">). </w:t>
      </w:r>
      <w:r w:rsidR="190D78D4" w:rsidRPr="00837161">
        <w:t>Active</w:t>
      </w:r>
      <w:r w:rsidR="190D78D4" w:rsidRPr="00837161">
        <w:rPr>
          <w:rFonts w:eastAsia="Calibri"/>
        </w:rPr>
        <w:t xml:space="preserve"> surveillance is designed to detect</w:t>
      </w:r>
      <w:r w:rsidR="0F60215C" w:rsidRPr="00837161">
        <w:rPr>
          <w:rFonts w:eastAsia="Calibri"/>
        </w:rPr>
        <w:t xml:space="preserve"> </w:t>
      </w:r>
      <w:r w:rsidR="2334A052" w:rsidRPr="00837161">
        <w:rPr>
          <w:rFonts w:eastAsia="Calibri"/>
        </w:rPr>
        <w:t xml:space="preserve">priority </w:t>
      </w:r>
      <w:r w:rsidR="00C533BC" w:rsidRPr="00837161">
        <w:rPr>
          <w:rFonts w:eastAsia="Calibri"/>
        </w:rPr>
        <w:t xml:space="preserve">invasive alien </w:t>
      </w:r>
      <w:r w:rsidR="2334A052" w:rsidRPr="00837161">
        <w:rPr>
          <w:rFonts w:eastAsia="Calibri"/>
        </w:rPr>
        <w:t xml:space="preserve">species </w:t>
      </w:r>
      <w:r w:rsidR="24BB2775" w:rsidRPr="00837161">
        <w:rPr>
          <w:rFonts w:eastAsia="Calibri"/>
        </w:rPr>
        <w:t xml:space="preserve">to </w:t>
      </w:r>
      <w:r w:rsidR="2334A052" w:rsidRPr="00837161">
        <w:rPr>
          <w:rFonts w:eastAsia="Calibri"/>
        </w:rPr>
        <w:t>inform pathway risk assessment</w:t>
      </w:r>
      <w:r w:rsidR="32DADEBC" w:rsidRPr="00837161">
        <w:rPr>
          <w:rFonts w:eastAsia="Calibri"/>
        </w:rPr>
        <w:t xml:space="preserve"> </w:t>
      </w:r>
      <w:r w:rsidR="24BB2775" w:rsidRPr="00837161">
        <w:rPr>
          <w:rFonts w:eastAsia="Calibri"/>
        </w:rPr>
        <w:t>and to provide prevalence info</w:t>
      </w:r>
      <w:r w:rsidR="679BA594" w:rsidRPr="00837161">
        <w:rPr>
          <w:rFonts w:eastAsia="Calibri"/>
        </w:rPr>
        <w:t>r</w:t>
      </w:r>
      <w:r w:rsidR="24BB2775" w:rsidRPr="00837161">
        <w:rPr>
          <w:rFonts w:eastAsia="Calibri"/>
        </w:rPr>
        <w:t>mation</w:t>
      </w:r>
      <w:r w:rsidR="32DADEBC" w:rsidRPr="00837161">
        <w:rPr>
          <w:rFonts w:eastAsia="Calibri"/>
        </w:rPr>
        <w:t xml:space="preserve"> </w:t>
      </w:r>
      <w:r w:rsidR="679BA594" w:rsidRPr="00837161">
        <w:rPr>
          <w:rFonts w:eastAsia="Calibri"/>
        </w:rPr>
        <w:t>on</w:t>
      </w:r>
      <w:r w:rsidR="32DADEBC" w:rsidRPr="00837161">
        <w:rPr>
          <w:rFonts w:eastAsia="Calibri"/>
        </w:rPr>
        <w:t xml:space="preserve"> a</w:t>
      </w:r>
      <w:r w:rsidR="19137104" w:rsidRPr="00837161">
        <w:rPr>
          <w:rFonts w:eastAsia="Calibri"/>
        </w:rPr>
        <w:t xml:space="preserve"> </w:t>
      </w:r>
      <w:r w:rsidR="24BB2775" w:rsidRPr="00837161">
        <w:rPr>
          <w:rFonts w:eastAsia="Calibri"/>
        </w:rPr>
        <w:t xml:space="preserve">trade pathway </w:t>
      </w:r>
      <w:r w:rsidR="32DADEBC" w:rsidRPr="00837161">
        <w:rPr>
          <w:rFonts w:eastAsia="Calibri"/>
        </w:rPr>
        <w:t xml:space="preserve">or a delimited </w:t>
      </w:r>
      <w:r w:rsidR="19137104" w:rsidRPr="00837161">
        <w:rPr>
          <w:rFonts w:eastAsia="Calibri"/>
        </w:rPr>
        <w:t>area containing a suspect</w:t>
      </w:r>
      <w:r w:rsidR="3987268D" w:rsidRPr="00837161">
        <w:rPr>
          <w:rFonts w:eastAsia="Calibri"/>
        </w:rPr>
        <w:t>ed</w:t>
      </w:r>
      <w:r w:rsidR="19137104" w:rsidRPr="00837161">
        <w:rPr>
          <w:rFonts w:eastAsia="Calibri"/>
        </w:rPr>
        <w:t xml:space="preserve"> incursion </w:t>
      </w:r>
      <w:r w:rsidR="0222D82F" w:rsidRPr="00837161">
        <w:rPr>
          <w:rFonts w:eastAsia="Calibri"/>
        </w:rPr>
        <w:fldChar w:fldCharType="begin"/>
      </w:r>
      <w:r w:rsidR="000F35EB">
        <w:rPr>
          <w:rFonts w:eastAsia="Calibri"/>
        </w:rPr>
        <w:instrText xml:space="preserve"> ADDIN ZOTERO_ITEM CSL_CITATION {"citationID":"PdKRwBLb","properties":{"formattedCitation":"(IPCC, 2018)","plainCitation":"(IPCC, 2018)","dontUpdate":true,"noteIndex":0},"citationItems":[{"id":25057,"uris":["http://zotero.org/groups/2352922/items/BKW6W4K3"],"itemData":{"id":25057,"type":"report","title":"Special Report Global warming of 1.5 ºC","URL":"https://www.ipcc.ch/sr15/","author":[{"literal":"IPCC"}],"issued":{"date-parts":[["2018"]]}},"label":"page"}],"schema":"https://github.com/citation-style-language/schema/raw/master/csl-citation.json"} </w:instrText>
      </w:r>
      <w:r w:rsidR="0222D82F" w:rsidRPr="00837161">
        <w:rPr>
          <w:rFonts w:eastAsia="Calibri"/>
        </w:rPr>
        <w:fldChar w:fldCharType="separate"/>
      </w:r>
      <w:r w:rsidR="005302A0" w:rsidRPr="00837161">
        <w:t>(IPCC, 2018</w:t>
      </w:r>
      <w:r w:rsidR="0222D82F" w:rsidRPr="00837161">
        <w:rPr>
          <w:rFonts w:eastAsia="Calibri"/>
        </w:rPr>
        <w:fldChar w:fldCharType="end"/>
      </w:r>
      <w:r w:rsidR="005302A0" w:rsidRPr="00837161">
        <w:rPr>
          <w:rFonts w:eastAsia="Calibri"/>
        </w:rPr>
        <w:t xml:space="preserve">; </w:t>
      </w:r>
      <w:r w:rsidR="002F2F42">
        <w:rPr>
          <w:rFonts w:eastAsia="Calibri"/>
          <w:b/>
          <w:iCs/>
        </w:rPr>
        <w:t>S</w:t>
      </w:r>
      <w:r w:rsidR="190D78D4" w:rsidRPr="00CF348C">
        <w:rPr>
          <w:rFonts w:eastAsia="Calibri"/>
          <w:b/>
          <w:iCs/>
        </w:rPr>
        <w:t>upplementary material 5.</w:t>
      </w:r>
      <w:r w:rsidR="0084460F" w:rsidRPr="00CF348C">
        <w:rPr>
          <w:rFonts w:eastAsia="Calibri"/>
          <w:b/>
          <w:iCs/>
        </w:rPr>
        <w:t>8</w:t>
      </w:r>
      <w:r w:rsidR="190D78D4" w:rsidRPr="00837161">
        <w:rPr>
          <w:rFonts w:eastAsia="Calibri"/>
        </w:rPr>
        <w:t xml:space="preserve"> for more details on surveillance guidelines)</w:t>
      </w:r>
      <w:r w:rsidR="19137104" w:rsidRPr="00837161">
        <w:rPr>
          <w:rFonts w:eastAsia="Calibri"/>
        </w:rPr>
        <w:t xml:space="preserve">. </w:t>
      </w:r>
      <w:r w:rsidR="55C1434B" w:rsidRPr="00837161">
        <w:rPr>
          <w:rFonts w:eastAsia="Calibri"/>
        </w:rPr>
        <w:t>Terrestrial, aquatic and a</w:t>
      </w:r>
      <w:r w:rsidR="1ADE8803" w:rsidRPr="00837161">
        <w:rPr>
          <w:rFonts w:eastAsia="Calibri"/>
        </w:rPr>
        <w:t xml:space="preserve">nimal disease </w:t>
      </w:r>
      <w:r w:rsidR="446E9E75" w:rsidRPr="00837161">
        <w:rPr>
          <w:rFonts w:eastAsia="Calibri"/>
        </w:rPr>
        <w:t>surveillance</w:t>
      </w:r>
      <w:r w:rsidR="679BA594" w:rsidRPr="00837161">
        <w:rPr>
          <w:rFonts w:eastAsia="Calibri"/>
        </w:rPr>
        <w:t xml:space="preserve"> </w:t>
      </w:r>
      <w:r w:rsidR="002C01F4" w:rsidRPr="00837161">
        <w:rPr>
          <w:rFonts w:eastAsia="Calibri"/>
        </w:rPr>
        <w:fldChar w:fldCharType="begin"/>
      </w:r>
      <w:r w:rsidR="000F35EB">
        <w:rPr>
          <w:rFonts w:eastAsia="Calibri"/>
        </w:rPr>
        <w:instrText xml:space="preserve"> ADDIN ZOTERO_ITEM CSL_CITATION {"citationID":"UNP1Ja9H","properties":{"formattedCitation":"(IPPC, 2018; World Organisation for Animal Health, 2019)","plainCitation":"(IPPC, 2018; World Organisation for Animal Health, 2019)","noteIndex":0},"citationItems":[{"id":31566,"uris":["http://zotero.org/groups/2352922/items/92QRII3T"],"itemData":{"id":31566,"type":"report","collection-title":"International standards for phytosanitary measures","number":"ISPM 6","publisher":"FAO","title":"Surveillance","URL":"https://www.ippc.int/static/media/files/publication/en/2018/06/ISPM_06_2018_En_Surveillance_2018-05-20_PostCPM13_KmRiysX.pdf","author":[{"literal":"IPPC"}],"accessed":{"date-parts":[["2021",11,22]]},"issued":{"date-parts":[["2018"]]}},"label":"page"},{"id":31368,"uris":["http://zotero.org/groups/2352922/items/PSZIUMYD"],"itemData":{"id":31368,"type":"chapter","container-title":"Terrestrial Animal Health Code","publisher":"World Organisation for Animal Health","title":"Chapter 1.4. Animal Health Surveillance","URL":"https://www.oie.int/index.php?id=169&amp;L=0&amp;htmfile=chapitre_surveillance_general.htm","author":[{"literal":"World Organisation for Animal Health"}],"accessed":{"date-parts":[["2019",10,16]]},"issued":{"date-parts":[["2019"]]}},"label":"page"}],"schema":"https://github.com/citation-style-language/schema/raw/master/csl-citation.json"} </w:instrText>
      </w:r>
      <w:r w:rsidR="002C01F4" w:rsidRPr="00837161">
        <w:rPr>
          <w:rFonts w:eastAsia="Calibri"/>
        </w:rPr>
        <w:fldChar w:fldCharType="separate"/>
      </w:r>
      <w:r w:rsidR="00271B78" w:rsidRPr="00271B78">
        <w:t>(IPPC, 2018; World Organisation for Animal Health, 2019)</w:t>
      </w:r>
      <w:r w:rsidR="002C01F4" w:rsidRPr="00837161">
        <w:rPr>
          <w:rFonts w:eastAsia="Calibri"/>
        </w:rPr>
        <w:fldChar w:fldCharType="end"/>
      </w:r>
      <w:r w:rsidR="002C01F4" w:rsidRPr="00837161">
        <w:rPr>
          <w:rFonts w:eastAsia="Calibri"/>
        </w:rPr>
        <w:t xml:space="preserve"> </w:t>
      </w:r>
      <w:r w:rsidR="6706ADD2" w:rsidRPr="00837161">
        <w:rPr>
          <w:rFonts w:eastAsia="Calibri"/>
        </w:rPr>
        <w:t>is</w:t>
      </w:r>
      <w:r w:rsidR="58182F5B" w:rsidRPr="00837161">
        <w:rPr>
          <w:rFonts w:eastAsia="Calibri"/>
        </w:rPr>
        <w:t xml:space="preserve"> </w:t>
      </w:r>
      <w:r w:rsidR="11A362DB" w:rsidRPr="00837161">
        <w:rPr>
          <w:rFonts w:eastAsia="Calibri"/>
        </w:rPr>
        <w:t>generally</w:t>
      </w:r>
      <w:r w:rsidR="58182F5B" w:rsidRPr="00837161">
        <w:rPr>
          <w:rFonts w:eastAsia="Calibri"/>
        </w:rPr>
        <w:t xml:space="preserve"> focussed on specific threats</w:t>
      </w:r>
      <w:r w:rsidR="58E35156" w:rsidRPr="00837161">
        <w:rPr>
          <w:rFonts w:eastAsia="Calibri"/>
        </w:rPr>
        <w:t xml:space="preserve"> and </w:t>
      </w:r>
      <w:r w:rsidR="6706ADD2" w:rsidRPr="00837161">
        <w:rPr>
          <w:rFonts w:eastAsia="Calibri"/>
        </w:rPr>
        <w:t>aim</w:t>
      </w:r>
      <w:r w:rsidR="7557EC28" w:rsidRPr="00837161">
        <w:rPr>
          <w:rFonts w:eastAsia="Calibri"/>
        </w:rPr>
        <w:t>s to demonstrate</w:t>
      </w:r>
      <w:r w:rsidR="6706ADD2" w:rsidRPr="00837161">
        <w:rPr>
          <w:rFonts w:eastAsia="Calibri"/>
        </w:rPr>
        <w:t xml:space="preserve"> absence</w:t>
      </w:r>
      <w:r w:rsidR="7557EC28" w:rsidRPr="00837161">
        <w:rPr>
          <w:rFonts w:eastAsia="Calibri"/>
        </w:rPr>
        <w:t xml:space="preserve"> </w:t>
      </w:r>
      <w:r w:rsidR="51176B87" w:rsidRPr="00837161">
        <w:rPr>
          <w:rFonts w:eastAsia="Calibri"/>
        </w:rPr>
        <w:t>(i.e.</w:t>
      </w:r>
      <w:r w:rsidR="2D6A0D34" w:rsidRPr="00837161">
        <w:rPr>
          <w:rFonts w:eastAsia="Calibri"/>
        </w:rPr>
        <w:t>,</w:t>
      </w:r>
      <w:r w:rsidR="51176B87" w:rsidRPr="00837161">
        <w:rPr>
          <w:rFonts w:eastAsia="Calibri"/>
        </w:rPr>
        <w:t xml:space="preserve"> </w:t>
      </w:r>
      <w:r w:rsidR="11A362DB" w:rsidRPr="00837161">
        <w:rPr>
          <w:rFonts w:eastAsia="Calibri"/>
        </w:rPr>
        <w:t xml:space="preserve">supporting </w:t>
      </w:r>
      <w:r w:rsidR="51176B87" w:rsidRPr="00837161">
        <w:rPr>
          <w:rFonts w:eastAsia="Calibri"/>
        </w:rPr>
        <w:t>trad</w:t>
      </w:r>
      <w:r w:rsidR="11A362DB" w:rsidRPr="00837161">
        <w:rPr>
          <w:rFonts w:eastAsia="Calibri"/>
        </w:rPr>
        <w:t>e</w:t>
      </w:r>
      <w:r w:rsidR="51176B87" w:rsidRPr="00837161">
        <w:rPr>
          <w:rFonts w:eastAsia="Calibri"/>
        </w:rPr>
        <w:t xml:space="preserve">) </w:t>
      </w:r>
      <w:r w:rsidR="7557EC28" w:rsidRPr="00837161">
        <w:rPr>
          <w:rFonts w:eastAsia="Calibri"/>
        </w:rPr>
        <w:t xml:space="preserve">or </w:t>
      </w:r>
      <w:r w:rsidR="063B2F63" w:rsidRPr="00837161">
        <w:rPr>
          <w:rFonts w:eastAsia="Calibri"/>
        </w:rPr>
        <w:t xml:space="preserve">to </w:t>
      </w:r>
      <w:r w:rsidR="7557EC28" w:rsidRPr="00837161">
        <w:rPr>
          <w:rFonts w:eastAsia="Calibri"/>
        </w:rPr>
        <w:t xml:space="preserve">detect prevalence </w:t>
      </w:r>
      <w:r w:rsidR="6706ADD2" w:rsidRPr="00837161">
        <w:rPr>
          <w:rFonts w:eastAsia="Calibri"/>
        </w:rPr>
        <w:t>at low levels to</w:t>
      </w:r>
      <w:r w:rsidR="7557EC28" w:rsidRPr="00837161">
        <w:rPr>
          <w:rFonts w:eastAsia="Calibri"/>
        </w:rPr>
        <w:t xml:space="preserve"> </w:t>
      </w:r>
      <w:r w:rsidR="36408F98" w:rsidRPr="00837161">
        <w:rPr>
          <w:rFonts w:eastAsia="Calibri"/>
        </w:rPr>
        <w:t xml:space="preserve">ensure </w:t>
      </w:r>
      <w:r w:rsidR="58E35156" w:rsidRPr="00837161">
        <w:rPr>
          <w:rFonts w:eastAsia="Calibri"/>
        </w:rPr>
        <w:t xml:space="preserve">rapid response </w:t>
      </w:r>
      <w:r w:rsidR="36408F98" w:rsidRPr="00837161">
        <w:rPr>
          <w:rFonts w:eastAsia="Calibri"/>
        </w:rPr>
        <w:t>an</w:t>
      </w:r>
      <w:r w:rsidR="00677109">
        <w:rPr>
          <w:rFonts w:eastAsia="Calibri"/>
        </w:rPr>
        <w:t>d</w:t>
      </w:r>
      <w:r w:rsidR="36408F98" w:rsidRPr="00837161">
        <w:rPr>
          <w:rFonts w:eastAsia="Calibri"/>
        </w:rPr>
        <w:t xml:space="preserve"> e</w:t>
      </w:r>
      <w:r w:rsidR="51176B87" w:rsidRPr="00837161">
        <w:rPr>
          <w:rFonts w:eastAsia="Calibri"/>
        </w:rPr>
        <w:t>liminat</w:t>
      </w:r>
      <w:r w:rsidR="36408F98" w:rsidRPr="00837161">
        <w:rPr>
          <w:rFonts w:eastAsia="Calibri"/>
        </w:rPr>
        <w:t>e the</w:t>
      </w:r>
      <w:r w:rsidR="5B428B2C" w:rsidRPr="00837161">
        <w:rPr>
          <w:rFonts w:eastAsia="Calibri"/>
        </w:rPr>
        <w:t xml:space="preserve"> </w:t>
      </w:r>
      <w:r w:rsidR="6706ADD2" w:rsidRPr="00837161">
        <w:rPr>
          <w:rFonts w:eastAsia="Calibri"/>
        </w:rPr>
        <w:t>disease or pest outbreak.</w:t>
      </w:r>
      <w:r w:rsidR="6706ADD2" w:rsidRPr="00837161">
        <w:rPr>
          <w:rFonts w:eastAsia="DengXian"/>
        </w:rPr>
        <w:t xml:space="preserve"> </w:t>
      </w:r>
      <w:r w:rsidR="431987D7" w:rsidRPr="00837161">
        <w:rPr>
          <w:rFonts w:eastAsia="Calibri"/>
        </w:rPr>
        <w:t xml:space="preserve">Surveillance programmes </w:t>
      </w:r>
      <w:r w:rsidR="0079248B" w:rsidRPr="00837161">
        <w:rPr>
          <w:rFonts w:eastAsia="Calibri"/>
        </w:rPr>
        <w:t>are underpinned by</w:t>
      </w:r>
      <w:r w:rsidR="431987D7" w:rsidRPr="00837161">
        <w:rPr>
          <w:rFonts w:eastAsia="Calibri"/>
        </w:rPr>
        <w:t xml:space="preserve"> a well-developed sampling methodology and statistical design</w:t>
      </w:r>
      <w:r w:rsidR="00677109">
        <w:rPr>
          <w:rFonts w:eastAsia="Calibri"/>
        </w:rPr>
        <w:t xml:space="preserve">, which </w:t>
      </w:r>
      <w:r w:rsidR="431987D7" w:rsidRPr="00837161">
        <w:rPr>
          <w:rFonts w:eastAsia="Calibri"/>
        </w:rPr>
        <w:t xml:space="preserve">provide transparency around confidence and detection thresholds </w:t>
      </w:r>
      <w:r w:rsidR="0222D82F" w:rsidRPr="00837161">
        <w:rPr>
          <w:rFonts w:eastAsia="Calibri"/>
        </w:rPr>
        <w:fldChar w:fldCharType="begin"/>
      </w:r>
      <w:r w:rsidR="000F35EB">
        <w:rPr>
          <w:rFonts w:eastAsia="Calibri"/>
        </w:rPr>
        <w:instrText xml:space="preserve"> ADDIN ZOTERO_ITEM CSL_CITATION {"citationID":"68rIUNtb","properties":{"unsorted":true,"formattedCitation":"(Kalaris et al., 2014; FAO, 2018a; World Organisation for Animal Health, 2019)","plainCitation":"(Kalaris et al., 2014; FAO, 2018a; World Organisation for Animal Health, 2019)","noteIndex":0},"citationItems":[{"id":31638,"uris":["http://zotero.org/groups/2352922/items/GL86EVTZ"],"itemData":{"id":31638,"type":"chapter","container-title":"The Handbook of Plant Biosecurity","event-place":"Dordrecht","ISBN":"978-94-007-7364-6","language":"en","note":"DOI: 10.1007/978-94-007-7365-3_11","page":"309-337","publisher":"Springer Netherlands","publisher-place":"Dordrecht","source":"DOI.org (Crossref)","title":"The Role of Surveillance Methods and Technologies in Plant Biosecurity","URL":"http://link.springer.com/10.1007/978-94-007-7365-3_11","editor":[{"family":"Gordh","given":"Gordon"},{"family":"McKirdy","given":"Simon"}],"author":[{"family":"Kalaris","given":"Tom"},{"family":"Fieselmann","given":"Daniel"},{"family":"Magarey","given":"Roger"},{"family":"Colunga-Garcia","given":"Manuel"},{"family":"Roda","given":"Amy"},{"family":"Hardie","given":"Darryl"},{"family":"Cogger","given":"Naomi"},{"family":"Hammond","given":"Nichole"},{"family":"Martin","given":"P. A. Tony"},{"family":"Whittle","given":"Peter"}],"accessed":{"date-parts":[["2021",3,15]]},"issued":{"date-parts":[["2014"]]}},"label":"page"},{"id":25116,"uris":["http://zotero.org/groups/2352922/items/5IMAV5BE"],"itemData":{"id":25116,"type":"document","publisher":"Food and Agriculture Organization of the United Nations","title":"International Standard for Phytosanitary Measures 6. Surveillance.","URL":"http://www.fao.org/documents/card/en/c/7985f320-a606-47f9-9f0b-9dfa5a2e1622/","author":[{"literal":"FAO"}],"issued":{"date-parts":[["2018"]]}},"label":"page"},{"id":31368,"uris":["http://zotero.org/groups/2352922/items/PSZIUMYD"],"itemData":{"id":31368,"type":"chapter","container-title":"Terrestrial Animal Health Code","publisher":"World Organisation for Animal Health","title":"Chapter 1.4. Animal Health Surveillance","URL":"https://www.oie.int/index.php?id=169&amp;L=0&amp;htmfile=chapitre_surveillance_general.htm","author":[{"literal":"World Organisation for Animal Health"}],"accessed":{"date-parts":[["2019",10,16]]},"issued":{"date-parts":[["2019"]]}},"label":"page"}],"schema":"https://github.com/citation-style-language/schema/raw/master/csl-citation.json"} </w:instrText>
      </w:r>
      <w:r w:rsidR="0222D82F" w:rsidRPr="00837161">
        <w:rPr>
          <w:rFonts w:eastAsia="Calibri"/>
        </w:rPr>
        <w:fldChar w:fldCharType="separate"/>
      </w:r>
      <w:r w:rsidR="00271B78" w:rsidRPr="00271B78">
        <w:t>(Kalaris et al., 2014; FAO, 2018a; World Organisation for Animal Health, 2019)</w:t>
      </w:r>
      <w:r w:rsidR="0222D82F" w:rsidRPr="00837161">
        <w:rPr>
          <w:rFonts w:eastAsia="Calibri"/>
        </w:rPr>
        <w:fldChar w:fldCharType="end"/>
      </w:r>
      <w:r w:rsidR="22672001" w:rsidRPr="00837161">
        <w:rPr>
          <w:rFonts w:eastAsia="Calibri"/>
        </w:rPr>
        <w:t>.</w:t>
      </w:r>
      <w:r w:rsidR="465E9318" w:rsidRPr="00837161">
        <w:rPr>
          <w:rFonts w:eastAsia="Calibri"/>
        </w:rPr>
        <w:t xml:space="preserve"> Stochastic scenario tree models can be used to describe each component of the surveillance system</w:t>
      </w:r>
      <w:r w:rsidR="51A0B10B" w:rsidRPr="00837161">
        <w:rPr>
          <w:rFonts w:eastAsia="Calibri"/>
        </w:rPr>
        <w:t xml:space="preserve"> </w:t>
      </w:r>
      <w:r w:rsidR="2E04E8F4" w:rsidRPr="00837161">
        <w:rPr>
          <w:rFonts w:eastAsia="Calibri"/>
        </w:rPr>
        <w:t xml:space="preserve">to demonstrate that a </w:t>
      </w:r>
      <w:r w:rsidR="2E04E8F4" w:rsidRPr="00837161">
        <w:rPr>
          <w:rFonts w:eastAsia="Calibri"/>
        </w:rPr>
        <w:lastRenderedPageBreak/>
        <w:t>zone or country is free from a particular disease</w:t>
      </w:r>
      <w:r w:rsidR="51A0B10B" w:rsidRPr="00837161">
        <w:rPr>
          <w:rFonts w:eastAsia="Calibri"/>
        </w:rPr>
        <w:t xml:space="preserve"> </w:t>
      </w:r>
      <w:r w:rsidR="0222D82F" w:rsidRPr="00837161">
        <w:rPr>
          <w:rFonts w:eastAsia="Calibri"/>
        </w:rPr>
        <w:fldChar w:fldCharType="begin"/>
      </w:r>
      <w:r w:rsidR="000F35EB">
        <w:rPr>
          <w:rFonts w:eastAsia="Calibri"/>
        </w:rPr>
        <w:instrText xml:space="preserve"> ADDIN ZOTERO_ITEM CSL_CITATION {"citationID":"FpXRrAhN","properties":{"formattedCitation":"(P. A. J. Martin et al., 2007)","plainCitation":"(P. A. J. Martin et al., 2007)","noteIndex":0},"citationItems":[{"id":25037,"uris":["http://zotero.org/groups/2352922/items/KU5T388Q"],"itemData":{"id":25037,"type":"article-journal","container-title":"Preventive Veterinary Medicine","DOI":"10.1016/j.prevetmed.2006.09.008","ISSN":"01675877","issue":"2-4","journalAbbreviation":"Preventive Veterinary Medicine","language":"en","page":"71-97","source":"DOI.org (Crossref)","title":"Demonstrating freedom from disease using multiple complex data sources: 1: A new methodology based on scenario trees","URL":"https://linkinghub.elsevier.com/retrieve/pii/S0167587706002091","volume":"79","author":[{"family":"Martin","given":"P. A. J."},{"family":"Cameron","given":"A.R."},{"family":"Greiner","given":"M."}],"accessed":{"date-parts":[["2021",3,24]]},"issued":{"date-parts":[["2007",5]]}},"label":"page"}],"schema":"https://github.com/citation-style-language/schema/raw/master/csl-citation.json"} </w:instrText>
      </w:r>
      <w:r w:rsidR="0222D82F" w:rsidRPr="00837161">
        <w:rPr>
          <w:rFonts w:eastAsia="Calibri"/>
        </w:rPr>
        <w:fldChar w:fldCharType="separate"/>
      </w:r>
      <w:r w:rsidR="00271B78" w:rsidRPr="00271B78">
        <w:t>(P. A. J. Martin et al., 2007)</w:t>
      </w:r>
      <w:r w:rsidR="0222D82F" w:rsidRPr="00837161">
        <w:rPr>
          <w:rFonts w:eastAsia="Calibri"/>
        </w:rPr>
        <w:fldChar w:fldCharType="end"/>
      </w:r>
      <w:r w:rsidR="465E9318" w:rsidRPr="00837161">
        <w:rPr>
          <w:rFonts w:eastAsia="Calibri"/>
        </w:rPr>
        <w:t xml:space="preserve">. Online calculators such as Epitools </w:t>
      </w:r>
      <w:r w:rsidR="6EC51A6F" w:rsidRPr="00837161">
        <w:rPr>
          <w:rFonts w:eastAsia="Calibri"/>
        </w:rPr>
        <w:t>assis</w:t>
      </w:r>
      <w:r w:rsidR="51A0B10B" w:rsidRPr="00837161">
        <w:rPr>
          <w:rFonts w:eastAsia="Calibri"/>
        </w:rPr>
        <w:t>t</w:t>
      </w:r>
      <w:r w:rsidR="6EC51A6F" w:rsidRPr="00837161">
        <w:rPr>
          <w:rFonts w:eastAsia="Calibri"/>
        </w:rPr>
        <w:t xml:space="preserve"> the</w:t>
      </w:r>
      <w:r w:rsidR="465E9318" w:rsidRPr="00837161">
        <w:rPr>
          <w:rFonts w:eastAsia="Calibri"/>
        </w:rPr>
        <w:t xml:space="preserve"> design</w:t>
      </w:r>
      <w:r w:rsidR="6EC51A6F" w:rsidRPr="00837161">
        <w:rPr>
          <w:rFonts w:eastAsia="Calibri"/>
        </w:rPr>
        <w:t xml:space="preserve"> of</w:t>
      </w:r>
      <w:r w:rsidR="465E9318" w:rsidRPr="00837161">
        <w:rPr>
          <w:rFonts w:eastAsia="Calibri"/>
        </w:rPr>
        <w:t xml:space="preserve"> animal surveillance programmes demonstrating disease freedom </w:t>
      </w:r>
      <w:r w:rsidR="0222D82F" w:rsidRPr="00837161">
        <w:rPr>
          <w:rFonts w:eastAsia="Calibri"/>
        </w:rPr>
        <w:fldChar w:fldCharType="begin"/>
      </w:r>
      <w:r w:rsidR="000F35EB">
        <w:rPr>
          <w:rFonts w:eastAsia="Calibri"/>
        </w:rPr>
        <w:instrText xml:space="preserve"> ADDIN ZOTERO_ITEM CSL_CITATION {"citationID":"RPEUTcGL","properties":{"formattedCitation":"(P. A. J. Martin, 2008; Sergeant, ESG, 2018)","plainCitation":"(P. A. J. Martin, 2008; Sergeant, ESG, 2018)","noteIndex":0},"citationItems":[{"id":25036,"uris":["http://zotero.org/groups/2352922/items/S3KN682A"],"itemData":{"id":25036,"type":"article-journal","container-title":"Preventive Veterinary Medicine","DOI":"10.1016/j.prevetmed.2007.12.002","ISSN":"01675877","issue":"3-4","journalAbbreviation":"Preventive Veterinary Medicine","language":"en","page":"291-309","source":"DOI.org (Crossref)","title":"Current value of historical and ongoing surveillance for disease freedom: Surveillance for bovine Johne's disease in Western Australia","title-short":"Current value of historical and ongoing surveillance for disease freedom","URL":"https://linkinghub.elsevier.com/retrieve/pii/S0167587707002498","volume":"84","author":[{"family":"Martin","given":"P. A. J."}],"accessed":{"date-parts":[["2021",3,24]]},"issued":{"date-parts":[["2008",5]]}},"label":"page"},{"id":53069,"uris":["http://zotero.org/groups/2352922/items/QUJCLCMW"],"itemData":{"id":53069,"type":"webpage","container-title":"Ausvet","title":"Epitools Epidemiological Calculators","URL":"http://epitools.ausvet.com.au.","author":[{"literal":"Sergeant, ESG"}],"accessed":{"date-parts":[["2022",8,31]]},"issued":{"date-parts":[["2018"]]}},"label":"page"}],"schema":"https://github.com/citation-style-language/schema/raw/master/csl-citation.json"} </w:instrText>
      </w:r>
      <w:r w:rsidR="0222D82F" w:rsidRPr="00837161">
        <w:rPr>
          <w:rFonts w:eastAsia="Calibri"/>
        </w:rPr>
        <w:fldChar w:fldCharType="separate"/>
      </w:r>
      <w:r w:rsidR="00271B78" w:rsidRPr="00271B78">
        <w:t>(P. A. J. Martin, 2008; Sergeant, ESG, 2018)</w:t>
      </w:r>
      <w:r w:rsidR="0222D82F" w:rsidRPr="00837161">
        <w:rPr>
          <w:rFonts w:eastAsia="Calibri"/>
        </w:rPr>
        <w:fldChar w:fldCharType="end"/>
      </w:r>
      <w:r w:rsidR="00DF5F95" w:rsidRPr="00837161">
        <w:rPr>
          <w:rFonts w:eastAsia="Calibri"/>
        </w:rPr>
        <w:t>.</w:t>
      </w:r>
      <w:r w:rsidR="465E9318" w:rsidRPr="00837161">
        <w:rPr>
          <w:rFonts w:eastAsia="Calibri"/>
        </w:rPr>
        <w:t xml:space="preserve"> </w:t>
      </w:r>
      <w:r w:rsidR="71A04EB8" w:rsidRPr="00837161">
        <w:rPr>
          <w:rFonts w:eastAsia="Calibri"/>
        </w:rPr>
        <w:t xml:space="preserve">Stochastic </w:t>
      </w:r>
      <w:r w:rsidR="3101CDB4" w:rsidRPr="00837161">
        <w:rPr>
          <w:rFonts w:eastAsia="Calibri"/>
        </w:rPr>
        <w:t>s</w:t>
      </w:r>
      <w:r w:rsidR="71A04EB8" w:rsidRPr="00837161">
        <w:rPr>
          <w:rFonts w:eastAsia="Calibri"/>
        </w:rPr>
        <w:t xml:space="preserve">cenario tree modelling of each of the surveillance system components can be used to estimate the probability of disease freedom </w:t>
      </w:r>
      <w:r w:rsidR="002C01F4" w:rsidRPr="00837161">
        <w:rPr>
          <w:rFonts w:eastAsia="Calibri"/>
        </w:rPr>
        <w:fldChar w:fldCharType="begin"/>
      </w:r>
      <w:r w:rsidR="000F35EB">
        <w:rPr>
          <w:rFonts w:eastAsia="Calibri"/>
        </w:rPr>
        <w:instrText xml:space="preserve"> ADDIN ZOTERO_ITEM CSL_CITATION {"citationID":"AlsCF0mO","properties":{"formattedCitation":"(Sergeant, ESG, 2018)","plainCitation":"(Sergeant, ESG, 2018)","noteIndex":0},"citationItems":[{"id":53069,"uris":["http://zotero.org/groups/2352922/items/QUJCLCMW"],"itemData":{"id":53069,"type":"webpage","container-title":"Ausvet","title":"Epitools Epidemiological Calculators","URL":"http://epitools.ausvet.com.au.","author":[{"literal":"Sergeant, ESG"}],"accessed":{"date-parts":[["2022",8,31]]},"issued":{"date-parts":[["2018"]]}},"label":"page"}],"schema":"https://github.com/citation-style-language/schema/raw/master/csl-citation.json"} </w:instrText>
      </w:r>
      <w:r w:rsidR="002C01F4" w:rsidRPr="00837161">
        <w:rPr>
          <w:rFonts w:eastAsia="Calibri"/>
        </w:rPr>
        <w:fldChar w:fldCharType="separate"/>
      </w:r>
      <w:r w:rsidR="00271B78" w:rsidRPr="00271B78">
        <w:t>(Sergeant, ESG, 2018)</w:t>
      </w:r>
      <w:r w:rsidR="002C01F4" w:rsidRPr="00837161">
        <w:rPr>
          <w:rFonts w:eastAsia="Calibri"/>
        </w:rPr>
        <w:fldChar w:fldCharType="end"/>
      </w:r>
      <w:r w:rsidR="002C01F4" w:rsidRPr="00837161">
        <w:rPr>
          <w:rFonts w:eastAsia="Calibri"/>
        </w:rPr>
        <w:t xml:space="preserve"> </w:t>
      </w:r>
      <w:r w:rsidR="71A04EB8" w:rsidRPr="00837161">
        <w:rPr>
          <w:rFonts w:eastAsia="Calibri"/>
        </w:rPr>
        <w:t xml:space="preserve">and to test the sensitivity of the surveillance system. For example, scenario tree modelling was used to assess the sensitivity of Ecuador’s national surveillance system to human leptospirosis by conducting probabilistic modelling </w:t>
      </w:r>
      <w:r w:rsidR="000D72F2">
        <w:rPr>
          <w:rFonts w:eastAsia="Calibri"/>
        </w:rPr>
        <w:t>for</w:t>
      </w:r>
      <w:r w:rsidR="000D72F2" w:rsidRPr="00837161">
        <w:rPr>
          <w:rFonts w:eastAsia="Calibri"/>
        </w:rPr>
        <w:t xml:space="preserve"> </w:t>
      </w:r>
      <w:r w:rsidR="71A04EB8" w:rsidRPr="00837161">
        <w:rPr>
          <w:rFonts w:eastAsia="Calibri"/>
        </w:rPr>
        <w:t xml:space="preserve">each component of the surveillance system. The model assessed the programme’s sensitivity as an output so that an economic assessment of the system </w:t>
      </w:r>
      <w:r w:rsidR="000D72F2">
        <w:rPr>
          <w:rFonts w:eastAsia="Calibri"/>
        </w:rPr>
        <w:t>could</w:t>
      </w:r>
      <w:r w:rsidR="000D72F2" w:rsidRPr="00837161">
        <w:rPr>
          <w:rFonts w:eastAsia="Calibri"/>
        </w:rPr>
        <w:t xml:space="preserve"> </w:t>
      </w:r>
      <w:r w:rsidR="71A04EB8" w:rsidRPr="00837161">
        <w:rPr>
          <w:rFonts w:eastAsia="Calibri"/>
        </w:rPr>
        <w:t xml:space="preserve">be made </w:t>
      </w:r>
      <w:r w:rsidR="00DF5F95" w:rsidRPr="00837161">
        <w:rPr>
          <w:rFonts w:eastAsia="Calibri"/>
        </w:rPr>
        <w:fldChar w:fldCharType="begin"/>
      </w:r>
      <w:r w:rsidR="000F35EB">
        <w:rPr>
          <w:rFonts w:eastAsia="Calibri"/>
        </w:rPr>
        <w:instrText xml:space="preserve"> ADDIN ZOTERO_ITEM CSL_CITATION {"citationID":"0AfOpZu5","properties":{"formattedCitation":"(Calero &amp; Monti, 2022)","plainCitation":"(Calero &amp; Monti, 2022)","noteIndex":0},"citationItems":[{"id":53068,"uris":["http://zotero.org/groups/2352922/items/UWTWB4UQ"],"itemData":{"id":53068,"type":"article-journal","abstract":"Leptospirosis is a globally disseminated zoonotic disease with no national surveillance systems. On the other hand, surveillance is crucial for improving population health, and surveillance systems produce data that motivates action. Unfortunately, like many other countries, Ecuador put in place a monitoring system that has never been tested. The goal of this study was to use scenario tree modeling to assess the sensitivity of Ecuador's current national surveillance system to human leptospirosis as the basis for an economic assessment of the system. We created a decision-tree model to analyze the current system's sensitivity. The inputs were described as probabilities distributions, and the model assessed the program's sensitivity as an output. The model also considers the geographical and weather variations across Ecuador's three continental regions: Andean, Amazonia, and the Coast. Several data sources were used to create the model, including leptospirosis records from Ecuador's Ministry of Public Health, national and international literature, and expert elicitation, all of which were incorporated in a Bayesian framework. We were able to determine the most critical parameters influencing each scenario's output (CSU) sensitivity through sensitivity analysis. The Coast region had the best sensitivity scenario, with a median of 0.85% (IC 95% 0.41-0.99), followed by the Amazonia with a median of 0.54% (CI 95% 0.18-0.99) and the Andes with a median of 0.29% (CI 95% 0.02-0.89). As per the sensitivity study, the most influential criteria on the system's sensitivity were \"Attendance or probability of going to a health center\" and \"probability of having symptoms,\" notably for the Coast and Amazonia Regions.","container-title":"Frontiers in Public Health","DOI":"10.3389/fpubh.2022.711938","ISSN":"2296-2565","journalAbbreviation":"Front Public Health","language":"eng","note":"PMID: 35309218\nPMCID: PMC8927665","page":"711938","source":"PubMed","title":"Assessment of the Current Surveillance System for Human Leptospirosis in Ecuador by Decision Analytic Modeling","volume":"10","author":[{"family":"Calero","given":"María Laura"},{"family":"Monti","given":"Gustavo"}],"issued":{"date-parts":[["2022"]]}},"label":"page"}],"schema":"https://github.com/citation-style-language/schema/raw/master/csl-citation.json"} </w:instrText>
      </w:r>
      <w:r w:rsidR="00DF5F95" w:rsidRPr="00837161">
        <w:rPr>
          <w:rFonts w:eastAsia="Calibri"/>
        </w:rPr>
        <w:fldChar w:fldCharType="separate"/>
      </w:r>
      <w:r w:rsidR="00271B78" w:rsidRPr="00271B78">
        <w:t>(Calero &amp; Monti, 2022)</w:t>
      </w:r>
      <w:r w:rsidR="00DF5F95" w:rsidRPr="00837161">
        <w:rPr>
          <w:rFonts w:eastAsia="Calibri"/>
        </w:rPr>
        <w:fldChar w:fldCharType="end"/>
      </w:r>
      <w:r w:rsidR="71A04EB8" w:rsidRPr="00837161">
        <w:rPr>
          <w:rFonts w:eastAsia="Calibri"/>
        </w:rPr>
        <w:t xml:space="preserve">. Another example </w:t>
      </w:r>
      <w:r w:rsidR="00677109">
        <w:rPr>
          <w:rFonts w:eastAsia="Calibri"/>
        </w:rPr>
        <w:t>of use of</w:t>
      </w:r>
      <w:r w:rsidR="71A04EB8" w:rsidRPr="00837161">
        <w:rPr>
          <w:rFonts w:eastAsia="Calibri"/>
        </w:rPr>
        <w:t xml:space="preserve"> stochastic scenario tree modelling </w:t>
      </w:r>
      <w:r w:rsidR="00677109">
        <w:rPr>
          <w:rFonts w:eastAsia="Calibri"/>
        </w:rPr>
        <w:t>is in</w:t>
      </w:r>
      <w:r w:rsidR="71A04EB8" w:rsidRPr="00837161">
        <w:rPr>
          <w:rFonts w:eastAsia="Calibri"/>
        </w:rPr>
        <w:t xml:space="preserve"> help</w:t>
      </w:r>
      <w:r w:rsidR="00677109">
        <w:rPr>
          <w:rFonts w:eastAsia="Calibri"/>
        </w:rPr>
        <w:t>ing</w:t>
      </w:r>
      <w:r w:rsidR="71A04EB8" w:rsidRPr="00837161">
        <w:rPr>
          <w:rFonts w:eastAsia="Calibri"/>
        </w:rPr>
        <w:t xml:space="preserve"> plan</w:t>
      </w:r>
      <w:r w:rsidR="00677109">
        <w:rPr>
          <w:rFonts w:eastAsia="Calibri"/>
        </w:rPr>
        <w:t>ning</w:t>
      </w:r>
      <w:r w:rsidR="71A04EB8" w:rsidRPr="00837161">
        <w:rPr>
          <w:rFonts w:eastAsia="Calibri"/>
        </w:rPr>
        <w:t xml:space="preserve"> a surveillance programme to demonstrate disease freedom for </w:t>
      </w:r>
      <w:r w:rsidR="71A04EB8" w:rsidRPr="00837161">
        <w:rPr>
          <w:rFonts w:eastAsia="Calibri"/>
          <w:i/>
          <w:iCs/>
        </w:rPr>
        <w:t>Mycoplasma bovis</w:t>
      </w:r>
      <w:r w:rsidR="71A04EB8" w:rsidRPr="00837161">
        <w:rPr>
          <w:rFonts w:eastAsia="Calibri"/>
        </w:rPr>
        <w:t xml:space="preserve"> in cattle after an extensive and costly eradication programme in New Zealand </w:t>
      </w:r>
      <w:r w:rsidR="00DF5F95" w:rsidRPr="00837161">
        <w:rPr>
          <w:rFonts w:eastAsia="Calibri"/>
        </w:rPr>
        <w:fldChar w:fldCharType="begin"/>
      </w:r>
      <w:r w:rsidR="00A4003D">
        <w:rPr>
          <w:rFonts w:eastAsia="Calibri"/>
        </w:rPr>
        <w:instrText xml:space="preserve"> ADDIN ZOTERO_ITEM CSL_CITATION {"citationID":"3G1bufwA","properties":{"formattedCitation":"(Cowled et al., 2022)","plainCitation":"(Cowled et al., 2022)","noteIndex":0},"citationItems":[{"id":53067,"uris":["http://zotero.org/groups/2352922/items/9J7ZG4R6"],"itemData":{"id":53067,"type":"article-journal","abstract":"Since mid-2018, the New Zealand (NZ) Ministry for Primary Industries (MPI) has been operating an eradication program for an incursion of Mycoplasma bovis. Although NZ is still delimiting the outbreak, consideration is being given to how freedom from M. bovis will be demonstrated. Rapid demonstration of freedom will minimise the length of the program, significantly reducing its financial burden. This collaborative research was undertaken to help inform planning of surveillance to demonstrate freedom after M. bovis is believed eradicated. Scenario tree modelling (STM) involves assimilating multiple surveillance system components to determine whether disease is absent. STM has infrequently been used to plan appropriate surveillance but this was the approach used here. A stochastic simulation model was implemented in R. The model represented the NZ commercial dairy and non-dairy cattle industries and the current surveillance components that are also planned to be used to gather evidence of absence of M. bovis once it is eradicated. Different surveillance intensities and risk based versus random surveillance were simulated and compared for probability of freedom, financial cost of sampling and testing and the time to demonstrate freedom. The results indicate that the current surveillance components will enable demonstration of freedom. Surveillance components included bulk tank milk testing, herd testing and testing at meat processing plants, predominantly using an imperfect ELISA. Several combinations of surveillance components appeared most efficient achieving &gt;95 % confidence of freedom over 2-4 years, whilst sampling 4-7 % of the non-dairy herds and less than 25 % of dairy herds annually. The results indicate that surveillance intensity can be lower than is currently occurring to support the delimiting phase, thereby saving significant resources in the post eradication phase (proof of freedom phases). Further consideration is required to enable the assumption of 100 % herd specificity made in the model to be achieved. The ELISA used is very specific, but will yield some false positives that must be resolved to their true status. This may occur for example through modified diagnostic test interpretation (e.g. cut point optimisation at individual and herd level) or resolution of putative false positive herds with epidemiological investigation. In conclusion this research demonstrates the utility of STM for planning surveillance programs, and in this instance has highlighted efficient and effective surveillance components for demonstrating freedom from M. bovis in NZ. It also highlights the need to achieve 100 % specificity for M. bovis in herds tested during the proof of freedom phases.","container-title":"Preventive Veterinary Medicine","DOI":"10.1016/j.prevetmed.2021.105523","ISSN":"1873-1716","journalAbbreviation":"Prev Vet Med","language":"eng","note":"PMID: 34774335","page":"105523","source":"PubMed","title":"Use of scenario tree modelling to plan freedom from infection surveillance: &lt;i&gt;Mycoplasma bovis&lt;/i&gt; in New Zealand","title-short":"Use of scenario tree modelling to plan freedom from infection surveillance","volume":"198","author":[{"family":"Cowled","given":"Brendan D."},{"family":"Sergeant","given":"Evan S. G."},{"family":"Leslie","given":"Edwina E. C."},{"family":"Crosbie","given":"Alexander"},{"family":"Burroughs","given":"Amy"},{"family":"Kingston","given":"Olivia"},{"family":"Neill","given":"Mark"},{"family":"Sawford","given":"Kate"},{"family":"Andel","given":"Mary","non-dropping-particle":"van"}],"issued":{"date-parts":[["2022",1]]}},"label":"page"}],"schema":"https://github.com/citation-style-language/schema/raw/master/csl-citation.json"} </w:instrText>
      </w:r>
      <w:r w:rsidR="00DF5F95" w:rsidRPr="00837161">
        <w:rPr>
          <w:rFonts w:eastAsia="Calibri"/>
        </w:rPr>
        <w:fldChar w:fldCharType="separate"/>
      </w:r>
      <w:r w:rsidR="00A4003D" w:rsidRPr="00A4003D">
        <w:t>(Cowled et al., 2022)</w:t>
      </w:r>
      <w:r w:rsidR="00DF5F95" w:rsidRPr="00837161">
        <w:rPr>
          <w:rFonts w:eastAsia="Calibri"/>
        </w:rPr>
        <w:fldChar w:fldCharType="end"/>
      </w:r>
      <w:r w:rsidR="71A04EB8" w:rsidRPr="00837161">
        <w:rPr>
          <w:rFonts w:eastAsia="Calibri"/>
        </w:rPr>
        <w:t>.</w:t>
      </w:r>
    </w:p>
    <w:p w14:paraId="000001D9" w14:textId="7816AF46" w:rsidR="00A758FD" w:rsidRPr="00C0338D" w:rsidRDefault="6572F6F4">
      <w:pPr>
        <w:spacing w:before="240" w:after="120" w:line="240" w:lineRule="auto"/>
      </w:pPr>
      <w:r w:rsidRPr="00837161">
        <w:rPr>
          <w:rFonts w:eastAsia="Calibri"/>
        </w:rPr>
        <w:t>I</w:t>
      </w:r>
      <w:r w:rsidR="471135E2" w:rsidRPr="00837161">
        <w:rPr>
          <w:rFonts w:eastAsia="Calibri"/>
        </w:rPr>
        <w:t>ntegrated evaluation frameworks</w:t>
      </w:r>
      <w:r w:rsidR="665B1191" w:rsidRPr="00837161">
        <w:rPr>
          <w:rFonts w:eastAsia="Calibri"/>
        </w:rPr>
        <w:t xml:space="preserve"> </w:t>
      </w:r>
      <w:r w:rsidR="4ED60D18" w:rsidRPr="00837161">
        <w:rPr>
          <w:rFonts w:eastAsia="Calibri"/>
        </w:rPr>
        <w:t xml:space="preserve">and tools also </w:t>
      </w:r>
      <w:r w:rsidR="665B1191" w:rsidRPr="00837161">
        <w:rPr>
          <w:rFonts w:eastAsia="Calibri"/>
        </w:rPr>
        <w:t xml:space="preserve">help evaluate </w:t>
      </w:r>
      <w:r w:rsidR="471135E2" w:rsidRPr="00837161">
        <w:rPr>
          <w:rFonts w:eastAsia="Calibri"/>
        </w:rPr>
        <w:t xml:space="preserve">surveillance </w:t>
      </w:r>
      <w:r w:rsidR="665B1191" w:rsidRPr="00837161">
        <w:rPr>
          <w:rFonts w:eastAsia="Calibri"/>
        </w:rPr>
        <w:t>systems</w:t>
      </w:r>
      <w:r w:rsidR="471135E2" w:rsidRPr="00837161">
        <w:rPr>
          <w:rFonts w:eastAsia="Calibri"/>
        </w:rPr>
        <w:t xml:space="preserve"> </w:t>
      </w:r>
      <w:r w:rsidR="00DF5F95" w:rsidRPr="00837161">
        <w:rPr>
          <w:rFonts w:eastAsia="Calibri"/>
        </w:rPr>
        <w:fldChar w:fldCharType="begin"/>
      </w:r>
      <w:r w:rsidR="000F35EB">
        <w:rPr>
          <w:rFonts w:eastAsia="Calibri"/>
        </w:rPr>
        <w:instrText xml:space="preserve"> ADDIN ZOTERO_ITEM CSL_CITATION {"citationID":"gUk9IJfW","properties":{"formattedCitation":"(Peyre et al., 2019)","plainCitation":"(Peyre et al., 2019)","noteIndex":0},"citationItems":[{"id":30293,"uris":["http://zotero.org/groups/2352922/items/AM5YVR7X"],"itemData":{"id":30293,"type":"document","publisher":"RiskSur","title":"The EVA tool: a decision support tool for the evaluation of surveillance systems","URL":"https://www.fp7-risksur.eu/","author":[{"family":"Peyre","given":"M"},{"family":"Haesler","given":"B"},{"family":"Hoinville","given":"L"},{"family":"Goutard","given":"F"},{"family":"Cameron","given":"A"},{"family":"Dorea","given":"F"},{"family":"Traon","given":"Daniel"},{"family":"Grosbois","given":"Vladimir"},{"family":"Schauer","given":"B"}],"accessed":{"date-parts":[["2019",10,16]]},"issued":{"date-parts":[["2019"]]}},"label":"page"}],"schema":"https://github.com/citation-style-language/schema/raw/master/csl-citation.json"} </w:instrText>
      </w:r>
      <w:r w:rsidR="00DF5F95" w:rsidRPr="00837161">
        <w:rPr>
          <w:rFonts w:eastAsia="Calibri"/>
        </w:rPr>
        <w:fldChar w:fldCharType="separate"/>
      </w:r>
      <w:r w:rsidR="00271B78" w:rsidRPr="00271B78">
        <w:t>(Peyre et al., 2019)</w:t>
      </w:r>
      <w:r w:rsidR="00DF5F95" w:rsidRPr="00837161">
        <w:rPr>
          <w:rFonts w:eastAsia="Calibri"/>
        </w:rPr>
        <w:fldChar w:fldCharType="end"/>
      </w:r>
      <w:r w:rsidR="471135E2" w:rsidRPr="00837161">
        <w:rPr>
          <w:rFonts w:eastAsia="Calibri"/>
        </w:rPr>
        <w:t>.</w:t>
      </w:r>
      <w:r w:rsidR="00C81287" w:rsidRPr="00C0338D">
        <w:t xml:space="preserve"> The Food and Agriculture Organization (FAO) Surveillance Evaluation tool is part of the Emergency Prevention System for Animal Health providing countries with comprehensive and standardized methods to evaluate animal disease surveillance including zoonoses and action plans to track diseases that affect animals and people </w:t>
      </w:r>
      <w:r w:rsidRPr="00837161">
        <w:rPr>
          <w:rFonts w:eastAsia="Calibri"/>
        </w:rPr>
        <w:fldChar w:fldCharType="begin"/>
      </w:r>
      <w:r w:rsidR="000F35EB">
        <w:rPr>
          <w:rFonts w:eastAsia="Calibri"/>
        </w:rPr>
        <w:instrText xml:space="preserve"> ADDIN ZOTERO_ITEM CSL_CITATION {"citationID":"OmGARV9e","properties":{"formattedCitation":"(Aguanno et al., 2019)","plainCitation":"(Aguanno et al., 2019)","noteIndex":0},"citationItems":[{"id":25162,"uris":["http://zotero.org/groups/2352922/items/6EUTBHFB"],"itemData":{"id":25162,"type":"article-journal","container-title":"International Journal of Infectious Diseases","DOI":"10.1016/j.ijid.2018.11.274","ISSN":"12019712","journalAbbreviation":"International Journal of Infectious Diseases","language":"en","page":"110-111","source":"DOI.org (Crossref)","title":"The power of evaluations: one year review of FAO's surveillance evaluation tool (SET) and tracking future impacts","title-short":"The power of evaluations","URL":"https://linkinghub.elsevier.com/retrieve/pii/S1201971218348537","volume":"79","author":[{"family":"Aguanno","given":"R.D."},{"family":"Lamielle","given":"G."},{"family":"Dobschuetz","given":"S.","non-dropping-particle":"von"},{"family":"Dhingra","given":"M."}],"accessed":{"date-parts":[["2021",3,29]]},"issued":{"date-parts":[["2019",2]]}},"label":"page"}],"schema":"https://github.com/citation-style-language/schema/raw/master/csl-citation.json"} </w:instrText>
      </w:r>
      <w:r w:rsidRPr="00837161">
        <w:rPr>
          <w:rFonts w:eastAsia="Calibri"/>
        </w:rPr>
        <w:fldChar w:fldCharType="separate"/>
      </w:r>
      <w:r w:rsidR="00271B78" w:rsidRPr="00271B78">
        <w:t>(Aguanno et al., 2019)</w:t>
      </w:r>
      <w:r w:rsidRPr="00837161">
        <w:rPr>
          <w:rFonts w:eastAsia="Calibri"/>
        </w:rPr>
        <w:fldChar w:fldCharType="end"/>
      </w:r>
      <w:r w:rsidR="471135E2" w:rsidRPr="00837161">
        <w:t>.</w:t>
      </w:r>
      <w:r w:rsidR="00C81287" w:rsidRPr="00C0338D">
        <w:t xml:space="preserve"> </w:t>
      </w:r>
    </w:p>
    <w:p w14:paraId="000001DA" w14:textId="355EEAD4" w:rsidR="00A758FD" w:rsidRPr="00C0338D" w:rsidRDefault="00C81287">
      <w:pPr>
        <w:spacing w:before="240" w:after="120" w:line="240" w:lineRule="auto"/>
      </w:pPr>
      <w:r w:rsidRPr="00C0338D">
        <w:t xml:space="preserve">Following detection of a new priority invasive alien species, rapid response can only be achieved with immediate access to resources, as the time it takes to mount an effective response is generally of limited duration. In most jurisdictions there is a lack of legislation, policy, protocols or plans to guide rapid management responses to new incursions. Many countries are still establishing such systems, but these are currently seldom implemented or require support from donor agencies </w:t>
      </w:r>
      <w:r w:rsidR="70F059D5" w:rsidRPr="00837161">
        <w:fldChar w:fldCharType="begin"/>
      </w:r>
      <w:r w:rsidR="000F35EB">
        <w:instrText xml:space="preserve"> ADDIN ZOTERO_ITEM CSL_CITATION {"citationID":"dTOQPxWR","properties":{"formattedCitation":"(Boy &amp; Witt, 2013)","plainCitation":"(Boy &amp; Witt, 2013)","noteIndex":0},"citationItems":[{"id":11580,"uris":["http://zotero.org/groups/2352922/items/2XVNTL2D"],"itemData":{"id":11580,"type":"book","event-place":"CABI Africa, Nairobi, Kenya","ISBN":"978 1 78064 408 0","number-of-pages":"184","publisher":"UNEP/GEF Removing Barriers to Invasive Plant Management Project International Coordination Unit","publisher-place":"CABI Africa, Nairobi, Kenya","title":"Invasive alien plants and their management in Africa","URL":"https://www.cabi.org/Uploads/CABI/publishing/promotional-materials/african-invasives-book.pdf","author":[{"family":"Boy","given":"Gordon"},{"family":"Witt","given":"Arne"}],"accessed":{"date-parts":[["2020",7,28]]},"issued":{"date-parts":[["2013"]]}},"label":"page"}],"schema":"https://github.com/citation-style-language/schema/raw/master/csl-citation.json"} </w:instrText>
      </w:r>
      <w:r w:rsidR="70F059D5" w:rsidRPr="00837161">
        <w:fldChar w:fldCharType="separate"/>
      </w:r>
      <w:r w:rsidR="00271B78" w:rsidRPr="00271B78">
        <w:t>(Boy &amp; Witt, 2013)</w:t>
      </w:r>
      <w:r w:rsidR="70F059D5" w:rsidRPr="00837161">
        <w:fldChar w:fldCharType="end"/>
      </w:r>
      <w:r w:rsidR="6F37074E" w:rsidRPr="00837161">
        <w:t>.</w:t>
      </w:r>
      <w:r w:rsidRPr="00C0338D">
        <w:t xml:space="preserve"> </w:t>
      </w:r>
      <w:r w:rsidR="00175482">
        <w:t>There are g</w:t>
      </w:r>
      <w:r w:rsidRPr="00C0338D">
        <w:t>ood working policies</w:t>
      </w:r>
      <w:r w:rsidR="00175482">
        <w:t xml:space="preserve"> </w:t>
      </w:r>
      <w:r w:rsidR="00677109">
        <w:t>in some</w:t>
      </w:r>
      <w:r w:rsidRPr="00C0338D">
        <w:t xml:space="preserve"> countries where pre-negotiated rapid-response plans are agreed at a species</w:t>
      </w:r>
      <w:r w:rsidR="00677109">
        <w:t>-</w:t>
      </w:r>
      <w:r w:rsidRPr="00C0338D">
        <w:t>level before each incursion is detected (</w:t>
      </w:r>
      <w:r w:rsidRPr="00C0338D">
        <w:rPr>
          <w:b/>
        </w:rPr>
        <w:t>section 5.2.2.3</w:t>
      </w:r>
      <w:r w:rsidR="00175482" w:rsidRPr="00AC1F76">
        <w:rPr>
          <w:bCs/>
        </w:rPr>
        <w:t>)</w:t>
      </w:r>
      <w:r w:rsidRPr="00175482">
        <w:rPr>
          <w:bCs/>
        </w:rPr>
        <w:t xml:space="preserve">. </w:t>
      </w:r>
      <w:r w:rsidR="00175482">
        <w:t>Such</w:t>
      </w:r>
      <w:r w:rsidR="00175482" w:rsidRPr="00C0338D">
        <w:t xml:space="preserve"> </w:t>
      </w:r>
      <w:r w:rsidRPr="00C0338D">
        <w:t>plans pre-negotiate roles and identify funding and responsibilities around species prioritized as key future threats. Where the chance of invasive alien species eradication is lost, management</w:t>
      </w:r>
      <w:r w:rsidR="00175482">
        <w:t xml:space="preserve"> can be done</w:t>
      </w:r>
      <w:r w:rsidRPr="00C0338D">
        <w:t xml:space="preserve"> </w:t>
      </w:r>
      <w:r w:rsidR="00175482" w:rsidRPr="00C0338D">
        <w:t xml:space="preserve">through site-based </w:t>
      </w:r>
      <w:r w:rsidR="00175482">
        <w:t>management, but it is</w:t>
      </w:r>
      <w:r w:rsidR="00175482" w:rsidRPr="00C0338D">
        <w:t xml:space="preserve"> </w:t>
      </w:r>
      <w:r w:rsidRPr="00C0338D">
        <w:t xml:space="preserve">more costly (e.g., </w:t>
      </w:r>
      <w:r w:rsidRPr="00C0338D">
        <w:rPr>
          <w:i/>
        </w:rPr>
        <w:t>Sciurus carolinensis</w:t>
      </w:r>
      <w:r w:rsidRPr="00C0338D">
        <w:t xml:space="preserve"> (grey squirrel) in Europe; </w:t>
      </w:r>
      <w:r w:rsidR="70F059D5" w:rsidRPr="00837161">
        <w:fldChar w:fldCharType="begin"/>
      </w:r>
      <w:r w:rsidR="000F35EB">
        <w:instrText xml:space="preserve"> ADDIN ZOTERO_ITEM CSL_CITATION {"citationID":"UPP6TYom","properties":{"formattedCitation":"(Bertolino &amp; Genovesi, 2003)","plainCitation":"(Bertolino &amp; Genovesi, 2003)","dontUpdate":true,"noteIndex":0},"citationItems":[{"id":25156,"uris":["http://zotero.org/groups/2352922/items/VL6AY865"],"itemData":{"id":25156,"type":"article-journal","abstract":"In 1997, the National Wildlife Institute, in co-operation with the University of Turin, produced an action plan to eradicate the American grey squirrel from Italy, as this introduced species replaces the native red squirrel through competitive exclusion and damages trees through de-barking. The ﬁrst step, a trial eradication of a small population of grey squirrels at Racconigi (Turin) to evaluate the eﬃciency of the removal techniques, started in May 1997. Preliminary results showed that eradication was feasible, but the project was opposed by radical animal rights groups which took the National Wildlife Institute to court in June 1997. This legal action caused a suspension of the project and led to a lengthy judicial enquiry that ended in July 2000 with the acquittal of the Institute. Nevertheless, the 3-year suspension of all actions led to a signiﬁcant expansion of the grey squirrel’s range and thus eradication is no longer considered practical. Therefore, in the medium to long term, grey squirrels are likely to expand through continental Eurasia. This constitutes a major threat to the survival of the red squirrel over a large portion of its distribution range and will have a signiﬁcant impact on forests, with economic damage to timber crops. # 2002 Elsevier Science Ltd. All rights reserved.","container-title":"Biological Conservation","DOI":"10.1016/S0006-3207(02)00161-1","ISSN":"00063207","issue":"3","journalAbbreviation":"Biological Conservation","language":"en","page":"351-358","source":"DOI.org (Crossref)","title":"Spread and attempted eradication of the grey squirrel (&lt;i&gt;Sciurus carolinensis&lt;/i&gt;) in Italy, and consequences for the red squirrel (&lt;i&gt;Sciurus vulgaris&lt;/i&gt;) in Eurasia","URL":"https://linkinghub.elsevier.com/retrieve/pii/S0006320702001611","volume":"109","author":[{"family":"Bertolino","given":"Sandro"},{"family":"Genovesi","given":"Piero"}],"accessed":{"date-parts":[["2019",10,11]]},"issued":{"date-parts":[["2003",3]]}},"label":"page"}],"schema":"https://github.com/citation-style-language/schema/raw/master/csl-citation.json"} </w:instrText>
      </w:r>
      <w:r w:rsidR="70F059D5" w:rsidRPr="00837161">
        <w:fldChar w:fldCharType="separate"/>
      </w:r>
      <w:r w:rsidR="00901C83" w:rsidRPr="00837161">
        <w:t>Bertolino &amp; Genovesi, 2003)</w:t>
      </w:r>
      <w:r w:rsidR="70F059D5" w:rsidRPr="00837161">
        <w:fldChar w:fldCharType="end"/>
      </w:r>
      <w:r w:rsidR="6F37074E" w:rsidRPr="00837161">
        <w:t>.</w:t>
      </w:r>
      <w:r w:rsidRPr="00C0338D">
        <w:t xml:space="preserve"> </w:t>
      </w:r>
    </w:p>
    <w:p w14:paraId="000001DB" w14:textId="7D7B8F16" w:rsidR="00A758FD" w:rsidRPr="00C0338D" w:rsidRDefault="00C81287">
      <w:pPr>
        <w:spacing w:before="240" w:after="120" w:line="240" w:lineRule="auto"/>
      </w:pPr>
      <w:r w:rsidRPr="00C0338D">
        <w:t>Large scale species-</w:t>
      </w:r>
      <w:r w:rsidR="0776F8A5">
        <w:t>based</w:t>
      </w:r>
      <w:r w:rsidRPr="00C0338D">
        <w:t xml:space="preserve"> removal and eradication programmes have produced successful results, for example</w:t>
      </w:r>
      <w:r w:rsidR="00677109">
        <w:t>,</w:t>
      </w:r>
      <w:r w:rsidRPr="00C0338D">
        <w:t xml:space="preserve"> on islands and for mammalian invasive alien species in northern Europe </w:t>
      </w:r>
      <w:r w:rsidR="001B0409" w:rsidRPr="00837161">
        <w:fldChar w:fldCharType="begin"/>
      </w:r>
      <w:r w:rsidR="000F35EB">
        <w:instrText xml:space="preserve"> ADDIN ZOTERO_ITEM CSL_CITATION {"citationID":"jdRtWa3p","properties":{"formattedCitation":"(Robertson et al., 2017)","plainCitation":"(Robertson et al., 2017)","noteIndex":0},"citationItems":[{"id":28952,"uris":["http://zotero.org/groups/2352922/items/FT9DB7HI"],"itemData":{"id":28952,"type":"article-journal","abstract":"Numerous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M"},{"family":"Sutton-Croft","given":"Mike"}],"accessed":{"date-parts":[["2019",11,4]]},"issued":{"date-parts":[["2017",2]]}},"label":"page"}],"schema":"https://github.com/citation-style-language/schema/raw/master/csl-citation.json"} </w:instrText>
      </w:r>
      <w:r w:rsidR="001B0409" w:rsidRPr="00837161">
        <w:fldChar w:fldCharType="separate"/>
      </w:r>
      <w:r w:rsidR="00271B78" w:rsidRPr="00271B78">
        <w:t>(Robertson et al., 2017)</w:t>
      </w:r>
      <w:r w:rsidR="001B0409" w:rsidRPr="00837161">
        <w:fldChar w:fldCharType="end"/>
      </w:r>
      <w:r w:rsidR="001B0409" w:rsidRPr="00837161">
        <w:t xml:space="preserve">. </w:t>
      </w:r>
      <w:r>
        <w:t>Species-</w:t>
      </w:r>
      <w:r w:rsidR="08152DF9">
        <w:t>based</w:t>
      </w:r>
      <w:r w:rsidRPr="00C0338D">
        <w:t xml:space="preserve"> management is more likely to achieve impact if relevant stakeholders collectively agree and clearly define overarching management objectives beyond species suppression (a reduction in the abundance of an invasive alien species population). Th</w:t>
      </w:r>
      <w:r w:rsidR="00677109">
        <w:t>ese overarching management objectives</w:t>
      </w:r>
      <w:r w:rsidRPr="00C0338D">
        <w:t xml:space="preserve"> could include objectives to measure benefits in biodiversity and ecosystem services or the reduction of threats to threatened and endangered species and communities. Managing invasive alien species in marine environments is particularly challenging, and some species-</w:t>
      </w:r>
      <w:r w:rsidR="58EE8B26">
        <w:t>based</w:t>
      </w:r>
      <w:r w:rsidRPr="00C0338D">
        <w:t xml:space="preserve"> management approaches were attempted on sun corals but only reduced localized colonies at small scales in the short term </w:t>
      </w:r>
      <w:r w:rsidR="00D92349" w:rsidRPr="00837161">
        <w:t>(</w:t>
      </w:r>
      <w:r w:rsidR="00191A6E">
        <w:rPr>
          <w:b/>
          <w:bCs/>
        </w:rPr>
        <w:t>Box 5.3</w:t>
      </w:r>
      <w:r w:rsidR="001B0409" w:rsidRPr="00837161">
        <w:t>).</w:t>
      </w:r>
      <w:r w:rsidRPr="00C0338D">
        <w:t xml:space="preserve"> Managing freshwater biological invasions is also challenging. </w:t>
      </w:r>
      <w:r w:rsidR="00677109">
        <w:t>I</w:t>
      </w:r>
      <w:r w:rsidRPr="00C0338D">
        <w:t>n Indonesia</w:t>
      </w:r>
      <w:r w:rsidR="00AC25D6">
        <w:t>, the main</w:t>
      </w:r>
      <w:r w:rsidRPr="00C0338D">
        <w:t xml:space="preserve"> invasive alien freshwater fish includ</w:t>
      </w:r>
      <w:r w:rsidR="00AC25D6">
        <w:t>e</w:t>
      </w:r>
      <w:r w:rsidRPr="00C0338D">
        <w:t xml:space="preserve"> species of </w:t>
      </w:r>
      <w:r w:rsidRPr="00C0338D">
        <w:rPr>
          <w:i/>
        </w:rPr>
        <w:t>Pygocentrus nattereri</w:t>
      </w:r>
      <w:r w:rsidRPr="00C0338D">
        <w:t xml:space="preserve"> (red piranha), </w:t>
      </w:r>
      <w:r w:rsidRPr="00C0338D">
        <w:rPr>
          <w:i/>
        </w:rPr>
        <w:t>Tetraodontidae</w:t>
      </w:r>
      <w:r w:rsidRPr="00C0338D">
        <w:t xml:space="preserve"> spp. (pufferfish), </w:t>
      </w:r>
      <w:r w:rsidRPr="00C0338D">
        <w:rPr>
          <w:i/>
        </w:rPr>
        <w:t>Trichomycteridae</w:t>
      </w:r>
      <w:r w:rsidRPr="00C0338D">
        <w:t xml:space="preserve"> spp. (parasitic catfish) and </w:t>
      </w:r>
      <w:r w:rsidRPr="00C0338D">
        <w:rPr>
          <w:i/>
        </w:rPr>
        <w:t>Electrophorus electricus</w:t>
      </w:r>
      <w:r w:rsidRPr="00C0338D">
        <w:t xml:space="preserve"> (electric eel; </w:t>
      </w:r>
      <w:r w:rsidR="006057FF" w:rsidRPr="00837161">
        <w:fldChar w:fldCharType="begin"/>
      </w:r>
      <w:r w:rsidR="000F35EB">
        <w:instrText xml:space="preserve"> ADDIN ZOTERO_ITEM CSL_CITATION {"citationID":"UhsTVX9x","properties":{"formattedCitation":"(Francis, 2011)","plainCitation":"(Francis, 2011)","dontUpdate":true,"noteIndex":0},"citationItems":[{"id":10041,"uris":["http://zotero.org/groups/2352922/items/R5FACPNY"],"itemData":{"id":10041,"type":"book","abstract":"Invasive non-native species are a major threat to global biodiversity. Often introduced accidentally through international travel or trade, they invade and colonize new habitats, often with devastating consequences for the local flora and fauna. Their environmental impacts can range from damage to resource production (e.g. agriculture and forestry) and infrastructure (e.g. buildings, road and water supply), to human health. They consequently can have major economic impacts. It is a priority to prevent their introduction and spread, as well as to control them. Freshwater ecosystems are particularly at risk from invasions and are landscape corridors that facilitate the spread of invasives.  \nThis book reviews the current state of knowledge of the most notable global invasive freshwater species or groups, based on their severity of economic impact, geographic distribution outside of their native range, extent of research, and recognition of the ecological severity of the impact of the species by the IUCN. As well as some of the very well-known species, the book also covers some invasives that are emerging as serious threats. Examples covered include a range of aquatic and riparian plants, insects, molluscs, crustacea, fish, amphibians, reptiles and mammals, as well as some major pathogens of aquatic organisms.  \nThe book also includes overview chapters synthesizing the ecological impact of invasive species in fresh water and summarizing practical implications for the management of rivers and other freshwater habitats.","event-place":"London","ISBN":"978-0-203-12723-0","note":"DOI: 10.4324/9780203127230","number-of-pages":"484","publisher":"Routledge","publisher-place":"London","title":"A Handbook of Global Freshwater Invasive Species","editor":[{"family":"Francis","given":"Robert A."}],"issued":{"date-parts":[["2011",12,8]]}},"label":"page"}],"schema":"https://github.com/citation-style-language/schema/raw/master/csl-citation.json"} </w:instrText>
      </w:r>
      <w:r w:rsidR="006057FF" w:rsidRPr="00837161">
        <w:fldChar w:fldCharType="separate"/>
      </w:r>
      <w:r w:rsidR="00901C83" w:rsidRPr="00837161">
        <w:t>Francis, 2011)</w:t>
      </w:r>
      <w:r w:rsidR="006057FF" w:rsidRPr="00837161">
        <w:fldChar w:fldCharType="end"/>
      </w:r>
      <w:r w:rsidR="00AC25D6">
        <w:t xml:space="preserve">. They were </w:t>
      </w:r>
      <w:r w:rsidRPr="00C0338D">
        <w:t xml:space="preserve">brought in as part of a very large ornamental fish farming sector, </w:t>
      </w:r>
      <w:r w:rsidR="00AC25D6">
        <w:t>and then</w:t>
      </w:r>
      <w:r w:rsidR="00AC25D6" w:rsidRPr="00C0338D">
        <w:t xml:space="preserve"> </w:t>
      </w:r>
      <w:r w:rsidRPr="00C0338D">
        <w:t>escap</w:t>
      </w:r>
      <w:r w:rsidR="00AC25D6">
        <w:t>ed</w:t>
      </w:r>
      <w:r w:rsidRPr="00C0338D">
        <w:t xml:space="preserve"> in rivers on many of the Indonesian islands</w:t>
      </w:r>
      <w:r w:rsidR="00AC25D6">
        <w:t xml:space="preserve">, </w:t>
      </w:r>
      <w:r w:rsidRPr="00C0338D">
        <w:t>causing significant impacts on native freshwater communities. Indonesia has now taken a species-</w:t>
      </w:r>
      <w:r w:rsidR="42A754A7">
        <w:t>based</w:t>
      </w:r>
      <w:r w:rsidRPr="00C0338D">
        <w:t xml:space="preserve"> approach which actively regulates </w:t>
      </w:r>
      <w:r w:rsidR="00AC25D6">
        <w:t xml:space="preserve">the </w:t>
      </w:r>
      <w:r w:rsidRPr="00C0338D">
        <w:t>movement of these alien species within the Indonesia</w:t>
      </w:r>
      <w:r w:rsidR="00175482">
        <w:t>n</w:t>
      </w:r>
      <w:r w:rsidRPr="00C0338D">
        <w:t xml:space="preserve"> archipelago</w:t>
      </w:r>
      <w:r w:rsidR="00AC25D6">
        <w:t>,</w:t>
      </w:r>
      <w:r w:rsidRPr="00C0338D">
        <w:t xml:space="preserve"> and </w:t>
      </w:r>
      <w:r w:rsidR="00175482">
        <w:t>has banned</w:t>
      </w:r>
      <w:r w:rsidR="00175482" w:rsidRPr="00C0338D">
        <w:t xml:space="preserve"> </w:t>
      </w:r>
      <w:r w:rsidRPr="00C0338D">
        <w:t xml:space="preserve">30 alien fish species from importation </w:t>
      </w:r>
      <w:r w:rsidR="006057FF" w:rsidRPr="00837161">
        <w:fldChar w:fldCharType="begin"/>
      </w:r>
      <w:r w:rsidR="000F35EB">
        <w:instrText xml:space="preserve"> ADDIN ZOTERO_ITEM CSL_CITATION {"citationID":"qPZLr6wJ","properties":{"formattedCitation":"(Priono &amp; Satyani, 2010)","plainCitation":"(Priono &amp; Satyani, 2010)","noteIndex":0},"citationItems":[{"id":10042,"uris":["http://zotero.org/groups/2352922/items/N32NV92S"],"itemData":{"id":10042,"type":"article-journal","abstract":"Sebagai negara yang kaya akan keragaman hayati khususnya biota perikanan air tawar, memberikan peluang usaha yang sangat baik, di antaranya usaha budidaya ikan hias. Jenis-jenis ikan hias air tawar yang diusahakan jumlahnya sangat banyak dan beragam, baik yang berasal asli Indonesia maupun introduksi dari negara lain. Perolehan nilai ekonomi dari usaha ikan hias cukup besar sehingga mengakibatkan terjadinya perdagangan ikan hias yang kadang tidak memperhatikan aspek kelestariannya di masa mendatang. Akhir-akhir ini banyak muncul berbagai jenis ikan hias air tawar impor yang secara ilmiah ikan-ikan tersebut dapat merugikan kesinambungan usaha ikan hias. Para pengusaha seolah melupakan bahwa pemerintah telah mengeluarkan peraturan mengenai jenis-jenis ikan yang dilarang masuk ke Indonesia. Untuk itu, tulisan ini sengaja dilakukan agar para pelaku menyadari betapa berbahayanya membudidayakan ikan-ikan hias impor yang termasuk kategori dilarang.","container-title":"Media Akuakultur","DOI":"10.15578/ma.5.2.2010.102-108","ISSN":"2502-9460, 1907-6762","issue":"2","journalAbbreviation":"MA","language":"id","page":"102-108","source":"DOI.org (Crossref)","title":"Sekilas Tentang Beberapa Jenis Ikan Hias Air Tawar Yang Dilarang Masuk Ke Indonesia","URL":"http://ejournal-balitbang.kkp.go.id/index.php/ma/article/view/1284","volume":"5","author":[{"family":"Priono","given":"Bambang"},{"family":"Satyani","given":"Darti"}],"accessed":{"date-parts":[["2021",11,14]]},"issued":{"date-parts":[["2010",12,31]]}},"label":"page"}],"schema":"https://github.com/citation-style-language/schema/raw/master/csl-citation.json"} </w:instrText>
      </w:r>
      <w:r w:rsidR="006057FF" w:rsidRPr="00837161">
        <w:fldChar w:fldCharType="separate"/>
      </w:r>
      <w:r w:rsidR="00271B78" w:rsidRPr="00271B78">
        <w:t>(Priono &amp; Satyani, 2010)</w:t>
      </w:r>
      <w:r w:rsidR="006057FF" w:rsidRPr="00837161">
        <w:fldChar w:fldCharType="end"/>
      </w:r>
      <w:r w:rsidR="009034D8" w:rsidRPr="00837161">
        <w:t>.</w:t>
      </w:r>
      <w:r w:rsidRPr="00C0338D">
        <w:t xml:space="preserve"> </w:t>
      </w:r>
      <w:r w:rsidR="00AC25D6">
        <w:t>In Arizona, United States, s</w:t>
      </w:r>
      <w:r w:rsidRPr="00C0338D">
        <w:t xml:space="preserve">uccessful invasive alien fish management has been achieved (e.g., </w:t>
      </w:r>
      <w:r w:rsidRPr="00C0338D">
        <w:rPr>
          <w:i/>
        </w:rPr>
        <w:t>Salmo trutta</w:t>
      </w:r>
      <w:r w:rsidRPr="00C0338D">
        <w:t xml:space="preserve"> (brown trout)) through long-term collaboration between government agencies and the </w:t>
      </w:r>
      <w:r w:rsidR="00175482">
        <w:t>I</w:t>
      </w:r>
      <w:r w:rsidRPr="00C0338D">
        <w:t xml:space="preserve">ndigenous White Mountain Apache tribe using cultural beliefs and habitat restoration practices leading to increases in the native </w:t>
      </w:r>
      <w:r w:rsidRPr="00C0338D">
        <w:rPr>
          <w:i/>
        </w:rPr>
        <w:t>Oncorhynchus apache</w:t>
      </w:r>
      <w:r w:rsidRPr="00C0338D">
        <w:t xml:space="preserve"> (apache trout) populations </w:t>
      </w:r>
      <w:r w:rsidR="001B0409" w:rsidRPr="00837161">
        <w:fldChar w:fldCharType="begin"/>
      </w:r>
      <w:r w:rsidR="000F35EB">
        <w:instrText xml:space="preserve"> ADDIN ZOTERO_ITEM CSL_CITATION {"citationID":"W4QCVGUW","properties":{"formattedCitation":"(Pfeiffer &amp; Voeks, 2008)","plainCitation":"(Pfeiffer &amp; Voeks, 2008)","noteIndex":0},"citationItems":[{"id":56556,"uris":["http://zotero.org/groups/2352922/items/LFVBTDZ8","http://zotero.org/groups/2352922/items/S9UT4YR2"],"itemData":{"id":56556,"type":"article-journal","container-title":"Environmental Conservation","DOI":"10.1017/S0376892908005146","ISSN":"0376-8929, 1469-4387","issue":"4","journalAbbreviation":"Envir. Conserv.","language":"en","page":"281-293","source":"DOI.org (Crossref)","title":"Biological invasions and biocultural diversity: linking ecological and cultural systems","title-short":"Biological invasions and biocultural diversity","URL":"http://www.journals.cambridge.org/abstract_S0376892908005146","volume":"35","author":[{"family":"Pfeiffer","given":"Jeanine M."},{"family":"Voeks","given":"Robert A."}],"accessed":{"date-parts":[["2023",6,8]]},"issued":{"date-parts":[["2008",12]]}},"label":"page"}],"schema":"https://github.com/citation-style-language/schema/raw/master/csl-citation.json"} </w:instrText>
      </w:r>
      <w:r w:rsidR="001B0409" w:rsidRPr="00837161">
        <w:fldChar w:fldCharType="separate"/>
      </w:r>
      <w:r w:rsidR="00271B78" w:rsidRPr="00271B78">
        <w:t>(Pfeiffer &amp; Voeks, 2008)</w:t>
      </w:r>
      <w:r w:rsidR="001B0409" w:rsidRPr="00837161">
        <w:fldChar w:fldCharType="end"/>
      </w:r>
      <w:r w:rsidR="001B0409" w:rsidRPr="00837161">
        <w:t>.</w:t>
      </w:r>
      <w:r w:rsidRPr="00C0338D">
        <w:t xml:space="preserve"> In </w:t>
      </w:r>
      <w:r w:rsidR="00461A3D">
        <w:t xml:space="preserve">the People’s Republic of </w:t>
      </w:r>
      <w:r w:rsidRPr="00C0338D">
        <w:t xml:space="preserve">China, while a biological control </w:t>
      </w:r>
      <w:r w:rsidRPr="00C0338D">
        <w:lastRenderedPageBreak/>
        <w:t xml:space="preserve">programme is under development, national containment lines with 30 km buffer zones were proposed for </w:t>
      </w:r>
      <w:r w:rsidRPr="00C0338D">
        <w:rPr>
          <w:i/>
        </w:rPr>
        <w:t>Ageratina adenophora</w:t>
      </w:r>
      <w:r w:rsidRPr="00C0338D">
        <w:t xml:space="preserve"> (Croftonweed), to prevent spread from Yunnan province in the south west to other provinces to the north and east </w:t>
      </w:r>
      <w:r w:rsidR="00E63FEB" w:rsidRPr="00837161">
        <w:fldChar w:fldCharType="begin"/>
      </w:r>
      <w:r w:rsidR="000F35EB">
        <w:instrText xml:space="preserve"> ADDIN ZOTERO_ITEM CSL_CITATION {"citationID":"JOYZWGT7","properties":{"formattedCitation":"(Wan et al., 2009)","plainCitation":"(Wan et al., 2009)","noteIndex":0},"citationItems":[{"id":32518,"uris":["http://zotero.org/groups/2352922/items/NJJ3DZMQ"],"itemData":{"id":32518,"type":"book","abstract":"This book provides an introduction to China's current status and trends of occurrence of biological invasions. Factors contributing to successful invasion by alien species are analyzed, and the economic, ecological and social aspects of invasive alien species (IAS) are evaluated. Development strategies for the research and management of biological invasions in China are proposed. The authors...","event-place":"Beijing, China","ISBN":"978-7-03-025799-4","language":"English","note":"publisher: Science Press","publisher":"Science Press","publisher-place":"Beijing, China","source":"www.cabdirect.org","title":"Research on biological invasions in China.","URL":"https://www.cabdirect.org/cabdirect/abstract/20103059337","author":[{"family":"Wan","given":"Fanghao"},{"family":"Guo","given":"J. Y."},{"family":"Zhang","given":"F."}],"accessed":{"date-parts":[["2021",11,19]]},"issued":{"date-parts":[["2009"]]}},"label":"page"}],"schema":"https://github.com/citation-style-language/schema/raw/master/csl-citation.json"} </w:instrText>
      </w:r>
      <w:r w:rsidR="00E63FEB" w:rsidRPr="00837161">
        <w:fldChar w:fldCharType="separate"/>
      </w:r>
      <w:r w:rsidR="00271B78" w:rsidRPr="00271B78">
        <w:t>(Wan et al., 2009)</w:t>
      </w:r>
      <w:r w:rsidR="00E63FEB" w:rsidRPr="00837161">
        <w:fldChar w:fldCharType="end"/>
      </w:r>
      <w:r w:rsidR="00E63FEB" w:rsidRPr="00837161">
        <w:t>.</w:t>
      </w:r>
      <w:r w:rsidRPr="00C0338D">
        <w:t xml:space="preserve"> </w:t>
      </w:r>
    </w:p>
    <w:p w14:paraId="000001DC" w14:textId="2B10AE0E" w:rsidR="00A758FD" w:rsidRPr="00AC1F76" w:rsidRDefault="00C81287" w:rsidP="00C0338D">
      <w:pPr>
        <w:keepNext/>
        <w:pBdr>
          <w:top w:val="single" w:sz="4" w:space="1" w:color="000000"/>
          <w:left w:val="single" w:sz="4" w:space="1" w:color="000000"/>
          <w:bottom w:val="single" w:sz="4" w:space="1" w:color="000000"/>
          <w:right w:val="single" w:sz="4" w:space="1" w:color="000000"/>
          <w:between w:val="nil"/>
        </w:pBdr>
        <w:shd w:val="clear" w:color="auto" w:fill="E7E6E6" w:themeFill="background2"/>
        <w:spacing w:before="240" w:after="120" w:line="240" w:lineRule="auto"/>
        <w:rPr>
          <w:b/>
          <w:color w:val="000000"/>
        </w:rPr>
      </w:pPr>
      <w:bookmarkStart w:id="191" w:name="_heading=h.1rvwp1q" w:colFirst="0" w:colLast="0"/>
      <w:bookmarkStart w:id="192" w:name="_Ref104972390"/>
      <w:bookmarkStart w:id="193" w:name="_Toc87623063"/>
      <w:bookmarkStart w:id="194" w:name="_Toc147488938"/>
      <w:bookmarkEnd w:id="191"/>
      <w:r w:rsidRPr="00C0338D">
        <w:rPr>
          <w:b/>
          <w:color w:val="000000" w:themeColor="text1"/>
        </w:rPr>
        <w:t>Box 5</w:t>
      </w:r>
      <w:r w:rsidR="00D92349" w:rsidRPr="00C0338D">
        <w:rPr>
          <w:b/>
          <w:bCs/>
        </w:rPr>
        <w:t>.</w:t>
      </w:r>
      <w:r w:rsidR="00D92349" w:rsidRPr="00C0338D">
        <w:rPr>
          <w:b/>
          <w:bCs/>
        </w:rPr>
        <w:fldChar w:fldCharType="begin"/>
      </w:r>
      <w:r w:rsidR="00D92349" w:rsidRPr="00C0338D">
        <w:rPr>
          <w:b/>
          <w:bCs/>
        </w:rPr>
        <w:instrText>SEQ Box_5. \* ARABIC</w:instrText>
      </w:r>
      <w:r w:rsidR="00D92349" w:rsidRPr="00C0338D">
        <w:rPr>
          <w:b/>
          <w:bCs/>
        </w:rPr>
        <w:fldChar w:fldCharType="separate"/>
      </w:r>
      <w:r w:rsidR="00DC77F8" w:rsidRPr="00C0338D">
        <w:rPr>
          <w:b/>
          <w:bCs/>
          <w:noProof/>
        </w:rPr>
        <w:t>3</w:t>
      </w:r>
      <w:r w:rsidR="00D92349" w:rsidRPr="00C0338D">
        <w:rPr>
          <w:b/>
          <w:bCs/>
        </w:rPr>
        <w:fldChar w:fldCharType="end"/>
      </w:r>
      <w:bookmarkEnd w:id="192"/>
      <w:r w:rsidR="004140BE" w:rsidRPr="00C0338D">
        <w:rPr>
          <w:b/>
          <w:bCs/>
        </w:rPr>
        <w:t>.</w:t>
      </w:r>
      <w:r w:rsidRPr="00C0338D">
        <w:rPr>
          <w:b/>
          <w:color w:val="000000" w:themeColor="text1"/>
        </w:rPr>
        <w:t xml:space="preserve"> Case study: Species-</w:t>
      </w:r>
      <w:r w:rsidR="2F87C20A" w:rsidRPr="776B8B26">
        <w:rPr>
          <w:rFonts w:eastAsia="Times New Roman"/>
          <w:b/>
          <w:bCs/>
          <w:color w:val="000000" w:themeColor="text1"/>
        </w:rPr>
        <w:t>based</w:t>
      </w:r>
      <w:r w:rsidRPr="00AC1F76">
        <w:rPr>
          <w:b/>
          <w:color w:val="000000" w:themeColor="text1"/>
        </w:rPr>
        <w:t xml:space="preserve"> management of invasive alien corals through resource use in Brazil</w:t>
      </w:r>
      <w:bookmarkEnd w:id="193"/>
      <w:bookmarkEnd w:id="194"/>
    </w:p>
    <w:p w14:paraId="000001DD" w14:textId="7A740D12" w:rsidR="00A758FD" w:rsidRPr="00C0338D" w:rsidRDefault="00C81287" w:rsidP="00C0338D">
      <w:pPr>
        <w:pBdr>
          <w:top w:val="single" w:sz="4" w:space="1" w:color="000000"/>
          <w:left w:val="single" w:sz="4" w:space="1" w:color="000000"/>
          <w:bottom w:val="single" w:sz="4" w:space="1" w:color="000000"/>
          <w:right w:val="single" w:sz="4" w:space="1" w:color="000000"/>
        </w:pBdr>
        <w:shd w:val="clear" w:color="auto" w:fill="E7E6E6" w:themeFill="background2"/>
        <w:spacing w:before="240" w:after="120" w:line="240" w:lineRule="auto"/>
      </w:pPr>
      <w:r w:rsidRPr="00C0338D">
        <w:rPr>
          <w:i/>
        </w:rPr>
        <w:t>Tubastraea</w:t>
      </w:r>
      <w:r w:rsidRPr="00C0338D">
        <w:t xml:space="preserve"> spp. </w:t>
      </w:r>
      <w:r w:rsidR="58D459DE" w:rsidRPr="00837161">
        <w:t>(sun coral</w:t>
      </w:r>
      <w:r w:rsidR="00BE6818" w:rsidRPr="00837161">
        <w:t>s</w:t>
      </w:r>
      <w:r w:rsidR="002C01F4" w:rsidRPr="00837161">
        <w:t>;</w:t>
      </w:r>
      <w:r w:rsidR="58D459DE" w:rsidRPr="00837161">
        <w:t xml:space="preserve"> </w:t>
      </w:r>
      <w:r w:rsidR="00191A6E">
        <w:rPr>
          <w:b/>
          <w:iCs/>
        </w:rPr>
        <w:t>Figure 5.10</w:t>
      </w:r>
      <w:r w:rsidR="2E12A62D" w:rsidRPr="00837161">
        <w:t xml:space="preserve">) </w:t>
      </w:r>
      <w:r w:rsidR="7157164D" w:rsidRPr="00837161">
        <w:t>are highly invasive and widely spread along the Brazilian coast, where, at some locations, they occupy 80</w:t>
      </w:r>
      <w:r w:rsidR="006215F0" w:rsidRPr="00837161">
        <w:t xml:space="preserve"> per cent</w:t>
      </w:r>
      <w:r w:rsidR="7157164D" w:rsidRPr="00837161">
        <w:t xml:space="preserve"> of </w:t>
      </w:r>
      <w:r w:rsidR="07BDFC2F" w:rsidRPr="00837161">
        <w:t xml:space="preserve">the shallow subtidal </w:t>
      </w:r>
      <w:r w:rsidR="146A9900" w:rsidRPr="00837161">
        <w:t>seabed</w:t>
      </w:r>
      <w:r w:rsidR="7157164D" w:rsidRPr="00837161">
        <w:t xml:space="preserve"> </w:t>
      </w:r>
      <w:r w:rsidR="00394590" w:rsidRPr="00837161">
        <w:fldChar w:fldCharType="begin"/>
      </w:r>
      <w:r w:rsidR="000F35EB">
        <w:instrText xml:space="preserve"> ADDIN ZOTERO_ITEM CSL_CITATION {"citationID":"1zqinxib","properties":{"formattedCitation":"(Mantelatto et al., 2020)","plainCitation":"(Mantelatto et al., 2020)","noteIndex":0},"citationItems":[{"id":30739,"uris":["http://zotero.org/groups/2352922/items/CP8B2YXV"],"itemData":{"id":30739,"type":"article-journal","abstract":"Tubastraea coccinea Lesson, 1830 and T. tagusensis Wells 1982 are azooxanthellate corals non-native to Brazil and introduced through fouling on oil platforms, the primary vector. They first invaded the tropical rocky reefs at Ilha Grande Bay (southwest Atlantic Ocean), during the early 1990s. Currently, at some Brazilian locations these species occupy 80% of the benthos of the shallow subtidal. They cause economic and environmental impacts by fouling shipping and modifying native communities. This study provides observations of an additional mechanism of secondary dispersal by T. coccinea and T. tagusensis that were seen attached to floating wood debris and marine litter, which are highly abundant in the region. Such rafting corals have been found adjacent to invaded reefs and stranded on beaches. These observations indicate that transport by rafting over long distances may be another mechanism of range expansion and secondary introduction of these invasive species within the region.","container-title":"Marine Pollution Bulletin","DOI":"10.1016/j.marpolbul.2020.111659","ISSN":"0025-326X","journalAbbreviation":"Marine Pollution Bulletin","language":"en","page":"111659","source":"ScienceDirect","title":"Marine litter and wood debris as habitat and vector for the range expansion of invasive corals (&lt;i&gt;Tubastraea&lt;/i&gt; spp.)","URL":"https://www.sciencedirect.com/science/article/pii/S0025326X20307773","volume":"160","author":[{"family":"Mantelatto","given":"Marcelo Checoli"},{"family":"Póvoa","given":"Alain Alves"},{"family":"Skinner","given":"Luis Felipe"},{"family":"Araujo","given":"Fábio Vieira","dropping-particle":"de"},{"family":"Creed","given":"Joel Christopher"}],"accessed":{"date-parts":[["2021",9,15]]},"issued":{"date-parts":[["2020",11,1]]}},"label":"page"}],"schema":"https://github.com/citation-style-language/schema/raw/master/csl-citation.json"} </w:instrText>
      </w:r>
      <w:r w:rsidR="00394590" w:rsidRPr="00837161">
        <w:fldChar w:fldCharType="separate"/>
      </w:r>
      <w:r w:rsidR="00271B78" w:rsidRPr="00271B78">
        <w:t>(Mantelatto et al., 2020)</w:t>
      </w:r>
      <w:r w:rsidR="00394590" w:rsidRPr="00837161">
        <w:fldChar w:fldCharType="end"/>
      </w:r>
      <w:r w:rsidR="0B5CDAEA" w:rsidRPr="00837161">
        <w:t xml:space="preserve">. </w:t>
      </w:r>
      <w:r w:rsidR="0B5CDAEA" w:rsidRPr="00837161">
        <w:rPr>
          <w:i/>
          <w:iCs/>
        </w:rPr>
        <w:t>Tubastraea tagusensis</w:t>
      </w:r>
      <w:r w:rsidR="0B5CDAEA" w:rsidRPr="00837161">
        <w:t xml:space="preserve"> forms dense clusters with up to 872 colonies</w:t>
      </w:r>
      <w:r w:rsidR="00461A3D">
        <w:t xml:space="preserve"> per</w:t>
      </w:r>
      <w:r w:rsidR="0B5CDAEA" w:rsidRPr="00837161">
        <w:t> m</w:t>
      </w:r>
      <w:r w:rsidR="38A66F1E" w:rsidRPr="00837161">
        <w:rPr>
          <w:vertAlign w:val="superscript"/>
        </w:rPr>
        <w:t>2</w:t>
      </w:r>
      <w:r w:rsidR="0B5CDAEA" w:rsidRPr="00837161">
        <w:t xml:space="preserve"> </w:t>
      </w:r>
      <w:r w:rsidR="00394590" w:rsidRPr="00837161">
        <w:fldChar w:fldCharType="begin"/>
      </w:r>
      <w:r w:rsidR="000F35EB">
        <w:instrText xml:space="preserve"> ADDIN ZOTERO_ITEM CSL_CITATION {"citationID":"R6LpSD5r","properties":{"unsorted":true,"formattedCitation":"(Paula &amp; Creed, 2005; de Oliveira Soares et al., 2018)","plainCitation":"(Paula &amp; Creed, 2005; de Oliveira Soares et al., 2018)","noteIndex":0},"citationItems":[{"id":30190,"uris":["http://zotero.org/groups/2352922/items/EDRSEM83"],"itemData":{"id":30190,"type":"article-journal","abstract":"The distribution and abundance of azooxanthellate coral Tubastraea Lesson, 1829 were examined at different depths and their slope preference was measured on rocky shores on Ilha Grande, Brazil. Tubastraea is an ahermatypic scleractinian nonindigenous to Brazil, which probably arrived on a ship’s hull or oil platform in the late 1980’s. The exotic coral was found along a great geographic range of the Canal Central of Ilha Grande, extending over a distance of 25 km. The abundance of Tubastraea was quantified by depth, using three different sampling methods: colony density, visual estimation and intercept points (100) for percentage of cover. Tubastraea showed ample tolerance to temperature and desiccation since it was found more abundantly in very shallow waters (0.1-0.5 m), despite the fact that hard substratum is available at greater depths at all the stations sampled. At most sites, 1 to 5 colonies per 0.25 m2 were found most frequently, but occasionally more than 50 colonies were found per 0.25 m2, indicating a somewhat gregarious spatial distribution for this coral. The coral Tubastraea was found to occupy slopes of every possible angle in the Canal Central of Ilha Grande, but more colonies were found occupying slopes of 80 to 100°. Therefore, its insensitivity to angles of recruitment and its tolerance for different depths makes it an organism with great ecological tolerance, with a potential to colonize new areas and increase its current range in Brazil’s coastal waters.","container-title":"Brazilian Journal of Biology","DOI":"10.1590/S1519-69842005000400014","ISSN":"1519-6984","issue":"4","journalAbbreviation":"Braz. J. Biol.","language":"en","page":"661-673","source":"DOI.org (Crossref)","title":"Spatial distribution and abundance of nonindigenous coral genus &lt;i&gt;Tubastraea&lt;/i&gt; (&lt;i&gt;Cnidaria, Scleractinia&lt;/i&gt;) around Ilha Grande, Brazil","URL":"http://www.scielo.br/scielo.php?script=sci_arttext&amp;pid=S1519-69842005000400014&amp;lng=en&amp;tlng=en","volume":"65","author":[{"family":"Paula","given":"A. F."},{"family":"Creed","given":"J. C."}],"accessed":{"date-parts":[["2021",9,15]]},"issued":{"date-parts":[["2005",11]]}},"label":"page"},{"id":30189,"uris":["http://zotero.org/groups/2352922/items/8PEHH8VM"],"itemData":{"id":30189,"type":"article-journal","abstract":"Invasive species are recognized as a major threat to marine biodiversity. The scleractinian coral Tubastr</w:instrText>
      </w:r>
      <w:r w:rsidR="000F35EB">
        <w:rPr>
          <w:rFonts w:hint="eastAsia"/>
        </w:rPr>
        <w:instrText>aea tagusensis has been expanding its range into the southwest Atlantic Ocean, causing negative impacts on marine ecosystems. In 2016, the species was recorded on a shipwreck located 40 km off the Brazilian coast of Ceará State (latitude 2</w:instrText>
      </w:r>
      <w:r w:rsidR="000F35EB">
        <w:rPr>
          <w:rFonts w:hint="eastAsia"/>
        </w:rPr>
        <w:instrText>°</w:instrText>
      </w:r>
      <w:r w:rsidR="000F35EB">
        <w:rPr>
          <w:rFonts w:hint="eastAsia"/>
        </w:rPr>
        <w:instrText>30</w:instrText>
      </w:r>
      <w:r w:rsidR="000F35EB">
        <w:rPr>
          <w:rFonts w:hint="eastAsia"/>
        </w:rPr>
        <w:instrText>′</w:instrText>
      </w:r>
      <w:r w:rsidR="000F35EB">
        <w:rPr>
          <w:rFonts w:hint="eastAsia"/>
        </w:rPr>
        <w:instrText xml:space="preserve"> S), at dens</w:instrText>
      </w:r>
      <w:r w:rsidR="000F35EB">
        <w:instrText xml:space="preserve">ities ranging from 16 to 872 colonies × m−2. This is the first documented occurrence and density of T. tagusensis in the northern region of Brazilian coral reefs (NBR), expanding the range of the genus along the Brazilian coastline to ca. 3850 km. Here it may form a threat to marine environments such as coral reefs, rocky shores, mussel beds, and fouling communities on manmade structures. Considering that the NBR contains vulnerable marine ecosystems, such as the reef system off the Amazon River, and that it is connected by both the North Brazil Current and shipping lanes associated with oil and gas platforms, a monitoring programme is needed to study the population dynamics of this invasive species.","container-title":"Marine Biodiversity","DOI":"10.1007/s12526-016-0623-x","ISSN":"1867-1616, 1867-1624","issue":"3","journalAbbreviation":"Mar Biodiv","language":"en","page":"1651-1654","source":"DOI.org (Crossref)","title":"Northward range expansion of the invasive coral (&lt;i&gt;Tubastraea tagusensis&lt;/i&gt;) in the southwestern Atlantic","URL":"http://link.springer.com/10.1007/s12526-016-0623-x","volume":"48","author":[{"family":"Oliveira Soares","given":"Marcelo","non-dropping-particle":"de"},{"family":"Davis","given":"Marcus"},{"family":"Macêdo Carneiro","given":"Pedro Bastos","non-dropping-particle":"de"}],"accessed":{"date-parts":[["2021",9,15]]},"issued":{"date-parts":[["2018",9]]}},"label":"page"}],"schema":"https://github.com/citation-style-language/schema/raw/master/csl-citation.json"} </w:instrText>
      </w:r>
      <w:r w:rsidR="00394590" w:rsidRPr="00837161">
        <w:fldChar w:fldCharType="separate"/>
      </w:r>
      <w:r w:rsidR="00271B78" w:rsidRPr="00271B78">
        <w:t>(Paula &amp; Creed, 2005; de Oliveira Soares et al., 2018)</w:t>
      </w:r>
      <w:r w:rsidR="00394590" w:rsidRPr="00837161">
        <w:fldChar w:fldCharType="end"/>
      </w:r>
      <w:r w:rsidR="0B5CDAEA" w:rsidRPr="00837161">
        <w:t xml:space="preserve">, and </w:t>
      </w:r>
      <w:r w:rsidR="00461A3D">
        <w:t>has been</w:t>
      </w:r>
      <w:r w:rsidR="00461A3D" w:rsidRPr="00837161">
        <w:t xml:space="preserve"> </w:t>
      </w:r>
      <w:r w:rsidR="0B5CDAEA" w:rsidRPr="00837161">
        <w:t>recorded from depths</w:t>
      </w:r>
      <w:r w:rsidR="00461A3D">
        <w:t xml:space="preserve"> of up</w:t>
      </w:r>
      <w:r w:rsidR="0B5CDAEA" w:rsidRPr="00837161">
        <w:t xml:space="preserve"> to 40m </w:t>
      </w:r>
      <w:r w:rsidR="00C53076" w:rsidRPr="00837161">
        <w:fldChar w:fldCharType="begin"/>
      </w:r>
      <w:r w:rsidR="000F35EB">
        <w:instrText xml:space="preserve"> ADDIN ZOTERO_ITEM CSL_CITATION {"citationID":"U4jtUGrV","properties":{"formattedCitation":"(Figueroa et al., 2019)","plainCitation":"(Figueroa et al., 2019)","noteIndex":0},"citationItems":[{"id":53329,"uris":["http://zotero.org/groups/2352922/items/S59G4BKM"],"itemData":{"id":53329,"type":"article-journal","container-title":"Coral Reefs","DOI":"https://doi.org/10.1007/s00338-019-01807-7","issue":"3","note":"ISBN: 1432-0975\npublisher: Springer","page":"395-403","title":"Hiding in plain sight: invasive coral &lt;i&gt;Tubastraea tagusensis&lt;/i&gt; (Scleractinia: Hexacorallia) in the Gulf of Mexico","volume":"38","author":[{"family":"Figueroa","given":"Diego F."},{"family":"McClure","given":"Amelia"},{"family":"Figueroa","given":"Nicole J."},{"family":"Hicks","given":"David W."}],"issued":{"date-parts":[["2019"]]}},"label":"page"}],"schema":"https://github.com/citation-style-language/schema/raw/master/csl-citation.json"} </w:instrText>
      </w:r>
      <w:r w:rsidR="00C53076" w:rsidRPr="00837161">
        <w:fldChar w:fldCharType="separate"/>
      </w:r>
      <w:r w:rsidR="00271B78" w:rsidRPr="00271B78">
        <w:t>(Figueroa et al., 2019)</w:t>
      </w:r>
      <w:r w:rsidR="00C53076" w:rsidRPr="00837161">
        <w:fldChar w:fldCharType="end"/>
      </w:r>
      <w:r w:rsidR="0B5CDAEA" w:rsidRPr="00837161">
        <w:t xml:space="preserve">. </w:t>
      </w:r>
      <w:r w:rsidR="0B5CDAEA" w:rsidRPr="00837161">
        <w:rPr>
          <w:i/>
          <w:iCs/>
        </w:rPr>
        <w:t>Tubastraea micranthus</w:t>
      </w:r>
      <w:r w:rsidR="00BE6818" w:rsidRPr="00837161">
        <w:rPr>
          <w:i/>
          <w:iCs/>
        </w:rPr>
        <w:t xml:space="preserve"> </w:t>
      </w:r>
      <w:r w:rsidR="00BE6818" w:rsidRPr="00837161">
        <w:rPr>
          <w:iCs/>
        </w:rPr>
        <w:t>(</w:t>
      </w:r>
      <w:r w:rsidR="00F762D4" w:rsidRPr="00837161">
        <w:rPr>
          <w:iCs/>
        </w:rPr>
        <w:t>b</w:t>
      </w:r>
      <w:r w:rsidR="00BE6818" w:rsidRPr="00837161">
        <w:rPr>
          <w:iCs/>
        </w:rPr>
        <w:t>lack sun coral)</w:t>
      </w:r>
      <w:r w:rsidR="0B5CDAEA" w:rsidRPr="00837161">
        <w:t xml:space="preserve"> and </w:t>
      </w:r>
      <w:r w:rsidR="00C53076" w:rsidRPr="00837161">
        <w:rPr>
          <w:i/>
          <w:iCs/>
        </w:rPr>
        <w:t>Tubastraea</w:t>
      </w:r>
      <w:r w:rsidR="0B5CDAEA" w:rsidRPr="00837161">
        <w:rPr>
          <w:i/>
          <w:iCs/>
        </w:rPr>
        <w:t xml:space="preserve"> </w:t>
      </w:r>
      <w:r w:rsidR="6BA99085" w:rsidRPr="00837161">
        <w:rPr>
          <w:i/>
          <w:iCs/>
        </w:rPr>
        <w:t>coccinea</w:t>
      </w:r>
      <w:r w:rsidR="6BA99085" w:rsidRPr="00837161">
        <w:t xml:space="preserve"> </w:t>
      </w:r>
      <w:r w:rsidR="5AB9E857" w:rsidRPr="00837161">
        <w:t>(orange-cup coral)</w:t>
      </w:r>
      <w:r w:rsidR="0B5CDAEA" w:rsidRPr="00837161">
        <w:t xml:space="preserve"> </w:t>
      </w:r>
      <w:r w:rsidR="00461A3D">
        <w:t>has been</w:t>
      </w:r>
      <w:r w:rsidR="00461A3D" w:rsidRPr="00837161">
        <w:t xml:space="preserve"> </w:t>
      </w:r>
      <w:r w:rsidR="0B5CDAEA" w:rsidRPr="00837161">
        <w:t>recorded at 138m and 90–96m</w:t>
      </w:r>
      <w:r w:rsidR="00461A3D">
        <w:t xml:space="preserve"> below sea level</w:t>
      </w:r>
      <w:r w:rsidR="40F54978" w:rsidRPr="00837161">
        <w:t>,</w:t>
      </w:r>
      <w:r w:rsidR="339310DE" w:rsidRPr="00837161">
        <w:t xml:space="preserve"> respectively</w:t>
      </w:r>
      <w:r w:rsidR="0B5CDAEA" w:rsidRPr="00837161">
        <w:t xml:space="preserve"> </w:t>
      </w:r>
      <w:r w:rsidR="008616A9" w:rsidRPr="00837161">
        <w:fldChar w:fldCharType="begin"/>
      </w:r>
      <w:r w:rsidR="000F35EB">
        <w:instrText xml:space="preserve"> ADDIN ZOTERO_ITEM CSL_CITATION {"citationID":"aqDppLF5","properties":{"formattedCitation":"(Sammarco et al., 2013)","plainCitation":"(Sammarco et al., 2013)","noteIndex":0},"citationItems":[{"id":30188,"uris":["http://zotero.org/groups/2352922/items/9JTJPHQ5"],"itemData":{"id":30188,"type":"article-journal","abstract":"The Indo-Pacific coral Tubastraea micranthus recently invaded a region near the Mississippi River mouth, Gulf of Mexico, and its populations have been expanding. Its congener, Tubastraea coccinea, invaded during the 1940s and is now common in the western Atlantic. Accessibility is important in determining whether an invasive species can be controlled/eradicated. In the marine environment, depth limits accessibility. We assessed the depth distribution of T. micranthus and T. coccinea on 15 oil/gas platforms using remotely operated vehicles (ROVs). Pooled data indicated that T. micranthus extends to 138 m and probably deeper, while T. coccinea is generally limited to &lt; 78 m. Average depths for T. micranthus were shallower west of the Mississippi River, in its plume, and deeper towards the east. Tubastraea coccinea exhibited a similar geographic depth-distribution pattern, but shallower and subtler. Broad geographic patterns were similar whether using density or percent-cover data for analysis. When considering individual platforms, T. micranthus often reached the bottom and sometimes occurred at depths &gt;138 m. Tubastraea coccinea were limited to shallow waters on all platforms. Detailed depth distribution patterns varied significantly between analyses using density and percent-cover data, with density probably indicating colonization rates, and percent-cover colony growth. Depth limitation by T. coccinea may be associated with food availability rather than light since it is azooxanthellate. The occurrence of T. micranthus in deep water will most likely make any control or eradication efforts difficult, due to cost and a rapid rate of population expansion.","container-title":"Management of Biological Invasions","DOI":"10.3391/mbi.2013.4.4.04","ISSN":"19898649","issue":"4","journalAbbreviation":"MBI","language":"en","page":"291-303","source":"DOI.org (Crossref)","title":"Depth distribution of a new invasive coral (Gulf of Mexico) – &lt;i&gt;Tubastraea micranthus&lt;/i&gt;, comparisons with &lt;i&gt;T. coccinea&lt;/i&gt;, and implications for control","URL":"http://www.reabic.net/journals/mbi/2013/Issue4.aspx","volume":"4","author":[{"family":"Sammarco","given":"Paul W"},{"family":"Porter","given":"Scott A"},{"family":"Sinclair","given":"James"},{"family":"Genazzio","given":"Melissa"}],"accessed":{"date-parts":[["2021",9,15]]},"issued":{"date-parts":[["2013",12]]}},"label":"page"}],"schema":"https://github.com/citation-style-language/schema/raw/master/csl-citation.json"} </w:instrText>
      </w:r>
      <w:r w:rsidR="008616A9" w:rsidRPr="00837161">
        <w:fldChar w:fldCharType="separate"/>
      </w:r>
      <w:r w:rsidR="00271B78" w:rsidRPr="00271B78">
        <w:t>(Sammarco et al., 2013)</w:t>
      </w:r>
      <w:r w:rsidR="008616A9" w:rsidRPr="00837161">
        <w:fldChar w:fldCharType="end"/>
      </w:r>
      <w:r w:rsidR="008616A9" w:rsidRPr="00837161">
        <w:t xml:space="preserve">. </w:t>
      </w:r>
      <w:r w:rsidR="0B5CDAEA" w:rsidRPr="00837161">
        <w:rPr>
          <w:i/>
          <w:iCs/>
        </w:rPr>
        <w:t>Tubastraea</w:t>
      </w:r>
      <w:r w:rsidR="0B5CDAEA" w:rsidRPr="00837161">
        <w:t xml:space="preserve"> spp. are considered to have spread with shipping and offshore oil infrastructure. Mantelatto et al</w:t>
      </w:r>
      <w:r w:rsidR="743C0A36" w:rsidRPr="00837161">
        <w:t>.</w:t>
      </w:r>
      <w:r w:rsidR="0B5CDAEA" w:rsidRPr="00837161">
        <w:t xml:space="preserve"> </w:t>
      </w:r>
      <w:r w:rsidR="00CE6D44" w:rsidRPr="00837161">
        <w:fldChar w:fldCharType="begin"/>
      </w:r>
      <w:r w:rsidR="000F35EB">
        <w:instrText xml:space="preserve"> ADDIN ZOTERO_ITEM CSL_CITATION {"citationID":"g2ZIMnl2","properties":{"formattedCitation":"(2020)","plainCitation":"(2020)","noteIndex":0},"citationItems":[{"id":30739,"uris":["http://zotero.org/groups/2352922/items/CP8B2YXV"],"itemData":{"id":30739,"type":"article-journal","abstract":"Tubastraea coccinea Lesson, 1830 and T. tagusensis Wells 1982 are azooxanthellate corals non-native to Brazil and introduced through fouling on oil platforms, the primary vector. They first invaded the tropical rocky reefs at Ilha Grande Bay (southwest Atlantic Ocean), during the early 1990s. Currently, at some Brazilian locations these species occupy 80% of the benthos of the shallow subtidal. They cause economic and environmental impacts by fouling shipping and modifying native communities. This study provides observations of an additional mechanism of secondary dispersal by T. coccinea and T. tagusensis that were seen attached to floating wood debris and marine litter, which are highly abundant in the region. Such rafting corals have been found adjacent to invaded reefs and stranded on beaches. These observations indicate that transport by rafting over long distances may be another mechanism of range expansion and secondary introduction of these invasive species within the region.","container-title":"Marine Pollution Bulletin","DOI":"10.1016/j.marpolbul.2020.111659","ISSN":"0025-326X","journalAbbreviation":"Marine Pollution Bulletin","language":"en","page":"111659","source":"ScienceDirect","title":"Marine litter and wood debris as habitat and vector for the range expansion of invasive corals (&lt;i&gt;Tubastraea&lt;/i&gt; spp.)","URL":"https://www.sciencedirect.com/science/article/pii/S0025326X20307773","volume":"160","author":[{"family":"Mantelatto","given":"Marcelo Checoli"},{"family":"Póvoa","given":"Alain Alves"},{"family":"Skinner","given":"Luis Felipe"},{"family":"Araujo","given":"Fábio Vieira","dropping-particle":"de"},{"family":"Creed","given":"Joel Christopher"}],"accessed":{"date-parts":[["2021",9,15]]},"issued":{"date-parts":[["2020",11,1]]}},"label":"page","suppress-author":true}],"schema":"https://github.com/citation-style-language/schema/raw/master/csl-citation.json"} </w:instrText>
      </w:r>
      <w:r w:rsidR="00CE6D44" w:rsidRPr="00837161">
        <w:fldChar w:fldCharType="separate"/>
      </w:r>
      <w:r w:rsidR="00271B78" w:rsidRPr="00271B78">
        <w:t>(2020)</w:t>
      </w:r>
      <w:r w:rsidR="00CE6D44" w:rsidRPr="00837161">
        <w:fldChar w:fldCharType="end"/>
      </w:r>
      <w:r w:rsidR="0B5CDAEA" w:rsidRPr="00837161">
        <w:t xml:space="preserve"> recorded the occurrence of </w:t>
      </w:r>
      <w:r w:rsidR="00CC4ED1" w:rsidRPr="00837161">
        <w:rPr>
          <w:i/>
          <w:iCs/>
        </w:rPr>
        <w:t>Tubastraea</w:t>
      </w:r>
      <w:r w:rsidR="0B5CDAEA" w:rsidRPr="00837161">
        <w:rPr>
          <w:i/>
          <w:iCs/>
        </w:rPr>
        <w:t xml:space="preserve"> </w:t>
      </w:r>
      <w:r w:rsidR="7157164D" w:rsidRPr="00837161">
        <w:rPr>
          <w:i/>
          <w:iCs/>
        </w:rPr>
        <w:t>coccinea</w:t>
      </w:r>
      <w:r w:rsidR="7157164D" w:rsidRPr="00837161">
        <w:t xml:space="preserve"> and </w:t>
      </w:r>
      <w:r w:rsidR="00CC4ED1" w:rsidRPr="00837161">
        <w:rPr>
          <w:i/>
          <w:iCs/>
        </w:rPr>
        <w:t>Tubastraea</w:t>
      </w:r>
      <w:r w:rsidR="7157164D" w:rsidRPr="00837161">
        <w:rPr>
          <w:i/>
          <w:iCs/>
        </w:rPr>
        <w:t xml:space="preserve"> tagusensis </w:t>
      </w:r>
      <w:r w:rsidR="7157164D" w:rsidRPr="00837161">
        <w:t>attached to floating wood debris and marine litter indicat</w:t>
      </w:r>
      <w:r w:rsidR="72C6720A" w:rsidRPr="00837161">
        <w:t>ing</w:t>
      </w:r>
      <w:r w:rsidR="7157164D" w:rsidRPr="00837161">
        <w:t xml:space="preserve"> rafting over long distances may be another mechanism of range expansion. Genetic </w:t>
      </w:r>
      <w:r w:rsidR="1A0E9FD3" w:rsidRPr="00837161">
        <w:t>a</w:t>
      </w:r>
      <w:r w:rsidR="7157164D" w:rsidRPr="00837161">
        <w:t xml:space="preserve">nalysis of these species revealed multiple invasions, secondary introductions, and clonality </w:t>
      </w:r>
      <w:r w:rsidR="00CE6D44" w:rsidRPr="00837161">
        <w:fldChar w:fldCharType="begin"/>
      </w:r>
      <w:r w:rsidR="000F35EB">
        <w:instrText xml:space="preserve"> ADDIN ZOTERO_ITEM CSL_CITATION {"citationID":"jEgjnDCZ","properties":{"formattedCitation":"(Capel et al., 2019)","plainCitation":"(Capel et al., 2019)","noteIndex":0},"citationItems":[{"id":30879,"uris":["http://zotero.org/groups/2352922/items/KKN6983L"],"itemData":{"id":30879,"type":"article-journal","abstract":"Accidental introduction through ballast water and biofouling are currently the main factors responsible for spreading non-indigenous species in the marine realm. In the Southwestern Atlantic, two scleractinian corals, Tubastraea coccinea and T. tagusensis, have been introduced by opportunistic colonization in 1980 and are now widespread along more than 3,500 km of coastline. To better understand the invasion process and the role of vectors in spreading these species, we sampled 306 and 173 colonies of T. coccinea and T. tagusensis from invaded sites, possible vectors and one native population. Analyses revealed a higher diversity of multi-locus genotypes (MLGs) on vectors, suggesting that they were contaminated prior to their arrival in the Southwestern Atlantic, and a high proportion of clones at invaded sites, with few genotypes spread over ~2,000 km. This broad distribution is most likely a result of secondary introductions through the transport of contaminated vectors. Results also suggest the occurrence of multiple invasions, mainly in the northernmost sites. In summary, clonality, secondary introductions, and multiple invasions are the main reasons for the broad spread and invasive success of Tubastraea spp. in the Southwestern Atlantic. Consequently, the correct control of vectors is the most effective approach for management and prevention of new invasions.","container-title":"Scientific Reports","DOI":"10.1038/s41598-019-50442-3","ISSN":"2045-2322","issue":"1","journalAbbreviation":"Sci Rep","language":"en","license":"2019 The Author(s)","note":"Bandiera_abtest: a\nCc_license_type: cc_by\nCg_type: Nature Research Journals\nnumber: 1\nPrimary_atype: Research\npublisher: Nature Publishing Group\nSubject_term: Invasive species;Molecular ecology;Population genetics\nSubject_term_id: invasive-species;molecular-ecology;population-genetics","page":"13978","source":"www.nature.com","title":"Multiple introductions and secondary dispersion of &lt;i&gt;Tubastraea&lt;/i&gt; spp. in the Southwestern Atlantic","URL":"https://www.nature.com/articles/s41598-019-50442-3","volume":"9","author":[{"family":"Capel","given":"K. C. C."},{"family":"Creed","given":"J."},{"family":"Kitahara","given":"M. V."},{"family":"Chen","given":"C. A."},{"family":"Zilberberg","given":"C."}],"accessed":{"date-parts":[["2021",10,15]]},"issued":{"date-parts":[["2019",9,27]]}},"label":"page"}],"schema":"https://github.com/citation-style-language/schema/raw/master/csl-citation.json"} </w:instrText>
      </w:r>
      <w:r w:rsidR="00CE6D44" w:rsidRPr="00837161">
        <w:fldChar w:fldCharType="separate"/>
      </w:r>
      <w:r w:rsidR="00271B78" w:rsidRPr="00271B78">
        <w:t>(Capel et al., 2019)</w:t>
      </w:r>
      <w:r w:rsidR="00CE6D44" w:rsidRPr="00837161">
        <w:fldChar w:fldCharType="end"/>
      </w:r>
      <w:r w:rsidR="0B5CDAEA" w:rsidRPr="00837161">
        <w:t>.</w:t>
      </w:r>
      <w:r w:rsidR="7157164D" w:rsidRPr="00837161">
        <w:t xml:space="preserve"> </w:t>
      </w:r>
      <w:r w:rsidR="00C0338D">
        <w:t xml:space="preserve">The species-based </w:t>
      </w:r>
      <w:r w:rsidR="6CF410B9" w:rsidRPr="00837161">
        <w:rPr>
          <w:rFonts w:eastAsia="Calibri"/>
        </w:rPr>
        <w:t xml:space="preserve">management </w:t>
      </w:r>
      <w:r w:rsidR="0924F1F9" w:rsidRPr="00837161">
        <w:rPr>
          <w:rFonts w:eastAsia="Calibri"/>
        </w:rPr>
        <w:t xml:space="preserve">goal has been to slow the spread and reduce the negative impacts </w:t>
      </w:r>
      <w:r w:rsidR="00524F91" w:rsidRPr="00837161">
        <w:rPr>
          <w:rFonts w:eastAsia="Calibri"/>
        </w:rPr>
        <w:fldChar w:fldCharType="begin"/>
      </w:r>
      <w:r w:rsidR="000F35EB">
        <w:rPr>
          <w:rFonts w:eastAsia="Calibri"/>
        </w:rPr>
        <w:instrText xml:space="preserve"> ADDIN ZOTERO_ITEM CSL_CITATION {"citationID":"crxx7QcR","properties":{"formattedCitation":"(Creed et al., 2017)","plainCitation":"(Creed et al., 2017)","noteIndex":0},"citationItems":[{"id":22435,"uris":["http://zotero.org/groups/2352922/items/WASEP486"],"itemData":{"id":22435,"type":"article-journal","abstract":"In the 1980s two invasive azooxanthellate corals, Tubastraea coccinea Lesson, 1829 and Tubastraea tagusensis Wells, 1982 (Dendrophyllidae) invaded the Southwest Atlantic. In Brazil, they were first reported from fouling on oil platforms’ and have expanded their range along 3,500km of the coastline. The Sun-Coral Project (PCS) was launched in 2006 as an outreach program aimed at the restoring marine ecosystems, mitigating the environmental damage and redressing the social and economic impacts caused to coastal communities by the sun corals. We train collectors to manually remove the corals from the seabed and earn extra income by selling the skeletons, which are used in craftwork sold to tourists. Engaging human coastal communities in management allowed it to contribute to local sustainable development. The aim of this study was to critically evaluate the first ten years of PCS as a management initiative. We 1) analysed the contribution of PCS to scientific knowledge by carrying out a systematic literature search; 2) reviewed the contribution of the regional and community monitoring program to management planning; 3) analysed management results; 4) identified social-economic effects of extra-income; 5) synthesized information regarding the structure of PCS and the role of environmental education, capacity building, training and communication. PCS is structured into training, environmental restoration, extra income and sustainability, communication, monitoring and research programs. Environmental education is present across all programs. A hotline receives new records, a task force is available for first response management and training, a Visitor’s Center was created for communication and as a field base, and a National Sun Coral Records Database was created to gather all information. The PCS Database compiled historical records and demonstrated that the sun corals continued to expand along the Brazilian coastline during the study period (2006–2016). PCS’s Research, Development and Innovation (R&amp;D&amp;I) Network (14 institutions, 35 members) contributed to knowledge producing 70% of publications dealing with the sun corals in Brazil. Monitoring was able to map distribution and range expansion at 326 monitored sites over four regions. Twenty five different types of outreach actions were identified which directly affected 143,000 people. Two hundred and thirty thousand sun-coral colonies (8.5 T) have been manually removed through 165 control and eradication actions. Eighty six percent of the 22 collectors and their 80 family members said their lives improved due to the extra income. The results presented here demonstrate that PCS has created a science-based, community supported, conservation initiative which provides information for government, the scientific community and stakeholders, as well as extra-income, methods and human resources for monitoring and managing the sun corals invasion.","container-title":"Management of Biological Invasions","DOI":"10.3391/mbi.2017.8.2.06","ISSN":"19898649","issue":"2","journalAbbreviation":"MBI","language":"en","page":"181-195","source":"DOI.org (Crossref)","title":"The Sun-Coral Project: the first social-environmental initiative to manage the biological invasion of &lt;i&gt;Tubastraea&lt;/i&gt; spp. in Brazil","title-short":"The Sun-Coral Project","URL":"http://www.reabic.net/journals/mbi/2017/Issue2.aspx","volume":"8","author":[{"family":"Creed","given":"Joel C."},{"family":"Junqueira","given":"Andrea"},{"family":"Fleury","given":"Beatriz G"},{"family":"Mantelatto","given":"Marcelo C"},{"family":"Oigman-Pszczol","given":"Simone S"}],"accessed":{"date-parts":[["2019",11,30]]},"issued":{"date-parts":[["2017"]]}},"label":"page"}],"schema":"https://github.com/citation-style-language/schema/raw/master/csl-citation.json"} </w:instrText>
      </w:r>
      <w:r w:rsidR="00524F91" w:rsidRPr="00837161">
        <w:rPr>
          <w:rFonts w:eastAsia="Calibri"/>
        </w:rPr>
        <w:fldChar w:fldCharType="separate"/>
      </w:r>
      <w:r w:rsidR="00271B78" w:rsidRPr="00271B78">
        <w:t>(Creed et al., 2017)</w:t>
      </w:r>
      <w:r w:rsidR="00524F91" w:rsidRPr="00837161">
        <w:rPr>
          <w:rFonts w:eastAsia="Calibri"/>
        </w:rPr>
        <w:fldChar w:fldCharType="end"/>
      </w:r>
      <w:r w:rsidR="0924F1F9" w:rsidRPr="00837161">
        <w:rPr>
          <w:rFonts w:eastAsia="Calibri"/>
        </w:rPr>
        <w:t>.</w:t>
      </w:r>
      <w:r w:rsidR="6CF410B9" w:rsidRPr="00837161">
        <w:rPr>
          <w:rFonts w:eastAsia="Calibri"/>
        </w:rPr>
        <w:t xml:space="preserve"> More than 231,000 sun coral colonies (about 8.3 tonnes along the coast of Rio de Janeiro) have been manually collected by trained divers using standard protocols. While preventing dispersal across extensive areas or coastlines was not feasible, focused removal and harvesting efforts provided value by generating income for coral harvesters </w:t>
      </w:r>
      <w:r w:rsidR="00612215" w:rsidRPr="00837161">
        <w:rPr>
          <w:rFonts w:eastAsia="Calibri"/>
        </w:rPr>
        <w:fldChar w:fldCharType="begin"/>
      </w:r>
      <w:r w:rsidR="000F35EB">
        <w:rPr>
          <w:rFonts w:eastAsia="Calibri"/>
        </w:rPr>
        <w:instrText xml:space="preserve"> ADDIN ZOTERO_ITEM CSL_CITATION {"citationID":"LPG8PxFe","properties":{"formattedCitation":"(Creed et al., 2017)","plainCitation":"(Creed et al., 2017)","noteIndex":0},"citationItems":[{"id":22435,"uris":["http://zotero.org/groups/2352922/items/WASEP486"],"itemData":{"id":22435,"type":"article-journal","abstract":"In the 1980s two invasive azooxanthellate corals, Tubastraea coccinea Lesson, 1829 and Tubastraea tagusensis Wells, 1982 (Dendrophyllidae) invaded the Southwest Atlantic. In Brazil, they were first reported from fouling on oil platforms’ and have expanded their range along 3,500km of the coastline. The Sun-Coral Project (PCS) was launched in 2006 as an outreach program aimed at the restoring marine ecosystems, mitigating the environmental damage and redressing the social and economic impacts caused to coastal communities by the sun corals. We train collectors to manually remove the corals from the seabed and earn extra income by selling the skeletons, which are used in craftwork sold to tourists. Engaging human coastal communities in management allowed it to contribute to local sustainable development. The aim of this study was to critically evaluate the first ten years of PCS as a management initiative. We 1) analysed the contribution of PCS to scientific knowledge by carrying out a systematic literature search; 2) reviewed the contribution of the regional and community monitoring program to management planning; 3) analysed management results; 4) identified social-economic effects of extra-income; 5) synthesized information regarding the structure of PCS and the role of environmental education, capacity building, training and communication. PCS is structured into training, environmental restoration, extra income and sustainability, communication, monitoring and research programs. Environmental education is present across all programs. A hotline receives new records, a task force is available for first response management and training, a Visitor’s Center was created for communication and as a field base, and a National Sun Coral Records Database was created to gather all information. The PCS Database compiled historical records and demonstrated that the sun corals continued to expand along the Brazilian coastline during the study period (2006–2016). PCS’s Research, Development and Innovation (R&amp;D&amp;I) Network (14 institutions, 35 members) contributed to knowledge producing 70% of publications dealing with the sun corals in Brazil. Monitoring was able to map distribution and range expansion at 326 monitored sites over four regions. Twenty five different types of outreach actions were identified which directly affected 143,000 people. Two hundred and thirty thousand sun-coral colonies (8.5 T) have been manually removed through 165 control and eradication actions. Eighty six percent of the 22 collectors and their 80 family members said their lives improved due to the extra income. The results presented here demonstrate that PCS has created a science-based, community supported, conservation initiative which provides information for government, the scientific community and stakeholders, as well as extra-income, methods and human resources for monitoring and managing the sun corals invasion.","container-title":"Management of Biological Invasions","DOI":"10.3391/mbi.2017.8.2.06","ISSN":"19898649","issue":"2","journalAbbreviation":"MBI","language":"en","page":"181-195","source":"DOI.org (Crossref)","title":"The Sun-Coral Project: the first social-environmental initiative to manage the biological invasion of &lt;i&gt;Tubastraea&lt;/i&gt; spp. in Brazil","title-short":"The Sun-Coral Project","URL":"http://www.reabic.net/journals/mbi/2017/Issue2.aspx","volume":"8","author":[{"family":"Creed","given":"Joel C."},{"family":"Junqueira","given":"Andrea"},{"family":"Fleury","given":"Beatriz G"},{"family":"Mantelatto","given":"Marcelo C"},{"family":"Oigman-Pszczol","given":"Simone S"}],"accessed":{"date-parts":[["2019",11,30]]},"issued":{"date-parts":[["2017"]]}},"label":"page"}],"schema":"https://github.com/citation-style-language/schema/raw/master/csl-citation.json"} </w:instrText>
      </w:r>
      <w:r w:rsidR="00612215" w:rsidRPr="00837161">
        <w:rPr>
          <w:rFonts w:eastAsia="Calibri"/>
        </w:rPr>
        <w:fldChar w:fldCharType="separate"/>
      </w:r>
      <w:r w:rsidR="00271B78" w:rsidRPr="00271B78">
        <w:t>(Creed et al., 2017)</w:t>
      </w:r>
      <w:r w:rsidR="00612215" w:rsidRPr="00837161">
        <w:rPr>
          <w:rFonts w:eastAsia="Calibri"/>
        </w:rPr>
        <w:fldChar w:fldCharType="end"/>
      </w:r>
      <w:r w:rsidR="6CF410B9" w:rsidRPr="00837161">
        <w:rPr>
          <w:rFonts w:eastAsia="Calibri"/>
        </w:rPr>
        <w:t xml:space="preserve">. </w:t>
      </w:r>
      <w:r w:rsidR="7157164D" w:rsidRPr="00837161">
        <w:t xml:space="preserve">Creed et al. </w:t>
      </w:r>
      <w:r w:rsidR="00E63FEB" w:rsidRPr="00837161">
        <w:fldChar w:fldCharType="begin"/>
      </w:r>
      <w:r w:rsidR="000F35EB">
        <w:instrText xml:space="preserve"> ADDIN ZOTERO_ITEM CSL_CITATION {"citationID":"LRhsTQZG","properties":{"formattedCitation":"(2021)","plainCitation":"(2021)","noteIndex":0},"citationItems":[{"id":32414,"uris":["http://zotero.org/groups/2352922/items/BSIQW5MG"],"itemData":{"id":32414,"type":"article-journal","abstract":"Sun corals Tubastraea spp. from the Indo-Pacific have invaded hard grounds in the Caribbean, Gulf of Mexico, Brazil and Canary Islands where they cause significant ecological and economic damage to native systems, industry and society. In Brazil the National Plan for the Prevention, Control and Monitoring of the Sun Coral requires that sun corals are reduced to acceptable levels in nature and eradicated from vectors. Here we tested the efficiency of manual removal as a management tool at three sites along 260 km of Brazil's coastline with different oceanographic conditions (Ilha Grande, Rio de Janeiro and Cabo Frio). Four treatments were applied to shorelines undergoing management: (a) community removal (the whole benthic community scraped and stripped to bare rock), (b) sun coral single removal (c) sun coral repeated removal at 2 mo revisit) and (d) control areas naturally devoid of Tubastraea spp. Benthic communities were sampled over time using cover estimated from underwater photographs and larvae quantified in plankton trawls during management. The act of manual removal had no significant effect on sun coral larval abundance. The repeated removal method reduced cover at all sites to zero but a single removal was sufficient at sites with low densities of sun coral. The treatment effects varied systematically between sites, depending on local propagule pressure and invasion history. Manual removal is efficient and readily available and should be implemented in synergy with other methods to slow the spread of invaders, promote ecosystem recovery and allow time for the development of additional tools.","container-title":"Ocean &amp; Coastal Management","DOI":"10.1016/j.ocecoaman.2021.105616","ISSN":"0964-5691","journalAbbreviation":"Ocean &amp; Coastal Management","language":"en","page":"105616","source":"ScienceDirect","title":"Multi-site experiments demonstrate that control of invasive corals (&lt;i&gt;Tubastraea&lt;/i&gt; spp.) by manual removal is effective","URL":"https://www.sciencedirect.com/science/article/pii/S0964569121001010","volume":"207","author":[{"family":"Creed","given":"Joel C."},{"family":"Casares","given":"Fernanda A."},{"family":"Oigman-Pszczol","given":"Simone S."},{"family":"Masi","given":"Bruno P."}],"accessed":{"date-parts":[["2021",11,22]]},"issued":{"date-parts":[["2021",6,15]]}},"label":"page","suppress-author":true}],"schema":"https://github.com/citation-style-language/schema/raw/master/csl-citation.json"} </w:instrText>
      </w:r>
      <w:r w:rsidR="00E63FEB" w:rsidRPr="00837161">
        <w:fldChar w:fldCharType="separate"/>
      </w:r>
      <w:r w:rsidR="00271B78" w:rsidRPr="00271B78">
        <w:t>(2021)</w:t>
      </w:r>
      <w:r w:rsidR="00E63FEB" w:rsidRPr="00837161">
        <w:fldChar w:fldCharType="end"/>
      </w:r>
      <w:r w:rsidR="45348593" w:rsidRPr="00837161">
        <w:t xml:space="preserve"> </w:t>
      </w:r>
      <w:r w:rsidR="52B4DDEB" w:rsidRPr="00837161">
        <w:t>document</w:t>
      </w:r>
      <w:r w:rsidR="67E67581" w:rsidRPr="00837161">
        <w:t>ed</w:t>
      </w:r>
      <w:r w:rsidR="45348593" w:rsidRPr="00837161">
        <w:t xml:space="preserve"> </w:t>
      </w:r>
      <w:r w:rsidR="7157164D" w:rsidRPr="00837161">
        <w:t xml:space="preserve">manual removal as </w:t>
      </w:r>
      <w:r w:rsidR="45348593" w:rsidRPr="00837161">
        <w:t>a</w:t>
      </w:r>
      <w:r w:rsidR="7157164D" w:rsidRPr="00837161">
        <w:t xml:space="preserve"> recommended option </w:t>
      </w:r>
      <w:r w:rsidR="00461A3D">
        <w:t>to</w:t>
      </w:r>
      <w:r w:rsidR="7157164D" w:rsidRPr="00837161">
        <w:t xml:space="preserve"> control </w:t>
      </w:r>
      <w:r w:rsidR="00461A3D">
        <w:t>and</w:t>
      </w:r>
      <w:r w:rsidR="00461A3D" w:rsidRPr="00837161">
        <w:t xml:space="preserve"> </w:t>
      </w:r>
      <w:r w:rsidR="7157164D" w:rsidRPr="00837161">
        <w:t xml:space="preserve">slow the spread and/or eradicate </w:t>
      </w:r>
      <w:r w:rsidR="7157164D" w:rsidRPr="00837161">
        <w:rPr>
          <w:i/>
          <w:iCs/>
        </w:rPr>
        <w:t>Tubastraea</w:t>
      </w:r>
      <w:r w:rsidR="7157164D" w:rsidRPr="00837161">
        <w:t xml:space="preserve"> spp.</w:t>
      </w:r>
      <w:r w:rsidR="7BFB0EE5" w:rsidRPr="00837161">
        <w:t>, h</w:t>
      </w:r>
      <w:r w:rsidR="66FC28DB" w:rsidRPr="00837161">
        <w:t xml:space="preserve">owever, </w:t>
      </w:r>
      <w:r w:rsidR="7157164D" w:rsidRPr="00837161">
        <w:rPr>
          <w:i/>
          <w:iCs/>
        </w:rPr>
        <w:t>Tubastraea</w:t>
      </w:r>
      <w:r w:rsidR="7157164D" w:rsidRPr="00837161">
        <w:t xml:space="preserve"> spp. are widely spread in western Atlantic (G</w:t>
      </w:r>
      <w:r w:rsidR="293E394A" w:rsidRPr="00837161">
        <w:t>ulf of Mexico,</w:t>
      </w:r>
      <w:r w:rsidR="7157164D" w:rsidRPr="00837161">
        <w:t xml:space="preserve"> Caribbean, Brazil), occur in dense clusters, and extend to depths beyond </w:t>
      </w:r>
      <w:r w:rsidR="7E7A6EF7" w:rsidRPr="00837161">
        <w:t>accessibility</w:t>
      </w:r>
      <w:r w:rsidR="136CD0C1" w:rsidRPr="00837161">
        <w:t xml:space="preserve"> through </w:t>
      </w:r>
      <w:r w:rsidR="7157164D" w:rsidRPr="00837161">
        <w:t>recreational diving</w:t>
      </w:r>
      <w:r w:rsidR="7118CCF2" w:rsidRPr="00837161">
        <w:t xml:space="preserve"> and </w:t>
      </w:r>
      <w:r w:rsidR="7157164D" w:rsidRPr="00837161">
        <w:t xml:space="preserve">are </w:t>
      </w:r>
      <w:r w:rsidR="66FC28DB" w:rsidRPr="00837161">
        <w:t xml:space="preserve">also </w:t>
      </w:r>
      <w:r w:rsidR="7157164D" w:rsidRPr="00837161">
        <w:t>nearly year-round prolific reproducers</w:t>
      </w:r>
      <w:r w:rsidR="04438367" w:rsidRPr="00837161">
        <w:t>.</w:t>
      </w:r>
      <w:r w:rsidR="7157164D" w:rsidRPr="00837161">
        <w:t xml:space="preserve"> </w:t>
      </w:r>
      <w:r w:rsidR="5A5445A8" w:rsidRPr="00837161">
        <w:t>D</w:t>
      </w:r>
      <w:r w:rsidR="0EE2E9FF" w:rsidRPr="00837161">
        <w:t>ispersal</w:t>
      </w:r>
      <w:r w:rsidR="66C1190D" w:rsidRPr="00837161">
        <w:t xml:space="preserve"> v</w:t>
      </w:r>
      <w:r w:rsidR="7157164D" w:rsidRPr="00837161">
        <w:t>ectors are ubiquitous</w:t>
      </w:r>
      <w:r w:rsidR="136CD0C1" w:rsidRPr="00837161">
        <w:t>,</w:t>
      </w:r>
      <w:r w:rsidR="5F48B1A3" w:rsidRPr="00837161">
        <w:t xml:space="preserve"> </w:t>
      </w:r>
      <w:r w:rsidR="38CF08FC" w:rsidRPr="00837161">
        <w:t>which</w:t>
      </w:r>
      <w:r w:rsidR="474545FB" w:rsidRPr="00837161">
        <w:t xml:space="preserve"> </w:t>
      </w:r>
      <w:r w:rsidR="6A6273F6" w:rsidRPr="00837161">
        <w:t>may</w:t>
      </w:r>
      <w:r w:rsidR="18FF7434" w:rsidRPr="00837161">
        <w:t xml:space="preserve"> </w:t>
      </w:r>
      <w:r w:rsidR="5F48B1A3" w:rsidRPr="00837161">
        <w:t xml:space="preserve">assist </w:t>
      </w:r>
      <w:r w:rsidR="7157164D" w:rsidRPr="00837161">
        <w:t>coloniz</w:t>
      </w:r>
      <w:r w:rsidR="5F48B1A3" w:rsidRPr="00837161">
        <w:t>ation</w:t>
      </w:r>
      <w:r w:rsidR="7157164D" w:rsidRPr="00837161">
        <w:t xml:space="preserve"> from surrounding areas</w:t>
      </w:r>
      <w:r w:rsidR="03F804F2" w:rsidRPr="00837161">
        <w:t xml:space="preserve">. </w:t>
      </w:r>
      <w:r w:rsidR="2AE3B4AE" w:rsidRPr="00837161">
        <w:t xml:space="preserve">Although </w:t>
      </w:r>
      <w:r w:rsidR="229C1C0E" w:rsidRPr="00837161">
        <w:t>use</w:t>
      </w:r>
      <w:r w:rsidR="0122AB55" w:rsidRPr="00837161">
        <w:t xml:space="preserve">d as </w:t>
      </w:r>
      <w:r w:rsidR="36BD8F7B" w:rsidRPr="00837161">
        <w:t xml:space="preserve">a </w:t>
      </w:r>
      <w:r w:rsidR="0122AB55" w:rsidRPr="00837161">
        <w:t xml:space="preserve">resource, containment or controlling these species is </w:t>
      </w:r>
      <w:r w:rsidR="229C1C0E" w:rsidRPr="00837161">
        <w:t>unfeasible, even at local scale.</w:t>
      </w:r>
      <w:r w:rsidR="2AE3B4AE" w:rsidRPr="00837161">
        <w:t xml:space="preserve"> </w:t>
      </w:r>
      <w:r w:rsidR="6BA4AAC0" w:rsidRPr="00837161">
        <w:t xml:space="preserve">This really </w:t>
      </w:r>
      <w:r w:rsidR="75A281E2" w:rsidRPr="00837161">
        <w:t>questions the trac</w:t>
      </w:r>
      <w:r w:rsidR="6D0F9F7B" w:rsidRPr="00837161">
        <w:t>t</w:t>
      </w:r>
      <w:r w:rsidR="75A281E2" w:rsidRPr="00837161">
        <w:t xml:space="preserve">ability of </w:t>
      </w:r>
      <w:r w:rsidR="3B320991" w:rsidRPr="00837161">
        <w:t>manual removal</w:t>
      </w:r>
      <w:r w:rsidR="6D0F9F7B" w:rsidRPr="00837161">
        <w:t>-based eradication</w:t>
      </w:r>
      <w:r w:rsidR="00461A3D">
        <w:t xml:space="preserve"> of these species</w:t>
      </w:r>
      <w:r w:rsidR="6D0F9F7B" w:rsidRPr="00837161">
        <w:t xml:space="preserve"> </w:t>
      </w:r>
      <w:r w:rsidR="00CE6D44" w:rsidRPr="00837161">
        <w:fldChar w:fldCharType="begin"/>
      </w:r>
      <w:r w:rsidR="000F35EB">
        <w:instrText xml:space="preserve"> ADDIN ZOTERO_ITEM CSL_CITATION {"citationID":"f5AI8v9o","properties":{"formattedCitation":"(Sammarco et al., 2013)","plainCitation":"(Sammarco et al., 2013)","noteIndex":0},"citationItems":[{"id":30188,"uris":["http://zotero.org/groups/2352922/items/9JTJPHQ5"],"itemData":{"id":30188,"type":"article-journal","abstract":"The Indo-Pacific coral Tubastraea micranthus recently invaded a region near the Mississippi River mouth, Gulf of Mexico, and its populations have been expanding. Its congener, Tubastraea coccinea, invaded during the 1940s and is now common in the western Atlantic. Accessibility is important in determining whether an invasive species can be controlled/eradicated. In the marine environment, depth limits accessibility. We assessed the depth distribution of T. micranthus and T. coccinea on 15 oil/gas platforms using remotely operated vehicles (ROVs). Pooled data indicated that T. micranthus extends to 138 m and probably deeper, while T. coccinea is generally limited to &lt; 78 m. Average depths for T. micranthus were shallower west of the Mississippi River, in its plume, and deeper towards the east. Tubastraea coccinea exhibited a similar geographic depth-distribution pattern, but shallower and subtler. Broad geographic patterns were similar whether using density or percent-cover data for analysis. When considering individual platforms, T. micranthus often reached the bottom and sometimes occurred at depths &gt;138 m. Tubastraea coccinea were limited to shallow waters on all platforms. Detailed depth distribution patterns varied significantly between analyses using density and percent-cover data, with density probably indicating colonization rates, and percent-cover colony growth. Depth limitation by T. coccinea may be associated with food availability rather than light since it is azooxanthellate. The occurrence of T. micranthus in deep water will most likely make any control or eradication efforts difficult, due to cost and a rapid rate of population expansion.","container-title":"Management of Biological Invasions","DOI":"10.3391/mbi.2013.4.4.04","ISSN":"19898649","issue":"4","journalAbbreviation":"MBI","language":"en","page":"291-303","source":"DOI.org (Crossref)","title":"Depth distribution of a new invasive coral (Gulf of Mexico) – &lt;i&gt;Tubastraea micranthus&lt;/i&gt;, comparisons with &lt;i&gt;T. coccinea&lt;/i&gt;, and implications for control","URL":"http://www.reabic.net/journals/mbi/2013/Issue4.aspx","volume":"4","author":[{"family":"Sammarco","given":"Paul W"},{"family":"Porter","given":"Scott A"},{"family":"Sinclair","given":"James"},{"family":"Genazzio","given":"Melissa"}],"accessed":{"date-parts":[["2021",9,15]]},"issued":{"date-parts":[["2013",12]]}},"label":"page"}],"schema":"https://github.com/citation-style-language/schema/raw/master/csl-citation.json"} </w:instrText>
      </w:r>
      <w:r w:rsidR="00CE6D44" w:rsidRPr="00837161">
        <w:fldChar w:fldCharType="separate"/>
      </w:r>
      <w:r w:rsidR="00271B78" w:rsidRPr="00271B78">
        <w:t>(Sammarco et al., 2013)</w:t>
      </w:r>
      <w:r w:rsidR="00CE6D44" w:rsidRPr="00837161">
        <w:fldChar w:fldCharType="end"/>
      </w:r>
      <w:r w:rsidR="474545FB" w:rsidRPr="00837161">
        <w:t>.</w:t>
      </w:r>
    </w:p>
    <w:p w14:paraId="000001DE" w14:textId="77777777" w:rsidR="00A758FD" w:rsidRDefault="00C8128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jc w:val="center"/>
      </w:pPr>
      <w:r>
        <w:rPr>
          <w:noProof/>
        </w:rPr>
        <w:drawing>
          <wp:inline distT="0" distB="0" distL="0" distR="0" wp14:anchorId="2A7EA5C9" wp14:editId="57AAD6FA">
            <wp:extent cx="6115050" cy="2337435"/>
            <wp:effectExtent l="0" t="0" r="0" b="0"/>
            <wp:docPr id="1971555467" name="image28.png" descr="Close-up of an underwater plan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8.png" descr="Close-up of an underwater plant&#10;&#10;Description automatically generated"/>
                    <pic:cNvPicPr preferRelativeResize="0"/>
                  </pic:nvPicPr>
                  <pic:blipFill>
                    <a:blip r:embed="rId37"/>
                    <a:srcRect/>
                    <a:stretch>
                      <a:fillRect/>
                    </a:stretch>
                  </pic:blipFill>
                  <pic:spPr>
                    <a:xfrm>
                      <a:off x="0" y="0"/>
                      <a:ext cx="6115050" cy="2337435"/>
                    </a:xfrm>
                    <a:prstGeom prst="rect">
                      <a:avLst/>
                    </a:prstGeom>
                    <a:ln/>
                  </pic:spPr>
                </pic:pic>
              </a:graphicData>
            </a:graphic>
          </wp:inline>
        </w:drawing>
      </w:r>
    </w:p>
    <w:p w14:paraId="000001DF" w14:textId="2E307BA2" w:rsidR="00A758FD" w:rsidRPr="00C0338D" w:rsidRDefault="00C81287" w:rsidP="00C0338D">
      <w:pPr>
        <w:pBdr>
          <w:top w:val="single" w:sz="4" w:space="1" w:color="000000"/>
          <w:left w:val="single" w:sz="4" w:space="1" w:color="000000"/>
          <w:bottom w:val="single" w:sz="4" w:space="1" w:color="000000"/>
          <w:right w:val="single" w:sz="4" w:space="1" w:color="000000"/>
        </w:pBdr>
        <w:shd w:val="clear" w:color="auto" w:fill="E7E6E6" w:themeFill="background2"/>
        <w:spacing w:line="240" w:lineRule="auto"/>
      </w:pPr>
      <w:bookmarkStart w:id="195" w:name="_heading=h.4bvk7pj" w:colFirst="0" w:colLast="0"/>
      <w:bookmarkStart w:id="196" w:name="_Ref104970693"/>
      <w:bookmarkStart w:id="197" w:name="_Ref131082926"/>
      <w:bookmarkStart w:id="198" w:name="_Toc87623106"/>
      <w:bookmarkStart w:id="199" w:name="_Toc147489363"/>
      <w:bookmarkEnd w:id="195"/>
      <w:r w:rsidRPr="00C0338D">
        <w:rPr>
          <w:b/>
        </w:rPr>
        <w:t>Figure 5</w:t>
      </w:r>
      <w:r w:rsidR="7D644481" w:rsidRPr="00837161">
        <w:rPr>
          <w:b/>
          <w:bCs/>
        </w:rPr>
        <w:t>.</w:t>
      </w:r>
      <w:r w:rsidR="7D644481" w:rsidRPr="00837161">
        <w:rPr>
          <w:b/>
          <w:bCs/>
        </w:rPr>
        <w:fldChar w:fldCharType="begin"/>
      </w:r>
      <w:r w:rsidR="7D644481" w:rsidRPr="00837161">
        <w:rPr>
          <w:b/>
          <w:bCs/>
        </w:rPr>
        <w:instrText xml:space="preserve"> SEQ Figure_5. \* ARABIC </w:instrText>
      </w:r>
      <w:r w:rsidR="7D644481" w:rsidRPr="00837161">
        <w:rPr>
          <w:b/>
          <w:bCs/>
        </w:rPr>
        <w:fldChar w:fldCharType="separate"/>
      </w:r>
      <w:r w:rsidR="00DC77F8">
        <w:rPr>
          <w:b/>
          <w:bCs/>
          <w:noProof/>
        </w:rPr>
        <w:t>10</w:t>
      </w:r>
      <w:r w:rsidR="7D644481" w:rsidRPr="00837161">
        <w:rPr>
          <w:b/>
          <w:bCs/>
        </w:rPr>
        <w:fldChar w:fldCharType="end"/>
      </w:r>
      <w:bookmarkEnd w:id="196"/>
      <w:r w:rsidR="002776DB" w:rsidRPr="00837161">
        <w:rPr>
          <w:b/>
          <w:bCs/>
        </w:rPr>
        <w:t>.</w:t>
      </w:r>
      <w:r w:rsidRPr="00C0338D">
        <w:rPr>
          <w:b/>
        </w:rPr>
        <w:t xml:space="preserve"> </w:t>
      </w:r>
      <w:r w:rsidRPr="00C0338D">
        <w:t xml:space="preserve">Invasive alien coral </w:t>
      </w:r>
      <w:r w:rsidRPr="00C0338D">
        <w:rPr>
          <w:i/>
        </w:rPr>
        <w:t>Tubastraea</w:t>
      </w:r>
      <w:r w:rsidRPr="00C0338D">
        <w:t xml:space="preserve"> spp. (sun coral or coral-sol in Portuguese) off the Brazilian coast. The colony on the right has been manually removed as part of a species-</w:t>
      </w:r>
      <w:r w:rsidR="31A410C8">
        <w:t>based</w:t>
      </w:r>
      <w:r w:rsidRPr="00C0338D">
        <w:t xml:space="preserve"> management programme.</w:t>
      </w:r>
      <w:bookmarkEnd w:id="197"/>
      <w:r w:rsidRPr="00C0338D">
        <w:t xml:space="preserve"> </w:t>
      </w:r>
      <w:bookmarkEnd w:id="198"/>
      <w:r w:rsidRPr="00C0338D">
        <w:t>Photo credit: Joel C. Creed, Projeto Coral-Sol/UERJ –</w:t>
      </w:r>
      <w:r w:rsidR="00E87F41" w:rsidRPr="00E87F41">
        <w:t xml:space="preserve"> </w:t>
      </w:r>
      <w:r w:rsidR="00E87F41">
        <w:t>under license</w:t>
      </w:r>
      <w:r w:rsidRPr="00C0338D">
        <w:t xml:space="preserve"> CC BY 4.0.</w:t>
      </w:r>
      <w:bookmarkEnd w:id="199"/>
    </w:p>
    <w:p w14:paraId="000001E0" w14:textId="4770C742" w:rsidR="00A758FD" w:rsidRPr="00C0338D" w:rsidRDefault="00C81287">
      <w:pPr>
        <w:spacing w:before="240" w:after="120" w:line="240" w:lineRule="auto"/>
      </w:pPr>
      <w:r w:rsidRPr="00C0338D">
        <w:t xml:space="preserve">Some widely established invasive alien species </w:t>
      </w:r>
      <w:r w:rsidR="6F37074E" w:rsidRPr="00837161">
        <w:t>(</w:t>
      </w:r>
      <w:r w:rsidR="00191A6E">
        <w:rPr>
          <w:b/>
          <w:iCs/>
        </w:rPr>
        <w:t>Figure 5.1</w:t>
      </w:r>
      <w:r w:rsidR="6F37074E" w:rsidRPr="00837161">
        <w:t>)</w:t>
      </w:r>
      <w:r w:rsidRPr="00C0338D">
        <w:t xml:space="preserve"> can be targeted using classical biological control (</w:t>
      </w:r>
      <w:r w:rsidRPr="00C0338D">
        <w:rPr>
          <w:b/>
        </w:rPr>
        <w:t>sections 5.4</w:t>
      </w:r>
      <w:r w:rsidRPr="00C0338D">
        <w:t>,</w:t>
      </w:r>
      <w:r w:rsidRPr="00C0338D">
        <w:rPr>
          <w:b/>
        </w:rPr>
        <w:t xml:space="preserve"> 5.5</w:t>
      </w:r>
      <w:r w:rsidRPr="00C0338D">
        <w:t>) aimed at suppressing populations (number of individuals) at local and landscape levels</w:t>
      </w:r>
      <w:r w:rsidR="00461A3D">
        <w:t>.</w:t>
      </w:r>
      <w:r w:rsidRPr="00C0338D">
        <w:t xml:space="preserve"> </w:t>
      </w:r>
      <w:r w:rsidR="00461A3D">
        <w:t>T</w:t>
      </w:r>
      <w:r w:rsidRPr="00C0338D">
        <w:t xml:space="preserve">here have been over one hundred successful programmes </w:t>
      </w:r>
      <w:r w:rsidR="00461A3D">
        <w:t xml:space="preserve">using </w:t>
      </w:r>
      <w:r w:rsidR="00461A3D">
        <w:lastRenderedPageBreak/>
        <w:t xml:space="preserve">biological control </w:t>
      </w:r>
      <w:r w:rsidRPr="00C0338D">
        <w:t xml:space="preserve">against invasive alien </w:t>
      </w:r>
      <w:r w:rsidR="00461A3D">
        <w:t>plants</w:t>
      </w:r>
      <w:r w:rsidR="00461A3D" w:rsidRPr="00C0338D">
        <w:t xml:space="preserve"> </w:t>
      </w:r>
      <w:r w:rsidR="007E5C85" w:rsidRPr="00837161">
        <w:fldChar w:fldCharType="begin"/>
      </w:r>
      <w:r w:rsidR="000F35EB">
        <w:instrText xml:space="preserve"> ADDIN ZOTERO_ITEM CSL_CITATION {"citationID":"Gk4KaWy6","properties":{"formattedCitation":"(Schwarzl\\uc0\\u228{}nder et al., 2018)","plainCitation":"(Schwarzländer et al., 2018)","noteIndex":0},"citationItems":[{"id":53066,"uris":["http://zotero.org/groups/2352922/items/97RIQSYL","http://zotero.org/groups/2352922/items/4W5BW4YF"],"itemData":{"id":53066,"type":"article-journal","abstract":"The foremost document that comprehensively reports on biological control introductions against weeds—‘Biological control of weeds: a world catalogue of agents and their target weeds’—has been updated and now includes all deliberate releases made through 2012. It includes data on 1555 intentional releases of 468 biological control agent species used against 175 species of target weeds in 48 plant families, in 90 countries. For 55 (31.4%) of the target weed species, only one biocontrol agent was introduced. The largest number of agent species (44) was introduced for the biological control of Lantana camara (Verbenaceae). Three insect orders (Coleoptera, Lepidoptera and Diptera) comprised about 80% of all biocontrol agent species released and releases made. Of the 468 biocontrol agent species introduced, 332 (70.9%) established in at least one instance. Of the 313 species, for which impact could be categorized, 172 (55.0%) caused medium, variable or heavy levels of damage (impacts). Of all releases made through 2012, 982 (63.2%) led to establishment. Forty-two releases were judged too early post-release to categorize impact, leaving 940 releases for which impact analyses were conducted. Similar to agent species, approximately half of the established releases (503 or 53.5%) caused medium, variable or heavy levels of damage on the target weeds, and almost a quarter of releases (225 or 23.9%) caused heavy impact. Across all countries and regions, 65.7% of the weeds targeted for biological control experienced some level of control. These data indicate the value of this practice, on its own, or as a supplement to other methods, in the management of invasive plants.","container-title":"BioControl","DOI":"10.1007/s10526-018-9890-8","ISSN":"1573-8248","issue":"3","journalAbbreviation":"BioControl","language":"en","page":"319-331","source":"Springer Link","title":"Biological control of weeds: an analysis of introductions, rates of establishment and estimates of success, worldwide","title-short":"Biological control of weeds","URL":"https://doi.org/10.1007/s10526-018-9890-8","volume":"63","author":[{"family":"Schwarzländer","given":"M."},{"family":"Hinz","given":"Hariet L."},{"family":"Winston","given":"R. L."},{"family":"Day","given":"M. D."}],"accessed":{"date-parts":[["2022",8,31]]},"issued":{"date-parts":[["2018",6,1]]}},"label":"page"}],"schema":"https://github.com/citation-style-language/schema/raw/master/csl-citation.json"} </w:instrText>
      </w:r>
      <w:r w:rsidR="007E5C85" w:rsidRPr="00837161">
        <w:fldChar w:fldCharType="separate"/>
      </w:r>
      <w:r w:rsidR="00271B78" w:rsidRPr="00271B78">
        <w:t>(Schwarzländer et al., 2018)</w:t>
      </w:r>
      <w:r w:rsidR="007E5C85" w:rsidRPr="00837161">
        <w:fldChar w:fldCharType="end"/>
      </w:r>
      <w:r w:rsidR="6F37074E" w:rsidRPr="00837161">
        <w:t>.</w:t>
      </w:r>
      <w:r w:rsidRPr="00C0338D">
        <w:t xml:space="preserve"> For example, a survey with local communities in </w:t>
      </w:r>
      <w:r w:rsidR="00AC25D6">
        <w:t>E</w:t>
      </w:r>
      <w:r w:rsidRPr="00C0338D">
        <w:t xml:space="preserve">astern Africa showed </w:t>
      </w:r>
      <w:r w:rsidRPr="00C0338D">
        <w:rPr>
          <w:i/>
        </w:rPr>
        <w:t>Opuntia stricta</w:t>
      </w:r>
      <w:r w:rsidRPr="00C0338D">
        <w:t xml:space="preserve"> (erect prickly pear) contributed to the loss of grazing land</w:t>
      </w:r>
      <w:r w:rsidR="00C16EEB">
        <w:t xml:space="preserve"> and</w:t>
      </w:r>
      <w:r w:rsidRPr="00C0338D">
        <w:t xml:space="preserve"> health impacts (e.g., mouth sores, weight loss and death) of livestock but only 20 per cent of respondents could attempt manual control </w:t>
      </w:r>
      <w:r w:rsidR="001B0409" w:rsidRPr="00837161">
        <w:fldChar w:fldCharType="begin"/>
      </w:r>
      <w:r w:rsidR="000F35EB">
        <w:instrText xml:space="preserve"> ADDIN ZOTERO_ITEM CSL_CITATION {"citationID":"h0V3vcUy","properties":{"formattedCitation":"(R. T. Shackleton et al., 2017)","plainCitation":"(R. T. Shackleton et al., 2017)","noteIndex":0},"citationItems":[{"id":30416,"uris":["http://zotero.org/groups/2352922/items/D857AK2E"],"itemData":{"id":30416,"type":"article-journal","container-title":"Biological Invasions","DOI":"10.1007/s10530-017-1453-x","ISSN":"1387-3547, 1573-1464","issue":"8","journalAbbreviation":"Biol Invasions","language":"en","page":"2427-2441","source":"DOI.org (Crossref)","title":"Distribution and socio-ecological impacts of the invasive alien cactus &lt;i&gt;Opuntia stricta&lt;/i&gt; in eastern Africa","URL":"http://link.springer.com/10.1007/s10530-017-1453-x","volume":"19","author":[{"family":"Shackleton","given":"Ross T."},{"family":"Witt","given":"A.B.R."},{"family":"Piroris","given":"F.M."},{"family":"Wilgen","given":"Brian W.","non-dropping-particle":"van"}],"accessed":{"date-parts":[["2019",10,3]]},"issued":{"date-parts":[["2017",8]]}},"label":"page"}],"schema":"https://github.com/citation-style-language/schema/raw/master/csl-citation.json"} </w:instrText>
      </w:r>
      <w:r w:rsidR="001B0409" w:rsidRPr="00837161">
        <w:fldChar w:fldCharType="separate"/>
      </w:r>
      <w:r w:rsidR="00271B78" w:rsidRPr="00271B78">
        <w:t>(R. T. Shackleton et al., 2017)</w:t>
      </w:r>
      <w:r w:rsidR="001B0409" w:rsidRPr="00837161">
        <w:fldChar w:fldCharType="end"/>
      </w:r>
      <w:r w:rsidR="6F37074E" w:rsidRPr="00837161">
        <w:t>.</w:t>
      </w:r>
      <w:r w:rsidRPr="00C0338D">
        <w:t xml:space="preserve"> The subsequent release of the </w:t>
      </w:r>
      <w:r w:rsidRPr="00C0338D">
        <w:rPr>
          <w:i/>
        </w:rPr>
        <w:t>Opuntia stricta</w:t>
      </w:r>
      <w:r w:rsidRPr="00C0338D">
        <w:t xml:space="preserve"> specific genotype of </w:t>
      </w:r>
      <w:r w:rsidRPr="00C0338D">
        <w:rPr>
          <w:i/>
        </w:rPr>
        <w:t>Dactylopius opuntiae</w:t>
      </w:r>
      <w:r w:rsidRPr="00C0338D">
        <w:t xml:space="preserve"> (prickly pear cochineal)</w:t>
      </w:r>
      <w:r w:rsidRPr="00C0338D">
        <w:rPr>
          <w:i/>
        </w:rPr>
        <w:t xml:space="preserve"> </w:t>
      </w:r>
      <w:r w:rsidRPr="00C0338D">
        <w:t>as a biocontrol agent led to very effective management. In Tahiti</w:t>
      </w:r>
      <w:r w:rsidR="00AC25D6">
        <w:t>,</w:t>
      </w:r>
      <w:r w:rsidRPr="00C0338D">
        <w:t xml:space="preserve"> biological control using the fungus </w:t>
      </w:r>
      <w:r w:rsidRPr="00C0338D">
        <w:rPr>
          <w:i/>
          <w:sz w:val="23"/>
        </w:rPr>
        <w:t>Colletotrichum gloeosporioides</w:t>
      </w:r>
      <w:r w:rsidRPr="00C0338D">
        <w:rPr>
          <w:sz w:val="23"/>
        </w:rPr>
        <w:t xml:space="preserve"> f. sp. </w:t>
      </w:r>
      <w:r w:rsidRPr="00C0338D">
        <w:rPr>
          <w:i/>
          <w:sz w:val="23"/>
        </w:rPr>
        <w:t>miconiae</w:t>
      </w:r>
      <w:r w:rsidRPr="00C0338D">
        <w:t xml:space="preserve"> of the pan-pacific invasive alien plant </w:t>
      </w:r>
      <w:r w:rsidRPr="00C0338D">
        <w:rPr>
          <w:i/>
        </w:rPr>
        <w:t>Miconia calvescens</w:t>
      </w:r>
      <w:r w:rsidRPr="00C0338D">
        <w:t xml:space="preserve"> (miconia) from South America has effectively broken the complete canopy cover of </w:t>
      </w:r>
      <w:r w:rsidRPr="00C0338D">
        <w:rPr>
          <w:i/>
        </w:rPr>
        <w:t>Miconia calvescens</w:t>
      </w:r>
      <w:r w:rsidRPr="00C0338D">
        <w:t xml:space="preserve"> allowing native species to return, but manual removal is still important in ongoing ecosystem restoration </w:t>
      </w:r>
      <w:r w:rsidR="006057FF" w:rsidRPr="00837161">
        <w:fldChar w:fldCharType="begin"/>
      </w:r>
      <w:r w:rsidR="000F35EB">
        <w:instrText xml:space="preserve"> ADDIN ZOTERO_ITEM CSL_CITATION {"citationID":"mmfl1OP7","properties":{"formattedCitation":"(Meyer, 2008)","plainCitation":"(Meyer, 2008)","noteIndex":0},"citationItems":[{"id":32191,"uris":["http://zotero.org/groups/2352922/items/BM5P7IUP"],"itemData":{"id":32191,"type":"paper-conference","container-title":"Proceedings of the 16th Australian Weeds Conference","language":"en","page":"433","source":"Zotero","title":"Is eradication of the invasive tree miconia feasible? Lessons from 15 years of active management in French Polynesia (Pacific Islands)","URL":"https://caws.org.nz/old-site/awc/2008/awc200814331.pdf","author":[{"family":"Meyer","given":"Jean-Yves"}],"editor":[{"family":"Van Klinken","given":"R.D."},{"family":"Osten","given":"V. A."},{"family":"Panetta","given":"F. D."},{"family":"Scanlan","given":"J. ."}],"issued":{"date-parts":[["2008"]]}},"label":"page"}],"schema":"https://github.com/citation-style-language/schema/raw/master/csl-citation.json"} </w:instrText>
      </w:r>
      <w:r w:rsidR="006057FF" w:rsidRPr="00837161">
        <w:fldChar w:fldCharType="separate"/>
      </w:r>
      <w:r w:rsidR="00271B78" w:rsidRPr="00271B78">
        <w:t>(Meyer, 2008)</w:t>
      </w:r>
      <w:r w:rsidR="006057FF" w:rsidRPr="00837161">
        <w:fldChar w:fldCharType="end"/>
      </w:r>
      <w:r w:rsidR="4A6B978E" w:rsidRPr="00837161">
        <w:t>.</w:t>
      </w:r>
    </w:p>
    <w:p w14:paraId="23FF37FE" w14:textId="11C50A1D" w:rsidR="001B0409" w:rsidRPr="00837161" w:rsidRDefault="25399E5D" w:rsidP="00C11DFA">
      <w:pPr>
        <w:spacing w:before="240" w:after="120" w:line="240" w:lineRule="auto"/>
        <w:rPr>
          <w:rFonts w:eastAsia="Calibri"/>
          <w:color w:val="000000" w:themeColor="text1"/>
        </w:rPr>
      </w:pPr>
      <w:r w:rsidRPr="00837161">
        <w:rPr>
          <w:lang w:eastAsia="ja-JP"/>
        </w:rPr>
        <w:t xml:space="preserve">A review of 76 relevant case studies suggested that </w:t>
      </w:r>
      <w:r w:rsidR="50DE0F8F" w:rsidRPr="00837161">
        <w:rPr>
          <w:lang w:eastAsia="ja-JP"/>
        </w:rPr>
        <w:t xml:space="preserve">the </w:t>
      </w:r>
      <w:r w:rsidRPr="00837161">
        <w:rPr>
          <w:lang w:eastAsia="ja-JP"/>
        </w:rPr>
        <w:t xml:space="preserve">majority of the management conducted by </w:t>
      </w:r>
      <w:r w:rsidR="00875C95" w:rsidRPr="00837161">
        <w:rPr>
          <w:lang w:eastAsia="ja-JP"/>
        </w:rPr>
        <w:t>Indigenous Peoples</w:t>
      </w:r>
      <w:r w:rsidRPr="00837161">
        <w:rPr>
          <w:lang w:eastAsia="ja-JP"/>
        </w:rPr>
        <w:t xml:space="preserve"> and local communities is </w:t>
      </w:r>
      <w:r w:rsidR="00C0338D">
        <w:t xml:space="preserve">species-based </w:t>
      </w:r>
      <w:r w:rsidRPr="00837161">
        <w:rPr>
          <w:lang w:eastAsia="ja-JP"/>
        </w:rPr>
        <w:t>(</w:t>
      </w:r>
      <w:r w:rsidR="00C0338D">
        <w:rPr>
          <w:b/>
          <w:iCs/>
          <w:lang w:eastAsia="ja-JP"/>
        </w:rPr>
        <w:t>S</w:t>
      </w:r>
      <w:r w:rsidR="67660D1E" w:rsidRPr="00CF348C">
        <w:rPr>
          <w:b/>
          <w:iCs/>
          <w:lang w:eastAsia="ja-JP"/>
        </w:rPr>
        <w:t xml:space="preserve">upplementary </w:t>
      </w:r>
      <w:r w:rsidRPr="00CF348C">
        <w:rPr>
          <w:b/>
          <w:iCs/>
          <w:lang w:eastAsia="ja-JP"/>
        </w:rPr>
        <w:t>material 5.</w:t>
      </w:r>
      <w:r w:rsidR="00D37F1B" w:rsidRPr="00CF348C">
        <w:rPr>
          <w:b/>
          <w:iCs/>
          <w:lang w:eastAsia="ja-JP"/>
        </w:rPr>
        <w:t>1</w:t>
      </w:r>
      <w:r w:rsidRPr="00837161">
        <w:rPr>
          <w:lang w:eastAsia="ja-JP"/>
        </w:rPr>
        <w:t xml:space="preserve">). Therefore, </w:t>
      </w:r>
      <w:r w:rsidR="4D1B4529" w:rsidRPr="00837161">
        <w:rPr>
          <w:lang w:eastAsia="ja-JP"/>
        </w:rPr>
        <w:t>some</w:t>
      </w:r>
      <w:r w:rsidRPr="00837161">
        <w:rPr>
          <w:lang w:eastAsia="ja-JP"/>
        </w:rPr>
        <w:t xml:space="preserve"> </w:t>
      </w:r>
      <w:r w:rsidR="00AC25D6">
        <w:rPr>
          <w:lang w:eastAsia="ja-JP"/>
        </w:rPr>
        <w:t>Indigenous P</w:t>
      </w:r>
      <w:r w:rsidRPr="00837161">
        <w:rPr>
          <w:lang w:eastAsia="ja-JP"/>
        </w:rPr>
        <w:t xml:space="preserve">eoples and </w:t>
      </w:r>
      <w:r w:rsidR="00AC25D6">
        <w:rPr>
          <w:lang w:eastAsia="ja-JP"/>
        </w:rPr>
        <w:t xml:space="preserve">local </w:t>
      </w:r>
      <w:r w:rsidRPr="00837161">
        <w:rPr>
          <w:lang w:eastAsia="ja-JP"/>
        </w:rPr>
        <w:t>commun</w:t>
      </w:r>
      <w:r w:rsidR="5A34306A" w:rsidRPr="00837161">
        <w:rPr>
          <w:lang w:eastAsia="ja-JP"/>
        </w:rPr>
        <w:t>i</w:t>
      </w:r>
      <w:r w:rsidRPr="00837161">
        <w:rPr>
          <w:lang w:eastAsia="ja-JP"/>
        </w:rPr>
        <w:t>ties have developed</w:t>
      </w:r>
      <w:r w:rsidR="1CF1FCB8" w:rsidRPr="00837161">
        <w:t xml:space="preserve"> knowledge and culture </w:t>
      </w:r>
      <w:r w:rsidR="00AC25D6">
        <w:t xml:space="preserve">that are </w:t>
      </w:r>
      <w:r w:rsidR="1CF1FCB8" w:rsidRPr="00837161">
        <w:t xml:space="preserve">critical for motivating </w:t>
      </w:r>
      <w:r w:rsidR="00C0338D">
        <w:t xml:space="preserve">species-based </w:t>
      </w:r>
      <w:r w:rsidR="1CF1FCB8" w:rsidRPr="00837161">
        <w:t>actions and prioritizing targets</w:t>
      </w:r>
      <w:r w:rsidR="544A5F3A" w:rsidRPr="00837161">
        <w:t xml:space="preserve">, in many cases </w:t>
      </w:r>
      <w:r w:rsidR="3B6D013A" w:rsidRPr="00837161">
        <w:t>utili</w:t>
      </w:r>
      <w:r w:rsidR="1DE8AAC5" w:rsidRPr="00837161">
        <w:t>z</w:t>
      </w:r>
      <w:r w:rsidR="3B6D013A" w:rsidRPr="00837161">
        <w:t>ing</w:t>
      </w:r>
      <w:r w:rsidR="544A5F3A" w:rsidRPr="00837161">
        <w:t xml:space="preserve"> avai</w:t>
      </w:r>
      <w:r w:rsidR="0863FE14" w:rsidRPr="00837161">
        <w:t>l</w:t>
      </w:r>
      <w:r w:rsidR="544A5F3A" w:rsidRPr="00837161">
        <w:t xml:space="preserve">able resources </w:t>
      </w:r>
      <w:r w:rsidR="010F2B9F" w:rsidRPr="00837161">
        <w:t>as part of</w:t>
      </w:r>
      <w:r w:rsidR="544A5F3A" w:rsidRPr="00837161">
        <w:t xml:space="preserve"> local management</w:t>
      </w:r>
      <w:r w:rsidR="1CF1FCB8" w:rsidRPr="00837161">
        <w:t>. I</w:t>
      </w:r>
      <w:r w:rsidR="1CF1FCB8" w:rsidRPr="00837161">
        <w:rPr>
          <w:rFonts w:eastAsia="Calibri"/>
          <w:color w:val="000000" w:themeColor="text1"/>
        </w:rPr>
        <w:t xml:space="preserve">n Canada, </w:t>
      </w:r>
      <w:r w:rsidR="1CF1FCB8" w:rsidRPr="00837161">
        <w:rPr>
          <w:rFonts w:eastAsia="Calibri"/>
          <w:i/>
          <w:iCs/>
          <w:color w:val="000000" w:themeColor="text1"/>
        </w:rPr>
        <w:t>Fraxinus nigra</w:t>
      </w:r>
      <w:r w:rsidR="1CF1FCB8" w:rsidRPr="00837161">
        <w:rPr>
          <w:rFonts w:eastAsia="Calibri"/>
          <w:color w:val="000000" w:themeColor="text1"/>
        </w:rPr>
        <w:t xml:space="preserve"> (black ash) is </w:t>
      </w:r>
      <w:r w:rsidR="00AC25D6">
        <w:rPr>
          <w:rFonts w:eastAsia="Calibri"/>
          <w:color w:val="000000" w:themeColor="text1"/>
        </w:rPr>
        <w:t>threatened by</w:t>
      </w:r>
      <w:r w:rsidR="1CF1FCB8" w:rsidRPr="00837161">
        <w:rPr>
          <w:rFonts w:eastAsia="Calibri"/>
          <w:color w:val="000000" w:themeColor="text1"/>
        </w:rPr>
        <w:t xml:space="preserve"> the invasive </w:t>
      </w:r>
      <w:r w:rsidR="00C533BC" w:rsidRPr="00837161">
        <w:rPr>
          <w:rFonts w:eastAsia="Calibri"/>
          <w:color w:val="000000" w:themeColor="text1"/>
        </w:rPr>
        <w:t xml:space="preserve">alien </w:t>
      </w:r>
      <w:r w:rsidR="1CF1FCB8" w:rsidRPr="00837161">
        <w:rPr>
          <w:rFonts w:eastAsia="Calibri"/>
          <w:color w:val="000000" w:themeColor="text1"/>
        </w:rPr>
        <w:t xml:space="preserve">beetle </w:t>
      </w:r>
      <w:r w:rsidR="1CF1FCB8" w:rsidRPr="00837161">
        <w:rPr>
          <w:rFonts w:eastAsia="Calibri"/>
          <w:i/>
          <w:iCs/>
          <w:color w:val="000000" w:themeColor="text1"/>
        </w:rPr>
        <w:t>Agrilus planipennis</w:t>
      </w:r>
      <w:r w:rsidR="052CED07" w:rsidRPr="00837161">
        <w:rPr>
          <w:rFonts w:eastAsia="Calibri"/>
          <w:color w:val="000000" w:themeColor="text1"/>
        </w:rPr>
        <w:t xml:space="preserve"> </w:t>
      </w:r>
      <w:r w:rsidR="1CF1FCB8" w:rsidRPr="00837161">
        <w:rPr>
          <w:rFonts w:eastAsia="Calibri"/>
          <w:color w:val="000000" w:themeColor="text1"/>
        </w:rPr>
        <w:t>(</w:t>
      </w:r>
      <w:r w:rsidR="052CED07" w:rsidRPr="00837161">
        <w:rPr>
          <w:rFonts w:eastAsia="Calibri"/>
          <w:color w:val="000000" w:themeColor="text1"/>
        </w:rPr>
        <w:t>emerald ash borer</w:t>
      </w:r>
      <w:r w:rsidR="1CF1FCB8" w:rsidRPr="00837161">
        <w:rPr>
          <w:rFonts w:eastAsia="Calibri"/>
          <w:color w:val="000000" w:themeColor="text1"/>
        </w:rPr>
        <w:t xml:space="preserve">). The </w:t>
      </w:r>
      <w:r w:rsidR="00461A3D">
        <w:rPr>
          <w:rFonts w:eastAsia="Calibri"/>
          <w:color w:val="000000" w:themeColor="text1"/>
        </w:rPr>
        <w:t>I</w:t>
      </w:r>
      <w:r w:rsidR="1CF1FCB8" w:rsidRPr="00837161">
        <w:rPr>
          <w:rFonts w:eastAsia="Calibri"/>
          <w:color w:val="000000" w:themeColor="text1"/>
        </w:rPr>
        <w:t xml:space="preserve">ndigenous Kahnawake </w:t>
      </w:r>
      <w:r w:rsidR="00AC25D6">
        <w:rPr>
          <w:rFonts w:eastAsia="Calibri"/>
          <w:color w:val="000000" w:themeColor="text1"/>
        </w:rPr>
        <w:t>P</w:t>
      </w:r>
      <w:r w:rsidR="1CF1FCB8" w:rsidRPr="00837161">
        <w:rPr>
          <w:rFonts w:eastAsia="Calibri"/>
          <w:color w:val="000000" w:themeColor="text1"/>
        </w:rPr>
        <w:t xml:space="preserve">eople use </w:t>
      </w:r>
      <w:r w:rsidR="007E5C85" w:rsidRPr="00837161">
        <w:rPr>
          <w:rFonts w:eastAsia="Calibri"/>
          <w:i/>
          <w:iCs/>
          <w:color w:val="000000" w:themeColor="text1"/>
        </w:rPr>
        <w:t>Fraxinus</w:t>
      </w:r>
      <w:r w:rsidR="1CF1FCB8" w:rsidRPr="00837161">
        <w:rPr>
          <w:rFonts w:eastAsia="Calibri"/>
          <w:i/>
          <w:iCs/>
          <w:color w:val="000000" w:themeColor="text1"/>
        </w:rPr>
        <w:t xml:space="preserve"> nigra</w:t>
      </w:r>
      <w:r w:rsidR="1CF1FCB8" w:rsidRPr="00837161">
        <w:rPr>
          <w:rFonts w:eastAsia="Calibri"/>
          <w:color w:val="000000" w:themeColor="text1"/>
        </w:rPr>
        <w:t xml:space="preserve"> trees for basket making, which has increased the public demand for conserving </w:t>
      </w:r>
      <w:r w:rsidR="007E5C85" w:rsidRPr="00837161">
        <w:rPr>
          <w:rFonts w:eastAsia="Calibri"/>
          <w:i/>
          <w:iCs/>
          <w:color w:val="000000" w:themeColor="text1"/>
        </w:rPr>
        <w:t>Fraxinus</w:t>
      </w:r>
      <w:r w:rsidR="1CF1FCB8" w:rsidRPr="00837161">
        <w:rPr>
          <w:rFonts w:eastAsia="Calibri"/>
          <w:i/>
          <w:iCs/>
          <w:color w:val="000000" w:themeColor="text1"/>
        </w:rPr>
        <w:t xml:space="preserve"> nigra</w:t>
      </w:r>
      <w:r w:rsidR="1CF1FCB8" w:rsidRPr="00837161">
        <w:rPr>
          <w:rFonts w:eastAsia="Calibri"/>
          <w:color w:val="000000" w:themeColor="text1"/>
        </w:rPr>
        <w:t xml:space="preserve">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{"citationID":"zXdZbwFd","properties":{"formattedCitation":"(IPBES,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6579C45C" w:rsidRPr="00837161">
        <w:rPr>
          <w:rFonts w:eastAsia="Calibri"/>
          <w:color w:val="000000" w:themeColor="text1"/>
        </w:rPr>
        <w:fldChar w:fldCharType="separate"/>
      </w:r>
      <w:r w:rsidR="00271B78" w:rsidRPr="00271B78">
        <w:t>(IPBES, 2020)</w:t>
      </w:r>
      <w:r w:rsidR="6579C45C" w:rsidRPr="00837161">
        <w:rPr>
          <w:rFonts w:eastAsia="Calibri"/>
          <w:color w:val="000000" w:themeColor="text1"/>
        </w:rPr>
        <w:fldChar w:fldCharType="end"/>
      </w:r>
      <w:r w:rsidR="1CF1FCB8" w:rsidRPr="00837161">
        <w:rPr>
          <w:rFonts w:eastAsia="Calibri"/>
          <w:color w:val="000000" w:themeColor="text1"/>
        </w:rPr>
        <w:t xml:space="preserve">. </w:t>
      </w:r>
      <w:r w:rsidR="1CF1FCB8" w:rsidRPr="00837161">
        <w:t>In Hawaii</w:t>
      </w:r>
      <w:r w:rsidR="26DC803A" w:rsidRPr="00837161">
        <w:t>,</w:t>
      </w:r>
      <w:r w:rsidR="1CF1FCB8" w:rsidRPr="00837161">
        <w:t xml:space="preserve"> traditional gatherers of native ferns for cultural practices incorporate manual control of invasive alien plants to manage the fern resource </w:t>
      </w:r>
      <w:r w:rsidR="6579C45C" w:rsidRPr="00837161">
        <w:fldChar w:fldCharType="begin"/>
      </w:r>
      <w:r w:rsidR="000F35EB">
        <w:instrText xml:space="preserve"> ADDIN ZOTERO_ITEM CSL_CITATION {"citationID":"xxt61W0z","properties":{"formattedCitation":"(Ticktin et al., 2006)","plainCitation":"(Ticktin et al., 2006)","noteIndex":0},"citationItems":[{"id":23672,"uris":["http://zotero.org/groups/2352922/items/XWXN9YIF"],"itemData":{"id":23672,"type":"article-journal","abstract":"Traditional resource management (TRM) systems in tropical forests can provide insights on sustainable resource use, but despite the growing prevalence of degraded tropical forest habitats, few studies have assessed the relationships between TRM and conservation in these environments. In Hawaii, the traditional gathering of native wild plants used for hula (chants and dance) and lei (garlands) is carried out in forests increasingly dominated by alien invasive species. Ethnographic methods and exploratory experimental harvests were employed to examine: gathering of hula plants in the past and present, ecological impacts of contemporary gathering practices of three important native hula species in alien-dominated forests, and relationships between traditional practices and past and modern conservation. Past gathering traditions included practices to increase and conserve hula plant populations. Harvest of Microlepia strigosa fern fronds significantly decreased M. strigosa cover over the short term. Cover of alien species significantly increased after frond-harvest of Sphenomeris chinensis. Regeneration of the fruit-harvested shrub, Melicope anisata, was significantly negatively correlated with the level of understorey invasive species. These results suggest that in Hawai'i's alien-dominated forests, gathering of some species may increase spread of alien invasive species or exacerbate regeneration problems caused by invasive species. However, some expert cultural practitioners have adapted traditional practices to ensure hula plant conservation by incorporating weeding of alien invasive species into their protocols. The re-strengthening and adaptation of traditional Hawaiian knowledge and social institutions to the modern context can provide opportunities to improve conservation of Hawai'i's culturally-important native plants and their habitats.","archive":"JSTOR","container-title":"Environmental Conservation","ISSN":"0376-8929","issue":"3","note":"publisher: Cambridge University Press","page":"185-194","source":"JSTOR","title":"Traditional gathering of native hula plants in alien-invaded Hawaiian forests: adaptive practices, impacts on alien invasive species and conservation implications","title-short":"Traditional gathering of native hula plants in alien-invaded Hawaiian forests","URL":"https://www.jstor.org/stable/44521908","volume":"33","author":[{"family":"Ticktin","given":"Tamara"},{"family":"Whitehead","given":"A. NĀMAKA"},{"family":"Fraiola","given":"HŌ'ALA"}],"accessed":{"date-parts":[["2020",8,13]]},"issued":{"date-parts":[["2006"]]}},"label":"page"}],"schema":"https://github.com/citation-style-language/schema/raw/master/csl-citation.json"} </w:instrText>
      </w:r>
      <w:r w:rsidR="6579C45C" w:rsidRPr="00837161">
        <w:fldChar w:fldCharType="separate"/>
      </w:r>
      <w:r w:rsidR="00271B78" w:rsidRPr="00271B78">
        <w:t>(Ticktin et al., 2006)</w:t>
      </w:r>
      <w:r w:rsidR="6579C45C" w:rsidRPr="00837161">
        <w:fldChar w:fldCharType="end"/>
      </w:r>
      <w:r w:rsidR="1CF1FCB8" w:rsidRPr="00837161">
        <w:t xml:space="preserve">. </w:t>
      </w:r>
      <w:r w:rsidR="1CF1FCB8" w:rsidRPr="00837161">
        <w:rPr>
          <w:rFonts w:eastAsia="Calibri"/>
          <w:color w:val="000000" w:themeColor="text1"/>
        </w:rPr>
        <w:t xml:space="preserve">In a different approach, </w:t>
      </w:r>
      <w:r w:rsidRPr="00837161">
        <w:t xml:space="preserve">management </w:t>
      </w:r>
      <w:r w:rsidR="00AC25D6">
        <w:t>can be</w:t>
      </w:r>
      <w:r w:rsidR="00AC25D6" w:rsidRPr="00837161">
        <w:t xml:space="preserve"> </w:t>
      </w:r>
      <w:r w:rsidRPr="00837161">
        <w:t xml:space="preserve">done through utilization of targeted invasive alien species. For example, </w:t>
      </w:r>
      <w:r w:rsidR="1CF1FCB8" w:rsidRPr="00837161">
        <w:rPr>
          <w:rFonts w:eastAsia="Calibri"/>
          <w:color w:val="000000" w:themeColor="text1"/>
        </w:rPr>
        <w:t xml:space="preserve">the </w:t>
      </w:r>
      <w:r w:rsidR="00461A3D">
        <w:rPr>
          <w:rFonts w:eastAsia="Calibri"/>
          <w:color w:val="000000" w:themeColor="text1"/>
        </w:rPr>
        <w:t>I</w:t>
      </w:r>
      <w:r w:rsidR="1CF1FCB8" w:rsidRPr="00837161">
        <w:rPr>
          <w:rFonts w:eastAsia="Calibri"/>
          <w:color w:val="000000" w:themeColor="text1"/>
        </w:rPr>
        <w:t>ndigenous Maya Kaqchikel community in Guatemala</w:t>
      </w:r>
      <w:r w:rsidR="00AC25D6">
        <w:rPr>
          <w:rFonts w:eastAsia="Calibri"/>
          <w:color w:val="000000" w:themeColor="text1"/>
        </w:rPr>
        <w:t xml:space="preserve"> has</w:t>
      </w:r>
      <w:r w:rsidR="1CF1FCB8" w:rsidRPr="00837161">
        <w:rPr>
          <w:rFonts w:eastAsia="Calibri"/>
          <w:color w:val="000000" w:themeColor="text1"/>
        </w:rPr>
        <w:t xml:space="preserve"> recognized the negative impacts of </w:t>
      </w:r>
      <w:r w:rsidR="1CF1FCB8" w:rsidRPr="00837161">
        <w:rPr>
          <w:rFonts w:eastAsia="Calibri"/>
          <w:i/>
          <w:iCs/>
          <w:color w:val="000000" w:themeColor="text1"/>
        </w:rPr>
        <w:t>Pseudopanax laetevirens</w:t>
      </w:r>
      <w:r w:rsidR="6E9EAB8F" w:rsidRPr="00837161">
        <w:rPr>
          <w:rFonts w:eastAsia="Calibri"/>
          <w:color w:val="000000" w:themeColor="text1"/>
        </w:rPr>
        <w:t xml:space="preserve"> (</w:t>
      </w:r>
      <w:r w:rsidR="00C0338D">
        <w:rPr>
          <w:rFonts w:eastAsia="Calibri"/>
          <w:color w:val="000000" w:themeColor="text1"/>
        </w:rPr>
        <w:t>sauco</w:t>
      </w:r>
      <w:r w:rsidR="00C53076" w:rsidRPr="00837161">
        <w:rPr>
          <w:rFonts w:eastAsia="Calibri"/>
          <w:color w:val="000000" w:themeColor="text1"/>
        </w:rPr>
        <w:t xml:space="preserve"> tree or </w:t>
      </w:r>
      <w:r w:rsidR="6710332A" w:rsidRPr="00837161">
        <w:rPr>
          <w:rFonts w:eastAsia="Calibri"/>
          <w:color w:val="000000" w:themeColor="text1"/>
        </w:rPr>
        <w:t xml:space="preserve">saúco cimarrón </w:t>
      </w:r>
      <w:r w:rsidR="7243F39E" w:rsidRPr="00837161">
        <w:rPr>
          <w:rFonts w:eastAsia="Calibri"/>
          <w:color w:val="000000" w:themeColor="text1"/>
        </w:rPr>
        <w:t>in Spanish</w:t>
      </w:r>
      <w:r w:rsidR="1CF1FCB8" w:rsidRPr="00837161">
        <w:rPr>
          <w:rFonts w:eastAsia="Calibri"/>
          <w:color w:val="000000" w:themeColor="text1"/>
        </w:rPr>
        <w:t>)</w:t>
      </w:r>
      <w:r w:rsidR="0EEB6F6A" w:rsidRPr="00837161">
        <w:rPr>
          <w:rFonts w:eastAsia="Calibri"/>
          <w:color w:val="000000" w:themeColor="text1"/>
        </w:rPr>
        <w:t xml:space="preserve"> and c</w:t>
      </w:r>
      <w:r w:rsidR="1CF1FCB8" w:rsidRPr="00837161">
        <w:rPr>
          <w:rFonts w:eastAsia="Calibri"/>
          <w:color w:val="000000" w:themeColor="text1"/>
        </w:rPr>
        <w:t>ommunity control efforts</w:t>
      </w:r>
      <w:r w:rsidR="00AC25D6">
        <w:rPr>
          <w:rFonts w:eastAsia="Calibri"/>
          <w:color w:val="000000" w:themeColor="text1"/>
        </w:rPr>
        <w:t xml:space="preserve"> have</w:t>
      </w:r>
      <w:r w:rsidR="1CF1FCB8" w:rsidRPr="00837161">
        <w:rPr>
          <w:rFonts w:eastAsia="Calibri"/>
          <w:color w:val="000000" w:themeColor="text1"/>
        </w:rPr>
        <w:t xml:space="preserve"> included developing alternative uses for </w:t>
      </w:r>
      <w:r w:rsidR="00AC25D6" w:rsidRPr="00837161">
        <w:rPr>
          <w:rFonts w:eastAsia="Calibri"/>
          <w:i/>
          <w:iCs/>
          <w:color w:val="000000" w:themeColor="text1"/>
        </w:rPr>
        <w:t>Pseudopanax laetevirens</w:t>
      </w:r>
      <w:r w:rsidR="00AC25D6">
        <w:rPr>
          <w:rFonts w:eastAsia="Calibri"/>
          <w:color w:val="000000" w:themeColor="text1"/>
        </w:rPr>
        <w:t xml:space="preserve">, including in </w:t>
      </w:r>
      <w:r w:rsidR="1CF1FCB8" w:rsidRPr="00837161">
        <w:rPr>
          <w:rFonts w:eastAsia="Calibri"/>
          <w:color w:val="000000" w:themeColor="text1"/>
        </w:rPr>
        <w:t>food and medicine, which</w:t>
      </w:r>
      <w:r w:rsidR="00AC25D6">
        <w:rPr>
          <w:rFonts w:eastAsia="Calibri"/>
          <w:color w:val="000000" w:themeColor="text1"/>
        </w:rPr>
        <w:t xml:space="preserve"> has</w:t>
      </w:r>
      <w:r w:rsidR="1CF1FCB8" w:rsidRPr="00837161">
        <w:rPr>
          <w:rFonts w:eastAsia="Calibri"/>
          <w:color w:val="000000" w:themeColor="text1"/>
        </w:rPr>
        <w:t xml:space="preserve"> improved awareness of the benefits and impacts of the tree</w:t>
      </w:r>
      <w:r w:rsidR="4798F3CD" w:rsidRPr="00837161">
        <w:rPr>
          <w:rFonts w:eastAsia="Calibri"/>
          <w:color w:val="000000" w:themeColor="text1"/>
        </w:rPr>
        <w:t>,</w:t>
      </w:r>
      <w:r w:rsidR="1CF1FCB8" w:rsidRPr="00837161">
        <w:rPr>
          <w:rFonts w:eastAsia="Calibri"/>
          <w:color w:val="000000" w:themeColor="text1"/>
        </w:rPr>
        <w:t xml:space="preserve"> helping </w:t>
      </w:r>
      <w:r w:rsidR="1DC891D6" w:rsidRPr="00837161">
        <w:rPr>
          <w:rFonts w:eastAsia="Calibri"/>
          <w:color w:val="000000" w:themeColor="text1"/>
        </w:rPr>
        <w:t xml:space="preserve">to </w:t>
      </w:r>
      <w:r w:rsidR="1CF1FCB8" w:rsidRPr="00837161">
        <w:rPr>
          <w:rFonts w:eastAsia="Calibri"/>
          <w:color w:val="000000" w:themeColor="text1"/>
        </w:rPr>
        <w:t xml:space="preserve">limit its spread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{"citationID":"fQape3AS","properties":{"formattedCitation":"(IPBES,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6579C45C" w:rsidRPr="00837161">
        <w:rPr>
          <w:rFonts w:eastAsia="Calibri"/>
          <w:color w:val="000000" w:themeColor="text1"/>
        </w:rPr>
        <w:fldChar w:fldCharType="separate"/>
      </w:r>
      <w:r w:rsidR="00271B78" w:rsidRPr="00271B78">
        <w:t>(IPBES, 2020)</w:t>
      </w:r>
      <w:r w:rsidR="6579C45C" w:rsidRPr="00837161">
        <w:rPr>
          <w:rFonts w:eastAsia="Calibri"/>
          <w:color w:val="000000" w:themeColor="text1"/>
        </w:rPr>
        <w:fldChar w:fldCharType="end"/>
      </w:r>
      <w:r w:rsidR="1CF1FCB8" w:rsidRPr="00837161">
        <w:rPr>
          <w:rFonts w:eastAsia="Calibri"/>
          <w:color w:val="000000" w:themeColor="text1"/>
        </w:rPr>
        <w:t xml:space="preserve">. Similarly, the loss of native vegetation for livestock feed in various local communities in East Africa (Kenya and Tanzania) from the invasion of the </w:t>
      </w:r>
      <w:r w:rsidR="1CF1FCB8" w:rsidRPr="00837161">
        <w:rPr>
          <w:rFonts w:eastAsia="Calibri"/>
          <w:i/>
          <w:iCs/>
          <w:color w:val="000000" w:themeColor="text1"/>
        </w:rPr>
        <w:t>Prosopis juliflora</w:t>
      </w:r>
      <w:r w:rsidR="1CF1FCB8" w:rsidRPr="00837161">
        <w:rPr>
          <w:rFonts w:eastAsia="Calibri"/>
          <w:color w:val="000000" w:themeColor="text1"/>
        </w:rPr>
        <w:t xml:space="preserve"> </w:t>
      </w:r>
      <w:r w:rsidR="7918B1B8" w:rsidRPr="00837161">
        <w:rPr>
          <w:rFonts w:eastAsia="Calibri"/>
          <w:color w:val="000000" w:themeColor="text1"/>
        </w:rPr>
        <w:t xml:space="preserve">(mesquite) </w:t>
      </w:r>
      <w:r w:rsidR="1CF1FCB8" w:rsidRPr="00837161">
        <w:rPr>
          <w:rFonts w:eastAsia="Calibri"/>
          <w:color w:val="000000" w:themeColor="text1"/>
        </w:rPr>
        <w:t>tree since the 1970s led to the development of alternative uses of it for firewood and livestock food supporting livelihoods</w:t>
      </w:r>
      <w:r w:rsidR="0450C07E" w:rsidRPr="00837161">
        <w:rPr>
          <w:rFonts w:eastAsia="Calibri"/>
          <w:color w:val="000000" w:themeColor="text1"/>
        </w:rPr>
        <w:t xml:space="preserve"> </w:t>
      </w:r>
      <w:r w:rsidR="002502C4" w:rsidRPr="00837161">
        <w:rPr>
          <w:rFonts w:eastAsia="Calibri"/>
          <w:color w:val="000000" w:themeColor="text1"/>
        </w:rPr>
        <w:t>(</w:t>
      </w:r>
      <w:r w:rsidR="00CF348C">
        <w:rPr>
          <w:rFonts w:eastAsia="Calibri"/>
          <w:b/>
          <w:iCs/>
          <w:color w:val="000000" w:themeColor="text1"/>
        </w:rPr>
        <w:t>C</w:t>
      </w:r>
      <w:r w:rsidR="3EE29F08" w:rsidRPr="00CF348C">
        <w:rPr>
          <w:rFonts w:eastAsia="Calibri"/>
          <w:b/>
          <w:iCs/>
          <w:color w:val="000000" w:themeColor="text1"/>
        </w:rPr>
        <w:t>hapter</w:t>
      </w:r>
      <w:r w:rsidR="0450C07E" w:rsidRPr="00CF348C">
        <w:rPr>
          <w:rFonts w:eastAsia="Calibri"/>
          <w:b/>
          <w:iCs/>
          <w:color w:val="000000" w:themeColor="text1"/>
        </w:rPr>
        <w:t xml:space="preserve"> 4</w:t>
      </w:r>
      <w:r w:rsidR="474C0C59" w:rsidRPr="00CF348C">
        <w:rPr>
          <w:rFonts w:eastAsia="Calibri"/>
          <w:iCs/>
          <w:color w:val="000000" w:themeColor="text1"/>
        </w:rPr>
        <w:t>,</w:t>
      </w:r>
      <w:r w:rsidR="474C0C59" w:rsidRPr="00CF348C">
        <w:rPr>
          <w:rFonts w:eastAsia="Calibri"/>
          <w:b/>
          <w:iCs/>
          <w:color w:val="000000" w:themeColor="text1"/>
        </w:rPr>
        <w:t xml:space="preserve"> Box 4.</w:t>
      </w:r>
      <w:r w:rsidR="00700FEF" w:rsidRPr="00CF348C">
        <w:rPr>
          <w:rFonts w:eastAsia="Calibri"/>
          <w:b/>
          <w:iCs/>
          <w:color w:val="000000" w:themeColor="text1"/>
        </w:rPr>
        <w:t>9</w:t>
      </w:r>
      <w:r w:rsidR="474C0C59" w:rsidRPr="00837161">
        <w:rPr>
          <w:rFonts w:eastAsia="Calibri"/>
          <w:color w:val="000000" w:themeColor="text1"/>
        </w:rPr>
        <w:t>)</w:t>
      </w:r>
      <w:r w:rsidR="1CF1FCB8" w:rsidRPr="00837161">
        <w:rPr>
          <w:rFonts w:eastAsia="Calibri"/>
          <w:color w:val="000000" w:themeColor="text1"/>
        </w:rPr>
        <w:t xml:space="preserve">. Nonetheless, spread has continued unabated </w:t>
      </w:r>
      <w:r w:rsidR="6579C45C" w:rsidRPr="00837161">
        <w:rPr>
          <w:rFonts w:eastAsia="Calibri"/>
          <w:color w:val="000000" w:themeColor="text1"/>
        </w:rPr>
        <w:fldChar w:fldCharType="begin"/>
      </w:r>
      <w:r w:rsidR="00E25D54">
        <w:rPr>
          <w:rFonts w:eastAsia="Calibri"/>
          <w:color w:val="000000" w:themeColor="text1"/>
        </w:rPr>
        <w:instrText xml:space="preserve"> ADDIN ZOTERO_ITEM CSL_CITATION {"citationID":"FnnqtGvA","properties":{"formattedCitation":"(Mbaabu et al., 2019)","plainCitation":"(Mbaabu et al., 2019)","noteIndex":0},"citationItems":[{"id":24031,"uris":["http://zotero.org/groups/2352922/items/YFDBFIQS"],"itemData":{"id":24031,"type":"article-journal","abstract":"Woody alien plant species have been deliberately introduced globally in many arid and semi-arid regions, as they can provide services and goods to the rural poor. However, some of these alien trees and shrubs have become invasive over time, with important impacts on biodiversity, ecosystem services, and human well-being. Prosopis was introduced in Baringo County, Kenya, in the 1980s, but since then, it has spread rapidly from the original plantations to new areas. To assess land-use and land-cover (LULC) changes and dynamics in Baringo, we used a combination of dry and wet season Landsat satellite data acquired over a seven-year time interval between 1988-2016, and performed a supervised Random Forest classification. For each time interval, we calculated the extent of Prosopis invasion, rates of spread, gains and losses of specific LULC classes, and the relative importance of Prosopis invasion on LULC changes. The overall accuracy and kappa coefficients of the LULC classifications ranged between 98.1-98.5% and 0.93-0.96, respectively. We found that Prosopis coverage increased from 882 ha in 1988 to 18,792 ha in 2016. The highest negative changes in LULC classes were found for grasslands (-6252 ha; -86%), irrigated cropland (-849 ha; -57%), Vachellia tortilis-dominated vegetation (-3602 ha; -42%), and rainfed cropland (-1432 ha; -37%). Prosopis invasion alone directly accounted for over 30% of these negative changes, suggesting that Prosopis invasion is a key driver of the observed LULC changes in Baringo County. Although the management of Prosopis by utilization has been promoted in Baringo for 10-15 years, the spread of Prosopis has not stopped or slowed down. This suggests that Prosopis management in Baringo and other invaded areas in East Africa needs to be based on a more integrated approach. © 2019 by the authors.","container-title":"Remote Sensing","DOI":"10.3390/rs11101217","issue":"10","language":"en","page":"1217","title":"Spatial evolution of prosopis invasion and its effects on LULC and livelihoods in Baringo, Kenya","URL":"https://www.scopus.com/inward/record.uri?eid=2-s2.0-85066753498&amp;doi=10.3390%2frs11101217&amp;partnerID=40&amp;md5=e9cbe28af9aa9bd691b2e3736b907534","volume":"11","author":[{"family":"Mbaabu","given":"P.R."},{"family":"Ng","given":"W.-T."},{"family":"Schaffner","given":"U."},{"family":"Gichaba","given":"M."},{"family":"Olago","given":"D."},{"family":"Choge","given":"S."},{"family":"Oriaso","given":"S."},{"family":"Eckert","given":"S."}],"issued":{"date-parts":[["2019"]]}},"label":"page"}],"schema":"https://github.com/citation-style-language/schema/raw/master/csl-citation.json"} </w:instrText>
      </w:r>
      <w:r w:rsidR="6579C45C" w:rsidRPr="00837161">
        <w:rPr>
          <w:rFonts w:eastAsia="Calibri"/>
          <w:color w:val="000000" w:themeColor="text1"/>
        </w:rPr>
        <w:fldChar w:fldCharType="separate"/>
      </w:r>
      <w:r w:rsidR="00271B78" w:rsidRPr="00271B78">
        <w:t>(Mbaabu et al., 2019)</w:t>
      </w:r>
      <w:r w:rsidR="6579C45C" w:rsidRPr="00837161">
        <w:rPr>
          <w:rFonts w:eastAsia="Calibri"/>
          <w:color w:val="000000" w:themeColor="text1"/>
        </w:rPr>
        <w:fldChar w:fldCharType="end"/>
      </w:r>
      <w:r w:rsidR="252F34B1" w:rsidRPr="00837161">
        <w:rPr>
          <w:rFonts w:eastAsia="Calibri"/>
          <w:color w:val="000000" w:themeColor="text1"/>
        </w:rPr>
        <w:t xml:space="preserve"> and </w:t>
      </w:r>
      <w:r w:rsidR="00461A3D" w:rsidRPr="00837161">
        <w:rPr>
          <w:rFonts w:eastAsia="Calibri"/>
          <w:i/>
          <w:iCs/>
          <w:color w:val="000000" w:themeColor="text1"/>
        </w:rPr>
        <w:t>Prosopis juliflora</w:t>
      </w:r>
      <w:r w:rsidR="00461A3D" w:rsidRPr="00837161">
        <w:rPr>
          <w:rFonts w:eastAsia="Calibri"/>
          <w:color w:val="000000" w:themeColor="text1"/>
        </w:rPr>
        <w:t xml:space="preserve"> </w:t>
      </w:r>
      <w:r w:rsidR="252F34B1" w:rsidRPr="00837161">
        <w:rPr>
          <w:rFonts w:eastAsia="Calibri"/>
          <w:color w:val="000000" w:themeColor="text1"/>
        </w:rPr>
        <w:t xml:space="preserve">has been declared as a major invasive alien species in Ethiopia, Kenya, India, South Africa and the Sudan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{"citationID":"2dMyjodK","properties":{"formattedCitation":"(Chandrasekaran &amp; Swamy, 2016; R. T. Shackleton et al., 2014)","plainCitation":"(Chandrasekaran &amp; Swamy, 2016; R. T. Shackleton et al., 2014)","noteIndex":0},"citationItems":[{"id":11579,"uris":["http://zotero.org/groups/2352922/items/KH3WRL3B"],"itemData":{"id":11579,"type":"chapter","abstract":"Prosopis juliflora, an exotic plant popularly known as the poor man’s fuel wood, has been spreading all over the country. In the semiarid region of Tamil Nadu, especially in and around Ramnad district, P. juliflora has been systematically harvested","container-title":"Nature, Economy and Society: Understanding the Linkages","event-place":"New Delhi","ISBN":"978-81-322-2404-4","language":"en","note":"DOI: 10.1007/978-81-322-2404-4_18","page":"347–357","publisher":"Springer, India","publisher-place":"New Delhi","source":"www.springerprofessional.de","title":"Ecological and Socioeconomic Impacts of &lt;i&gt;Prosopis juliflora&lt;/i&gt; Invasion in the Semiarid Ecosystems in Selected Villages of Ramnad District in Tamil Nadu","URL":"https://doi.org/10.1007/978-81-322-2404-4_18","author":[{"family":"Chandrasekaran","given":"S"},{"family":"Swamy","given":"P.S."}],"editor":[{"family":"Ghosh","given":"Nilanjan"},{"family":"Mukhopadhyay","given":"Pranab"},{"family":"Shah","given":"Amita"},{"family":"Panda","given":"Manoj"}],"accessed":{"date-parts":[["2020",7,28]]},"issued":{"date-parts":[["2016"]]}},"label":"page"},{"id":30997,"uris":["http://zotero.org/groups/2352922/items/QFIBHHV3"],"itemData":{"id":30997,"type":"article-journal","abstract":"Invasive species cause ecological, economic and social impacts and are key drivers of global change. This is the case for the genus Prosopis (mesquite; Fabaceae) where several taxa are among the world's most damaging invasive species. Many contentious issues ('conflicts of interest') surround these taxa, and management interventions have not yet sustainably reduced the negative impacts. There is an urgent need to better understand the factors that drive invasions and shape management actions, and to compare the effectiveness of different management approaches. This paper presents a global review of Prosopis, focusing on its distribution, impacts, benefits and approaches to management. Prosopis was found to occur in a 129 countries globally and many more countries are climatically suitable. All areas with naturalized or invasive Prosopis species at present are suitable for more taxa and many Asian and Mediterranean countries with no records of Prosopis are bioclimatically suitable. Several Prosopis species have substantial impacts on biodiversity, ecosystem services, and local and regional economies in their native and even more so in their invasive ranges; others provide multiple benefits to local communities. Management efforts are underway in only a small part of the invaded range. Countries where more research has been done are more likely to implement formal management than those where little published research is available. Management strategies differ among countries; developed nations use mainly mechanical and chemical control whereas developing nations tend to apply control through utilization approaches. A range of countries are also using biological control. Key gaps in knowledge and promising options for management are highlighted.","container-title":"AoB PLANTS","DOI":"10.1093/aobpla/plu027","ISSN":"20412851","language":"en","note":"PMID: 24899150","page":"plu027","source":"DOI.org (Crossref)","title":"&lt;i&gt;Prosopis&lt;/i&gt;: A global assessment of the biogeography, benefits, impacts and management of one of the world's worst woody invasive plant taxa","title-short":"Prosopis","URL":"https://academic.oup.com/aobpla/article/doi/10.1093/aobpla/plu027/158411","volume":"6","author":[{"family":"Shackleton","given":"Ross T."},{"family":"Le Maitre","given":"David C."},{"family":"Pasiecznik","given":"Nick M."},{"family":"Richardson","given":"David M."}],"issued":{"date-parts":[["2014",1,1]]}},"label":"page"}],"schema":"https://github.com/citation-style-language/schema/raw/master/csl-citation.json"} </w:instrText>
      </w:r>
      <w:r w:rsidR="6579C45C" w:rsidRPr="00837161">
        <w:rPr>
          <w:rFonts w:eastAsia="Calibri"/>
          <w:color w:val="000000" w:themeColor="text1"/>
        </w:rPr>
        <w:fldChar w:fldCharType="separate"/>
      </w:r>
      <w:r w:rsidR="00271B78" w:rsidRPr="00271B78">
        <w:t>(Chandrasekaran &amp; Swamy, 2016; R. T. Shackleton et al., 2014)</w:t>
      </w:r>
      <w:r w:rsidR="6579C45C" w:rsidRPr="00837161">
        <w:rPr>
          <w:rFonts w:eastAsia="Calibri"/>
          <w:color w:val="000000" w:themeColor="text1"/>
        </w:rPr>
        <w:fldChar w:fldCharType="end"/>
      </w:r>
      <w:r w:rsidR="6BE77DB9" w:rsidRPr="00837161">
        <w:rPr>
          <w:rFonts w:eastAsia="Calibri"/>
          <w:color w:val="000000" w:themeColor="text1"/>
        </w:rPr>
        <w:t>.</w:t>
      </w:r>
      <w:r w:rsidR="1CF1FCB8" w:rsidRPr="00837161">
        <w:rPr>
          <w:rFonts w:eastAsia="Calibri"/>
          <w:color w:val="000000" w:themeColor="text1"/>
        </w:rPr>
        <w:t xml:space="preserve"> </w:t>
      </w:r>
      <w:r w:rsidR="6B93F1E7" w:rsidRPr="00837161">
        <w:rPr>
          <w:rFonts w:eastAsia="Calibri"/>
          <w:color w:val="000000" w:themeColor="text1"/>
        </w:rPr>
        <w:t>Alternative uses of invasive alien species resources</w:t>
      </w:r>
      <w:r w:rsidR="008FEA1A" w:rsidRPr="00837161">
        <w:rPr>
          <w:rFonts w:eastAsia="Calibri"/>
          <w:color w:val="000000" w:themeColor="text1"/>
        </w:rPr>
        <w:t xml:space="preserve"> have also been adopted</w:t>
      </w:r>
      <w:r w:rsidRPr="00837161">
        <w:rPr>
          <w:rFonts w:eastAsia="Calibri"/>
          <w:color w:val="000000" w:themeColor="text1"/>
        </w:rPr>
        <w:t xml:space="preserve"> in freshwater ecosystems (e.g., invasive paiche </w:t>
      </w:r>
      <w:r w:rsidRPr="00837161">
        <w:rPr>
          <w:rFonts w:eastAsia="Calibri"/>
          <w:i/>
          <w:iCs/>
          <w:color w:val="000000" w:themeColor="text1"/>
        </w:rPr>
        <w:t>Arapaim</w:t>
      </w:r>
      <w:r w:rsidRPr="00837161">
        <w:rPr>
          <w:rFonts w:eastAsia="Calibri"/>
          <w:color w:val="000000" w:themeColor="text1"/>
        </w:rPr>
        <w:t xml:space="preserve">a </w:t>
      </w:r>
      <w:r w:rsidRPr="00837161">
        <w:rPr>
          <w:rFonts w:eastAsia="Calibri"/>
          <w:i/>
          <w:iCs/>
          <w:color w:val="000000" w:themeColor="text1"/>
        </w:rPr>
        <w:t>gigas</w:t>
      </w:r>
      <w:r w:rsidR="6BE77DB9" w:rsidRPr="00837161">
        <w:rPr>
          <w:rFonts w:eastAsia="Calibri"/>
          <w:color w:val="000000" w:themeColor="text1"/>
        </w:rPr>
        <w:t xml:space="preserve"> (arapaima</w:t>
      </w:r>
      <w:r w:rsidR="68B1035C" w:rsidRPr="00837161">
        <w:rPr>
          <w:rFonts w:eastAsia="Calibri"/>
          <w:color w:val="000000" w:themeColor="text1"/>
        </w:rPr>
        <w:t>)</w:t>
      </w:r>
      <w:r w:rsidRPr="00837161">
        <w:rPr>
          <w:rFonts w:eastAsia="Calibri"/>
          <w:color w:val="000000" w:themeColor="text1"/>
        </w:rPr>
        <w:t xml:space="preserve"> in the Bolivian Amazon;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{"citationID":"783xsaIp","properties":{"formattedCitation":"(Macnaughton et al., 2015)","plainCitation":"(Macnaughton et al., 2015)","dontUpdate":true,"noteIndex":0},"citationItems":[{"id":15680,"uris":["http://zotero.org/groups/2352922/items/3Q3NESGR"],"itemData":{"id":15680,"type":"article-journal","abstract":"Species introduction, combined with changing access rules, increasing demand, and new road and dam infrastructure, are contributing to remarkable changes in Bolivian Amazon fisheries. This paper examines community responses to the appearance of a commercially valuable introduced fish species, Arapaima cf. gigas (?paiche?) in the Bolivian Amazon. Until the end of the 20th century, fisheries in this region were relatively low intensity, focused in rivers on a small number of native large-sized species by an urban-based commercial fishing fleet, and in floodplain lakes on a high diversity of native medium-sized species for subsistence by rural indigenous communities. In the seventies, Arapaima cf. gigas was introduced from Peru and has since invaded a significant portion of the Madre de Dios and Beni basins in northern Bolivia. This species now represents up to 80?% of commercial catches for the region. Occupying primarily floodplain lakes, many of which are located within indigenous territories, it has created economic opportunities and stimulated conflicts. The evolution of fisheries in one indigenous Tacana community is described, and the perspectives of local fishers are explored. Results suggest that while the new resource has strengthened incipient community-level organization, the current capture strategies and management mechanisms may not be conducive to sustainability or equitable distribution of returns. Commercial fisheries targeting a set of native species have been replaced by a single-species fishery in this community, raising questions about how the changes both in the resource-base and associated livelihood strategies are impacting system resilience. Ecosystem impacts of the introduction remain unclear. Paiche is viewed both as a potential threat and an opportunity by indigenous fishers. The management of this introduced species for a maximum social benefit and minimal environmental damage are topical concerns for communities and government actors and should be treated carefully considering local and broader, regional-scale implications.","container-title":"Maritime Studies","DOI":"10.1186/s40152-015-0030-0","ISSN":"2212-9790","issue":"1","note":"PMID: 27094974","page":"11","title":"“&lt;i&gt;Paiche&lt;/i&gt; reigns!” species introduction and indigenous fisheries in the Bolivian Amazon","URL":"https://doi.org/10.1186/s40152-015-0030-0","volume":"14","author":[{"family":"Macnaughton","given":"Alison E."},{"family":"Carvajal-Vallejos","given":"Fernando M."},{"family":"Argote","given":"Adalid"},{"family":"Rainville","given":"Tiffanie K."},{"family":"Van Damme","given":"Paul A."},{"family":"Carolsfeld","given":"Joachim"}],"issued":{"date-parts":[["2015"]]}},"label":"page"}],"schema":"https://github.com/citation-style-language/schema/raw/master/csl-citation.json"} </w:instrText>
      </w:r>
      <w:r w:rsidR="6579C45C" w:rsidRPr="00837161">
        <w:rPr>
          <w:rFonts w:eastAsia="Calibri"/>
          <w:color w:val="000000" w:themeColor="text1"/>
        </w:rPr>
        <w:fldChar w:fldCharType="separate"/>
      </w:r>
      <w:r w:rsidR="00B061D1" w:rsidRPr="00837161">
        <w:t>Macnaughton et al., 2015)</w:t>
      </w:r>
      <w:r w:rsidR="6579C45C" w:rsidRPr="00837161">
        <w:rPr>
          <w:rFonts w:eastAsia="Calibri"/>
          <w:color w:val="000000" w:themeColor="text1"/>
        </w:rPr>
        <w:fldChar w:fldCharType="end"/>
      </w:r>
      <w:r w:rsidRPr="00837161">
        <w:rPr>
          <w:rFonts w:eastAsia="Calibri"/>
          <w:color w:val="000000" w:themeColor="text1"/>
        </w:rPr>
        <w:t xml:space="preserve"> and marine </w:t>
      </w:r>
      <w:r w:rsidR="00C533BC" w:rsidRPr="00837161">
        <w:rPr>
          <w:rFonts w:eastAsia="Calibri"/>
          <w:color w:val="000000" w:themeColor="text1"/>
        </w:rPr>
        <w:t xml:space="preserve">ecosystems </w:t>
      </w:r>
      <w:r w:rsidRPr="00837161">
        <w:rPr>
          <w:rFonts w:eastAsia="Calibri"/>
          <w:color w:val="000000" w:themeColor="text1"/>
        </w:rPr>
        <w:t xml:space="preserve">(e.g., </w:t>
      </w:r>
      <w:r w:rsidR="48C5130E" w:rsidRPr="00837161">
        <w:rPr>
          <w:rFonts w:eastAsia="Calibri"/>
          <w:i/>
          <w:iCs/>
          <w:color w:val="000000" w:themeColor="text1"/>
        </w:rPr>
        <w:t>Paralithodes camt</w:t>
      </w:r>
      <w:r w:rsidR="7D627DB0" w:rsidRPr="00837161">
        <w:rPr>
          <w:rFonts w:eastAsia="Calibri"/>
          <w:i/>
          <w:iCs/>
          <w:color w:val="000000" w:themeColor="text1"/>
        </w:rPr>
        <w:t>s</w:t>
      </w:r>
      <w:r w:rsidR="48C5130E" w:rsidRPr="00837161">
        <w:rPr>
          <w:rFonts w:eastAsia="Calibri"/>
          <w:i/>
          <w:iCs/>
          <w:color w:val="000000" w:themeColor="text1"/>
        </w:rPr>
        <w:t>chaticus</w:t>
      </w:r>
      <w:r w:rsidR="48C5130E" w:rsidRPr="00837161">
        <w:rPr>
          <w:rFonts w:eastAsia="Calibri"/>
          <w:color w:val="000000" w:themeColor="text1"/>
        </w:rPr>
        <w:t xml:space="preserve"> </w:t>
      </w:r>
      <w:r w:rsidR="00C53076" w:rsidRPr="00837161">
        <w:rPr>
          <w:rFonts w:eastAsia="Calibri"/>
          <w:color w:val="000000" w:themeColor="text1"/>
        </w:rPr>
        <w:t>(</w:t>
      </w:r>
      <w:r w:rsidRPr="00837161">
        <w:rPr>
          <w:rFonts w:eastAsia="Calibri"/>
          <w:color w:val="000000" w:themeColor="text1"/>
        </w:rPr>
        <w:t>red king crab</w:t>
      </w:r>
      <w:r w:rsidR="00C53076" w:rsidRPr="00837161">
        <w:rPr>
          <w:rFonts w:eastAsia="Calibri"/>
          <w:color w:val="000000" w:themeColor="text1"/>
        </w:rPr>
        <w:t>)</w:t>
      </w:r>
      <w:r w:rsidR="30449BC5" w:rsidRPr="00837161">
        <w:rPr>
          <w:rFonts w:eastAsia="Calibri"/>
          <w:color w:val="000000" w:themeColor="text1"/>
        </w:rPr>
        <w:t xml:space="preserve"> </w:t>
      </w:r>
      <w:r w:rsidRPr="00837161">
        <w:rPr>
          <w:rFonts w:eastAsia="Calibri"/>
          <w:color w:val="000000" w:themeColor="text1"/>
        </w:rPr>
        <w:t xml:space="preserve">in Finnmark;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{"citationID":"WLAbl6ND","properties":{"formattedCitation":"(Broderstad &amp; Eyth\\uc0\\u243{}rsson, 2014)","plainCitation":"(Broderstad &amp; Eythórsson, 2014)","dontUpdate":true,"noteIndex":0},"citationItems":[{"id":24889,"uris":["http://zotero.org/groups/2352922/items/MCZTVNPJ"],"itemData":{"id":24889,"type":"article-journal","abstract":"Fisheries-dependent Sami communities in the Norwegian Arctic face major challenges adapting and responding to socialecological changes. On a local scale, communities and households continually adapt and respond to interacting changes in natural conditions and governance frameworks. Degradation of the marine environment and decline in coastal settlements can move socialecological systems beyond critical thresholds or tipping points, where the system irreversibly enters a different state. We examined the recent social-ecological history of 2 fjords in Finnmark, North Norway, which have coped, over the past 30 years, with the collapse of local fish stocks, harp seal (Pagophilus groenlandicus) and red king crab (Paralithodes camtschaticus) invasions, and increasingly restrictive resource management regimes. Further, we explored similarities and differences in their social-ecological histories and discuss how the concepts of resilience and tipping points can be applied as analytical tools in empirical studies of community response to socialecological change. We show that although the ecological changes in the 2 communities have consisted of similar developments, they have been temporally different in ways that may have affected coping strategies and influenced the available options at different times. The apparent resilience of Sami fishing communities can be understood as the result of response strategies employed by communities and households, and the economic opportunities that have opened up as a result of a combination of ecological change and institutional and political reforms.","container-title":"Ecology and Society","DOI":"10.5751/ES-06533-190301","ISSN":"1708-3087","issue":"3","journalAbbreviation":"E&amp;S","language":"en","page":"1","title":"Resilient communities? Collapse and recovery of a social-ecological system in Arctic Norway","title-short":"Resilient communities?","URL":"http://www.ecologyandsociety.org/vol19/iss3/art1/","volume":"19","author":[{"family":"Broderstad","given":"Else Grete"},{"family":"Eythórsson","given":"Einar"}],"accessed":{"date-parts":[["2021",3,10]]},"issued":{"date-parts":[["2014"]]}},"label":"page"}],"schema":"https://github.com/citation-style-language/schema/raw/master/csl-citation.json"} </w:instrText>
      </w:r>
      <w:r w:rsidR="6579C45C" w:rsidRPr="00837161">
        <w:rPr>
          <w:rFonts w:eastAsia="Calibri"/>
          <w:color w:val="000000" w:themeColor="text1"/>
        </w:rPr>
        <w:fldChar w:fldCharType="separate"/>
      </w:r>
      <w:r w:rsidR="00B061D1" w:rsidRPr="00837161">
        <w:t>Broderstad &amp; Eythórsson, 2014)</w:t>
      </w:r>
      <w:r w:rsidR="6579C45C" w:rsidRPr="00837161">
        <w:rPr>
          <w:rFonts w:eastAsia="Calibri"/>
          <w:color w:val="000000" w:themeColor="text1"/>
        </w:rPr>
        <w:fldChar w:fldCharType="end"/>
      </w:r>
      <w:r w:rsidRPr="00837161">
        <w:rPr>
          <w:rFonts w:eastAsia="Calibri"/>
          <w:color w:val="000000" w:themeColor="text1"/>
        </w:rPr>
        <w:t xml:space="preserve">. </w:t>
      </w:r>
      <w:r w:rsidR="1CF1FCB8" w:rsidRPr="00837161">
        <w:rPr>
          <w:rFonts w:eastAsia="Calibri"/>
          <w:color w:val="000000" w:themeColor="text1"/>
        </w:rPr>
        <w:t xml:space="preserve">Some </w:t>
      </w:r>
      <w:r w:rsidRPr="00837161">
        <w:rPr>
          <w:rFonts w:eastAsia="Calibri"/>
          <w:color w:val="000000" w:themeColor="text1"/>
        </w:rPr>
        <w:t xml:space="preserve">local </w:t>
      </w:r>
      <w:r w:rsidR="1CF1FCB8" w:rsidRPr="00837161">
        <w:rPr>
          <w:rFonts w:eastAsia="Calibri"/>
          <w:color w:val="000000" w:themeColor="text1"/>
        </w:rPr>
        <w:t xml:space="preserve">communities derive local names for some </w:t>
      </w:r>
      <w:r w:rsidR="1CF1FCB8" w:rsidRPr="00837161">
        <w:t>invasive alien species</w:t>
      </w:r>
      <w:r w:rsidR="1CF1FCB8" w:rsidRPr="00837161">
        <w:rPr>
          <w:rFonts w:eastAsia="Calibri"/>
          <w:color w:val="000000" w:themeColor="text1"/>
        </w:rPr>
        <w:t xml:space="preserve"> based on their impacts, which can assist recognition and understanding of the different </w:t>
      </w:r>
      <w:r w:rsidR="1CF1FCB8" w:rsidRPr="00837161">
        <w:t>invasive alien species</w:t>
      </w:r>
      <w:r w:rsidR="1CF1FCB8" w:rsidRPr="00837161">
        <w:rPr>
          <w:rFonts w:eastAsia="Calibri"/>
          <w:color w:val="000000" w:themeColor="text1"/>
        </w:rPr>
        <w:t xml:space="preserve"> in their areas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{"citationID":"75IC0JZv","properties":{"formattedCitation":"(IPBES,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6579C45C" w:rsidRPr="00837161">
        <w:rPr>
          <w:rFonts w:eastAsia="Calibri"/>
          <w:color w:val="000000" w:themeColor="text1"/>
        </w:rPr>
        <w:fldChar w:fldCharType="separate"/>
      </w:r>
      <w:r w:rsidR="00271B78" w:rsidRPr="00271B78">
        <w:t>(IPBES, 2020)</w:t>
      </w:r>
      <w:r w:rsidR="6579C45C" w:rsidRPr="00837161">
        <w:rPr>
          <w:rFonts w:eastAsia="Calibri"/>
          <w:color w:val="000000" w:themeColor="text1"/>
        </w:rPr>
        <w:fldChar w:fldCharType="end"/>
      </w:r>
      <w:r w:rsidR="1CF1FCB8" w:rsidRPr="00837161">
        <w:rPr>
          <w:rFonts w:eastAsia="Calibri"/>
          <w:color w:val="000000" w:themeColor="text1"/>
        </w:rPr>
        <w:t xml:space="preserve">. </w:t>
      </w:r>
      <w:r w:rsidRPr="00837161">
        <w:rPr>
          <w:rFonts w:eastAsia="Calibri"/>
          <w:color w:val="000000" w:themeColor="text1"/>
        </w:rPr>
        <w:t xml:space="preserve">Similarly, </w:t>
      </w:r>
      <w:r w:rsidR="00461A3D">
        <w:rPr>
          <w:rFonts w:eastAsia="Calibri"/>
          <w:color w:val="000000" w:themeColor="text1"/>
        </w:rPr>
        <w:t>I</w:t>
      </w:r>
      <w:r w:rsidRPr="00837161">
        <w:rPr>
          <w:rFonts w:eastAsia="Calibri"/>
          <w:color w:val="000000" w:themeColor="text1"/>
        </w:rPr>
        <w:t xml:space="preserve">ndigenous herders in central Uganda use local names for plants in the area, including </w:t>
      </w:r>
      <w:r w:rsidR="50DE0F8F" w:rsidRPr="00837161">
        <w:rPr>
          <w:rFonts w:eastAsia="Calibri"/>
          <w:color w:val="000000" w:themeColor="text1"/>
        </w:rPr>
        <w:t>invasi</w:t>
      </w:r>
      <w:r w:rsidRPr="00837161">
        <w:rPr>
          <w:rFonts w:eastAsia="Calibri"/>
          <w:color w:val="000000" w:themeColor="text1"/>
        </w:rPr>
        <w:t>ve alien</w:t>
      </w:r>
      <w:r w:rsidR="4F57825C" w:rsidRPr="00837161">
        <w:rPr>
          <w:rFonts w:eastAsia="Calibri"/>
          <w:color w:val="000000" w:themeColor="text1"/>
        </w:rPr>
        <w:t xml:space="preserve"> </w:t>
      </w:r>
      <w:r w:rsidRPr="00837161">
        <w:rPr>
          <w:rFonts w:eastAsia="Calibri"/>
          <w:color w:val="000000" w:themeColor="text1"/>
        </w:rPr>
        <w:t>s</w:t>
      </w:r>
      <w:r w:rsidR="4F57825C" w:rsidRPr="00837161">
        <w:rPr>
          <w:rFonts w:eastAsia="Calibri"/>
          <w:color w:val="000000" w:themeColor="text1"/>
        </w:rPr>
        <w:t>pecies</w:t>
      </w:r>
      <w:r w:rsidRPr="00837161">
        <w:rPr>
          <w:rFonts w:eastAsia="Calibri"/>
          <w:color w:val="000000" w:themeColor="text1"/>
        </w:rPr>
        <w:t xml:space="preserve">, which helps monitoring biodiversity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{"citationID":"PJO7SZj6","properties":{"formattedCitation":"(Oba et al., 2008)","plainCitation":"(Oba et al., 2008)","noteIndex":0},"citationItems":[{"id":24561,"uris":["http://zotero.org/groups/2352922/items/JN8Y76AY"],"itemData":{"id":24561,"type":"article-journal","abstract":"There are disagreements on the use of standard biodiversity monitoring methods to promote community participation. This study combined three methods to investigate questions why monitor biodiversity, what biodiversity to monitor and how participatory biodiversity monitoring can be promoted in central Uganda in East Africa. The question of why biodiversity should be monitored concerns the justiﬁcation for monitoring, while the question of what to monitor concerns the choice of biodiversity variables, and the question of how to monitor biodiversity concerns the links between the data generated from monitoring and problems associated particularly with regard to community participation. The study selected landscape and sampling scales (i.e. plots) for participatory monitoring of biodiversity. Herders identiﬁed main landscape patches and plant species. Herder value-weighted indicators, such as invasive species and range condition scores (i.e. composite indicators representing species palatability, composition, cover, density and richness) were used for measuring biodiversity in their grazing lands. To understand what biodiversity to monitor, we interpreted the correlation between biodiversity indicators and herder value-weighted range conditions. Herders deﬁned biodiversity from a utilitarian perspective, which is inconsistent with the conventional scientiﬁc goals of biodiversity conservation which focus on preservation of the total species pool. To address the question of how to monitor biodiversity, evidence from the folk taxonomy of sampled plant species and other proxy biodiversity indicators, including herder value-weighted range condition scores, were compared to understand scale dependence. We inferred that the landscape scale monitoring was more sensitive to measuring biodiversity than the conventional scales of plots. Copyright # 2008 John Wiley &amp; Sons, Ltd.","container-title":"Land Degradation &amp; Development","DOI":"10.1002/ldr.867","ISSN":"10853278, 1099145X","issue":"6","journalAbbreviation":"Land Degrad. Dev.","language":"en","page":"636-648","source":"DOI.org (Crossref)","title":"Participatory monitoring of biodiversity in East African grazing lands","URL":"http://doi.wiley.com/10.1002/ldr.867","volume":"19","author":[{"family":"Oba","given":"G."},{"family":"Byakagaba","given":"P."},{"family":"Angassa","given":"A."}],"accessed":{"date-parts":[["2021",2,27]]},"issued":{"date-parts":[["2008",11]]}},"label":"page"}],"schema":"https://github.com/citation-style-language/schema/raw/master/csl-citation.json"} </w:instrText>
      </w:r>
      <w:r w:rsidR="6579C45C" w:rsidRPr="00837161">
        <w:rPr>
          <w:rFonts w:eastAsia="Calibri"/>
          <w:color w:val="000000" w:themeColor="text1"/>
        </w:rPr>
        <w:fldChar w:fldCharType="separate"/>
      </w:r>
      <w:r w:rsidR="00271B78" w:rsidRPr="00271B78">
        <w:t>(Oba et al., 2008)</w:t>
      </w:r>
      <w:r w:rsidR="6579C45C" w:rsidRPr="00837161">
        <w:rPr>
          <w:rFonts w:eastAsia="Calibri"/>
          <w:color w:val="000000" w:themeColor="text1"/>
        </w:rPr>
        <w:fldChar w:fldCharType="end"/>
      </w:r>
      <w:r w:rsidRPr="00837161">
        <w:rPr>
          <w:rFonts w:eastAsia="Calibri"/>
          <w:color w:val="000000" w:themeColor="text1"/>
        </w:rPr>
        <w:t>.</w:t>
      </w:r>
      <w:r w:rsidR="00B62203" w:rsidRPr="00837161">
        <w:rPr>
          <w:rFonts w:eastAsia="Calibri"/>
          <w:color w:val="000000" w:themeColor="text1"/>
        </w:rPr>
        <w:t xml:space="preserve"> </w:t>
      </w:r>
      <w:r w:rsidR="1CF1FCB8" w:rsidRPr="00837161">
        <w:rPr>
          <w:rFonts w:eastAsia="Calibri"/>
          <w:color w:val="000000" w:themeColor="text1"/>
        </w:rPr>
        <w:t>In southern Tan</w:t>
      </w:r>
      <w:r w:rsidR="2E12A62D" w:rsidRPr="00837161">
        <w:rPr>
          <w:rFonts w:eastAsia="Calibri"/>
          <w:color w:val="000000" w:themeColor="text1"/>
        </w:rPr>
        <w:t xml:space="preserve">zania, an invasive alien plant </w:t>
      </w:r>
      <w:r w:rsidR="1CF1FCB8" w:rsidRPr="00837161">
        <w:rPr>
          <w:rFonts w:eastAsia="Calibri"/>
          <w:color w:val="000000" w:themeColor="text1"/>
        </w:rPr>
        <w:t xml:space="preserve">education and awareness campaign </w:t>
      </w:r>
      <w:r w:rsidR="474545FB" w:rsidRPr="00837161">
        <w:rPr>
          <w:rFonts w:eastAsia="Calibri"/>
          <w:color w:val="000000" w:themeColor="text1"/>
        </w:rPr>
        <w:t xml:space="preserve">improved local appreciation of </w:t>
      </w:r>
      <w:r w:rsidR="1CF1FCB8" w:rsidRPr="00837161">
        <w:rPr>
          <w:rFonts w:eastAsia="Calibri"/>
          <w:color w:val="000000" w:themeColor="text1"/>
        </w:rPr>
        <w:t>undesirable impacts</w:t>
      </w:r>
      <w:r w:rsidR="00771783">
        <w:rPr>
          <w:rFonts w:eastAsia="Calibri"/>
          <w:color w:val="000000" w:themeColor="text1"/>
        </w:rPr>
        <w:t>,</w:t>
      </w:r>
      <w:r w:rsidR="1CF1FCB8" w:rsidRPr="00837161">
        <w:rPr>
          <w:rFonts w:eastAsia="Calibri"/>
          <w:color w:val="000000" w:themeColor="text1"/>
        </w:rPr>
        <w:t xml:space="preserve"> and voluntary manual removal together with basic equipment and the provision of seedlings of alternative desirable plant species provided community benefits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{"citationID":"nQZOntPd","properties":{"formattedCitation":"(Foxcroft, Witt, et al., 2013)","plainCitation":"(Foxcroft, Witt, et al., 2013)","noteIndex":0},"citationItems":[{"id":22850,"uris":["http://zotero.org/groups/2352922/items/8QIAYGEJ"],"itemData":{"id":22850,"type":"chapter","container-title":"Plant Invasions in Protected Areas. Patterns, Problems and Challenges.","event-place":"Dordrecht","page":"117-143","publisher":"Springer","publisher-place":"Dordrecht","title":"Icons in peril: invasive alien plants in African protected areas.","URL":"https://doi.org/10.1007/978-94-007-7750-7_7","author":[{"family":"Foxcroft","given":"Llewellyn C."},{"family":"Witt","given":"Arne"},{"family":"Lotter","given":"Wayne D."}],"editor":[{"family":"Foxcroft","given":"Llewellyn C."},{"family":"Pyšek","given":"Petr"},{"family":"Genovesi","given":"Piero"},{"family":"Richardson","given":"David M."}],"issued":{"date-parts":[["2013"]]}},"label":"page"}],"schema":"https://github.com/citation-style-language/schema/raw/master/csl-citation.json"} </w:instrText>
      </w:r>
      <w:r w:rsidR="6579C45C" w:rsidRPr="00837161">
        <w:rPr>
          <w:rFonts w:eastAsia="Calibri"/>
          <w:color w:val="000000" w:themeColor="text1"/>
        </w:rPr>
        <w:fldChar w:fldCharType="separate"/>
      </w:r>
      <w:r w:rsidR="00271B78" w:rsidRPr="00271B78">
        <w:t>(Foxcroft, Witt, et al., 2013)</w:t>
      </w:r>
      <w:r w:rsidR="6579C45C" w:rsidRPr="00837161">
        <w:rPr>
          <w:rFonts w:eastAsia="Calibri"/>
          <w:color w:val="000000" w:themeColor="text1"/>
        </w:rPr>
        <w:fldChar w:fldCharType="end"/>
      </w:r>
      <w:r w:rsidR="1CF1FCB8" w:rsidRPr="00837161">
        <w:rPr>
          <w:rFonts w:eastAsia="Calibri"/>
          <w:color w:val="000000" w:themeColor="text1"/>
        </w:rPr>
        <w:t xml:space="preserve">. </w:t>
      </w:r>
      <w:r w:rsidR="00771783">
        <w:rPr>
          <w:rFonts w:eastAsia="Calibri"/>
          <w:color w:val="000000" w:themeColor="text1"/>
        </w:rPr>
        <w:t>Indigenous Peoples and l</w:t>
      </w:r>
      <w:r w:rsidR="1CF1FCB8" w:rsidRPr="00837161">
        <w:rPr>
          <w:rFonts w:eastAsia="Calibri"/>
          <w:color w:val="000000" w:themeColor="text1"/>
        </w:rPr>
        <w:t xml:space="preserve">ocal communities can also assist in mitigation measures such as native seed collection, storage and restoration. In southern India, craftsmen harvest </w:t>
      </w:r>
      <w:r w:rsidR="1CF1FCB8" w:rsidRPr="00837161">
        <w:rPr>
          <w:rFonts w:eastAsia="Calibri"/>
          <w:i/>
          <w:iCs/>
          <w:color w:val="000000" w:themeColor="text1"/>
        </w:rPr>
        <w:t>Lantana camara</w:t>
      </w:r>
      <w:r w:rsidR="1CF1FCB8" w:rsidRPr="00837161">
        <w:rPr>
          <w:rFonts w:eastAsia="Calibri"/>
          <w:color w:val="000000" w:themeColor="text1"/>
        </w:rPr>
        <w:t xml:space="preserve"> </w:t>
      </w:r>
      <w:r w:rsidR="5DA0AA8F" w:rsidRPr="00837161">
        <w:rPr>
          <w:rFonts w:eastAsia="Calibri"/>
          <w:color w:val="000000" w:themeColor="text1"/>
        </w:rPr>
        <w:t xml:space="preserve">(lantana) </w:t>
      </w:r>
      <w:r w:rsidR="1CF1FCB8" w:rsidRPr="00837161">
        <w:rPr>
          <w:rFonts w:eastAsia="Calibri"/>
          <w:color w:val="000000" w:themeColor="text1"/>
        </w:rPr>
        <w:t>for furniture and basket making which reduce</w:t>
      </w:r>
      <w:r w:rsidR="00461A3D">
        <w:rPr>
          <w:rFonts w:eastAsia="Calibri"/>
          <w:color w:val="000000" w:themeColor="text1"/>
        </w:rPr>
        <w:t>s</w:t>
      </w:r>
      <w:r w:rsidR="1CF1FCB8" w:rsidRPr="00837161">
        <w:rPr>
          <w:rFonts w:eastAsia="Calibri"/>
          <w:color w:val="000000" w:themeColor="text1"/>
        </w:rPr>
        <w:t xml:space="preserve"> local </w:t>
      </w:r>
      <w:r w:rsidR="00962E08" w:rsidRPr="00837161">
        <w:rPr>
          <w:rFonts w:eastAsia="Calibri"/>
          <w:i/>
          <w:iCs/>
          <w:color w:val="000000" w:themeColor="text1"/>
        </w:rPr>
        <w:t>Lantana</w:t>
      </w:r>
      <w:r w:rsidR="1CF1FCB8" w:rsidRPr="00837161">
        <w:rPr>
          <w:rFonts w:eastAsia="Calibri"/>
          <w:i/>
          <w:iCs/>
          <w:color w:val="000000" w:themeColor="text1"/>
        </w:rPr>
        <w:t xml:space="preserve"> camara </w:t>
      </w:r>
      <w:r w:rsidR="1CF1FCB8" w:rsidRPr="00837161">
        <w:rPr>
          <w:rFonts w:eastAsia="Calibri"/>
          <w:color w:val="000000" w:themeColor="text1"/>
        </w:rPr>
        <w:t xml:space="preserve">density and size classes </w:t>
      </w:r>
      <w:r w:rsidR="6579C45C" w:rsidRPr="00837161">
        <w:rPr>
          <w:rFonts w:eastAsia="Calibri"/>
          <w:color w:val="000000" w:themeColor="text1"/>
        </w:rPr>
        <w:fldChar w:fldCharType="begin"/>
      </w:r>
      <w:r w:rsidR="000F35EB">
        <w:rPr>
          <w:rFonts w:eastAsia="Calibri"/>
          <w:color w:val="000000" w:themeColor="text1"/>
        </w:rPr>
        <w:instrText xml:space="preserve"> ADDIN ZOTERO_ITEM CSL_CITATION {"citationID":"b4UUiW4O","properties":{"formattedCitation":"(Kannan et al., 2016)","plainCitation":"(Kannan et al., 2016)","noteIndex":0},"citationItems":[{"id":15881,"uris":["http://zotero.org/groups/2352922/items/HLKZIPQY"],"itemData":{"id":15881,"type":"article-journal","abstract":"Many invasive alien species (IAS) are used by local communities for a variety of subsistence and income generating purposes. This frequently poses a conﬂict of interest for their removal due to forest conservation and biodiversity concerns. However, if local use can simultaneously check or control speciﬁc IAS, the conﬂict can be avoided and both development and forest conservation perspectives accommodated in the short to medium term. We examine this for Lantana camara invasion in southern India through assessment of the demand for and impacts of harvesting on this globally problematic IAS. We interviewed local artisans regarding their knowledge and quantities of Lantana used, along with forest surveys to estimate Lantana densities and size classes in harvested and unharvested sites, and lastly we undertook controlled cutting in moist and dry deciduous forests in both the wet and dry seasons to examine rate of regrowth and mortality. Over the entire study area the abundance of Lantana far outweighed local demand, but at small scales around villages, density and size classes were signiﬁcantly reduced through harvesting. The controlled cutting experiment showed marked seasonal differences, with the most severe cutting intensity resulting in signiﬁcant mortality when Lantana plants were cut in the wet season, but with limited effect when cut in the dry season. We conclude that promoting local use of IAS may be a feasible approach in controlling them and thereby limiting their impacts in forests.","container-title":"Forest Ecology and Management","DOI":"10.1016/j.foreco.2016.06.016","ISSN":"03781127","journalAbbreviation":"Forest Ecology and Management","language":"en","page":"166-173","source":"DOI.org (Crossref)","title":"Can local use assist in controlling invasive alien species in tropical forests? The case of &lt;i&gt;Lantana camara&lt;/i&gt; in southern India","title-short":"Can local use assist in controlling invasive alien species in tropical forests?","URL":"https://linkinghub.elsevier.com/retrieve/pii/S0378112716303139","volume":"376","author":[{"family":"Kannan","given":"Ramesh"},{"family":"Shackleton","given":"Charlie M."},{"family":"Krishnan","given":"Smitha"},{"family":"Shaanker","given":"R. Uma"}],"accessed":{"date-parts":[["2019",11,7]]},"issued":{"date-parts":[["2016",9]]}},"label":"page"}],"schema":"https://github.com/citation-style-language/schema/raw/master/csl-citation.json"} </w:instrText>
      </w:r>
      <w:r w:rsidR="6579C45C" w:rsidRPr="00837161">
        <w:rPr>
          <w:rFonts w:eastAsia="Calibri"/>
          <w:color w:val="000000" w:themeColor="text1"/>
        </w:rPr>
        <w:fldChar w:fldCharType="separate"/>
      </w:r>
      <w:r w:rsidR="00271B78" w:rsidRPr="00271B78">
        <w:t>(Kannan et al., 2016)</w:t>
      </w:r>
      <w:r w:rsidR="6579C45C" w:rsidRPr="00837161">
        <w:rPr>
          <w:rFonts w:eastAsia="Calibri"/>
          <w:color w:val="000000" w:themeColor="text1"/>
        </w:rPr>
        <w:fldChar w:fldCharType="end"/>
      </w:r>
      <w:r w:rsidR="474545FB" w:rsidRPr="00837161">
        <w:rPr>
          <w:rFonts w:eastAsia="Calibri"/>
          <w:color w:val="000000" w:themeColor="text1"/>
        </w:rPr>
        <w:t xml:space="preserve">, but beyond the villages, </w:t>
      </w:r>
      <w:r w:rsidR="1CF1FCB8" w:rsidRPr="00837161">
        <w:rPr>
          <w:rFonts w:eastAsia="Calibri"/>
          <w:color w:val="000000" w:themeColor="text1"/>
        </w:rPr>
        <w:t xml:space="preserve">large regional scale abundance </w:t>
      </w:r>
      <w:r w:rsidR="00461A3D">
        <w:rPr>
          <w:rFonts w:eastAsia="Calibri"/>
          <w:color w:val="000000" w:themeColor="text1"/>
        </w:rPr>
        <w:t>can</w:t>
      </w:r>
      <w:r w:rsidR="1CF1FCB8" w:rsidRPr="00837161">
        <w:rPr>
          <w:rFonts w:eastAsia="Calibri"/>
          <w:color w:val="000000" w:themeColor="text1"/>
        </w:rPr>
        <w:t>not be managed by harvesting.</w:t>
      </w:r>
      <w:r w:rsidR="00B62203" w:rsidRPr="00837161">
        <w:t xml:space="preserve"> </w:t>
      </w:r>
    </w:p>
    <w:p w14:paraId="000001E2" w14:textId="4F21B787" w:rsidR="00A758FD" w:rsidRPr="00AC1F76" w:rsidRDefault="00C81287" w:rsidP="002F2F42">
      <w:pPr>
        <w:pStyle w:val="Heading3"/>
      </w:pPr>
      <w:bookmarkStart w:id="200" w:name="_heading=h.2r0uhxc" w:colFirst="0" w:colLast="0"/>
      <w:bookmarkStart w:id="201" w:name="_Toc69313978"/>
      <w:bookmarkStart w:id="202" w:name="_Toc87623137"/>
      <w:bookmarkStart w:id="203" w:name="_Toc131681639"/>
      <w:bookmarkEnd w:id="200"/>
      <w:r w:rsidRPr="00AC1F76">
        <w:t>Implementing site-based and ecosystem-based management programmes</w:t>
      </w:r>
      <w:bookmarkEnd w:id="201"/>
      <w:bookmarkEnd w:id="202"/>
      <w:bookmarkEnd w:id="203"/>
    </w:p>
    <w:p w14:paraId="000001E3" w14:textId="2C07BE9B" w:rsidR="00A758FD" w:rsidRPr="00C0338D" w:rsidRDefault="00C81287">
      <w:pPr>
        <w:spacing w:before="240" w:after="120" w:line="240" w:lineRule="auto"/>
      </w:pPr>
      <w:r w:rsidRPr="00C0338D">
        <w:t xml:space="preserve">Site-based management is likely to include removal of invasive alien species present in a site to achieve ecosystem restoration objectives in terrestrial and inland aquatic ecosystems. Site-based management is sometimes termed “asset protection” since it generally includes site revegetation </w:t>
      </w:r>
      <w:r w:rsidRPr="00C0338D">
        <w:lastRenderedPageBreak/>
        <w:t xml:space="preserve">and restoration (either towards the original or some new desired state) to increase site value and resilience to future invasion </w:t>
      </w:r>
      <w:r w:rsidR="6F37074E" w:rsidRPr="00837161">
        <w:fldChar w:fldCharType="begin"/>
      </w:r>
      <w:r w:rsidR="000F35EB">
        <w:instrText xml:space="preserve"> ADDIN ZOTERO_ITEM CSL_CITATION {"citationID":"sImISLGB","properties":{"formattedCitation":"(Downey &amp; Sheppard, 2006)","plainCitation":"(Downey &amp; Sheppard, 2006)","noteIndex":0},"citationItems":[{"id":22743,"uris":["http://zotero.org/groups/2352922/items/ZW9IZECF"],"itemData":{"id":22743,"type":"paper-conference","container-title":"The Proceedings of the 15th Australian Weeds Conference: Managing Weeds in a Changing Climate","event-place":"Adelaide Convention Centre, Adelaide, South Australia","event-title":"15th Australian Weeds Conference","language":"en","page":"264-267","publisher":"Weed Management Society of South Australia Inc.","publisher-place":"Adelaide Convention Centre, Adelaide, South Australia","source":"www.researchgate.net","title":"Site- versus species-based approaches to weed management in Australia","URL":"https://www.researchgate.net/publication/276411938_Site-_versus_species-based_approaches_to_weed_management_in_Australia","author":[{"family":"Downey","given":"Paul O."},{"family":"Sheppard","given":"A. W."}],"editor":[{"family":"Preston","given":"C"},{"family":"Watts","given":"J","suffix":"H."},{"family":"Crossman","given":"N. D."}],"accessed":{"date-parts":[["2020",6,25]]},"issued":{"date-parts":[["2006"]]}},"label":"page"}],"schema":"https://github.com/citation-style-language/schema/raw/master/csl-citation.json"} </w:instrText>
      </w:r>
      <w:r w:rsidR="6F37074E" w:rsidRPr="00837161">
        <w:fldChar w:fldCharType="separate"/>
      </w:r>
      <w:r w:rsidR="00271B78" w:rsidRPr="00271B78">
        <w:t>(Downey &amp; Sheppard, 2006)</w:t>
      </w:r>
      <w:r w:rsidR="6F37074E" w:rsidRPr="00837161">
        <w:fldChar w:fldCharType="end"/>
      </w:r>
      <w:r w:rsidR="6F37074E" w:rsidRPr="00837161">
        <w:t xml:space="preserve">. Site-based management has been </w:t>
      </w:r>
      <w:r w:rsidR="001B0409" w:rsidRPr="00837161">
        <w:t>categori</w:t>
      </w:r>
      <w:r w:rsidR="000543F9" w:rsidRPr="00837161">
        <w:t>z</w:t>
      </w:r>
      <w:r w:rsidR="001B0409" w:rsidRPr="00837161">
        <w:t>ed</w:t>
      </w:r>
      <w:r w:rsidR="6F37074E" w:rsidRPr="00837161">
        <w:t xml:space="preserve"> </w:t>
      </w:r>
      <w:r w:rsidR="00461A3D">
        <w:t>into</w:t>
      </w:r>
      <w:r w:rsidR="00461A3D" w:rsidRPr="00837161">
        <w:t xml:space="preserve"> </w:t>
      </w:r>
      <w:r w:rsidR="6F37074E" w:rsidRPr="00837161">
        <w:t xml:space="preserve">“susceptible” and “sensitive” sites </w:t>
      </w:r>
      <w:r w:rsidR="6F37074E" w:rsidRPr="00837161">
        <w:fldChar w:fldCharType="begin"/>
      </w:r>
      <w:r w:rsidR="000F35EB">
        <w:instrText xml:space="preserve"> ADDIN ZOTERO_ITEM CSL_CITATION {"citationID":"us5vfsq9","properties":{"formattedCitation":"(McGeoch, Genovesi, et al., 2016)","plainCitation":"(McGeoch, Genovesi, et al., 2016)","noteIndex":0},"citationItems":[{"id":26532,"uris":["http://zotero.org/groups/2352922/items/SK35934W"],"itemData":{"id":26532,"type":"article-journal","abstract":"Prioritization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J."},{"family":"McGrannachan","given":"C."},{"family":"Sheppard","given":"A."}],"issued":{"date-parts":[["2016",2]]}},"label":"page"}],"schema":"https://github.com/citation-style-language/schema/raw/master/csl-citation.json"} </w:instrText>
      </w:r>
      <w:r w:rsidR="6F37074E" w:rsidRPr="00837161">
        <w:fldChar w:fldCharType="separate"/>
      </w:r>
      <w:r w:rsidR="00271B78" w:rsidRPr="00271B78">
        <w:t>(McGeoch, Genovesi, et al., 2016)</w:t>
      </w:r>
      <w:r w:rsidR="6F37074E" w:rsidRPr="00837161">
        <w:fldChar w:fldCharType="end"/>
      </w:r>
      <w:r w:rsidR="6F37074E" w:rsidRPr="00837161">
        <w:t>.</w:t>
      </w:r>
      <w:r w:rsidRPr="00C0338D">
        <w:t xml:space="preserve"> </w:t>
      </w:r>
      <w:r w:rsidR="00D0755C">
        <w:t>“</w:t>
      </w:r>
      <w:r w:rsidRPr="00C0338D">
        <w:t xml:space="preserve">Susceptible sites are those “with the greatest exposure to invasive alien species propagules and a high probability that these propagules will establish in the area”, whereas sensitive sites are those </w:t>
      </w:r>
      <w:r w:rsidR="00D0755C">
        <w:t>“</w:t>
      </w:r>
      <w:r w:rsidRPr="00C0338D">
        <w:t>exposed to the greatest invasive alien species impacts</w:t>
      </w:r>
      <w:r w:rsidR="00D0755C">
        <w:t>”</w:t>
      </w:r>
      <w:r w:rsidRPr="00C0338D">
        <w:t xml:space="preserve"> </w:t>
      </w:r>
      <w:r w:rsidR="00AD56CD" w:rsidRPr="00837161">
        <w:fldChar w:fldCharType="begin"/>
      </w:r>
      <w:r w:rsidR="000F35EB">
        <w:instrText xml:space="preserve"> ADDIN ZOTERO_ITEM CSL_CITATION {"citationID":"MWaonHNS","properties":{"formattedCitation":"(McGeoch, Genovesi, et al., 2016)","plainCitation":"(McGeoch, Genovesi, et al., 2016)","noteIndex":0},"citationItems":[{"id":26532,"uris":["http://zotero.org/groups/2352922/items/SK35934W"],"itemData":{"id":26532,"type":"article-journal","abstract":"Prioritization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J."},{"family":"McGrannachan","given":"C."},{"family":"Sheppard","given":"A."}],"issued":{"date-parts":[["2016",2]]}},"label":"page"}],"schema":"https://github.com/citation-style-language/schema/raw/master/csl-citation.json"} </w:instrText>
      </w:r>
      <w:r w:rsidR="00AD56CD" w:rsidRPr="00837161">
        <w:fldChar w:fldCharType="separate"/>
      </w:r>
      <w:r w:rsidR="00271B78" w:rsidRPr="00271B78">
        <w:t>(McGeoch, Genovesi, et al., 2016)</w:t>
      </w:r>
      <w:r w:rsidR="00AD56CD" w:rsidRPr="00837161">
        <w:fldChar w:fldCharType="end"/>
      </w:r>
      <w:r w:rsidR="00AD56CD" w:rsidRPr="00837161">
        <w:t>.</w:t>
      </w:r>
      <w:r w:rsidRPr="00C0338D">
        <w:t xml:space="preserve"> To evaluate progress towards site-based management objectives of reducing community and ecosystem level impacts, ongoing monitoring is critical.</w:t>
      </w:r>
    </w:p>
    <w:p w14:paraId="000001E4" w14:textId="53528593" w:rsidR="00A758FD" w:rsidRPr="00C0338D" w:rsidRDefault="00C81287">
      <w:pPr>
        <w:spacing w:before="240" w:after="120" w:line="240" w:lineRule="auto"/>
      </w:pPr>
      <w:r w:rsidRPr="00C0338D">
        <w:t xml:space="preserve">Site-based management is primarily </w:t>
      </w:r>
      <w:r w:rsidR="00771783" w:rsidRPr="00C0338D">
        <w:t xml:space="preserve">focussed </w:t>
      </w:r>
      <w:r w:rsidRPr="00C0338D">
        <w:t xml:space="preserve">on a particular geographic location, while ecosystem-based management is focussed on a higher level of particular impacted ecosystems. For example, ecosystem-based management could include managing river flow regimes at the catchment scale to keep a myriad water bodies and riparian wetlands healthy and dominated by native species. Such hydrological management can be local (e.g., watering directly) or regional (managing environmental flow allocation) thus affecting multiple sites or ecosystems </w:t>
      </w:r>
      <w:r w:rsidR="008B5D95" w:rsidRPr="00837161">
        <w:fldChar w:fldCharType="begin"/>
      </w:r>
      <w:r w:rsidR="000F35EB">
        <w:instrText xml:space="preserve"> ADDIN ZOTERO_ITEM CSL_CITATION {"citationID":"voem2bKy","properties":{"formattedCitation":"(Catford et al., 2011, 2014; Ruhi et al., 2019)","plainCitation":"(Catford et al., 2011, 2014; Ruhi et al., 2019)","noteIndex":0},"citationItems":[{"id":32412,"uris":["http://zotero.org/groups/2352922/items/BB3KS8CT"],"itemData":{"id":32412,"type":"article-journal","container-title":"Journal of Applied Ecology","DOI":"10.1111/j.1365-2664.2010.01945.x","ISSN":"00218901","issue":"2","language":"en","page":"432-442","source":"DOI.org (Crossref)","title":"Flow regulation reduces native plant cover and facilitates exotic invasion in riparian wetlands","title-short":"Flow regulation reduces native plant cover and facilitates exotic invasion in riparian wetlands","URL":"http://doi.wiley.com/10.1111/j.1365-2664.2010.01945.x","volume":"48","author":[{"family":"Catford","given":"Jane A."},{"family":"Downes","given":"Barbara J."},{"family":"Gippel","given":"Christopher J."},{"family":"Vesk","given":"Peter A."}],"accessed":{"date-parts":[["2021",2,9]]},"issued":{"date-parts":[["2011",4]]}},"label":"page"},{"id":25320,"uris":["http://zotero.org/groups/2352922/items/RFZJRAIP"],"itemData":{"id":25320,"type":"article-journal","abstract":"Aim Many factors facilitate biological invasions, making it difficult to determine their relative importance, especially when relying on survey data that include confounded variables. Incorporating information about species characteristics can improve inferences drawn from species–environment relationships, which can inform management. We seek to understand why the abundance of exotic, and not native, terrestrial plants is higher in riparian wetlands most impacted by flow regulation. Location River Murray, SE Australia. Methods We use variance components analysis and hierarchical generalised linear models to examine whether the positive relationship between flow regulation and proportional cover of exotic plants is driven by altered hydrological regimes, wetland drying and drought, superior colonisation ability of exotic species following disturbance or human-increased propagule pressure. Results Of the four hypotheses, hydrological modification (indicated by flood magnitude) most likely drives invasion. Flow regulation may inhibit native species adapted to the historical hydrological regime, facilitating exotic species with different environmental ranges. A symptom of environmental change, invasion may have been exacerbated by drought, although it is unclear why. There was no indication that human-increased propagule pressure or colonisation ability facilitated invasion. Exotic cover was unrelated to proximity to towns, recent flood frequency and cattle grazing intensity. Additionally, similar proportions of exotic and native species were used in cultivation and, despite a higher proportion of exotics being known weeds, weed status was unrelated to exotic species occupancy. Overall, colonisation ability was unrelated to species' origin or response to water depth and hydrological change. Although exotics had higher specific leaf area and shorter longevity (indicative of higher colonisation ability), they had heavier (not lighter) seeds and did not differ in height from natives. Main conclusions Using environmental flows to reinstate mid-range floods and augmenting the propagule supply of native species with characteristics suitable for modified conditions may help limit invasion in these wetlands.","container-title":"Diversity and Distributions","DOI":"https://doi.org/10.1111/ddi.12225","ISSN":"1472-4642","issue":"9","language":"en","license":"© 2014 John Wiley &amp; Sons Ltd","page":"1084-1096","source":"Wiley Online Library","title":"Species and environmental characteristics point to flow regulation and drought as drivers of riparian plant invasion","URL":"https://onlinelibrary.wiley.com/doi/abs/10.1111/ddi.12225","volume":"20","author":[{"family":"Catford","given":"Jane A."},{"family":"Morris","given":"William K."},{"family":"Vesk","given":"Peter A."},{"family":"Gippel","given":"Christopher J."},{"family":"Downes","given":"Barbara J."}],"accessed":{"date-parts":[["2021",4,12]]},"issued":{"date-parts":[["2014"]]}},"label":"page"},{"id":31599,"uris":["http://zotero.org/groups/2352922/items/KGS26TAS"],"itemData":{"id":31599,"type":"chapter","abstract":"The alteration of natural flow regimes by hydraulic infrastructure, exploitation for human uses, and changing climates has resulted in significant impacts on native species that inhabit freshwater ecosystems. Hydrologic alteration may promote new opportunities for nonnative species by creating novel habitats, modifying biotic interactions (including predation and competition), and promoting new dispersal pathways. Here, we review the relevant theory and current empirical evidence for additive, synergistic, and antagonistic interactions between hydrologic alteration and species invasions in flowing waters. Building on case studies of both animal and plant communities, we demonstrate the importance of the alteration-invasion nexus to mediate biotic interactions and alter food web structure via top-down and bottom-up effects. Finally, we describe how increasingly altered flow regimes and native-nonnative mixed communities pose a novel conservation challenge, and we explore emerging management strategies in highly-managed river basins.","container-title":"Multiple Stressors in River Ecosystems: Status, Impacts and Prospects for the Future","ISBN":"978-0-12-811713-2","language":"en","note":"DOI: 10.1016/B978-0-12-811713-2.00003-0","page":"45-64","publisher":"Elsevier","source":"ScienceDirect","title":"Chapter 3 - Understanding the Nexus Between Hydrological Alteration And Biological Invasions","URL":"https://www.sciencedirect.com/science/article/pii/B9780128117132000030","author":[{"family":"Ruhi","given":"Albert"},{"family":"Catford","given":"Jane A."},{"family":"Cross","given":"Wyatt F."},{"family":"Escoriza","given":"Daniel"},{"family":"Olden","given":"Julian D."}],"editor":[{"family":"Sabater","given":"Sergi"},{"family":"Elosegi","given":"Arturo"},{"family":"Ludwig","given":"Ralf"}],"accessed":{"date-parts":[["2021",11,19]]},"issued":{"date-parts":[["2019",1,1]]}},"label":"page"}],"schema":"https://github.com/citation-style-language/schema/raw/master/csl-citation.json"} </w:instrText>
      </w:r>
      <w:r w:rsidR="008B5D95" w:rsidRPr="00837161">
        <w:fldChar w:fldCharType="separate"/>
      </w:r>
      <w:r w:rsidR="00271B78" w:rsidRPr="00271B78">
        <w:t>(Catford et al., 2011, 2014; Ruhi et al., 2019)</w:t>
      </w:r>
      <w:r w:rsidR="008B5D95" w:rsidRPr="00837161">
        <w:fldChar w:fldCharType="end"/>
      </w:r>
      <w:r w:rsidR="00560EF8" w:rsidRPr="00837161">
        <w:t xml:space="preserve">. </w:t>
      </w:r>
      <w:r w:rsidR="00430D50" w:rsidRPr="00837161">
        <w:t>B</w:t>
      </w:r>
      <w:r w:rsidR="001B0409" w:rsidRPr="00837161">
        <w:t xml:space="preserve">oth </w:t>
      </w:r>
      <w:r w:rsidR="00430D50" w:rsidRPr="00837161">
        <w:t>site- and ecosystem-based</w:t>
      </w:r>
      <w:r w:rsidR="001B0409" w:rsidRPr="00837161">
        <w:t xml:space="preserve"> approaches are on the same continuum defined by the objective(s) of the management</w:t>
      </w:r>
      <w:r w:rsidR="009D0730">
        <w:t>,</w:t>
      </w:r>
      <w:r w:rsidR="001B0409" w:rsidRPr="00837161">
        <w:t xml:space="preserve"> and </w:t>
      </w:r>
      <w:r w:rsidR="009D0730">
        <w:t>the location and type of</w:t>
      </w:r>
      <w:r w:rsidR="001B0409" w:rsidRPr="00837161">
        <w:t xml:space="preserve"> management </w:t>
      </w:r>
      <w:r w:rsidR="009D0730">
        <w:t xml:space="preserve">actions </w:t>
      </w:r>
      <w:r w:rsidR="001B0409" w:rsidRPr="00837161">
        <w:t xml:space="preserve">needed to achieve those objectives. Similarly, management of whole </w:t>
      </w:r>
      <w:r w:rsidR="00E90B81" w:rsidRPr="00837161">
        <w:t>socioe</w:t>
      </w:r>
      <w:r w:rsidR="001B0409" w:rsidRPr="00837161">
        <w:t xml:space="preserve">cological systems at larger scales </w:t>
      </w:r>
      <w:r w:rsidR="00C433F0">
        <w:t>is</w:t>
      </w:r>
      <w:r w:rsidR="00C433F0" w:rsidRPr="00837161">
        <w:t xml:space="preserve"> </w:t>
      </w:r>
      <w:r w:rsidR="001B0409" w:rsidRPr="00837161">
        <w:t xml:space="preserve">also undertaken </w:t>
      </w:r>
      <w:r w:rsidR="002502C4" w:rsidRPr="00837161">
        <w:t>(</w:t>
      </w:r>
      <w:r w:rsidR="00191A6E">
        <w:rPr>
          <w:b/>
          <w:bCs/>
        </w:rPr>
        <w:t>Box 5.2</w:t>
      </w:r>
      <w:r w:rsidR="001B0409" w:rsidRPr="00837161">
        <w:t>). In some contexts (</w:t>
      </w:r>
      <w:r w:rsidR="00BA147F" w:rsidRPr="00837161">
        <w:t xml:space="preserve">e.g., </w:t>
      </w:r>
      <w:r w:rsidR="001B0409" w:rsidRPr="00837161">
        <w:t>United Nations Educational, Scientific</w:t>
      </w:r>
      <w:r w:rsidR="00CE7B20">
        <w:t xml:space="preserve"> and</w:t>
      </w:r>
      <w:r w:rsidR="001B0409" w:rsidRPr="00837161">
        <w:t xml:space="preserve"> Cultural Organization </w:t>
      </w:r>
      <w:r w:rsidR="00C53076" w:rsidRPr="00837161">
        <w:t>(</w:t>
      </w:r>
      <w:r w:rsidR="001B0409" w:rsidRPr="00837161">
        <w:t>UNESCO</w:t>
      </w:r>
      <w:r w:rsidR="00C53076" w:rsidRPr="00837161">
        <w:t>)</w:t>
      </w:r>
      <w:r w:rsidR="001B0409" w:rsidRPr="00837161">
        <w:t xml:space="preserve"> Man and Biosphere reserves</w:t>
      </w:r>
      <w:r w:rsidR="00E304E5" w:rsidRPr="00837161">
        <w:t>;</w:t>
      </w:r>
      <w:r w:rsidR="001B0409" w:rsidRPr="00837161">
        <w:t xml:space="preserve"> </w:t>
      </w:r>
      <w:r w:rsidR="00AE05BC" w:rsidRPr="00CF348C">
        <w:rPr>
          <w:b/>
          <w:iCs/>
        </w:rPr>
        <w:t>section</w:t>
      </w:r>
      <w:r w:rsidR="001B0409" w:rsidRPr="00CF348C">
        <w:rPr>
          <w:b/>
          <w:iCs/>
        </w:rPr>
        <w:t xml:space="preserve"> 5.3.2</w:t>
      </w:r>
      <w:r w:rsidR="001B0409" w:rsidRPr="00837161">
        <w:t xml:space="preserve">), site-based management is approached from a </w:t>
      </w:r>
      <w:r w:rsidR="00E90B81" w:rsidRPr="00837161">
        <w:t>socioe</w:t>
      </w:r>
      <w:r w:rsidR="001B0409" w:rsidRPr="00837161">
        <w:t>cological systems perspective</w:t>
      </w:r>
      <w:r w:rsidR="00E16292" w:rsidRPr="00837161">
        <w:t xml:space="preserve"> </w:t>
      </w:r>
      <w:r w:rsidR="002502C4" w:rsidRPr="00837161">
        <w:t>(</w:t>
      </w:r>
      <w:r w:rsidR="00CF348C">
        <w:rPr>
          <w:b/>
          <w:iCs/>
        </w:rPr>
        <w:t>C</w:t>
      </w:r>
      <w:r w:rsidR="00E16292" w:rsidRPr="00CF348C">
        <w:rPr>
          <w:b/>
          <w:iCs/>
        </w:rPr>
        <w:t xml:space="preserve">hapters 1 </w:t>
      </w:r>
      <w:r w:rsidR="00E16292" w:rsidRPr="00CF348C">
        <w:t>and</w:t>
      </w:r>
      <w:r w:rsidR="00017C98" w:rsidRPr="00CF348C">
        <w:rPr>
          <w:b/>
          <w:iCs/>
        </w:rPr>
        <w:t xml:space="preserve"> 6</w:t>
      </w:r>
      <w:r w:rsidR="00017C98" w:rsidRPr="00837161">
        <w:t>)</w:t>
      </w:r>
      <w:r w:rsidR="001B0409" w:rsidRPr="00837161">
        <w:t xml:space="preserve">. </w:t>
      </w:r>
      <w:r w:rsidR="009D0730">
        <w:t>One example is the management of i</w:t>
      </w:r>
      <w:r w:rsidR="001B0409" w:rsidRPr="00837161">
        <w:t xml:space="preserve">nvasive alien plant </w:t>
      </w:r>
      <w:r w:rsidR="001B0409" w:rsidRPr="00837161">
        <w:fldChar w:fldCharType="begin"/>
      </w:r>
      <w:r w:rsidR="000F35EB">
        <w:instrText xml:space="preserve"> ADDIN ZOTERO_ITEM CSL_CITATION {"citationID":"oZ0JMh2S","properties":{"formattedCitation":"(Jellinek et al., 2014)","plainCitation":"(Jellinek et al., 2014)","noteIndex":0},"citationItems":[{"id":22553,"uris":["http://zotero.org/groups/2352922/items/NUFLQIH6"],"itemData":{"id":22553,"type":"article-journal","abstract":"Decisions affecting the management of natural resources in agricultural landscapes are influenced by both social and ecological factors. Models that integrate these factors are likely to better predict the outcomes of natural resource management decisions compared to those that do not take these factors into account. We demonstrate how Bayesian Networks can be used to integrate ecological and social data and expert opinion to model the cost-effectiveness of revegetation activities for restoring biodiversity in agricultural landscapes. We demonstrate our approach with a case-study in grassy woodlands of south-eastern Australia. In our case-study, cost-effectiveness is defined as the improvement in native reptile and beetle species richness achieved per dollar spent on a restoration action. Socio-ecological models predict that weed control, the planting of trees and shrubs, the addition of litter and timber, and the addition of rocks are likely to be the most cost-effective actions for improving reptile and beetle species richness. The cost-effectiveness of restoration actions is lower in remnant and revegetated areas than in cleared areas because of the higher marginal benefits arising from acting in degraded habitats. This result is contingent on having favourable landowner attitudes. Under the best-case landowner demographic scenarios the greatest biodiversity benefits are seen when cleared areas are restored. We find that current restoration investment practices may not be increasing faunal species richness in agricultural landscapes in the most cost-effective way, and that new restoration actions may be necessary. Integrated socio-ecological models support transparent and cost-effective conservation investment decisions. Application of these models highlights the importance of collecting both social and ecological data when attempting to understand and manage socio-ecological systems.","container-title":"Biological Conservation","DOI":"10.1016/j.biocon.2013.10.023","ISSN":"0006-3207","journalAbbreviation":"Biological Conservation","language":"en","page":"60-67","source":"ScienceDirect","title":"Modelling the benefits of habitat restoration in socio-ecological systems","URL":"http://www.sciencedirect.com/science/article/pii/S0006320713003789","volume":"169","author":[{"family":"Jellinek","given":"Sacha"},{"family":"Rumpff","given":"Libby"},{"family":"Driscoll","given":"Don A."},{"family":"Parris","given":"Kirsten M."},{"family":"Wintle","given":"Brendan A."}],"accessed":{"date-parts":[["2020",6,25]]},"issued":{"date-parts":[["2014",1,1]]}},"label":"page"}],"schema":"https://github.com/citation-style-language/schema/raw/master/csl-citation.json"} </w:instrText>
      </w:r>
      <w:r w:rsidR="001B0409" w:rsidRPr="00837161">
        <w:fldChar w:fldCharType="separate"/>
      </w:r>
      <w:r w:rsidR="00271B78" w:rsidRPr="00271B78">
        <w:t>(Jellinek et al., 2014)</w:t>
      </w:r>
      <w:r w:rsidR="001B0409" w:rsidRPr="00837161">
        <w:fldChar w:fldCharType="end"/>
      </w:r>
      <w:r w:rsidR="001B0409" w:rsidRPr="00837161">
        <w:t xml:space="preserve"> and fishery resources in the Gal</w:t>
      </w:r>
      <w:r w:rsidR="000A0C17" w:rsidRPr="00837161">
        <w:t>á</w:t>
      </w:r>
      <w:r w:rsidR="001B0409" w:rsidRPr="00837161">
        <w:t xml:space="preserve">pagos Islands marine reserve </w:t>
      </w:r>
      <w:r w:rsidR="001B0409" w:rsidRPr="00837161">
        <w:fldChar w:fldCharType="begin"/>
      </w:r>
      <w:r w:rsidR="00115E42">
        <w:instrText xml:space="preserve"> ADDIN ZOTERO_ITEM CSL_CITATION {"citationID":"DF1S2w9G","properties":{"formattedCitation":"(Castrej\\uc0\\u243{}n et al., 2014)","plainCitation":"(Castrejón et al., 2014)","dontUpdate":true,"noteIndex":0},"citationItems":[{"id":22552,"uris":["http://zotero.org/groups/2352922/items/LAZKVRPN"],"itemData":{"id":22552,"type":"chapter","abstract":"This chapter reviews the origin and advances of fishery science in the Galapagos Islands (Ecuador), before and after the creation of the Galapagos Marine Reserve and its co-management system. It explains how these events triggered the transition from a resource-focused to a social–ecological systems approach, which, however, remains incomplete due in part to a continuing dominance of the resource-focused approach within the structure and function of local institutions. It is argued that further progress toward a full social–ecological systems approach is needed to solve the increasingly complex socio-environmental problems faced by the archipelago. Transformation of the Charles Darwin Foundation into an interdisciplinary research center is suggested as a key move toward this goal that would increase the adaptive capacity and resilience of local institutions to deal with potential impact of globalization and climate change on the archipelago.","collection-title":"Social and Ecological Interactions in the Galapagos Islands","container-title":"The Galapagos Marine Reserve: A Dynamic Social-Ecological System","event-place":"Cham","ISBN":"978-3-319-02769-2","language":"en","note":"DOI: 10.1007/978-3-319-02769-2_8","page":"159-185","publisher":"Springer International Publishing","publisher-place":"Cham","source":"Springer Link","title":"Fishery Science in Galapagos: From a Resource-Focused to a Social–Ecological Systems Approach","title-short":"Fishery Science in Galapagos","URL":"https://doi.org/10.1007/978-3-319-02769-2_8","author":[{"family":"Castrejón","given":"Mauricio"},{"family":"Defeo","given":"Omar"},{"family":"Reck","given":"Günther"},{"family":"Charles","given":"Anthony"}],"editor":[{"family":"Denkinger","given":"Judith"},{"family":"Vinueza","given":"Luis"}],"accessed":{"date-parts":[["2020",6,25]]},"issued":{"date-parts":[["2014"]]}},"label":"page"}],"schema":"https://github.com/citation-style-language/schema/raw/master/csl-citation.json"} </w:instrText>
      </w:r>
      <w:r w:rsidR="001B0409" w:rsidRPr="00837161">
        <w:fldChar w:fldCharType="separate"/>
      </w:r>
      <w:r w:rsidR="00271B78" w:rsidRPr="00271B78">
        <w:t>(Castrejón et al., 2014</w:t>
      </w:r>
      <w:r w:rsidR="009D0730">
        <w:t>;</w:t>
      </w:r>
      <w:r w:rsidR="001B0409" w:rsidRPr="00837161">
        <w:fldChar w:fldCharType="end"/>
      </w:r>
      <w:r w:rsidR="009D0730">
        <w:t xml:space="preserve"> </w:t>
      </w:r>
      <w:r w:rsidR="009D0730">
        <w:rPr>
          <w:b/>
          <w:iCs/>
        </w:rPr>
        <w:t>Box 5.5</w:t>
      </w:r>
      <w:r w:rsidR="00433FE6" w:rsidRPr="00837161">
        <w:rPr>
          <w:i/>
          <w:iCs/>
        </w:rPr>
        <w:t xml:space="preserve"> </w:t>
      </w:r>
      <w:r w:rsidR="00433FE6" w:rsidRPr="00837161">
        <w:t>in</w:t>
      </w:r>
      <w:r w:rsidR="00433FE6" w:rsidRPr="00837161">
        <w:rPr>
          <w:i/>
          <w:iCs/>
        </w:rPr>
        <w:t xml:space="preserve"> </w:t>
      </w:r>
      <w:r w:rsidR="00433FE6" w:rsidRPr="00CF348C">
        <w:rPr>
          <w:b/>
          <w:iCs/>
        </w:rPr>
        <w:t>section 5.3.1.4</w:t>
      </w:r>
      <w:r w:rsidR="001B0409" w:rsidRPr="00837161">
        <w:t xml:space="preserve">). </w:t>
      </w:r>
      <w:r w:rsidR="00D0755C">
        <w:t>For areas with limited biodiversity information, s</w:t>
      </w:r>
      <w:r w:rsidR="001B0409" w:rsidRPr="00837161">
        <w:t xml:space="preserve">ite-based management objectives may be </w:t>
      </w:r>
      <w:r w:rsidR="00D0755C">
        <w:t>expressed</w:t>
      </w:r>
      <w:r w:rsidR="00D0755C" w:rsidRPr="00837161">
        <w:t xml:space="preserve"> </w:t>
      </w:r>
      <w:r w:rsidR="001B0409" w:rsidRPr="00837161">
        <w:t xml:space="preserve">in terms of </w:t>
      </w:r>
      <w:r w:rsidR="00D0755C">
        <w:t>habitat, which facilitates the</w:t>
      </w:r>
      <w:r w:rsidR="001B0409" w:rsidRPr="00837161">
        <w:t xml:space="preserve"> understanding</w:t>
      </w:r>
      <w:r w:rsidR="00D0755C">
        <w:t xml:space="preserve">, </w:t>
      </w:r>
      <w:r w:rsidR="001B0409" w:rsidRPr="00837161">
        <w:t xml:space="preserve">conservation or restoration status and economic value </w:t>
      </w:r>
      <w:r w:rsidR="00D0755C">
        <w:t xml:space="preserve">of the ecosystem </w:t>
      </w:r>
      <w:r w:rsidR="001B0409" w:rsidRPr="00837161">
        <w:fldChar w:fldCharType="begin"/>
      </w:r>
      <w:r w:rsidR="000F35EB">
        <w:instrText xml:space="preserve"> ADDIN ZOTERO_ITEM CSL_CITATION {"citationID":"XoMv3gWO","properties":{"formattedCitation":"(Dymond et al., 2008)","plainCitation":"(Dymond et al., 2008)","noteIndex":0},"citationItems":[{"id":15442,"uris":["http://zotero.org/groups/2352922/items/32SISX48"],"itemData":{"id":15442,"type":"article-journal","abstract":"In the absence of detailed biodiversity information it is difficult to prioritise site-based conservation projects. However, if conservation goals are expressed in terms of habitat then conservation projects may be readily valued and prioritised. The New Zealand Government has adopted the goal of maintaining and restoring a full range of remaining natural habitats to a healthy and functioning state. We derive a measure of progress towards this goal using a quantitative environmental classification of habitats. The measure involves the biodiversity value (i.e. the total economic value) of natural habitats at their original extent, the proportions of natural habitats remaining, and their condition. Sites and associated conservation projects can be valued by calculating contribution to the measure of progress. The valuation methodology is demonstrated for estimating site value, protection project value, and restoration project value for selected applications in New Zealand. Where the costs of proposed conservation projects are known, then a cost–benefit analysis may be performed to prioritise projects to maximise the gain in conservation value per dollar spent. This provides a simple and rapid method for prioritising conservation projects without having detailed site-based biodiversity information.","container-title":"Ecological Economics","DOI":"10.1016/j.ecolecon.2008.03.008","ISSN":"0921-8009","issue":"2-3","journalAbbreviation":"Ecological Economics","page":"275-281","source":"ScienceDirect","title":"A landscape approach for estimating the conservation value of sites and site-based projects, with examples from New Zealand","URL":"http://www.sciencedirect.com/science/article/pii/S0921800908001419","volume":"66","author":[{"family":"Dymond","given":"John R."},{"family":"Ausseil","given":"Anne-Gaelle E."},{"family":"Overton","given":"Jacob McC."}],"accessed":{"date-parts":[["2019",10,14]]},"issued":{"date-parts":[["2008",6,15]]}},"label":"page"}],"schema":"https://github.com/citation-style-language/schema/raw/master/csl-citation.json"} </w:instrText>
      </w:r>
      <w:r w:rsidR="001B0409" w:rsidRPr="00837161">
        <w:fldChar w:fldCharType="separate"/>
      </w:r>
      <w:r w:rsidR="00271B78" w:rsidRPr="00271B78">
        <w:t>(Dymond et al., 2008)</w:t>
      </w:r>
      <w:r w:rsidR="001B0409" w:rsidRPr="00837161">
        <w:fldChar w:fldCharType="end"/>
      </w:r>
      <w:r w:rsidR="001B0409" w:rsidRPr="00837161">
        <w:t>.</w:t>
      </w:r>
      <w:r w:rsidRPr="00C0338D">
        <w:t xml:space="preserve"> </w:t>
      </w:r>
    </w:p>
    <w:p w14:paraId="721ADDF5" w14:textId="2FD9791A" w:rsidR="001B0409" w:rsidRPr="00837161" w:rsidRDefault="001B0409" w:rsidP="00C11DFA">
      <w:pPr>
        <w:spacing w:before="240" w:after="120" w:line="240" w:lineRule="auto"/>
      </w:pPr>
      <w:r w:rsidRPr="00837161">
        <w:t xml:space="preserve">Sites prioritized for management by </w:t>
      </w:r>
      <w:r w:rsidR="00875C95" w:rsidRPr="00837161">
        <w:t>Indigenous Peoples</w:t>
      </w:r>
      <w:r w:rsidRPr="00837161">
        <w:t xml:space="preserve"> and local communities are likely to be sites where the</w:t>
      </w:r>
      <w:r w:rsidR="009D0730">
        <w:t>re</w:t>
      </w:r>
      <w:r w:rsidRPr="00837161">
        <w:t xml:space="preserve"> already </w:t>
      </w:r>
      <w:r w:rsidR="009D0730">
        <w:t xml:space="preserve">is an </w:t>
      </w:r>
      <w:r w:rsidRPr="00837161">
        <w:t>integrat</w:t>
      </w:r>
      <w:r w:rsidR="009D0730">
        <w:t>ed</w:t>
      </w:r>
      <w:r w:rsidRPr="00837161">
        <w:t xml:space="preserve"> management of culturally important sites and values with conservation outcomes or active </w:t>
      </w:r>
      <w:r w:rsidR="009D0730">
        <w:t xml:space="preserve">community </w:t>
      </w:r>
      <w:r w:rsidRPr="00837161">
        <w:t>involve</w:t>
      </w:r>
      <w:r w:rsidR="009D0730">
        <w:t>ment</w:t>
      </w:r>
      <w:r w:rsidRPr="00837161">
        <w:t xml:space="preserve"> in the control of invasive alien species </w:t>
      </w:r>
      <w:r w:rsidRPr="00837161">
        <w:fldChar w:fldCharType="begin"/>
      </w:r>
      <w:r w:rsidR="000F35EB">
        <w:instrText xml:space="preserve"> ADDIN ZOTERO_ITEM CSL_CITATION {"citationID":"uc8lOtcU","properties":{"formattedCitation":"(Bach et al., 2019)","plainCitation":"(Bach et al., 2019)","dontUpdate":true,"noteIndex":0},"citationItems":[{"id":11330,"uris":["http://zotero.org/groups/2352922/items/CDMLAWFF"],"itemData":{"id":11330,"type":"article-journal","abstract":"The Australian Government's funding of land management by Aboriginal communities aims to enable them to manage natural and cultural resources according to their values and aspirations. But this approach is countered in the case of weed management, where the emphasis is on killing plants that are identified on invasive alien species lists prepared by government agencies. Based on field research with Bardi-Jawi, Bunuba, Ngurrara, Nyikina Mangala and Wunggurr land managers in the Kimberley region of Western Australia, we observed that 27 of 35 weed control projects followed the government agency weed lists for species-led control. Of these 27 projects, only two were considered successful in meeting Aboriginal cultural aspirations. In most of the other cases, the list-based approach generated frustration among Aboriginal rangers who felt they were engaged in purposeless killing. In contrast, we found that elders and rangers preferred site-based approaches that considered landscape and vegetation management from their culturally specific and highly contextual geographies of ‘healthy country’. We outline instances where ranger groups have adopted site-based management that has been informed by geographies of healthy country and argue that such an approach offers a better alternative to current list-based weed control and produces positive outcomes for Aboriginal communities.","collection-title":"The human and social dimensions of invasion science and management","container-title":"Journal of Environmental Management","DOI":"10.1016/j.jenvman.2018.06.050","ISSN":"0301-4797","journalAbbreviation":"Journal of Environmental Management","language":"en","page":"182-192","source":"ScienceDirect","title":"From killing lists to healthy country: Aboriginal approaches to weed control in the Kimberley, Western Australia","title-short":"From killing lists to healthy country","URL":"http://www.sciencedirect.com/science/article/pii/S0301479718306984","volume":"229","author":[{"family":"Bach","given":"Thomas M."},{"family":"Kull","given":"Christian A."},{"family":"Rangan","given":"Haripriya"}],"accessed":{"date-parts":[["2019",10,14]]},"issued":{"date-parts":[["2019",1,1]]}},"label":"page"}],"schema":"https://github.com/citation-style-language/schema/raw/master/csl-citation.json"} </w:instrText>
      </w:r>
      <w:r w:rsidRPr="00837161">
        <w:fldChar w:fldCharType="separate"/>
      </w:r>
      <w:r w:rsidR="00F122DB" w:rsidRPr="00837161">
        <w:t xml:space="preserve">(Bach et al., 2019; </w:t>
      </w:r>
      <w:r w:rsidRPr="00837161">
        <w:fldChar w:fldCharType="end"/>
      </w:r>
      <w:r w:rsidR="00CF348C">
        <w:rPr>
          <w:b/>
          <w:iCs/>
        </w:rPr>
        <w:t>C</w:t>
      </w:r>
      <w:r w:rsidR="00F122DB" w:rsidRPr="00CF348C">
        <w:rPr>
          <w:b/>
          <w:iCs/>
        </w:rPr>
        <w:t>hapter 2</w:t>
      </w:r>
      <w:r w:rsidR="00F122DB" w:rsidRPr="00CF348C">
        <w:rPr>
          <w:iCs/>
        </w:rPr>
        <w:t>,</w:t>
      </w:r>
      <w:r w:rsidR="00F122DB" w:rsidRPr="00CF348C">
        <w:rPr>
          <w:b/>
          <w:iCs/>
        </w:rPr>
        <w:t xml:space="preserve"> Box 2.6</w:t>
      </w:r>
      <w:r w:rsidR="00F122DB" w:rsidRPr="00837161">
        <w:t>)</w:t>
      </w:r>
      <w:r w:rsidRPr="00837161">
        <w:t xml:space="preserve">. Indigenous lands cover more than a quarter of the world’s terrestrial area </w:t>
      </w:r>
      <w:r w:rsidRPr="00837161">
        <w:fldChar w:fldCharType="begin"/>
      </w:r>
      <w:r w:rsidR="000F35EB">
        <w:instrText xml:space="preserve"> ADDIN ZOTERO_ITEM CSL_CITATION {"citationID":"lK9A0be6","properties":{"formattedCitation":"(Garnett et al., 2018)","plainCitation":"(Garnett et al., 2018)","noteIndex":0},"citationItems":[{"id":56351,"uris":["http://zotero.org/groups/2352922/items/YPB4DENG","http://zotero.org/groups/2352922/items/5ALCQ2S9"],"itemData":{"id":56351,"type":"article-journal","container-title":"Nature Sustainability","DOI":"10.1038/s41893-018-0100-6","ISSN":"2398-9629","issue":"7","journalAbbreviation":"Nat Sustain","language":"en","page":"369-374","source":"DOI.org (Crossref)","title":"A spatial overview of the global importance of Indigenous lands for conservation","URL":"https://www.nature.com/articles/s41893-018-0100-6","volume":"1","author":[{"family":"Garnett","given":"Stephen T."},{"family":"Burgess","given":"Neil D."},{"family":"Fa","given":"Julia E."},{"family":"Fernández-Llamazares","given":"Álvaro"},{"family":"Molnár","given":"Zsolt"},{"family":"Robinson","given":"Cathy J."},{"family":"Watson","given":"James E. M."},{"family":"Zander","given":"Kerstin K."},{"family":"Austin","given":"Beau"},{"family":"Brondizio","given":"Eduardo S."},{"family":"Collier","given":"Neil French"},{"family":"Duncan","given":"Tom"},{"family":"Ellis","given":"Erle"},{"family":"Geyle","given":"Hayley"},{"family":"Jackson","given":"Micha V."},{"family":"Jonas","given":"Harry"},{"family":"Malmer","given":"Pernilla"},{"family":"McGowan","given":"Ben"},{"family":"Sivongxay","given":"Amphone"},{"family":"Leiper","given":"Ian"}],"accessed":{"date-parts":[["2023",6,8]]},"issued":{"date-parts":[["2018",7,16]]}},"label":"page"}],"schema":"https://github.com/citation-style-language/schema/raw/master/csl-citation.json"} </w:instrText>
      </w:r>
      <w:r w:rsidRPr="00837161">
        <w:fldChar w:fldCharType="separate"/>
      </w:r>
      <w:r w:rsidR="00271B78" w:rsidRPr="00271B78">
        <w:t>(Garnett et al., 2018)</w:t>
      </w:r>
      <w:r w:rsidRPr="00837161">
        <w:fldChar w:fldCharType="end"/>
      </w:r>
      <w:r w:rsidRPr="00837161">
        <w:t xml:space="preserve"> and the relationship between invasive alien species, site cultural value and negative </w:t>
      </w:r>
      <w:r w:rsidR="00E90B81" w:rsidRPr="00837161">
        <w:t>socioe</w:t>
      </w:r>
      <w:r w:rsidRPr="00837161">
        <w:t xml:space="preserve">cological effects are often highly complex, contextual and often contradictory </w:t>
      </w:r>
      <w:r w:rsidRPr="00837161">
        <w:fldChar w:fldCharType="begin"/>
      </w:r>
      <w:r w:rsidR="000F35EB">
        <w:instrText xml:space="preserve"> ADDIN ZOTERO_ITEM CSL_CITATION {"citationID":"0oEIlRG7","properties":{"formattedCitation":"(Howard, 2019; Pfeiffer &amp; Voeks, 2008)","plainCitation":"(Howard, 2019; Pfeiffer &amp; Voeks, 2008)","noteIndex":0},"citationItems":[{"id":56402,"uris":["http://zotero.org/groups/2352922/items/FKZW3H8F","http://zotero.org/groups/2352922/items/LF2QQ5MI"],"itemData":{"id":56402,"type":"article-journal","abstract":"Abstract\n            Species invasions are a major driver of ecological change, are very difficult to control or reverse, and will increase with climate change and global trade. Invasion sciences consider how species in invaded environments adapt, but neither scientists nor policy makers consider human adaptation to invasive species and how this affects ecosystems and well-being. To address this, a framework conceptualising autochthonous human adaptation to invasions was developed based on the Human Adaptation to Biodiversity Change framework and a case study metasynthesis. Results show that adaptation occurs within different spheres of human activity and organisation at different social-ecological scales; responses have feedbacks within and across these spheres. Adaptation to invasives and other drivers is a set of highly contextual, complex, non-linear responses that make up pathways pursued over time. Most invasive species management and adaptation occurs ‘from below,’ and policies and planned control efforts should support autochthonous adaptation, rather than undermining it.","container-title":"Ambio","DOI":"10.1007/s13280-019-01297-5","ISSN":"0044-7447, 1654-7209","issue":"12","journalAbbreviation":"Ambio","language":"en","page":"1401-1430","source":"DOI.org (Crossref)","title":"Human adaptation to invasive species: A conceptual framework based on a case study metasynthesis","title-short":"Human adaptation to invasive species","URL":"http://link.springer.com/10.1007/s13280-019-01297-5","volume":"48","author":[{"family":"Howard","given":"Patricia L."}],"accessed":{"date-parts":[["2023",6,8]]},"issued":{"date-parts":[["2019",12]]}},"label":"page"},{"id":56556,"uris":["http://zotero.org/groups/2352922/items/LFVBTDZ8","http://zotero.org/groups/2352922/items/S9UT4YR2"],"itemData":{"id":56556,"type":"article-journal","container-title":"Environmental Conservation","DOI":"10.1017/S0376892908005146","ISSN":"0376-8929, 1469-4387","issue":"4","journalAbbreviation":"Envir. Conserv.","language":"en","page":"281-293","source":"DOI.org (Crossref)","title":"Biological invasions and biocultural diversity: linking ecological and cultural systems","title-short":"Biological invasions and biocultural diversity","URL":"http://www.journals.cambridge.org/abstract_S0376892908005146","volume":"35","author":[{"family":"Pfeiffer","given":"Jeanine M."},{"family":"Voeks","given":"Robert A."}],"accessed":{"date-parts":[["2023",6,8]]},"issued":{"date-parts":[["2008",12]]}},"label":"page"}],"schema":"https://github.com/citation-style-language/schema/raw/master/csl-citation.json"} </w:instrText>
      </w:r>
      <w:r w:rsidRPr="00837161">
        <w:fldChar w:fldCharType="separate"/>
      </w:r>
      <w:r w:rsidR="00271B78" w:rsidRPr="00271B78">
        <w:t>(Howard, 2019; Pfeiffer &amp; Voeks, 2008)</w:t>
      </w:r>
      <w:r w:rsidRPr="00837161">
        <w:fldChar w:fldCharType="end"/>
      </w:r>
      <w:r w:rsidRPr="00837161">
        <w:t xml:space="preserve">. Sites of high cultural value may be valued for provision of food and </w:t>
      </w:r>
      <w:r w:rsidR="00731EF2" w:rsidRPr="00837161">
        <w:t>medicine because</w:t>
      </w:r>
      <w:r w:rsidRPr="00837161">
        <w:t xml:space="preserve"> they are also biodiversity refuges for native species.</w:t>
      </w:r>
      <w:r w:rsidR="00DA1290" w:rsidRPr="00837161">
        <w:t xml:space="preserve"> </w:t>
      </w:r>
      <w:r w:rsidR="00DA1290" w:rsidRPr="00837161">
        <w:rPr>
          <w:rFonts w:eastAsia="游明朝"/>
          <w:lang w:eastAsia="ja-JP"/>
        </w:rPr>
        <w:t xml:space="preserve">For example, </w:t>
      </w:r>
      <w:r w:rsidR="00DA1290" w:rsidRPr="00837161">
        <w:t xml:space="preserve">Aboriginal-owned freshwater billabongs in northern Australia have cultural assets as hunting and fishing grounds, and therefore site-based management to exclude feral animals is being experimented collaboratively by researchers and Aboriginal people </w:t>
      </w:r>
      <w:r w:rsidR="00DA1290" w:rsidRPr="00837161">
        <w:fldChar w:fldCharType="begin"/>
      </w:r>
      <w:r w:rsidR="007746C5">
        <w:instrText xml:space="preserve"> ADDIN ZOTERO_ITEM CSL_CITATION {"citationID":"N6p23DWK","properties":{"formattedCitation":"(Ens et al., 2016)","plainCitation":"(Ens et al., 2016)","noteIndex":0},"citationItems":[{"id":30476,"uris":["http://zotero.org/groups/2352922/items/YIMM6UYW"],"itemData":{"id":30476,"type":"article-journal","abstract":"Invasive species can have negative and positive impacts for local communities. Conflict between these different values can complicate and sometimes prevent broad-scale management and decision-making. Multi-functional landscapes and community-based conservation paradigms have emerged as constructive approaches to integrating competing interests and the development of sustainable and locally meaningful management planning. Here, we report on a five year feral ungulate exclusion fence project that was used to focus local people's attention on the eco-cultural and socio-economic impacts of feral ungulate invasion in a remote Aboriginal-owned region of northern Australia. Exclusion of feral buffalo, horses and pigs from three culturally significant freshwater billabongs from 2009 to 2013 resulted in variable increases in smooth ground (from 64-93%), ground cover vegetation (from 18-95%) and water lily cover (bush food) (from 20-60%), dependent on the site. The reduction in feral animal ground surface damage in the fenced areas was fastest at the floodplain billabong, Nalawan, which took only a year to become negligible. At the two channel billabongs, Costello and Namaliwiri, feral animal damage was negligible after 3 years. Senior Aboriginal Traditional Owners of these areas were pleased that these environmental assets were protected, but only agreed on the wholesale culling of pigs. Despite recognition of the negative eco-cultural impacts of feral ungulates as observed through the exclusion fence project, they wanted to maintain buffalo and horse on their Country to financially benefit from potential pet-meat and live export industries. Fencing was requested for culturally meaningful sites including those that were used for fishing and were sacred. Fenced areas were viewed by Traditional Owners as \"protected\" areas of ecological and cultural resources. These multiple management preferences can be combined to build socio-ecological resilience into regional strategic planning for feral ungulate management that will deliver multiple benefits for local communities.","container-title":"Biological Conservation","DOI":"10.1016/j.biocon.2016.03.007","ISSN":"00063207","language":"English","page":"235–246","title":"Creating multi-functional landscapes: Using exclusion fences to frame feral ungulate management preferences in remote Aboriginal-owned northern Australia","title-short":"Creating multi-functional landscapes","URL":"http://dx.doi.org/10.1016/j.biocon.2016.03.007","volume":"197","author":[{"family":"Ens","given":"E."},{"family":"Daniels","given":"C."},{"family":"Nelson","given":"E."},{"family":"Roy","given":"J."},{"family":"Dixon","given":"P."}],"issued":{"date-parts":[["2016",5]]}},"label":"page"}],"schema":"https://github.com/citation-style-language/schema/raw/master/csl-citation.json"} </w:instrText>
      </w:r>
      <w:r w:rsidR="00DA1290" w:rsidRPr="00837161">
        <w:fldChar w:fldCharType="separate"/>
      </w:r>
      <w:r w:rsidR="007746C5" w:rsidRPr="007746C5">
        <w:t>(Ens et al., 2016)</w:t>
      </w:r>
      <w:r w:rsidR="00DA1290" w:rsidRPr="00837161">
        <w:fldChar w:fldCharType="end"/>
      </w:r>
      <w:r w:rsidR="00DA1290" w:rsidRPr="00837161">
        <w:t>.</w:t>
      </w:r>
      <w:r w:rsidRPr="00837161">
        <w:t xml:space="preserve"> Invasive alien species have been incorporated into local cultural systems of </w:t>
      </w:r>
      <w:r w:rsidR="00875C95" w:rsidRPr="00837161">
        <w:t>Indigenous Peoples</w:t>
      </w:r>
      <w:r w:rsidRPr="00837161">
        <w:t xml:space="preserve"> and local communities</w:t>
      </w:r>
      <w:r w:rsidR="009D0730">
        <w:t>,</w:t>
      </w:r>
      <w:r w:rsidR="0078136F" w:rsidRPr="00837161">
        <w:t xml:space="preserve"> leading to cultural enrichment</w:t>
      </w:r>
      <w:r w:rsidRPr="00837161">
        <w:t xml:space="preserve"> </w:t>
      </w:r>
      <w:r w:rsidRPr="00837161">
        <w:rPr>
          <w:highlight w:val="magenta"/>
        </w:rPr>
        <w:fldChar w:fldCharType="begin"/>
      </w:r>
      <w:r w:rsidR="000F35EB">
        <w:rPr>
          <w:highlight w:val="magenta"/>
        </w:rPr>
        <w:instrText xml:space="preserve"> ADDIN ZOTERO_ITEM CSL_CITATION {"citationID":"OZ6rRGCf","properties":{"formattedCitation":"(Pfeiffer &amp; Voeks, 2008)","plainCitation":"(Pfeiffer &amp; Voeks, 2008)","noteIndex":0},"citationItems":[{"id":56556,"uris":["http://zotero.org/groups/2352922/items/LFVBTDZ8","http://zotero.org/groups/2352922/items/S9UT4YR2"],"itemData":{"id":56556,"type":"article-journal","container-title":"Environmental Conservation","DOI":"10.1017/S0376892908005146","ISSN":"0376-8929, 1469-4387","issue":"4","journalAbbreviation":"Envir. Conserv.","language":"en","page":"281-293","source":"DOI.org (Crossref)","title":"Biological invasions and biocultural diversity: linking ecological and cultural systems","title-short":"Biological invasions and biocultural diversity","URL":"http://www.journals.cambridge.org/abstract_S0376892908005146","volume":"35","author":[{"family":"Pfeiffer","given":"Jeanine M."},{"family":"Voeks","given":"Robert A."}],"accessed":{"date-parts":[["2023",6,8]]},"issued":{"date-parts":[["2008",12]]}},"label":"page"}],"schema":"https://github.com/citation-style-language/schema/raw/master/csl-citation.json"} </w:instrText>
      </w:r>
      <w:r w:rsidRPr="00837161">
        <w:rPr>
          <w:highlight w:val="magenta"/>
        </w:rPr>
        <w:fldChar w:fldCharType="separate"/>
      </w:r>
      <w:r w:rsidR="00271B78" w:rsidRPr="00271B78">
        <w:t>(Pfeiffer &amp; Voeks, 2008)</w:t>
      </w:r>
      <w:r w:rsidRPr="00837161">
        <w:rPr>
          <w:highlight w:val="magenta"/>
        </w:rPr>
        <w:fldChar w:fldCharType="end"/>
      </w:r>
      <w:r w:rsidRPr="00837161">
        <w:t>. The Lower Mekong Basin is a large</w:t>
      </w:r>
      <w:r w:rsidR="06AA5A08" w:rsidRPr="00837161">
        <w:t>-</w:t>
      </w:r>
      <w:r w:rsidRPr="00837161">
        <w:t xml:space="preserve">scale </w:t>
      </w:r>
      <w:r w:rsidR="00E90B81" w:rsidRPr="00837161">
        <w:t>socioe</w:t>
      </w:r>
      <w:r w:rsidRPr="00837161">
        <w:t xml:space="preserve">cological system </w:t>
      </w:r>
      <w:r w:rsidR="00D0755C">
        <w:t xml:space="preserve">where </w:t>
      </w:r>
      <w:r w:rsidRPr="00837161">
        <w:t>sites and</w:t>
      </w:r>
      <w:r w:rsidR="009D0730">
        <w:t xml:space="preserve"> invasive alien</w:t>
      </w:r>
      <w:r w:rsidRPr="00837161">
        <w:t xml:space="preserve"> species </w:t>
      </w:r>
      <w:r w:rsidR="00D0755C">
        <w:t xml:space="preserve">are managed </w:t>
      </w:r>
      <w:r w:rsidRPr="00837161">
        <w:t xml:space="preserve">in an integrated manner </w:t>
      </w:r>
      <w:r w:rsidRPr="00837161">
        <w:fldChar w:fldCharType="begin"/>
      </w:r>
      <w:r w:rsidR="000F35EB">
        <w:instrText xml:space="preserve"> ADDIN ZOTERO_ITEM CSL_CITATION {"citationID":"YI7oVs5s","properties":{"formattedCitation":"(Miththapala, 2007)","plainCitation":"(Miththapala, 2007)","noteIndex":0},"citationItems":[{"id":10775,"uris":["http://zotero.org/groups/2352922/items/PDEWHHGZ"],"itemData":{"id":10775,"type":"report","page":"14","publisher":"IUCN: Mekong Wetland Biodiversity Programme and Regional Species Conservation Programme, The World Conservation Union (IUCN), Asia","title":"A strategy for addressing issues of aquatic invasive alien species in the Lower Mekong Basin.","URL":"https://portals.iucn.org/library/sites/library/files/documents/2007-074.pdf","author":[{"family":"Miththapala","given":"S"}],"issued":{"date-parts":[["2007"]]}},"label":"page"}],"schema":"https://github.com/citation-style-language/schema/raw/master/csl-citation.json"} </w:instrText>
      </w:r>
      <w:r w:rsidRPr="00837161">
        <w:fldChar w:fldCharType="separate"/>
      </w:r>
      <w:r w:rsidR="00271B78" w:rsidRPr="00271B78">
        <w:t>(Miththapala, 2007)</w:t>
      </w:r>
      <w:r w:rsidRPr="00837161">
        <w:fldChar w:fldCharType="end"/>
      </w:r>
      <w:r w:rsidRPr="00837161">
        <w:t xml:space="preserve">. </w:t>
      </w:r>
      <w:r w:rsidR="00875C95" w:rsidRPr="00837161">
        <w:t>Indigenous Peoples</w:t>
      </w:r>
      <w:r w:rsidR="00C71A2B" w:rsidRPr="00837161">
        <w:t xml:space="preserve"> </w:t>
      </w:r>
      <w:r w:rsidRPr="00837161">
        <w:t>and local communities utilize invasive alien species as a natural resource in the process of management (</w:t>
      </w:r>
      <w:r w:rsidR="00191A6E">
        <w:rPr>
          <w:b/>
          <w:bCs/>
        </w:rPr>
        <w:t>Box 5.4</w:t>
      </w:r>
      <w:r w:rsidRPr="00837161">
        <w:t>).</w:t>
      </w:r>
    </w:p>
    <w:p w14:paraId="000001E6" w14:textId="5B8D6618" w:rsidR="00A758FD" w:rsidRPr="00AC1F76" w:rsidRDefault="002A38E9" w:rsidP="00D0755C">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rPr>
      </w:pPr>
      <w:bookmarkStart w:id="204" w:name="_Ref104972450"/>
      <w:bookmarkStart w:id="205" w:name="_Toc80708182"/>
      <w:bookmarkStart w:id="206" w:name="_Toc87623064"/>
      <w:bookmarkStart w:id="207" w:name="_Toc147488939"/>
      <w:r w:rsidRPr="00C0338D">
        <w:rPr>
          <w:lang w:val="en-GB"/>
        </w:rPr>
        <w:t>Box 5.</w:t>
      </w:r>
      <w:r w:rsidRPr="00C0338D">
        <w:rPr>
          <w:lang w:val="en-GB"/>
        </w:rPr>
        <w:fldChar w:fldCharType="begin"/>
      </w:r>
      <w:r w:rsidRPr="00C0338D">
        <w:rPr>
          <w:lang w:val="en-GB"/>
        </w:rPr>
        <w:instrText>SEQ Box_5. \* ARABIC</w:instrText>
      </w:r>
      <w:r w:rsidRPr="00C0338D">
        <w:rPr>
          <w:lang w:val="en-GB"/>
        </w:rPr>
        <w:fldChar w:fldCharType="separate"/>
      </w:r>
      <w:r w:rsidR="00DC77F8" w:rsidRPr="00C0338D">
        <w:rPr>
          <w:noProof/>
          <w:lang w:val="en-GB"/>
        </w:rPr>
        <w:t>4</w:t>
      </w:r>
      <w:r w:rsidRPr="00C0338D">
        <w:rPr>
          <w:lang w:val="en-GB"/>
        </w:rPr>
        <w:fldChar w:fldCharType="end"/>
      </w:r>
      <w:bookmarkStart w:id="208" w:name="_heading=h.1664s55" w:colFirst="0" w:colLast="0"/>
      <w:bookmarkEnd w:id="204"/>
      <w:bookmarkEnd w:id="208"/>
      <w:r w:rsidR="00C0338D">
        <w:rPr>
          <w:b w:val="0"/>
          <w:bCs w:val="0"/>
        </w:rPr>
        <w:t>.</w:t>
      </w:r>
      <w:r w:rsidR="00C81287" w:rsidRPr="00AC1F76">
        <w:rPr>
          <w:color w:val="000000" w:themeColor="text1"/>
        </w:rPr>
        <w:t xml:space="preserve"> Case study: </w:t>
      </w:r>
      <w:r w:rsidR="39F4F27F" w:rsidRPr="5E4965FB">
        <w:rPr>
          <w:color w:val="000000" w:themeColor="text1"/>
        </w:rPr>
        <w:t>M</w:t>
      </w:r>
      <w:r w:rsidR="5A7C5823" w:rsidRPr="5E4965FB">
        <w:rPr>
          <w:color w:val="000000" w:themeColor="text1"/>
        </w:rPr>
        <w:t>anagement</w:t>
      </w:r>
      <w:r w:rsidR="4F91D3DC" w:rsidRPr="5E4965FB">
        <w:rPr>
          <w:color w:val="000000" w:themeColor="text1"/>
        </w:rPr>
        <w:t xml:space="preserve"> </w:t>
      </w:r>
      <w:r w:rsidR="4F91D3DC" w:rsidRPr="003666A4">
        <w:t>of biological invasions</w:t>
      </w:r>
      <w:r w:rsidR="00C81287" w:rsidRPr="00AC1F76">
        <w:rPr>
          <w:color w:val="000000" w:themeColor="text1"/>
        </w:rPr>
        <w:t xml:space="preserve"> in a socioecological system in Asia: the case of the Lower Mekong Basin</w:t>
      </w:r>
      <w:bookmarkEnd w:id="205"/>
      <w:bookmarkEnd w:id="206"/>
      <w:bookmarkEnd w:id="207"/>
    </w:p>
    <w:p w14:paraId="000001E7" w14:textId="18D836E4" w:rsidR="00A758FD" w:rsidRPr="00C0338D" w:rsidRDefault="00C81287" w:rsidP="00D0755C">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C0338D">
        <w:t>The Mekong River flows through six countries (China, Myanmar, Thailand, Lao People's Democratic Republic, Cambodia and Vietnam), draining an area of 795, 000 km</w:t>
      </w:r>
      <w:r w:rsidRPr="00C0338D">
        <w:rPr>
          <w:vertAlign w:val="superscript"/>
        </w:rPr>
        <w:t>2</w:t>
      </w:r>
      <w:r w:rsidRPr="00C0338D">
        <w:t xml:space="preserve">. </w:t>
      </w:r>
      <w:r w:rsidR="721C5CD8" w:rsidRPr="00837161">
        <w:t>The Lower Mekong Basin is a biodiversity hotspot with numerous endemic and endangered species, and home to about 60 million</w:t>
      </w:r>
      <w:r w:rsidR="00E07208" w:rsidRPr="00837161">
        <w:t xml:space="preserve"> people</w:t>
      </w:r>
      <w:r w:rsidR="21FE5485" w:rsidRPr="00837161">
        <w:t>, some of whom</w:t>
      </w:r>
      <w:r w:rsidR="3159FF6B" w:rsidRPr="00837161">
        <w:t xml:space="preserve"> are</w:t>
      </w:r>
      <w:r w:rsidR="03C9FB4D" w:rsidRPr="00837161">
        <w:t xml:space="preserve"> </w:t>
      </w:r>
      <w:r w:rsidR="00875C95" w:rsidRPr="00837161">
        <w:t>Indigenous Peoples</w:t>
      </w:r>
      <w:r w:rsidR="03C9FB4D" w:rsidRPr="00837161">
        <w:t xml:space="preserve"> and local communities</w:t>
      </w:r>
      <w:r w:rsidR="721C5CD8" w:rsidRPr="00837161">
        <w:t xml:space="preserve"> </w:t>
      </w:r>
      <w:r w:rsidR="6F37074E" w:rsidRPr="00837161">
        <w:fldChar w:fldCharType="begin"/>
      </w:r>
      <w:r w:rsidR="000F35EB">
        <w:instrText xml:space="preserve"> ADDIN ZOTERO_ITEM CSL_CITATION {"citationID":"XWFXLURx","properties":{"formattedCitation":"(Miththapala, 2007)","plainCitation":"(Miththapala, 2007)","noteIndex":0},"citationItems":[{"id":10775,"uris":["http://zotero.org/groups/2352922/items/PDEWHHGZ"],"itemData":{"id":10775,"type":"report","page":"14","publisher":"IUCN: Mekong Wetland Biodiversity Programme and Regional Species Conservation Programme, The World Conservation Union (IUCN), Asia","title":"A strategy for addressing issues of aquatic invasive alien species in the Lower Mekong Basin.","URL":"https://portals.iucn.org/library/sites/library/files/documents/2007-074.pdf","author":[{"family":"Miththapala","given":"S"}],"issued":{"date-parts":[["2007"]]}},"label":"page"}],"schema":"https://github.com/citation-style-language/schema/raw/master/csl-citation.json"} </w:instrText>
      </w:r>
      <w:r w:rsidR="6F37074E" w:rsidRPr="00837161">
        <w:fldChar w:fldCharType="separate"/>
      </w:r>
      <w:r w:rsidR="00271B78" w:rsidRPr="00271B78">
        <w:t>(Miththapala, 2007)</w:t>
      </w:r>
      <w:r w:rsidR="6F37074E" w:rsidRPr="00837161">
        <w:fldChar w:fldCharType="end"/>
      </w:r>
      <w:r w:rsidR="721C5CD8" w:rsidRPr="00837161">
        <w:t xml:space="preserve">. Invasive alien species </w:t>
      </w:r>
      <w:r w:rsidR="003E37BB" w:rsidRPr="00837161">
        <w:t>(</w:t>
      </w:r>
      <w:r w:rsidR="0075115E" w:rsidRPr="00837161">
        <w:t xml:space="preserve">e.g., </w:t>
      </w:r>
      <w:r w:rsidR="0075115E" w:rsidRPr="00837161">
        <w:rPr>
          <w:i/>
          <w:iCs/>
        </w:rPr>
        <w:t>Pontederia crassipes</w:t>
      </w:r>
      <w:r w:rsidR="0075115E" w:rsidRPr="00837161">
        <w:t xml:space="preserve"> (water hyacinth)</w:t>
      </w:r>
      <w:r w:rsidR="00BC3D39" w:rsidRPr="00837161">
        <w:t>,</w:t>
      </w:r>
      <w:r w:rsidR="009D0730">
        <w:t xml:space="preserve"> </w:t>
      </w:r>
      <w:r w:rsidR="00191A6E">
        <w:rPr>
          <w:b/>
          <w:iCs/>
        </w:rPr>
        <w:t>Figure 5.11</w:t>
      </w:r>
      <w:r w:rsidR="0075115E" w:rsidRPr="00837161">
        <w:t xml:space="preserve">) </w:t>
      </w:r>
      <w:r w:rsidR="721C5CD8" w:rsidRPr="00837161">
        <w:t>are impacting biodiversity (</w:t>
      </w:r>
      <w:r w:rsidR="2772C611" w:rsidRPr="00837161">
        <w:t xml:space="preserve">e.g., </w:t>
      </w:r>
      <w:r w:rsidR="00D0755C">
        <w:t xml:space="preserve">the invasive alien </w:t>
      </w:r>
      <w:r w:rsidR="721C5CD8" w:rsidRPr="00837161">
        <w:rPr>
          <w:i/>
          <w:iCs/>
        </w:rPr>
        <w:t>Mimosa pigra</w:t>
      </w:r>
      <w:r w:rsidR="5D3CDAA5" w:rsidRPr="00837161">
        <w:t xml:space="preserve"> </w:t>
      </w:r>
      <w:r w:rsidR="02300581" w:rsidRPr="00837161">
        <w:t>(</w:t>
      </w:r>
      <w:r w:rsidR="708B4480" w:rsidRPr="00837161">
        <w:t>giant sensitive plant</w:t>
      </w:r>
      <w:r w:rsidR="02300581" w:rsidRPr="00837161">
        <w:t>)</w:t>
      </w:r>
      <w:r w:rsidR="721C5CD8" w:rsidRPr="00837161">
        <w:t xml:space="preserve"> </w:t>
      </w:r>
      <w:r w:rsidR="721C5CD8" w:rsidRPr="00837161">
        <w:lastRenderedPageBreak/>
        <w:t>displacing native wetland species), human health (</w:t>
      </w:r>
      <w:r w:rsidR="2772C611" w:rsidRPr="00837161">
        <w:t xml:space="preserve">e.g., </w:t>
      </w:r>
      <w:r w:rsidR="00D0755C">
        <w:t xml:space="preserve">the </w:t>
      </w:r>
      <w:r w:rsidR="721C5CD8" w:rsidRPr="00837161">
        <w:t xml:space="preserve">invasive </w:t>
      </w:r>
      <w:r w:rsidR="00D0755C">
        <w:t xml:space="preserve">alien </w:t>
      </w:r>
      <w:r w:rsidR="708B4480" w:rsidRPr="00837161">
        <w:rPr>
          <w:i/>
          <w:iCs/>
        </w:rPr>
        <w:t>Pomacea canaliculata</w:t>
      </w:r>
      <w:r w:rsidR="02300581" w:rsidRPr="00837161">
        <w:t xml:space="preserve"> (</w:t>
      </w:r>
      <w:r w:rsidR="721C5CD8" w:rsidRPr="00837161">
        <w:t>golden apple snail</w:t>
      </w:r>
      <w:r w:rsidR="02300581" w:rsidRPr="00837161">
        <w:t>)</w:t>
      </w:r>
      <w:r w:rsidR="721C5CD8" w:rsidRPr="00837161">
        <w:t xml:space="preserve"> vectors </w:t>
      </w:r>
      <w:r w:rsidR="00C433F0">
        <w:t xml:space="preserve">and </w:t>
      </w:r>
      <w:r w:rsidR="721C5CD8" w:rsidRPr="00837161">
        <w:t xml:space="preserve">the nematode </w:t>
      </w:r>
      <w:r w:rsidR="5D3CDAA5" w:rsidRPr="00837161">
        <w:rPr>
          <w:i/>
          <w:iCs/>
        </w:rPr>
        <w:t>Ang</w:t>
      </w:r>
      <w:r w:rsidR="708B4480" w:rsidRPr="00837161">
        <w:rPr>
          <w:i/>
          <w:iCs/>
        </w:rPr>
        <w:t>i</w:t>
      </w:r>
      <w:r w:rsidR="5D3CDAA5" w:rsidRPr="00837161">
        <w:rPr>
          <w:i/>
          <w:iCs/>
        </w:rPr>
        <w:t>ostrongylus</w:t>
      </w:r>
      <w:r w:rsidR="721C5CD8" w:rsidRPr="00837161">
        <w:rPr>
          <w:i/>
          <w:iCs/>
        </w:rPr>
        <w:t xml:space="preserve"> cantonensis</w:t>
      </w:r>
      <w:r w:rsidR="00962E08" w:rsidRPr="00837161">
        <w:rPr>
          <w:i/>
          <w:iCs/>
        </w:rPr>
        <w:t xml:space="preserve"> </w:t>
      </w:r>
      <w:r w:rsidR="00962E08" w:rsidRPr="00837161">
        <w:rPr>
          <w:iCs/>
        </w:rPr>
        <w:t>(rat lungworm)</w:t>
      </w:r>
      <w:r w:rsidR="721C5CD8" w:rsidRPr="00837161">
        <w:t xml:space="preserve"> causing </w:t>
      </w:r>
      <w:r w:rsidR="5D3CDAA5" w:rsidRPr="00837161">
        <w:t>eos</w:t>
      </w:r>
      <w:r w:rsidR="1B972EBF" w:rsidRPr="00837161">
        <w:t>i</w:t>
      </w:r>
      <w:r w:rsidR="5D3CDAA5" w:rsidRPr="00837161">
        <w:t>nophilic</w:t>
      </w:r>
      <w:r w:rsidR="721C5CD8" w:rsidRPr="00837161">
        <w:t xml:space="preserve"> meningoencephalitis in humans) and causing severe impacts on important food resources (</w:t>
      </w:r>
      <w:r w:rsidR="2772C611" w:rsidRPr="00837161">
        <w:t xml:space="preserve">e.g., </w:t>
      </w:r>
      <w:r w:rsidR="721C5CD8" w:rsidRPr="00837161">
        <w:t>rice). As part of the Mekong Wetlands Biodiversity Conservation and Sustainable Use program</w:t>
      </w:r>
      <w:r w:rsidR="15CFF1FD" w:rsidRPr="00837161">
        <w:t>me</w:t>
      </w:r>
      <w:r w:rsidR="721C5CD8" w:rsidRPr="00837161">
        <w:t xml:space="preserve"> </w:t>
      </w:r>
      <w:r w:rsidR="6F37074E" w:rsidRPr="00837161">
        <w:fldChar w:fldCharType="begin"/>
      </w:r>
      <w:r w:rsidR="000F35EB">
        <w:instrText xml:space="preserve"> ADDIN ZOTERO_ITEM CSL_CITATION {"citationID":"JmRyWeos","properties":{"formattedCitation":"(Friend, 2007)","plainCitation":"(Friend, 2007)","noteIndex":0},"citationItems":[{"id":29584,"uris":["http://zotero.org/groups/2352922/items/48NLRRER"],"itemData":{"id":29584,"type":"book","event-place":"Vientianne, Lao PDR","language":"en","publisher":"Mekong Wetlands Biodiversity Conservation and Sustainable Use Programme","publisher-place":"Vientianne, Lao PDR","source":"portals.iucn.org","title":"Securing sustainable livelihoods through wise use of wetland resources : reflections on the experience of the Mekong Wetlands Biodiversity Conservation and Sustainable Use Programme (MWBP)","title-short":"Securing sustainable livelihoods through wise use of wetland resources","URL":"https://portals.iucn.org/library/node/9198","author":[{"family":"Friend","given":"Richard"}],"accessed":{"date-parts":[["2021",7,21]]},"issued":{"date-parts":[["2007"]]}},"label":"page"}],"schema":"https://github.com/citation-style-language/schema/raw/master/csl-citation.json"} </w:instrText>
      </w:r>
      <w:r w:rsidR="6F37074E" w:rsidRPr="00837161">
        <w:fldChar w:fldCharType="separate"/>
      </w:r>
      <w:r w:rsidR="00271B78" w:rsidRPr="00271B78">
        <w:t>(Friend, 2007)</w:t>
      </w:r>
      <w:r w:rsidR="6F37074E" w:rsidRPr="00837161">
        <w:fldChar w:fldCharType="end"/>
      </w:r>
      <w:r w:rsidR="721C5CD8" w:rsidRPr="00837161">
        <w:t xml:space="preserve">, a multi-national </w:t>
      </w:r>
      <w:r w:rsidR="00C0338D">
        <w:t xml:space="preserve">biological invasion </w:t>
      </w:r>
      <w:r w:rsidR="721C5CD8" w:rsidRPr="00837161">
        <w:t xml:space="preserve">strategy </w:t>
      </w:r>
      <w:r w:rsidR="00D0755C">
        <w:t xml:space="preserve">was developed for </w:t>
      </w:r>
      <w:r w:rsidR="00D0755C" w:rsidRPr="00837161">
        <w:t>the whole Lower Mekong Basin</w:t>
      </w:r>
      <w:r w:rsidR="005B662E">
        <w:t xml:space="preserve"> and has been </w:t>
      </w:r>
      <w:r w:rsidR="00567C88" w:rsidRPr="00837161">
        <w:t>implemented</w:t>
      </w:r>
      <w:r w:rsidR="721C5CD8" w:rsidRPr="00837161">
        <w:t xml:space="preserve"> at national and local levels, focusing on 14 invasive alien plants and 15 animals (including 10 </w:t>
      </w:r>
      <w:r w:rsidR="005B662E">
        <w:t xml:space="preserve">invasive alien </w:t>
      </w:r>
      <w:r w:rsidR="721C5CD8" w:rsidRPr="00837161">
        <w:t>fish and three</w:t>
      </w:r>
      <w:r w:rsidR="005B662E">
        <w:t xml:space="preserve"> invasive alien</w:t>
      </w:r>
      <w:r w:rsidR="721C5CD8" w:rsidRPr="00837161">
        <w:t xml:space="preserve"> snails). The strategy includes a)</w:t>
      </w:r>
      <w:r w:rsidR="005B662E">
        <w:t> </w:t>
      </w:r>
      <w:r w:rsidR="721C5CD8" w:rsidRPr="00837161">
        <w:t xml:space="preserve">pathway management by preventing further entry of invasive alien species and controlling the spread of priority </w:t>
      </w:r>
      <w:r w:rsidR="00C0338D">
        <w:t xml:space="preserve">invasive alien </w:t>
      </w:r>
      <w:r w:rsidR="721C5CD8" w:rsidRPr="00837161">
        <w:t>species, especially in protected areas; b)</w:t>
      </w:r>
      <w:r w:rsidR="005B662E">
        <w:t> </w:t>
      </w:r>
      <w:r w:rsidR="721C5CD8" w:rsidRPr="00837161">
        <w:t xml:space="preserve">increasing public awareness and support (in local languages for communities </w:t>
      </w:r>
      <w:r w:rsidR="45EC30CD" w:rsidRPr="00837161">
        <w:t>depend</w:t>
      </w:r>
      <w:r w:rsidR="0952D75C" w:rsidRPr="00837161">
        <w:t>e</w:t>
      </w:r>
      <w:r w:rsidR="45EC30CD" w:rsidRPr="00837161">
        <w:t>nt</w:t>
      </w:r>
      <w:r w:rsidR="721C5CD8" w:rsidRPr="00837161">
        <w:t xml:space="preserve"> on the Mekong River); c)</w:t>
      </w:r>
      <w:r w:rsidR="005B662E">
        <w:t> </w:t>
      </w:r>
      <w:r w:rsidR="721C5CD8" w:rsidRPr="00837161">
        <w:t>building capacity and strengthening national and regional policies and legislation; d)</w:t>
      </w:r>
      <w:r w:rsidR="005B662E">
        <w:t> </w:t>
      </w:r>
      <w:r w:rsidR="721C5CD8" w:rsidRPr="00837161">
        <w:t>identifying alternative uses for invasive alien species to support control and providing additional benefits; e)</w:t>
      </w:r>
      <w:r w:rsidR="005B662E">
        <w:t> </w:t>
      </w:r>
      <w:r w:rsidR="721C5CD8" w:rsidRPr="00837161">
        <w:t>evaluating economic impa</w:t>
      </w:r>
      <w:r w:rsidR="6AB7CFBD" w:rsidRPr="00837161">
        <w:t xml:space="preserve">cts of invasive alien species; </w:t>
      </w:r>
      <w:r w:rsidR="721C5CD8" w:rsidRPr="00837161">
        <w:t>and f)</w:t>
      </w:r>
      <w:r w:rsidR="005B662E">
        <w:t> </w:t>
      </w:r>
      <w:r w:rsidR="721C5CD8" w:rsidRPr="00837161">
        <w:t>developing early detection and rapid response and monitoring systems.</w:t>
      </w:r>
      <w:r w:rsidR="07623303" w:rsidRPr="00837161">
        <w:t xml:space="preserve"> </w:t>
      </w:r>
      <w:r w:rsidR="70194E84" w:rsidRPr="00837161">
        <w:t xml:space="preserve">However, the </w:t>
      </w:r>
      <w:r w:rsidR="1729714A" w:rsidRPr="00837161">
        <w:t xml:space="preserve">impacts from the </w:t>
      </w:r>
      <w:r w:rsidR="64AFD2E5" w:rsidRPr="00837161">
        <w:t>construction of hydropower dams</w:t>
      </w:r>
      <w:r w:rsidR="07623303" w:rsidRPr="00837161">
        <w:t xml:space="preserve"> </w:t>
      </w:r>
      <w:r w:rsidR="64AFD2E5" w:rsidRPr="00837161">
        <w:t xml:space="preserve">and increasing saline water intrusion </w:t>
      </w:r>
      <w:r w:rsidR="1729714A" w:rsidRPr="00837161">
        <w:t xml:space="preserve">have continued to cause degradation of the Mekong delta </w:t>
      </w:r>
      <w:r w:rsidR="6F37074E" w:rsidRPr="00837161">
        <w:fldChar w:fldCharType="begin"/>
      </w:r>
      <w:r w:rsidR="000F35EB">
        <w:instrText xml:space="preserve"> ADDIN ZOTERO_ITEM CSL_CITATION {"citationID":"EkXFxD4D","properties":{"formattedCitation":"(Chua et al., 2022; E. Park et al., 2022; Sor et al., 2020; Soukhaphon et al., 2021)","plainCitation":"(Chua et al., 2022; E. Park et al., 2022; Sor et al., 2020; Soukhaphon et al., 2021)","noteIndex":0},"citationItems":[{"id":52604,"uris":["http://zotero.org/groups/2352922/items/J8YGAW3N"],"itemData":{"id":52604,"type":"article-journal","abstract":"&lt;p&gt;&lt;strong class=\"journal-contentHeaderColor\"&gt;Abstract.&lt;/strong&gt; The Cambodian floodplains experience a yearly flood pulse that is essential to sustain fisheries and the agricultural calendar. Sixty years of data, from 1960–2019, are used to track the changes to the flood pulse there. We find that minimum water levels over 2010–2019 increased by up to 1.55 m at Kratie and maximum water levels decreased by up to 0.79 m at Prek Kdam when compared to 1960–1991 levels, causing a reduction of the annual flood extent. Concurrently, the duration of the flooding season has decreased by about 26 d (Kampong Cham) and 40 d (Chaktomuk), with the season starting later and ending much earlier. Along the Tonle Sap River, the average annual reverse flow from the Mekong to the Tonle Sap Lake has decreased by 56.5 %, from 48.7 km&lt;span class=\"inline-formula\"&gt;&lt;sup&gt;3&lt;/sup&gt;&lt;/span&gt; in 1962–1972 to 31.7 km&lt;span class=\"inline-formula\"&gt;&lt;sup&gt;3&lt;/sup&gt;&lt;/span&gt; in 2010–2018. As a result, wet-season water levels at Tonle Sap Lake dropped by 1.05 m in 2010–2019 compared to 1996–2009, corresponding to a 20.6 % shrinkage of the lake area. We found that upstream contributors such as current hydropower dams cannot fully account for the observed decline in flood pulse. Instead, local anthropogenic causes such as irrigation and channel incision are important drivers. We estimate that water withdrawal in the Cambodian floodplains is occurring at a rate of (2.1 &lt;span class=\"inline-formula\"&gt;±&lt;/span&gt; 0.3) km&lt;span class=\"inline-formula\"&gt;&lt;sup&gt;3&lt;/sup&gt;&lt;/span&gt; yr&lt;span class=\"inline-formula\"&gt;&lt;sup&gt;−1&lt;/sup&gt;&lt;/span&gt;. Sediment decline and ongoing sand-mining operations have also caused channel erosion. As the flood pulse is essential for the ecological habitats, fisheries and livelihoods of the region, its reduction will have major implications throughout the basin, from the Tonle Sap system to the Vietnamese Mekong Delta downstream.&lt;/p&gt;","container-title":"Hydrology and Earth System Sciences","DOI":"10.5194/hess-26-609-2022","ISSN":"1027-5606","issue":"3","language":"English","note":"publisher: Copernicus GmbH","page":"609-625","source":"hess.copernicus.org","title":"Drastic decline of flood pulse in the Cambodian floodplains (Mekong River and Tonle Sap system)","URL":"https://hess.copernicus.org/articles/26/609/2022/","volume":"26","author":[{"family":"Chua","given":"Samuel De Xun"},{"family":"Lu","given":"Xi Xi"},{"family":"Oeurng","given":"Chantha"},{"family":"Sok","given":"Ty"},{"family":"Grundy-Warr","given":"Carl"}],"accessed":{"date-parts":[["2022",7,26]]},"issued":{"date-parts":[["2022",2,7]]}},"label":"page"},{"id":52607,"uris":["http://zotero.org/groups/2352922/items/38ISRRJY"],"itemData":{"id":52607,"type":"article-journal","abstract":"Vietnam Mekong Delta (VMD), the country’s most important food basket, is constantly threatened by drought-infused salinity intrusion (SI). The SI disaster of 2020 is recognized as the worst in recent decades, hence inspiring this perspective article. The authors’ viewpoints on the disaster’s impacts and causes are presented. The arguments presented are mainly drawn from (i) up-to-date publications that report on the recent SI intensification in the VMD and (ii) the power spectral analysis results using water level data. We verified the intensifying SI in the VMD both in its frequency and magnitude and remarked on four of the key SI drivers: (i) upstream hydropower dams, (ii) land subsidence, (iii) the relative sea-level rise, and (iv) riverbed sand mining. Also, a non-exhaustive yet list of recommendable management implications to mitigate the negative effects of the SI is contributed. The mitigation measures must be realized at multiple scales, ranging from pursuing transboundary water diplomacy efforts to managing internal pressures via developing early warnings, restricting illegal sand mining activities, alleviating pressures on groundwater resources, and diversifying agriculture.","container-title":"Ambio","DOI":"10.1007/s13280-021-01577-z","ISSN":"1654-7209","issue":"3","journalAbbreviation":"Ambio","language":"en","page":"691-699","source":"Springer Link","title":"The worst 2020 saline water intrusion disaster of the past century in the Mekong Delta: Impacts, causes, and management implications","title-short":"The worst 2020 saline water intrusion disaster of the past century in the Mekong Delta","URL":"https://doi.org/10.1007/s13280-021-01577-z","volume":"51","author":[{"family":"Park","given":"Edward"},{"family":"Loc","given":"Ho Huu"},{"family":"Van Binh","given":"Doan"},{"family":"Kantoush","given":"Sameh"}],"accessed":{"date-parts":[["2022",7,26]]},"issued":{"date-parts":[["2022",3,1]]}},"label":"page"},{"id":52605,"uris":["http://zotero.org/groups/2352922/items/ZY7F3VKJ"],"itemData":{"id":52605,"type":"article-journal","abstract":"The Lower Mekong Basin (LMB) is a key biodiversity hotspot. To facilitate conservation and management, we examine mollusc biodiversity patterns and distribution along LMB’s longitudinal gradients, identify environmental drivers, and discuss the importance of these drivers to management. Cluster analysis, redundancy analysis (RDA), and variation partitioning were conducted using mollusc data collected from 63 sampling sites. Results indicated that species diversity is dominated by gastropods (61%) and bivalves (39%) and feeding trait diversity by scrapers (52%) and filter-collectors (37%). Only 48 species (49%) out of 98 taxa have been assessed by the International Union for Conservation of Nature (IUCN) including a growing number of invasive species. The lack of complete, up-to-date information highlights the need for more research on both native and alien species. Cluster analysis revealed a clear mollusc biodiversity structure along the LMB’s longitudinal segments. Diversity was lowest in upstream tributaries, increased in upstream main channels, and was highest in downstream channels and the Mekong delta, the exception being the observed high gastropod abundance in Chi-Mun river mouth and Luang Prabang areas. The RDA and variation partitioning demonstrated that combined physical–chemical and climatic conditions are the key drivers of biodiversity patterns. Given the potential spread of invasive alien species and increasing anthropogenic impacts, further ecological research, regular monitoring, and adaptive management are needed to sustain mollusc biodiversity and associated ecosystem services, which contribute to food security, nutrition, and livelihoods in the LMB.","container-title":"Water","DOI":"10.3390/w12092619","ISSN":"2073-4441","issue":"9","language":"en","license":"http://creativecommons.org/licenses/by/3.0/","note":"number: 9\npublisher: Multidisciplinary Digital Publishing Institute","page":"2619","source":"www.mdpi.com","title":"Patterns of Mekong Mollusc Biodiversity: Identification of Emerging Threats and Importance to Management and Livelihoods in a Region of Globally Significant Biodiversity and Endemism","title-short":"Patterns of Mekong Mollusc Biodiversity","URL":"https://www.mdpi.com/2073-4441/12/9/2619","volume":"12","author":[{"family":"Sor","given":"Ratha"},{"family":"Ngor","given":"Peng Bun"},{"family":"Boets","given":"Pieter"},{"family":"Goethals","given":"Peter L. M."},{"family":"Lek","given":"Sovan"},{"family":"Hogan","given":"Zeb S."},{"family":"Park","given":"Young-Seuk"}],"accessed":{"date-parts":[["2022",7,26]]},"issued":{"date-parts":[["2020",9]]}},"label":"page"},{"id":52606,"uris":["http://zotero.org/groups/2352922/items/VNPJRX2R"],"itemData":{"id":52606,"type":"article-journal","abstract":"The Mekong River, well known for its aquatic biodiversity, is important to the social, physical, and economic health of millions living in China, Myanmar, Laos, Thailand, Cambodia, and Vietnam. This paper explores the social and environmental impacts of several Mekong basin hydropower dams and groupings of dams and the geographies of their impacts. Specifically, we examined the 3S (Sesan, Sekong Srepok) river system in northeastern Cambodia, the Central Highlands of Vietnam, and southern Laos; the Khone Falls area in southern Laos; the lower Mun River Basin in northeastern Thailand; and the upper Mekong River in Yunnan Province, China, northeastern Myanmar, northern Laos, and northern Thailand. Evidence shows that these dams and groupings of dams are affecting fish migrations, river hydrology, and sediment transfers. Such changes are negatively impacting riparian communities up to 1000 km away. Because many communities depend on the river and its resources for their food and livelihood, changes to the river have impacted, and will continue to negatively impact, food and economic security. While social and environmental impact assessments have been carried out for these projects, greater consideration of the scale and cumulative impacts of dams is necessary.","container-title":"Water","DOI":"10.3390/w13030265","ISSN":"2073-4441","issue":"3","language":"en","license":"http://creativecommons.org/licenses/by/3.0/","note":"publisher: Multidisciplinary Digital Publishing Institute","page":"265","source":"www.mdpi.com","title":"The Impacts of Hydropower Dams in the Mekong River Basin: A Review","title-short":"The Impacts of Hydropower Dams in the Mekong River Basin","URL":"https://www.mdpi.com/2073-4441/13/3/265","volume":"13","author":[{"family":"Soukhaphon","given":"Akarath"},{"family":"Baird","given":"Ian G."},{"family":"Hogan","given":"Zeb S."}],"accessed":{"date-parts":[["2022",7,26]]},"issued":{"date-parts":[["2021",1]]}},"label":"page"}],"schema":"https://github.com/citation-style-language/schema/raw/master/csl-citation.json"} </w:instrText>
      </w:r>
      <w:r w:rsidR="6F37074E" w:rsidRPr="00837161">
        <w:fldChar w:fldCharType="separate"/>
      </w:r>
      <w:r w:rsidR="00271B78" w:rsidRPr="00271B78">
        <w:t>(Chua et al., 2022; E. Park et al., 2022; Sor et al., 2020; Soukhaphon et al., 2021)</w:t>
      </w:r>
      <w:r w:rsidR="6F37074E" w:rsidRPr="00837161">
        <w:fldChar w:fldCharType="end"/>
      </w:r>
      <w:r w:rsidR="26B45AAB" w:rsidRPr="00837161">
        <w:t>.</w:t>
      </w:r>
      <w:r w:rsidRPr="00C0338D">
        <w:t xml:space="preserve"> </w:t>
      </w:r>
    </w:p>
    <w:p w14:paraId="000001E8" w14:textId="77777777" w:rsidR="00A758FD" w:rsidRDefault="00C81287" w:rsidP="00AC1F76">
      <w:pPr>
        <w:keepNext/>
        <w:pBdr>
          <w:top w:val="single" w:sz="4" w:space="1" w:color="auto"/>
          <w:left w:val="single" w:sz="4" w:space="1" w:color="auto"/>
          <w:bottom w:val="single" w:sz="4" w:space="1" w:color="auto"/>
          <w:right w:val="single" w:sz="4" w:space="1" w:color="auto"/>
        </w:pBdr>
        <w:shd w:val="clear" w:color="auto" w:fill="E7E6E6"/>
        <w:spacing w:before="240" w:after="120" w:line="240" w:lineRule="auto"/>
        <w:jc w:val="center"/>
      </w:pPr>
      <w:r>
        <w:rPr>
          <w:noProof/>
        </w:rPr>
        <w:drawing>
          <wp:inline distT="0" distB="0" distL="0" distR="0" wp14:anchorId="50060F2F" wp14:editId="13815A2A">
            <wp:extent cx="6115050" cy="2334895"/>
            <wp:effectExtent l="0" t="0" r="0" b="0"/>
            <wp:docPr id="1971555468" name="image27.png" descr="A water and plants near a body of wa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7.png" descr="A water and plants near a body of water&#10;&#10;Description automatically generated"/>
                    <pic:cNvPicPr preferRelativeResize="0"/>
                  </pic:nvPicPr>
                  <pic:blipFill>
                    <a:blip r:embed="rId38"/>
                    <a:srcRect/>
                    <a:stretch>
                      <a:fillRect/>
                    </a:stretch>
                  </pic:blipFill>
                  <pic:spPr>
                    <a:xfrm>
                      <a:off x="0" y="0"/>
                      <a:ext cx="6115050" cy="2334895"/>
                    </a:xfrm>
                    <a:prstGeom prst="rect">
                      <a:avLst/>
                    </a:prstGeom>
                    <a:ln/>
                  </pic:spPr>
                </pic:pic>
              </a:graphicData>
            </a:graphic>
          </wp:inline>
        </w:drawing>
      </w:r>
    </w:p>
    <w:p w14:paraId="000001E9" w14:textId="09AC1745" w:rsidR="00A758FD" w:rsidRPr="00C0338D" w:rsidRDefault="00C81287" w:rsidP="00AC1F76">
      <w:pPr>
        <w:keepNext/>
        <w:pBdr>
          <w:top w:val="single" w:sz="4" w:space="1" w:color="auto"/>
          <w:left w:val="single" w:sz="4" w:space="1" w:color="auto"/>
          <w:bottom w:val="single" w:sz="4" w:space="1" w:color="auto"/>
          <w:right w:val="single" w:sz="4" w:space="1" w:color="auto"/>
          <w:between w:val="nil"/>
        </w:pBdr>
        <w:shd w:val="clear" w:color="auto" w:fill="E7E6E6"/>
        <w:spacing w:before="240" w:after="120" w:line="240" w:lineRule="auto"/>
        <w:rPr>
          <w:b/>
          <w:color w:val="000000"/>
        </w:rPr>
      </w:pPr>
      <w:bookmarkStart w:id="209" w:name="_heading=h.3q5sasy" w:colFirst="0" w:colLast="0"/>
      <w:bookmarkStart w:id="210" w:name="_Ref131083326"/>
      <w:bookmarkStart w:id="211" w:name="_Ref131083359"/>
      <w:bookmarkStart w:id="212" w:name="_Toc147489364"/>
      <w:bookmarkEnd w:id="209"/>
      <w:r w:rsidRPr="00C0338D">
        <w:rPr>
          <w:b/>
          <w:color w:val="000000"/>
        </w:rPr>
        <w:t>Figure 5</w:t>
      </w:r>
      <w:r w:rsidR="0621845B" w:rsidRPr="00C0338D">
        <w:rPr>
          <w:b/>
          <w:bCs/>
        </w:rPr>
        <w:t>.</w:t>
      </w:r>
      <w:r w:rsidR="00FB5057" w:rsidRPr="00C0338D">
        <w:rPr>
          <w:b/>
          <w:bCs/>
        </w:rPr>
        <w:fldChar w:fldCharType="begin"/>
      </w:r>
      <w:r w:rsidR="00FB5057" w:rsidRPr="00C0338D">
        <w:rPr>
          <w:b/>
          <w:bCs/>
        </w:rPr>
        <w:instrText xml:space="preserve"> SEQ Figure_5. \* ARABIC </w:instrText>
      </w:r>
      <w:r w:rsidR="00FB5057" w:rsidRPr="00C0338D">
        <w:rPr>
          <w:b/>
          <w:bCs/>
        </w:rPr>
        <w:fldChar w:fldCharType="separate"/>
      </w:r>
      <w:r w:rsidR="00DC77F8" w:rsidRPr="00C0338D">
        <w:rPr>
          <w:b/>
          <w:bCs/>
          <w:noProof/>
        </w:rPr>
        <w:t>11</w:t>
      </w:r>
      <w:r w:rsidR="00FB5057" w:rsidRPr="00C0338D">
        <w:rPr>
          <w:b/>
          <w:bCs/>
        </w:rPr>
        <w:fldChar w:fldCharType="end"/>
      </w:r>
      <w:bookmarkEnd w:id="210"/>
      <w:r w:rsidR="00AC33C1" w:rsidRPr="00C0338D">
        <w:rPr>
          <w:b/>
          <w:bCs/>
        </w:rPr>
        <w:t>.</w:t>
      </w:r>
      <w:r w:rsidRPr="00C0338D">
        <w:rPr>
          <w:b/>
          <w:color w:val="000000"/>
        </w:rPr>
        <w:t xml:space="preserve"> </w:t>
      </w:r>
      <w:r w:rsidRPr="00C0338D">
        <w:rPr>
          <w:i/>
          <w:color w:val="000000"/>
        </w:rPr>
        <w:t>Pontederia crassipes</w:t>
      </w:r>
      <w:r w:rsidRPr="00C0338D">
        <w:rPr>
          <w:color w:val="000000"/>
        </w:rPr>
        <w:t xml:space="preserve"> (water hyacinth) on the Mekong River.</w:t>
      </w:r>
      <w:r w:rsidRPr="00C0338D">
        <w:rPr>
          <w:b/>
          <w:color w:val="000000"/>
        </w:rPr>
        <w:t xml:space="preserve"> </w:t>
      </w:r>
      <w:r w:rsidRPr="00C0338D">
        <w:rPr>
          <w:i/>
          <w:color w:val="000000"/>
        </w:rPr>
        <w:t xml:space="preserve">Pontederia crassipes </w:t>
      </w:r>
      <w:r w:rsidRPr="00C0338D">
        <w:rPr>
          <w:color w:val="000000"/>
        </w:rPr>
        <w:t>can impact on the livelihoods of Indigenous Peoples and local communities along the Mekong River.</w:t>
      </w:r>
      <w:bookmarkEnd w:id="211"/>
      <w:r w:rsidRPr="00C0338D">
        <w:rPr>
          <w:color w:val="000000"/>
        </w:rPr>
        <w:t xml:space="preserve"> Photo credit: Pham Quang Thu and Colleague – </w:t>
      </w:r>
      <w:r w:rsidR="00E87F41">
        <w:t xml:space="preserve">under license </w:t>
      </w:r>
      <w:r w:rsidRPr="00C0338D">
        <w:rPr>
          <w:color w:val="000000"/>
        </w:rPr>
        <w:t>CC BY 4.0.</w:t>
      </w:r>
      <w:bookmarkEnd w:id="212"/>
    </w:p>
    <w:p w14:paraId="000001EA" w14:textId="0A97BC2D" w:rsidR="00A758FD" w:rsidRPr="00AC1F76" w:rsidRDefault="00C81287" w:rsidP="002F2F42">
      <w:pPr>
        <w:pStyle w:val="Heading3"/>
      </w:pPr>
      <w:bookmarkStart w:id="213" w:name="_heading=h.25b2l0r" w:colFirst="0" w:colLast="0"/>
      <w:bookmarkStart w:id="214" w:name="_Toc69313979"/>
      <w:bookmarkStart w:id="215" w:name="_Toc87623138"/>
      <w:bookmarkStart w:id="216" w:name="_Toc131681640"/>
      <w:bookmarkEnd w:id="213"/>
      <w:r w:rsidRPr="00C0338D">
        <w:t>Integrating pathway, species-</w:t>
      </w:r>
      <w:r w:rsidR="071853BD">
        <w:t>based</w:t>
      </w:r>
      <w:r w:rsidRPr="00AC1F76">
        <w:t xml:space="preserve"> and site-based management</w:t>
      </w:r>
      <w:bookmarkEnd w:id="214"/>
      <w:bookmarkEnd w:id="215"/>
      <w:bookmarkEnd w:id="216"/>
    </w:p>
    <w:p w14:paraId="0F41F6B5" w14:textId="5CC5497C" w:rsidR="001B0409" w:rsidRPr="00837161" w:rsidRDefault="001B0409" w:rsidP="00C11DFA">
      <w:pPr>
        <w:spacing w:before="240" w:after="120" w:line="240" w:lineRule="auto"/>
      </w:pPr>
      <w:bookmarkStart w:id="217" w:name="_heading=h.kgcv8k" w:colFirst="0" w:colLast="0"/>
      <w:bookmarkEnd w:id="217"/>
      <w:r w:rsidRPr="00837161">
        <w:t>Pathway, species- and site-based management can be implemented at various spatial scales along the invasion continuum (</w:t>
      </w:r>
      <w:r w:rsidR="00191A6E">
        <w:rPr>
          <w:b/>
          <w:iCs/>
        </w:rPr>
        <w:t>Figures 5.1</w:t>
      </w:r>
      <w:r w:rsidR="00167150" w:rsidRPr="00837161">
        <w:rPr>
          <w:i/>
          <w:iCs/>
        </w:rPr>
        <w:t xml:space="preserve"> </w:t>
      </w:r>
      <w:r w:rsidR="00E9433A" w:rsidRPr="00837161">
        <w:t>and</w:t>
      </w:r>
      <w:r w:rsidR="00E9433A" w:rsidRPr="00837161">
        <w:rPr>
          <w:i/>
          <w:iCs/>
        </w:rPr>
        <w:t xml:space="preserve"> </w:t>
      </w:r>
      <w:r w:rsidR="00191A6E">
        <w:rPr>
          <w:b/>
          <w:iCs/>
        </w:rPr>
        <w:t>5.4</w:t>
      </w:r>
      <w:r w:rsidR="006F4B24" w:rsidRPr="00CF348C">
        <w:rPr>
          <w:iCs/>
        </w:rPr>
        <w:t>;</w:t>
      </w:r>
      <w:r w:rsidR="006F4B24" w:rsidRPr="00CF348C">
        <w:rPr>
          <w:b/>
          <w:iCs/>
        </w:rPr>
        <w:t xml:space="preserve"> </w:t>
      </w:r>
      <w:r w:rsidR="00191A6E">
        <w:rPr>
          <w:b/>
          <w:bCs/>
        </w:rPr>
        <w:t>Box 5.4</w:t>
      </w:r>
      <w:r w:rsidRPr="00837161">
        <w:t xml:space="preserve">). Integrating the use of pathway, </w:t>
      </w:r>
      <w:r w:rsidR="00B3227D" w:rsidRPr="00C0338D">
        <w:t>species-</w:t>
      </w:r>
      <w:r w:rsidR="00B3227D">
        <w:t>based</w:t>
      </w:r>
      <w:r w:rsidRPr="00837161">
        <w:t xml:space="preserve"> and site-based management can promote more informed resource allocation and </w:t>
      </w:r>
      <w:r w:rsidR="005B7C20" w:rsidRPr="00837161">
        <w:t>decision-making</w:t>
      </w:r>
      <w:r w:rsidRPr="00837161">
        <w:t xml:space="preserve"> </w:t>
      </w:r>
      <w:r w:rsidRPr="00837161">
        <w:fldChar w:fldCharType="begin"/>
      </w:r>
      <w:r w:rsidR="000F35EB">
        <w:instrText xml:space="preserve"> ADDIN ZOTERO_ITEM CSL_CITATION {"citationID":"UoHKAH3k","properties":{"formattedCitation":"(McGeoch, Genovesi, et al., 2016)","plainCitation":"(McGeoch, Genovesi, et al., 2016)","noteIndex":0},"citationItems":[{"id":26532,"uris":["http://zotero.org/groups/2352922/items/SK35934W"],"itemData":{"id":26532,"type":"article-journal","abstract":"Prioritization is indispensable for the management of biological invasions, as recognized by the Convention on Biological Diversity, its current strategic plan, and specifically Aichi Target 9 that concerns invasive alien species. Here we provide an overview of the process, approaches and the data needs for prioritization for invasion policy and management, with the intention of informing and guiding efforts to address this target. Many prioritization schemes quantify impact and risk, from the pragmatic and action-focused to the data-demanding and science-based. Effective prioritization must consider not only invasive species and pathways (as mentioned in Aichi Target 9), but also which sites are most sensitive and susceptible to invasion (not made explicit in Aichi Target 9). Integrated prioritization across these foci may lead to future efficiencies in resource allocation for invasion management. Many countries face the challenge of prioritizing with little capacity and poor baseline data. We recommend a consultative, science-based process for prioritizing impacts based on species, pathways and sites, and outline the information needed by countries to achieve this. This should be integrated into a national process that incorporates a broad suite of social and economic criteria. Such a process is likely to be feasible for most countries.","container-title":"Biological Invasions","DOI":"10.1007/s10530-015-1013-1","ISSN":"1387-3547, 1573-1464","issue":"2","page":"299-314","title":"Prioritizing species, pathways, and sites to achieve conservation targets for biological invasion","URL":"http://link.springer.com/10.1007/s10530-015-1013-1","volume":"18","author":[{"family":"McGeoch","given":"Melodie A."},{"family":"Genovesi","given":"P."},{"family":"Bellingham","given":"P. J."},{"family":"Costello","given":"M. J."},{"family":"McGrannachan","given":"C."},{"family":"Sheppard","given":"A."}],"issued":{"date-parts":[["2016",2]]}},"label":"page"}],"schema":"https://github.com/citation-style-language/schema/raw/master/csl-citation.json"} </w:instrText>
      </w:r>
      <w:r w:rsidRPr="00837161">
        <w:fldChar w:fldCharType="separate"/>
      </w:r>
      <w:r w:rsidR="00271B78" w:rsidRPr="00271B78">
        <w:t>(McGeoch, Genovesi, et al., 2016)</w:t>
      </w:r>
      <w:r w:rsidRPr="00837161">
        <w:fldChar w:fldCharType="end"/>
      </w:r>
      <w:r w:rsidRPr="00837161">
        <w:t xml:space="preserve">. Integrated use of pathway, </w:t>
      </w:r>
      <w:r w:rsidR="00B3227D" w:rsidRPr="00C0338D">
        <w:t>species-</w:t>
      </w:r>
      <w:r w:rsidR="00B3227D">
        <w:t>based</w:t>
      </w:r>
      <w:r w:rsidRPr="00837161">
        <w:t xml:space="preserve"> and site-based management strategies can be implemented in larger, </w:t>
      </w:r>
      <w:r w:rsidR="00E90B81" w:rsidRPr="00837161">
        <w:t>socioe</w:t>
      </w:r>
      <w:r w:rsidRPr="00837161">
        <w:t>cological complex systems such as the Gal</w:t>
      </w:r>
      <w:r w:rsidR="000A0C17" w:rsidRPr="00837161">
        <w:t>á</w:t>
      </w:r>
      <w:r w:rsidRPr="00837161">
        <w:t xml:space="preserve">pagos </w:t>
      </w:r>
      <w:r w:rsidR="00BC3C7D" w:rsidRPr="00837161">
        <w:t>Islands</w:t>
      </w:r>
      <w:r w:rsidRPr="00837161">
        <w:t xml:space="preserve"> (</w:t>
      </w:r>
      <w:r w:rsidR="00191A6E">
        <w:rPr>
          <w:b/>
          <w:bCs/>
        </w:rPr>
        <w:t>Box 5.5</w:t>
      </w:r>
      <w:r w:rsidRPr="00837161">
        <w:t>). Differences in societal perceptions</w:t>
      </w:r>
      <w:r w:rsidR="0055311B" w:rsidRPr="00837161">
        <w:t xml:space="preserve"> and values</w:t>
      </w:r>
      <w:r w:rsidRPr="00837161">
        <w:t xml:space="preserve">, impacts and management responses to invasive alien species can decrease the likelihood of success, a principle referred to as </w:t>
      </w:r>
      <w:r w:rsidR="00E90B81" w:rsidRPr="00837161">
        <w:t>socioe</w:t>
      </w:r>
      <w:r w:rsidRPr="00837161">
        <w:t xml:space="preserve">cological incompatibility </w:t>
      </w:r>
      <w:r w:rsidRPr="00837161">
        <w:fldChar w:fldCharType="begin"/>
      </w:r>
      <w:r w:rsidR="000F35EB">
        <w:instrText xml:space="preserve"> ADDIN ZOTERO_ITEM CSL_CITATION {"citationID":"RAI8CREi","properties":{"formattedCitation":"(Beever et al., 2019)","plainCitation":"(Beever et al., 2019)","dontUpdate":true,"noteIndex":0},"citationItems":[{"id":31785,"uris":["http://zotero.org/groups/2352922/items/N8S4M8NB"],"itemData":{"id":31785,"type":"article-journal","abstract":"Introduced species can have important effects on the component species and processes of native ecosystems. However, effective introduced species management can be complicated by technical and social challenges. We identify “social–ecological mismatches” (that is, differences between the scales and functioning of interacting social and ecological systems) as one such challenge. We present three case studies in which mismatches between the organization and functioning of key social and ecological systems have contributed to controversies and debates surrounding introduced species management and policy. We identify three common issues: social systems and cultures may adapt to a new species’ arrival at a different rate than ecosystems; ecological impacts can arise at one spatial scale while social impacts occur at another; and the effects of introduced species can spread widely, whereas management actions are constrained by organizational and/or political boundaries. We propose strategies for collaborative knowledge building and adaptive management that may help address these challenges.","container-title":"Frontiers in Ecology and the Environment","DOI":"10.1002/fee.2000","ISSN":"1540-9309","issue":"2","language":"en","license":"© The Ecological Society of America","note":"_eprint: https://esajournals.onlinelibrary.wiley.com/doi/pdf/10.1002/fee.2000","page":"117-125","source":"Wiley Online Library","title":"Social–ecological mismatches create conservation challenges in introduced species management","URL":"https://esajournals.onlinelibrary.wiley.com/doi/abs/10.1002/fee.2000","volume":"17","author":[{"family":"Beever","given":"Erik A."},{"family":"Simberloff","given":"Daniel"},{"</w:instrText>
      </w:r>
      <w:r w:rsidR="000F35EB">
        <w:rPr>
          <w:rFonts w:hint="eastAsia"/>
        </w:rPr>
        <w:instrText>family":"Crowley","given":"Sarah L."},{"family":"Al</w:instrText>
      </w:r>
      <w:r w:rsidR="000F35EB">
        <w:rPr>
          <w:rFonts w:hint="eastAsia"/>
        </w:rPr>
        <w:instrText>‐</w:instrText>
      </w:r>
      <w:r w:rsidR="000F35EB">
        <w:rPr>
          <w:rFonts w:hint="eastAsia"/>
        </w:rPr>
        <w:instrText>Chokhachy","given":"Robert"},{"family":"Jackson","given":"Hazel A."},{"family":"Petersen","given":"Steven L."}],"accessed":{"date-parts":[["2020",8,18]]},"issued":{"date-parts":[["2019"]]}},"label":"page</w:instrText>
      </w:r>
      <w:r w:rsidR="000F35EB">
        <w:instrText xml:space="preserve">"}],"schema":"https://github.com/citation-style-language/schema/raw/master/csl-citation.json"} </w:instrText>
      </w:r>
      <w:r w:rsidRPr="00837161">
        <w:fldChar w:fldCharType="separate"/>
      </w:r>
      <w:r w:rsidR="00B73B10" w:rsidRPr="00837161">
        <w:t>(Beever et al., 2019</w:t>
      </w:r>
      <w:r w:rsidRPr="00837161">
        <w:fldChar w:fldCharType="end"/>
      </w:r>
      <w:r w:rsidR="00570F9F" w:rsidRPr="00837161">
        <w:t xml:space="preserve">; </w:t>
      </w:r>
      <w:r w:rsidR="00CF348C">
        <w:rPr>
          <w:b/>
          <w:iCs/>
        </w:rPr>
        <w:t>C</w:t>
      </w:r>
      <w:r w:rsidR="00C42BD7" w:rsidRPr="00CF348C">
        <w:rPr>
          <w:b/>
          <w:iCs/>
        </w:rPr>
        <w:t xml:space="preserve">hapter </w:t>
      </w:r>
      <w:r w:rsidR="00DC5803" w:rsidRPr="00CF348C">
        <w:rPr>
          <w:b/>
          <w:iCs/>
        </w:rPr>
        <w:t>1</w:t>
      </w:r>
      <w:r w:rsidR="00DC5803" w:rsidRPr="00CF348C">
        <w:rPr>
          <w:iCs/>
        </w:rPr>
        <w:t>,</w:t>
      </w:r>
      <w:r w:rsidR="00C42BD7" w:rsidRPr="00CF348C">
        <w:rPr>
          <w:b/>
          <w:iCs/>
        </w:rPr>
        <w:t xml:space="preserve"> </w:t>
      </w:r>
      <w:r w:rsidR="00086C3C" w:rsidRPr="00CF348C">
        <w:rPr>
          <w:b/>
          <w:iCs/>
        </w:rPr>
        <w:t>section 1.</w:t>
      </w:r>
      <w:r w:rsidR="00FF3BCA" w:rsidRPr="00CF348C">
        <w:rPr>
          <w:b/>
          <w:iCs/>
        </w:rPr>
        <w:t>5.2</w:t>
      </w:r>
      <w:r w:rsidR="00FF3BCA" w:rsidRPr="00CF348C">
        <w:rPr>
          <w:iCs/>
        </w:rPr>
        <w:t>;</w:t>
      </w:r>
      <w:r w:rsidR="00FF3BCA" w:rsidRPr="00CF348C">
        <w:rPr>
          <w:b/>
          <w:iCs/>
        </w:rPr>
        <w:t xml:space="preserve"> </w:t>
      </w:r>
      <w:r w:rsidR="00CF348C">
        <w:rPr>
          <w:b/>
          <w:iCs/>
        </w:rPr>
        <w:t>C</w:t>
      </w:r>
      <w:r w:rsidR="00DC5803" w:rsidRPr="00CF348C">
        <w:rPr>
          <w:b/>
          <w:iCs/>
        </w:rPr>
        <w:t xml:space="preserve">hapter </w:t>
      </w:r>
      <w:r w:rsidR="00FF3BCA" w:rsidRPr="00CF348C">
        <w:rPr>
          <w:b/>
          <w:iCs/>
        </w:rPr>
        <w:t>4</w:t>
      </w:r>
      <w:r w:rsidR="00DC5803" w:rsidRPr="00CF348C">
        <w:rPr>
          <w:iCs/>
        </w:rPr>
        <w:t xml:space="preserve">, </w:t>
      </w:r>
      <w:r w:rsidR="00DC5803" w:rsidRPr="00CF348C">
        <w:rPr>
          <w:b/>
          <w:iCs/>
        </w:rPr>
        <w:t xml:space="preserve">section </w:t>
      </w:r>
      <w:r w:rsidR="00FF3BCA" w:rsidRPr="00CF348C">
        <w:rPr>
          <w:b/>
          <w:iCs/>
        </w:rPr>
        <w:t>4</w:t>
      </w:r>
      <w:r w:rsidR="0001663A" w:rsidRPr="00CF348C">
        <w:rPr>
          <w:b/>
          <w:iCs/>
        </w:rPr>
        <w:t>.6</w:t>
      </w:r>
      <w:r w:rsidR="0001663A" w:rsidRPr="00837161">
        <w:t>)</w:t>
      </w:r>
      <w:r w:rsidRPr="00837161">
        <w:t xml:space="preserve">. Management therefore needs to include inter-agency, multi-stakeholder community cooperation from local to national levels for successful outcomes </w:t>
      </w:r>
      <w:r w:rsidRPr="00837161">
        <w:fldChar w:fldCharType="begin"/>
      </w:r>
      <w:r w:rsidR="000F35EB">
        <w:instrText xml:space="preserve"> ADDIN ZOTERO_ITEM CSL_CITATION {"citationID":"3t3IkBMu","properties":{"formattedCitation":"(van Wilgen et al., 2020)","plainCitation":"(van Wilgen et al., 2020)","noteIndex":0},"citationItems":[{"id":11398,"uris":["http://zotero.org/groups/2352922/items/ZJLMZCFR"],"itemData":{"id":11398,"type":"chapter","abstract":"Since 1995, the South African government has spent at least ZAR 15 billion (unadjusted for inflation; approximately USD1 billion) on alien plant control operations across South Africa. The amount spent per year has risen exponentially since 2010, and in 2019 annual spending is around ZAR 2 billion per year. Based on a small (but growing) number of case studies that have assessed management effectiveness, it is clear that the cover of invasive alien plants has been reduced in some localised areas, but continues to grow in others. A number of factors contribute to success, but the effort and resources required for successful control appear to be routinely under-estimated, with actual costs between 1.5 and 8.6 times higher than initial budget estimates. Currently, therefore, control measures (other than biological control) have largely failed to check invasions at a national scale, and there have been no documented eradications of plant invasions from continental South Africa. We argue that control can be considerably improved by effective prioritisation, goal-setting and planning; monitoring of outcomes rather than of inputs; ensuring that the existence of multiple goals does not lead to confusion over priorities; developing methods to reduce the under-estimation of the costs of control; adherence to best practices and standards; simplifying the currently complex contracting and employment models; and using a variety of methods to resolve or reduce conflicts over species that have commercial or other value, but cause significant environmental damage. Addressing these challenges will be difficult, but would be essential if plant invasions in South Africa are to be brought under control.","collection-title":"Invading Nature - Springer Series in Invasion Ecology","container-title":"Biological Invasions in South Africa","event-place":"Cham","ISBN":"978-3-030-32394-3","language":"en","note":"DOI: 10.1007/978-3-030-32394-3_21","page":"597-628","publisher":"Springer International Publishing","publisher-place":"Cham","source":"Springer Link","title":"The Extent and Effectiveness of Alien Plant Control Projects in South Africa","URL":"https://doi.org/10.1007/978-3-030-32394-3_21","volume":"14","author":[{"family":"Wilgen","given":"Brian W.","non-dropping-particle":"van"},{"family":"Wilson","given":"John R."},{"family":"Wannenburgh","given":"Andrew"},{"family":"Foxcroft","given":"Llewellyn C."}],"editor":[{"family":"Wilgen","given":"Brian W.","non-dropping-particle":"van"},{"family":"Measey","given":"John"},{"family":"Richardson","given":"David M."},{"family":"Wilson","given":"John R."},{"family":"Zengeya","given":"Tsungai A."}],"accessed":{"date-parts":[["2020",6,22]]},"issued":{"date-parts":[["2020"]]}},"label":"page"}],"schema":"https://github.com/citation-style-language/schema/raw/master/csl-citation.json"} </w:instrText>
      </w:r>
      <w:r w:rsidRPr="00837161">
        <w:fldChar w:fldCharType="separate"/>
      </w:r>
      <w:r w:rsidR="00271B78" w:rsidRPr="00271B78">
        <w:t>(van Wilgen et al., 2020)</w:t>
      </w:r>
      <w:r w:rsidRPr="00837161">
        <w:fldChar w:fldCharType="end"/>
      </w:r>
      <w:r w:rsidRPr="00837161">
        <w:t xml:space="preserve"> if such integrated program</w:t>
      </w:r>
      <w:r w:rsidR="00326152" w:rsidRPr="00837161">
        <w:t>me</w:t>
      </w:r>
      <w:r w:rsidRPr="00837161">
        <w:t xml:space="preserve">s </w:t>
      </w:r>
      <w:bookmarkStart w:id="218" w:name="_Int_Q7wTwpyG"/>
      <w:r w:rsidRPr="00837161">
        <w:t>are</w:t>
      </w:r>
      <w:bookmarkEnd w:id="218"/>
      <w:r w:rsidRPr="00837161">
        <w:t xml:space="preserve"> to be </w:t>
      </w:r>
      <w:r w:rsidR="03C3ED80" w:rsidRPr="00837161">
        <w:t>fruitful</w:t>
      </w:r>
      <w:r w:rsidR="1D58F20E" w:rsidRPr="00837161">
        <w:t xml:space="preserve">. </w:t>
      </w:r>
    </w:p>
    <w:p w14:paraId="000001EC" w14:textId="0FB55691" w:rsidR="00A758FD" w:rsidRPr="00C0338D" w:rsidRDefault="001B0409" w:rsidP="00C0338D">
      <w:pPr>
        <w:keepNext/>
        <w:pBdr>
          <w:top w:val="single" w:sz="4" w:space="1" w:color="auto"/>
          <w:left w:val="single" w:sz="4" w:space="1" w:color="auto"/>
          <w:bottom w:val="single" w:sz="4" w:space="1" w:color="auto"/>
          <w:right w:val="single" w:sz="4" w:space="1" w:color="auto"/>
          <w:between w:val="nil"/>
        </w:pBdr>
        <w:shd w:val="clear" w:color="auto" w:fill="E7E6E6" w:themeFill="background2"/>
        <w:spacing w:before="240" w:after="120" w:line="240" w:lineRule="auto"/>
        <w:rPr>
          <w:b/>
          <w:color w:val="000000"/>
        </w:rPr>
      </w:pPr>
      <w:bookmarkStart w:id="219" w:name="_Ref104972415"/>
      <w:bookmarkStart w:id="220" w:name="_Toc80708183"/>
      <w:bookmarkStart w:id="221" w:name="_Toc87623065"/>
      <w:bookmarkStart w:id="222" w:name="_Toc147488940"/>
      <w:r w:rsidRPr="00C0338D">
        <w:rPr>
          <w:b/>
          <w:bCs/>
        </w:rPr>
        <w:lastRenderedPageBreak/>
        <w:t xml:space="preserve">Box </w:t>
      </w:r>
      <w:bookmarkStart w:id="223" w:name="_heading=h.34g0dwd" w:colFirst="0" w:colLast="0"/>
      <w:bookmarkEnd w:id="223"/>
      <w:r w:rsidR="00C81287" w:rsidRPr="00C0338D">
        <w:rPr>
          <w:b/>
          <w:bCs/>
          <w:color w:val="000000" w:themeColor="text1"/>
        </w:rPr>
        <w:t>5</w:t>
      </w:r>
      <w:r w:rsidRPr="00C0338D">
        <w:rPr>
          <w:b/>
          <w:bCs/>
        </w:rPr>
        <w:t>.</w:t>
      </w:r>
      <w:r w:rsidRPr="00C0338D">
        <w:rPr>
          <w:b/>
          <w:bCs/>
        </w:rPr>
        <w:fldChar w:fldCharType="begin"/>
      </w:r>
      <w:r w:rsidRPr="00C0338D">
        <w:rPr>
          <w:b/>
          <w:bCs/>
        </w:rPr>
        <w:instrText>SEQ Box_5. \* ARABIC</w:instrText>
      </w:r>
      <w:r w:rsidRPr="00C0338D">
        <w:rPr>
          <w:b/>
          <w:bCs/>
        </w:rPr>
        <w:fldChar w:fldCharType="separate"/>
      </w:r>
      <w:r w:rsidR="00DC77F8" w:rsidRPr="00C0338D">
        <w:rPr>
          <w:b/>
          <w:bCs/>
          <w:noProof/>
        </w:rPr>
        <w:t>5</w:t>
      </w:r>
      <w:r w:rsidRPr="00C0338D">
        <w:rPr>
          <w:b/>
          <w:bCs/>
        </w:rPr>
        <w:fldChar w:fldCharType="end"/>
      </w:r>
      <w:bookmarkEnd w:id="219"/>
      <w:r w:rsidR="00C81287" w:rsidRPr="00C0338D">
        <w:rPr>
          <w:rFonts w:eastAsia="Times New Roman"/>
          <w:b/>
          <w:bCs/>
          <w:color w:val="000000" w:themeColor="text1"/>
        </w:rPr>
        <w:t>.</w:t>
      </w:r>
      <w:r w:rsidR="00C81287" w:rsidRPr="00C0338D">
        <w:rPr>
          <w:b/>
          <w:bCs/>
          <w:color w:val="000000" w:themeColor="text1"/>
        </w:rPr>
        <w:t xml:space="preserve"> </w:t>
      </w:r>
      <w:r w:rsidR="00C81287" w:rsidRPr="00C0338D">
        <w:rPr>
          <w:b/>
          <w:color w:val="000000" w:themeColor="text1"/>
        </w:rPr>
        <w:t>Case study: Integrated pathway, species-</w:t>
      </w:r>
      <w:r w:rsidR="0233E19B" w:rsidRPr="776B8B26">
        <w:rPr>
          <w:rFonts w:eastAsia="Times New Roman"/>
          <w:b/>
          <w:bCs/>
          <w:color w:val="000000" w:themeColor="text1"/>
        </w:rPr>
        <w:t>based</w:t>
      </w:r>
      <w:r w:rsidR="00C81287" w:rsidRPr="00C0338D">
        <w:rPr>
          <w:b/>
          <w:color w:val="000000" w:themeColor="text1"/>
        </w:rPr>
        <w:t xml:space="preserve"> and site-based management in the Galápagos Is</w:t>
      </w:r>
      <w:bookmarkEnd w:id="220"/>
      <w:r w:rsidR="00C81287" w:rsidRPr="00C0338D">
        <w:rPr>
          <w:b/>
          <w:color w:val="000000" w:themeColor="text1"/>
        </w:rPr>
        <w:t>lands, Ecuador</w:t>
      </w:r>
      <w:bookmarkEnd w:id="221"/>
      <w:bookmarkEnd w:id="222"/>
    </w:p>
    <w:p w14:paraId="6FB04EA7" w14:textId="043EBA34" w:rsidR="0021705B" w:rsidRDefault="6F37074E" w:rsidP="00C0338D">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837161">
        <w:t>The Gal</w:t>
      </w:r>
      <w:r w:rsidR="042755C4" w:rsidRPr="00837161">
        <w:t>á</w:t>
      </w:r>
      <w:r w:rsidRPr="00837161">
        <w:t xml:space="preserve">pagos Islands is a World Heritage </w:t>
      </w:r>
      <w:r w:rsidR="7BC7D741" w:rsidRPr="00837161">
        <w:t>site</w:t>
      </w:r>
      <w:r w:rsidRPr="00837161">
        <w:t xml:space="preserve"> due to </w:t>
      </w:r>
      <w:r w:rsidR="00020810">
        <w:t xml:space="preserve">its </w:t>
      </w:r>
      <w:r w:rsidRPr="00837161">
        <w:t xml:space="preserve">exceptional levels of endemism </w:t>
      </w:r>
      <w:r w:rsidRPr="00837161">
        <w:fldChar w:fldCharType="begin"/>
      </w:r>
      <w:r w:rsidR="000F35EB">
        <w:instrText xml:space="preserve"> ADDIN ZOTERO_ITEM CSL_CITATION {"citationID":"OUJSFU3N","properties":{"formattedCitation":"(Toral-Granda et al., 2017)","plainCitation":"(Toral-Granda et al., 2017)","noteIndex":0},"citationItems":[{"id":10573,"uris":["http://zotero.org/groups/2352922/items/7LTSUDTV"],"itemData":{"id":10573,"type":"article-journal","abstract":"Alien species, one of the biggest threats to natural ecosystems worldwide, are of particular concern for oceanic archipelagos such as Galápagos. To enable more effective management of alien species, we reviewed, collated and analysed all available records of alien species for Galápagos. We also assembled a comprehensive dataset on pathways to and among the Galápagos Islands, including tourist and resident numbers, tourist vessels, their itineraries and visitation sites, aircraft capacity and occupancy, air and sea cargo and biosecurity interceptions. So far, 1,579 alien terrestrial and marine species have been introduced to Galápagos by humans. Of these, 1,476 have become established. Almost half of these were intentional introductions, mostly of plants. Most unintentional introductions arrived on plants and plant associated material, followed by transport vehicles, and commodities (in particular fruit and vegetables). The number, frequency and geographic origin of pathways for the arrival and dispersal of alien species to and within Galápagos have increased over time, tracking closely the increase in human population (residents and tourists) on the islands. Intentional introductions of alien species should decline as biosecurity is strengthened but there is a danger that unintentional introductions will increase further as tourism on Galápagos expands. This unique world heritage site will only retain its biodiversity values if the pathways for invasion are managed effectively.","container-title":"PLoS ONE","DOI":"10.1371/journal.pone.0184379","ISSN":"1932-6203","issue":"9","journalAbbreviation":"PLoS ONE","language":"en","page":"e0184379","source":"DOI.org (Crossref)","title":"Alien species pathways to the Galapagos Islands, Ecuador","URL":"https://dx.plos.org/10.1371/journal.pone.0184379","volume":"12","author":[{"family":"Toral-Granda","given":"M. Verónica"},{"family":"Causton","given":"Charlotte E."},{"family":"Jäger","given":"Heinke"},{"family":"Trueman","given":"Mandy"},{"family":"Izurieta","given":"Juan Carlos"},{"family":"Araujo","given":"Eddy"},{"family":"Cruz","given":"Marilyn"},{"family":"Zander","given":"Kerstin K."},{"family":"Izurieta","given":"Arturo"},{"family":"Garnett","given":"Stephen T."}],"editor":[{"family":"Gao","given":"Yulin"}],"accessed":{"date-parts":[["2019",12,2]]},"issued":{"date-parts":[["2017",9,13]]}},"label":"page"}],"schema":"https://github.com/citation-style-language/schema/raw/master/csl-citation.json"} </w:instrText>
      </w:r>
      <w:r w:rsidRPr="00837161">
        <w:fldChar w:fldCharType="separate"/>
      </w:r>
      <w:r w:rsidR="00271B78" w:rsidRPr="00271B78">
        <w:t>(Toral-Granda et al., 2017)</w:t>
      </w:r>
      <w:r w:rsidRPr="00837161">
        <w:fldChar w:fldCharType="end"/>
      </w:r>
      <w:r w:rsidRPr="00837161">
        <w:t xml:space="preserve">. Although geographically isolated, </w:t>
      </w:r>
      <w:r w:rsidR="588A2036" w:rsidRPr="00837161">
        <w:t xml:space="preserve">at least </w:t>
      </w:r>
      <w:r w:rsidRPr="00837161">
        <w:t xml:space="preserve">1,579 alien terrestrial and marine species have been introduced in the Islands, of which 1,476 have become established. From the arrival of the first people in 1535 until 1975, alien species arrival </w:t>
      </w:r>
      <w:r w:rsidR="17EBC9FE" w:rsidRPr="00837161">
        <w:t>accel</w:t>
      </w:r>
      <w:r w:rsidR="78D78A48" w:rsidRPr="00837161">
        <w:t>e</w:t>
      </w:r>
      <w:r w:rsidR="17EBC9FE" w:rsidRPr="00837161">
        <w:t>rated</w:t>
      </w:r>
      <w:r w:rsidRPr="00837161">
        <w:t xml:space="preserve"> from an average of less than one species to about 30 new species per year, </w:t>
      </w:r>
      <w:r w:rsidR="005B662E">
        <w:t xml:space="preserve">with </w:t>
      </w:r>
      <w:r w:rsidRPr="00837161">
        <w:t xml:space="preserve">half of them </w:t>
      </w:r>
      <w:r w:rsidR="005B662E">
        <w:t>being</w:t>
      </w:r>
      <w:r w:rsidR="005B662E" w:rsidRPr="00837161">
        <w:t xml:space="preserve"> </w:t>
      </w:r>
      <w:r w:rsidRPr="00837161">
        <w:t xml:space="preserve">intentionally introduced. These </w:t>
      </w:r>
      <w:r w:rsidR="005B662E">
        <w:t xml:space="preserve">unintentionally and intentionally introduced species </w:t>
      </w:r>
      <w:r w:rsidRPr="00837161">
        <w:t>incl</w:t>
      </w:r>
      <w:r w:rsidR="65872FD3" w:rsidRPr="00837161">
        <w:t xml:space="preserve">ude 687 terrestrial plants, 17 </w:t>
      </w:r>
      <w:r w:rsidRPr="00837161">
        <w:t>animals for agriculture</w:t>
      </w:r>
      <w:r w:rsidR="00CE7B20">
        <w:t xml:space="preserve"> and</w:t>
      </w:r>
      <w:r w:rsidRPr="00837161">
        <w:t xml:space="preserve"> 11 pet species. Unintentional plant contaminants </w:t>
      </w:r>
      <w:r w:rsidR="005B662E">
        <w:t xml:space="preserve">(including seeds and plant-associated material) </w:t>
      </w:r>
      <w:r w:rsidRPr="00837161">
        <w:t>included 196 insects, 11 other terrestrial invertebrates, 53 marine invertebrat</w:t>
      </w:r>
      <w:r w:rsidR="5E5EC55A" w:rsidRPr="00837161">
        <w:t xml:space="preserve">es and 127 terrestrial plants. </w:t>
      </w:r>
      <w:r w:rsidR="588A2036" w:rsidRPr="00837161">
        <w:t>An integrated pathway</w:t>
      </w:r>
      <w:r w:rsidR="3F5D1F82" w:rsidRPr="00837161">
        <w:t xml:space="preserve"> </w:t>
      </w:r>
      <w:r w:rsidR="003F0536" w:rsidRPr="00837161">
        <w:fldChar w:fldCharType="begin"/>
      </w:r>
      <w:r w:rsidR="000F35EB">
        <w:instrText xml:space="preserve"> ADDIN ZOTERO_ITEM CSL_CITATION {"citationID":"MgK4D2eB","properties":{"formattedCitation":"(I. Keith et al., 2016)","plainCitation":"(I. Keith et al., 2016)","noteIndex":0},"citationItems":[{"id":11578,"uris":["http://zotero.org/groups/2352922/items/33C799UR"],"itemData":{"id":11578,"type":"article-journal","abstract":"Worldwide, marine biological invasions of non-native species have increased significantly in recent years due to a rapid rise in global trade, transport and tourism. Invasions occur when non-native species are transported from one region to another and establish, often resulting in competition displacing native species and changing ecosystems. Historic literature searches were conducted along with dive surveys of the main ports and in sites around the archipelago in order to produce a baseline of which non-native species are present in the Galapagos Marine Reserve at this time. Confounding processes of anthropogenic and natural activities are increasing the potential spread of marine invasive species in the Eastern Tropical Pacific and the Galapagos Marine Reserve. We discuss the potential vectors facilitating marine invasions with the suggestion that marine traffic could be the most influential vector in the transport of marine non-natives to the Galapagos Marine Reserve. The challenge for marine park authorities is to identify those species that are likely to cause negative impacts on native biodiversity and ecosystems before they establish in the Galapagos, and to develop pre-emptive strategies that would likely include prevention as well as risk-based management strategies to remove them or to mitigate their harmful effects.","container-title":"Pacific Conservation Biology","DOI":"10.1071/PC15020","ISSN":"2204-4604","issue":"4","journalAbbreviation":"Pac. Conserv. Biol.","language":"en","note":"publisher: CSIRO PUBLISHING","page":"377-385","source":"www.publish.csiro.au","title":"Marine invasive species: establishing pathways, their presence and potential threats in the Galapagos Marine Reserve","title-short":"Marine invasive species","URL":"https://www.publish.csiro.au/pc/PC15020","volume":"22","author":[{"family":"Keith","given":"Inti"},{"family":"Dawson","given":"Terence P."},{"family":"Collins","given":"Ken J."},{"family":"Campbell","given":"Marnie L."}],"accessed":{"date-parts":[["2020",7,28]]},"issued":{"date-parts":[["2016",12,20]]}},"label":"page"}],"schema":"https://github.com/citation-style-language/schema/raw/master/csl-citation.json"} </w:instrText>
      </w:r>
      <w:r w:rsidR="003F0536" w:rsidRPr="00837161">
        <w:fldChar w:fldCharType="separate"/>
      </w:r>
      <w:r w:rsidR="00271B78" w:rsidRPr="00271B78">
        <w:t>(I. Keith et al., 2016)</w:t>
      </w:r>
      <w:r w:rsidR="003F0536" w:rsidRPr="00837161">
        <w:fldChar w:fldCharType="end"/>
      </w:r>
      <w:r w:rsidR="003F0536" w:rsidRPr="00837161">
        <w:t>,</w:t>
      </w:r>
      <w:r w:rsidR="588A2036" w:rsidRPr="00837161">
        <w:t xml:space="preserve"> </w:t>
      </w:r>
      <w:r w:rsidR="00C0338D">
        <w:t>species-based and site-based management plan could facilitate a comprehensive approach to the management of biological invasions to, and within, the Galápagos Islands.</w:t>
      </w:r>
      <w:r w:rsidR="00C0338D" w:rsidRPr="00837161">
        <w:t xml:space="preserve"> </w:t>
      </w:r>
      <w:r w:rsidR="588A2036" w:rsidRPr="00837161">
        <w:t>For example, p</w:t>
      </w:r>
      <w:r w:rsidRPr="00837161">
        <w:t xml:space="preserve">athway management </w:t>
      </w:r>
      <w:r w:rsidR="588A2036" w:rsidRPr="00837161">
        <w:t>could</w:t>
      </w:r>
      <w:r w:rsidRPr="00837161">
        <w:t xml:space="preserve"> address external arrivals and movements between the islands</w:t>
      </w:r>
      <w:r w:rsidR="36E6C9AA" w:rsidRPr="00837161">
        <w:t xml:space="preserve"> </w:t>
      </w:r>
      <w:r w:rsidR="00EF5F6F" w:rsidRPr="00837161">
        <w:fldChar w:fldCharType="begin"/>
      </w:r>
      <w:r w:rsidR="000F35EB">
        <w:instrText xml:space="preserve"> ADDIN ZOTERO_ITEM CSL_CITATION {"citationID":"hjXWGfgT","properties":{"formattedCitation":"(Veitch &amp; Clout, 2002)","plainCitation":"(Veitch &amp; Clout, 2002)","noteIndex":0},"citationItems":[{"id":22566,"uris":["http://zotero.org/groups/2352922/items/A369LR69"],"itemData":{"id":22566,"type":"book","abstract":"This collection of 52 papers and 21 abstracts focuses on sharing available knowledge to combat the threat of invasive alien species. Turning the tide of biological invasion by eradicating invasive species can yield substantial benefits for biodiversity conservation. As more eradications are attempted worldwide, it is increasingly important that lessons are learned from each and every one of these attempts, whether successful or unsuccessful. This publication is intended to share with a wider audience the insights and practical experience gained.","event-place":"Gland, Switzerland","ISBN":"978-2-8317-0682-5","language":"en","number-of-pages":"428","publisher":"IUCN SSC Invasive Species Specialist Group","publisher-place":"Gland, Switzerland","source":"Google Books","title":"Turning the Tide: The Eradication of Invasive Species : Proceedings of the International Conference on Eradication of Island Invasives","title-short":"Turning the Tide","editor":[{"family":"Veitch","given":"C. R."},{"family":"Clout","given":"M. N."}],"issued":{"date-parts":[["2002"]]}},"label":"page"}],"schema":"https://github.com/citation-style-language/schema/raw/master/csl-citation.json"} </w:instrText>
      </w:r>
      <w:r w:rsidR="00EF5F6F" w:rsidRPr="00837161">
        <w:fldChar w:fldCharType="separate"/>
      </w:r>
      <w:r w:rsidR="00271B78" w:rsidRPr="00271B78">
        <w:t>(Veitch &amp; Clout, 2002)</w:t>
      </w:r>
      <w:r w:rsidR="00EF5F6F" w:rsidRPr="00837161">
        <w:fldChar w:fldCharType="end"/>
      </w:r>
      <w:r w:rsidRPr="00837161">
        <w:t xml:space="preserve">. Cargo quarantine and inspection is </w:t>
      </w:r>
      <w:r w:rsidR="588A2036" w:rsidRPr="00837161">
        <w:t xml:space="preserve">currently </w:t>
      </w:r>
      <w:r w:rsidRPr="00837161">
        <w:t>undertaken at a single facility supported by</w:t>
      </w:r>
      <w:r w:rsidR="005B662E">
        <w:t xml:space="preserve"> a</w:t>
      </w:r>
      <w:r w:rsidRPr="00837161">
        <w:t xml:space="preserve"> </w:t>
      </w:r>
      <w:r w:rsidR="001B0409" w:rsidRPr="00837161">
        <w:t>centrali</w:t>
      </w:r>
      <w:r w:rsidR="000543F9" w:rsidRPr="00837161">
        <w:t>z</w:t>
      </w:r>
      <w:r w:rsidR="001B0409" w:rsidRPr="00837161">
        <w:t>ed</w:t>
      </w:r>
      <w:r w:rsidRPr="00837161">
        <w:t xml:space="preserve"> database of plane, boat, residents, tourists and cargo arrivals analysed to evaluate strengths and weaknesses in the control system. </w:t>
      </w:r>
      <w:r w:rsidR="005B662E">
        <w:t>Efficient pathway management</w:t>
      </w:r>
      <w:r w:rsidR="005B662E" w:rsidRPr="00837161">
        <w:t xml:space="preserve"> </w:t>
      </w:r>
      <w:r w:rsidR="005B662E">
        <w:t xml:space="preserve">would </w:t>
      </w:r>
      <w:r w:rsidRPr="00837161">
        <w:t>include a marine biosecurity program</w:t>
      </w:r>
      <w:r w:rsidR="00326152" w:rsidRPr="00837161">
        <w:t>me</w:t>
      </w:r>
      <w:r w:rsidRPr="00837161">
        <w:t xml:space="preserve"> and developing regulations</w:t>
      </w:r>
      <w:r w:rsidR="007F0F47" w:rsidRPr="00837161">
        <w:t xml:space="preserve"> </w:t>
      </w:r>
      <w:r w:rsidRPr="00837161">
        <w:fldChar w:fldCharType="begin"/>
      </w:r>
      <w:r w:rsidR="000F35EB">
        <w:instrText xml:space="preserve"> ADDIN ZOTERO_ITEM CSL_CITATION {"citationID":"wZZlkyKR","properties":{"formattedCitation":"(Carlton et al., 2019; Toral-Granda et al., 2017)","plainCitation":"(Carlton et al., 2019; Toral-Granda et al., 2017)","noteIndex":0},"citationItems":[{"id":29773,"uris":["http://zotero.org/groups/2352922/items/58EEY9KK"],"itemData":{"id":29773,"type":"article-journal","abstract":"The Galápagos Islands are recognized for their unique biota and are one of the world’s largest marine protected areas. While invasions by non-indigenous species are common and recognized as a significant conservation threat in terrestrial habitats of the Archipelago, little is known about the magnitude of invasions in its coastal marine waters. Based upon recent field surveys, available literature, and analysis of the biogeographic status of previously reported taxa, we report 53 nonindigenous species of marine invertebrates in the Galápagos Islands. Forty-eight (90.6%) of these species are newly reported or newly recognized as introduced, a nearly ten-fold increase from the five species previously recognized as nonindigenous. Of these 48 species, 30 (62.5%) were newly discovered in surveys commenced in 2015. Ascidians (11 species), bryozoans (10), polychaetes (9), and hydroids (8) account for 38 (71.7%) of the introduced species. Our analyses further detected 33 cryptogenic invertebrate and algal species and one littoral vascular plant. Most taxonomic groups remain to be assessed for the presence of non-indigenous species. Importantly, the recent field surveys were restricted predominantly to one habitat (harbor biofouling) on two islands, further suggesting that introduced species richness for the Galápagos Islands may be considerably higher. Most of the introduced species treated here were likely brought to the Galápagos by ships. While we presume that most if not all of the many thousands of vessels arriving in the Galápagos Islands since the 1500s had marine animals and plants attached to their hulls, we hypothesize that the general absence in the Islands of extensive shoreline structures (in the form of wharves, docks, pilings, and buoys) until the last half of the 20th century may have constrained extensive colonization by fouling species. The proliferation of shoreline structures may have both provided expanded habitat for non-indigenous species that had earlier colonized natural substrates, as well as having facilitated a 20th and 21st century wave of new invasions in the Galápagos Islands. Our results represent the greatest reported increase in the recognition of the number of invasions for any tropical marine environment in the world. This work suggests that the number and potential ecological impacts of nonindigenous species in tropical marine and maritime habitats may be substantially underestimated in other regions of the world. Our study demonstrates that tropical marine invasions deserve significant attention, not only in a biogeographical, historical, and ecological context, but also from a management perspective, especially in the Galápagos and other high-value conservation areas.","container-title":"Aquatic Invasions","DOI":"10.3391/ai.2019.14.1.01","ISSN":"18185487","issue":"1","journalAbbreviation":"AI","language":"en","page":"1-20","source":"DOI.org (Crossref)","title":"Assessing marine bioinvasions in the Galápagos Islands: Implications for conservation biology and marine protected areas","title-short":"Assessing marine bioinvasions in the Galápagos Islands","URL":"http://www.aquaticinvasions.net/2019/issue1.html","volume":"14","author":[{"family":"Carlton","given":"James T."},{"family":"Keith","given":"Inti"},{"family":"Ruiz","given":"Gregory M."}],"accessed":{"date-parts":[["2019",8,23]]},"issued":{"date-parts":[["2019"]]}},"label":"page"},{"id":10573,"uris":["http://zotero.org/groups/2352922/items/7LTSUDTV"],"itemData":{"id":10573,"type":"article-journal","abstract":"Alien species, one of the biggest threats to natural ecosystems worldwide, are of particular concern for oceanic archipelagos such as Galápagos. To enable more effective management of alien species, we reviewed, collated and analysed all available records of alien species for Galápagos. We also assembled a comprehensive dataset on pathways to and among the Galápagos Islands, including tourist and resident numbers, tourist vessels, their itineraries and visitation sites, aircraft capacity and occupancy, air and sea cargo and biosecurity interceptions. So far, 1,579 alien terrestrial and marine species have been introduced to Galápagos by humans. Of these, 1,476 have become established. Almost half of these were intentional introductions, mostly of plants. Most unintentional introductions arrived on plants and plant associated material, followed by transport vehicles, and commodities (in particular fruit and vegetables). The number, frequency and geographic origin of pathways for the arrival and dispersal of alien species to and within Galápagos have increased over time, tracking closely the increase in human population (residents and tourists) on the islands. Intentional introductions of alien species should decline as biosecurity is strengthened but there is a danger that unintentional introductions will increase further as tourism on Galápagos expands. This unique world heritage site will only retain its biodiversity values if the pathways for invasion are managed effectively.","container-title":"PLoS ONE","DOI":"10.1371/journal.pone.0184379","ISSN":"1932-6203","issue":"9","journalAbbreviation":"PLoS ONE","language":"en","page":"e0184379","source":"DOI.org (Crossref)","title":"Alien species pathways to the Galapagos Islands, Ecuador","URL":"https://dx.plos.org/10.1371/journal.pone.0184379","volume":"12","author":[{"family":"Toral-Granda","given":"M. Verónica"},{"family":"Causton","given":"Charlotte E."},{"family":"Jäger","given":"Heinke"},{"family":"Trueman","given":"Mandy"},{"family":"Izurieta","given":"Juan Carlos"},{"family":"Araujo","given":"Eddy"},{"family":"Cruz","given":"Marilyn"},{"family":"Zander","given":"Kerstin K."},{"family":"Izurieta","given":"Arturo"},{"family":"Garnett","given":"Stephen T."}],"editor":[{"family":"Gao","given":"Yulin"}],"accessed":{"date-parts":[["2019",12,2]]},"issued":{"date-parts":[["2017",9,13]]}},"label":"page"}],"schema":"https://github.com/citation-style-language/schema/raw/master/csl-citation.json"} </w:instrText>
      </w:r>
      <w:r w:rsidRPr="00837161">
        <w:fldChar w:fldCharType="separate"/>
      </w:r>
      <w:r w:rsidR="00271B78" w:rsidRPr="00271B78">
        <w:t>(Carlton et al., 2019; Toral-Granda et al., 2017)</w:t>
      </w:r>
      <w:r w:rsidRPr="00837161">
        <w:fldChar w:fldCharType="end"/>
      </w:r>
      <w:r w:rsidRPr="00837161">
        <w:t>. Educational program</w:t>
      </w:r>
      <w:r w:rsidR="00326152" w:rsidRPr="00837161">
        <w:t>me</w:t>
      </w:r>
      <w:r w:rsidRPr="00837161">
        <w:t xml:space="preserve">s for residents and tourists, and risk assessments of human mobility and associated transports provide further information on how to manage pathways. Site-based management for plants is applied to terrestrial protected areas and urban centres to maintain remnant habitats and native biodiversity. A number of </w:t>
      </w:r>
      <w:r w:rsidR="00B3227D" w:rsidRPr="00C0338D">
        <w:t>species-</w:t>
      </w:r>
      <w:r w:rsidR="00B3227D">
        <w:t>based</w:t>
      </w:r>
      <w:r w:rsidR="00B3227D" w:rsidRPr="00C0338D">
        <w:t xml:space="preserve"> </w:t>
      </w:r>
      <w:r w:rsidRPr="00837161">
        <w:t xml:space="preserve">programmes focus on species </w:t>
      </w:r>
      <w:r w:rsidR="1A99E88E" w:rsidRPr="00837161">
        <w:t>prioritization</w:t>
      </w:r>
      <w:r w:rsidRPr="00837161">
        <w:t xml:space="preserve"> and priority plant </w:t>
      </w:r>
      <w:r w:rsidR="00EF5F6F" w:rsidRPr="00837161">
        <w:fldChar w:fldCharType="begin"/>
      </w:r>
      <w:r w:rsidR="000F35EB">
        <w:instrText xml:space="preserve"> ADDIN ZOTERO_ITEM CSL_CITATION {"citationID":"ZtooAWdq","properties":{"formattedCitation":"(Gardener et al., 2010)","plainCitation":"(Gardener et al., 2010)","noteIndex":0},"citationItems":[{"id":23805,"uris":["http://zotero.org/groups/2352922/items/UCUHBJ3I"],"itemData":{"id":23805,"type":"article-journal","abstract":"It is often argued that the beneﬁt of eradication of an invasive species—a one-off injection of funds and the problem is solved—far outweighs the cost of a perennial control program. Furthermore, these are very attractive projects for funding agencies as outcomes are clear and easy to assess. Galapagos is in the early stage of the invasion process, with most alien species not yet naturalized and still restricted to gardens and farms. These species should be easy targets for early and cost-effective eradication projects, which would prevent many future problems. We review 30 plant eradication projects covering 23 potentially invasive species with limited distributions on four of the Galapagos Islands. Of the 30 projects, only four were successful: these were all less than 1 ha in net area, on land with a single owner and did not have persistent seed banks. Of the other 26 projects, most failed due to a lack of support from institutions that did not offer continuity of resources, from land owners who denied permission to carry out the work or from being too ambitious. As a result of these problems, 64.3% of the funding secured for the program was spent on discontinued projects. We highlight lessons learned to inform plant eradication programs in the future.","container-title":"Restoration Ecology","DOI":"10.1111/j.1526-100X.2009.00614.x","ISSN":"10612971, 1526100X","issue":"1","language":"en","page":"20-29","source":"DOI.org (Crossref)","title":"Eradications and People: Lessons from the Plant Eradication Program in Galapagos","title-short":"Eradications and People","URL":"http://doi.wiley.com/10.1111/j.1526-100X.2009.00614.x","volume":"18","author":[{"family":"Gardener","given":"Mark R."},{"family":"Atkinson","given":"Rachel"},{"family":"Rentería","given":"Jorge Luis"}],"accessed":{"date-parts":[["2019",11,4]]},"issued":{"date-parts":[["2010",1]]}},"label":"page"}],"schema":"https://github.com/citation-style-language/schema/raw/master/csl-citation.json"} </w:instrText>
      </w:r>
      <w:r w:rsidR="00EF5F6F" w:rsidRPr="00837161">
        <w:fldChar w:fldCharType="separate"/>
      </w:r>
      <w:r w:rsidR="00271B78" w:rsidRPr="00271B78">
        <w:t>(Gardener et al., 2010)</w:t>
      </w:r>
      <w:r w:rsidR="00EF5F6F" w:rsidRPr="00837161">
        <w:fldChar w:fldCharType="end"/>
      </w:r>
      <w:r w:rsidR="1D1C3893" w:rsidRPr="00837161">
        <w:t xml:space="preserve"> </w:t>
      </w:r>
      <w:r w:rsidRPr="00837161">
        <w:t>and mammal erad</w:t>
      </w:r>
      <w:r w:rsidR="674D03ED" w:rsidRPr="00837161">
        <w:t xml:space="preserve">ication </w:t>
      </w:r>
      <w:r w:rsidR="00EF5F6F" w:rsidRPr="00837161">
        <w:fldChar w:fldCharType="begin"/>
      </w:r>
      <w:r w:rsidR="000F35EB">
        <w:instrText xml:space="preserve"> ADDIN ZOTERO_ITEM CSL_CITATION {"citationID":"HI3E5OGW","properties":{"formattedCitation":"(Cayot et al., 2021)","plainCitation":"(Cayot et al., 2021)","noteIndex":0},"citationItems":[{"id":53059,"uris":["http://zotero.org/groups/2352922/items/2Q6TF823"],"itemData":{"id":53059,"type":"chapter","abstract":"The flora and fauna of oceanic islands are extremely vulnerable to invasive introduced species. Galapagos giant tortoise species, many critically endangered due to overexploitation by whalers and others, have been negatively impacted by several invasive species over the last two centuries. This chapter reviews the introduced species that impact giant tortoises: their arrival, establishment, and impacts on tortoises and their habitats, and targeted control, eradication, and conservation efforts of the last 60 years. The species reviews are followed by summaries of three major eradication projects aimed at the restoration of island ecosystems and the giant tortoises that inhabit them.","collection-title":"Biodiversity of World: Conservation from Genes to Landscapes","container-title":"Galapagos Giant Tortoises","ISBN":"978-0-12-817554-5","language":"en","note":"DOI: 10.1016/B978-0-12-817554-5.00009-5","page":"381-399","publisher":"Academic Press","source":"ScienceDirect","title":"Chapter 19 - Invasive species: Impacts, control, and eradication","title-short":"Chapter 19 - Invasive species","URL":"https://www.sciencedirect.com/science/article/pii/B9780128175545000095","author":[{"family":"Cayot","given":"Linda J."},{"family":"Campbell","given":"Karl"},{"family":"Carrión","given":"Victor"}],"editor":[{"family":"Gibbs","given":"James P."},{"family":"Cayot","given":"Linda J."},{"family":"Aguilera","given":"Washington Tapia"}],"accessed":{"date-parts":[["2022",8,31]]},"issued":{"date-parts":[["2021",1,1]]}},"label":"page"}],"schema":"https://github.com/citation-style-language/schema/raw/master/csl-citation.json"} </w:instrText>
      </w:r>
      <w:r w:rsidR="00EF5F6F" w:rsidRPr="00837161">
        <w:fldChar w:fldCharType="separate"/>
      </w:r>
      <w:r w:rsidR="00271B78" w:rsidRPr="00271B78">
        <w:t>(Cayot et al., 2021)</w:t>
      </w:r>
      <w:r w:rsidR="00EF5F6F" w:rsidRPr="00837161">
        <w:fldChar w:fldCharType="end"/>
      </w:r>
      <w:r w:rsidR="00EF5F6F" w:rsidRPr="00837161">
        <w:t xml:space="preserve"> </w:t>
      </w:r>
      <w:r w:rsidR="674D03ED" w:rsidRPr="00837161">
        <w:t xml:space="preserve">and </w:t>
      </w:r>
      <w:r w:rsidR="132D58E0" w:rsidRPr="00837161">
        <w:t>biolog</w:t>
      </w:r>
      <w:r w:rsidR="60EA509A" w:rsidRPr="00837161">
        <w:t>i</w:t>
      </w:r>
      <w:r w:rsidR="132D58E0" w:rsidRPr="00837161">
        <w:t>cal</w:t>
      </w:r>
      <w:r w:rsidR="674D03ED" w:rsidRPr="00837161">
        <w:t xml:space="preserve"> control</w:t>
      </w:r>
      <w:r w:rsidR="00EF5F6F" w:rsidRPr="00837161">
        <w:t xml:space="preserve"> </w:t>
      </w:r>
      <w:r w:rsidR="00EF5F6F" w:rsidRPr="00837161">
        <w:fldChar w:fldCharType="begin"/>
      </w:r>
      <w:r w:rsidR="000F35EB">
        <w:instrText xml:space="preserve"> ADDIN ZOTERO_ITEM CSL_CITATION {"citationID":"1YYu7AyW","properties":{"formattedCitation":"(Zachrisson &amp; Barba, 2020)","plainCitation":"(Zachrisson &amp; Barba, 2020)","dontUpdate":true,"noteIndex":0},"citationItems":[{"id":53058,"uris":["http://zotero.org/groups/2352922/items/2S6MAQB6"],"itemData":{"id":53058,"type":"chapter","collection-title":"CABI Invasives Series","container-title":"Biological Control in Latin America and the Caribbean: Its Rich History and Bright Future","note":"DOI: 10.1079/9781789242430.0345","page":"345-353","publisher":"CABI International","title":"Biological Control in Panama","URL":"https://www.cabidigitallibrary.org/doi/abs/10.1079/9781789242430.0345","author":[{"family":"Zachrisson","given":"Bruno"},{"family":"Barba","given":"Anobel"}],"issued":{"date-parts":[["2020"]]}},"label":"page"}],"schema":"https://github.com/citation-style-language/schema/raw/master/csl-citation.json"} </w:instrText>
      </w:r>
      <w:r w:rsidR="00EF5F6F" w:rsidRPr="00837161">
        <w:fldChar w:fldCharType="separate"/>
      </w:r>
      <w:r w:rsidR="007F0F47" w:rsidRPr="00837161">
        <w:t>(Zachrisson &amp; Barba, 2020</w:t>
      </w:r>
      <w:r w:rsidR="00EF5F6F" w:rsidRPr="00837161">
        <w:fldChar w:fldCharType="end"/>
      </w:r>
      <w:r w:rsidR="161F0838" w:rsidRPr="00837161">
        <w:t xml:space="preserve">; </w:t>
      </w:r>
      <w:r w:rsidR="00191A6E">
        <w:rPr>
          <w:b/>
          <w:iCs/>
        </w:rPr>
        <w:t>Figure 5.12</w:t>
      </w:r>
      <w:r w:rsidR="682B63BD" w:rsidRPr="00837161">
        <w:t>)</w:t>
      </w:r>
      <w:r w:rsidR="674D03ED" w:rsidRPr="00837161">
        <w:t>.</w:t>
      </w:r>
    </w:p>
    <w:p w14:paraId="31593A70" w14:textId="5DFE8CE2" w:rsidR="00C0338D" w:rsidRDefault="00C0338D" w:rsidP="00C0338D">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A014D9">
        <w:rPr>
          <w:rFonts w:eastAsia="Times New Roman"/>
          <w:b/>
          <w:noProof/>
          <w:color w:val="000000"/>
        </w:rPr>
        <w:drawing>
          <wp:inline distT="0" distB="0" distL="0" distR="0" wp14:anchorId="096F9DE9" wp14:editId="7F13C657">
            <wp:extent cx="6115050" cy="4414520"/>
            <wp:effectExtent l="0" t="0" r="6350" b="5080"/>
            <wp:docPr id="26" name="Picture 26" descr="A map of islands with blue and green sp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map of islands with blue and green spots&#10;&#10;Description automatically generated"/>
                    <pic:cNvPicPr/>
                  </pic:nvPicPr>
                  <pic:blipFill>
                    <a:blip r:embed="rId39"/>
                    <a:stretch>
                      <a:fillRect/>
                    </a:stretch>
                  </pic:blipFill>
                  <pic:spPr>
                    <a:xfrm>
                      <a:off x="0" y="0"/>
                      <a:ext cx="6115050" cy="4414520"/>
                    </a:xfrm>
                    <a:prstGeom prst="rect">
                      <a:avLst/>
                    </a:prstGeom>
                  </pic:spPr>
                </pic:pic>
              </a:graphicData>
            </a:graphic>
          </wp:inline>
        </w:drawing>
      </w:r>
    </w:p>
    <w:p w14:paraId="59C65A06" w14:textId="2981448A" w:rsidR="001B0409" w:rsidRPr="00837161" w:rsidRDefault="3A7E0FF5" w:rsidP="00C0338D">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24" w:name="_Ref104970746"/>
      <w:bookmarkStart w:id="225" w:name="_Toc87623107"/>
      <w:bookmarkStart w:id="226" w:name="_Toc147489365"/>
      <w:r w:rsidRPr="00837161">
        <w:rPr>
          <w:lang w:val="en-GB"/>
        </w:rPr>
        <w:lastRenderedPageBreak/>
        <w:t>Figure 5.</w:t>
      </w:r>
      <w:r w:rsidRPr="00837161">
        <w:rPr>
          <w:lang w:val="en-GB"/>
        </w:rPr>
        <w:fldChar w:fldCharType="begin"/>
      </w:r>
      <w:r w:rsidRPr="00837161">
        <w:rPr>
          <w:lang w:val="en-GB"/>
        </w:rPr>
        <w:instrText xml:space="preserve"> SEQ Figure_5. \* ARABIC </w:instrText>
      </w:r>
      <w:r w:rsidRPr="00837161">
        <w:rPr>
          <w:lang w:val="en-GB"/>
        </w:rPr>
        <w:fldChar w:fldCharType="separate"/>
      </w:r>
      <w:r w:rsidR="00DC77F8">
        <w:rPr>
          <w:noProof/>
          <w:lang w:val="en-GB"/>
        </w:rPr>
        <w:t>12</w:t>
      </w:r>
      <w:r w:rsidRPr="00837161">
        <w:rPr>
          <w:lang w:val="en-GB"/>
        </w:rPr>
        <w:fldChar w:fldCharType="end"/>
      </w:r>
      <w:bookmarkEnd w:id="224"/>
      <w:r w:rsidR="003C3432" w:rsidRPr="00837161">
        <w:rPr>
          <w:lang w:val="en-GB"/>
        </w:rPr>
        <w:t>.</w:t>
      </w:r>
      <w:r w:rsidR="7E6BD0E4" w:rsidRPr="00837161">
        <w:rPr>
          <w:lang w:val="en-GB"/>
        </w:rPr>
        <w:t xml:space="preserve"> </w:t>
      </w:r>
      <w:r w:rsidR="00506670" w:rsidRPr="00837161">
        <w:rPr>
          <w:b w:val="0"/>
          <w:bCs w:val="0"/>
          <w:lang w:val="en-GB"/>
        </w:rPr>
        <w:t xml:space="preserve">Map of the Galápagos Islands showing examples of pathway, </w:t>
      </w:r>
      <w:r w:rsidR="00B3227D" w:rsidRPr="00AC1F76">
        <w:rPr>
          <w:b w:val="0"/>
          <w:bCs w:val="0"/>
        </w:rPr>
        <w:t>species-based</w:t>
      </w:r>
      <w:r w:rsidR="00506670" w:rsidRPr="00837161">
        <w:rPr>
          <w:b w:val="0"/>
          <w:bCs w:val="0"/>
          <w:lang w:val="en-GB"/>
        </w:rPr>
        <w:t xml:space="preserve"> and site-based management activities.</w:t>
      </w:r>
      <w:r w:rsidR="00506670" w:rsidRPr="00837161">
        <w:rPr>
          <w:lang w:val="en-GB"/>
        </w:rPr>
        <w:t xml:space="preserve"> </w:t>
      </w:r>
      <w:r w:rsidR="00506670" w:rsidRPr="00837161">
        <w:rPr>
          <w:b w:val="0"/>
          <w:bCs w:val="0"/>
          <w:lang w:val="en-GB"/>
        </w:rPr>
        <w:t>These islands are a global centre of endemism where 1,476 naturalized terrestrial and marine alien species have been recorded</w:t>
      </w:r>
      <w:r w:rsidR="00B46874">
        <w:rPr>
          <w:b w:val="0"/>
          <w:bCs w:val="0"/>
          <w:lang w:val="en-GB"/>
        </w:rPr>
        <w:t xml:space="preserve"> </w:t>
      </w:r>
      <w:bookmarkEnd w:id="225"/>
      <w:r w:rsidR="00C81940" w:rsidRPr="005B662E">
        <w:rPr>
          <w:b w:val="0"/>
          <w:bCs w:val="0"/>
          <w:lang w:val="en-GB"/>
        </w:rPr>
        <w:fldChar w:fldCharType="begin"/>
      </w:r>
      <w:r w:rsidR="000F35EB" w:rsidRPr="005B662E">
        <w:rPr>
          <w:b w:val="0"/>
          <w:bCs w:val="0"/>
          <w:lang w:val="en-GB"/>
        </w:rPr>
        <w:instrText xml:space="preserve"> ADDIN ZOTERO_ITEM CSL_CITATION {"citationID":"3jSrxHuF","properties":{"formattedCitation":"(Calder\\uc0\\u243{}n Alvarez et al., 2012; V. Carrion et al., 2011; Gardener et al., 2012; I. Keith et al., 2016; Phillips et al., 2012; Toral-Granda et al., 2017)","plainCitation":"(Calderón Alvarez et al., 2012; V. Carrion et al., 2011; Gardener et al., 2012; I. Keith et al., 2016; Phillips et al., 2012; Toral-Granda et al., 2017)","noteIndex":0},"citationItems":[{"id":11577,"uris":["http://zotero.org/groups/2352922/items/N6YDUFS4"],"itemData":{"id":11577,"type":"article-journal","abstract":"In January 2002, the first biological control program was implemented on the Galapagos Islands with the release of the Australian coccinellid Rodolia cardinalis Mulsant to control the invasive cottony cushion scale, Icerya purchasi Maskell. This was the first time that Galapagos authorities had approved the introduction of a biological control agent to this iconic archipelago and, because of this precedent, it was important to monitor and evaluate its behaviour soon after its introduction. Surveys were carried out after the release of R. cardinalis in 2002 to confirm establishment on Santa Cruz Island. In 2009, seven years post-release, a broader survey was done to document spread throughout the archipelago. Directly after the release of R. cardinalis in 2002, a predator exclusion study and field observations were carried out on scale insect populations on white mangrove (Laguncularia racemosa [L.] Gaertn. F.) on Santa Cruz Island to document impact. In less than three months after R. cardinalis was released in 2002, populations of I. purchasi on white mangrove that were exposed to the predator in the exclusion experiment, or were monitored in the field, had declined by 99–100%. Results suggest that R. cardinalis played a key role in this decline, possibly in combination with high rainfall. Rodolia cardinalis dispersed quickly after its release and by 2009 was found in a wide variety of habitats on seven of the eight islands surveyed that had records of I. purchasi. Two of these were self-introductions. Further monitoring is recommended to determine whether this biological control agent has successfully reduced scale insect numbers on other valued plant species.","container-title":"BioControl","DOI":"10.1007/s10526-011-9429-8","ISSN":"1573-8248","issue":"2","journalAbbreviation":"BioControl","language":"en","page":"167-179","source":"Springer Link","title":"Monitoring the effects of &lt;i&gt;Rodolia cardinalis&lt;/i&gt; on &lt;i&gt;Icerya purchasi&lt;/i&gt; populations on the Galapagos Islands","URL":"https://doi.org/10.1007/s10526-011-9429-8","volume":"57","author":[{"family":"Calderón Alvarez","given":"Carolina"},{"family":"Causton","given":"Charlotte E."},{"family":"Hoddle","given":"Mark S."},{"family":"Hoddle","given":"Christina D."},{"family":"Driesche","given":"Roy","non-dropping-particle":"van"},{"family":"Stanek","given":"Edward J."}],"accessed":{"date-parts":[["2020",7,29]]},"issued":{"date-parts":[["2012",4,1]]}},"label":"page"},{"id":11475,"uris":["http://zotero.org/groups/2352922/items/YXIR65GU"],"itemData":{"id":11475,"type":"article-journal","abstract":"Invasive alien mammals are the major driver of biodiversity loss and ecosystem degradation on islands. Over the past three decades, invasive mammal eradication from islands has become one of society’s most powerful tools for preventing extinction of insular endemics and restoring insular ecosystems. As practitioners tackle larger islands for restoration, three factors will heavily influence success and outcomes: the degree of local support, the ability to mitigate for non-target impacts, and the ability to eradicate non-native species more cost-effectively. Investments in removing invasive species, however, must be weighed against the risk of reintroduction. One way to reduce reintroduction risks is to eradicate the target invasive species from an entire archipelago, and thus eliminate readily available sources. We illustrate the costs and benefits of this approach with the efforts to remove invasive goats from the Gala´pagos Islands. Project Isabela, the world’s largest island restoration effort to date, removed .140,000 goats from .500,000 ha for a cost of US$10.5 million. Leveraging the capacity built during Project Isabela, and given that goat reintroductions have been common over the past decade, we implemented an archipelago-wide goat eradication strategy. Feral goats remain on three islands in the archipelago, and removal efforts are underway. Efforts on the Gala´pagos Islands demonstrate that for some species, island size is no longer the limiting factor with respect to eradication. Rather, bureaucratic processes, financing, political will, and stakeholder approval appear to be the new challenges. Eradication efforts have delivered a suite of biodiversity benefits that are in the process of revealing themselves. The costs of rectifying intentional reintroductions are high in terms of financial and human resources. Reducing the archipelago-wide goat density to low levels is a technical approach to reducing reintroduction risk in the short-term, and is being complemented with a longer-term social approach focused on education and governance.","container-title":"Plos ONE","DOI":"10.1371/journal.pone.0018835","ISSN":"1932-6203","issue":"5","journalAbbreviation":"PLoS ONE","page":"e18835","title":"Archipelago-Wide Island Restoration in the Galapagos Islands: Reducing Costs of Invasive Mammal Eradication Programs and Reinvasion Risk","URL":"https://dx.plos.org/10.1371/journal.pone.0018835","volume":"6","author":[{"family":"Carrion","given":"Victor"},{"family":"Donlan","given":"C. Josh"},{"family":"Campbell","given":"Karl J."},{"family":"Lavoie","given":"Christian"},{"family":"Cruz","given":"Felipe"}],"issued":{"date-parts":[["2011",5,11]]}},"label":"page"},{"id":16398,"uris":["http://zotero.org/groups/2352922/items/7UVWT3AN"],"itemData":{"id":16398,"type":"article-journal","container-title":"Plant Ecology &amp; Diversity","DOI":"10.1080/17550874.2011.604800","ISSN":"1755-0874, 1755-1668","issue":"2","journalAbbreviation":"Plant Ecology &amp; Diversity","language":"en","page":"225-232","source":"DOI.org (Crossref)","title":"Plant invasions research in Latin America: fast track to a more focused agenda","title-short":"Plant invasions research in Latin America","URL":"http://www.tandfonline.com/doi/abs/10.1080/17550874.2011.604800","volume":"5","author":[{"family":"Gardener","given":"Mark R."},{"family":"Bustamante","given":"Ramiro O."},{"family":"Herrera","given":"Ileana"},{"family":"Durigan","given":"Giselda"},{"family":"Pivello","given":"Vânia R."},{"family":"Moro","given":"Marcelo F."},{"family":"Stoll","given":"Alexandra"},{"family":"Langdon","given":"Bárbara"},{"family":"Baruch","given":"Zdravko"},{"family":"Rico","given":"Adriana"},{"family":"Arredondo-Nuñez","given":"Alicia"},{"family":"Flores","given":"Saúl"}],"accessed":{"date-parts":[["2019",11,5]]},"issued":{"date-parts":[["2012",6]]}},"label":"page"},{"id":11578,"uris":["http://zotero.org/groups/2352922/items/33C799UR"],"itemData":{"id":11578,"type":"article-journal","abstract":"Worldwide, marine biological invasions of non-native species have increased significantly in recent years due to a rapid rise in global trade, transport and tourism. Invasions occur when non-native species are transported from one region to another and establish, often resulting in competition displacing native species and changing ecosystems. Historic literature searches were conducted along with dive surveys of the main ports and in sites around the archipelago in order to produce a baseline of which non-native species are present in the Galapagos Marine Reserve at this time. Confounding processes of anthropogenic and natural activities are increasing the potential spread of marine invasive species in the Eastern Tropical Pacific and the Galapagos Marine Reserve. We discuss the potential vectors facilitating marine invasions with the suggestion that marine traffic could be the most influential vector in the transport of marine non-natives to the Galapagos Marine Reserve. The challenge for marine park authorities is to identify those species that are likely to cause negative impacts on native biodiversity and ecosystems before they establish in the Galapagos, and to develop pre-emptive strategies that would likely include prevention as well as risk-based management strategies to remove them or to mitigate their harmful effects.","container-title":"Pacific Conservation Biology","DOI":"10.1071/PC15020","ISSN":"2204-4604","issue":"4","journalAbbreviation":"Pac. Conserv. Biol.","language":"en","note":"publisher: CSIRO PUBLISHING","page":"377-385","source":"www.publish.csiro.au","title":"Marine invasive species: establishing pathways, their presence and potential threats in the Galapagos Marine Reserve","title-short":"Marine invasive species","URL":"https://www.publish.csiro.au/pc/PC15020","volume":"22","author":[{"family":"Keith","given":"Inti"},{"family":"Dawson","given":"Terence P."},{"family":"Collins","given":"Ken J."},{"family":"Campbell","given":"Marnie L."}],"accessed":{"date-parts":[["2020",7,28]]},"issued":{"date-parts":[["2016",12,20]]}},"label":"page"},{"id":29047,"uris":["http://zotero.org/groups/2352922/items/TEVMTP49"],"itemData":{"id":29047,"type":"article-journal","abstract":"Human activity has promoted the invasion of the Galápagos Islands by alien species from each of the five classes of vertebrates. We review the current distribution of alien vertebrates in the archipelago, their impacts on native species, and management efforts aimed at alien vertebrates. A total of 44 species have been reported in the archipelago, with 20 species establishing feral populations. Mammals were the first group arriving in the archipelago and remain the most numerous, with 10 established species. Alien birds invaded after mammals and four species have established populations. Reptiles, amphibians, and fish invaded later and are represented by three, one, and two species, respectively. Alien mammals are the most injurious to native biota, contributing to the decline or extinction of several species. Aside from mammals, no other class of alien vertebrate has had documented impacts on native species. Several populations of large and medium-sized mammals and birds have been eradicated.","container-title":"Biological Invasions","DOI":"10.1007/s10530-011-0090-z","ISSN":"1387-3547, 1573-1464","issue":"2","journalAbbreviation":"Biol Invasions","language":"en","page":"461-480","source":"DOI.org (Crossref)","title":"Current status of alien vertebrates in the Galápagos Islands: invasion history, distribution, and potential impacts","title-short":"Current status of alien vertebrates in the Galápagos Islands","URL":"https://doi.org/10.1007/s10530-011-0090-z","volume":"14","author":[{"family":"Phillips","given":"R. Brand"},{"family":"Wiedenfeld","given":"David A."},{"family":"Snell","given":"Howard L."}],"accessed":{"date-parts":[["2019",12,2]]},"issued":{"date-parts":[["2012",2]]}},"label":"page"},{"id":10573,"uris":["http://zotero.org/groups/2352922/items/7LTSUDTV"],"itemData":{"id":10573,"type":"article-journal","abstract":"Alien species, one of the biggest threats to natural ecosystems worldwide, are of particular concern for oceanic archipelagos such as Galápagos. To enable more effective management of alien species, we reviewed, collated and analysed all available records of alien species for Galápagos. We also assembled a comprehensive dataset on pathways to and among the Galápagos Islands, including tourist and resident numbers, tourist vessels, their itineraries and visitation sites, aircraft capacity and occupancy, air and sea cargo and biosecurity interceptions. So far, 1,579 alien terrestrial and marine species have been introduced to Galápagos by humans. Of these, 1,476 have become established. Almost half of these were intentional introductions, mostly of plants. Most unintentional introductions arrived on plants and plant associated material, followed by transport vehicles, and commodities (in particular fruit and vegetables). The number, frequency and geographic origin of pathways for the arrival and dispersal of alien species to and within Galápagos have increased over time, tracking closely the increase in human population (residents and tourists) on the islands. Intentional introductions of alien species should decline as biosecurity is strengthened but there is a danger that unintentional introductions will increase further as tourism on Galápagos expands. This unique world heritage site will only retain its biodiversity values if the pathways for invasion are managed effectively.","container-title":"PLoS ONE","DOI":"10.1371/journal.pone.0184379","ISSN":"1932-6203","issue":"9","journalAbbreviation":"PLoS ONE","language":"en","page":"e0184379","source":"DOI.org (Crossref)","title":"Alien species pathways to the Galapagos Islands, Ecuador","URL":"https://dx.plos.org/10.1371/journal.pone.0184379","volume":"12","author":[{"family":"Toral-Granda","given":"M. Verónica"},{"family":"Causton","given":"Charlotte E."},{"family":"Jäger","given":"Heinke"},{"family":"Trueman","given":"Mandy"},{"family":"Izurieta","given":"Juan Carlos"},{"family":"Araujo","given":"Eddy"},{"family":"Cruz","given":"Marilyn"},{"family":"Zander","given":"Kerstin K."},{"family":"Izurieta","given":"Arturo"},{"family":"Garnett","given":"Stephen T."}],"editor":[{"family":"Gao","given":"Yulin"}],"accessed":{"date-parts":[["2019",12,2]]},"issued":{"date-parts":[["2017",9,13]]}},"label":"page"}],"schema":"https://github.com/citation-style-language/schema/raw/master/csl-citation.json"} </w:instrText>
      </w:r>
      <w:r w:rsidR="00C81940" w:rsidRPr="005B662E">
        <w:rPr>
          <w:b w:val="0"/>
          <w:bCs w:val="0"/>
          <w:lang w:val="en-GB"/>
        </w:rPr>
        <w:fldChar w:fldCharType="separate"/>
      </w:r>
      <w:r w:rsidR="00271B78" w:rsidRPr="00AC1F76">
        <w:rPr>
          <w:b w:val="0"/>
          <w:bCs w:val="0"/>
        </w:rPr>
        <w:t>(Calderón Alvarez et al., 2012; V. Carrion et al., 2011; Gardener et al., 2012; I. Keith et al., 2016; Phillips et al., 2012; Toral-Granda et al., 2017)</w:t>
      </w:r>
      <w:r w:rsidR="00C81940" w:rsidRPr="005B662E">
        <w:rPr>
          <w:b w:val="0"/>
          <w:bCs w:val="0"/>
          <w:lang w:val="en-GB"/>
        </w:rPr>
        <w:fldChar w:fldCharType="end"/>
      </w:r>
      <w:r w:rsidR="00650D34" w:rsidRPr="005B662E">
        <w:rPr>
          <w:b w:val="0"/>
          <w:bCs w:val="0"/>
          <w:lang w:val="es-ES"/>
        </w:rPr>
        <w:t>.</w:t>
      </w:r>
      <w:r w:rsidR="00650D34" w:rsidRPr="00767086">
        <w:rPr>
          <w:b w:val="0"/>
          <w:bCs w:val="0"/>
          <w:lang w:val="es-ES"/>
        </w:rPr>
        <w:t xml:space="preserve"> </w:t>
      </w:r>
      <w:r w:rsidR="00761710">
        <w:rPr>
          <w:b w:val="0"/>
          <w:bCs w:val="0"/>
          <w:lang w:val="en-GB"/>
        </w:rPr>
        <w:t>Source of u</w:t>
      </w:r>
      <w:r w:rsidR="006B06F2">
        <w:rPr>
          <w:b w:val="0"/>
          <w:bCs w:val="0"/>
          <w:lang w:val="en-GB"/>
        </w:rPr>
        <w:t>nderlying map from</w:t>
      </w:r>
      <w:r w:rsidR="00761710">
        <w:rPr>
          <w:b w:val="0"/>
          <w:bCs w:val="0"/>
          <w:lang w:val="en-GB"/>
        </w:rPr>
        <w:t>:</w:t>
      </w:r>
      <w:r w:rsidR="008F22DD" w:rsidRPr="008F22DD">
        <w:t xml:space="preserve"> </w:t>
      </w:r>
      <w:r w:rsidR="008F22DD" w:rsidRPr="008F22DD">
        <w:rPr>
          <w:b w:val="0"/>
          <w:bCs w:val="0"/>
          <w:lang w:val="en-GB"/>
        </w:rPr>
        <w:t xml:space="preserve">Andrew Z. Colvin, </w:t>
      </w:r>
      <w:r w:rsidR="008F22DD">
        <w:rPr>
          <w:b w:val="0"/>
          <w:bCs w:val="0"/>
          <w:lang w:val="en-GB"/>
        </w:rPr>
        <w:t xml:space="preserve">WM Commons - </w:t>
      </w:r>
      <w:r w:rsidR="00E87F41">
        <w:rPr>
          <w:b w:val="0"/>
          <w:bCs w:val="0"/>
          <w:lang w:val="en-GB"/>
        </w:rPr>
        <w:t xml:space="preserve">under license </w:t>
      </w:r>
      <w:r w:rsidR="008F22DD" w:rsidRPr="008F22DD">
        <w:rPr>
          <w:b w:val="0"/>
          <w:bCs w:val="0"/>
          <w:lang w:val="en-GB"/>
        </w:rPr>
        <w:t>CC BY-SA 4.0</w:t>
      </w:r>
      <w:r w:rsidR="002C397E">
        <w:rPr>
          <w:b w:val="0"/>
          <w:bCs w:val="0"/>
          <w:lang w:val="en-GB"/>
        </w:rPr>
        <w:t>.</w:t>
      </w:r>
      <w:bookmarkEnd w:id="226"/>
    </w:p>
    <w:p w14:paraId="29786DAD" w14:textId="1AD1F86B" w:rsidR="001B0409" w:rsidRPr="00837161" w:rsidRDefault="41629363" w:rsidP="002F2F42">
      <w:pPr>
        <w:pStyle w:val="Heading2"/>
      </w:pPr>
      <w:bookmarkStart w:id="227" w:name="_Toc87623139"/>
      <w:bookmarkStart w:id="228" w:name="_Toc131681641"/>
      <w:bookmarkStart w:id="229" w:name="_Toc149555473"/>
      <w:bookmarkStart w:id="230" w:name="_Toc26705997"/>
      <w:bookmarkStart w:id="231" w:name="_Toc69313980"/>
      <w:r w:rsidRPr="00837161">
        <w:t>Managing inv</w:t>
      </w:r>
      <w:r w:rsidR="777E8347" w:rsidRPr="00837161">
        <w:t>asive alien species impacts in p</w:t>
      </w:r>
      <w:r w:rsidRPr="00837161">
        <w:t>ro</w:t>
      </w:r>
      <w:r w:rsidR="777E8347" w:rsidRPr="00837161">
        <w:t xml:space="preserve">tected areas, </w:t>
      </w:r>
      <w:r w:rsidR="27D6434C" w:rsidRPr="00837161">
        <w:t xml:space="preserve">islands, </w:t>
      </w:r>
      <w:r w:rsidR="777E8347" w:rsidRPr="00837161">
        <w:t>national parks, Ramsar S</w:t>
      </w:r>
      <w:r w:rsidRPr="00837161">
        <w:t>ites, Man and Biosphere reserves and World heritage sites</w:t>
      </w:r>
      <w:bookmarkEnd w:id="227"/>
      <w:bookmarkEnd w:id="228"/>
      <w:bookmarkEnd w:id="229"/>
      <w:r w:rsidRPr="00837161">
        <w:t xml:space="preserve"> </w:t>
      </w:r>
      <w:bookmarkEnd w:id="230"/>
      <w:bookmarkEnd w:id="231"/>
    </w:p>
    <w:p w14:paraId="000001F0" w14:textId="4E9311EC" w:rsidR="00A758FD" w:rsidRPr="00C0338D" w:rsidRDefault="00C81287">
      <w:pPr>
        <w:spacing w:before="240" w:after="120" w:line="240" w:lineRule="auto"/>
      </w:pPr>
      <w:bookmarkStart w:id="232" w:name="_heading=h.1jlao46" w:colFirst="0" w:colLast="0"/>
      <w:bookmarkEnd w:id="232"/>
      <w:r w:rsidRPr="00C0338D">
        <w:t xml:space="preserve">A Global Invasive Species Programme (GISP) report </w:t>
      </w:r>
      <w:r w:rsidR="6F37074E" w:rsidRPr="00837161">
        <w:fldChar w:fldCharType="begin"/>
      </w:r>
      <w:r w:rsidR="000F35EB">
        <w:instrText xml:space="preserve"> ADDIN ZOTERO_ITEM CSL_CITATION {"citationID":"Rp71UDWu","properties":{"formattedCitation":"(De Poorter, 2007)","plainCitation":"(De Poorter, 2007)","noteIndex":0},"citationItems":[{"id":16173,"uris":["http://zotero.org/groups/2352922/items/QHH26XE7"],"itemData":{"id":16173,"type":"report","note":"No unique identifier","publisher":"The Global Invasive Species Programme","title":"Invasive alien species and protected areas: A scoping report part 2","author":[{"family":"De Poorter","given":"Maj"}],"accessed":{"date-parts":[["2019",10,23]]},"issued":{"date-parts":[["2007"]]}},"label":"page"}],"schema":"https://github.com/citation-style-language/schema/raw/master/csl-citation.json"} </w:instrText>
      </w:r>
      <w:r w:rsidR="6F37074E" w:rsidRPr="00837161">
        <w:fldChar w:fldCharType="separate"/>
      </w:r>
      <w:r w:rsidR="00271B78" w:rsidRPr="00271B78">
        <w:t>(De Poorter, 2007)</w:t>
      </w:r>
      <w:r w:rsidR="6F37074E" w:rsidRPr="00837161">
        <w:fldChar w:fldCharType="end"/>
      </w:r>
      <w:r w:rsidRPr="00C0338D">
        <w:t xml:space="preserve"> covering largely terrestrial sites identified 487 protected areas with an invasive alien species threat, while a different study listed 135 protected areas which had a range of science-based management and monitoring programmes in place </w:t>
      </w:r>
      <w:r w:rsidR="6F37074E" w:rsidRPr="00837161">
        <w:fldChar w:fldCharType="begin"/>
      </w:r>
      <w:r w:rsidR="000F35EB">
        <w:instrText xml:space="preserve"> ADDIN ZOTERO_ITEM CSL_CITATION {"citationID":"moIYIVbN","properties":{"formattedCitation":"(Foxcroft, Py\\uc0\\u353{}ek, et al., 2013)","plainCitation":"(Foxcroft, Pyšek, et al., 2013)","noteIndex":0},"citationItems":[{"id":31011,"uris":["http://zotero.org/groups/2352922/items/KJIAQIGQ"],"itemData":{"id":31011,"type":"book","collection-title":"Invading Nature - Springer Series in Invasion Ecology","event-place":"Dordrecht","ISBN":"978-94-007-7749-1","language":"en","note":"DOI: 10.1007/978-94-007-7750-7","publisher":"Springer Netherlands","publisher-place":"Dordrecht","source":"DOI.org (Crossref)","title":"Plant Invasions in Protected Areas: Patterns, Problems and Challenges","title-short":"Plant Invasions in Protected Areas","URL":"http://link.springer.com/10.1007/978-94-007-7750-7","volume":"7","editor":[{"family":"Foxcroft","given":"Llewellyn C."},{"family":"Pyšek","given":"Petr"},{"family":"Richardson","given":"David M."},{"family":"Genovesi","given":"Piero"}],"accessed":{"date-parts":[["2019",11,9]]},"issued":{"date-parts":[["2013"]]}},"label":"page"}],"schema":"https://github.com/citation-style-language/schema/raw/master/csl-citation.json"} </w:instrText>
      </w:r>
      <w:r w:rsidR="6F37074E" w:rsidRPr="00837161">
        <w:fldChar w:fldCharType="separate"/>
      </w:r>
      <w:r w:rsidR="00271B78" w:rsidRPr="00271B78">
        <w:t>(Foxcroft, Pyšek, et al., 2013)</w:t>
      </w:r>
      <w:r w:rsidR="6F37074E" w:rsidRPr="00837161">
        <w:fldChar w:fldCharType="end"/>
      </w:r>
      <w:r w:rsidR="6F37074E" w:rsidRPr="00837161">
        <w:t>.</w:t>
      </w:r>
      <w:r w:rsidRPr="00C0338D">
        <w:t xml:space="preserve"> There are examples of successful species-</w:t>
      </w:r>
      <w:r w:rsidR="40D7FF84">
        <w:t>based</w:t>
      </w:r>
      <w:r w:rsidRPr="00C0338D">
        <w:t xml:space="preserve"> and site-based invasive alien species management programmes in protected areas. For example, a study that reviewed the status and outcomes of control over a 30-year period in 24 nature reserves across savanna, arid environments, islands and Mediterranean type ecosystems </w:t>
      </w:r>
      <w:r w:rsidR="6F37074E" w:rsidRPr="00837161">
        <w:fldChar w:fldCharType="begin"/>
      </w:r>
      <w:r w:rsidR="000F35EB">
        <w:instrText xml:space="preserve"> ADDIN ZOTERO_ITEM CSL_CITATION {"citationID":"Xut2KQPs","properties":{"formattedCitation":"(Usher, 1988)","plainCitation":"(Usher, 1988)","noteIndex":0},"citationItems":[{"id":12554,"uris":["http://zotero.org/groups/2352922/items/HC85JSVX"],"itemData":{"id":12554,"type":"article-journal","container-title":"Biological Conservation","DOI":"10.1016/0006-3207(88)90007-9","ISSN":"00063207","issue":"1-2","journalAbbreviation":"Biological Conservation","language":"en","page":"119-135","source":"DOI.org (Crossref)","title":"Biological invasions of nature reserves: A search for generalisations","title-short":"Biological invasions of nature reserves","URL":"https://linkinghub.elsevier.com/retrieve/pii/0006320788900079","volume":"44","author":[{"family":"Usher","given":"Michael B."}],"accessed":{"date-parts":[["2019",10,23]]},"issued":{"date-parts":[["1988"]]}},"label":"page"}],"schema":"https://github.com/citation-style-language/schema/raw/master/csl-citation.json"} </w:instrText>
      </w:r>
      <w:r w:rsidR="6F37074E" w:rsidRPr="00837161">
        <w:fldChar w:fldCharType="separate"/>
      </w:r>
      <w:r w:rsidR="00271B78" w:rsidRPr="00271B78">
        <w:t>(Usher, 1988)</w:t>
      </w:r>
      <w:r w:rsidR="6F37074E" w:rsidRPr="00837161">
        <w:fldChar w:fldCharType="end"/>
      </w:r>
      <w:r w:rsidRPr="00C0338D">
        <w:t xml:space="preserve"> showed that invasive alien mammals were decreased by 43 per cent after 30 years, but invasive alien plants continued to pose the greatest threat, increasing in 31 per cent of the nature reserves studied </w:t>
      </w:r>
      <w:r w:rsidR="6F37074E" w:rsidRPr="00837161">
        <w:fldChar w:fldCharType="begin"/>
      </w:r>
      <w:r w:rsidR="000F35EB">
        <w:instrText xml:space="preserve"> ADDIN ZOTERO_ITEM CSL_CITATION {"citationID":"ugo2puyn","properties":{"formattedCitation":"(R. T. Shackleton, Foxcroft, et al., 2020)","plainCitation":"(R. T. Shackleton, Foxcroft, et al., 2020)","noteIndex":0},"citationItems":[{"id":22702,"uris":["http://zotero.org/groups/2352922/items/DN4LR6WA"],"itemData":{"id":22702,"type":"article-journal","abstract":"Invasive alien species pose a major threat to biodiversity and natural ecosystems globally and negatively affect conservation efforts in protected areas. They can negatively alter biodiversity and ecological regimes and are a financial burden. Because of their negative impacts, it is important to better understand the threat and management of invasive alien species in protected areas (PAs) globally, and to know how these factors have changed over time. We give an update and compare how the threat and management of invasive species has changed in 21 PAs that were analysed as part of the international SCOPE programme on biological invasions in the mid-1980s. Of all the taxa analysed, invasive plants pose the greatest continued threat, and their numbers have increased in 31% of the PAs. Conversely, mammal invasions now represent less of a threat due to effective management in many PAs; 43% of PAs show a decrease in listed invasive alien mammal taxa. Invasions of amphibians, reptiles, and fish have remained stable over the three decades; around half of the PAs show no change for these taxa. Managers of most PAs consider the threat of invasions to be increasing, despite many (55%) PAs having sustained long-term management programmes and 45% having implemented additional ad hoc approaches. We draw on lessons from this analysis to support the future management of biological invasions in conservation areas. In particular, better monitoring and collation of data is needed, followed by increased preventative measures and the promotion of biological control for widespread species.","container-title":"Biological Conservation","DOI":"10.1016/j.biocon.2020.108424","ISSN":"0006-3207","journalAbbreviation":"Biological Conservation","language":"en","page":"108424","source":"ScienceDirect","title":"Assessing biological invasions in protected areas after 30 years: Revisiting nature reserves targeted by the 1980s SCOPE programme","title-short":"Assessing biological invasions in protected areas after 30 years","URL":"http://www.sciencedirect.com/science/article/pii/S0006320719311279","volume":"243","author":[{"family":"Shackleton","given":"Ross T."},{"family":"Foxcroft","given":"Llewellyn C."},{"family":"Pyšek","given":"Petr"},{"family":"Wood","given":"Louisa E."},{"family":"Richardson","given":"David M."}],"accessed":{"date-parts":[["2020",6,9]]},"issued":{"date-parts":[["2020",3,1]]}},"label":"page"}],"schema":"https://github.com/citation-style-language/schema/raw/master/csl-citation.json"} </w:instrText>
      </w:r>
      <w:r w:rsidR="6F37074E" w:rsidRPr="00837161">
        <w:fldChar w:fldCharType="separate"/>
      </w:r>
      <w:r w:rsidR="00271B78" w:rsidRPr="00271B78">
        <w:t>(R. T. Shackleton, Foxcroft, et al., 2020)</w:t>
      </w:r>
      <w:r w:rsidR="6F37074E" w:rsidRPr="00837161">
        <w:fldChar w:fldCharType="end"/>
      </w:r>
      <w:r w:rsidR="6F37074E" w:rsidRPr="00837161">
        <w:t>.</w:t>
      </w:r>
      <w:r w:rsidRPr="00C0338D">
        <w:t xml:space="preserve"> </w:t>
      </w:r>
      <w:r w:rsidRPr="00C0338D">
        <w:rPr>
          <w:b/>
        </w:rPr>
        <w:t>Chapter 4</w:t>
      </w:r>
      <w:r w:rsidRPr="00C0338D">
        <w:t>,</w:t>
      </w:r>
      <w:r w:rsidRPr="00C0338D">
        <w:rPr>
          <w:b/>
        </w:rPr>
        <w:t xml:space="preserve"> sections 4.3.1.2</w:t>
      </w:r>
      <w:r w:rsidRPr="00C0338D">
        <w:rPr>
          <w:i/>
        </w:rPr>
        <w:t xml:space="preserve"> </w:t>
      </w:r>
      <w:r w:rsidRPr="00C0338D">
        <w:t>and</w:t>
      </w:r>
      <w:r w:rsidRPr="00C0338D">
        <w:rPr>
          <w:b/>
        </w:rPr>
        <w:t xml:space="preserve"> 4.4.1.2</w:t>
      </w:r>
      <w:r w:rsidRPr="00C0338D">
        <w:t xml:space="preserve"> discuss impacts in protected areas and </w:t>
      </w:r>
      <w:r w:rsidRPr="00C0338D">
        <w:rPr>
          <w:b/>
        </w:rPr>
        <w:t>Chapter 6</w:t>
      </w:r>
      <w:r w:rsidRPr="00C0338D">
        <w:t>,</w:t>
      </w:r>
      <w:r w:rsidRPr="00C0338D">
        <w:rPr>
          <w:b/>
        </w:rPr>
        <w:t xml:space="preserve"> section 6.3.1.4(5)</w:t>
      </w:r>
      <w:r w:rsidRPr="00C0338D">
        <w:t xml:space="preserve">, discusses the need to incorporate management of </w:t>
      </w:r>
      <w:r w:rsidR="2574C1CB">
        <w:t>biological invasions</w:t>
      </w:r>
      <w:r w:rsidRPr="00C0338D">
        <w:t xml:space="preserve"> into protected area management plans.</w:t>
      </w:r>
    </w:p>
    <w:p w14:paraId="7D83A69E" w14:textId="31AA8AEA" w:rsidR="001B0409" w:rsidRPr="00837161" w:rsidRDefault="6F37074E" w:rsidP="00C11DFA">
      <w:pPr>
        <w:spacing w:before="240" w:after="120" w:line="240" w:lineRule="auto"/>
      </w:pPr>
      <w:r w:rsidRPr="00837161">
        <w:t xml:space="preserve">National Parks are also often </w:t>
      </w:r>
      <w:r w:rsidR="00A57F85" w:rsidRPr="00837161">
        <w:t>reservoirs</w:t>
      </w:r>
      <w:r w:rsidRPr="00837161">
        <w:t xml:space="preserve"> </w:t>
      </w:r>
      <w:r w:rsidR="00567C88">
        <w:t>of</w:t>
      </w:r>
      <w:r w:rsidR="00567C88" w:rsidRPr="00837161">
        <w:t xml:space="preserve"> </w:t>
      </w:r>
      <w:r w:rsidRPr="00837161">
        <w:t>invasive alien vertebrates because of lack of resources to contr</w:t>
      </w:r>
      <w:r w:rsidR="65872FD3" w:rsidRPr="00837161">
        <w:t>ol them</w:t>
      </w:r>
      <w:r w:rsidR="000A0887" w:rsidRPr="00837161">
        <w:t>, which</w:t>
      </w:r>
      <w:r w:rsidR="65872FD3" w:rsidRPr="00837161">
        <w:t xml:space="preserve"> often raises concern </w:t>
      </w:r>
      <w:r w:rsidRPr="00837161">
        <w:t xml:space="preserve">for surrounding landowners. Mountain reserves have typically been considered resistant to invasions, however studies forecast </w:t>
      </w:r>
      <w:r w:rsidR="3E8303EA" w:rsidRPr="00837161">
        <w:t xml:space="preserve">an </w:t>
      </w:r>
      <w:r w:rsidRPr="00837161">
        <w:t>increas</w:t>
      </w:r>
      <w:r w:rsidR="30FF61DE" w:rsidRPr="00837161">
        <w:t xml:space="preserve">e </w:t>
      </w:r>
      <w:r w:rsidR="53F9B567" w:rsidRPr="00837161">
        <w:t>of</w:t>
      </w:r>
      <w:r w:rsidR="0B415E53" w:rsidRPr="00837161">
        <w:t xml:space="preserve"> </w:t>
      </w:r>
      <w:r w:rsidR="7F3E8438" w:rsidRPr="00837161">
        <w:t>invasions</w:t>
      </w:r>
      <w:r w:rsidRPr="00837161">
        <w:t xml:space="preserve"> due to climate warming and anthropogenic related activities, including the expansion of tourism </w:t>
      </w:r>
      <w:r w:rsidR="001B0409" w:rsidRPr="00837161">
        <w:fldChar w:fldCharType="begin"/>
      </w:r>
      <w:r w:rsidR="000F35EB">
        <w:instrText xml:space="preserve"> ADDIN ZOTERO_ITEM CSL_CITATION {"citationID":"OVKBzbfi","properties":{"formattedCitation":"(Kueffer et al., 2013)","plainCitation":"(Kueffer et al., 2013)","noteIndex":0},"citationItems":[{"id":31010,"uris":["http://zotero.org/groups/2352922/items/N55TVR8R"],"itemData":{"id":31010,"type":"chapter","abstract":"Mountains are of great significance for people and biodiversity. Although often considered to be at low risk from alien plants, recent studies suggest that mountain ecosystems are not inherently more resistant to invasion than other types of ecosystems. Future invasion risks are likely to increase greatly, in particular due to climate warming and increased human land use (e.g. intensification of human activities, human population growth, and expansion of tourism). However, these risks can be reduced by minimising anthropogenic disturbance in and around protected areas, and by preventing the introduction of potentially invasive alien plants into these areas, particularly at high elevations. Sharing information and experiences gained in different mountainous areas is important for devising effective management strategies. We review current knowledge about plant invasions into mountains, assembling evidence from all continents and across different climate zones, and describe experiences at local to global scales in preventing and managing plant invasions into mountain protected areas. Our findings and recommendations are also relevant for managing native species that expand to higher elevations.","collection-title":"Invading Nature - Springer Series in Invasion Ecology","container-title":"Plant Invasions in Protected Areas: Patterns, Problems and Challenges","event-place":"Dordrecht","ISBN":"978-94-007-7750-7","language":"en","note":"DOI: 10.1007/978-94-007-7750-7_6","page":"89-113","publisher":"Springer Netherlands","publisher-place":"Dordrecht","source":"Springer Link","title":"Plant Invasions into Mountain Protected Areas: Assessment, Prevention and Control at Multiple Spatial Scales","title-short":"Plant Invasions into Mountain Protected Areas","URL":"https://doi.org/10.1007/978-94-007-7750-7_6","volume":"7","author":[{"family":"Kueffer","given":"Christoph"},{"family":"McDougall","given":"Keith"},{"family":"Alexander","given":"Jake"},{"family":"Daehler","given":"Curt"},{"family":"Edwards","given":"Peter"},{"family":"Haider","given":"Sylvia"},{"family":"Milbau","given":"Ann"},{"family":"Parks","given":"Catherine"},{"family":"Pauchard","given":"Aníbal"},{"family":"Reshi","given":"Zafar A."},{"family":"Rew","given":"Lisa J."},{"family":"Schroder","given":"Mellesa"},{"family":"Seipel","given":"Tim"}],"editor":[{"family":"Foxcroft","given":"Llewellyn C."},{"family":"Pyšek","given":"Petr"},{"family":"Richardson","given":"David M."},{"family":"Genovesi","given":"Piero"}],"accessed":{"date-parts":[["2020",8,4]]},"issued":{"date-parts":[["2013"]]}},"label":"page"}],"schema":"https://github.com/citation-style-language/schema/raw/master/csl-citation.json"} </w:instrText>
      </w:r>
      <w:r w:rsidR="001B0409" w:rsidRPr="00837161">
        <w:fldChar w:fldCharType="separate"/>
      </w:r>
      <w:r w:rsidR="00271B78" w:rsidRPr="00271B78">
        <w:t>(Kueffer et al., 2013)</w:t>
      </w:r>
      <w:r w:rsidR="001B0409" w:rsidRPr="00837161">
        <w:fldChar w:fldCharType="end"/>
      </w:r>
      <w:r w:rsidRPr="00837161">
        <w:t xml:space="preserve">. Pathway, species- and site-based management approaches can be applied by </w:t>
      </w:r>
      <w:r w:rsidR="001B0409" w:rsidRPr="00837161">
        <w:t>minimi</w:t>
      </w:r>
      <w:r w:rsidR="000A0887" w:rsidRPr="00837161">
        <w:t>z</w:t>
      </w:r>
      <w:r w:rsidR="001B0409" w:rsidRPr="00837161">
        <w:t>ing</w:t>
      </w:r>
      <w:r w:rsidRPr="00837161">
        <w:t xml:space="preserve"> general access to wilderness areas, thereby reducing dispersal pathways (</w:t>
      </w:r>
      <w:r w:rsidR="00191A6E">
        <w:rPr>
          <w:b/>
          <w:bCs/>
        </w:rPr>
        <w:t>Box 5.6</w:t>
      </w:r>
      <w:r w:rsidRPr="00837161">
        <w:t xml:space="preserve">). Globally, most protected areas are reliant on income from tourism </w:t>
      </w:r>
      <w:r w:rsidR="001B0409" w:rsidRPr="00837161">
        <w:fldChar w:fldCharType="begin"/>
      </w:r>
      <w:r w:rsidR="000F35EB">
        <w:instrText xml:space="preserve"> ADDIN ZOTERO_ITEM CSL_CITATION {"citationID":"P4WbPh7x","properties":{"formattedCitation":"(Meyerson &amp; Reaser, 2002)","plainCitation":"(Meyerson &amp; Reaser, 2002)","noteIndex":0},"citationItems":[{"id":30199,"uris":["http://zotero.org/groups/2352922/items/C6YEVH8M"],"itemData":{"id":30199,"type":"article-journal","abstract":"The events of September 11 and subsequent anthrax assaults have made US policymakers and the public more aware of our vulnerability to organisms released with t","container-title":"BioScience","DOI":"10.1641/0006-3568(2002)052[0593:BMTACA]2.0.CO;2","ISSN":"0006-3568","issue":"7","journalAbbreviation":"BioScience","language":"en","note":"publisher: Oxford Academic","page":"593-600","source":"academic.oup.com","title":"Biosecurity: Moving toward a comprehensive approach: A comprehensive approach to biosecurity is necessary to minimize the risk of harm caused by non-native organisms to agriculture, the economy, the environment, and human health","title-short":"Biosecurity","URL":"https://academic.oup.com/bioscience/article/52/7/593/248011","volume":"52","author":[{"family":"Meyerson","given":"Laura A."},{"family":"Reaser","given":"Jamie K."}],"accessed":{"date-parts":[["2020",6,24]]},"issued":{"date-parts":[["2002",7,1]]}},"label":"page"}],"schema":"https://github.com/citation-style-language/schema/raw/master/csl-citation.json"} </w:instrText>
      </w:r>
      <w:r w:rsidR="001B0409" w:rsidRPr="00837161">
        <w:fldChar w:fldCharType="separate"/>
      </w:r>
      <w:r w:rsidR="00271B78" w:rsidRPr="00271B78">
        <w:t>(Meyerson &amp; Reaser, 2002)</w:t>
      </w:r>
      <w:r w:rsidR="001B0409" w:rsidRPr="00837161">
        <w:fldChar w:fldCharType="end"/>
      </w:r>
      <w:r w:rsidRPr="00837161">
        <w:t xml:space="preserve">, </w:t>
      </w:r>
      <w:r w:rsidR="00C0338D">
        <w:t xml:space="preserve">a driver that promotes biological invasions </w:t>
      </w:r>
      <w:r w:rsidR="002502C4" w:rsidRPr="00837161">
        <w:t>(</w:t>
      </w:r>
      <w:r w:rsidR="008413A4">
        <w:rPr>
          <w:b/>
          <w:iCs/>
        </w:rPr>
        <w:t>C</w:t>
      </w:r>
      <w:r w:rsidR="58F3F7DC" w:rsidRPr="008413A4">
        <w:rPr>
          <w:b/>
          <w:iCs/>
        </w:rPr>
        <w:t>hapter</w:t>
      </w:r>
      <w:r w:rsidRPr="008413A4">
        <w:rPr>
          <w:b/>
          <w:iCs/>
        </w:rPr>
        <w:t xml:space="preserve"> 3</w:t>
      </w:r>
      <w:r w:rsidR="00930EDF" w:rsidRPr="008413A4">
        <w:rPr>
          <w:iCs/>
        </w:rPr>
        <w:t>,</w:t>
      </w:r>
      <w:r w:rsidR="00930EDF" w:rsidRPr="008413A4">
        <w:rPr>
          <w:b/>
          <w:iCs/>
        </w:rPr>
        <w:t xml:space="preserve"> section </w:t>
      </w:r>
      <w:r w:rsidR="001B0409" w:rsidRPr="008413A4">
        <w:rPr>
          <w:b/>
          <w:iCs/>
        </w:rPr>
        <w:t>3</w:t>
      </w:r>
      <w:r w:rsidR="561BA00C" w:rsidRPr="008413A4">
        <w:rPr>
          <w:b/>
          <w:iCs/>
        </w:rPr>
        <w:t>.2.3.</w:t>
      </w:r>
      <w:r w:rsidR="00533020" w:rsidRPr="008413A4">
        <w:rPr>
          <w:b/>
          <w:iCs/>
        </w:rPr>
        <w:t>4</w:t>
      </w:r>
      <w:r w:rsidRPr="00837161">
        <w:t xml:space="preserve">), to achieve their mandate and resource the management of </w:t>
      </w:r>
      <w:r w:rsidR="00C0338D">
        <w:t xml:space="preserve">biological invasions </w:t>
      </w:r>
      <w:r w:rsidRPr="00837161">
        <w:t>and rei</w:t>
      </w:r>
      <w:r w:rsidR="1BFDCF86" w:rsidRPr="00837161">
        <w:t xml:space="preserve">ntroduction of native species </w:t>
      </w:r>
      <w:r w:rsidR="002502C4" w:rsidRPr="00837161">
        <w:t>(</w:t>
      </w:r>
      <w:r w:rsidR="58F3F7DC" w:rsidRPr="008413A4">
        <w:rPr>
          <w:b/>
        </w:rPr>
        <w:t>section</w:t>
      </w:r>
      <w:r w:rsidRPr="008413A4">
        <w:rPr>
          <w:b/>
        </w:rPr>
        <w:t xml:space="preserve"> 5</w:t>
      </w:r>
      <w:r w:rsidR="00EB190C">
        <w:rPr>
          <w:b/>
        </w:rPr>
        <w:t>.5.3</w:t>
      </w:r>
      <w:r w:rsidRPr="00837161">
        <w:t xml:space="preserve">). Pathway management may </w:t>
      </w:r>
      <w:r w:rsidR="008A2C22" w:rsidRPr="00837161">
        <w:t xml:space="preserve">therefore </w:t>
      </w:r>
      <w:r w:rsidRPr="00837161">
        <w:t xml:space="preserve">have to </w:t>
      </w:r>
      <w:r w:rsidR="000A21F9">
        <w:t>account for</w:t>
      </w:r>
      <w:r w:rsidR="000A21F9" w:rsidRPr="00837161">
        <w:t xml:space="preserve"> </w:t>
      </w:r>
      <w:r w:rsidRPr="00837161">
        <w:t xml:space="preserve">vehicles and yachts </w:t>
      </w:r>
      <w:r w:rsidR="001B0409" w:rsidRPr="00837161">
        <w:fldChar w:fldCharType="begin"/>
      </w:r>
      <w:r w:rsidR="000F35EB">
        <w:instrText xml:space="preserve"> ADDIN ZOTERO_ITEM CSL_CITATION {"citationID":"rT0h4h9w","properties":{"formattedCitation":"(L. G. Anderson et al., 2015)","plainCitation":"(L. G. Anderson et al., 2015)","noteIndex":0},"citationItems":[{"id":9824,"uris":["http://zotero.org/groups/2352922/items/T24ULC9R"],"itemData":{"id":9824,"type":"article-journal","container-title":"PLoS ONE","DOI":"10.1371/journal.pone.0140833","ISSN":"1932-6203","issue":"10","journalAbbreviation":"PLoS ONE","language":"en","note":"container-title: PLOS ONE","page":"e0140833","source":"DOI.org (Crossref)","title":"The Role of Tourism and Recreation in the Spread of Non-Native Species: A Systematic Review and Meta-Analysis","title-short":"The Role of Tourism and Recreation in the Spread of Non-Native Species","URL":"https://journals.plos.org/plosone/article/file?id=10.1371/journal.pone.0140833&amp;type=printable","volume":"10","author":[{"family":"Anderson","given":"L. G."},{"family":"Rocliffe","given":"Steve"},{"family":"Haddaway","given":"Neal R."},{"family":"Dunn","given":"Alison M."}],"editor":[{"family":"Britton","given":"Robert"}],"accessed":{"date-parts":[["2019",12,5]]},"issued":{"date-parts":[["2015",10,20]]}},"label":"page"}],"schema":"https://github.com/citation-style-language/schema/raw/master/csl-citation.json"} </w:instrText>
      </w:r>
      <w:r w:rsidR="001B0409" w:rsidRPr="00837161">
        <w:fldChar w:fldCharType="separate"/>
      </w:r>
      <w:r w:rsidR="00271B78" w:rsidRPr="00271B78">
        <w:t>(L. G. Anderson et al., 2015)</w:t>
      </w:r>
      <w:r w:rsidR="001B0409" w:rsidRPr="00837161">
        <w:fldChar w:fldCharType="end"/>
      </w:r>
      <w:r w:rsidRPr="00837161">
        <w:t xml:space="preserve">, horses </w:t>
      </w:r>
      <w:r w:rsidR="001B0409" w:rsidRPr="00837161">
        <w:fldChar w:fldCharType="begin"/>
      </w:r>
      <w:r w:rsidR="000F35EB">
        <w:instrText xml:space="preserve"> ADDIN ZOTERO_ITEM CSL_CITATION {"citationID":"Twx1zVq3","properties":{"formattedCitation":"(Pickering &amp; Mount, 2010)","plainCitation":"(Pickering &amp; Mount, 2010)","noteIndex":0},"citationItems":[{"id":15263,"uris":["http://zotero.org/groups/2352922/items/V6D26HYN"],"itemData":{"id":15263,"type":"article-journal","abstract":"Human-mediated seed dispersal is recognised as an important, but under-researched, issue. To assess the potential for tourists to act as unintentional seed dispersal agents, we reviewed published and unpublished data on seed dispersal via clothing, vehicles (cars) and in/on horses and donkeys, all of which can be used by tourists. Seeds from 754 species of terrestrial plants have been collected from these vectors, 15% of which are internationally recognised environmental weeds. Seeds were collected from personal clothing and equipment (228 species), the fur of donkeys and horses (42 species), horse dung (216 species) and vehicles (505 species). Most were herbs (429 species) or graminoids (237 species) and native to Europe. Annual Poa, White Clover, Kentucky Bluegrass and Yorkshire Fog were the most frequent species. There have been eight studies specifically on tourists, which identified 12 species on clothing, 26 on vehicles and 133 from horse dung. Methods that minimise the risk of tourists as human-mediated dispersal agents may therefore be appropriate for some tourism activities/destinations: suggestions are made. Further sampling using standardised experimental techniques is required to assess the relative risk associated with specific tourist activities and locations and determine which, and how much, seed is transported.","container-title":"Journal of Sustainable Tourism","DOI":"10.1080/09669580903406613","ISSN":"0966-9582","issue":"2","note":"WOS:000277591100006","page":"239-256","title":"Do tourists disperse weed seed? A global review of unintentional human-mediated terrestrial seed dispersal on clothing, vehicles and horses","volume":"18","author":[{"family":"Pickering","given":"Catherine"},{"family":"Mount","given":"Ann"}],"issued":{"date-parts":[["2010"]]}},"label":"page"}],"schema":"https://github.com/citation-style-language/schema/raw/master/csl-citation.json"} </w:instrText>
      </w:r>
      <w:r w:rsidR="001B0409" w:rsidRPr="00837161">
        <w:fldChar w:fldCharType="separate"/>
      </w:r>
      <w:r w:rsidR="00271B78" w:rsidRPr="00271B78">
        <w:t>(Pickering &amp; Mount, 2010)</w:t>
      </w:r>
      <w:r w:rsidR="001B0409" w:rsidRPr="00837161">
        <w:fldChar w:fldCharType="end"/>
      </w:r>
      <w:r w:rsidRPr="00837161">
        <w:t xml:space="preserve">, trail running </w:t>
      </w:r>
      <w:r w:rsidR="001B0409" w:rsidRPr="00837161">
        <w:fldChar w:fldCharType="begin"/>
      </w:r>
      <w:r w:rsidR="000F35EB">
        <w:instrText xml:space="preserve"> ADDIN ZOTERO_ITEM CSL_CITATION {"citationID":"PTUAgyQR","properties":{"formattedCitation":"(K. Smith &amp; Kraaij, 2020)","plainCitation":"(K. Smith &amp; Kraaij, 2020)","noteIndex":0},"citationItems":[{"id":23656,"uris":["http://zotero.org/groups/2352922/items/PEGDG5E6"],"itemData":{"id":23656,"type":"article-journal","abstract":"Sporting events are becoming more prevalent within protected areas. To investigate the potential for trail runners to facilitate alien plant introductions into a protected area, we identified plants germinating from material from shoes obtained from 682 trail runners prior to four races in a South African national park. Runners’ perceptions of their potential role in spreading plant seeds were assessed. We identified 33 species (152 plants) from 9 families; 45% of species and 82% of plants were alien and 97% of the species are weeds elsewhere. Each race contributed, on average, 11 species of which 6 were alien. Poaceae, Asteraceae and Caryophyllaceae were the most speciose families, and Poa annua the most abundant species. All species were herbaceous, mostly with small, persistent seeds and unspecialized dispersal syndromes – traits facilitating dispersal and persistence. Eighty percent of participants agreed that trail runners could potentially transport seeds although &lt;50% cleaned their shoes frequently.\nManagement implications\nOur findings confirmed that trail runners can act as vectors for seed dispersal and that sporting events in protected areas can increase the potential for alien plant introductions. Biosecurity measures and awareness raising initiatives need to be implemented by protected area authorities in collaboration with sporting event organizers.","container-title":"Journal of Outdoor Recreation and Tourism","DOI":"10.1016/j.jort.2020.100315","ISSN":"2213-0780","journalAbbreviation":"Journal of Outdoor Recreation and Tourism","language":"en","page":"100315","source":"ScienceDirect","title":"Research note: Trail runners as agents of alien plant introduction into protected areas","title-short":"Research note","URL":"http://www.sciencedirect.com/science/article/pii/S2213078020300396","volume":"31","author":[{"family":"Smith","given":"Kyle"},{"family":"Kraaij","given":"Tineke"}],"accessed":{"date-parts":[["2020",8,13]]},"issued":{"date-parts":[["2020",9,1]]}},"label":"page"}],"schema":"https://github.com/citation-style-language/schema/raw/master/csl-citation.json"} </w:instrText>
      </w:r>
      <w:r w:rsidR="001B0409" w:rsidRPr="00837161">
        <w:fldChar w:fldCharType="separate"/>
      </w:r>
      <w:r w:rsidR="00271B78" w:rsidRPr="00271B78">
        <w:t>(K. Smith &amp; Kraaij, 2020)</w:t>
      </w:r>
      <w:r w:rsidR="001B0409" w:rsidRPr="00837161">
        <w:fldChar w:fldCharType="end"/>
      </w:r>
      <w:r w:rsidRPr="00837161">
        <w:t xml:space="preserve"> and tourist associated infrastructure such as in Masai-Mara National Reserve, Kenya </w:t>
      </w:r>
      <w:r w:rsidR="001B0409" w:rsidRPr="00837161">
        <w:fldChar w:fldCharType="begin"/>
      </w:r>
      <w:r w:rsidR="000F35EB">
        <w:instrText xml:space="preserve"> ADDIN ZOTERO_ITEM CSL_CITATION {"citationID":"MzBIBAjq","properties":{"formattedCitation":"(Witt et al., 2017)","plainCitation":"(Witt et al., 2017)","noteIndex":0},"citationItems":[{"id":29245,"uris":["http://zotero.org/groups/2352922/items/GKC5ICVF"],"itemData":{"id":29245,"type":"article-journal","abstract":"This article provides a preliminary list of alien plant species in the Serengeti-Mara ecosystem in East Africa. The list is based on broad-scale roadside surveys in the area and is supplemented by more detailed surveys of tourist facilities in the Masai-Mara National Reserve and adjoining conservancies. We encountered 245 alien plant species; significantly more than previous studies, of which 62 (25%) were considered to have established self-perpetuating populations in areas away from human habitation. These included species which had either been intentionally or accidentally introduced. Of the 245 alien plants, 212 (including four species considered to be native to the region) were intentionally introduced into gardens in the National Reserve and 51 (24%) had established naturalised populations within the boundaries of these tourism facilities. Of the 51 naturalised species, 23 (11% of the 212 alien species) were recorded as being invasive within the ecosystem, outside of lodges and away from other human habitation. Currently, the Serengeti-Mara ecosystem is relatively free of widespread and abundant invasive alien plants, with a few exceptions, but there are extensive populations outside of the ecosystem, particularly to the west, from where they could spread. We address the potential impacts of six species that we consider to pose the highest risks ( Parthenium hysterophorus, Opuntia stricta, Tithonia diversifolia, Lantana camara, Chromolaena odorata  and  Prosopis juliflora ). Although invasive alien plants pose substantial threats to the integrity of the ecosystem, this has not yet been widely recognised. We predict that in the absence of efforts to contain, or reverse the spread of invasive alien plants, the condition of rangelands will deteriorate, with severe negative impacts on migrating large mammals, especially wildebeest, zebra and gazelles. This will, in turn, have a substantial negative impact on tourism, which is a major economic activity in the area.   Conservation implications:  Invasive alien plants pose significant threats to the integrity of the Serengeti-Mara ecosystem and steps will need to be taken to prevent these impacts. The most important of these would be the removal of alien species from tourist facilities, especially those which are known to be naturalised or invasive, the introduction of control programmes aimed at eliminating outlier invasive plant populations to slow down the spread, and the widespread use of biological control wherever possible.","container-title":"Koedoe","DOI":"10.4102/koedoe.v59i1.1426","ISSN":"2071-0771","issue":"1","language":"en","license":"Copyright (c) 2017 Arne B.R. Witt, Sospeter Kiambi, Tim Beale, Brian W. Van Wilgen","page":"a1426","source":"koedoe.co.za","title":"A preliminary assessment of the extent and potential impacts of alien plant invasions in the Serengeti-Mara ecosystem, East Africa","URL":"https://koedoe.co.za/index.php/koedoe/article/view/1426","volume":"59","author":[{"family":"Witt","given":"Arne B. R."},{"family":"Kiambi","given":"Sospeter"},{"family":"Beale","given":"Tim"},{"family":"Van Wilgen","given":"Brian W."}],"accessed":{"date-parts":[["2021",7,15]]},"issued":{"date-parts":[["2017",5,22]]}},"label":"page"}],"schema":"https://github.com/citation-style-language/schema/raw/master/csl-citation.json"} </w:instrText>
      </w:r>
      <w:r w:rsidR="001B0409" w:rsidRPr="00837161">
        <w:fldChar w:fldCharType="separate"/>
      </w:r>
      <w:r w:rsidR="00271B78" w:rsidRPr="00271B78">
        <w:t>(Witt et al., 2017)</w:t>
      </w:r>
      <w:r w:rsidR="001B0409" w:rsidRPr="00837161">
        <w:fldChar w:fldCharType="end"/>
      </w:r>
      <w:r w:rsidRPr="00837161">
        <w:t xml:space="preserve"> and Kruger National Park, South Africa </w:t>
      </w:r>
      <w:r w:rsidR="001B0409" w:rsidRPr="00837161">
        <w:fldChar w:fldCharType="begin"/>
      </w:r>
      <w:r w:rsidR="000F35EB">
        <w:instrText xml:space="preserve"> ADDIN ZOTERO_ITEM CSL_CITATION {"citationID":"d15NR8qi","properties":{"formattedCitation":"(Foxcroft et al., 2019)","plainCitation":"(Foxcroft et al., 2019)","noteIndex":0},"citationItems":[{"id":16959,"uris":["http://zotero.org/groups/2352922/items/WWWI6545"],"itemData":{"id":16959,"type":"article-journal","abstract":"Protected areas face mounting pressures, including invasion by alien plant species. Scientifically sound information is required to advise invasive species management strategies, where early detection and rapid response is particularly important. One approach to this is to determine: (i) the relative importance of pathways of invasion by which a species is introduced, (ii) the range of likely impacts associated with each species, and (iii) the relationship between pathways and impacts, to assess the relative threats posed by different pathways of alien species introductions. This assessment was performed on 139 alien plants that are invasive across the South African National Parks (19 national parks, covering ~39,000 km\n              2\n              ), and based on available literature and expert opinion, known to have negative ecological impacts. For each species the likelihood of being introduced by each of eight pathways, and of having negative impacts in each of 13 identified impact categories, was assessed. The similarity of impact and pathway types between species was assessed using the Jaccard index and cladograms. Differences in the prevalence of impacts and pathways and relationships between these were assessed using a Chi-squared contingency and Generalised Linear Model. Nearly 80% of the species are ornamental plants and about 60% are also dispersed by rivers, highlighting the importance of managing ornamental species and surveillance along rivers in preventing future invasions. As to the impacts, ~95% of the species compete directly with native species and 70% change the physical structure of the environment. The majority of species exert multiple impacts, with 70% of species assessed having five or more impacts. There was a significant positive relationship between the number of pathways via which a species can be introduced into an area and the number of potential impacts they can have. This suggests that species using multiple pathways reach a wider range of suitable habitats, increasing the potential for different kinds of impacts over a wider area.","container-title":"NeoBiota","DOI":"10.3897/neobiota.43.29644","ISSN":"1314-2488, 1619-0033","journalAbbreviation":"NB","page":"1-25","source":"DOI.org (Crossref)","title":"Assessing the association between pathways of alien plant invaders and their impacts in protected areas","URL":"https://neobiota.pensoft.net/article/29644/","volume":"43","author":[{"family":"Foxcroft","given":"Llewellyn C."},{"family":"Spear","given":"Dian"},{"family":"Wilgen","given":"Nicola J.","non-dropping-particle":"van"},{"family":"McGeoch","given":"Melodie A."}],"accessed":{"date-parts":[["2019",10,3]]},"issued":{"date-parts":[["2019",3,5]]}},"label":"page"}],"schema":"https://github.com/citation-style-language/schema/raw/master/csl-citation.json"} </w:instrText>
      </w:r>
      <w:r w:rsidR="001B0409" w:rsidRPr="00837161">
        <w:fldChar w:fldCharType="separate"/>
      </w:r>
      <w:r w:rsidR="00271B78" w:rsidRPr="00271B78">
        <w:t>(Foxcroft et al., 2019)</w:t>
      </w:r>
      <w:r w:rsidR="001B0409" w:rsidRPr="00837161">
        <w:fldChar w:fldCharType="end"/>
      </w:r>
      <w:r w:rsidRPr="00837161">
        <w:t xml:space="preserve">. Surveillance can be directed to areas of heightened concern, such as along roadsides </w:t>
      </w:r>
      <w:r w:rsidR="001B0409" w:rsidRPr="00837161">
        <w:fldChar w:fldCharType="begin"/>
      </w:r>
      <w:r w:rsidR="000F35EB">
        <w:instrText xml:space="preserve"> ADDIN ZOTERO_ITEM CSL_CITATION {"citationID":"ZX71t8XW","properties":{"formattedCitation":"(Pauchard &amp; Alaback, 2004)","plainCitation":"(Pauchard &amp; Alaback, 2004)","noteIndex":0},"citationItems":[{"id":29162,"uris":["http://zotero.org/groups/2352922/items/VXB8Q4HK"],"itemData":{"id":29162,"type":"article-journal","abstract":"Abstract: Alien plant species are a growing concern in protected areas, yet little information is available on the role of roads as corridors for alien species and the effects of elevation, land use, and landscape context in these invasions. These concerns are of particular interest in temperate zones of South America, where protected areas have high concentrations of endemic species. We studied roadside alien plant communities and forest-road edges in Villarrica and Huerquehue national parks in the Andean portion of south-central Chile. We sampled alien species and their abundance along 21 km of roads inside parks and 22 km outside parks, using 500-m roadside transects. We also sampled plant species and recorded their abundance in 15 transects located perpendicular to forest-road edges in four forest types. Of the 66 alien species encountered along roadsides, 61 were present outside parks and 39 inside parks. Elevation and alien species richness along roadsides were significantly and negatively correlated (R2=−0.56, p &lt; 0.001). Elevation, land use, and their interaction explained 74% of the variation in alien species richness along roadsides (p &lt; 0.001). Transects located in pasture or disturbed secondary forests had significantly more alien species. We found no significant edge effect on native and alien species richness in any forest type. Few alien species have percolated into forest interiors. Native and alien diversity in edge plots were not related. Almost half the alien species belonged to three families and 85% were native to Eurasia. Our results suggest that alien species are moving into parks along road corridors and that elevation and land use of the matrix influence these invasion processes. Our findings corroborate the importance of early detection and control of invasive species in protected areas and highlight the importance of considering surrounding matrix land use in developing conservation strategies for reserves.","container-title":"Conservation Biology","DOI":"10.1111/j.1523-1739.2004.00300.x","ISSN":"1523-1739","issue":"1","language":"en","note":"_eprint: https://onlinelibrary.wiley.com/doi/pdf/10.1111/j.1523-1739.2004.00300.x","page":"238-248","source":"Wiley </w:instrText>
      </w:r>
      <w:r w:rsidR="000F35EB">
        <w:rPr>
          <w:rFonts w:hint="eastAsia"/>
        </w:rPr>
        <w:instrText>Online Library","title":"Influence of elevation, land use, and landscape context on patterns of alien plant invasions along roadsides in protected areas of South</w:instrText>
      </w:r>
      <w:r w:rsidR="000F35EB">
        <w:rPr>
          <w:rFonts w:hint="eastAsia"/>
        </w:rPr>
        <w:instrText>‐</w:instrText>
      </w:r>
      <w:r w:rsidR="000F35EB">
        <w:rPr>
          <w:rFonts w:hint="eastAsia"/>
        </w:rPr>
        <w:instrText>Central Chile","URL":"http://conbio.onlinelibrary.wiley.com/doi/abs/10.1111/j.1523-1739.2004.</w:instrText>
      </w:r>
      <w:r w:rsidR="000F35EB">
        <w:instrText xml:space="preserve">00300.x","volume":"18","author":[{"family":"Pauchard","given":"Aníbal"},{"family":"Alaback","given":"Paul B."}],"accessed":{"date-parts":[["2020",4,23]]},"issued":{"date-parts":[["2004"]]}},"label":"page"}],"schema":"https://github.com/citation-style-language/schema/raw/master/csl-citation.json"} </w:instrText>
      </w:r>
      <w:r w:rsidR="001B0409" w:rsidRPr="00837161">
        <w:fldChar w:fldCharType="separate"/>
      </w:r>
      <w:r w:rsidR="00271B78" w:rsidRPr="00271B78">
        <w:t>(Pauchard &amp; Alaback, 2004)</w:t>
      </w:r>
      <w:r w:rsidR="001B0409" w:rsidRPr="00837161">
        <w:fldChar w:fldCharType="end"/>
      </w:r>
      <w:r w:rsidRPr="00837161">
        <w:t>, in developed areas (including staff and tourist facilities) and disturbed areas.</w:t>
      </w:r>
      <w:r w:rsidR="11B342F6" w:rsidRPr="00837161">
        <w:t xml:space="preserve"> In the E</w:t>
      </w:r>
      <w:r w:rsidR="5E5EC55A" w:rsidRPr="00837161">
        <w:t xml:space="preserve">uropean </w:t>
      </w:r>
      <w:r w:rsidR="11B342F6" w:rsidRPr="00837161">
        <w:t>U</w:t>
      </w:r>
      <w:r w:rsidR="5E5EC55A" w:rsidRPr="00837161">
        <w:t>nion, t</w:t>
      </w:r>
      <w:r w:rsidR="7D5FA181" w:rsidRPr="00837161">
        <w:t xml:space="preserve">he Emerald Network of Areas of Special Conservation Interest formed under Natura 2000 </w:t>
      </w:r>
      <w:r w:rsidR="2740C4B5" w:rsidRPr="00837161">
        <w:t xml:space="preserve">aims to </w:t>
      </w:r>
      <w:r w:rsidR="7F2097AE" w:rsidRPr="00837161">
        <w:t xml:space="preserve">integrate these approaches </w:t>
      </w:r>
      <w:r w:rsidR="2740C4B5" w:rsidRPr="00837161">
        <w:t xml:space="preserve">for </w:t>
      </w:r>
      <w:r w:rsidR="00C0338D">
        <w:t xml:space="preserve">management of biological invasions </w:t>
      </w:r>
      <w:r w:rsidR="10F34B03" w:rsidRPr="00837161">
        <w:t xml:space="preserve">across </w:t>
      </w:r>
      <w:r w:rsidR="2740C4B5" w:rsidRPr="00837161">
        <w:t xml:space="preserve">European designated protected areas </w:t>
      </w:r>
      <w:r w:rsidR="008B5D95" w:rsidRPr="00837161">
        <w:fldChar w:fldCharType="begin"/>
      </w:r>
      <w:r w:rsidR="000F35EB">
        <w:instrText xml:space="preserve"> ADDIN ZOTERO_ITEM CSL_CITATION {"citationID":"H04X95Di","properties":{"formattedCitation":"(Bartula et al., 2011; Kati et al., 2015)","plainCitation":"(Bartula et al., 2011; Kati et al., 2015)","dontUpdate":true,"noteIndex":0},"citationItems":[{"id":32516,"uris":["http://zotero.org/groups/2352922/items/D24FXN8K"],"itemData":{"id":32516,"type":"article-journal","abstract":"The conservation of biodiversity in Europe is defined by Directive 92/43/EEC — commonly known as the Habitats Directive — relating to the conservation of natural habitats and of wild flora and fauna. This Directive established the creation of an ecological network of European protected areas — the Natura 2000 network — and also recognizes the need to manage these areas to maintain their “favorable conservation status.” This paper proposes adapted criteria to use to assess conservation status of habitat types at the site level. The current conservation status of habitats was assessed by using the following criteria: (1) distribution area of habitats at site, (2) degree of conservation of the structure, (3) prospects for the future, and (4) restoration possibility. This methodology was applied in a Special Nature Reserve, “Zasavica,” located by the Sava River in Serbia, and is intended to serve as a useful tool for a management planning process, because it can provide an assessment of the conservation status of each of the habitat types for which a site was designated. This will provide a scientific basis on which to establish recommendations for setting the management objectives and for the practical management of a designated site.","container-title":"Natural Areas Journal","DOI":"10.3375/043.031.0405","ISSN":"0885-8608, 2162-4399","issue":"4","journalAbbreviation":"naar","note":"publisher: Natural Areas Association","page":"349-357","source":"bioone.org","title":"Protection of Natura 2000 Habitat Types in the Ramsar Site “Zasavica Special Nature Reserve” in Serbia","URL":"https://bioone.org/journals/natural-areas-journal/volume-31/issue-4/043.031.0405/Protection-of-Natura-2000-Habitat-Types-in-the-Ramsar-Site/10.3375/043.031.0405.full","volume":"31","author":[{"family":"Bartula","given":"Mirjana"},{"family":"Stojšić","given":"Vida"},{"family":"Perić","given":"Ranko"},{"family":"Kitnæs","given":"Karina Seeberg"}],"accessed":{"date-parts":[["2021",11,22]]},"issued":{"date-parts":[["2011",10]]}},"label":"page"},{"id":31023,"uris":["http://zotero.org/groups/2352922/items/LQEUFELW"],"itemData":{"id":31023,"type":"article-journal","abstract":"Established under the European Union (EU) Birds and Habitats Directives, Natura 2000 is one of the largest international networks of protected areas. With the spatial designation of sites by the EU member states almost finalized, the biggest challenge still lying ahead is the appropriate management of the sites. To evaluate the cross-scale functioning of Natura 2000 implementation, we analyzed 242 questionnaires completed by conservation scientists involved in the implementation of Natura 2000 in 24 EU member states. Respondents identified 7 key drivers of the quality of Natura 2000 implementation. Ordered in decreasing evaluation score, these drivers included: network design, use of external resources, legal frame, scientific input, procedural frame, social input, and national or local policy. Overall, conservation scientists were moderately satisfied with the implementation of Natura 2000. Tree modeling revealed that poor application of results of environmental impact assessments (EIA) was considered a major constraint. The main strengths of the network included the substantial increase of scientific knowledge of the sites, the contribution of nongovernmental organizations, the adequate network design in terms of area and representativeness, and the adequacy of the EU legal frame. The main weaknesses of Natura 2000 were the lack of political will from local and national governments toward effective implementation; the negative attitude of local stakeholders; the lack of background knowledge of local stakeholders, which prevented well-informed policy decisions; and the understaffing of Natura 2000 management authorities. Top suggestions to improve Natura 2000 implementation were increase public awareness, provide environmental education to local communities, involve high-quality conservation experts, strengthen quality control of EIA studies, and establish a specific Natura 2000 fund. El Reto de Implementar la Red Europea de Áreas Protegidas Natura 2000","container-title":"Conservation Biology","DOI":"10.1111/cobi.12366","ISSN":"1523-1739","issue":"1","language":"es","note":"_eprint: https://onlinelibrary.wiley.com/doi/pdf/10.1111/cobi.12366","page":"260-270","source":"Wiley Online Library","title":"The challenge of implementing the European network of protected areas Natura 2000","URL":"https://onlinelibrary.wiley.com/doi/abs/10.1111/cobi.12366","volume":"29","author":[{"family":"Kati","given":"Vassiliki"},{"family":"Hovardas","given":"Tasos"},{"family":"Dieterich","given":"Martin"},{"family":"Ibisch","given":"Pierre L."},{"family":"Mihok","given":"Barbara"},{"family":"Selva","given":"Nuria"}],"accessed":{"date-parts":[["2021",11,1]]},"issued":{"date-parts":[["2015"]]}},"label":"page"}],"schema":"https://github.com/citation-style-language/schema/raw/master/csl-citation.json"} </w:instrText>
      </w:r>
      <w:r w:rsidR="008B5D95" w:rsidRPr="00837161">
        <w:fldChar w:fldCharType="separate"/>
      </w:r>
      <w:r w:rsidR="0095171E" w:rsidRPr="00837161">
        <w:t>(Bartula et al., 2011; Kati et al., 2015</w:t>
      </w:r>
      <w:r w:rsidR="008B5D95" w:rsidRPr="00837161">
        <w:fldChar w:fldCharType="end"/>
      </w:r>
      <w:r w:rsidR="0095171E" w:rsidRPr="00837161">
        <w:t xml:space="preserve">; </w:t>
      </w:r>
      <w:r w:rsidR="008413A4">
        <w:rPr>
          <w:b/>
          <w:iCs/>
        </w:rPr>
        <w:t>C</w:t>
      </w:r>
      <w:r w:rsidR="0095171E" w:rsidRPr="008413A4">
        <w:rPr>
          <w:b/>
          <w:iCs/>
        </w:rPr>
        <w:t>hapter 6</w:t>
      </w:r>
      <w:r w:rsidR="0095171E" w:rsidRPr="008413A4">
        <w:rPr>
          <w:iCs/>
        </w:rPr>
        <w:t>,</w:t>
      </w:r>
      <w:r w:rsidR="0095171E" w:rsidRPr="008413A4">
        <w:rPr>
          <w:b/>
          <w:iCs/>
        </w:rPr>
        <w:t xml:space="preserve"> Box 6.</w:t>
      </w:r>
      <w:r w:rsidR="00442DD9" w:rsidRPr="008413A4">
        <w:rPr>
          <w:b/>
          <w:iCs/>
        </w:rPr>
        <w:t>8</w:t>
      </w:r>
      <w:r w:rsidR="0095171E" w:rsidRPr="00837161">
        <w:t>)</w:t>
      </w:r>
      <w:r w:rsidR="7D3928FA" w:rsidRPr="00837161">
        <w:t>.</w:t>
      </w:r>
    </w:p>
    <w:p w14:paraId="000001F2" w14:textId="02F117EF" w:rsidR="00A758FD" w:rsidRPr="00C0338D" w:rsidRDefault="00C81287">
      <w:pPr>
        <w:spacing w:before="240" w:after="120" w:line="240" w:lineRule="auto"/>
        <w:rPr>
          <w:strike/>
        </w:rPr>
      </w:pPr>
      <w:bookmarkStart w:id="233" w:name="_heading=h.2iq8gzs" w:colFirst="0" w:colLast="0"/>
      <w:bookmarkEnd w:id="233"/>
      <w:r w:rsidRPr="00C0338D">
        <w:t xml:space="preserve">The Global Wetland Outlook </w:t>
      </w:r>
      <w:r w:rsidR="6F37074E" w:rsidRPr="00837161">
        <w:fldChar w:fldCharType="begin"/>
      </w:r>
      <w:r w:rsidR="000F35EB">
        <w:instrText xml:space="preserve"> ADDIN ZOTERO_ITEM CSL_CITATION {"citationID":"OSX16tT7","properties":{"formattedCitation":"(Ramsar Convention on Wetlands, 2018)","plainCitation":"(Ramsar Convention on Wetlands, 2018)","noteIndex":0},"citationItems":[{"id":29542,"uris":["http://zotero.org/groups/2352922/items/RPFAPU6P"],"itemData":{"id":29542,"type":"book","event-place":"Gland, Switzerland","number-of-pages":"88","publisher":"Ramsar Convention Secretariat.","publisher-place":"Gland, Switzerland","title":"Global Wetland Outlook: State of the World’s Wetlands and their Services to People.","author":[{"literal":"Ramsar Convention on Wetlands"}],"issued":{"date-parts":[["2018"]]}},"label":"page"}],"schema":"https://github.com/citation-style-language/schema/raw/master/csl-citation.json"} </w:instrText>
      </w:r>
      <w:r w:rsidR="6F37074E" w:rsidRPr="00837161">
        <w:fldChar w:fldCharType="separate"/>
      </w:r>
      <w:r w:rsidR="00271B78" w:rsidRPr="00271B78">
        <w:t>(Ramsar Convention on Wetlands, 2018)</w:t>
      </w:r>
      <w:r w:rsidR="6F37074E" w:rsidRPr="00837161">
        <w:fldChar w:fldCharType="end"/>
      </w:r>
      <w:r w:rsidRPr="00C0338D">
        <w:t xml:space="preserve"> indicated that in 2018, 40 per cent of the </w:t>
      </w:r>
      <w:r w:rsidR="00567C88">
        <w:t>p</w:t>
      </w:r>
      <w:r w:rsidRPr="00C0338D">
        <w:t>arties reported a comprehensive national inventory of invasive alien species impacting wetlands. However, few (26 per cent) ha</w:t>
      </w:r>
      <w:r w:rsidR="000A21F9">
        <w:t>d</w:t>
      </w:r>
      <w:r w:rsidRPr="00C0338D">
        <w:t xml:space="preserve"> developed policies or guidelines to manage invasive alien species in wetlands </w:t>
      </w:r>
      <w:r w:rsidR="6F37074E" w:rsidRPr="00837161">
        <w:fldChar w:fldCharType="begin"/>
      </w:r>
      <w:r w:rsidR="000F35EB">
        <w:instrText xml:space="preserve"> ADDIN ZOTERO_ITEM CSL_CITATION {"citationID":"MZl3qM6B","properties":{"formattedCitation":"(Ramsar Convention on Wetlands, 2018)","plainCitation":"(Ramsar Convention on Wetlands, 2018)","noteIndex":0},"citationItems":[{"id":29542,"uris":["http://zotero.org/groups/2352922/items/RPFAPU6P"],"itemData":{"id":29542,"type":"book","event-place":"Gland, Switzerland","number-of-pages":"88","publisher":"Ramsar Convention Secretariat.","publisher-place":"Gland, Switzerland","title":"Global Wetland Outlook: State of the World’s Wetlands and their Services to People.","author":[{"literal":"Ramsar Convention on Wetlands"}],"issued":{"date-parts":[["2018"]]}},"label":"page"}],"schema":"https://github.com/citation-style-language/schema/raw/master/csl-citation.json"} </w:instrText>
      </w:r>
      <w:r w:rsidR="6F37074E" w:rsidRPr="00837161">
        <w:fldChar w:fldCharType="separate"/>
      </w:r>
      <w:r w:rsidR="00271B78" w:rsidRPr="00271B78">
        <w:t>(Ramsar Convention on Wetlands, 2018)</w:t>
      </w:r>
      <w:r w:rsidR="6F37074E" w:rsidRPr="00837161">
        <w:fldChar w:fldCharType="end"/>
      </w:r>
      <w:r w:rsidR="5E5EC55A" w:rsidRPr="00837161">
        <w:t>.</w:t>
      </w:r>
      <w:r w:rsidRPr="00C0338D">
        <w:t xml:space="preserve"> The aim of management</w:t>
      </w:r>
      <w:r w:rsidR="5A7C5823">
        <w:t xml:space="preserve"> </w:t>
      </w:r>
      <w:r w:rsidR="4453E0FC">
        <w:t>of biological invasions</w:t>
      </w:r>
      <w:r w:rsidRPr="00C0338D">
        <w:t xml:space="preserve"> in Ramsar sites is to prevent water quality deterioration and facilitate use of the wetland substrate as resources for people in addition to biodiversity protection </w:t>
      </w:r>
      <w:r w:rsidR="6F37074E" w:rsidRPr="00837161">
        <w:fldChar w:fldCharType="begin"/>
      </w:r>
      <w:r w:rsidR="000F35EB">
        <w:instrText xml:space="preserve"> ADDIN ZOTERO_ITEM CSL_CITATION {"citationID":"gHFVYmrx","properties":{"formattedCitation":"(Ramsar Convention Secretariat, 2010)","plainCitation":"(Ramsar Convention Secretariat, 2010)","noteIndex":0},"citationItems":[{"id":16157,"uris":["http://zotero.org/groups/2352922/items/RUGAEDMN"],"itemData":{"id":16157,"type":"book","collection-title":"Ramsar handbooks for the wise use of wetlands","edition":"4th","event-place":"Gland, Switzerland","publisher":"Ramsar Convention Secretariat","publisher-place":"Gland, Switzerland","title":"Managing wetlands: Frameworks for managing Wetlands of International Importance and other wetland sites","URL":"https://www.ramsar.org/sites/default/files/documents/pdf/lib/hbk4-18.pdf","volume":"18","author":[{"literal":"Ramsar Convention Secretariat"}],"issued":{"date-parts":[["2010"]]}},"label":"page"}],"schema":"https://github.com/citation-style-language/schema/raw/master/csl-citation.json"} </w:instrText>
      </w:r>
      <w:r w:rsidR="6F37074E" w:rsidRPr="00837161">
        <w:fldChar w:fldCharType="separate"/>
      </w:r>
      <w:r w:rsidR="00271B78" w:rsidRPr="00271B78">
        <w:t>(Ramsar Convention Secretariat, 2010)</w:t>
      </w:r>
      <w:r w:rsidR="6F37074E" w:rsidRPr="00837161">
        <w:fldChar w:fldCharType="end"/>
      </w:r>
      <w:r w:rsidR="5E5EC55A" w:rsidRPr="00837161">
        <w:t>.</w:t>
      </w:r>
      <w:r w:rsidRPr="00C0338D">
        <w:t xml:space="preserve"> Ramsar guidelines recommend prevention, eradication and control, by focusing on pathway, species-</w:t>
      </w:r>
      <w:r w:rsidR="199D132F">
        <w:t>based</w:t>
      </w:r>
      <w:r w:rsidRPr="00C0338D">
        <w:t xml:space="preserve"> and site-based management </w:t>
      </w:r>
      <w:r w:rsidR="0095171E" w:rsidRPr="00837161">
        <w:fldChar w:fldCharType="begin"/>
      </w:r>
      <w:r w:rsidR="000F35EB">
        <w:instrText xml:space="preserve"> ADDIN ZOTERO_ITEM CSL_CITATION {"citationID":"spFnWpMX","properties":{"formattedCitation":"(Ramsar Convention Secretariat, 2010)","plainCitation":"(Ramsar Convention Secretariat, 2010)","noteIndex":0},"citationItems":[{"id":16157,"uris":["http://zotero.org/groups/2352922/items/RUGAEDMN"],"itemData":{"id":16157,"type":"book","collection-title":"Ramsar handbooks for the wise use of wetlands","edition":"4th","event-place":"Gland, Switzerland","publisher":"Ramsar Convention Secretariat","publisher-place":"Gland, Switzerland","title":"Managing wetlands: Frameworks for managing Wetlands of International Importance and other wetland sites","URL":"https://www.ramsar.org/sites/default/files/documents/pdf/lib/hbk4-18.pdf","volume":"18","author":[{"literal":"Ramsar Convention Secretariat"}],"issued":{"date-parts":[["2010"]]}},"label":"page"}],"schema":"https://github.com/citation-style-language/schema/raw/master/csl-citation.json"} </w:instrText>
      </w:r>
      <w:r w:rsidR="0095171E" w:rsidRPr="00837161">
        <w:fldChar w:fldCharType="separate"/>
      </w:r>
      <w:r w:rsidR="00271B78" w:rsidRPr="00271B78">
        <w:t>(Ramsar Convention Secretariat, 2010)</w:t>
      </w:r>
      <w:r w:rsidR="0095171E" w:rsidRPr="00837161">
        <w:fldChar w:fldCharType="end"/>
      </w:r>
      <w:r w:rsidR="6F37074E" w:rsidRPr="00837161">
        <w:t>.</w:t>
      </w:r>
      <w:r w:rsidRPr="00C0338D">
        <w:t xml:space="preserve"> Invasion by </w:t>
      </w:r>
      <w:bookmarkStart w:id="234" w:name="_Hlk131148859"/>
      <w:r w:rsidRPr="00C0338D">
        <w:rPr>
          <w:i/>
        </w:rPr>
        <w:t>Pontederia crassipes</w:t>
      </w:r>
      <w:bookmarkEnd w:id="234"/>
      <w:r w:rsidRPr="00C0338D">
        <w:t xml:space="preserve"> (water hyacinth) in Malagarasi-Muyovozi (Tanzania) affects the livelihoods of local fisherman communities as fishing camps were closed </w:t>
      </w:r>
      <w:r w:rsidR="6F37074E" w:rsidRPr="00837161">
        <w:fldChar w:fldCharType="begin"/>
      </w:r>
      <w:r w:rsidR="000F35EB">
        <w:instrText xml:space="preserve"> ADDIN ZOTERO_ITEM CSL_CITATION {"citationID":"8f8Ffmph","properties":{"formattedCitation":"(Kalumanga, 2015)","plainCitation":"(Kalumanga, 2015)","noteIndex":0},"citationItems":[{"id":22558,"uris":["http://zotero.org/groups/2352922/items/KGQR2UZD"],"itemData":{"id":22558,"type":"article-journal","abstract":"To maintain the ecological character in Ramsar wetlands requires a management approach that addresses all interrelated issues at different scales and for different resource uses. Currently, the inf ...","language":"eng","source":"su.diva-portal.org","title":"Why Integrated Natural Resource Management in Malagarasi-Muyovozi Ramsar Site, Tanzania? : Insights from Ugalla Game Reserve","title-short":"Why Integrated Natural Resource Management in Malagarasi-Muyovozi Ramsar Site, Tanzania?","URL":"http://urn.kb.se/resolve?urn=urn:nbn:se:su:diva-116284","author":[{"family":"Kalumanga","given":"Elikana"}],"accessed":{"date-parts":[["2020",6,24]]},"issued":{"date-parts":[["2015"]]}},"label":"page"}],"schema":"https://github.com/citation-style-language/schema/raw/master/csl-citation.json"} </w:instrText>
      </w:r>
      <w:r w:rsidR="6F37074E" w:rsidRPr="00837161">
        <w:fldChar w:fldCharType="separate"/>
      </w:r>
      <w:r w:rsidR="00271B78" w:rsidRPr="00271B78">
        <w:t>(Kalumanga, 2015)</w:t>
      </w:r>
      <w:r w:rsidR="6F37074E" w:rsidRPr="00837161">
        <w:fldChar w:fldCharType="end"/>
      </w:r>
      <w:r w:rsidR="6F37074E" w:rsidRPr="00837161">
        <w:t>.</w:t>
      </w:r>
      <w:r w:rsidRPr="00C0338D">
        <w:t xml:space="preserve"> Nyul Nyul rangers in the Kimberly region of Western Australia manage feral </w:t>
      </w:r>
      <w:r w:rsidRPr="00C0338D">
        <w:lastRenderedPageBreak/>
        <w:t xml:space="preserve">animals and invasive alien plants on their wetlands </w:t>
      </w:r>
      <w:r w:rsidR="6F37074E" w:rsidRPr="00837161">
        <w:fldChar w:fldCharType="begin"/>
      </w:r>
      <w:r w:rsidR="000F35EB">
        <w:instrText xml:space="preserve"> ADDIN ZOTERO_ITEM CSL_CITATION {"citationID":"NpgLOSGS","properties":{"formattedCitation":"(The Commonwealth of Australia, 2016)","plainCitation":"(The Commonwealth of Australia, 2016)","noteIndex":0},"citationItems":[{"id":30083,"uris":["http://zotero.org/groups/2352922/items/XRZVL2VM"],"itemData":{"id":30083,"type":"report","title":"Wetlands and Indigenous values","URL":"https://www.dcceew.gov.au/sites/default/files/documents/factsheet-wetlands-indigenous-values.pdf","author":[{"literal":"The Commonwealth of Australia"}],"issued":{"date-parts":[["2016"]]}},"label":"page"}],"schema":"https://github.com/citation-style-language/schema/raw/master/csl-citation.json"} </w:instrText>
      </w:r>
      <w:r w:rsidR="6F37074E" w:rsidRPr="00837161">
        <w:fldChar w:fldCharType="separate"/>
      </w:r>
      <w:r w:rsidR="00271B78" w:rsidRPr="00271B78">
        <w:t>(The Commonwealth of Australia, 2016)</w:t>
      </w:r>
      <w:r w:rsidR="6F37074E" w:rsidRPr="00837161">
        <w:fldChar w:fldCharType="end"/>
      </w:r>
      <w:r w:rsidR="6F37074E" w:rsidRPr="00837161">
        <w:t>.</w:t>
      </w:r>
      <w:r w:rsidRPr="00C0338D">
        <w:t xml:space="preserve"> In Beung Kiat Ngong Ramsar Site (Lao People's Democratic Republic) locals had to deal with the socio-economic impacts of </w:t>
      </w:r>
      <w:r w:rsidRPr="00C0338D">
        <w:rPr>
          <w:i/>
        </w:rPr>
        <w:t>Pomacea canaliculata</w:t>
      </w:r>
      <w:r w:rsidRPr="00C0338D">
        <w:t xml:space="preserve"> (golden apple snail) by harvesting and selling them </w:t>
      </w:r>
      <w:r w:rsidR="6F37074E" w:rsidRPr="00837161">
        <w:fldChar w:fldCharType="begin"/>
      </w:r>
      <w:r w:rsidR="000F35EB">
        <w:instrText xml:space="preserve"> ADDIN ZOTERO_ITEM CSL_CITATION {"citationID":"QU4PcsLG","properties":{"formattedCitation":"(Cranmer et al., 2018)","plainCitation":"(Cranmer et al., 2018)","noteIndex":0},"citationItems":[{"id":11582,"uris":["http://zotero.org/groups/2352922/items/YIZRBMWY"],"itemData":{"id":11582,"type":"report","event-place":"Vientiane, Lao PDR","note":"publisher: IUCN Asia Regional Office (ARO), Bangkok, Thailand","page":"77","publisher":"International Union for Conservation of Nature","publisher-place":"Vientiane, Lao PDR","title":"Final report: Climate Change Vulnerability Assessment, Beung Kiat Ngong Ramsar Site, Lao PDR.","URL":"https://www.iucn.org/sites/default/files/content/documents/2019/climate_change_vulnerability_assessment_beung_kiat_ngong_ramsar_site_lao_pdr.pdf","author":[{"family":"Cranmer","given":"Colleen"},{"family":"Scott","given":"Amy"},{"family":"Thongsavath","given":"Oudomxay"},{"family":"Xeuasing","given":"Khamphat"}],"issued":{"date-parts":[["2018"]]}},"label":"page"}],"schema":"https://github.com/citation-style-language/schema/raw/master/csl-citation.json"} </w:instrText>
      </w:r>
      <w:r w:rsidR="6F37074E" w:rsidRPr="00837161">
        <w:fldChar w:fldCharType="separate"/>
      </w:r>
      <w:r w:rsidR="00271B78" w:rsidRPr="00271B78">
        <w:t>(Cranmer et al., 2018)</w:t>
      </w:r>
      <w:r w:rsidR="6F37074E" w:rsidRPr="00837161">
        <w:fldChar w:fldCharType="end"/>
      </w:r>
      <w:r w:rsidR="6F37074E" w:rsidRPr="00837161">
        <w:t>.</w:t>
      </w:r>
      <w:r w:rsidRPr="00C0338D">
        <w:t xml:space="preserve"> </w:t>
      </w:r>
    </w:p>
    <w:p w14:paraId="000001F3" w14:textId="359401A1" w:rsidR="00A758FD" w:rsidRPr="00C0338D" w:rsidRDefault="00C81287">
      <w:pPr>
        <w:spacing w:before="240" w:after="120" w:line="240" w:lineRule="auto"/>
      </w:pPr>
      <w:bookmarkStart w:id="235" w:name="_heading=h.xvir7l" w:colFirst="0" w:colLast="0"/>
      <w:bookmarkEnd w:id="235"/>
      <w:r w:rsidRPr="00C0338D">
        <w:t xml:space="preserve">A review of 241 World Heritage Sites identified 290 invasive alien species as a threat </w:t>
      </w:r>
      <w:r w:rsidR="6F37074E" w:rsidRPr="00837161">
        <w:fldChar w:fldCharType="begin"/>
      </w:r>
      <w:r w:rsidR="000F35EB">
        <w:instrText xml:space="preserve"> ADDIN ZOTERO_ITEM CSL_CITATION {"citationID":"ZU0wVz0I","properties":{"formattedCitation":"(R. T. Shackleton, Bertzky, et al., 2020)","plainCitation":"(R. T. Shackleton, Bertzky, et al., 2020)","noteIndex":0},"citationItems":[{"id":25123,"uris":["http://zotero.org/groups/2352922/items/6FHCR4QM"],"itemData":{"id":25123,"type":"article-journal","abstract":"UNESCO World Heritage Sites (WHS) are areas of outstanding universal value and conservation importance. They are, however, threatened by a variety of global change drivers, including biological invasions. We assessed the current status of biological invasions and their management in 241 natural and mixed WHS globally by reviewing documents collated by UNESCO and IUCN. We found that reports on the status of biological invasions in WHS were often irregular or inconsistent. Therefore, while some reports were very informative, they were hard to compare because no systematic method of reporting was followed. Our review revealed that almost 300 different invasive alien species (IAS) were considered as a threat to just over half of all WHS. Information on IAS management undertaken in WHS was available for fewer than half of the sites that listed IAS as a threat. There is clearly a need for an improved monitoring and reporting system for biological invasions in WHS and likely the same for other protected areas globally. To address this issue, we developed a new framework to guide monitoring and reporting of IAS in protected areas building on globally accepted standards for IAS assessments, and tested it on seven WHS. The framework requires the collation of information and reporting on pathways, alien species presence, impacts, and management, the estimation of future threats and management needs, assessments of knowledge and gaps, and, using all of this information allows for an overall threat score to be assigned to the protected area. This new framework should help to improve monitoring of IAS in protected areas moving forward.","container-title":"Biodiversity and Conservation","DOI":"10.1007/s10531-020-02026-1","ISSN":"1572-9710","issue":"11","journalAbbreviation":"Biodivers Conserv","language":"en","page":"3327-3347","source":"Springer Link","title":"Biological invasions in World Heritage Sites: current status and a proposed monitoring and reporting framework","title-short":"Biological invasions in World Heritage Sites","URL":"https://doi.org/10.1007/s10531-020-02026-1","volume":"29","author":[{"family":"Shackleton","given":"Ross T."},{"family":"Bertzky","given":"Bastian"},{"family":"Wood","given":"Louisa E."},{"family":"Bunbury","given":"Nancy"},{"family":"Jäger","given":"Heinke"},{"family":"Merm","given":"Remco","non-dropping-particle":"van"},{"family":"Sevilla","given":"Christian"},{"family":"Smith","given":"Kevin"},{"family":"Wilson","given":"John R. U."},{"family":"Witt","given":"Arne B. R."},{"family":"Richardson","given":"David M."}],"accessed":{"date-parts":[["2021",4,1]]},"issued":{"date-parts":[["2020",10,1]]}},"label":"page"}],"schema":"https://github.com/citation-style-language/schema/raw/master/csl-citation.json"} </w:instrText>
      </w:r>
      <w:r w:rsidR="6F37074E" w:rsidRPr="00837161">
        <w:fldChar w:fldCharType="separate"/>
      </w:r>
      <w:r w:rsidR="00271B78" w:rsidRPr="00271B78">
        <w:t>(R. T. Shackleton, Bertzky, et al., 2020)</w:t>
      </w:r>
      <w:r w:rsidR="6F37074E" w:rsidRPr="00837161">
        <w:fldChar w:fldCharType="end"/>
      </w:r>
      <w:r w:rsidR="721C5CD8" w:rsidRPr="00837161">
        <w:t xml:space="preserve">. For example, a management programme was recommended in 2006 for </w:t>
      </w:r>
      <w:bookmarkStart w:id="236" w:name="_Hlk131148479"/>
      <w:r w:rsidR="721C5CD8" w:rsidRPr="00837161">
        <w:rPr>
          <w:i/>
          <w:iCs/>
        </w:rPr>
        <w:t>Mimosa pigra</w:t>
      </w:r>
      <w:bookmarkEnd w:id="236"/>
      <w:r w:rsidR="721C5CD8" w:rsidRPr="00837161">
        <w:t xml:space="preserve"> (giant </w:t>
      </w:r>
      <w:r w:rsidR="5F1C65B1" w:rsidRPr="00837161">
        <w:t>sensitive plant</w:t>
      </w:r>
      <w:r w:rsidR="721C5CD8" w:rsidRPr="00837161">
        <w:t>)</w:t>
      </w:r>
      <w:r w:rsidR="6CED047C" w:rsidRPr="00837161">
        <w:t>, which is</w:t>
      </w:r>
      <w:r w:rsidR="721C5CD8" w:rsidRPr="00837161">
        <w:t xml:space="preserve"> considered the largest threat to the biodiversity of Tonle Sap Biosphere Reserve (</w:t>
      </w:r>
      <w:r w:rsidR="00567C88">
        <w:t>n</w:t>
      </w:r>
      <w:r w:rsidR="46A6418F" w:rsidRPr="00837161">
        <w:t>orth-</w:t>
      </w:r>
      <w:r w:rsidR="00567C88">
        <w:t>w</w:t>
      </w:r>
      <w:r w:rsidR="46A6418F" w:rsidRPr="00837161">
        <w:t>est</w:t>
      </w:r>
      <w:r w:rsidR="721C5CD8" w:rsidRPr="00837161">
        <w:t xml:space="preserve"> Cambodia)</w:t>
      </w:r>
      <w:r w:rsidR="6CED047C" w:rsidRPr="00837161">
        <w:t>,</w:t>
      </w:r>
      <w:r w:rsidR="721C5CD8" w:rsidRPr="00837161">
        <w:t xml:space="preserve"> a highly important floodplain habitat for fish and endangered waterbirds in South-East Asia </w:t>
      </w:r>
      <w:r w:rsidR="6F37074E" w:rsidRPr="00837161">
        <w:fldChar w:fldCharType="begin"/>
      </w:r>
      <w:r w:rsidR="000F35EB">
        <w:instrText xml:space="preserve"> ADDIN ZOTERO_ITEM CSL_CITATION {"citationID":"WPntc2zy","properties":{"formattedCitation":"(Goes, 2005)","plainCitation":"(Goes, 2005)","noteIndex":0},"citationItems":[{"id":16136,"uris":["http://zotero.org/groups/2352922/items/MKCMTVVW"],"itemData":{"id":16136,"type":"report","publisher":"Wildlife Conservation Society","title":"Four years of water bird conservation activities in Prek Toal Core Area, Tonle Sap Biosphere Reserve (2001-2004)","URL":"https://library.khmerstudies.org/bib/2583","author":[{"family":"Goes","given":"F."}],"issued":{"date-parts":[["2005"]]}},"label":"page"}],"schema":"https://github.com/citation-style-language/schema/raw/master/csl-citation.json"} </w:instrText>
      </w:r>
      <w:r w:rsidR="6F37074E" w:rsidRPr="00837161">
        <w:fldChar w:fldCharType="separate"/>
      </w:r>
      <w:r w:rsidR="00271B78" w:rsidRPr="00271B78">
        <w:t>(Goes, 2005)</w:t>
      </w:r>
      <w:r w:rsidR="6F37074E" w:rsidRPr="00837161">
        <w:fldChar w:fldCharType="end"/>
      </w:r>
      <w:r w:rsidR="721C5CD8" w:rsidRPr="00837161">
        <w:t xml:space="preserve">. Widespread management at landscape scales was considered unfeasible </w:t>
      </w:r>
      <w:r w:rsidR="6F37074E" w:rsidRPr="00837161">
        <w:fldChar w:fldCharType="begin"/>
      </w:r>
      <w:r w:rsidR="000F35EB">
        <w:instrText xml:space="preserve"> ADDIN ZOTERO_ITEM CSL_CITATION {"citationID":"VOlJS9h7","properties":{"formattedCitation":"(Ferguson &amp; Chun, 2011)","plainCitation":"(Ferguson &amp; Chun, 2011)","noteIndex":0},"citationItems":[{"id":23996,"uris":["http://zotero.org/groups/2352922/items/TLSPH4TT"],"itemData":{"id":23996,"type":"report","page":"60","publisher":"Cambodia National Mekong Committee and Ministry of Environment, Royal Government of Cambodia","title":"Terminal Evaluation of Tonle Sap Conservation Project","URL":"https://erc.undp.org/evaluation/documents/download/4959","author":[{"family":"Ferguson","given":"Alan"},{"family":"Chun","given":"Nimul"}],"issued":{"date-parts":[["2011",7]]}},"label":"page"}],"schema":"https://github.com/citation-style-language/schema/raw/master/csl-citation.json"} </w:instrText>
      </w:r>
      <w:r w:rsidR="6F37074E" w:rsidRPr="00837161">
        <w:fldChar w:fldCharType="separate"/>
      </w:r>
      <w:r w:rsidR="00271B78" w:rsidRPr="00271B78">
        <w:t>(Ferguson &amp; Chun, 2011)</w:t>
      </w:r>
      <w:r w:rsidR="6F37074E" w:rsidRPr="00837161">
        <w:fldChar w:fldCharType="end"/>
      </w:r>
      <w:r w:rsidR="721C5CD8" w:rsidRPr="00837161">
        <w:t>, but as the species is river</w:t>
      </w:r>
      <w:r w:rsidR="00AC4F21">
        <w:t>-</w:t>
      </w:r>
      <w:r w:rsidR="721C5CD8" w:rsidRPr="00837161">
        <w:t xml:space="preserve">dispersed, the programme recommended increased surveillance </w:t>
      </w:r>
      <w:r w:rsidR="00301BBB" w:rsidRPr="00837161">
        <w:t>targeting</w:t>
      </w:r>
      <w:r w:rsidR="0055311B" w:rsidRPr="00837161">
        <w:t xml:space="preserve"> </w:t>
      </w:r>
      <w:r w:rsidR="00921B76" w:rsidRPr="00837161">
        <w:rPr>
          <w:i/>
          <w:iCs/>
        </w:rPr>
        <w:t>Mimosa pigra</w:t>
      </w:r>
      <w:r w:rsidR="721C5CD8" w:rsidRPr="00837161">
        <w:t xml:space="preserve"> and a basin-wide plan to reduce the risk of further introduction and establishment of other invasive </w:t>
      </w:r>
      <w:r w:rsidR="52E09723" w:rsidRPr="00837161">
        <w:t xml:space="preserve">alien </w:t>
      </w:r>
      <w:r w:rsidR="721C5CD8" w:rsidRPr="00837161">
        <w:t xml:space="preserve">species </w:t>
      </w:r>
      <w:r w:rsidR="6F37074E" w:rsidRPr="00837161">
        <w:fldChar w:fldCharType="begin"/>
      </w:r>
      <w:r w:rsidR="000F35EB">
        <w:instrText xml:space="preserve"> ADDIN ZOTERO_ITEM CSL_CITATION {"citationID":"D5qBBbI6","properties":{"formattedCitation":"(van Zalinger, 2006)","plainCitation":"(van Zalinger, 2006)","noteIndex":0},"citationItems":[{"id":16135,"uris":["http://zotero.org/groups/2352922/items/9KBJ2EJD"],"itemData":{"id":16135,"type":"report","event-place":"Wildlife Conservation Society Cambodia Program","page":"96","publisher":"UNDP/GEF-funded Tonle Sap Conservation Project","publisher-place":"Wildlife Conservation Society Cambodia Program","title":"An assessment of exotic species in the Tonle Sap Biosphere Reserve and associated threats to biodiversity. A resource document for the management of invasive alien species.","URL":"https://library.wcs.org/doi/ctl/view/mid/33065/pubid/DMX1252900000.aspx","author":[{"family":"Zalinger","given":"Robert","non-dropping-particle":"van"}],"issued":{"date-parts":[["2006"]]}},"label":"page"}],"schema":"https://github.com/citation-style-language/schema/raw/master/csl-citation.json"} </w:instrText>
      </w:r>
      <w:r w:rsidR="6F37074E" w:rsidRPr="00837161">
        <w:fldChar w:fldCharType="separate"/>
      </w:r>
      <w:r w:rsidR="00271B78" w:rsidRPr="00271B78">
        <w:t>(van Zalinger, 2006)</w:t>
      </w:r>
      <w:r w:rsidR="6F37074E" w:rsidRPr="00837161">
        <w:fldChar w:fldCharType="end"/>
      </w:r>
      <w:r w:rsidR="721C5CD8" w:rsidRPr="00837161">
        <w:t xml:space="preserve">. </w:t>
      </w:r>
      <w:r w:rsidR="00F96529" w:rsidRPr="00837161">
        <w:rPr>
          <w:i/>
          <w:iCs/>
        </w:rPr>
        <w:t>Mimosa pigra</w:t>
      </w:r>
      <w:r w:rsidR="721C5CD8" w:rsidRPr="00837161">
        <w:t xml:space="preserve"> management in Kakadu National Park (World Heritage and Ramsar site) in Australia using classical biological and </w:t>
      </w:r>
      <w:r w:rsidR="20F82B95" w:rsidRPr="00837161">
        <w:t>integrated</w:t>
      </w:r>
      <w:r w:rsidR="721C5CD8" w:rsidRPr="00837161">
        <w:t xml:space="preserve"> control has provided long-term control. Effort is now turning to management of </w:t>
      </w:r>
      <w:r w:rsidR="00F96529" w:rsidRPr="00837161">
        <w:rPr>
          <w:i/>
          <w:iCs/>
        </w:rPr>
        <w:t>Urochloa mutica</w:t>
      </w:r>
      <w:r w:rsidR="721C5CD8" w:rsidRPr="00837161">
        <w:t xml:space="preserve"> (para grass), </w:t>
      </w:r>
      <w:r w:rsidR="721C5CD8" w:rsidRPr="00837161">
        <w:rPr>
          <w:i/>
          <w:iCs/>
        </w:rPr>
        <w:t>Hymenachne amplexicaulis</w:t>
      </w:r>
      <w:r w:rsidR="721C5CD8" w:rsidRPr="00837161">
        <w:t xml:space="preserve"> (hymenachne) and </w:t>
      </w:r>
      <w:r w:rsidR="721C5CD8" w:rsidRPr="00837161">
        <w:rPr>
          <w:i/>
          <w:iCs/>
        </w:rPr>
        <w:t>Andropogon gayanus</w:t>
      </w:r>
      <w:r w:rsidR="721C5CD8" w:rsidRPr="00837161">
        <w:t xml:space="preserve"> (</w:t>
      </w:r>
      <w:r w:rsidR="00C0338D">
        <w:t>t</w:t>
      </w:r>
      <w:r w:rsidR="00F96529" w:rsidRPr="00837161">
        <w:t>ambuki grass</w:t>
      </w:r>
      <w:r w:rsidR="721C5CD8" w:rsidRPr="00837161">
        <w:t xml:space="preserve">) </w:t>
      </w:r>
      <w:r w:rsidR="6F37074E" w:rsidRPr="00837161">
        <w:fldChar w:fldCharType="begin"/>
      </w:r>
      <w:r w:rsidR="000F35EB">
        <w:instrText xml:space="preserve"> ADDIN ZOTERO_ITEM CSL_CITATION {"citationID":"1aZcgpqT","properties":{"formattedCitation":"(Setterfield et al., 2013)","plainCitation":"(Setterfield et al., 2013)","noteIndex":0},"citationItems":[{"id":26970,"uris":["http://zotero.org/groups/2352922/items/32AI7JSL"],"itemData":{"id":26970,"type":"chapter","abstract":"Kakadu National Park is Australia’s premier protected area and one of the\nfew World Heritage areas listed for both its natural and cultural heritage values. Kakadu National Park encompasses vast areas of seasonally inundated wetlands that support an outstanding abundance of biodiversity, particularly birds and fish. The wetlands provide critical resources for the Indigenous landowners and are also amajor\ntourist attraction. The international importance of Kakadu National Parks’ wetlands is also reflected by their listing under the Ramsar Wetlands Convention. Unfortunately, these wetlands are under substantial threat from a range of high impact invasive alien plants. The response of managers to different invasive alien plants has varied substantially.\nFor example, the response by Kakadu National Park managers to the threat\nfrom the alien shrub Mimosa pigra has widely been used as a case study of best practice. The response was rapid, appropriately resourced, consistent over time and\nwell-monitored. In contrast, the response to two aquatic invasive alien grass species, Hymenachne amplexicaulis and Urochloa mutica, has been relatively poor. Subsequently, whereas M. pigra remains under control, with a limited number of small infestations, the alien grasses have spread extensively in recent years and now pose a\nsubstantial threat. This chapter explores the history, invasion and management response to invasive alien grass management in Kakadu National Park. We suggest\nactions that should commence immediately to avoid wasting the past efforts made to save Kakadu National Park’s wetland ecosystems from M. pigra, and prevent their\nconversion into invasive alien grass dominated systems.","collection-title":"Invading Nature - Springer Series in Invasion Ecology","container-title":"Plant Invasions in Protected Areas. Patterns, Problems and Challenges.","event-place":"Dordrecht, the Netherlands","note":"DOI: 10.1007/978-94-007-7750-7_9","page":"167-189","publisher":"Springer Netherlands","publisher-place":"Dordrecht, the Netherlands","title":"Invasive Plants in the Floodplains of Australia’s Kakadu National Park","volume":"7","author":[{"family":"Setterfield","given":"Samantha A"},{"family":"Douglas","given":"Michael M"},{"family":"Petty","given":"Aaron M."},{"family":"Bayliss","given":"Peter"},{"family":"Ferdinands","given":"Keith B."},{"family":"Winderlich","given":"Steve"}],"editor":[{"family":"Foxcroft","given":"Llewellyn C"},{"family":"Pyšek","given":"Petr"},{"family":"Richardson","given":"David M"},{"family":"Genovesi","given":"Piero"}],"issued":{"date-parts":[["2013"]]}},"label":"page"}],"schema":"https://github.com/citation-style-language/schema/raw/master/csl-citation.json"} </w:instrText>
      </w:r>
      <w:r w:rsidR="6F37074E" w:rsidRPr="00837161">
        <w:fldChar w:fldCharType="separate"/>
      </w:r>
      <w:r w:rsidR="00271B78" w:rsidRPr="00271B78">
        <w:t>(Setterfield et al., 2013)</w:t>
      </w:r>
      <w:r w:rsidR="6F37074E" w:rsidRPr="00837161">
        <w:fldChar w:fldCharType="end"/>
      </w:r>
      <w:r w:rsidR="721C5CD8" w:rsidRPr="00837161">
        <w:t xml:space="preserve">. Classical biological control of </w:t>
      </w:r>
      <w:r w:rsidR="00F96529" w:rsidRPr="00837161">
        <w:rPr>
          <w:i/>
          <w:iCs/>
        </w:rPr>
        <w:t>Pontederia crassipes</w:t>
      </w:r>
      <w:r w:rsidR="721C5CD8" w:rsidRPr="00837161">
        <w:t xml:space="preserve"> (water hyacinth) is also underway in the Delta du Senegal (World Heritage and Biosphere reserve), Senegal </w:t>
      </w:r>
      <w:r w:rsidR="6F37074E" w:rsidRPr="00837161">
        <w:fldChar w:fldCharType="begin"/>
      </w:r>
      <w:r w:rsidR="000F35EB">
        <w:instrText xml:space="preserve"> ADDIN ZOTERO_ITEM CSL_CITATION {"citationID":"2UFQYHd2","properties":{"formattedCitation":"(Amer et al., 2015)","plainCitation":"(Amer et al., 2015)","noteIndex":0},"citationItems":[{"id":16137,"uris":["http://zotero.org/groups/2352922/items/WA2ICRN4"],"itemData":{"id":16137,"type":"book","ISBN":"978-3-940785-75-6","source":"978-3-940785-73-2","title":"Management Manual for UNESCO Biosphere Reserves in Africa","URL":"https://www.unesco.de/media/776","editor":[{"literal":"German Commission for UNESCO"}],"author":[{"family":"Amer","given":"Wafaa"},{"family":"Ashong","given":"Sheila"},{"family":"Tiomoko","given":"Djafarou"}],"issued":{"date-parts":[["2015"]]}},"label":"page"}],"schema":"https://github.com/citation-style-language/schema/raw/master/csl-citation.json"} </w:instrText>
      </w:r>
      <w:r w:rsidR="6F37074E" w:rsidRPr="00837161">
        <w:fldChar w:fldCharType="separate"/>
      </w:r>
      <w:r w:rsidR="00271B78" w:rsidRPr="00271B78">
        <w:t>(Amer et al., 2015)</w:t>
      </w:r>
      <w:r w:rsidR="6F37074E" w:rsidRPr="00837161">
        <w:fldChar w:fldCharType="end"/>
      </w:r>
      <w:r w:rsidR="721C5CD8" w:rsidRPr="00837161">
        <w:t>.</w:t>
      </w:r>
    </w:p>
    <w:p w14:paraId="000001F4" w14:textId="14B1A242" w:rsidR="00A758FD" w:rsidRPr="00C0338D" w:rsidRDefault="00C81287" w:rsidP="0079215C">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rPr>
      </w:pPr>
      <w:bookmarkStart w:id="237" w:name="_heading=h.3hv69ve" w:colFirst="0" w:colLast="0"/>
      <w:bookmarkStart w:id="238" w:name="_Ref104972500"/>
      <w:bookmarkStart w:id="239" w:name="_Toc80708184"/>
      <w:bookmarkStart w:id="240" w:name="_Toc87623066"/>
      <w:bookmarkStart w:id="241" w:name="_Toc147488941"/>
      <w:bookmarkEnd w:id="237"/>
      <w:r w:rsidRPr="00C0338D">
        <w:rPr>
          <w:color w:val="000000"/>
        </w:rPr>
        <w:t>Box 5</w:t>
      </w:r>
      <w:r w:rsidR="00DE71BA" w:rsidRPr="00C0338D">
        <w:rPr>
          <w:lang w:val="en-GB"/>
        </w:rPr>
        <w:t>.</w:t>
      </w:r>
      <w:r w:rsidR="00DE71BA" w:rsidRPr="00C0338D">
        <w:rPr>
          <w:lang w:val="en-GB"/>
        </w:rPr>
        <w:fldChar w:fldCharType="begin"/>
      </w:r>
      <w:r w:rsidR="00DE71BA" w:rsidRPr="00C0338D">
        <w:rPr>
          <w:lang w:val="en-GB"/>
        </w:rPr>
        <w:instrText>SEQ Box_5. \* ARABIC</w:instrText>
      </w:r>
      <w:r w:rsidR="00DE71BA" w:rsidRPr="00C0338D">
        <w:rPr>
          <w:lang w:val="en-GB"/>
        </w:rPr>
        <w:fldChar w:fldCharType="separate"/>
      </w:r>
      <w:r w:rsidR="00DC77F8" w:rsidRPr="00C0338D">
        <w:rPr>
          <w:noProof/>
          <w:lang w:val="en-GB"/>
        </w:rPr>
        <w:t>6</w:t>
      </w:r>
      <w:r w:rsidR="00DE71BA" w:rsidRPr="00C0338D">
        <w:rPr>
          <w:lang w:val="en-GB"/>
        </w:rPr>
        <w:fldChar w:fldCharType="end"/>
      </w:r>
      <w:bookmarkEnd w:id="238"/>
      <w:r w:rsidR="00326D4E" w:rsidRPr="00C0338D">
        <w:rPr>
          <w:lang w:val="en-GB"/>
        </w:rPr>
        <w:t>.</w:t>
      </w:r>
      <w:r w:rsidRPr="00C0338D">
        <w:rPr>
          <w:color w:val="000000"/>
        </w:rPr>
        <w:t xml:space="preserve"> Case study: Management and use of </w:t>
      </w:r>
      <w:r w:rsidRPr="00C0338D">
        <w:rPr>
          <w:i/>
          <w:color w:val="000000"/>
        </w:rPr>
        <w:t>Sus scrofa</w:t>
      </w:r>
      <w:r w:rsidRPr="00C0338D">
        <w:rPr>
          <w:color w:val="000000"/>
        </w:rPr>
        <w:t xml:space="preserve"> (feral pig) and </w:t>
      </w:r>
      <w:r w:rsidRPr="00C0338D">
        <w:rPr>
          <w:i/>
          <w:color w:val="000000"/>
        </w:rPr>
        <w:t>Axis axis</w:t>
      </w:r>
      <w:r w:rsidRPr="00C0338D">
        <w:rPr>
          <w:color w:val="000000"/>
        </w:rPr>
        <w:t xml:space="preserve"> (Indian spotted deer) in El Palmar National Park, north-eastern Argentina, by local communities</w:t>
      </w:r>
      <w:bookmarkEnd w:id="239"/>
      <w:bookmarkEnd w:id="240"/>
      <w:bookmarkEnd w:id="241"/>
    </w:p>
    <w:p w14:paraId="000001F5" w14:textId="70D0DF1D" w:rsidR="00A758FD" w:rsidRPr="00C0338D" w:rsidRDefault="00C81287" w:rsidP="0079215C">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bookmarkStart w:id="242" w:name="_heading=h.1x0gk37" w:colFirst="0" w:colLast="0"/>
      <w:bookmarkEnd w:id="242"/>
      <w:r w:rsidRPr="00C0338D">
        <w:t xml:space="preserve">Both </w:t>
      </w:r>
      <w:bookmarkStart w:id="243" w:name="_Hlk131148997"/>
      <w:r w:rsidRPr="00C0338D">
        <w:rPr>
          <w:i/>
        </w:rPr>
        <w:t>Sus scrofa</w:t>
      </w:r>
      <w:bookmarkEnd w:id="243"/>
      <w:r w:rsidRPr="00C0338D">
        <w:t xml:space="preserve"> (</w:t>
      </w:r>
      <w:r w:rsidR="00923F49" w:rsidRPr="00AE604C">
        <w:rPr>
          <w:b/>
          <w:bCs/>
          <w:iCs/>
        </w:rPr>
        <w:t>Figure</w:t>
      </w:r>
      <w:r w:rsidRPr="00C0338D">
        <w:rPr>
          <w:b/>
        </w:rPr>
        <w:t xml:space="preserve"> 5.13</w:t>
      </w:r>
      <w:r w:rsidRPr="00C0338D">
        <w:t xml:space="preserve">) and </w:t>
      </w:r>
      <w:r w:rsidRPr="00C0338D">
        <w:rPr>
          <w:i/>
        </w:rPr>
        <w:t>Axis axis</w:t>
      </w:r>
      <w:r w:rsidRPr="00C0338D">
        <w:t xml:space="preserve"> are considered to be a major threat within invaded ranges around the world. They impact on plant community structure and dynamics, compete with native grazers and livestock and may transmit zoonotic pathogens. In the El Palmar National Park in north-eastern Argentina created in 1965 to preserve one of the last high-density stands of the </w:t>
      </w:r>
      <w:r w:rsidRPr="00C0338D">
        <w:rPr>
          <w:i/>
        </w:rPr>
        <w:t xml:space="preserve">Butia yatay </w:t>
      </w:r>
      <w:r w:rsidRPr="00C0338D">
        <w:t>(yatai palm tree),</w:t>
      </w:r>
      <w:r w:rsidRPr="00C0338D">
        <w:rPr>
          <w:i/>
        </w:rPr>
        <w:t xml:space="preserve"> Sus scrofa</w:t>
      </w:r>
      <w:r w:rsidRPr="00C0338D">
        <w:t xml:space="preserve"> reduced recruitment by consuming fruits or seeds and killing saplings </w:t>
      </w:r>
      <w:r w:rsidR="6F37074E" w:rsidRPr="00837161">
        <w:fldChar w:fldCharType="begin"/>
      </w:r>
      <w:r w:rsidR="000F35EB">
        <w:instrText xml:space="preserve"> ADDIN ZOTERO_ITEM CSL_CITATION {"citationID":"eCjoQnxw","properties":{"formattedCitation":"(Ballari et al., 2015)","plainCitation":"(Ballari et al., 2015)","noteIndex":0},"citationItems":[{"id":16903,"uris":["http://zotero.org/groups/2352922/items/IVTISDHP"],"itemData":{"id":16903,"type":"article-journal","abstract":"The wild boar is an invasive mammal in Argentina that generates habitat alteration, predation, and competition that threaten several native species due to its flexible and broad diet and its rooting behavior. We evaluated the diet of wild boar in El Palmar National Park (EPNP), assessing its composition, seasonality, and importance of baiting. Vegetable matter represented the major component of the diet, where corn was the most abundant food item, which is used as bait to hunt wild boars. Animal remains were also abundant and mostly consisted of birds. Wild boar diet exhibited marked seasonality that seems related to food availability, such as the occurrence of fruits in summer. Currently, the importance of bait in the diet could support and complement the diet of wild boar and improve their reproduction triggering the population growth. Also, the impacts on native biodiversity may be hidden due to the constant food subsidy of corn. We recommend the implementation of other control methods such as hunting with dogs or traps and the use of alternative baits, as odor baits, to avoid the supplemental feeding, or finally, if corn baiting is continuous, we suggest regulating their quantity and frequency. Further studies on wild boar diet and baiting methods should be conducted due to its multiple implications on wild boar populations and native ecosystems.","container-title":"Mammal Research","DOI":"10.1007/s13364-014-0202-0","ISSN":"2199-2401, 2199-241X","issue":"1","journalAbbreviation":"Mamm Res","language":"en","page":"81-87","source":"DOI.org (Crossref)","title":"Diet of wild boar (&lt;i&gt;Sus scrofa&lt;/i&gt;) in a protected area of Argentina: the importance of baiting","title-short":"Diet of wild boar (Sus scrofa) in a protected area of Argentina","URL":"http://link.springer.com/10.1007/s13364-014-0202-0","volume":"60","author":[{"family":"Ballari","given":"S. A."},{"family":"Cuevas","given":"M. F."},{"family":"Ojeda","given":"R. A."},{"family":"Navarro","given":"J. L."}],"accessed":{"date-parts":[["2019",11,29]]},"issued":{"date-parts":[["2015",1]]}},"label":"page"}],"schema":"https://github.com/citation-style-language/schema/raw/master/csl-citation.json"} </w:instrText>
      </w:r>
      <w:r w:rsidR="6F37074E" w:rsidRPr="00837161">
        <w:fldChar w:fldCharType="separate"/>
      </w:r>
      <w:r w:rsidR="00271B78" w:rsidRPr="00271B78">
        <w:t>(Ballari et al., 2015)</w:t>
      </w:r>
      <w:r w:rsidR="6F37074E" w:rsidRPr="00837161">
        <w:fldChar w:fldCharType="end"/>
      </w:r>
      <w:r w:rsidR="6F37074E" w:rsidRPr="00837161">
        <w:t>.</w:t>
      </w:r>
      <w:r w:rsidRPr="00C0338D">
        <w:t xml:space="preserve"> The park rangers’ initial efforts to cull </w:t>
      </w:r>
      <w:r w:rsidRPr="00C0338D">
        <w:rPr>
          <w:i/>
        </w:rPr>
        <w:t>Sus scrofa</w:t>
      </w:r>
      <w:r w:rsidRPr="00C0338D">
        <w:t xml:space="preserve"> </w:t>
      </w:r>
      <w:r w:rsidR="00AC4F21">
        <w:t>in</w:t>
      </w:r>
      <w:r w:rsidR="00AC4F21" w:rsidRPr="00C0338D">
        <w:t xml:space="preserve"> </w:t>
      </w:r>
      <w:r w:rsidRPr="00C0338D">
        <w:t>1983 w</w:t>
      </w:r>
      <w:r w:rsidR="000A21F9">
        <w:t>ere</w:t>
      </w:r>
      <w:r w:rsidRPr="00C0338D">
        <w:t xml:space="preserve"> unstructured. A revised management programme based on hunting with trained dogs and spotlight hunting from the back of slow-moving vehicles initiated in 1995 was successful for </w:t>
      </w:r>
      <w:r w:rsidRPr="00C0338D">
        <w:rPr>
          <w:i/>
        </w:rPr>
        <w:t>Axis axis</w:t>
      </w:r>
      <w:r w:rsidRPr="00C0338D">
        <w:t>, but again proved unsustainable for</w:t>
      </w:r>
      <w:r w:rsidR="000A21F9">
        <w:t xml:space="preserve"> the</w:t>
      </w:r>
      <w:r w:rsidRPr="00C0338D">
        <w:t xml:space="preserve"> </w:t>
      </w:r>
      <w:r w:rsidRPr="00C0338D">
        <w:rPr>
          <w:i/>
        </w:rPr>
        <w:t>Sus scrofa</w:t>
      </w:r>
      <w:r w:rsidRPr="00C0338D">
        <w:t xml:space="preserve"> population which continued to increase. Valuable lessons were learnt forming the foundation of a new multi-stakeholder management programme incorporating sustainability, broad social participation, safe procedures, close supervision</w:t>
      </w:r>
      <w:r w:rsidR="00CE7B20">
        <w:t xml:space="preserve"> and</w:t>
      </w:r>
      <w:r w:rsidRPr="00C0338D">
        <w:t xml:space="preserve"> a regulated framework targeting both species in 2006. Controlled shooting teams worked uniformly across the park, without catch quotas. Each hunter was allowed to take home most of each carcass to minimize selective hunting and the rest were donated to local public schools, community shelters</w:t>
      </w:r>
      <w:r w:rsidR="00CE7B20">
        <w:t xml:space="preserve"> and</w:t>
      </w:r>
      <w:r w:rsidRPr="00C0338D">
        <w:t xml:space="preserve"> retirement homes </w:t>
      </w:r>
      <w:r w:rsidR="6F37074E" w:rsidRPr="00837161">
        <w:fldChar w:fldCharType="begin"/>
      </w:r>
      <w:r w:rsidR="007746C5">
        <w:instrText xml:space="preserve"> ADDIN ZOTERO_ITEM CSL_CITATION {"citationID":"qRqekFcq","properties":{"formattedCitation":"(G\\uc0\\u252{}rtler et al., 2017)","plainCitation":"(Gürtler et al., 2017)","noteIndex":0},"citationItems":[{"id":17042,"uris":["http://zotero.org/groups/2352922/items/S3JV5RJD","http://zotero.org/groups/2352922/items/5JCUQQY8"],"itemData":{"id":17042,"type":"article-journal","container-title":"Biological Invasions","DOI":"10.1007/s10530-016-1256-5","ISSN":"1387-3547, 1573-1464","issue":"1","journalAbbreviation":"Biol Invasions","language":"en","page":"11-24","source":"DOI.org (Crossref)","title":"Coping with wild boar in a conservation area: impacts of a 10-year management control program in north-eastern Argentina","title-short":"Coping with wild boar in a conservation area","URL":"http://link.springer.com/10.1007/s10530-016-1256-5","volume":"19","author":[{"family":"Gürtler","given":"Ricardo E."},{"family":"Martín Izquierdo","given":"V."},{"family":"Gil","given":"Guillermo"},{"family":"Cavicchia","given":"Marcelo"},{"family":"Maranta","given":"Aristóbulo"}],"accessed":{"date-parts":[["2019",11,29]]},"issued":{"date-parts":[["2017",1]]}},"label":"page"}],"schema":"https://github.com/citation-style-language/schema/raw/master/csl-citation.json"} </w:instrText>
      </w:r>
      <w:r w:rsidR="6F37074E" w:rsidRPr="00837161">
        <w:fldChar w:fldCharType="separate"/>
      </w:r>
      <w:r w:rsidR="00271B78" w:rsidRPr="00271B78">
        <w:t>(Gürtler et al., 2017)</w:t>
      </w:r>
      <w:r w:rsidR="6F37074E" w:rsidRPr="00837161">
        <w:fldChar w:fldCharType="end"/>
      </w:r>
      <w:r w:rsidR="5E5EC55A" w:rsidRPr="00837161">
        <w:t>.</w:t>
      </w:r>
      <w:r w:rsidRPr="00C0338D">
        <w:t xml:space="preserve"> </w:t>
      </w:r>
    </w:p>
    <w:p w14:paraId="000001F7" w14:textId="52C0E00F" w:rsidR="00A758FD" w:rsidRDefault="5D3CDAA5" w:rsidP="0079215C">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837161">
        <w:t>This program</w:t>
      </w:r>
      <w:r w:rsidR="15CFF1FD" w:rsidRPr="00837161">
        <w:t>me</w:t>
      </w:r>
      <w:r w:rsidRPr="00837161">
        <w:t xml:space="preserve"> reduced </w:t>
      </w:r>
      <w:r w:rsidR="00F96529" w:rsidRPr="00837161">
        <w:rPr>
          <w:i/>
          <w:iCs/>
        </w:rPr>
        <w:t>Sus scrofa</w:t>
      </w:r>
      <w:r w:rsidRPr="00837161">
        <w:t xml:space="preserve"> abundance within two years to levels causing minimal soil damage </w:t>
      </w:r>
      <w:r w:rsidR="007A7C05" w:rsidRPr="00837161">
        <w:fldChar w:fldCharType="begin"/>
      </w:r>
      <w:r w:rsidR="007746C5">
        <w:instrText xml:space="preserve"> ADDIN ZOTERO_ITEM CSL_CITATION {"citationID":"FQrj7Bu3","properties":{"formattedCitation":"(G\\uc0\\u252{}rtler et al., 2017)","plainCitation":"(Gürtler et al., 2017)","noteIndex":0},"citationItems":[{"id":17042,"uris":["http://zotero.org/groups/2352922/items/S3JV5RJD","http://zotero.org/groups/2352922/items/5JCUQQY8"],"itemData":{"id":17042,"type":"article-journal","container-title":"Biological Invasions","DOI":"10.1007/s10530-016-1256-5","ISSN":"1387-3547, 1573-1464","issue":"1","journalAbbreviation":"Biol Invasions","language":"en","page":"11-24","source":"DOI.org (Crossref)","title":"Coping with wild boar in a conservation area: impacts of a 10-year management control program in north-eastern Argentina","title-short":"Coping with wild boar in a conservation area","URL":"http://link.springer.com/10.1007/s10530-016-1256-5","volume":"19","author":[{"family":"Gürtler","given":"Ricardo E."},{"family":"Martín Izquierdo","given":"V."},{"family":"Gil","given":"Guillermo"},{"family":"Cavicchia","given":"Marcelo"},{"family":"Maranta","given":"Aristóbulo"}],"accessed":{"date-parts":[["2019",11,29]]},"issued":{"date-parts":[["2017",1]]}},"label":"page"}],"schema":"https://github.com/citation-style-language/schema/raw/master/csl-citation.json"} </w:instrText>
      </w:r>
      <w:r w:rsidR="007A7C05" w:rsidRPr="00837161">
        <w:fldChar w:fldCharType="separate"/>
      </w:r>
      <w:r w:rsidR="00271B78" w:rsidRPr="00271B78">
        <w:t>(Gürtler et al., 2017)</w:t>
      </w:r>
      <w:r w:rsidR="007A7C05" w:rsidRPr="00837161">
        <w:fldChar w:fldCharType="end"/>
      </w:r>
      <w:r w:rsidRPr="00837161">
        <w:t xml:space="preserve">. Recruitment rate of yatay palm trees significantly increased a decade later. </w:t>
      </w:r>
      <w:r w:rsidR="00F96529" w:rsidRPr="00837161">
        <w:rPr>
          <w:i/>
          <w:iCs/>
        </w:rPr>
        <w:t>Axis axis</w:t>
      </w:r>
      <w:r w:rsidRPr="00837161">
        <w:t xml:space="preserve"> numbers </w:t>
      </w:r>
      <w:r w:rsidR="6CED047C" w:rsidRPr="00837161">
        <w:t xml:space="preserve">however </w:t>
      </w:r>
      <w:r w:rsidR="660C6576" w:rsidRPr="00837161">
        <w:t>continue</w:t>
      </w:r>
      <w:r w:rsidR="56BF891A" w:rsidRPr="00837161">
        <w:t>d</w:t>
      </w:r>
      <w:r w:rsidRPr="00837161">
        <w:t xml:space="preserve"> to increase</w:t>
      </w:r>
      <w:r w:rsidR="6CED047C" w:rsidRPr="00837161">
        <w:t>,</w:t>
      </w:r>
      <w:r w:rsidRPr="00837161">
        <w:t xml:space="preserve"> the reasons for which remain unclear </w:t>
      </w:r>
      <w:r w:rsidR="001B0409" w:rsidRPr="00837161">
        <w:lastRenderedPageBreak/>
        <w:fldChar w:fldCharType="begin"/>
      </w:r>
      <w:r w:rsidR="007746C5">
        <w:instrText xml:space="preserve"> ADDIN ZOTERO_ITEM CSL_CITATION {"citationID":"973bu2PO","properties":{"formattedCitation":"(G\\uc0\\u252{}rtler et al., 2018)","plainCitation":"(Gürtler et al., 2018)","noteIndex":0},"citationItems":[{"id":16899,"uris":["http://zotero.org/groups/2352922/items/LEID8SEV","http://zotero.org/groups/2352922/items/IBZEKAFG"],"itemData":{"id":16899,"type":"article-journal","container-title":"Biological Invasions","DOI":"10.1007/s10530-017-1635-6","ISSN":"1387-3547, 1573-1464","issue":"6","journalAbbreviation":"Biol Invasions","language":"en","page":"1431-1447","source":"DOI.org (Crossref)","title":"Differential long-term impacts of a management control program of axis deer and wild boar in a protected area of north-eastern Argentina","URL":"http://link.springer.com/10.1007/s10530-017-1635-6","volume":"20","author":[{"family":"Gürtler","given":"Ricardo E."},{"family":"Rodríguez-Planes","given":"Lucía I."},{"family":"Gil","given":"Guillermo"},{"family":"Izquierdo","given":"V. Martín"},{"family":"Cavicchia","given":"Marcelo"},{"family":"Maranta","given":"Aristóbulo"}],"accessed":{"date-parts":[["2019",11,29]]},"issued":{"date-parts":[["2018",6]]}},"label":"page"}],"schema":"https://github.com/citation-style-language/schema/raw/master/csl-citation.json"} </w:instrText>
      </w:r>
      <w:r w:rsidR="001B0409" w:rsidRPr="00837161">
        <w:fldChar w:fldCharType="separate"/>
      </w:r>
      <w:r w:rsidR="00271B78" w:rsidRPr="00271B78">
        <w:t>(Gürtler et al., 2018)</w:t>
      </w:r>
      <w:r w:rsidR="001B0409" w:rsidRPr="00837161">
        <w:fldChar w:fldCharType="end"/>
      </w:r>
      <w:r w:rsidRPr="00837161">
        <w:t>.</w:t>
      </w:r>
      <w:r w:rsidR="00C81287">
        <w:rPr>
          <w:noProof/>
        </w:rPr>
        <w:drawing>
          <wp:inline distT="0" distB="0" distL="0" distR="0" wp14:anchorId="15322942" wp14:editId="406577CF">
            <wp:extent cx="6115050" cy="3202305"/>
            <wp:effectExtent l="0" t="0" r="0" b="0"/>
            <wp:docPr id="1971555471" name="image19.png" descr="A group of pigs in a fiel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9.png" descr="A group of pigs in a field&#10;&#10;Description automatically generated"/>
                    <pic:cNvPicPr preferRelativeResize="0"/>
                  </pic:nvPicPr>
                  <pic:blipFill>
                    <a:blip r:embed="rId40"/>
                    <a:srcRect/>
                    <a:stretch>
                      <a:fillRect/>
                    </a:stretch>
                  </pic:blipFill>
                  <pic:spPr>
                    <a:xfrm>
                      <a:off x="0" y="0"/>
                      <a:ext cx="6115050" cy="3202305"/>
                    </a:xfrm>
                    <a:prstGeom prst="rect">
                      <a:avLst/>
                    </a:prstGeom>
                    <a:ln/>
                  </pic:spPr>
                </pic:pic>
              </a:graphicData>
            </a:graphic>
          </wp:inline>
        </w:drawing>
      </w:r>
    </w:p>
    <w:p w14:paraId="000001F8" w14:textId="08B8FF91" w:rsidR="00A758FD" w:rsidRPr="0079215C" w:rsidRDefault="00C81287" w:rsidP="0079215C">
      <w:pPr>
        <w:keepNext/>
        <w:pBdr>
          <w:top w:val="single" w:sz="4" w:space="1" w:color="auto"/>
          <w:left w:val="single" w:sz="4" w:space="1" w:color="auto"/>
          <w:bottom w:val="single" w:sz="4" w:space="1" w:color="auto"/>
          <w:right w:val="single" w:sz="4" w:space="1" w:color="auto"/>
          <w:between w:val="nil"/>
        </w:pBdr>
        <w:shd w:val="clear" w:color="auto" w:fill="E7E6E6" w:themeFill="background2"/>
        <w:spacing w:before="240" w:after="120" w:line="240" w:lineRule="auto"/>
        <w:rPr>
          <w:b/>
          <w:color w:val="000000"/>
        </w:rPr>
      </w:pPr>
      <w:bookmarkStart w:id="244" w:name="_heading=h.4h042r0" w:colFirst="0" w:colLast="0"/>
      <w:bookmarkStart w:id="245" w:name="_Ref131083444"/>
      <w:bookmarkStart w:id="246" w:name="_Toc147489366"/>
      <w:bookmarkEnd w:id="244"/>
      <w:r w:rsidRPr="0079215C">
        <w:rPr>
          <w:b/>
          <w:color w:val="000000"/>
        </w:rPr>
        <w:t>Figure 5</w:t>
      </w:r>
      <w:r w:rsidR="74B0BF96" w:rsidRPr="0079215C">
        <w:rPr>
          <w:b/>
          <w:bCs/>
        </w:rPr>
        <w:t>.</w:t>
      </w:r>
      <w:r w:rsidR="74B0BF96" w:rsidRPr="0079215C">
        <w:rPr>
          <w:b/>
          <w:bCs/>
        </w:rPr>
        <w:fldChar w:fldCharType="begin"/>
      </w:r>
      <w:r w:rsidR="74B0BF96" w:rsidRPr="0079215C">
        <w:rPr>
          <w:b/>
          <w:bCs/>
        </w:rPr>
        <w:instrText xml:space="preserve"> SEQ Figure_5. \* ARABIC </w:instrText>
      </w:r>
      <w:r w:rsidR="74B0BF96" w:rsidRPr="0079215C">
        <w:rPr>
          <w:b/>
          <w:bCs/>
        </w:rPr>
        <w:fldChar w:fldCharType="separate"/>
      </w:r>
      <w:r w:rsidR="00DC77F8" w:rsidRPr="0079215C">
        <w:rPr>
          <w:b/>
          <w:bCs/>
          <w:noProof/>
        </w:rPr>
        <w:t>13</w:t>
      </w:r>
      <w:r w:rsidR="74B0BF96" w:rsidRPr="0079215C">
        <w:rPr>
          <w:b/>
          <w:bCs/>
        </w:rPr>
        <w:fldChar w:fldCharType="end"/>
      </w:r>
      <w:r w:rsidR="00326D4E" w:rsidRPr="0079215C">
        <w:rPr>
          <w:b/>
          <w:bCs/>
        </w:rPr>
        <w:t>.</w:t>
      </w:r>
      <w:r w:rsidRPr="0079215C">
        <w:rPr>
          <w:b/>
          <w:color w:val="000000"/>
        </w:rPr>
        <w:t xml:space="preserve"> </w:t>
      </w:r>
      <w:r w:rsidRPr="0079215C">
        <w:rPr>
          <w:i/>
          <w:color w:val="000000"/>
        </w:rPr>
        <w:t xml:space="preserve">Sus scrofa </w:t>
      </w:r>
      <w:r w:rsidRPr="0079215C">
        <w:rPr>
          <w:color w:val="000000"/>
        </w:rPr>
        <w:t>(feral pig, jabalí in Spanish) in El Palmar National Park where a management programme was implemented to control the invasive alien species.</w:t>
      </w:r>
      <w:bookmarkEnd w:id="245"/>
      <w:r w:rsidRPr="0079215C">
        <w:rPr>
          <w:color w:val="000000"/>
        </w:rPr>
        <w:t xml:space="preserve"> Photo credit: Alfredo Sabaliauskas (@sab.alfred) –</w:t>
      </w:r>
      <w:r w:rsidR="00E87F41" w:rsidRPr="00E87F41">
        <w:t xml:space="preserve"> </w:t>
      </w:r>
      <w:r w:rsidR="00E87F41">
        <w:t>under license</w:t>
      </w:r>
      <w:r w:rsidRPr="0079215C">
        <w:rPr>
          <w:color w:val="000000"/>
        </w:rPr>
        <w:t xml:space="preserve"> CC BY 4.0.</w:t>
      </w:r>
      <w:bookmarkEnd w:id="246"/>
    </w:p>
    <w:p w14:paraId="000001F9" w14:textId="280A3387" w:rsidR="00A758FD" w:rsidRPr="00C0338D" w:rsidRDefault="00C81287">
      <w:pPr>
        <w:spacing w:before="240" w:after="120" w:line="240" w:lineRule="auto"/>
      </w:pPr>
      <w:bookmarkStart w:id="247" w:name="_heading=h.2w5ecyt" w:colFirst="0" w:colLast="0"/>
      <w:bookmarkStart w:id="248" w:name="_Toc87606241"/>
      <w:bookmarkStart w:id="249" w:name="_Toc87623140"/>
      <w:bookmarkEnd w:id="247"/>
      <w:r w:rsidRPr="00C0338D">
        <w:t>Islands are areas of special concern for management.</w:t>
      </w:r>
      <w:bookmarkEnd w:id="248"/>
      <w:bookmarkEnd w:id="249"/>
      <w:r w:rsidRPr="00C0338D">
        <w:t xml:space="preserve"> </w:t>
      </w:r>
      <w:r w:rsidR="268F1151" w:rsidRPr="00837161">
        <w:t>On islands that are suscept</w:t>
      </w:r>
      <w:r w:rsidR="0ED2E71E" w:rsidRPr="00837161">
        <w:t>i</w:t>
      </w:r>
      <w:r w:rsidR="268F1151" w:rsidRPr="00837161">
        <w:t xml:space="preserve">ble to invasive alien species introduced by trade and human movement </w:t>
      </w:r>
      <w:r w:rsidR="002502C4" w:rsidRPr="00837161">
        <w:t>(</w:t>
      </w:r>
      <w:r w:rsidR="00B52DF2">
        <w:rPr>
          <w:b/>
          <w:iCs/>
        </w:rPr>
        <w:t>C</w:t>
      </w:r>
      <w:r w:rsidR="680D10DC" w:rsidRPr="00B52DF2">
        <w:rPr>
          <w:b/>
          <w:iCs/>
        </w:rPr>
        <w:t xml:space="preserve">hapter </w:t>
      </w:r>
      <w:r w:rsidR="21461A8A" w:rsidRPr="00B52DF2">
        <w:rPr>
          <w:b/>
          <w:iCs/>
        </w:rPr>
        <w:t>2</w:t>
      </w:r>
      <w:r w:rsidR="0830C5DA" w:rsidRPr="00B52DF2">
        <w:rPr>
          <w:iCs/>
        </w:rPr>
        <w:t>,</w:t>
      </w:r>
      <w:r w:rsidR="421774CA" w:rsidRPr="00B52DF2">
        <w:rPr>
          <w:b/>
          <w:iCs/>
        </w:rPr>
        <w:t xml:space="preserve"> </w:t>
      </w:r>
      <w:r w:rsidR="0830C5DA" w:rsidRPr="00B52DF2">
        <w:rPr>
          <w:b/>
          <w:iCs/>
        </w:rPr>
        <w:t>Box 2.5</w:t>
      </w:r>
      <w:r w:rsidR="0830C5DA" w:rsidRPr="00B52DF2">
        <w:rPr>
          <w:iCs/>
        </w:rPr>
        <w:t>;</w:t>
      </w:r>
      <w:r w:rsidR="268F1151" w:rsidRPr="00B52DF2">
        <w:rPr>
          <w:b/>
          <w:iCs/>
        </w:rPr>
        <w:t xml:space="preserve"> </w:t>
      </w:r>
      <w:r w:rsidR="00B52DF2">
        <w:rPr>
          <w:b/>
          <w:iCs/>
        </w:rPr>
        <w:t>C</w:t>
      </w:r>
      <w:r w:rsidR="6155E70E" w:rsidRPr="00B52DF2">
        <w:rPr>
          <w:b/>
          <w:iCs/>
        </w:rPr>
        <w:t>hapter</w:t>
      </w:r>
      <w:r w:rsidR="268F1151" w:rsidRPr="00B52DF2">
        <w:rPr>
          <w:b/>
          <w:iCs/>
        </w:rPr>
        <w:t xml:space="preserve"> 3</w:t>
      </w:r>
      <w:r w:rsidR="268F1151" w:rsidRPr="00B52DF2">
        <w:rPr>
          <w:iCs/>
        </w:rPr>
        <w:t>,</w:t>
      </w:r>
      <w:r w:rsidR="268F1151" w:rsidRPr="00B52DF2">
        <w:rPr>
          <w:b/>
          <w:iCs/>
        </w:rPr>
        <w:t xml:space="preserve"> </w:t>
      </w:r>
      <w:r w:rsidR="6155E70E" w:rsidRPr="00B52DF2">
        <w:rPr>
          <w:b/>
          <w:iCs/>
        </w:rPr>
        <w:t>section</w:t>
      </w:r>
      <w:r w:rsidR="268F1151" w:rsidRPr="00B52DF2">
        <w:rPr>
          <w:b/>
          <w:iCs/>
        </w:rPr>
        <w:t xml:space="preserve"> 3.2.3</w:t>
      </w:r>
      <w:r w:rsidR="268F1151" w:rsidRPr="00837161">
        <w:t>)</w:t>
      </w:r>
      <w:r w:rsidR="76ACABEB" w:rsidRPr="00837161">
        <w:t>,</w:t>
      </w:r>
      <w:r w:rsidR="268F1151" w:rsidRPr="00837161">
        <w:t xml:space="preserve"> a key strategy is to prevent the establishment of introduced invasive alien species. As human activities expand into more remote</w:t>
      </w:r>
      <w:r w:rsidR="0055311B" w:rsidRPr="00837161">
        <w:t xml:space="preserve"> regions, including</w:t>
      </w:r>
      <w:r w:rsidR="268F1151" w:rsidRPr="00837161">
        <w:t xml:space="preserve"> </w:t>
      </w:r>
      <w:r w:rsidR="000A21F9">
        <w:t xml:space="preserve">the </w:t>
      </w:r>
      <w:r w:rsidR="268F1151" w:rsidRPr="00837161">
        <w:t>Arctic</w:t>
      </w:r>
      <w:r w:rsidR="0060350E" w:rsidRPr="00837161">
        <w:t xml:space="preserve">, </w:t>
      </w:r>
      <w:r w:rsidR="268F1151" w:rsidRPr="00837161">
        <w:t>Antarctic</w:t>
      </w:r>
      <w:r w:rsidR="0060350E" w:rsidRPr="00837161">
        <w:t>a and the South Atlantic</w:t>
      </w:r>
      <w:r w:rsidR="00FC60AE" w:rsidRPr="00837161">
        <w:t xml:space="preserve"> and Pacific</w:t>
      </w:r>
      <w:r w:rsidR="0055311B" w:rsidRPr="00837161">
        <w:t xml:space="preserve">, </w:t>
      </w:r>
      <w:r w:rsidR="268F1151" w:rsidRPr="00837161">
        <w:t xml:space="preserve">biogeographic dispersal barriers are weakening </w:t>
      </w:r>
      <w:r w:rsidR="000C61B5" w:rsidRPr="00837161">
        <w:t xml:space="preserve">(e.g., the Tristan da Cunha islands; </w:t>
      </w:r>
      <w:r w:rsidR="001B0409" w:rsidRPr="00837161">
        <w:fldChar w:fldCharType="begin"/>
      </w:r>
      <w:r w:rsidR="000F35EB">
        <w:instrText xml:space="preserve"> ADDIN ZOTERO_ITEM CSL_CITATION {"citationID":"HXulUckg","properties":{"formattedCitation":"(D. Moser et al., 2018)","plainCitation":"(D. Moser et al., 2018)","dontUpdate":true,"noteIndex":0},"citationItems":[{"id":10452,"uris":["http://zotero.org/groups/2352922/items/96VGCTZ4"],"itemData":{"id":10452,"type":"article-journal","abstract":"One of the best-known general patterns in island biogeography is the species–isolation relationship (SIR), a decrease in the number of native species with increasing island isolation that is linked to lower rates of natural dispersal and colonization on remote oceanic islands. However, during recent centuries, the anthropogenic introduction of alien species has increasingly gained importance and altered the composition and richness of island species pools. We analyzed a large dataset for alien and native plants, ants, reptiles, mammals, and birds on 257 (sub) tropical islands, and showed that, except for birds, the number of naturalized alien species increases with isolation for all taxa, a pattern that is opposite to the negative SIR of native species. We argue that the reversal of the SIR for alien species is driven by an increase in island invasibility due to reduced diversity and increased ecological naiveté of native biota on the more remote islands.","container-title":"Proceedings of the National Academy of Sciences","DOI":"10.1073/pnas.1804179115","ISSN":"0027-8424, 1091-6490","issue":"37","journalAbbreviation":"Proc Natl Acad Sci USA","language":"en","page":"9270-9275","source":"DOI.org (Crossref)","title":"Remoteness promotes biological invasions on islands worldwide","URL":"http://www.pnas.org/lookup/doi/10.1073/pnas.1804179115","volume":"115","author":[{"family":"Moser","given":"Dietmar"},{"family":"Lenzner","given":"Bernd"},{"family":"Weigelt","given":"Patrick"},{"family":"Dawson","given":"Wayne"},{"family":"Kreft","given":"Holger"},{"family":"Pergl","given":"Jan"},{"family":"Pyšek","given":"Petr"},{"family":"Kleunen","given":"Mark","non-dropping-particle":"van"},{"family":"Winter","given":"Marten"},{"family":"Capinha","given":"César"},{"family":"Cassey","given":"Phillip"},{"family":"Dullinger","given":"Stefan"},{"family":"Economo","given":"Evan P."},{"family":"García-Díaz","given":"Pablo"},{"family":"Guénard","given":"Benoit"},{"family":"Hofhansl","given":"Florian"},{"family":"Mang","given":"Thomas"},{"family":"Seebens","given":"Hanno"},{"family":"Essl","given":"Franz"}],"accessed":{"date-parts":[["2019",12,2]]},"issued":{"date-parts":[["2018",9,11]]}},"label":"page"}],"schema":"https://github.com/citation-style-language/schema/raw/master/csl-citation.json"} </w:instrText>
      </w:r>
      <w:r w:rsidR="001B0409" w:rsidRPr="00837161">
        <w:fldChar w:fldCharType="separate"/>
      </w:r>
      <w:r w:rsidR="000C61B5" w:rsidRPr="00837161">
        <w:t>D. Moser et al., 2018)</w:t>
      </w:r>
      <w:r w:rsidR="001B0409" w:rsidRPr="00837161">
        <w:fldChar w:fldCharType="end"/>
      </w:r>
      <w:r w:rsidR="268F1151" w:rsidRPr="00837161">
        <w:t xml:space="preserve"> and rigorous biosecurity program</w:t>
      </w:r>
      <w:r w:rsidR="54972048" w:rsidRPr="00837161">
        <w:t>me</w:t>
      </w:r>
      <w:r w:rsidR="268F1151" w:rsidRPr="00837161">
        <w:t xml:space="preserve">s are extremely important. </w:t>
      </w:r>
      <w:r w:rsidR="268F1151" w:rsidRPr="00837161">
        <w:rPr>
          <w:rFonts w:eastAsia="Times New Roman"/>
        </w:rPr>
        <w:t xml:space="preserve">The sub-Antarctic islands fall almost entirely in protected areas but have had numerous introductions of invasive alien species </w:t>
      </w:r>
      <w:r w:rsidR="001B0409" w:rsidRPr="00837161">
        <w:rPr>
          <w:rFonts w:eastAsia="Times New Roman"/>
          <w:color w:val="FF0000"/>
        </w:rPr>
        <w:fldChar w:fldCharType="begin"/>
      </w:r>
      <w:r w:rsidR="000F35EB">
        <w:rPr>
          <w:rFonts w:eastAsia="Times New Roman"/>
          <w:color w:val="FF0000"/>
        </w:rPr>
        <w:instrText xml:space="preserve"> ADDIN ZOTERO_ITEM CSL_CITATION {"citationID":"WvvmvQDR","properties":{"formattedCitation":"(Convey &amp; Lebouvier, 2009; Frenot et al., 2005)","plainCitation":"(Convey &amp; Lebouvier, 2009; Frenot et al., 2005)","noteIndex":0},"citationItems":[{"id":25124,"uris":["http://zotero.org/groups/2352922/items/SJYL5VK8"],"itemData":{"id":25124,"type":"article-journal","abstract":"Sub-Antarctic islands share many similarities in their history of human interaction and impacts before the mid-twentieth century. Large impacts on land were associated with the marine exploitation industries of sealing and whaling.","container-title":"Papers and Proceedings of the Royal Society of Tasmania","DOI":"10.26749/rstpp.143.1.33","ISSN":"0080-4703","issue":"1","language":"en","license":"cc_utas","page":"33-44","source":"eprints.utas.edu.au","title":"Environmental change and human impacts on terrestrial ecosystems of the sub-Antarctic islands between their discovery and the mid-twentieth century","URL":"https://eprints.utas.edu.au/13217/","volume":"143","author":[{"family":"Convey","given":"P."},{"family":"Lebouvier","given":"M."}],"accessed":{"date-parts":[["2021",4,1]]},"issued":{"date-parts":[["2009"]]}},"label":"page"},{"id":30608,"uris":["http://zotero.org/groups/2352922/items/XGHAJVIF"],"itemData":{"id":30608,"type":"article-journal","abstract":"Alien microbes, fungi, plants and animals occur on most of the sub-Antarctic islands and some parts of the Antarctic continent. These have arrived over approximately the last two centuries, coincident with human activity in the region. Introduction routes have varied, but are largely associated with movement of people and cargo in connection with industrial, national scientiﬁc program and tourist operations. The large majority of aliens are European in origin. They have both direct and indirect impacts on the functioning of speciespoor Antarctic ecosystems, in particular including substantial loss of local biodiversity and changes to ecosystem processes. With rapid climate change occurring in some parts of Antarctica, elevated numbers of introductions and enhanced success of colonization by aliens are likely, with consequent increases in impacts on ecosystems. Mitigation measures that will substantially reduce the risk of introductions to Antarctica and the sub-Antarctic must focus on reducing propagule loads on humans, and their food, cargo, and transport vessels.","container-title":"Biological Reviews","DOI":"10.1017/S1464793104006542","ISSN":"1464-7931","issue":"1","journalAbbreviation":"Biol. Rev.","language":"en","note":"WOS:000227418900003","page":"45-72","source":"DOI.org (Crossref)","title":"Biological invasions in the Antarctic: extent, impacts and implications","title-short":"Biological invasions in the Antarctic","URL":"http://doi.wiley.com/10.1017/S1464793104006542","volume":"80","author":[{"family":"Frenot","given":"Yves"},{"family":"Chown","given":"Steven L"},{"family":"Whinam","given":"Jennie"},{"family":"Selkirk","given":"Patricia M"},{"family":"Convey","given":"Peter"},{"family":"Skotnicki","given":"Mary"},{"family":"Bergstrom","given":"Dana M"}],"issued":{"date-parts":[["2005",2]]}},"label":"page"}],"schema":"https://github.com/citation-style-language/schema/raw/master/csl-citation.json"} </w:instrText>
      </w:r>
      <w:r w:rsidR="001B0409" w:rsidRPr="00837161">
        <w:rPr>
          <w:rFonts w:eastAsia="Times New Roman"/>
          <w:color w:val="FF0000"/>
        </w:rPr>
        <w:fldChar w:fldCharType="separate"/>
      </w:r>
      <w:r w:rsidR="00271B78" w:rsidRPr="00271B78">
        <w:t>(Convey &amp; Lebouvier, 2009; Frenot et al., 2005)</w:t>
      </w:r>
      <w:r w:rsidR="001B0409" w:rsidRPr="00837161">
        <w:rPr>
          <w:rFonts w:eastAsia="Times New Roman"/>
          <w:color w:val="FF0000"/>
        </w:rPr>
        <w:fldChar w:fldCharType="end"/>
      </w:r>
      <w:r w:rsidR="268F1151" w:rsidRPr="00837161">
        <w:rPr>
          <w:rFonts w:eastAsia="Times New Roman"/>
        </w:rPr>
        <w:t xml:space="preserve">. As a result, biosecurity measures have been generally implemented by the five sovereign nations to reduce future introductions of invasive alien species and undertake </w:t>
      </w:r>
      <w:r w:rsidR="32ECB7EC" w:rsidRPr="00837161">
        <w:rPr>
          <w:rFonts w:eastAsia="Times New Roman"/>
        </w:rPr>
        <w:t xml:space="preserve">eradications </w:t>
      </w:r>
      <w:r w:rsidR="268F1151" w:rsidRPr="00837161">
        <w:rPr>
          <w:rFonts w:eastAsia="Times New Roman"/>
        </w:rPr>
        <w:t xml:space="preserve">and other management </w:t>
      </w:r>
      <w:r w:rsidR="001B0409" w:rsidRPr="00837161">
        <w:rPr>
          <w:rFonts w:eastAsia="Times New Roman"/>
        </w:rPr>
        <w:fldChar w:fldCharType="begin"/>
      </w:r>
      <w:r w:rsidR="000F35EB">
        <w:rPr>
          <w:rFonts w:eastAsia="Times New Roman"/>
        </w:rPr>
        <w:instrText xml:space="preserve"> ADDIN ZOTERO_ITEM CSL_CITATION {"citationID":"bnojUYa4","properties":{"formattedCitation":"(Chown et al., 2012)","plainCitation":"(Chown et al., 2012)","dontUpdate":true,"noteIndex":0},"citationItems":[{"id":30372,"uris":["http://zotero.org/groups/2352922/items/HJ3HAU6C"],"itemData":{"id":30372,"type":"article-journal","abstract":"Invasive alien species are among the primary causes of biodiversity change globally, with the risks thereof broadly understood for most regions of the world. They are similarly thought to be among the most significant conservation threats to Antarctica, especially as climate change proceeds in the region. However, no comprehensive, continent-wide evaluation of the risks to Antarctica posed by such species has been undertaken. Here we do so by sampling, identifying, and mapping the vascular plant propagules carried by all categories of visitors to Antarctica during the International Polar Year's first season (2007-2008) and assessing propagule establishment likelihood based on their identity and origins and on spatial variation in Antarctica's climate. For an evaluation of the situation in 2100, we use modeled climates based on the Intergovernmental Panel on Climate Change's Special Report on Emissions Scenarios Scenario A1B [Nakicenovic N, Swart R, eds (2000) Special Report on Emissions Scenarios: A Special Report of Working Group III of the Intergovernmental Panel on Climate Change (Cambridge University Press, Cambridge, UK)]. Visitors carrying seeds average 9.5 seeds per person, although as vectors, scientists carry greater propagule loads than tourists. Annual tourist numbers (similar to 33,054) are higher than those of scientists (similar to 7,085), thus tempering these differences in propagule load. Alien species establishment is currently most likely for the Western Antarctic Peninsula. Recent founder populations of several alien species in this area corroborate these findings. With climate change, risks will grow in the Antarctic Peninsula, Ross Sea, and East Antarctic coastal regions. Our evidence-based assessment demonstrates which parts of Antarctica are at growing risk from alien species that may become invasive and provides the means to mitigate this threat now and into the future as the continent's climate changes.","container-title":"Proceedings of the National Academy of Sciences of the United States of America","DOI":"10.1073/pnas.1119787109","ISSN":"0027-8424","issue":"13","journalAbbreviation":"Proceedings of the National Academy of Sciences","note":"WOS:000302164200049","page":"4938-4943","title":"Continent-wide risk assessment for the establishment of nonindigenous species in Antarctica","URL":"http://www.pnas.org/cgi/doi/10.1073/pnas.1119787109","volume":"109","author":[{"family":"Chown","given":"Steven L."},{"family":"Huiskes","given":"Ad H. L."},{"family":"Gremmen","given":"Niek J. M."},{"family":"Lee","given":"Jennifer E."},{"family":"Terauds","given":"Aleks"},{"family":"Crosbie","given":"Kim"},{"family":"Frenot","given":"Yves"},{"family":"Hughes","given":"Kevin A."},{"family":"Imura","given":"Satoshi"},{"family":"Kiefer","given":"Kate"},{"family":"Lebouvier","given":"Marc"},{"family":"Raymond","given":"Ben"},{"family":"Tsujimoto","given":"Megumu"},{"family":"Ware","given":"Chris"},{"family":"Van de Vijver","given":"Bart"},{"family":"Bergstrom","given":"Dana Michelle"}],"issued":{"date-parts":[["2012",3,27]]}},"label":"page"}],"schema":"https://github.com/citation-style-language/schema/raw/master/csl-citation.json"} </w:instrText>
      </w:r>
      <w:r w:rsidR="001B0409" w:rsidRPr="00837161">
        <w:rPr>
          <w:rFonts w:eastAsia="Times New Roman"/>
        </w:rPr>
        <w:fldChar w:fldCharType="separate"/>
      </w:r>
      <w:r w:rsidR="000C61B5" w:rsidRPr="00837161">
        <w:t>(Chown et al., 2012</w:t>
      </w:r>
      <w:r w:rsidR="001B0409" w:rsidRPr="00837161">
        <w:rPr>
          <w:rFonts w:eastAsia="Times New Roman"/>
        </w:rPr>
        <w:fldChar w:fldCharType="end"/>
      </w:r>
      <w:r w:rsidR="000C61B5" w:rsidRPr="00837161">
        <w:rPr>
          <w:rFonts w:eastAsia="Times New Roman"/>
        </w:rPr>
        <w:t xml:space="preserve">; </w:t>
      </w:r>
      <w:r w:rsidR="00B52DF2">
        <w:rPr>
          <w:rFonts w:eastAsia="Times New Roman"/>
          <w:b/>
          <w:iCs/>
        </w:rPr>
        <w:t>C</w:t>
      </w:r>
      <w:r w:rsidR="6155E70E" w:rsidRPr="00B52DF2">
        <w:rPr>
          <w:rFonts w:eastAsia="Times New Roman"/>
          <w:b/>
          <w:iCs/>
        </w:rPr>
        <w:t>hapter</w:t>
      </w:r>
      <w:r w:rsidR="268F1151" w:rsidRPr="00B52DF2">
        <w:rPr>
          <w:rFonts w:eastAsia="Times New Roman"/>
          <w:b/>
          <w:iCs/>
        </w:rPr>
        <w:t xml:space="preserve"> 6</w:t>
      </w:r>
      <w:r w:rsidR="670B8AEA" w:rsidRPr="00B52DF2">
        <w:rPr>
          <w:rFonts w:eastAsia="Times New Roman"/>
          <w:iCs/>
        </w:rPr>
        <w:t>,</w:t>
      </w:r>
      <w:r w:rsidR="670B8AEA" w:rsidRPr="00B52DF2">
        <w:rPr>
          <w:rFonts w:eastAsia="Times New Roman"/>
          <w:b/>
          <w:iCs/>
        </w:rPr>
        <w:t xml:space="preserve"> section </w:t>
      </w:r>
      <w:r w:rsidR="268F1151" w:rsidRPr="00B52DF2">
        <w:rPr>
          <w:rFonts w:eastAsia="Times New Roman"/>
          <w:b/>
          <w:iCs/>
        </w:rPr>
        <w:t>6</w:t>
      </w:r>
      <w:r w:rsidR="7BF19DD6" w:rsidRPr="00B52DF2">
        <w:rPr>
          <w:rFonts w:eastAsia="Times New Roman"/>
          <w:b/>
          <w:iCs/>
        </w:rPr>
        <w:t>.3.</w:t>
      </w:r>
      <w:r w:rsidR="00380FF9" w:rsidRPr="00B52DF2">
        <w:rPr>
          <w:rFonts w:eastAsia="Times New Roman"/>
          <w:b/>
          <w:iCs/>
        </w:rPr>
        <w:t>3.1</w:t>
      </w:r>
      <w:r w:rsidR="268F1151" w:rsidRPr="00837161">
        <w:rPr>
          <w:rFonts w:eastAsia="Times New Roman"/>
        </w:rPr>
        <w:t xml:space="preserve">), which has led to increased awareness of biosecurity across all stakeholders. Elsewhere, various Small Island Developing States </w:t>
      </w:r>
      <w:r w:rsidR="00D118F0" w:rsidRPr="00837161">
        <w:rPr>
          <w:rFonts w:eastAsia="Times New Roman"/>
        </w:rPr>
        <w:t xml:space="preserve">(SIDS) </w:t>
      </w:r>
      <w:r w:rsidR="268F1151" w:rsidRPr="00837161">
        <w:rPr>
          <w:rFonts w:eastAsia="Times New Roman"/>
        </w:rPr>
        <w:t xml:space="preserve">are also initiating successful biosecurity campaigns with good results </w:t>
      </w:r>
      <w:r w:rsidR="002502C4" w:rsidRPr="00837161">
        <w:rPr>
          <w:rFonts w:eastAsia="Times New Roman"/>
        </w:rPr>
        <w:t>(</w:t>
      </w:r>
      <w:r w:rsidR="00191A6E">
        <w:rPr>
          <w:b/>
          <w:bCs/>
        </w:rPr>
        <w:t>Boxes 5.7</w:t>
      </w:r>
      <w:r w:rsidR="00191A6E">
        <w:rPr>
          <w:rFonts w:eastAsia="Times New Roman"/>
        </w:rPr>
        <w:t xml:space="preserve"> and </w:t>
      </w:r>
      <w:r w:rsidR="00191A6E" w:rsidRPr="00191A6E">
        <w:rPr>
          <w:rFonts w:eastAsia="Times New Roman"/>
          <w:b/>
          <w:bCs/>
        </w:rPr>
        <w:t>5.8</w:t>
      </w:r>
      <w:r w:rsidR="268F1151" w:rsidRPr="00837161">
        <w:rPr>
          <w:rFonts w:eastAsia="Times New Roman"/>
        </w:rPr>
        <w:t>).</w:t>
      </w:r>
      <w:r w:rsidRPr="00C0338D">
        <w:t xml:space="preserve"> </w:t>
      </w:r>
    </w:p>
    <w:p w14:paraId="000001FA" w14:textId="2416C4EA" w:rsidR="00A758FD" w:rsidRPr="0079215C" w:rsidRDefault="00C81287" w:rsidP="0079215C">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250" w:name="_heading=h.1baon6m" w:colFirst="0" w:colLast="0"/>
      <w:bookmarkStart w:id="251" w:name="_Ref104972519"/>
      <w:bookmarkStart w:id="252" w:name="_Toc87623067"/>
      <w:bookmarkStart w:id="253" w:name="_Toc147488942"/>
      <w:bookmarkEnd w:id="250"/>
      <w:r w:rsidRPr="0079215C">
        <w:rPr>
          <w:b/>
          <w:color w:val="000000"/>
        </w:rPr>
        <w:t>Box 5</w:t>
      </w:r>
      <w:r w:rsidR="00DE71BA" w:rsidRPr="00837161">
        <w:t>.</w:t>
      </w:r>
      <w:r w:rsidR="00DE71BA" w:rsidRPr="0079215C">
        <w:rPr>
          <w:b/>
          <w:bCs/>
        </w:rPr>
        <w:fldChar w:fldCharType="begin"/>
      </w:r>
      <w:r w:rsidR="00DE71BA" w:rsidRPr="0079215C">
        <w:rPr>
          <w:b/>
          <w:bCs/>
        </w:rPr>
        <w:instrText>SEQ Box_5. \* ARABIC</w:instrText>
      </w:r>
      <w:r w:rsidR="00DE71BA" w:rsidRPr="0079215C">
        <w:rPr>
          <w:b/>
          <w:bCs/>
        </w:rPr>
        <w:fldChar w:fldCharType="separate"/>
      </w:r>
      <w:r w:rsidR="00DC77F8" w:rsidRPr="0079215C">
        <w:rPr>
          <w:b/>
          <w:bCs/>
          <w:noProof/>
        </w:rPr>
        <w:t>7</w:t>
      </w:r>
      <w:r w:rsidR="00DE71BA" w:rsidRPr="0079215C">
        <w:rPr>
          <w:b/>
          <w:bCs/>
        </w:rPr>
        <w:fldChar w:fldCharType="end"/>
      </w:r>
      <w:bookmarkEnd w:id="251"/>
      <w:r w:rsidR="00326D4E" w:rsidRPr="0079215C">
        <w:rPr>
          <w:b/>
          <w:bCs/>
        </w:rPr>
        <w:t>.</w:t>
      </w:r>
      <w:r w:rsidRPr="0079215C">
        <w:rPr>
          <w:b/>
          <w:color w:val="000000"/>
        </w:rPr>
        <w:t xml:space="preserve"> Case study: Biosecurity in the Republic of Seychelles</w:t>
      </w:r>
      <w:bookmarkEnd w:id="252"/>
      <w:bookmarkEnd w:id="253"/>
    </w:p>
    <w:p w14:paraId="000001FB" w14:textId="4792826F" w:rsidR="00A758FD" w:rsidRPr="00C0338D" w:rsidRDefault="00C81287" w:rsidP="0079215C">
      <w:pPr>
        <w:pBdr>
          <w:top w:val="single" w:sz="4" w:space="1" w:color="000000"/>
          <w:left w:val="single" w:sz="4" w:space="1" w:color="000000"/>
          <w:bottom w:val="single" w:sz="4" w:space="1" w:color="000000"/>
          <w:right w:val="single" w:sz="4" w:space="1" w:color="000000"/>
        </w:pBdr>
        <w:shd w:val="clear" w:color="auto" w:fill="E7E6E6" w:themeFill="background2"/>
        <w:spacing w:before="240" w:after="120" w:line="240" w:lineRule="auto"/>
      </w:pPr>
      <w:r w:rsidRPr="00C0338D">
        <w:t xml:space="preserve">Trade and travel increased </w:t>
      </w:r>
      <w:r w:rsidR="14AA56E4">
        <w:t>the</w:t>
      </w:r>
      <w:r w:rsidR="14AA56E4" w:rsidRPr="00C0338D">
        <w:t xml:space="preserve"> </w:t>
      </w:r>
      <w:r w:rsidRPr="00C0338D">
        <w:t>threats</w:t>
      </w:r>
      <w:r w:rsidR="5A7C5823">
        <w:t xml:space="preserve"> </w:t>
      </w:r>
      <w:r w:rsidR="57F14C32">
        <w:t>of biological invasions</w:t>
      </w:r>
      <w:r w:rsidRPr="00C0338D">
        <w:t xml:space="preserve"> to the Seychelles archipelago although there were important weaknesses in the biosecurity policies for trade </w:t>
      </w:r>
      <w:r w:rsidR="00923F49" w:rsidRPr="00837161">
        <w:fldChar w:fldCharType="begin"/>
      </w:r>
      <w:r w:rsidR="000F35EB">
        <w:instrText xml:space="preserve"> ADDIN ZOTERO_ITEM CSL_CITATION {"citationID":"SD31zStU","properties":{"formattedCitation":"(Rocamora, 2015)","plainCitation":"(Rocamora, 2015)","noteIndex":0},"citationItems":[{"id":53057,"uris":["http://zotero.org/groups/2352922/items/R8FVEN7G"],"itemData":{"id":53057,"type":"book","title":"Biosecurity protocols for protected areas and islands of high biodiversity value in Seychelles","author":[{"family":"Rocamora","given":"G."}],"issued":{"date-parts":[["2015"]]}},"label":"page"}],"schema":"https://github.com/citation-style-language/schema/raw/master/csl-citation.json"} </w:instrText>
      </w:r>
      <w:r w:rsidR="00923F49" w:rsidRPr="00837161">
        <w:fldChar w:fldCharType="separate"/>
      </w:r>
      <w:r w:rsidR="00271B78" w:rsidRPr="00271B78">
        <w:t>(Rocamora, 2015)</w:t>
      </w:r>
      <w:r w:rsidR="00923F49" w:rsidRPr="00837161">
        <w:fldChar w:fldCharType="end"/>
      </w:r>
      <w:r w:rsidR="00923F49" w:rsidRPr="00837161">
        <w:t>.</w:t>
      </w:r>
      <w:r w:rsidRPr="00C0338D">
        <w:t xml:space="preserve"> Under an Environment Management Plan project, a new Biosecurity Service was created with strengthened technical and institutional capacities which helped the development of an emergency plan and operational manuals </w:t>
      </w:r>
      <w:r w:rsidR="00923F49" w:rsidRPr="00837161">
        <w:fldChar w:fldCharType="begin"/>
      </w:r>
      <w:r w:rsidR="000F35EB">
        <w:instrText xml:space="preserve"> ADDIN ZOTERO_ITEM CSL_CITATION {"citationID":"ZDcnFF5i","properties":{"formattedCitation":"(Senterre &amp; Dine, 2022)","plainCitation":"(Senterre &amp; Dine, 2022)","noteIndex":0},"citationItems":[{"id":52597,"uris":["http://zotero.org/groups/2352922/items/8ZRQ6WQ4"],"itemData":{"id":52597,"type":"report","genre":"Final Report","language":"en","note":"publisher: Unpublished\nDOI: 10.13140/RG.2.2.18218.70081","source":"DOI.org (Datacite)","title":"Toward a Seychelles Invasive Species Strategy and Action Plan (ISSAP): Biological factors","title-short":"Toward a Seychelles Invasive Species Strategy and Action Plan (ISSAP)","URL":"https://rgdoi.net/10.13140/RG.2.2.18218.70081","author":[{"family":"Senterre","given":"Bruno"},{"family":"Dine","given":"Mariette Laurette Paola"}],"accessed":{"date-parts":[["2022",7,26]]},"issued":{"date-parts":[["2022"]]}},"label":"page"}],"schema":"https://github.com/citation-style-language/schema/raw/master/csl-citation.json"} </w:instrText>
      </w:r>
      <w:r w:rsidR="00923F49" w:rsidRPr="00837161">
        <w:fldChar w:fldCharType="separate"/>
      </w:r>
      <w:r w:rsidR="00271B78" w:rsidRPr="00271B78">
        <w:t>(Senterre &amp; Dine, 2022)</w:t>
      </w:r>
      <w:r w:rsidR="00923F49" w:rsidRPr="00837161">
        <w:fldChar w:fldCharType="end"/>
      </w:r>
      <w:r w:rsidR="2838CBDC" w:rsidRPr="00837161">
        <w:t>.</w:t>
      </w:r>
      <w:r w:rsidRPr="00C0338D">
        <w:t xml:space="preserve"> The entry and internal movement of animals and plant pests and diseases was regulated leading to improvements in the conservation status of native species. An unexpected result was that Seychelles was able to join the World Trade Organization (WTO) due to the strengthening of its biosecurity institutions, policy</w:t>
      </w:r>
      <w:r w:rsidR="00CE7B20">
        <w:t xml:space="preserve"> and</w:t>
      </w:r>
      <w:r w:rsidRPr="00C0338D">
        <w:t xml:space="preserve"> legislation. Project challenges included finding qualified staff and consultants, creating a cost-recovery mechanism to support the Biosecurity Service</w:t>
      </w:r>
      <w:r w:rsidR="00CE7B20">
        <w:t xml:space="preserve"> and</w:t>
      </w:r>
      <w:r w:rsidRPr="00C0338D">
        <w:t xml:space="preserve"> the creation of a group to coordinate knowledge management and information sharing at </w:t>
      </w:r>
      <w:r w:rsidR="00C166ED">
        <w:t xml:space="preserve">the </w:t>
      </w:r>
      <w:r w:rsidRPr="00C0338D">
        <w:t xml:space="preserve">national level </w:t>
      </w:r>
      <w:r w:rsidR="2838CBDC" w:rsidRPr="00837161">
        <w:fldChar w:fldCharType="begin"/>
      </w:r>
      <w:r w:rsidR="000F35EB">
        <w:instrText xml:space="preserve"> ADDIN ZOTERO_ITEM CSL_CITATION {"citationID":"xXIA4sOk","properties":{"formattedCitation":"(GEF, 2007)","plainCitation":"(GEF, 2007)","noteIndex":0},"citationItems":[{"id":31360,"uris":["http://zotero.org/groups/2352922/items/KCEUGJBZ"],"itemData":{"id":31360,"type":"webpage","abstract":"The project will be responsible for achieving the following project objective: Increased capacities to prevent and control the introduction and spread of Invasive Alien Species through Trade, Travel and Transport across the Production landscape.","container-title":"Global Environment Facility","language":"en","title":"Mainstreaming Prevention and Control Measures for Invasive Alien Species into Trade, Transport and Travel Across the Production Landscape","URL":"https://www.thegef.org/project/mainstreaming-prevention-and-control-measures-invasive-alien-species-trade-transport-and","author":[{"literal":"GEF"}],"accessed":{"date-parts":[["2021",11,13]]},"issued":{"date-parts":[["2007"]]}},"label":"page"}],"schema":"https://github.com/citation-style-language/schema/raw/master/csl-citation.json"} </w:instrText>
      </w:r>
      <w:r w:rsidR="2838CBDC" w:rsidRPr="00837161">
        <w:fldChar w:fldCharType="separate"/>
      </w:r>
      <w:r w:rsidR="00271B78" w:rsidRPr="00271B78">
        <w:t>(GEF, 2007)</w:t>
      </w:r>
      <w:r w:rsidR="2838CBDC" w:rsidRPr="00837161">
        <w:fldChar w:fldCharType="end"/>
      </w:r>
      <w:r w:rsidR="2838CBDC" w:rsidRPr="00837161">
        <w:t>.</w:t>
      </w:r>
    </w:p>
    <w:p w14:paraId="37221741" w14:textId="7315125D" w:rsidR="001B0409" w:rsidRPr="00837161" w:rsidRDefault="0079215C" w:rsidP="00C11DFA">
      <w:pPr>
        <w:spacing w:before="240" w:after="120" w:line="240" w:lineRule="auto"/>
        <w:rPr>
          <w:rFonts w:eastAsia="Times New Roman"/>
        </w:rPr>
      </w:pPr>
      <w:r>
        <w:lastRenderedPageBreak/>
        <w:t xml:space="preserve">Invasive alien species </w:t>
      </w:r>
      <w:r w:rsidR="6496CE74" w:rsidRPr="00837161">
        <w:t>are</w:t>
      </w:r>
      <w:r w:rsidR="1B522148" w:rsidRPr="00837161">
        <w:t xml:space="preserve"> a major driver of species extinctions on islands </w:t>
      </w:r>
      <w:r w:rsidR="37CD4787" w:rsidRPr="00837161">
        <w:fldChar w:fldCharType="begin"/>
      </w:r>
      <w:r w:rsidR="000F35EB">
        <w:instrText xml:space="preserve"> ADDIN ZOTERO_ITEM CSL_CITATION {"citationID":"mXy2eUUY","properties":{"formattedCitation":"(Sax et al., 2002; Simberloff et al., 2013)","plainCitation":"(Sax et al., 2002; Simberloff et al., 2013)","dontUpdate":true,"noteIndex":0},"citationItems":[{"id":56676,"uris":["http://zotero.org/groups/2352922/items/8MH94LKN","http://zotero.org/groups/2352922/items/8HXT55ZQ"],"itemData":{"id":56676,"type":"article-journal","container-title":"Trends in Ecology &amp; Evolution","DOI":"10.1016/j.tree.2012.07.013","ISSN":"01695347","issue":"1","journalAbbreviation":"Trends in Ecology &amp; Evolution","language":"en","page":"58-66","source":"DOI.org (Crossref)","title":"Impacts of biological invasions: what's what and the way forward","title-short":"Impacts of biological invasions","URL":"https://linkinghub.elsevier.com/retrieve/pii/S0169534712001747","volume":"28","author":[{"family":"Simberloff","given":"Daniel"},{"family":"Martin","given":"Jean-Louis"},{"family":"Genovesi","given":"Piero"},{"family":"Maris","given":"Virginie"},{"family":"Wardle","given":"David A."},{"family":"Aronson","given":"James"},{"family":"Courchamp","given":"Franck"},{"family":"Galil","given":"Bella"},{"family":"García-Berthou","given":"Emili"},{"family":"Pascal","given":"Michel"},{"family":"Pyšek","given":"Petr"},{"family":"Sousa","given":"Ronaldo"},{"family":"Tabacchi","given":"Eric"},{"family":"Vilà","given":"Montserrat"}],"accessed":{"date-parts":[["2023",6,8]]},"issued":{"date-parts":[["2013",1]]}},"label":"page"},{"id":29395,"uris":["http://zotero.org/groups/2352922/items/HPIGAICL"],"itemData":{"id":29395,"type":"article-journal","abstract":"Species richness is decreasing at a global scale. At subglobal scales, that is, within any defined area less extensive than the globe, species richness will increase when the number of nonnative species becoming naturalized is greater than the number of native species becoming extinct. Determining whether this has occurred is usually difficult because detailed records of species extinctions and naturalizations are rare; these records often exist, however, for oceanic islands. Here we show that species richness on oceanic islands has remained relatively unchanged for land birds, with the number of naturalizations being roughly equal to the number of extinctions, and has increased dramatically for vascular plants, with the number of naturalizations greatly exceeding the number of extinctions. In fact, for plants, the net number of species on islands has approximately doubled. We show further that these patterns are robust to differences in the history of human occupation of these islands and to the possibility of undocumented species extinctions. These results suggest that species richness may be increasing at subglobal scales for many groups and that future research should address what consequences this may have on ecological processes.","container-title":"The American Naturalist","DOI":"10.1086/343877","ISSN":"0003-0147","issue":"6","journalAbbreviation":"The American Naturalist","note":"publisher: The University of Chicago Press","page":"766-783","source":"journals.uchicago.edu (Atypon)","title":"Species Invasions Exceed Extinctions on Islands Worldwide: A Comparative Study of Plants and Birds.","title-short":"Species Invasions Exceed Extinctions on Islands Worldwide","URL":"https://www.journals.uchicago.edu/doi/abs/10.1086/343877","volume":"160","author":[{"family":"Sax","given":"Dov F."},{"family":"Gaines","given":"Steven D."},{"family":"Brown","given":"James H."}],"accessed":{"date-parts":[["2020",6,25]]},"issued":{"date-parts":[["2002",12,1]]}},"label":"page"}],"schema":"https://github.com/citation-style-language/schema/raw/master/csl-citation.json"} </w:instrText>
      </w:r>
      <w:r w:rsidR="37CD4787" w:rsidRPr="00837161">
        <w:fldChar w:fldCharType="separate"/>
      </w:r>
      <w:r w:rsidR="00D91D4E" w:rsidRPr="00837161">
        <w:t>(Sax et al., 2002; Simberloff et al., 2013</w:t>
      </w:r>
      <w:r w:rsidR="37CD4787" w:rsidRPr="00837161">
        <w:fldChar w:fldCharType="end"/>
      </w:r>
      <w:r w:rsidR="1B522148" w:rsidRPr="00837161">
        <w:t xml:space="preserve">; </w:t>
      </w:r>
      <w:r w:rsidR="00B52DF2">
        <w:rPr>
          <w:b/>
          <w:iCs/>
        </w:rPr>
        <w:t>C</w:t>
      </w:r>
      <w:r w:rsidR="6BA31443" w:rsidRPr="00B52DF2">
        <w:rPr>
          <w:b/>
          <w:iCs/>
        </w:rPr>
        <w:t>hapter</w:t>
      </w:r>
      <w:r w:rsidR="28AE65EB" w:rsidRPr="00B52DF2">
        <w:rPr>
          <w:b/>
          <w:iCs/>
        </w:rPr>
        <w:t xml:space="preserve"> </w:t>
      </w:r>
      <w:r w:rsidR="32C52ABD" w:rsidRPr="00B52DF2">
        <w:rPr>
          <w:b/>
          <w:iCs/>
        </w:rPr>
        <w:t>4</w:t>
      </w:r>
      <w:r w:rsidR="66269919" w:rsidRPr="00B52DF2">
        <w:rPr>
          <w:iCs/>
        </w:rPr>
        <w:t>,</w:t>
      </w:r>
      <w:r w:rsidR="18F6C111" w:rsidRPr="00B52DF2">
        <w:rPr>
          <w:b/>
          <w:iCs/>
        </w:rPr>
        <w:t xml:space="preserve"> </w:t>
      </w:r>
      <w:r w:rsidR="33E1F02F" w:rsidRPr="00B52DF2">
        <w:rPr>
          <w:b/>
          <w:iCs/>
        </w:rPr>
        <w:t>section</w:t>
      </w:r>
      <w:r w:rsidR="58F45C54" w:rsidRPr="00B52DF2">
        <w:rPr>
          <w:b/>
          <w:iCs/>
        </w:rPr>
        <w:t>s 4.3.1</w:t>
      </w:r>
      <w:r w:rsidR="1B522148" w:rsidRPr="00837161">
        <w:t>), however</w:t>
      </w:r>
      <w:r w:rsidR="66269919" w:rsidRPr="00837161">
        <w:t>,</w:t>
      </w:r>
      <w:r w:rsidR="1B522148" w:rsidRPr="00837161">
        <w:t xml:space="preserve"> eradication and control of invasive alien species on </w:t>
      </w:r>
      <w:r w:rsidR="0055311B" w:rsidRPr="00837161">
        <w:t xml:space="preserve">some </w:t>
      </w:r>
      <w:r w:rsidR="1B522148" w:rsidRPr="00837161">
        <w:t>islands</w:t>
      </w:r>
      <w:r w:rsidR="089DD4DC" w:rsidRPr="00837161">
        <w:t xml:space="preserve">, </w:t>
      </w:r>
      <w:r w:rsidR="2F1D7684" w:rsidRPr="00837161">
        <w:t>e</w:t>
      </w:r>
      <w:r w:rsidR="089DD4DC" w:rsidRPr="00837161">
        <w:t>specially vertebrates,</w:t>
      </w:r>
      <w:r w:rsidR="1B522148" w:rsidRPr="00837161">
        <w:t xml:space="preserve"> has been highly effective with rapid biodiversity benefits </w:t>
      </w:r>
      <w:r w:rsidR="37CD4787" w:rsidRPr="00837161">
        <w:fldChar w:fldCharType="begin"/>
      </w:r>
      <w:r w:rsidR="00CB1658">
        <w:instrText xml:space="preserve"> ADDIN ZOTERO_ITEM CSL_CITATION {"citationID":"izTx7Jl9","properties":{"unsorted":true,"formattedCitation":"(Howald et al., 2007; H. P. Jones et al., 2016; Genovesi, 2011)","plainCitation":"(Howald et al., 2007; H. P. Jones et al., 2016; Genovesi, 2011)","dontUpdate":true,"noteIndex":0},"citationItems":[{"id":24119,"uris":["http://zotero.org/groups/2352922/items/ZKIYLW4K"],"itemData":{"id":24119,"type":"article-journal","abstract":"Abstract: Invasive mammals are the greatest threat to island biodiversity and invasive rodents are likely responsible for the greatest number of extinctions and ecosystem changes. Techniques for eradicating rodents from islands were developed over 2 decades ago. Since that time there has been a significant development and application of this conservation tool. We reviewed the literature on invasive rodent eradications to assess its current state and identify actions to make it more effective. Worldwide, 332 successful rodent eradications have been undertaken; we identified 35 failed eradications and 20 campaigns of unknown result. Invasive rodents have been eradicated from 284 islands (47,628 ha). With the exception of two small islands, rodenticides were used in all eradication campaigns. Brodifacoum was used in 71% of campaigns and 91% of the total area treated. The most frequent rodenticide distribution methods (from most to least) are bait stations, hand broadcasting, and aerial broadcasting. Nevertheless, campaigns using aerial broadcast made up 76% of the total area treated. Mortality of native vertebrates due to nontarget poisoning has been documented, but affected species quickly recover to pre-eradication population levels or higher. A variety of methods have been developed to mitigate nontarget impacts, and applied research can further aid in minimizing impacts. Land managers should routinely remove invasive rodents from islands &lt;100 ha that lack vertebrates susceptible to nontarget poisoning. For larger islands and those that require nontarget mitigation, expert consultation and greater planning effort are needed. With the exception of house mice (Mus musculus), island size may no longer be the limiting factor for rodent eradications; rather, social acceptance and funding may be the main challenges. To be successful, large-scale rodent campaigns should be integrated with programs to improve the livelihoods of residents, island biosecurity, and reinvasion response programs.","container-title":"Conservation Biology","DOI":"10.1111/j.1523-1739.2007.00755.x","ISSN":"1523-1739","issue":"5","language":"en","note":"_eprint: https://conbio.onlinelibrary.wiley.com/doi/pdf/10.1111/j.1523-1739.2007.00755.x","page":"1258-1268","source":"Wiley Online Library","title":"Invasive rodent eradication on islands","URL":"https://conbio.onlinelibrary.wiley.com/doi/abs/10.1111/j.1523-1739.2007.00755.x","volume":"21","author":[{"family":"Howald","given":"Gregg"},{"family":"Donlan","given":"C. Josh"},{"family":"Galván","given":"Juan Pablo"},{"family":"Russell","given":"James C."},{"family":"Parkes","given":"John"},{"family":"Samaniego","given":"Araceli"},{"family":"Wang","given":"Yiwei"},{"family":"Veitch","given":"Dick"},{"family":"Genovesi","given":"Piero"},{"family":"Pascal","given":"Michel"},{"family":"Saunders","given":"Alan"},{"family":"Tershy","given":"Bernie"}],"accessed":{"date-parts":[["2020",6,25]]},"issued":{"date-parts":[["2007"]]}},"label":"page"},{"id":30455,"uris":["http://zotero.org/groups/2352922/items/M2IGIBMJ"],"itemData":{"id":30455,"type":"article-journal","abstract":"More than US$21 billion is spent annually on biodiversity conservation. Despite their importance for preventing or slowing extinctions and preserving biodiversity, conservation interventions are rarely assessed systematically for their global impact. Islands house a disproportionately higher amount of biodiversity compared with mainlands, much of which is highly threatened with extinction. Indeed, island species make up nearly two-thirds of recent extinctions. Islands therefore are critical targets of conservation. We used an extensive literature and database review paired with expert interviews to estimate the global benefits of an increasingly used conservation action to stem biodiversity loss: eradication of invasive mammals on islands. We found 236 native terrestrial insular faunal species (596 populations) that benefitted through positive demographic and/or distributional responses from 251 eradications of invasive mammals on 181 islands. Seven native species (eight populations) were negatively impacted by invasive mammal eradication. Four threatened species had their International Union for the Conservation of Nature (IUCN) Red List extinction-risk categories reduced as a direct result of invasive mammal eradication, and no species moved to a higher extinction-risk category. We predict that 107 highly threatened birds, mammals, and reptiles on the IUCN Red List—6% of all these highly threatened species—likely have benefitted from invasive mammal eradications on islands. Because monitoring of eradication outcomes is sporadic and limited, the impacts of global eradications are likely greater than we report here. Our results highlight the importance of invasive mammal eradication on islands for protecting the world's most imperiled fauna.","container-title":"Proceedings of the National Academy of Sciences","DOI":"10.1073/pnas.1521179113","ISSN":"0027-8424, 1091-6490","issue":"15","journalAbbreviation":"Proc Natl Acad Sci USA","language":"en","page":"4033-4038","source":"DOI.org (Crossref)","title":"Invasive mammal eradication on islands results in substantial conservation gains","URL":"http://www.pnas.org/lookup/doi/10.1073/pnas.1521179113","volume":"113","author":[{"family":"Jones","given":"Holly P."},{"family":"Holmes","given":"Nick D."},{"family":"Butchart","given":"Stuart H. M."},{"family":"Tershy","given":"Bernie R."},{"family":"Kappes","given":"Peter J."},{"family":"Corkery","given":"Ilse"},{"family":"Aguirre-Muñoz","given":"Alfonso"},{"family":"Armstrong","given":"Doug P."},{"family":"Bonnaud","given":"Elsa"},{"family":"Burbidge","given":"Andrew A."},{"family":"Campbell","given":"Karl"},{"family":"Courchamp","given":"Franck"},{"family":"Cowan","given":"Philip E."},{"family":"Cuthbert","given":"Richard J."},{"family":"Ebbert","given":"Steve"},{"family":"Genovesi","given":"Piero"},{"family":"Howald","given":"Gregg R."},{"family":"Keitt","given":"Bradford S."},{"family":"Kress","given":"Stephen W."},{"family":"Miskelly","given":"Colin M."},{"family":"Oppel","given":"Steffen"},{"family":"Poncet","given":"Sally"},{"family":"Rauzon","given":"Mark J."},{"family":"Rocamora","given":"Gérard"},{"family":"Russell","given":"James C."},{"family":"Samaniego-Herrera","given":"Araceli"},{"family":"Seddon","given":"Philip J."},{"family":"Spatz","given":"Dena R."},{"family":"Towns","given":"David R."},{"family":"Croll","given":"Donald A."}],"accessed":{"date-parts":[["2020",5,8]]},"issued":{"date-parts":[["2016",4,12]]}},"label":"page"},{"id":10008,"uris":["http://zotero.org/groups/2352922/items/89MQRQCN"],"itemData":{"id":10008,"type":"chapter","abstract":"Biological invasions are a major driver of the ongoing loss of biodiversity, and if the global community wants to reverse this trend it is crucial that formal commitments be transformed into action. On the basis of the more than 1000 eradications attempted worldwide, we can now say that eradication projects are a powerful conservation tool that has contributed to improving the conservation status of several threatened species. The growing sophistication of the scientiﬁc and technical basis of eradications now allows us to target much larger areas than in the past, and the eradication of species in much more challenging taxonomic groups. Also, it is now possible to minimise the risk of undesired effects of eradications, ensuring selectivity of the removal methods and minimised impacts on the environment. Despite these advances, the implementation of removal campaigns is still limited, partly by prejudices and ignorance, but also by serious concerns from a part of society, which we need to take seriously into account. It is important to ensure a correct and transparent ﬂow of information. If the global community wants to fulﬁl the commitment to reverse the present rate of biodiversity loss, it is crucial to increase the application of invasive species removal campaigns and to support large scale ﬂagship projects, as well as by developing frameworks that permit the rapid detection and removal of newly established invasive species.","container-title":"Island Invasives: Eradication  and Management. Proceedings of the International Conference on Island Invasives","event-place":"Gland, Switzerland and Auckland, New Zealand","language":"en","page":"4","publisher":"IUCN and The Centre for Biodiversity and Biosecurity (CBB)","publisher-place":"Gland, Switzerland and Auckland, New Zealand","source":"Zotero","title":"Are we turning the tide? Eradications in times of crisis: how the global community is responding to biological invasions","URL":"https://www.researchgate.net/publication/233755935_Are_we_turning_the_tide_Eradications_in_times_of_crisis_how_the_global_community_is_responding_to_biological_invasions","author":[{"family":"Genovesi","given":"Piero"}],"editor":[{"family":"Veitch","given":"C. R."},{"family":"Clout","given":"M. N."},{"family":"Towns","given":"D. R."}],"issued":{"date-parts":[["2011"]]}},"label":"page"}],"schema":"https://github.com/citation-style-language/schema/raw/master/csl-citation.json"} </w:instrText>
      </w:r>
      <w:r w:rsidR="37CD4787" w:rsidRPr="00837161">
        <w:fldChar w:fldCharType="separate"/>
      </w:r>
      <w:r w:rsidR="00616626" w:rsidRPr="00616626">
        <w:t>(Howald et al., 2007; H. P. Jones et al., 2016; Genovesi, 2011</w:t>
      </w:r>
      <w:r w:rsidR="37CD4787" w:rsidRPr="00837161">
        <w:fldChar w:fldCharType="end"/>
      </w:r>
      <w:r w:rsidR="23CCA5BD" w:rsidRPr="00837161">
        <w:t xml:space="preserve">; </w:t>
      </w:r>
      <w:r w:rsidR="1B522148" w:rsidRPr="00B52DF2">
        <w:rPr>
          <w:b/>
          <w:iCs/>
        </w:rPr>
        <w:t>section 5.</w:t>
      </w:r>
      <w:r w:rsidR="670090D6" w:rsidRPr="00B52DF2">
        <w:rPr>
          <w:b/>
          <w:iCs/>
        </w:rPr>
        <w:t>5</w:t>
      </w:r>
      <w:r w:rsidR="1B522148" w:rsidRPr="00837161">
        <w:rPr>
          <w:rFonts w:eastAsia="Times New Roman"/>
        </w:rPr>
        <w:t>)</w:t>
      </w:r>
      <w:r w:rsidR="1B522148" w:rsidRPr="00837161">
        <w:t xml:space="preserve">. </w:t>
      </w:r>
      <w:r w:rsidR="1B522148" w:rsidRPr="00837161">
        <w:rPr>
          <w:rFonts w:eastAsia="Times New Roman"/>
        </w:rPr>
        <w:t>On the Motuopao Island (New Zealand</w:t>
      </w:r>
      <w:r w:rsidR="580A66A4" w:rsidRPr="00837161">
        <w:rPr>
          <w:rFonts w:eastAsia="Times New Roman"/>
        </w:rPr>
        <w:t>)</w:t>
      </w:r>
      <w:r w:rsidR="26636246" w:rsidRPr="00837161">
        <w:rPr>
          <w:rFonts w:eastAsia="Times New Roman"/>
        </w:rPr>
        <w:t>,</w:t>
      </w:r>
      <w:r w:rsidR="1B522148" w:rsidRPr="00837161">
        <w:rPr>
          <w:rFonts w:eastAsia="Times New Roman"/>
        </w:rPr>
        <w:t xml:space="preserve"> a </w:t>
      </w:r>
      <w:r>
        <w:t xml:space="preserve">species-based </w:t>
      </w:r>
      <w:r w:rsidR="1B522148" w:rsidRPr="00837161">
        <w:rPr>
          <w:rFonts w:eastAsia="Times New Roman"/>
        </w:rPr>
        <w:t>control program</w:t>
      </w:r>
      <w:r w:rsidR="15CFF1FD" w:rsidRPr="00837161">
        <w:t>me</w:t>
      </w:r>
      <w:r w:rsidR="1B522148" w:rsidRPr="00837161">
        <w:rPr>
          <w:rFonts w:eastAsia="Times New Roman"/>
        </w:rPr>
        <w:t xml:space="preserve"> of invasive alien plant species assisted native </w:t>
      </w:r>
      <w:r w:rsidR="003A0F44" w:rsidRPr="00837161">
        <w:rPr>
          <w:rFonts w:eastAsia="Times New Roman"/>
        </w:rPr>
        <w:t xml:space="preserve">grasslands to recover following the control of </w:t>
      </w:r>
      <w:r w:rsidR="0586F40A" w:rsidRPr="00837161">
        <w:rPr>
          <w:rFonts w:eastAsia="Times New Roman"/>
          <w:i/>
          <w:iCs/>
        </w:rPr>
        <w:t>Malva</w:t>
      </w:r>
      <w:r w:rsidR="003A0F44" w:rsidRPr="00837161">
        <w:rPr>
          <w:rFonts w:eastAsia="Times New Roman"/>
          <w:i/>
          <w:iCs/>
        </w:rPr>
        <w:t xml:space="preserve"> arborea</w:t>
      </w:r>
      <w:r w:rsidR="003A0F44" w:rsidRPr="00837161">
        <w:rPr>
          <w:rFonts w:eastAsia="Times New Roman"/>
        </w:rPr>
        <w:t xml:space="preserve"> (tree mallow</w:t>
      </w:r>
      <w:r w:rsidR="004C2628" w:rsidRPr="00837161">
        <w:rPr>
          <w:rFonts w:eastAsia="Times New Roman"/>
        </w:rPr>
        <w:t>;</w:t>
      </w:r>
      <w:r w:rsidR="1B522148" w:rsidRPr="00837161">
        <w:rPr>
          <w:rFonts w:eastAsia="Times New Roman"/>
        </w:rPr>
        <w:t xml:space="preserve"> </w:t>
      </w:r>
      <w:r w:rsidR="37CD4787" w:rsidRPr="00837161">
        <w:rPr>
          <w:rFonts w:eastAsia="Times New Roman"/>
        </w:rPr>
        <w:fldChar w:fldCharType="begin"/>
      </w:r>
      <w:r w:rsidR="000F35EB">
        <w:rPr>
          <w:rFonts w:eastAsia="Times New Roman"/>
        </w:rPr>
        <w:instrText xml:space="preserve"> ADDIN ZOTERO_ITEM CSL_CITATION {"citationID":"mRjGLkem","properties":{"formattedCitation":"(Beauchamp &amp; Ward, 2011)","plainCitation":"(Beauchamp &amp; Ward, 2011)","dontUpdate":true,"noteIndex":0},"citationItems":[{"id":16418,"uris":["http://zotero.org/groups/2352922/items/Z8AP82LN"],"itemData":{"id":16418,"type":"paper-conference","abstract":"Motuopao Island (30 ha), on the north western tip of the North Island, New Zealand, comprises 118 m high \nbasaltic stacks covered in sand. It holds substantial breeding populations of black-winged petrel (Pterodroma nigripennis) \nand common diving petrel (Pelecanoides urinatrix). The island was a manned lighthouse station between 1879 and 1940 \nand was grazed by sheep (Ovis aries). In 1989, the Department of Conservation eradicated Pacifi c rat (Rattus exulans) and \nin 1997 it commenced control of weeds including Madeira vine (Anredera cordifolia), smilax (Asparagus asparagoides) \nand Gladiolus cardinalis, wallfl ower (Cheiranthus cheiri), and tree mallow (Lavatera arborea). Weed control was initiated \nto control the spread of the remaining garden plants and to remove ecosystem impacting plants before restoration of native \nhabitats. Annual visits were not controlling or eradicating the remaining targeted species, and since 2005 two visits have \nbeen undertaken during April-May and October-November each year. Removal rates in the 0.2 ha gridded area of Madeira \nvine has declined from 1.25 kg per person hour in November 2006 to 0.66 kg per person hour in April 2009. Smilax has \nbeen recorded within 3.5 ha, and the amount removed has fallen from 5.5 kg per site in November 2005 to 0.36 kg per site \nin April 2009, as older plants and then seedlings have been removed. Tree mallow has been controlled over the accessible \nregions to prevent seeding, and the two former areas that had a mallow canopy have started to revert to grassland. Gladioli \nand wallfl ower are near elimination.","container-title":"Island Invasives: Eradication and Management","event-place":"Gland, Switzerland and Auckland, New Zealand","event-title":"International Conference on Island Invasives","page":"264-268","publisher":"IUCN and The Centre for Biodiversity and Biosecurity (CBB)","publisher-place":"Gland, Switzerland and Auckland, New Zealand","title":"A targeted approach to multi-species control and eradication of escaped garden and ecosystem modifying weeds on Motuopao Island, Northland, New Zealand","URL":"https://portals.iucn.org/library/efiles/documents/ssc-op-042.pdf","author":[{"family":"Beauchamp","given":"A. J."},{"family":"Ward","given":"E."}],"editor":[{"family":"Veitch","given":"C. R."},{"family":"Clout","given":"M. N."},{"family":"Towns","given":"D. R."}],"issued":{"date-parts":[["2011"]]}},"label":"page"}],"schema":"https://github.com/citation-style-language/schema/raw/master/csl-citation.json"} </w:instrText>
      </w:r>
      <w:r w:rsidR="37CD4787" w:rsidRPr="00837161">
        <w:rPr>
          <w:rFonts w:eastAsia="Times New Roman"/>
        </w:rPr>
        <w:fldChar w:fldCharType="separate"/>
      </w:r>
      <w:r w:rsidR="00D91D4E" w:rsidRPr="00837161">
        <w:t>Beauchamp &amp; Ward, 2011)</w:t>
      </w:r>
      <w:r w:rsidR="37CD4787" w:rsidRPr="00837161">
        <w:rPr>
          <w:rFonts w:eastAsia="Times New Roman"/>
        </w:rPr>
        <w:fldChar w:fldCharType="end"/>
      </w:r>
      <w:r w:rsidR="1B522148" w:rsidRPr="00837161">
        <w:rPr>
          <w:rFonts w:eastAsia="Times New Roman"/>
        </w:rPr>
        <w:t xml:space="preserve">. Holmes et al. </w:t>
      </w:r>
      <w:r w:rsidR="37CD4787" w:rsidRPr="00837161">
        <w:rPr>
          <w:rFonts w:eastAsia="Times New Roman"/>
        </w:rPr>
        <w:fldChar w:fldCharType="begin"/>
      </w:r>
      <w:r w:rsidR="000F35EB">
        <w:rPr>
          <w:rFonts w:eastAsia="Times New Roman"/>
        </w:rPr>
        <w:instrText xml:space="preserve"> ADDIN ZOTERO_ITEM CSL_CITATION {"citationID":"3HDfIDu1","properties":{"formattedCitation":"(2019)","plainCitation":"(2019)","noteIndex":0},"citationItems":[{"id":24249,"uris":["http://zotero.org/groups/2352922/items/FEQ4MY97"],"itemData":{"id":24249,"type":"article-journal","abstract":"Invasive alien species are a major threat to native insular species. Eradicating invasive mammals from islands is a feasible and proven approach to prevent biodiversity loss. We developed a conceptual framework to identify globally important islands for invasive mammal eradications to prevent imminent extinctions of highly threatened species using biogeographic and technical factors, plus a novel approach to consider socio-political feasibility. We applied this framework using a comprehensive dataset describing the distribution of 1,184 highly threatened native vertebrate species (i.e. those listed as Critically Endangered or Endangered on the IUCN Red List) and 184 non-native mammals on 1,279 islands worldwide. Based on extinction risk, irreplaceability, severity of impact from invasive species, and technical feasibility of eradication, we identified and ranked 292 of the most important islands where eradicating invasive mammals would benefit highly threatened vertebrates. When socio-political feasibility was considered, we identified 169 of these islands where eradication planning or operation could be initiated by 2020 or 2030 and would improve the survival prospects of 9.4% of the Earth’s most highly threatened terrestrial insular vertebrates (111 of 1,184 species). Of these, 107 islands were in 34 countries and territories and could have eradication projects initiated by 2020. Concentrating efforts to eradicate invasive mammals on these 107 islands would benefit 151 populations of 80 highly threatened vertebrates and make a major contribution towards achieving global conservation targets adopted by the world’s nations.","container-title":"PLoS ONE","DOI":"10.1371/journal.pone.0212128","ISSN":"1932-6203","issue":"3","journalAbbreviation":"PLOS ONE","language":"en","page":"e0212128","source":"PLoS Journals","title":"Globally important islands where eradicating invasive mammals will benefit highly threatened vertebrates","URL":"https://journals.plos.org/plosone/article?id=10.1371/journal.pone.0212128","volume":"14","author":[{"family":"Holmes","given":"Nick D."},{"family":"Spatz","given":"Dena R."},{"family":"Oppel","given":"Steffen"},{"family":"Tershy","given":"Bernie"},{"family":"Croll","given":"Donald A."},{"family":"Keitt","given":"Brad"},{"family":"Genovesi","given":"Piero"},{"family":"Burfield","given":"Ian J."},{"family":"Will","given":"David J."},{"family":"Bond","given":"Alexander L."},{"family":"Wegmann","given":"Alex"},{"family":"Aguirre-Muñoz","given":"Alfonso"},{"family":"Raine","given":"André F."},{"family":"Knapp","given":"Charles R."},{"family":"Hung","given":"Chung-Hang"},{"family":"Wingate","given":"David"},{"family":"Hagen","given":"Erin"},{"family":"Méndez-Sánchez","given":"Federico"},{"family":"Rocamora","given":"Gerard"},{"family":"Yuan","given":"Hsiao-Wei"},{"family":"Fric","given":"Jakob"},{"family":"Millett","given":"James"},{"family":"Russell","given":"James"},{"family":"Liske-Clark","given":"Jill"},{"family":"Vidal","given":"Eric"},{"family":"Jourdan","given":"Hervé"},{"family":"Campbell","given":"Karl"},{"family":"Springer","given":"Keith"},{"family":"Swinnerton","given":"Kirsty"},{"family":"Gibbons-Decherong","given":"Lolita"},{"family":"Langrand","given":"Olivier"},{"family":"Brooke","given":"M. de L."},{"family":"McMinn","given":"Miguel"},{"family":"Bunbury","given":"Nancy"},{"family":"Oliveira","given":"Nuno"},{"family":"Sposimo","given":"Paolo"},{"family":"Geraldes","given":"Pedro"},{"family":"McClelland","given":"Pete"},{"family":"Hodum","given":"Peter"},{"family":"Ryan","given":"Peter G."},{"family":"Borroto-Páez","given":"Rafael"},{"family":"Pierce","given":"Ray"},{"family":"Griffiths","given":"Richard"},{"family":"Fisher","given":"Robert N."},{"family":"Wanless","given":"Ross"},{"family":"Pasachnik","given":"Stesha A."},{"family":"Cranwell","given":"Steve"},{"family":"Micol","given":"Thierry"},{"family":"Butchart","given":"Stuart H. M."}],"accessed":{"date-parts":[["2019",10,12]]},"issued":{"date-parts":[["2019",3,27]]}},"label":"page","suppress-author":true}],"schema":"https://github.com/citation-style-language/schema/raw/master/csl-citation.json"} </w:instrText>
      </w:r>
      <w:r w:rsidR="37CD4787" w:rsidRPr="00837161">
        <w:rPr>
          <w:rFonts w:eastAsia="Times New Roman"/>
        </w:rPr>
        <w:fldChar w:fldCharType="separate"/>
      </w:r>
      <w:r w:rsidR="00271B78" w:rsidRPr="00271B78">
        <w:t>(2019)</w:t>
      </w:r>
      <w:r w:rsidR="37CD4787" w:rsidRPr="00837161">
        <w:rPr>
          <w:rFonts w:eastAsia="Times New Roman"/>
        </w:rPr>
        <w:fldChar w:fldCharType="end"/>
      </w:r>
      <w:r w:rsidR="1B522148" w:rsidRPr="00837161">
        <w:rPr>
          <w:rFonts w:eastAsia="Times New Roman"/>
        </w:rPr>
        <w:t xml:space="preserve"> identified 169 globally important islands where invasive alien mammal eradications would assist threatened vertebrate species. This was based on a conceptual framework considering biogeographic (i.e., extinction risk, irreplaceability, severity of impact from invasive </w:t>
      </w:r>
      <w:r w:rsidR="52E09723" w:rsidRPr="00837161">
        <w:rPr>
          <w:rFonts w:eastAsia="Times New Roman"/>
        </w:rPr>
        <w:t xml:space="preserve">alien </w:t>
      </w:r>
      <w:r w:rsidR="1B522148" w:rsidRPr="00837161">
        <w:rPr>
          <w:rFonts w:eastAsia="Times New Roman"/>
        </w:rPr>
        <w:t xml:space="preserve">species) and technical feasibility of eradication (i.e., operational cost of </w:t>
      </w:r>
      <w:r w:rsidR="352BEBA4" w:rsidRPr="00837161">
        <w:rPr>
          <w:rFonts w:eastAsia="Times New Roman"/>
        </w:rPr>
        <w:t xml:space="preserve">the </w:t>
      </w:r>
      <w:r w:rsidR="1B522148" w:rsidRPr="00837161">
        <w:rPr>
          <w:rFonts w:eastAsia="Times New Roman"/>
        </w:rPr>
        <w:t>program</w:t>
      </w:r>
      <w:r w:rsidR="15CFF1FD" w:rsidRPr="00837161">
        <w:t>me</w:t>
      </w:r>
      <w:r w:rsidR="1B522148" w:rsidRPr="00837161">
        <w:rPr>
          <w:rFonts w:eastAsia="Times New Roman"/>
        </w:rPr>
        <w:t xml:space="preserve">, size of the island, no permanent human settlements) as well as socio-political feasibility to initiate an invasive mammal eradication project by 2020 or 2030. The list included some </w:t>
      </w:r>
      <w:r w:rsidR="00D118F0" w:rsidRPr="00837161">
        <w:rPr>
          <w:rFonts w:eastAsia="Times New Roman"/>
        </w:rPr>
        <w:t xml:space="preserve">SIDS </w:t>
      </w:r>
      <w:r w:rsidR="2CFAD60A" w:rsidRPr="00837161">
        <w:rPr>
          <w:rFonts w:eastAsia="Times New Roman"/>
        </w:rPr>
        <w:t>such</w:t>
      </w:r>
      <w:r w:rsidR="1B522148" w:rsidRPr="00837161">
        <w:rPr>
          <w:rFonts w:eastAsia="Times New Roman"/>
        </w:rPr>
        <w:t xml:space="preserve"> as Bermuda, Cape Verde, Cuba, Fiji, Kiribati, Palau and the Seychelles. </w:t>
      </w:r>
    </w:p>
    <w:p w14:paraId="000001FD" w14:textId="22C940CD" w:rsidR="00A758FD" w:rsidRPr="0079215C" w:rsidRDefault="4A87ED45" w:rsidP="0079215C">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254" w:name="_Ref104972531"/>
      <w:bookmarkStart w:id="255" w:name="_Toc87623068"/>
      <w:bookmarkStart w:id="256" w:name="_Toc147488943"/>
      <w:r w:rsidRPr="0079215C">
        <w:rPr>
          <w:b/>
          <w:bCs/>
        </w:rPr>
        <w:t>Box 5.</w:t>
      </w:r>
      <w:r w:rsidRPr="0079215C">
        <w:rPr>
          <w:b/>
          <w:bCs/>
        </w:rPr>
        <w:fldChar w:fldCharType="begin"/>
      </w:r>
      <w:r w:rsidRPr="0079215C">
        <w:rPr>
          <w:b/>
          <w:bCs/>
        </w:rPr>
        <w:instrText>SEQ Box_5. \* ARABIC</w:instrText>
      </w:r>
      <w:r w:rsidRPr="0079215C">
        <w:rPr>
          <w:b/>
          <w:bCs/>
        </w:rPr>
        <w:fldChar w:fldCharType="separate"/>
      </w:r>
      <w:r w:rsidR="00DC77F8" w:rsidRPr="0079215C">
        <w:rPr>
          <w:b/>
          <w:bCs/>
          <w:noProof/>
        </w:rPr>
        <w:t>8</w:t>
      </w:r>
      <w:r w:rsidRPr="0079215C">
        <w:rPr>
          <w:b/>
          <w:bCs/>
        </w:rPr>
        <w:fldChar w:fldCharType="end"/>
      </w:r>
      <w:bookmarkEnd w:id="254"/>
      <w:r w:rsidR="00326D4E" w:rsidRPr="0079215C">
        <w:rPr>
          <w:b/>
          <w:bCs/>
        </w:rPr>
        <w:t>.</w:t>
      </w:r>
      <w:bookmarkStart w:id="257" w:name="_heading=h.3vac5uf" w:colFirst="0" w:colLast="0"/>
      <w:bookmarkEnd w:id="257"/>
      <w:r w:rsidR="00C81287" w:rsidRPr="0079215C">
        <w:rPr>
          <w:b/>
          <w:color w:val="000000"/>
        </w:rPr>
        <w:t xml:space="preserve"> Case study: Eradication of five species of invasive alien vertebrates in the archipelago of French Polynesia</w:t>
      </w:r>
      <w:bookmarkEnd w:id="255"/>
      <w:bookmarkEnd w:id="256"/>
    </w:p>
    <w:p w14:paraId="000001FE" w14:textId="1363DBD3" w:rsidR="00A758FD" w:rsidRPr="00C0338D" w:rsidRDefault="00C81287" w:rsidP="0079215C">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rPr>
          <w:i/>
        </w:rPr>
      </w:pPr>
      <w:r w:rsidRPr="00C0338D">
        <w:t xml:space="preserve">On six islands of the archipelago of French Polynesia, a project was undertaken in 2015 to eradicate five species of invasive alien vertebrates: </w:t>
      </w:r>
      <w:r w:rsidRPr="00C0338D">
        <w:rPr>
          <w:i/>
        </w:rPr>
        <w:t>Rattus exulans</w:t>
      </w:r>
      <w:r w:rsidRPr="00C0338D">
        <w:t xml:space="preserve"> (Pacific rat), </w:t>
      </w:r>
      <w:r w:rsidRPr="00C0338D">
        <w:rPr>
          <w:i/>
        </w:rPr>
        <w:t>Rattus rattus</w:t>
      </w:r>
      <w:r w:rsidRPr="00C0338D">
        <w:t xml:space="preserve"> (black rat), </w:t>
      </w:r>
      <w:r w:rsidRPr="00C0338D">
        <w:rPr>
          <w:i/>
        </w:rPr>
        <w:t>Felis catus</w:t>
      </w:r>
      <w:r w:rsidRPr="00C0338D">
        <w:t xml:space="preserve"> (cat), </w:t>
      </w:r>
      <w:r w:rsidRPr="00C0338D">
        <w:rPr>
          <w:i/>
        </w:rPr>
        <w:t>Oryctolagus cuniculus</w:t>
      </w:r>
      <w:r w:rsidRPr="00C0338D">
        <w:t xml:space="preserve"> (rabbits) and </w:t>
      </w:r>
      <w:r w:rsidRPr="00C0338D">
        <w:rPr>
          <w:i/>
        </w:rPr>
        <w:t>Capra hircus</w:t>
      </w:r>
      <w:r w:rsidRPr="00C0338D">
        <w:t xml:space="preserve"> (goats)</w:t>
      </w:r>
      <w:r w:rsidR="00AC4F21">
        <w:t>.</w:t>
      </w:r>
      <w:r w:rsidRPr="00C0338D">
        <w:t xml:space="preserve"> </w:t>
      </w:r>
      <w:r w:rsidR="00AC4F21">
        <w:t>The project</w:t>
      </w:r>
      <w:r w:rsidR="00AC4F21" w:rsidRPr="00C0338D">
        <w:t xml:space="preserve"> </w:t>
      </w:r>
      <w:r w:rsidRPr="00C0338D">
        <w:t>was successful on five of the six islands (Pacific rats survived at one site). A management plan was developed and implemented</w:t>
      </w:r>
      <w:r w:rsidR="00C166ED">
        <w:t xml:space="preserve"> that</w:t>
      </w:r>
      <w:r w:rsidRPr="00C0338D">
        <w:t xml:space="preserve"> aimed </w:t>
      </w:r>
      <w:r w:rsidR="00C166ED">
        <w:t>to</w:t>
      </w:r>
      <w:r w:rsidR="00C166ED" w:rsidRPr="00C0338D">
        <w:t xml:space="preserve"> </w:t>
      </w:r>
      <w:r w:rsidRPr="00C0338D">
        <w:t>restor</w:t>
      </w:r>
      <w:r w:rsidR="00C166ED">
        <w:t>e</w:t>
      </w:r>
      <w:r w:rsidRPr="00C0338D">
        <w:t xml:space="preserve"> populations of the endangered </w:t>
      </w:r>
      <w:r w:rsidRPr="00C0338D">
        <w:rPr>
          <w:i/>
        </w:rPr>
        <w:t>Pampusana erythroptera</w:t>
      </w:r>
      <w:r w:rsidRPr="00C0338D">
        <w:t xml:space="preserve"> (Polynesian ground dove), </w:t>
      </w:r>
      <w:r w:rsidRPr="00C0338D">
        <w:rPr>
          <w:i/>
        </w:rPr>
        <w:t>Nesofregetta fuliginosa</w:t>
      </w:r>
      <w:r w:rsidRPr="00C0338D">
        <w:t xml:space="preserve"> (Polynesian storm-petrel) and </w:t>
      </w:r>
      <w:r w:rsidRPr="00C0338D">
        <w:rPr>
          <w:i/>
        </w:rPr>
        <w:t>Aechmorhynchus parvirostris</w:t>
      </w:r>
      <w:r w:rsidRPr="00C0338D">
        <w:t xml:space="preserve"> (Tuamotu sandpiper), as well as other native plant and animal species. International and local conservation </w:t>
      </w:r>
      <w:r w:rsidR="00C166ED">
        <w:t>n</w:t>
      </w:r>
      <w:r w:rsidRPr="00C0338D">
        <w:t xml:space="preserve">on-governmental </w:t>
      </w:r>
      <w:r w:rsidR="00C166ED">
        <w:t>o</w:t>
      </w:r>
      <w:r w:rsidRPr="00C0338D">
        <w:t xml:space="preserve">rganizations as well as local communities were involved from the planning phase to the execution of the management actions. Although implementation was challenging, this collective approach proved more cost-effective than if each island had been targeted individually. Effective engagement of stakeholders was key for the success of the project. </w:t>
      </w:r>
      <w:r w:rsidR="268F1151" w:rsidRPr="00837161">
        <w:t xml:space="preserve">The livelihood of local communities was also improved through the project </w:t>
      </w:r>
      <w:r w:rsidR="00975F90" w:rsidRPr="00837161">
        <w:fldChar w:fldCharType="begin"/>
      </w:r>
      <w:r w:rsidR="000F35EB">
        <w:instrText xml:space="preserve"> ADDIN ZOTERO_ITEM CSL_CITATION {"citationID":"NEIFr4Zs","properties":{"formattedCitation":"(Griffiths et al., 2019)","plainCitation":"(Griffiths et al., 2019)","noteIndex":0},"citationItems":[{"id":10228,"uris":["http://zotero.org/groups/2352922/items/QZNGJ9LR"],"itemData":{"id":10228,"type":"chapter","collection-title":"Occasional Paper SSC no. 62","container-title":"Island invasives: scaling up to meet the challenge","event-place":"Gland, Switzerland and Cambridge, UK","page":"611–617","publisher":"IUCN SSC Invasive Species Specialist Group","publisher-place":"Gland, Switzerland and Cambridge, UK","title":"Multi island, multi invasive species eradication in French Polynesia demonstrates economies of scale","URL":"http://www.issg.org/pdf/publications/Island_Invasives/pdfHQprint/2Griffiths.pdf","author":[{"family":"Griffiths","given":"Richard"},{"family":"Cranwell","given":"Steve"},{"family":"Derand","given":"D"},{"family":"Ghestemme","given":"T"},{"family":"Will","given":"D"},{"family":"Zito","given":"J"},{"family":"Hall","given":"T"},{"family":"Pott","given":"M"},{"family":"Coulston","given":"G"}],"editor":[{"family":"Veitch","given":"C. R."},{"family":"Clout","given":"M. N."},{"family":"Martin","given":"A. R."},{"family":"Russell","given":"J. C."},{"family":"West","given":"C. J."}],"issued":{"date-parts":[["2019"]]}},"label":"page"}],"schema":"https://github.com/citation-style-language/schema/raw/master/csl-citation.json"} </w:instrText>
      </w:r>
      <w:r w:rsidR="00975F90" w:rsidRPr="00837161">
        <w:fldChar w:fldCharType="separate"/>
      </w:r>
      <w:r w:rsidR="00271B78" w:rsidRPr="00271B78">
        <w:t>(Griffiths et al., 2019)</w:t>
      </w:r>
      <w:r w:rsidR="00975F90" w:rsidRPr="00837161">
        <w:fldChar w:fldCharType="end"/>
      </w:r>
      <w:r w:rsidR="268F1151" w:rsidRPr="00837161">
        <w:t>.</w:t>
      </w:r>
    </w:p>
    <w:p w14:paraId="000001FF" w14:textId="753BDCE1" w:rsidR="00A758FD" w:rsidRPr="00C0338D" w:rsidRDefault="00C81287">
      <w:pPr>
        <w:spacing w:before="240" w:after="120" w:line="240" w:lineRule="auto"/>
      </w:pPr>
      <w:r w:rsidRPr="00C0338D">
        <w:t>Island eradication programmes employing species-</w:t>
      </w:r>
      <w:r w:rsidR="2A35A15D">
        <w:t>based</w:t>
      </w:r>
      <w:r w:rsidRPr="00C0338D">
        <w:t xml:space="preserve"> approaches focus on the eradication of multiple invasive alien species which, although challenging in planning, proved to be both successful and cost-effective. For example, a plan to eradicate five invasive alien mammal species on six islands in the archipelago of French Polynesia led to recovery of critically endangered species </w:t>
      </w:r>
      <w:r w:rsidR="6F37074E" w:rsidRPr="00837161">
        <w:rPr>
          <w:rFonts w:eastAsia="Times New Roman"/>
        </w:rPr>
        <w:t>(</w:t>
      </w:r>
      <w:r w:rsidR="00AC4F21" w:rsidRPr="00AC1F76">
        <w:rPr>
          <w:rFonts w:eastAsia="Times New Roman"/>
          <w:b/>
          <w:bCs/>
        </w:rPr>
        <w:t>Box 5.9</w:t>
      </w:r>
      <w:r w:rsidR="6F37074E" w:rsidRPr="00837161">
        <w:rPr>
          <w:rFonts w:eastAsia="Times New Roman"/>
        </w:rPr>
        <w:t>).</w:t>
      </w:r>
      <w:r w:rsidRPr="00C0338D">
        <w:t xml:space="preserve"> Such management programmes on islands have also been part of large programmes focussing on social, economic and environmental objectives (</w:t>
      </w:r>
      <w:r w:rsidRPr="00C0338D">
        <w:rPr>
          <w:b/>
        </w:rPr>
        <w:t>section 5.5</w:t>
      </w:r>
      <w:r w:rsidRPr="00C0338D">
        <w:t xml:space="preserve">). </w:t>
      </w:r>
      <w:r w:rsidR="00C166ED">
        <w:t>O</w:t>
      </w:r>
      <w:r w:rsidRPr="00C0338D">
        <w:t>n Mexic</w:t>
      </w:r>
      <w:r w:rsidR="00C166ED">
        <w:t>an islands</w:t>
      </w:r>
      <w:r w:rsidRPr="00C0338D">
        <w:t>, a comprehensive national programme</w:t>
      </w:r>
      <w:r w:rsidR="00C166ED">
        <w:t xml:space="preserve"> to</w:t>
      </w:r>
      <w:r w:rsidRPr="00C0338D">
        <w:t xml:space="preserve"> eradicat</w:t>
      </w:r>
      <w:r w:rsidR="00C166ED">
        <w:t>e</w:t>
      </w:r>
      <w:r w:rsidRPr="00C0338D">
        <w:t xml:space="preserve"> </w:t>
      </w:r>
      <w:r w:rsidR="00C166ED" w:rsidRPr="00C0338D">
        <w:t xml:space="preserve">invasive alien species </w:t>
      </w:r>
      <w:r w:rsidRPr="00C0338D">
        <w:t xml:space="preserve">and </w:t>
      </w:r>
      <w:r w:rsidR="00C166ED">
        <w:t>restore ecosystems</w:t>
      </w:r>
      <w:r w:rsidRPr="00C0338D">
        <w:t xml:space="preserve">, including habitat for coastal and terrestrial birds, </w:t>
      </w:r>
      <w:r w:rsidR="00C166ED">
        <w:t xml:space="preserve">has </w:t>
      </w:r>
      <w:r w:rsidRPr="00C0338D">
        <w:t xml:space="preserve">changed local stakeholder understanding and engagement </w:t>
      </w:r>
      <w:r w:rsidR="00C166ED">
        <w:t>in</w:t>
      </w:r>
      <w:r w:rsidR="00C166ED" w:rsidRPr="00C0338D">
        <w:t xml:space="preserve"> </w:t>
      </w:r>
      <w:r w:rsidRPr="00C0338D">
        <w:t xml:space="preserve">biosecurity policies and regulations </w:t>
      </w:r>
      <w:r w:rsidR="4A87ED45" w:rsidRPr="00837161">
        <w:t>(</w:t>
      </w:r>
      <w:r w:rsidR="00191A6E">
        <w:rPr>
          <w:b/>
          <w:bCs/>
        </w:rPr>
        <w:t>Box 5.9</w:t>
      </w:r>
      <w:r w:rsidR="6F37074E" w:rsidRPr="00837161">
        <w:t>).</w:t>
      </w:r>
      <w:r w:rsidRPr="00C0338D">
        <w:t xml:space="preserve"> Recognizing the effectiveness of management on islands, the Global Environment Facility (GEF) has prioritized its invasive alien species funding programme towards island conservation projects </w:t>
      </w:r>
      <w:r w:rsidR="00282A8E" w:rsidRPr="00837161">
        <w:rPr>
          <w:rFonts w:eastAsia="Times New Roman"/>
        </w:rPr>
        <w:fldChar w:fldCharType="begin"/>
      </w:r>
      <w:r w:rsidR="000F35EB">
        <w:rPr>
          <w:rFonts w:eastAsia="Times New Roman"/>
        </w:rPr>
        <w:instrText xml:space="preserve"> ADDIN ZOTERO_ITEM CSL_CITATION {"citationID":"I7QPPWpN","properties":{"formattedCitation":"(GEF, 2020)","plainCitation":"(GEF, 2020)","noteIndex":0},"citationItems":[{"id":53328,"uris":["http://zotero.org/groups/2352922/items/DBHEP7E6"],"itemData":{"id":53328,"type":"webpage","container-title":"Global Environment Facility","language":"en","title":"South Pacific Biodiversity Conservation Programme","URL":"https://www.thegef.org/projects-operations/projects/403","author":[{"literal":"GEF"}],"accessed":{"date-parts":[["2022",9,21]]},"issued":{"date-parts":[["2020"]]}},"label":"page"}],"schema":"https://github.com/citation-style-language/schema/raw/master/csl-citation.json"} </w:instrText>
      </w:r>
      <w:r w:rsidR="00282A8E" w:rsidRPr="00837161">
        <w:rPr>
          <w:rFonts w:eastAsia="Times New Roman"/>
        </w:rPr>
        <w:fldChar w:fldCharType="separate"/>
      </w:r>
      <w:r w:rsidR="00271B78" w:rsidRPr="00271B78">
        <w:t>(GEF, 2020)</w:t>
      </w:r>
      <w:r w:rsidR="00282A8E" w:rsidRPr="00837161">
        <w:rPr>
          <w:rFonts w:eastAsia="Times New Roman"/>
        </w:rPr>
        <w:fldChar w:fldCharType="end"/>
      </w:r>
      <w:r w:rsidR="6EDE4382" w:rsidRPr="00837161">
        <w:rPr>
          <w:rFonts w:eastAsia="Times New Roman"/>
        </w:rPr>
        <w:t>.</w:t>
      </w:r>
      <w:r w:rsidRPr="00C0338D">
        <w:t xml:space="preserve"> </w:t>
      </w:r>
    </w:p>
    <w:p w14:paraId="00000200" w14:textId="33C29DB8" w:rsidR="00A758FD" w:rsidRPr="0079215C" w:rsidRDefault="00C81287" w:rsidP="0079215C">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258" w:name="_heading=h.2afmg28" w:colFirst="0" w:colLast="0"/>
      <w:bookmarkStart w:id="259" w:name="_Ref104972573"/>
      <w:bookmarkStart w:id="260" w:name="_Toc87623069"/>
      <w:bookmarkStart w:id="261" w:name="_Toc147488944"/>
      <w:bookmarkEnd w:id="258"/>
      <w:r w:rsidRPr="0079215C">
        <w:rPr>
          <w:b/>
          <w:color w:val="000000"/>
        </w:rPr>
        <w:t>Box 5</w:t>
      </w:r>
      <w:r w:rsidR="00DE71BA" w:rsidRPr="00837161">
        <w:t>.</w:t>
      </w:r>
      <w:r w:rsidR="00DE71BA" w:rsidRPr="0079215C">
        <w:rPr>
          <w:b/>
          <w:bCs/>
        </w:rPr>
        <w:fldChar w:fldCharType="begin"/>
      </w:r>
      <w:r w:rsidR="00DE71BA" w:rsidRPr="0079215C">
        <w:rPr>
          <w:b/>
          <w:bCs/>
        </w:rPr>
        <w:instrText>SEQ Box_5. \* ARABIC</w:instrText>
      </w:r>
      <w:r w:rsidR="00DE71BA" w:rsidRPr="0079215C">
        <w:rPr>
          <w:b/>
          <w:bCs/>
        </w:rPr>
        <w:fldChar w:fldCharType="separate"/>
      </w:r>
      <w:r w:rsidR="00DC77F8" w:rsidRPr="0079215C">
        <w:rPr>
          <w:b/>
          <w:bCs/>
          <w:noProof/>
        </w:rPr>
        <w:t>9</w:t>
      </w:r>
      <w:r w:rsidR="00DE71BA" w:rsidRPr="0079215C">
        <w:rPr>
          <w:b/>
          <w:bCs/>
        </w:rPr>
        <w:fldChar w:fldCharType="end"/>
      </w:r>
      <w:bookmarkEnd w:id="259"/>
      <w:r w:rsidR="00326D4E" w:rsidRPr="0079215C">
        <w:rPr>
          <w:b/>
          <w:bCs/>
        </w:rPr>
        <w:t>.</w:t>
      </w:r>
      <w:r w:rsidRPr="0079215C">
        <w:rPr>
          <w:b/>
          <w:color w:val="000000"/>
        </w:rPr>
        <w:t xml:space="preserve"> Case study: National Program for Island Restoration in Mexico</w:t>
      </w:r>
      <w:bookmarkEnd w:id="260"/>
      <w:bookmarkEnd w:id="261"/>
    </w:p>
    <w:p w14:paraId="00000201" w14:textId="4A122F6E" w:rsidR="00A758FD" w:rsidRPr="00C0338D" w:rsidRDefault="00C81287" w:rsidP="0079215C">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r w:rsidRPr="00C0338D">
        <w:t xml:space="preserve">The eradication of invasive alien species was the first step of the National Program for Island Restoration in Mexico together with active ecosystem restoration for the recovery of seabirds </w:t>
      </w:r>
      <w:r w:rsidR="27E8B6F7" w:rsidRPr="00837161">
        <w:fldChar w:fldCharType="begin"/>
      </w:r>
      <w:r w:rsidR="000F35EB">
        <w:instrText xml:space="preserve"> ADDIN ZOTERO_ITEM CSL_CITATION {"citationID":"hZvopT7W","properties":{"formattedCitation":"(Bedolla-Guzm\\uc0\\u225{}n et al., 2019)","plainCitation":"(Bedolla-Guzmán et al., 2019)","noteIndex":0},"citationItems":[{"id":30082,"uris":["http://zotero.org/groups/2352922/items/5CSUNGRE"],"itemData":{"id":30082,"type":"paper-conference","abstract":"The Baja California Paciﬁc Islands, Mexico, are globally important breeding sites for 22 seabird species and subspecies. In the past, several populations were extirpated or reduced due to invasive mammals, human disturbance, and contaminants. Over the past two decades, we have removed invasive predators and, for the last decade, we have been implementing a Seabird Restoration Programme on eight groups of islands: Coronado, Todos Santos, San Martín, San Jerónimo, San Benito, Natividad, San Roque, and Asunción. This programme includes monitoring; social attraction techniques; removal of invasive vegetation; reducing human disturbance; and an environmental learning and biosecurity programme. Here, we summarise historical extirpations and recolonisations during the last two decades of restoration actions, and we update the status of breeding species after more than a decade. To date, from 27 historically extirpated populations, 80% have returned since the ﬁrst eradication in 1995. Social attraction techniques were key in recolonisations of Cassin’s auklet (Ptychoramphus aleuticus), royal tern (Thalasseus maximus), and elegant tern (T. elegans). A total of 19 species breed on these islands, four more species than a decade ago, including 12 new records. The most abundant seabirds, black-vented shearwater (Puﬃnus opisthomelas), Cassin’s auklet, western gull (Larus occidentalis), and Brandt’s cormorant (Phalacrocorax penicillatus), have shown a remarkable population increase. Current threats include the potential reintroduction of invasive mammals, guano mining, recreational activities, pollution, and commercial ﬁsheries. To maintain these conservation gains in the long-term it is necessary to continue implementing restoration actions and reinforcing protection on these important natural protected areas.","container-title":"Island Invasives: scaling up to meet the challenge. Proceedings of the international conference on island invasives 2017","event-place":"Gland, Switzerland","event-title":"Island Invasives 2017 Conference","ISBN":"978-2-8317-1961-0","language":"en","page":"531-538.","publisher":"IUCN","publisher-place":"Gland, Switzerland","source":"Zotero","title":"Recovery and current status of seabirds on the Baja California Paciﬁc Islands, Mexico, following restoration actions","URL":"https://library.sprep.org/sites/default/files/2021-07/recovery-current-status-seabirds.pdf","author":[{"family":"Bedolla-Guzmán","given":"Y"},{"family":"Méndez-Sánchez","given":"F"},{"family":"Aguirre-Muñoz","given":"A"},{"family":"Félix-Lizárraga","given":"M"},{"family":"Fabila-Blanco","given":"A"},{"family":"Bravo-Hernández","given":"E"},{"family":"Hernández-Ríos","given":"A"},{"family":"Corrales-Sauceda","given":"M"},{"family":"Aguilar-Vargas","given":"A"},{"family":"Aztorga-Ornelas","given":"A"},{"family":"Solís-Carlos","given":"F"},{"family":"Torres-García","given":"F"},{"family":"Luna-Mendoza","given":"L"},{"family":"Ortiz-Alcaraz","given":"A"},{"family":"Hernández-Montoya","given":"J"},{"family":"Latofski-Robles","given":"M"},{"family":"Rojas-Mayoral","given":"E"},{"family":"Cárdenas-Tapia","given":"A"}],"editor":[{"family":"Veitch","given":"C. R."},{"family":"Clout","given":"M. N."},{"family":"Martin","given":"A. R."},{"family":"Russell","given":"J. C."},{"family":"West","given":"C. J."}],"issued":{"date-parts":[["2019"]]}},"label":"page"}],"schema":"https://github.com/citation-style-language/schema/raw/master/csl-citation.json"} </w:instrText>
      </w:r>
      <w:r w:rsidR="27E8B6F7" w:rsidRPr="00837161">
        <w:fldChar w:fldCharType="separate"/>
      </w:r>
      <w:r w:rsidR="00271B78" w:rsidRPr="00271B78">
        <w:t>(Bedolla-Guzmán et al., 2019)</w:t>
      </w:r>
      <w:r w:rsidR="27E8B6F7" w:rsidRPr="00837161">
        <w:fldChar w:fldCharType="end"/>
      </w:r>
      <w:r w:rsidR="27E8B6F7" w:rsidRPr="00837161">
        <w:t>,</w:t>
      </w:r>
      <w:r w:rsidR="27E8B6F7" w:rsidRPr="00837161">
        <w:rPr>
          <w:color w:val="FF0000"/>
        </w:rPr>
        <w:t xml:space="preserve"> </w:t>
      </w:r>
      <w:r w:rsidR="27E8B6F7" w:rsidRPr="00837161">
        <w:t xml:space="preserve">biosecurity protocols </w:t>
      </w:r>
      <w:r w:rsidR="27E8B6F7" w:rsidRPr="00837161">
        <w:fldChar w:fldCharType="begin"/>
      </w:r>
      <w:r w:rsidR="000F35EB">
        <w:instrText xml:space="preserve"> ADDIN ZOTERO_ITEM CSL_CITATION {"citationID":"KwZadP8J","properties":{"formattedCitation":"(Latofski-Robles et al., 2019)","plainCitation":"(Latofski-Robles et al., 2019)","noteIndex":0},"citationItems":[{"id":29646,"uris":["http://zotero.org/groups/2352922/items/XLWNY7YF"],"itemData":{"id":29646,"type":"article-journal","abstract":"Mexico’s National Strategy on Invasive Species (2010) and the National Strategy for the Conservation and Sustainable Development of Islands (2012) embrace its steady and positive 20-year trajectory on island restoration. Mexico has come halfway to having all islands free of invasive mammals. To sustain these results in the long-term, biosecurity became a priority. To implement these national strategies, the National Commission for Knowledge and Use of Biodiversity (CONABIO) and the National Commission for Natural Protected Areas (CONANP) integrated a participatory programme to develop the country’s capacities for managing invasive alien species (IAS). With funding from the Global Environment Facility (GEF) through the United Nations Development Programme (UNDP), and private donors, the IAS programme is now under operation. Grupo de Ecología y Conservación de Islas, A.C. (GECI), a professional Mexican NGO, is implementing the programme on islands, along four lines of action: (1) island biosecurity; (2) environmental learning and capacity building; (3) control and eradication of IAS; and (4) monitoring to assess ecological recovery. While promoting the importance of biosecurity amongst all social actors, the focus is on long-term formal implementation, culture and everyday life. The methods therefore vary: workshops with authorities, integration of speciﬁc biosecurity protocols, and art and conservation activities with the local communities, particularly with children and young adults. The experience to date shows that enforcement by authorities and integration of the subject by local ﬁshermen communities and island users are two key factors in sustaining the valuable and tangible results achieved to date over the long term.","language":"en","page":"5","source":"Zotero","title":"Mexico’s island biosecurity programme: collaborative formulation and implementation","URL":"https://www.islas.org.mx/articulos_files/Latofski-Robles%202019.pdf","author":[{"family":"Latofski-Robles","given":"M."},{"family":"Méndez-Sánchez","given":"F"},{"family":"Aguirre-Muñoz","given":"A"},{"family":"Jáuregui-García","given":"C"},{"family":"Koleff-Osorio","given":"P"},{"family":"González-Martínez","given":"A I"},{"family":"Born-Schmidt","given":"G"},{"family":"Bernal-Stoopen","given":"J"},{"family":"Rendón-Hernández","given":"E"}],"issued":{"date-parts":[["2019"]]}},"label":"page"}],"schema":"https://github.com/citation-style-language/schema/raw/master/csl-citation.json"} </w:instrText>
      </w:r>
      <w:r w:rsidR="27E8B6F7" w:rsidRPr="00837161">
        <w:fldChar w:fldCharType="separate"/>
      </w:r>
      <w:r w:rsidR="00271B78" w:rsidRPr="00271B78">
        <w:t>(Latofski-Robles et al., 2019)</w:t>
      </w:r>
      <w:r w:rsidR="27E8B6F7" w:rsidRPr="00837161">
        <w:fldChar w:fldCharType="end"/>
      </w:r>
      <w:r w:rsidR="27E8B6F7" w:rsidRPr="00837161">
        <w:t xml:space="preserve">, vegetation and soil restoration </w:t>
      </w:r>
      <w:r w:rsidR="27E8B6F7" w:rsidRPr="00837161">
        <w:fldChar w:fldCharType="begin"/>
      </w:r>
      <w:r w:rsidR="000F35EB">
        <w:instrText xml:space="preserve"> ADDIN ZOTERO_ITEM CSL_CITATION {"citationID":"HtRFB80M","properties":{"formattedCitation":"(Luna-Mendoza et al., 2019)","plainCitation":"(Luna-Mendoza et al., 2019)","noteIndex":0},"citationItems":[{"id":29647,"uris":["http://zotero.org/groups/2352922/items/BRK9H9JM"],"itemData":{"id":29647,"type":"article-journal","abstract":"As the ﬁrst step towards the ecological restoration of its islands, Mexico has completed 60 eradications of invasive mammals thanks to a strong partnership between Grupo de Ecología y Conservación de Islas, A.C. (GECI), the federal government, local ﬁshing communities, academia, and private donors. The removal of invasive mammals has led to the dramatic recovery of the islands’ ecosystems. On Guadalupe Island, after completing the goat eradication in 2007, the native vegetation started to recover. Plants considered extinct or extirpated have been rediscovered, and plant species new to the island have been recorded. However, in order to achieve the island’s full recovery, the active restoration of degraded soils and vegetation are needed. To date, GECI, in collaboration with the National Forestry Commission (CONAFOR) and the National Commission for Natural Protected Areas (CONANP), is implementing a 700 ha project to accelerate the restoration of the native vegetation communities. The project involves reforestation, erosion control, and ﬁre prevention actions on diﬀerent plant communities: forests and sage scrub. An on-site nursery has been established, seedlings—mostly from endemic trees—are being grown, and on-site reforestation planting has started. Up to June 2018, we have planted almost 40,000 trees, and will produce 160,000 seedlings during this year. Mechanical methods to control and prevent erosion have been used as we have installed more than 2,400 m of contour barriers, 57 m3 of dams, and rehabilitated ﬁrebreaks. The actions will continue: the long-term goal being the comprehensive restoration of the vegetation communities devastated by feral goats. The Guadalupe Island experience will be useful to inform the restoration of other Mexican islands.","container-title":"Island invasives: scaling up to meet the challenge","language":"en","page":"571-575","source":"Zotero","title":"Ten years after feral goat eradication: the active restoration of plant communities on Guadalupe Island, Mexico","volume":"62","author":[{"family":"Luna-Mendoza","given":"L"},{"family":"Aguirre-Muñoz","given":"A"},{"family":"Hernández-Montoya","given":"J C"},{"family":"Torres-Aguilar","given":"M"},{"family":"García-Carreón","given":"J S"},{"family":"Puebla-Hernández","given":"O"},{"family":"Luvianos-Colín","given":"S"},{"family":"Cárdenas-Tapia","given":"A"},{"family":"Méndez-Sánchez","given":"F"}],"issued":{"date-parts":[["2019"]]}},"label":"page"}],"schema":"https://github.com/citation-style-language/schema/raw/master/csl-citation.json"} </w:instrText>
      </w:r>
      <w:r w:rsidR="27E8B6F7" w:rsidRPr="00837161">
        <w:fldChar w:fldCharType="separate"/>
      </w:r>
      <w:r w:rsidR="00271B78" w:rsidRPr="00271B78">
        <w:t>(Luna-Mendoza et al., 2019)</w:t>
      </w:r>
      <w:r w:rsidR="27E8B6F7" w:rsidRPr="00837161">
        <w:fldChar w:fldCharType="end"/>
      </w:r>
      <w:r w:rsidR="27E8B6F7" w:rsidRPr="00837161">
        <w:t xml:space="preserve">, and environmental learning with local communities </w:t>
      </w:r>
      <w:r w:rsidR="27E8B6F7" w:rsidRPr="00837161">
        <w:fldChar w:fldCharType="begin"/>
      </w:r>
      <w:r w:rsidR="000F35EB">
        <w:instrText xml:space="preserve"> ADDIN ZOTERO_ITEM CSL_CITATION {"citationID":"hoHIaHg6","properties":{"formattedCitation":"(Aguirre-Mu\\uc0\\u241{}oz et al., 2016)","plainCitation":"(Aguirre-Muñoz et al., 2016)","noteIndex":0},"citationItems":[{"id":30492,"uris":["http://zotero.org/groups/2352922/items/LCDKLBAB"],"itemData":{"id":30492,"type":"chapter","abstract":"Mexico has nearly 4000 islands that host a disproportionate number of endemic species, with 14 times more endemics than the mainland. Islands are not just unique ecosystems but they are also key habitat for the provisioning, reproduction and refuge of many migratory species, particularly seabirds, seaturtles and pinnipeds. Mexican islands harbor one in three species of seabirds worldwide (110 spp. vs. 346 spp.), placing it as the third most diverse country for this fragile group worldwide. Mexico’s islands, however, have severely suffered the impacts of invasive mammals, which have driven 17 vertebrates to extinction and have extirpated many seabird colonies. To tackle the latter, a national program for island restoration has been implemented over the past two decades, having interinstitutional collaboration at its core. The non-for-profit Grupo de Ecología y Conservación de Islas, A. C. has been instrumental to the success of the program, having skillful and experienced scientific personnel, specialized and resourceful technicians, as well as strong ties with government agencies, universities, research institutes, and fishing cooperatives. The logistic support of the Mexican Navy (Secretaría de Marina – Armada de México) has also been a key component of the program. So far we have achieved: (1) the eradication of 58 populations of invasive mammals from 37 islands; (2) the publication of a National Island Strategy which defines management and conservation actions; (3) the ongoing active restoration of seabird colonies that were extirpated due to invasive mammals; and (4) the identification of research and conservation priorities for the Mexican islands.","container-title":"Experiencias mexicanas en la restauración de los ecosistemas","ISBN":"978-607-02-9477-8","note":"DOI: 10.22201/crim.9786070294778e.2017","page":"487-512","publisher":"UNAM, UAEM, CONABIO.","title":"La restauración ambiental exitosa de las islas de México: una reflexión sobre los avances a la fecha y los retos por venir","URL":"https://doi.org/10.22201/crim.9786070294778e.2017","author":[{"family":"Aguirre-Muñoz","given":"Alfonso"},{"family":"Samaniego-Herrera","given":"Araceli"},{"family":"Luna-Mendoza","given":"Luciana"},{"family":"Ortiz-Alcaraz","given":"Antonio"},{"family":"Méndez Sánchez","given":"Federico"},{"family":"Hernández-Montoya","given":"J.C."}],"editor":[{"family":"Ceccon","given":"E."},{"family":"Martínez-Garza","given":"C."}],"issued":{"date-parts":[["2016",8,1]]}},"label":"page"}],"schema":"https://github.com/citation-style-language/schema/raw/master/csl-citation.json"} </w:instrText>
      </w:r>
      <w:r w:rsidR="27E8B6F7" w:rsidRPr="00837161">
        <w:fldChar w:fldCharType="separate"/>
      </w:r>
      <w:r w:rsidR="00271B78" w:rsidRPr="00271B78">
        <w:t>(Aguirre-Muñoz et al., 2016)</w:t>
      </w:r>
      <w:r w:rsidR="27E8B6F7" w:rsidRPr="00837161">
        <w:fldChar w:fldCharType="end"/>
      </w:r>
      <w:r w:rsidR="27E8B6F7" w:rsidRPr="00837161">
        <w:t>. Mexican islands are extraordinarily diverse, including semi-arid islands in the Eastern Pacific Ocean; desert islands in the Gulf of California; and subtropical and tropical islands in the Pacific Ocean, the Gulf of Mexico</w:t>
      </w:r>
      <w:r w:rsidR="00CE7B20">
        <w:t xml:space="preserve"> and</w:t>
      </w:r>
      <w:r w:rsidR="27E8B6F7" w:rsidRPr="00837161">
        <w:t xml:space="preserve"> the Caribbean</w:t>
      </w:r>
      <w:r w:rsidR="00282A8E" w:rsidRPr="00837161">
        <w:t xml:space="preserve"> </w:t>
      </w:r>
      <w:r w:rsidR="00D91D4E" w:rsidRPr="00837161">
        <w:fldChar w:fldCharType="begin"/>
      </w:r>
      <w:r w:rsidR="000F35EB">
        <w:instrText xml:space="preserve"> ADDIN ZOTERO_ITEM CSL_CITATION {"citationID":"PmNhveFg","properties":{"formattedCitation":"(Aguirre-Mu\\uc0\\u241{}oz et al., 2016)","plainCitation":"(Aguirre-Muñoz et al., 2016)","noteIndex":0},"citationItems":[{"id":30492,"uris":["http://zotero.org/groups/2352922/items/LCDKLBAB"],"itemData":{"id":30492,"type":"chapter","abstract":"Mexico has nearly 4000 islands that host a disproportionate number of endemic species, with 14 times more endemics than the mainland. Islands are not just unique ecosystems but they are also key habitat for the provisioning, reproduction and refuge of many migratory species, particularly seabirds, seaturtles and pinnipeds. Mexican islands harbor one in three species of seabirds worldwide (110 spp. vs. 346 spp.), placing it as the third most diverse country for this fragile group worldwide. Mexico’s islands, however, have severely suffered the impacts of invasive mammals, which have driven 17 vertebrates to extinction and have extirpated many seabird colonies. To tackle the latter, a national program for island restoration has been implemented over the past two decades, having interinstitutional collaboration at its core. The non-for-profit Grupo de Ecología y Conservación de Islas, A. C. has been instrumental to the success of the program, having skillful and experienced scientific personnel, specialized and resourceful technicians, as well as strong ties with government agencies, universities, research institutes, and fishing cooperatives. The logistic support of the Mexican Navy (Secretaría de Marina – Armada de México) has also been a key component of the program. So far we have achieved: (1) the eradication of 58 populations of invasive mammals from 37 islands; (2) the publication of a National Island Strategy which defines management and conservation actions; (3) the ongoing active restoration of seabird colonies that were extirpated due to invasive mammals; and (4) the identification of research and conservation priorities for the Mexican islands.","container-title":"Experiencias mexicanas en la restauración de los ecosistemas","ISBN":"978-607-02-9477-8","note":"DOI: 10.22201/crim.9786070294778e.2017","page":"487-512","publisher":"UNAM, UAEM, CONABIO.","title":"La restauración ambiental exitosa de las islas de México: una reflexión sobre los avances a la fecha y los retos por venir","URL":"https://doi.org/10.22201/crim.9786070294778e.2017","author":[{"family":"Aguirre-Muñoz","given":"Alfonso"},{"family":"Samaniego-Herrera","given":"Araceli"},{"family":"Luna-Mendoza","given":"Luciana"},{"family":"Ortiz-Alcaraz","given":"Antonio"},{"family":"Méndez Sánchez","given":"Federico"},{"family":"Hernández-Montoya","given":"J.C."}],"editor":[{"family":"Ceccon","given":"E."},{"family":"Martínez-Garza","given":"C."}],"issued":{"date-parts":[["2016",8,1]]}},"label":"page"}],"schema":"https://github.com/citation-style-language/schema/raw/master/csl-citation.json"} </w:instrText>
      </w:r>
      <w:r w:rsidR="00D91D4E" w:rsidRPr="00837161">
        <w:fldChar w:fldCharType="separate"/>
      </w:r>
      <w:r w:rsidR="00271B78" w:rsidRPr="00271B78">
        <w:t>(Aguirre-Muñoz et al., 2016)</w:t>
      </w:r>
      <w:r w:rsidR="00D91D4E" w:rsidRPr="00837161">
        <w:fldChar w:fldCharType="end"/>
      </w:r>
      <w:r w:rsidR="27E8B6F7" w:rsidRPr="00837161">
        <w:t>. On these islands, 21 endemic species and subspecies of vertebrates have gone extinct in the last 100 years, and all but four of these extinctions were caused by invasive mammals</w:t>
      </w:r>
      <w:r w:rsidR="00B62203" w:rsidRPr="00837161">
        <w:t xml:space="preserve"> </w:t>
      </w:r>
      <w:r w:rsidR="00D91D4E" w:rsidRPr="00837161">
        <w:t xml:space="preserve">see </w:t>
      </w:r>
      <w:r w:rsidR="00B52DF2">
        <w:rPr>
          <w:b/>
          <w:iCs/>
        </w:rPr>
        <w:t>C</w:t>
      </w:r>
      <w:r w:rsidR="00D91D4E" w:rsidRPr="00B52DF2">
        <w:rPr>
          <w:b/>
          <w:iCs/>
        </w:rPr>
        <w:t xml:space="preserve">hapter </w:t>
      </w:r>
      <w:r w:rsidR="00D91D4E" w:rsidRPr="00B52DF2">
        <w:rPr>
          <w:b/>
          <w:iCs/>
        </w:rPr>
        <w:lastRenderedPageBreak/>
        <w:t>4</w:t>
      </w:r>
      <w:r w:rsidR="00D91D4E" w:rsidRPr="00B52DF2">
        <w:rPr>
          <w:iCs/>
        </w:rPr>
        <w:t>,</w:t>
      </w:r>
      <w:r w:rsidR="00D91D4E" w:rsidRPr="00B52DF2">
        <w:rPr>
          <w:b/>
          <w:iCs/>
        </w:rPr>
        <w:t xml:space="preserve"> Box 4.4 </w:t>
      </w:r>
      <w:r w:rsidR="00D91D4E" w:rsidRPr="00B52DF2">
        <w:rPr>
          <w:iCs/>
        </w:rPr>
        <w:t>and</w:t>
      </w:r>
      <w:r w:rsidR="00D91D4E" w:rsidRPr="00B52DF2">
        <w:rPr>
          <w:b/>
          <w:iCs/>
        </w:rPr>
        <w:t xml:space="preserve"> section 4.3.1</w:t>
      </w:r>
      <w:r w:rsidR="00D91D4E" w:rsidRPr="00837161">
        <w:t>)</w:t>
      </w:r>
      <w:r w:rsidR="27E8B6F7" w:rsidRPr="00837161">
        <w:t>. Islands were selected for</w:t>
      </w:r>
      <w:r w:rsidR="008602FA">
        <w:t xml:space="preserve"> ecosystem</w:t>
      </w:r>
      <w:r w:rsidR="27E8B6F7" w:rsidRPr="00837161">
        <w:t xml:space="preserve"> restoration and action (i.e., control or eradication of invasive alien species) based on conservation value, management efficiency, social acceptance</w:t>
      </w:r>
      <w:r w:rsidR="00CE7B20">
        <w:t xml:space="preserve"> and</w:t>
      </w:r>
      <w:r w:rsidR="27E8B6F7" w:rsidRPr="00837161">
        <w:t xml:space="preserve"> technical and financial feasibility </w:t>
      </w:r>
      <w:r w:rsidR="27E8B6F7" w:rsidRPr="00837161">
        <w:fldChar w:fldCharType="begin"/>
      </w:r>
      <w:r w:rsidR="000F35EB">
        <w:instrText xml:space="preserve"> ADDIN ZOTERO_ITEM CSL_CITATION {"citationID":"FZDGxknt","properties":{"formattedCitation":"(Latofski-Robles et al., 2014)","plainCitation":"(Latofski-Robles et al., 2014)","noteIndex":0},"citationItems":[{"id":29645,"uris":["http://zotero.org/groups/2352922/items/PGKYKYRX"],"itemData":{"id":29645,"type":"article-journal","abstract":"Science-based planning and prioritization can help achieve greater return on investment of limited conservation funds. We conducted a GIS-based multicriteria decision analysis to prioritize efforts to eradicate populations of invasive alien species that threaten native biota on the islands of Mexico. We evaluated 29 Mexican islands with documented presence of invasive mammals and characterized the following attributes of each island: presence of endemic taxa, presence of threatened species, presence of important seabird nesting areas, species richness, likelihood of reinvasion, eradication feasibility, and economic cost. We categorized the islands into 4 priority categories for eradication action. The highest priority islands where eradication efforts are feasible are Socorro, Espíritu Santo, María Cleofas, and María Magdalena islands, where eradication of 11 invasive mammal populations could advance the restoration of an additional 35,813 ha, thereby reducing the extinction risk of approximately 80 endemic taxa.","container-title":"Monographs of the Western North American Naturalist","DOI":"10.3398/042.007.0133","ISSN":"1545-0228, 1944-8236","issue":"1","journalAbbreviation":"mwna","note":"publisher: Monte L. Bean Life Science Museum, Brigham Young University","page":"435-441","source":"bioone.org","title":"Prioritizing Restoration Actions for the Islands of Mexico","URL":"https://bioone.org/journals/monographs-of-the-western-north-american-naturalist/volume-7/issue-1/042.007.0133/Prioritizing-Restoration-Actions-for-the-Islands-of-Mexico/10.3398/042.007.0133.full","volume":"7","author":[{"family":"Latofski-Robles","given":"M."},{"family":"Aguirre-Muñoz","given":"A."},{"family":"Méndez-Sánchez","given":"F."},{"family":"Reyes-Hernández","given":"H."},{"family":"Schlüter","given":"S."}],"accessed":{"date-parts":[["2021",8,12]]},"issued":{"date-parts":[["2014"]]}},"label":"page"}],"schema":"https://github.com/citation-style-language/schema/raw/master/csl-citation.json"} </w:instrText>
      </w:r>
      <w:r w:rsidR="27E8B6F7" w:rsidRPr="00837161">
        <w:fldChar w:fldCharType="separate"/>
      </w:r>
      <w:r w:rsidR="00271B78" w:rsidRPr="00271B78">
        <w:t>(Latofski-Robles et al., 2014)</w:t>
      </w:r>
      <w:r w:rsidR="27E8B6F7" w:rsidRPr="00837161">
        <w:fldChar w:fldCharType="end"/>
      </w:r>
      <w:r w:rsidR="27E8B6F7" w:rsidRPr="00837161">
        <w:t xml:space="preserve">. </w:t>
      </w:r>
      <w:r w:rsidR="4A483E77" w:rsidRPr="00837161">
        <w:t xml:space="preserve">Initiated in 1995 at some islands, </w:t>
      </w:r>
      <w:r w:rsidR="588A2036" w:rsidRPr="00837161">
        <w:t>the number of</w:t>
      </w:r>
      <w:r w:rsidR="00F26EC4" w:rsidRPr="00837161">
        <w:t xml:space="preserve"> </w:t>
      </w:r>
      <w:r w:rsidR="4A483E77" w:rsidRPr="00837161">
        <w:t>target</w:t>
      </w:r>
      <w:r w:rsidR="588A2036" w:rsidRPr="00837161">
        <w:t xml:space="preserve"> islands and species increased, and b</w:t>
      </w:r>
      <w:r w:rsidR="27E8B6F7" w:rsidRPr="00837161">
        <w:t>y April 2018, 60 populations of invasive alien mammals were successfully removed from 39 islands, 30 of which are now completely free of invasive</w:t>
      </w:r>
      <w:r w:rsidR="00AC4F21">
        <w:t xml:space="preserve"> alien</w:t>
      </w:r>
      <w:r w:rsidR="27E8B6F7" w:rsidRPr="00837161">
        <w:t xml:space="preserve"> mammals. The extent of the success of the eradication program</w:t>
      </w:r>
      <w:r w:rsidR="00653156" w:rsidRPr="00837161">
        <w:t>me</w:t>
      </w:r>
      <w:r w:rsidR="27E8B6F7" w:rsidRPr="00837161">
        <w:t xml:space="preserve">s can be illustrated by the numbers of populations and </w:t>
      </w:r>
      <w:r w:rsidR="00AC4F21">
        <w:t xml:space="preserve">invasive alien </w:t>
      </w:r>
      <w:r w:rsidR="27E8B6F7" w:rsidRPr="00837161">
        <w:t>species controlled across the islands: 32 populations of 12 species from 15 islands of the Pacific Ocean, 21 populations of 5 species from 18 islands of Gulf of California and 7 populations of 3 species from 6 islands of Gulf of Mexico and Caribbean. These actions are estimated to be protecting at least 147 endemic taxa of mammals, reptiles, birds</w:t>
      </w:r>
      <w:r w:rsidR="00CE7B20">
        <w:t xml:space="preserve"> and</w:t>
      </w:r>
      <w:r w:rsidR="27E8B6F7" w:rsidRPr="00837161">
        <w:t xml:space="preserve"> plants, as well as 227 seabird breeding colonies </w:t>
      </w:r>
      <w:r w:rsidR="27E8B6F7" w:rsidRPr="00837161">
        <w:fldChar w:fldCharType="begin"/>
      </w:r>
      <w:r w:rsidR="000F35EB">
        <w:instrText xml:space="preserve"> ADDIN ZOTERO_ITEM CSL_CITATION {"citationID":"OzA96bFk","properties":{"formattedCitation":"(Aguirre-Mu\\uc0\\u241{}oz et al., 2018)","plainCitation":"(Aguirre-Muñoz et al., 2018)","noteIndex":0},"citationItems":[{"id":16419,"uris":["http://zotero.org/groups/2352922/items/9RG83HGU"],"itemData":{"id":16419,"type":"chapter","abstract":"Islands are biodiversity hotspots that offer unique opportunities for applied restoration techniques that have proven to bring inspiring outcomes. The trajectory of island restoration in Mexico is full of positive results that include (1) the removal of 60 invasive mammal populations from 39 islands, (2) the identification of conservation and restoration priorities, (3) the active restoration of seabird breeding colonies through avant-garde social attraction techniques, (4) the active restoration of integrated plant communities focusing on a landscape level, (5) applied research and science-based decision-making for the management of invasive alien species, (6) the legal protection of all Mexican islands, and (7) biosecurity and environmental learning programs to ensure outcomes are long lasting. Still, there are many complex challenges to face in order to achieve the goal of having all Mexican islands free of invasive mammals by 2030.","container-title":"Mexican Natural Resources Management and Biodiversity Conservation: Recent Case Studies","event-place":"Cham","ISBN":"978-3-319-90584-6","language":"en","note":"DOI: 10.1007/978-3-319-90584-6_9","page":"177-192","publisher":"Springer International Publishing","publisher-place":"Cham","source":"Springer Link","title":"The Conservation and Restoration of the Mexican Islands, a Successful Comprehensive and Collaborative Approach Relevant for Global Biodiversity","URL":"https://doi.org/10.1007/978-3-319-90584-6_9","author":[{"family":"Aguirre-Muñoz","given":"Alfonso"},{"family":"Bedolla-Guzmán","given":"Yuliana"},{"family":"Hernández-Montoya","given":"Julio"},{"family":"Latofski-Robles","given":"Mariam"},{"family":"Luna-Mendoza","given":"Luciana"},{"family":"Méndez-Sánchez","given":"Federico"},{"family":"Ortiz-Alcaraz","given":"Antonio"},{"family":"Rojas-Mayoral","given":"Evaristo"},{"family":"Samaniego-Herrera","given":"Araceli"}],"editor":[{"family":"Ortega-Rubio","given":"Alfredo"}],"accessed":{"date-parts":[["2019",11,27]]},"issued":{"date-parts":[["2018"]]}},"label":"page"}],"schema":"https://github.com/citation-style-language/schema/raw/master/csl-citation.json"} </w:instrText>
      </w:r>
      <w:r w:rsidR="27E8B6F7" w:rsidRPr="00837161">
        <w:fldChar w:fldCharType="separate"/>
      </w:r>
      <w:r w:rsidR="00271B78" w:rsidRPr="00271B78">
        <w:t>(Aguirre-Muñoz et al., 2018)</w:t>
      </w:r>
      <w:r w:rsidR="27E8B6F7" w:rsidRPr="00837161">
        <w:fldChar w:fldCharType="end"/>
      </w:r>
      <w:r w:rsidR="27E8B6F7" w:rsidRPr="00837161">
        <w:t>.</w:t>
      </w:r>
    </w:p>
    <w:p w14:paraId="00000202" w14:textId="77777777" w:rsidR="00A758FD" w:rsidRPr="00C0338D" w:rsidRDefault="00C81287" w:rsidP="002F2F42">
      <w:pPr>
        <w:pStyle w:val="Heading2"/>
      </w:pPr>
      <w:bookmarkStart w:id="262" w:name="_Toc146810109"/>
      <w:bookmarkStart w:id="263" w:name="_Toc87623141"/>
      <w:bookmarkStart w:id="264" w:name="_Toc131681642"/>
      <w:bookmarkStart w:id="265" w:name="_Toc149555474"/>
      <w:bookmarkStart w:id="266" w:name="_Hlk69142911"/>
      <w:r w:rsidRPr="00C0338D">
        <w:t>Decision tree for selection of management approach</w:t>
      </w:r>
      <w:bookmarkEnd w:id="262"/>
      <w:bookmarkEnd w:id="263"/>
      <w:bookmarkEnd w:id="264"/>
      <w:bookmarkEnd w:id="265"/>
    </w:p>
    <w:p w14:paraId="65A07DA9" w14:textId="35FBC0F4" w:rsidR="001B0409" w:rsidRPr="00837161" w:rsidRDefault="001B0409" w:rsidP="00C11DFA">
      <w:pPr>
        <w:spacing w:before="240" w:after="120" w:line="240" w:lineRule="auto"/>
      </w:pPr>
      <w:r w:rsidRPr="00837161">
        <w:t xml:space="preserve">Choosing the most appropriate management objective is the first step to deciding between a pathway, </w:t>
      </w:r>
      <w:r w:rsidR="0079215C">
        <w:t>species-based, site-based or ecosystem-based management approach for biological invasions, but it is not always straightforward (</w:t>
      </w:r>
      <w:r w:rsidR="0079215C">
        <w:rPr>
          <w:b/>
        </w:rPr>
        <w:t>section 5.2</w:t>
      </w:r>
      <w:r w:rsidR="0079215C">
        <w:t xml:space="preserve">). Objectives of a management programme for biological invasions may be aimed at economic, social or environmental outcomes or at multiple benefits. </w:t>
      </w:r>
      <w:r w:rsidRPr="00837161">
        <w:t>For example, program</w:t>
      </w:r>
      <w:r w:rsidR="00653156" w:rsidRPr="00837161">
        <w:t>me</w:t>
      </w:r>
      <w:r w:rsidRPr="00837161">
        <w:t xml:space="preserve">s aimed at managing invasive alien pigs could produce benefits for biodiversity and ecosystems (nature), </w:t>
      </w:r>
      <w:r w:rsidR="00875C95" w:rsidRPr="00837161">
        <w:t>Indigenous Peoples</w:t>
      </w:r>
      <w:r w:rsidR="00C71A2B" w:rsidRPr="00837161">
        <w:t xml:space="preserve"> and local communit</w:t>
      </w:r>
      <w:r w:rsidR="00AC4F21">
        <w:t>ies’</w:t>
      </w:r>
      <w:r w:rsidRPr="00837161">
        <w:t xml:space="preserve"> livelihoods (good quality of life and nature</w:t>
      </w:r>
      <w:r w:rsidR="00C71A2B" w:rsidRPr="00837161">
        <w:t>’</w:t>
      </w:r>
      <w:r w:rsidRPr="00837161">
        <w:t xml:space="preserve">s </w:t>
      </w:r>
      <w:r w:rsidR="00C71A2B" w:rsidRPr="00837161">
        <w:t>contribution</w:t>
      </w:r>
      <w:r w:rsidRPr="00837161">
        <w:t>s to people), livestock disease and property damage management (agriculture)</w:t>
      </w:r>
      <w:r w:rsidR="00AC4F21">
        <w:t xml:space="preserve">, </w:t>
      </w:r>
      <w:r w:rsidRPr="00837161">
        <w:t>reduced carbon emissions (mitigating climate change)</w:t>
      </w:r>
      <w:r w:rsidR="00AC4F21">
        <w:t>,</w:t>
      </w:r>
      <w:r w:rsidRPr="00837161">
        <w:t xml:space="preserve"> or all of these </w:t>
      </w:r>
      <w:r w:rsidR="00597243" w:rsidRPr="00837161">
        <w:fldChar w:fldCharType="begin"/>
      </w:r>
      <w:r w:rsidR="00597243" w:rsidRPr="00837161">
        <w:instrText xml:space="preserve"> ADDIN ZOTERO_TEMP </w:instrText>
      </w:r>
      <w:r w:rsidR="00597243" w:rsidRPr="00837161">
        <w:fldChar w:fldCharType="end"/>
      </w:r>
      <w:r w:rsidR="00AB16CF" w:rsidRPr="00837161">
        <w:fldChar w:fldCharType="begin"/>
      </w:r>
      <w:r w:rsidR="000F35EB">
        <w:instrText xml:space="preserve"> ADDIN ZOTERO_ITEM CSL_CITATION {"citationID":"a4UAXhl0","properties":{"formattedCitation":"(Nordberg et al., 2019; Zivin et al., 2000)","plainCitation":"(Nordberg et al., 2019; Zivin et al., 2000)","noteIndex":0},"citationItems":[{"id":30068,"uris":["http://zotero.org/groups/2352922/items/W5RKQYXS"],"itemData":{"id":30068,"type":"article-journal","abstract":"Nest predation is considered to be one of the most significant biotic threats to marine turtle populations globally. The introduction of feral predators to nesting beaches has dramatically increased nest predation, reaching near total egg loss in some regions. We monitored a 48 km stretch of beach along western Cape York Peninsula, Australia, from June – November 2018. We recorded a total of 360 nests comprising 117 flatback and 243 olive ridley nests. We installed plastic meshing (90 cm × 100 cm) on 110 olive ridley nests (45.2% of total olive ridley clutches laid) within the study area. We classified all nest predation attempts into three categories: complete, partial, or failed predation events. In total, 109 (30.2%) of all marine turtle nests were depredated by a variety of predators, including feral pigs, dingoes, goannas, and humans. The addition of plastic meshing reduced the likelihood of dingoes gaining access to eggs, but not goannas or feral pigs. Further, we found no difference in the proportion of hatchling emergence between meshed and un-meshed nests. Additionally, while hatchling emergence was reduced in nests that had been partially depredated, these nests still produced live hatchlings and contributed to recruitment. The success of particular predator control methods is often predator, and/or regionally, specific. Our findings highlight a thorough understanding of predator guilds and their relative impacts is required to deploy targeted and predator-specific strategies to maximize conservation results. We present a strong case for data-driven adaptive management that has implications for designing optimal predator management plans.","container-title":"Biological Conservation","DOI":"10.1016/j.biocon.2019.108201","ISSN":"0006-3207","journalAbbreviation":"Biological Conservation","language":"en","page":"108201","source":"ScienceDirect","title":"An evaluation of nest predator impacts and the efficacy of plastic meshing on marine turtle nests on the western Cape York Peninsula, Australia","URL":"https://www.sciencedirect.com/science/article/pii/S0006320719305981","volume":"238","author":[{"family":"Nordberg","given":"Eric J."},{"family":"Macdonald","given":"Stewart"},{"family":"Zimny","given":"Gina"},{"family":"Hoskins","given":"Andrew"},{"family":"Zimny","given":"Anders"},{"family":"Somaweera","given":"Ruchira"},{"family":"Ferguson","given":"Janine"},{"family":"Perry","given":"Justin"}],"accessed":{"date-parts":[["2021",8,22]]},"issued":{"date-parts":[["2019",10,1]]}},"label":"page"},{"id":52379,"uris":["http://zotero.org/groups/2352922/items/S8668B3S"],"itemData":{"id":52379,"type":"article-journal","abstract":"Many wildlife populations cause damage in agricultural systems but are also valued resources, either for their recreational value or for their existence and contribution to biological diversity. As a result, the nature of a given species—whether it is considered a “pest” or a “resource”—is often determined by the economic and regulatory environment in which the species exists. In this paper we develop a bioeconomic model of one such environment. We apply the model to the case of feral pigs in California rangeland and consider the potential for recreational hunting as a policy for population control.","container-title":"Journal of Environmental Economics and Management","DOI":"10.1006/jeem.1999.1101","ISSN":"0095-0696","issue":"2","journalAbbreviation":"Journal of Environmental Economics and Management","language":"en","page":"189-204","source":"ScienceDirect","title":"Managing a Multiple-Use Resource: The Case of Feral Pig Management in California Rangeland","title-short":"Managing a Multiple-Use Resource","URL":"https://www.sciencedirect.com/science/article/pii/S0095069699911014","volume":"39","author":[{"family":"Zivin","given":"Joshua"},{"family":"Hueth","given":"Brent M."},{"family":"Zilberman","given":"David"}],"accessed":{"date-parts":[["2022",5,30]]},"issued":{"date-parts":[["2000",3,1]]}},"label":"page"}],"schema":"https://github.com/citation-style-language/schema/raw/master/csl-citation.json"} </w:instrText>
      </w:r>
      <w:r w:rsidR="00AB16CF" w:rsidRPr="00837161">
        <w:fldChar w:fldCharType="separate"/>
      </w:r>
      <w:r w:rsidR="00271B78" w:rsidRPr="00271B78">
        <w:t>(Nordberg et al., 2019; Zivin et al., 2000)</w:t>
      </w:r>
      <w:r w:rsidR="00AB16CF" w:rsidRPr="00837161">
        <w:fldChar w:fldCharType="end"/>
      </w:r>
      <w:r w:rsidRPr="00837161">
        <w:t xml:space="preserve">. The most cost-effective way to ensure the survival of threatened and endangered species in a region may be a collective regional </w:t>
      </w:r>
      <w:r w:rsidR="00E87FB3" w:rsidRPr="00837161">
        <w:t>planning</w:t>
      </w:r>
      <w:r w:rsidRPr="00837161">
        <w:t xml:space="preserve"> approach to </w:t>
      </w:r>
      <w:r w:rsidR="0079215C">
        <w:t xml:space="preserve">management of biological invasions </w:t>
      </w:r>
      <w:r w:rsidR="00074D32" w:rsidRPr="00837161">
        <w:fldChar w:fldCharType="begin"/>
      </w:r>
      <w:r w:rsidR="000F35EB">
        <w:instrText xml:space="preserve"> ADDIN ZOTERO_ITEM CSL_CITATION {"citationID":"95wkLqVa","properties":{"formattedCitation":"(Carwardine et al., 2012)","plainCitation":"(Carwardine et al., 2012)","noteIndex":0},"citationItems":[{"id":30443,"uris":["http://zotero.org/groups/2352922/items/CDJ4DPBI"],"itemData":{"id":30443,"type":"article-journal","abstract":"Calls for threat management actions to protect biodiversity and restore ecosystem function are rarely coupled with costed and prioritized sets of management actions for use in decision making. We present a cost-effectiveness approach for prioritizing threat management to maximize the in situ protection of biodiversity per dollar spent. The approach draws on empirical data and expert knowledge of major threats to biodiversity, feasible threat management actions, and likely responses of biodiversity to a set of costed management scenarios. An application assessing 637 vertebrate wildlife species in the Kimberley region of north-western Australia suggests that the likely functional loss of 45 mammals, birds, and reptiles over the next 20 years can be averted by effectively managing fire, grazing, and invasive species for approximately AU$40 million per year. Our approach is flexible and may be useful for delivering transparent guidance for conserving species and ecosystems in other regions, including those where data is limited.","container-title":"Conservation Letters","DOI":"10.1111/j.1755-263X.2012.00228.x","ISSN":"1755-263X","issue":"3","language":"en","note":"_eprint: https://conbio.onlinelibrary.wiley.com/doi/pdf/10.1111/j.1755-263X.2012.00228.x","page":"196-204","source":"Wiley Online Library","title":"Prioritizing threat management for biodiversity conservation","URL":"https://conbio.onlinelibrary.wiley.com/doi/abs/10.1111/j.1755-263X.2012.00228.x","volume":"5","author":[{"family":"Carwardine","given":"Josie"},{"family":"O’Connor","given":"Trudy"},{"family":"Legge","given":"Sarah"},{"family":"Mackey","given":"Brendan"},{"family":"Possingham","given":"Hugh P."},{"family":"Martin","given":"Tara G."}],"accessed":{"date-parts":[["2020",6,23]]},"issued":{"date-parts":[["2012"]]}},"label":"page"}],"schema":"https://github.com/citation-style-language/schema/raw/master/csl-citation.json"} </w:instrText>
      </w:r>
      <w:r w:rsidR="00074D32" w:rsidRPr="00837161">
        <w:fldChar w:fldCharType="separate"/>
      </w:r>
      <w:r w:rsidR="00271B78" w:rsidRPr="00271B78">
        <w:t>(Carwardine et al., 2012)</w:t>
      </w:r>
      <w:r w:rsidR="00074D32" w:rsidRPr="00837161">
        <w:fldChar w:fldCharType="end"/>
      </w:r>
      <w:r w:rsidRPr="00837161">
        <w:t xml:space="preserve">. </w:t>
      </w:r>
      <w:r w:rsidR="0079215C">
        <w:t>It is worth considering one or all the available approaches. Confusion and considerable debate around whether and when management of biological invasions should follow a pathway, species-based or site-based management approach appears to result from poorly defined management objectives, which too often simply focus on</w:t>
      </w:r>
      <w:r w:rsidR="00AC4F21">
        <w:t xml:space="preserve"> species</w:t>
      </w:r>
      <w:r w:rsidR="0079215C">
        <w:t xml:space="preserve"> prevention or suppression</w:t>
      </w:r>
      <w:r w:rsidRPr="00837161">
        <w:t xml:space="preserve"> </w:t>
      </w:r>
      <w:r w:rsidRPr="00837161">
        <w:fldChar w:fldCharType="begin"/>
      </w:r>
      <w:r w:rsidR="000F35EB">
        <w:instrText xml:space="preserve"> ADDIN ZOTERO_ITEM CSL_CITATION {"citationID":"fRp9yrr9","properties":{"formattedCitation":"(Downey &amp; Sheppard, 2006)","plainCitation":"(Downey &amp; Sheppard, 2006)","noteIndex":0},"citationItems":[{"id":22743,"uris":["http://zotero.org/groups/2352922/items/ZW9IZECF"],"itemData":{"id":22743,"type":"paper-conference","container-title":"The Proceedings of the 15th Australian Weeds Conference: Managing Weeds in a Changing Climate","event-place":"Adelaide Convention Centre, Adelaide, South Australia","event-title":"15th Australian Weeds Conference","language":"en","page":"264-267","publisher":"Weed Management Society of South Australia Inc.","publisher-place":"Adelaide Convention Centre, Adelaide, South Australia","source":"www.researchgate.net","title":"Site- versus species-based approaches to weed management in Australia","URL":"https://www.researchgate.net/publication/276411938_Site-_versus_species-based_approaches_to_weed_management_in_Australia","author":[{"family":"Downey","given":"Paul O."},{"family":"Sheppard","given":"A. W."}],"editor":[{"family":"Preston","given":"C"},{"family":"Watts","given":"J","suffix":"H."},{"family":"Crossman","given":"N. D."}],"accessed":{"date-parts":[["2020",6,25]]},"issued":{"date-parts":[["2006"]]}},"label":"page"}],"schema":"https://github.com/citation-style-language/schema/raw/master/csl-citation.json"} </w:instrText>
      </w:r>
      <w:r w:rsidRPr="00837161">
        <w:fldChar w:fldCharType="separate"/>
      </w:r>
      <w:r w:rsidR="00271B78" w:rsidRPr="00271B78">
        <w:t>(Downey &amp; Sheppard, 2006)</w:t>
      </w:r>
      <w:r w:rsidRPr="00837161">
        <w:fldChar w:fldCharType="end"/>
      </w:r>
      <w:r w:rsidRPr="00837161">
        <w:t xml:space="preserve">. For example, the Australian Weeds of National Significance </w:t>
      </w:r>
      <w:r w:rsidR="00653156" w:rsidRPr="00837161">
        <w:t>p</w:t>
      </w:r>
      <w:r w:rsidRPr="00837161">
        <w:t>rogram</w:t>
      </w:r>
      <w:r w:rsidR="00653156" w:rsidRPr="00837161">
        <w:t>me</w:t>
      </w:r>
      <w:r w:rsidRPr="00837161">
        <w:t xml:space="preserve"> </w:t>
      </w:r>
      <w:r w:rsidRPr="00837161">
        <w:fldChar w:fldCharType="begin"/>
      </w:r>
      <w:r w:rsidR="000F35EB">
        <w:instrText xml:space="preserve"> ADDIN ZOTERO_ITEM CSL_CITATION {"citationID":"Lxwg8Zqk","properties":{"formattedCitation":"(Thorp &amp; Lynch, 2000)","plainCitation":"(Thorp &amp; Lynch, 2000)","noteIndex":0},"citationItems":[{"id":25882,"uris":["http://zotero.org/groups/2352922/items/QTNKN3T2"],"itemData":{"id":25882,"type":"book","ISBN":"0-642-44913-9","number-of-pages":"234","publisher":"National weeds strategy executive committee","title":"The determination of weeds of national significance","author":[{"family":"Thorp","given":"J. R."},{"family":"Lynch","given":"R."}],"issued":{"date-parts":[["2000"]]}},"label":"page"}],"schema":"https://github.com/citation-style-language/schema/raw/master/csl-citation.json"} </w:instrText>
      </w:r>
      <w:r w:rsidRPr="00837161">
        <w:fldChar w:fldCharType="separate"/>
      </w:r>
      <w:r w:rsidR="00271B78" w:rsidRPr="00271B78">
        <w:t>(Thorp &amp; Lynch, 2000)</w:t>
      </w:r>
      <w:r w:rsidRPr="00837161">
        <w:fldChar w:fldCharType="end"/>
      </w:r>
      <w:r w:rsidRPr="00837161">
        <w:t xml:space="preserve"> and associated invasive alien plant classical biological control program</w:t>
      </w:r>
      <w:r w:rsidR="00653156" w:rsidRPr="00837161">
        <w:t>me</w:t>
      </w:r>
      <w:r w:rsidRPr="00837161">
        <w:t xml:space="preserve">s </w:t>
      </w:r>
      <w:r w:rsidRPr="00837161">
        <w:fldChar w:fldCharType="begin"/>
      </w:r>
      <w:r w:rsidR="000F35EB">
        <w:instrText xml:space="preserve"> ADDIN ZOTERO_ITEM CSL_CITATION {"citationID":"3OMDsO3f","properties":{"formattedCitation":"(Downey &amp; Sheppard, 2006)","plainCitation":"(Downey &amp; Sheppard, 2006)","noteIndex":0},"citationItems":[{"id":22743,"uris":["http://zotero.org/groups/2352922/items/ZW9IZECF"],"itemData":{"id":22743,"type":"paper-conference","container-title":"The Proceedings of the 15th Australian Weeds Conference: Managing Weeds in a Changing Climate","event-place":"Adelaide Convention Centre, Adelaide, South Australia","event-title":"15th Australian Weeds Conference","language":"en","page":"264-267","publisher":"Weed Management Society of South Australia Inc.","publisher-place":"Adelaide Convention Centre, Adelaide, South Australia","source":"www.researchgate.net","title":"Site- versus species-based approaches to weed management in Australia","URL":"https://www.researchgate.net/publication/276411938_Site-_versus_species-based_approaches_to_weed_management_in_Australia","author":[{"family":"Downey","given":"Paul O."},{"family":"Sheppard","given":"A. W."}],"editor":[{"family":"Preston","given":"C"},{"family":"Watts","given":"J","suffix":"H."},{"family":"Crossman","given":"N. D."}],"accessed":{"date-parts":[["2020",6,25]]},"issued":{"date-parts":[["2006"]]}},"label":"page"}],"schema":"https://github.com/citation-style-language/schema/raw/master/csl-citation.json"} </w:instrText>
      </w:r>
      <w:r w:rsidRPr="00837161">
        <w:fldChar w:fldCharType="separate"/>
      </w:r>
      <w:r w:rsidR="00271B78" w:rsidRPr="00271B78">
        <w:t>(Downey &amp; Sheppard, 2006)</w:t>
      </w:r>
      <w:r w:rsidRPr="00837161">
        <w:fldChar w:fldCharType="end"/>
      </w:r>
      <w:r w:rsidRPr="00837161">
        <w:t xml:space="preserve"> </w:t>
      </w:r>
      <w:r w:rsidR="007C0391">
        <w:t>target</w:t>
      </w:r>
      <w:r w:rsidRPr="00837161">
        <w:t xml:space="preserve"> the highest priority invasive alien plant species. Thus</w:t>
      </w:r>
      <w:r w:rsidR="5234BD4A" w:rsidRPr="00837161">
        <w:t>,</w:t>
      </w:r>
      <w:r w:rsidRPr="00837161">
        <w:t xml:space="preserve"> it is important that the aim of any </w:t>
      </w:r>
      <w:r w:rsidR="0079215C">
        <w:t xml:space="preserve">species-based </w:t>
      </w:r>
      <w:r w:rsidRPr="00837161">
        <w:t xml:space="preserve">or site-based invasive alien species </w:t>
      </w:r>
      <w:r w:rsidR="49E7A8EB" w:rsidRPr="00837161">
        <w:t>init</w:t>
      </w:r>
      <w:r w:rsidR="0ABF03FC" w:rsidRPr="00837161">
        <w:t>i</w:t>
      </w:r>
      <w:r w:rsidR="49E7A8EB" w:rsidRPr="00837161">
        <w:t>ative</w:t>
      </w:r>
      <w:r w:rsidRPr="00837161">
        <w:t xml:space="preserve"> be clearly articulated. </w:t>
      </w:r>
      <w:r w:rsidR="007C0391" w:rsidRPr="00AC1F76">
        <w:rPr>
          <w:b/>
          <w:bCs/>
        </w:rPr>
        <w:t>Box 5.10</w:t>
      </w:r>
      <w:r w:rsidR="00B30767" w:rsidRPr="00837161">
        <w:rPr>
          <w:b/>
          <w:bCs/>
        </w:rPr>
        <w:t xml:space="preserve"> </w:t>
      </w:r>
      <w:r w:rsidRPr="00837161">
        <w:t>describe</w:t>
      </w:r>
      <w:r w:rsidR="007C0391">
        <w:t>s</w:t>
      </w:r>
      <w:r w:rsidRPr="00837161">
        <w:t xml:space="preserve"> a decision</w:t>
      </w:r>
      <w:r w:rsidR="00A91F9F">
        <w:t>-</w:t>
      </w:r>
      <w:r w:rsidRPr="00837161">
        <w:t xml:space="preserve">support system developed to help decide when to undertake pathway, </w:t>
      </w:r>
      <w:r w:rsidR="0079215C">
        <w:t xml:space="preserve">species-based </w:t>
      </w:r>
      <w:r w:rsidRPr="00837161">
        <w:t xml:space="preserve">or site-based management for invasive alien plants. </w:t>
      </w:r>
    </w:p>
    <w:p w14:paraId="590197BB" w14:textId="16261B32" w:rsidR="0002258F" w:rsidRPr="00837161" w:rsidRDefault="000B2E1F" w:rsidP="00C11DFA">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67" w:name="_Ref104972349"/>
      <w:bookmarkStart w:id="268" w:name="_Toc87623070"/>
      <w:bookmarkStart w:id="269" w:name="_Toc147488945"/>
      <w:r w:rsidRPr="00837161">
        <w:rPr>
          <w:lang w:val="en-GB"/>
        </w:rPr>
        <w:t>Box 5.</w:t>
      </w:r>
      <w:r w:rsidRPr="00837161">
        <w:rPr>
          <w:lang w:val="en-GB"/>
        </w:rPr>
        <w:fldChar w:fldCharType="begin"/>
      </w:r>
      <w:r w:rsidRPr="00837161">
        <w:rPr>
          <w:lang w:val="en-GB"/>
        </w:rPr>
        <w:instrText>SEQ Box_5. \* ARABIC</w:instrText>
      </w:r>
      <w:r w:rsidRPr="00837161">
        <w:rPr>
          <w:lang w:val="en-GB"/>
        </w:rPr>
        <w:fldChar w:fldCharType="separate"/>
      </w:r>
      <w:r w:rsidR="00DC77F8">
        <w:rPr>
          <w:noProof/>
          <w:lang w:val="en-GB"/>
        </w:rPr>
        <w:t>10</w:t>
      </w:r>
      <w:r w:rsidRPr="00837161">
        <w:rPr>
          <w:lang w:val="en-GB"/>
        </w:rPr>
        <w:fldChar w:fldCharType="end"/>
      </w:r>
      <w:bookmarkEnd w:id="267"/>
      <w:r w:rsidR="00326D4E" w:rsidRPr="00837161">
        <w:rPr>
          <w:lang w:val="en-GB"/>
        </w:rPr>
        <w:t>.</w:t>
      </w:r>
      <w:r w:rsidRPr="00837161">
        <w:rPr>
          <w:lang w:val="en-GB"/>
        </w:rPr>
        <w:t xml:space="preserve"> </w:t>
      </w:r>
      <w:r w:rsidR="001B0409" w:rsidRPr="00837161">
        <w:rPr>
          <w:lang w:val="en-GB"/>
        </w:rPr>
        <w:t>C</w:t>
      </w:r>
      <w:r w:rsidR="00975F90" w:rsidRPr="00837161">
        <w:rPr>
          <w:lang w:val="en-GB"/>
        </w:rPr>
        <w:t xml:space="preserve">ase </w:t>
      </w:r>
      <w:r w:rsidR="00CB0370" w:rsidRPr="00837161">
        <w:rPr>
          <w:lang w:val="en-GB"/>
        </w:rPr>
        <w:t>study</w:t>
      </w:r>
      <w:r w:rsidR="00975F90" w:rsidRPr="00837161">
        <w:rPr>
          <w:lang w:val="en-GB"/>
        </w:rPr>
        <w:t>:</w:t>
      </w:r>
      <w:r w:rsidR="001B0409" w:rsidRPr="00837161">
        <w:rPr>
          <w:lang w:val="en-GB"/>
        </w:rPr>
        <w:t xml:space="preserve"> Decision tree for separating site-based versus </w:t>
      </w:r>
      <w:r w:rsidR="0079215C">
        <w:t xml:space="preserve">species-based </w:t>
      </w:r>
      <w:r w:rsidR="001B0409" w:rsidRPr="00837161">
        <w:rPr>
          <w:lang w:val="en-GB"/>
        </w:rPr>
        <w:t>management of invasive alien plants</w:t>
      </w:r>
      <w:bookmarkEnd w:id="268"/>
      <w:r w:rsidR="00A87565" w:rsidRPr="00837161">
        <w:rPr>
          <w:lang w:val="en-GB"/>
        </w:rPr>
        <w:t xml:space="preserve"> (</w:t>
      </w:r>
      <w:r w:rsidR="001B0409" w:rsidRPr="00837161">
        <w:rPr>
          <w:lang w:val="en-GB"/>
        </w:rPr>
        <w:t xml:space="preserve">after </w:t>
      </w:r>
      <w:r w:rsidR="001B0409" w:rsidRPr="00837161">
        <w:rPr>
          <w:lang w:val="en-GB"/>
        </w:rPr>
        <w:fldChar w:fldCharType="begin"/>
      </w:r>
      <w:r w:rsidR="000F35EB">
        <w:rPr>
          <w:lang w:val="en-GB"/>
        </w:rPr>
        <w:instrText xml:space="preserve"> ADDIN ZOTERO_ITEM CSL_CITATION {"citationID":"kB7UsQMd","properties":{"formattedCitation":"(Owen &amp; Sheldon, 1996)","plainCitation":"(Owen &amp; Sheldon, 1996)","dontUpdate":true,"noteIndex":0},"citationItems":[{"id":11130,"uris":["http://zotero.org/groups/2352922/items/7NGJ3FG8"],"itemData":{"id":11130,"type":"paper-conference","container-title":"Proceedings of the Eleventh Australian Weeds Conference","note":"issue: 5","source":"Google Scholar","title":"Strategies for ecological weed control on conservation lands in New Zealand","URL":"https://caws.org.nz/old-site/awc/1996/awc199615161.pdf","volume":"2","author":[{"family":"Owen","given":"S. J."},{"family":"Sheldon","given":"J. K."}],"issued":{"date-parts":[["1996"]]}},"label":"page"}],"schema":"https://github.com/citation-style-language/schema/raw/master/csl-citation.json"} </w:instrText>
      </w:r>
      <w:r w:rsidR="001B0409" w:rsidRPr="00837161">
        <w:rPr>
          <w:lang w:val="en-GB"/>
        </w:rPr>
        <w:fldChar w:fldCharType="separate"/>
      </w:r>
      <w:r w:rsidR="0064225B" w:rsidRPr="00837161">
        <w:rPr>
          <w:lang w:val="en-GB"/>
        </w:rPr>
        <w:t>Owen &amp; Sheldon, 1996)</w:t>
      </w:r>
      <w:bookmarkEnd w:id="269"/>
      <w:r w:rsidR="001B0409" w:rsidRPr="00837161">
        <w:rPr>
          <w:lang w:val="en-GB"/>
        </w:rPr>
        <w:fldChar w:fldCharType="end"/>
      </w:r>
    </w:p>
    <w:p w14:paraId="2D26CAE2" w14:textId="50FFBB5B" w:rsidR="001B0409" w:rsidRPr="00837161" w:rsidRDefault="001B0409" w:rsidP="00C11DFA">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837161">
        <w:t xml:space="preserve">The New Zealand Department of Conservation outlined a collective approach encompassing both </w:t>
      </w:r>
      <w:r w:rsidR="0079215C">
        <w:t xml:space="preserve">species-based </w:t>
      </w:r>
      <w:r w:rsidRPr="00837161">
        <w:t>and site-based program</w:t>
      </w:r>
      <w:r w:rsidR="00653156" w:rsidRPr="00837161">
        <w:t>me</w:t>
      </w:r>
      <w:r w:rsidRPr="00837161">
        <w:t xml:space="preserve">s for </w:t>
      </w:r>
      <w:r w:rsidR="005B7C20" w:rsidRPr="00837161">
        <w:t>decision-making</w:t>
      </w:r>
      <w:r w:rsidRPr="00837161">
        <w:t xml:space="preserve"> for the management of invasive alien plants. In their approach, </w:t>
      </w:r>
      <w:r w:rsidR="0079215C">
        <w:t xml:space="preserve">species-based </w:t>
      </w:r>
      <w:r w:rsidRPr="00837161">
        <w:t>initiatives are aimed at new incursions and providing the best conservation outcome</w:t>
      </w:r>
      <w:r w:rsidR="007C0391">
        <w:t>,</w:t>
      </w:r>
      <w:r w:rsidR="00CE7B20">
        <w:t xml:space="preserve"> and</w:t>
      </w:r>
      <w:r w:rsidRPr="00837161">
        <w:t xml:space="preserve"> site-based initiatives are aimed at protecting biodiversity in terms of the collective threat and urgency for management from all alien species present, or the value of protecting a site from all invasive alien species </w:t>
      </w:r>
      <w:r w:rsidRPr="00837161">
        <w:fldChar w:fldCharType="begin"/>
      </w:r>
      <w:r w:rsidR="000F35EB">
        <w:instrText xml:space="preserve"> ADDIN ZOTERO_ITEM CSL_CITATION {"citationID":"enkYvdpa","properties":{"formattedCitation":"(Timmins &amp; Popay, 2002)","plainCitation":"(Timmins &amp; Popay, 2002)","noteIndex":0},"citationItems":[{"id":22544,"uris":["http://zotero.org/groups/2352922/items/MHASQXAQ"],"itemData":{"id":22544,"type":"paper-conference","container-title":"Defending the green oasis: New Zealand biosecurity and science: Proceedings of the New Zealand Plant Protection Society Symposium, Rotorua August","page":"101–108","source":"Google Scholar","title":"The scientific approach to managing New Zealand’s environmental weeds","author":[{"family":"Timmins","given":"S. M."},{"family":"Popay","given":"A. I."}],"issued":{"date-parts":[["2002"]]}},"label":"page"}],"schema":"https://github.com/citation-style-language/schema/raw/master/csl-citation.json"} </w:instrText>
      </w:r>
      <w:r w:rsidRPr="00837161">
        <w:fldChar w:fldCharType="separate"/>
      </w:r>
      <w:r w:rsidR="00271B78" w:rsidRPr="00271B78">
        <w:t>(Timmins &amp; Popay, 2002)</w:t>
      </w:r>
      <w:r w:rsidRPr="00837161">
        <w:fldChar w:fldCharType="end"/>
      </w:r>
      <w:r w:rsidRPr="00837161">
        <w:t xml:space="preserve">. Some </w:t>
      </w:r>
      <w:r w:rsidR="0079215C">
        <w:t xml:space="preserve">species-based </w:t>
      </w:r>
      <w:r w:rsidRPr="00837161">
        <w:t>program</w:t>
      </w:r>
      <w:r w:rsidR="00653156" w:rsidRPr="00837161">
        <w:t>me</w:t>
      </w:r>
      <w:r w:rsidRPr="00837161">
        <w:t xml:space="preserve">s are specifically aimed at protecting biodiversity </w:t>
      </w:r>
      <w:r w:rsidRPr="00837161">
        <w:fldChar w:fldCharType="begin"/>
      </w:r>
      <w:r w:rsidR="000F35EB">
        <w:instrText xml:space="preserve"> ADDIN ZOTERO_ITEM CSL_CITATION {"citationID":"ppgZT4Sk","properties":{"formattedCitation":"(Downey, 2010)","plainCitation":"(Downey, 2010)","noteIndex":0},"citationItems":[{"id":11131,"uris":["http://zotero.org/groups/2352922/items/PHRMIUJX"],"itemData":{"id":11131,"type":"article-journal","abstract":"One of the greatest threats to biodiversity is the invasion of ecological communities by alien plants. Management strategies for alien plants, however, rarely focus on specific biodiversity-conservation outcomes, and recovery actions rarely address the threat on a landscape scale. There are many reasons for these failures, including (1) limited knowledge of the native species at risk, (2) a disconnect between policy and management, (3) a disconnect between the fields of weed science and biodiversity conservation, (4) a dearth of data from management actions (for both threat abatement and recovery), and (5) the broadly held assumption that control of alien plants will by itself lead to a positive biodiversity response is often incorrect. Thus, alien plant management strategies with a conservation aim need to include planning processes and assessment measures to ensure that the aim is achieved. Here, I outline an example of the planning steps needed to ensure that the management of widespread alien plant species achieves the greatest possible conservation outcome, using the alien plant program for bitou bush (Chrysanthemoides monilifena) as a case study. In addition, I present an overview of the challenges faced and solutions developed during the transition from planning to management, along with some initial data to demonstrate the success and value of this investment in both planning and implementation during the past decade. Interim results from a series of sites have highlighted the success of the program and led to the program being acknowledged as an important ecological restoration project in Australasia. This success is highly dependent on extensive stakeholder involvement (across land tenures), dedicated coordination, and leadership. The planning process is now being adopted for other alien plants in Australia and can be modified to abate the threat from other alien organisms or other threats to biodiversity because the principles of each step are fundamentally similar.Nomenclature: Bitou bush, Chrysanthemoides monilifera (L.) T. Norl. ssp. rotundata (DC.) T. Norl","container-title":"Invasive Plant Science and Management","DOI":"10.1614/IPSM-D-10-00012.1","ISSN":"1939-7291, 1939-747X","issue":"4","journalAbbreviation":"ipsm","note":"publisher: Weed Science Society of America","page":"451-461","source":"bioone.org","title":"Managing Widespread, Alien Plant Species to Ensure Biodiversity Conservation: A Case Study Using an 11-Step Planning Process","title-short":"Managing Widespread, Alien Plant Species to Ensure Biodiversity Conservation","URL":"https://bioone.org/journals/invasive-plant-science-and-management/volume-3/issue-4/IPSM-D-10-00012.1/Managing-Widespread-Alien-Plant-Species-to-Ensure-Biodiversity-Conservation/10.1614/IPSM-D-10-00012.1.full","volume":"3","author":[{"family":"Downey","given":"Paul O."}],"accessed":{"date-parts":[["2021",4,12]]},"issued":{"date-parts":[["2010",10]]}},"label":"page"}],"schema":"https://github.com/citation-style-language/schema/raw/master/csl-citation.json"} </w:instrText>
      </w:r>
      <w:r w:rsidRPr="00837161">
        <w:fldChar w:fldCharType="separate"/>
      </w:r>
      <w:r w:rsidR="00271B78" w:rsidRPr="00271B78">
        <w:t>(Downey, 2010)</w:t>
      </w:r>
      <w:r w:rsidRPr="00837161">
        <w:fldChar w:fldCharType="end"/>
      </w:r>
      <w:r w:rsidRPr="00837161">
        <w:t xml:space="preserve">. The main decision criterion for selecting sites may be the presence of one or more major invasive alien species threatening biodiversity allowing targeted control and threat abatement </w:t>
      </w:r>
      <w:r w:rsidRPr="00837161">
        <w:fldChar w:fldCharType="begin"/>
      </w:r>
      <w:r w:rsidR="000F35EB">
        <w:instrText xml:space="preserve"> ADDIN ZOTERO_ITEM CSL_CITATION {"citationID":"3UWyZPV4","properties":{"formattedCitation":"(Downey, 2013)","plainCitation":"(Downey, 2013)","noteIndex":0},"citationItems":[{"id":26627,"uris":["http://zotero.org/groups/2352922/items/REV9FWP2"],"itemData":{"id":26627,"type":"chapter","collection-title":"Invading Nature - Springer Series in Invasion Ecology","container-title":"Plant Invasions in Protected Areas","event-place":"Dordrecht","page":"507-528","publisher":"Springer","publisher-place":"Dordrecht","title":"Protecting Biodiversity Through Strategic Alien Plant Management: An Approach for Increasing Conservation Outcomes in Protected Areas","URL":"https://link.springer.com/chapter/10.1007/978-94-007-7750-7_23","volume":"7","author":[{"family":"Downey","given":"Paul O."}],"editor":[{"family":"Foxcroft","given":"Llewellyn C."},{"family":"Pyšek","given":"Petr"},{"family":"Richardson","given":"David M."},{"family":"Genovesi","given":"Piero"}],"accessed":{"date-parts":[["2021",4,12]]},"issued":{"date-parts":[["2013"]]}},"label":"page"}],"schema":"https://github.com/citation-style-language/schema/raw/master/csl-citation.json"} </w:instrText>
      </w:r>
      <w:r w:rsidRPr="00837161">
        <w:fldChar w:fldCharType="separate"/>
      </w:r>
      <w:r w:rsidR="00271B78" w:rsidRPr="00271B78">
        <w:t>(Downey, 2013)</w:t>
      </w:r>
      <w:r w:rsidRPr="00837161">
        <w:fldChar w:fldCharType="end"/>
      </w:r>
      <w:r w:rsidRPr="00837161">
        <w:t>. To assist in making such decisions, the following decision tree may be of use</w:t>
      </w:r>
      <w:r w:rsidR="00021FAB" w:rsidRPr="00837161">
        <w:t xml:space="preserve"> (</w:t>
      </w:r>
      <w:r w:rsidR="00191A6E">
        <w:rPr>
          <w:b/>
          <w:iCs/>
        </w:rPr>
        <w:t>Figure 5.14</w:t>
      </w:r>
      <w:r w:rsidR="00021FAB" w:rsidRPr="00837161">
        <w:t>)</w:t>
      </w:r>
      <w:r w:rsidR="00E16292" w:rsidRPr="00837161">
        <w:t xml:space="preserve">. </w:t>
      </w:r>
    </w:p>
    <w:p w14:paraId="444213CC" w14:textId="271B7B97" w:rsidR="001B0409" w:rsidRPr="00837161" w:rsidRDefault="004D38BB" w:rsidP="00591AFD">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jc w:val="center"/>
      </w:pPr>
      <w:r w:rsidRPr="004D38BB">
        <w:rPr>
          <w:noProof/>
        </w:rPr>
        <w:lastRenderedPageBreak/>
        <w:drawing>
          <wp:inline distT="0" distB="0" distL="0" distR="0" wp14:anchorId="26A3F84E" wp14:editId="6024B4BF">
            <wp:extent cx="6115050" cy="5320030"/>
            <wp:effectExtent l="0" t="0" r="6350" b="1270"/>
            <wp:docPr id="7" name="Picture 7" descr="A diagram of a scientific experi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scientific experiment&#10;&#10;Description automatically generated with medium confidence"/>
                    <pic:cNvPicPr/>
                  </pic:nvPicPr>
                  <pic:blipFill>
                    <a:blip r:embed="rId41"/>
                    <a:stretch>
                      <a:fillRect/>
                    </a:stretch>
                  </pic:blipFill>
                  <pic:spPr>
                    <a:xfrm>
                      <a:off x="0" y="0"/>
                      <a:ext cx="6115050" cy="5320030"/>
                    </a:xfrm>
                    <a:prstGeom prst="rect">
                      <a:avLst/>
                    </a:prstGeom>
                  </pic:spPr>
                </pic:pic>
              </a:graphicData>
            </a:graphic>
          </wp:inline>
        </w:drawing>
      </w:r>
    </w:p>
    <w:p w14:paraId="35FE4ED4" w14:textId="5D48DAD7" w:rsidR="007A359D" w:rsidRPr="00837161" w:rsidRDefault="000B2E1F" w:rsidP="00C11DFA">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70" w:name="_Ref104970789"/>
      <w:bookmarkStart w:id="271" w:name="_Toc87623108"/>
      <w:bookmarkStart w:id="272" w:name="_Toc147489367"/>
      <w:r w:rsidRPr="00837161">
        <w:rPr>
          <w:lang w:val="en-GB"/>
        </w:rPr>
        <w:t>Figure 5</w:t>
      </w:r>
      <w:r w:rsidR="00083EB2" w:rsidRPr="00837161">
        <w:rPr>
          <w:lang w:val="en-GB"/>
        </w:rPr>
        <w:t>.</w:t>
      </w:r>
      <w:r w:rsidRPr="00837161">
        <w:rPr>
          <w:lang w:val="en-GB"/>
        </w:rPr>
        <w:fldChar w:fldCharType="begin"/>
      </w:r>
      <w:r w:rsidRPr="00837161">
        <w:rPr>
          <w:lang w:val="en-GB"/>
        </w:rPr>
        <w:instrText xml:space="preserve"> SEQ Figure_5. \* ARABIC </w:instrText>
      </w:r>
      <w:r w:rsidRPr="00837161">
        <w:rPr>
          <w:lang w:val="en-GB"/>
        </w:rPr>
        <w:fldChar w:fldCharType="separate"/>
      </w:r>
      <w:r w:rsidR="00DC77F8">
        <w:rPr>
          <w:noProof/>
          <w:lang w:val="en-GB"/>
        </w:rPr>
        <w:t>14</w:t>
      </w:r>
      <w:r w:rsidRPr="00837161">
        <w:rPr>
          <w:lang w:val="en-GB"/>
        </w:rPr>
        <w:fldChar w:fldCharType="end"/>
      </w:r>
      <w:bookmarkEnd w:id="270"/>
      <w:r w:rsidR="00326D4E" w:rsidRPr="00837161">
        <w:rPr>
          <w:lang w:val="en-GB"/>
        </w:rPr>
        <w:t>.</w:t>
      </w:r>
      <w:r w:rsidR="001B0409" w:rsidRPr="00837161">
        <w:rPr>
          <w:lang w:val="en-GB"/>
        </w:rPr>
        <w:t xml:space="preserve"> </w:t>
      </w:r>
      <w:r w:rsidR="001B0409" w:rsidRPr="00837161">
        <w:rPr>
          <w:b w:val="0"/>
          <w:bCs w:val="0"/>
          <w:lang w:val="en-GB"/>
        </w:rPr>
        <w:t xml:space="preserve">Decision tree for </w:t>
      </w:r>
      <w:r w:rsidR="6820CC0E" w:rsidRPr="00837161">
        <w:rPr>
          <w:b w:val="0"/>
          <w:bCs w:val="0"/>
          <w:lang w:val="en-GB"/>
        </w:rPr>
        <w:t>choosing</w:t>
      </w:r>
      <w:r w:rsidR="009D1E73" w:rsidRPr="00837161">
        <w:rPr>
          <w:b w:val="0"/>
          <w:bCs w:val="0"/>
          <w:lang w:val="en-GB"/>
        </w:rPr>
        <w:t xml:space="preserve"> between</w:t>
      </w:r>
      <w:r w:rsidR="008C4D18" w:rsidRPr="00837161">
        <w:rPr>
          <w:b w:val="0"/>
          <w:bCs w:val="0"/>
          <w:lang w:val="en-GB"/>
        </w:rPr>
        <w:t xml:space="preserve"> </w:t>
      </w:r>
      <w:r w:rsidR="001B0409" w:rsidRPr="00837161">
        <w:rPr>
          <w:b w:val="0"/>
          <w:bCs w:val="0"/>
          <w:lang w:val="en-GB"/>
        </w:rPr>
        <w:t xml:space="preserve">site-based </w:t>
      </w:r>
      <w:r w:rsidR="009D1E73" w:rsidRPr="00837161">
        <w:rPr>
          <w:b w:val="0"/>
          <w:bCs w:val="0"/>
          <w:lang w:val="en-GB"/>
        </w:rPr>
        <w:t xml:space="preserve">and </w:t>
      </w:r>
      <w:r w:rsidR="0079215C" w:rsidRPr="0079215C">
        <w:rPr>
          <w:b w:val="0"/>
          <w:bCs w:val="0"/>
          <w:color w:val="000000" w:themeColor="text1"/>
        </w:rPr>
        <w:t>species-based</w:t>
      </w:r>
      <w:r w:rsidR="0079215C" w:rsidRPr="776B8B26">
        <w:rPr>
          <w:color w:val="000000" w:themeColor="text1"/>
        </w:rPr>
        <w:t xml:space="preserve"> </w:t>
      </w:r>
      <w:r w:rsidR="001B0409" w:rsidRPr="00837161">
        <w:rPr>
          <w:b w:val="0"/>
          <w:bCs w:val="0"/>
          <w:lang w:val="en-GB"/>
        </w:rPr>
        <w:t>management</w:t>
      </w:r>
      <w:r w:rsidR="000D01CA" w:rsidRPr="00837161">
        <w:rPr>
          <w:b w:val="0"/>
          <w:bCs w:val="0"/>
          <w:lang w:val="en-GB"/>
        </w:rPr>
        <w:t xml:space="preserve"> </w:t>
      </w:r>
      <w:r w:rsidR="014E9649" w:rsidRPr="00837161">
        <w:rPr>
          <w:b w:val="0"/>
          <w:bCs w:val="0"/>
          <w:lang w:val="en-GB"/>
        </w:rPr>
        <w:t>of</w:t>
      </w:r>
      <w:r w:rsidR="00B62203" w:rsidRPr="00837161">
        <w:rPr>
          <w:b w:val="0"/>
          <w:bCs w:val="0"/>
          <w:lang w:val="en-GB"/>
        </w:rPr>
        <w:t xml:space="preserve"> </w:t>
      </w:r>
      <w:r w:rsidR="600205AC" w:rsidRPr="00837161">
        <w:rPr>
          <w:b w:val="0"/>
          <w:bCs w:val="0"/>
          <w:lang w:val="en-GB"/>
        </w:rPr>
        <w:t>invasive</w:t>
      </w:r>
      <w:r w:rsidR="000D01CA" w:rsidRPr="00837161">
        <w:rPr>
          <w:b w:val="0"/>
          <w:bCs w:val="0"/>
          <w:lang w:val="en-GB"/>
        </w:rPr>
        <w:t xml:space="preserve"> alien </w:t>
      </w:r>
      <w:r w:rsidR="600205AC" w:rsidRPr="00837161">
        <w:rPr>
          <w:b w:val="0"/>
          <w:bCs w:val="0"/>
          <w:lang w:val="en-GB"/>
        </w:rPr>
        <w:t>plants</w:t>
      </w:r>
      <w:r w:rsidR="00F832D3" w:rsidRPr="00837161">
        <w:rPr>
          <w:b w:val="0"/>
          <w:bCs w:val="0"/>
          <w:lang w:val="en-GB"/>
        </w:rPr>
        <w:t>.</w:t>
      </w:r>
      <w:r w:rsidR="00B62203" w:rsidRPr="00837161">
        <w:rPr>
          <w:b w:val="0"/>
          <w:bCs w:val="0"/>
          <w:lang w:val="en-GB"/>
        </w:rPr>
        <w:t xml:space="preserve"> </w:t>
      </w:r>
      <w:r w:rsidR="00E33239" w:rsidRPr="00837161">
        <w:rPr>
          <w:b w:val="0"/>
          <w:bCs w:val="0"/>
          <w:lang w:val="en-GB"/>
        </w:rPr>
        <w:t>Double bordered rectangles are terminal nodes</w:t>
      </w:r>
      <w:r w:rsidR="009034D8" w:rsidRPr="00837161">
        <w:rPr>
          <w:b w:val="0"/>
          <w:bCs w:val="0"/>
          <w:lang w:val="en-GB"/>
        </w:rPr>
        <w:t>.</w:t>
      </w:r>
      <w:r w:rsidR="00021994" w:rsidRPr="00837161">
        <w:rPr>
          <w:rFonts w:ascii="游明朝" w:eastAsia="游明朝" w:hAnsi="游明朝"/>
          <w:b w:val="0"/>
          <w:bCs w:val="0"/>
          <w:lang w:val="en-GB"/>
        </w:rPr>
        <w:t xml:space="preserve"> </w:t>
      </w:r>
      <w:r w:rsidR="00CC2A5E" w:rsidRPr="00837161">
        <w:rPr>
          <w:b w:val="0"/>
          <w:bCs w:val="0"/>
          <w:lang w:val="en-GB"/>
        </w:rPr>
        <w:t>A</w:t>
      </w:r>
      <w:r w:rsidR="004C24A8" w:rsidRPr="00837161">
        <w:rPr>
          <w:b w:val="0"/>
          <w:bCs w:val="0"/>
          <w:lang w:val="en-GB"/>
        </w:rPr>
        <w:t>dapted from</w:t>
      </w:r>
      <w:r w:rsidR="0064225B" w:rsidRPr="00837161">
        <w:rPr>
          <w:b w:val="0"/>
          <w:bCs w:val="0"/>
          <w:lang w:val="en-GB"/>
        </w:rPr>
        <w:t xml:space="preserve"> Owen &amp; Sheldon</w:t>
      </w:r>
      <w:r w:rsidR="004C24A8" w:rsidRPr="00837161">
        <w:rPr>
          <w:b w:val="0"/>
          <w:bCs w:val="0"/>
          <w:lang w:val="en-GB"/>
        </w:rPr>
        <w:t xml:space="preserve"> </w:t>
      </w:r>
      <w:r w:rsidR="00E33239" w:rsidRPr="004E0CAF">
        <w:rPr>
          <w:b w:val="0"/>
          <w:bCs w:val="0"/>
          <w:lang w:val="en-GB"/>
        </w:rPr>
        <w:fldChar w:fldCharType="begin"/>
      </w:r>
      <w:r w:rsidR="000F35EB">
        <w:rPr>
          <w:b w:val="0"/>
          <w:bCs w:val="0"/>
          <w:lang w:val="en-GB"/>
        </w:rPr>
        <w:instrText xml:space="preserve"> ADDIN ZOTERO_ITEM CSL_CITATION {"citationID":"ol6zeiOZ","properties":{"formattedCitation":"(1996)","plainCitation":"(1996)","noteIndex":0},"citationItems":[{"id":11130,"uris":["http://zotero.org/groups/2352922/items/7NGJ3FG8"],"itemData":{"id":11130,"type":"paper-conference","container-title":"Proceedings of the Eleventh Australian Weeds Conference","note":"issue: 5","source":"Google Scholar","title":"Strategies for ecological weed control on conservation lands in New Zealand","URL":"https://caws.org.nz/old-site/awc/1996/awc199615161.pdf","volume":"2","author":[{"family":"Owen","given":"S. J."},{"family":"Sheldon","given":"J. K."}],"issued":{"date-parts":[["1996"]]}},"label":"page","suppress-author":true}],"schema":"https://github.com/citation-style-language/schema/raw/master/csl-citation.json"} </w:instrText>
      </w:r>
      <w:r w:rsidR="00E33239" w:rsidRPr="004E0CAF">
        <w:rPr>
          <w:b w:val="0"/>
          <w:bCs w:val="0"/>
          <w:lang w:val="en-GB"/>
        </w:rPr>
        <w:fldChar w:fldCharType="separate"/>
      </w:r>
      <w:r w:rsidR="00271B78" w:rsidRPr="00271B78">
        <w:t>(1996)</w:t>
      </w:r>
      <w:r w:rsidR="00E33239" w:rsidRPr="004E0CAF">
        <w:rPr>
          <w:b w:val="0"/>
          <w:bCs w:val="0"/>
          <w:lang w:val="en-GB"/>
        </w:rPr>
        <w:fldChar w:fldCharType="end"/>
      </w:r>
      <w:r w:rsidR="004E0CAF">
        <w:rPr>
          <w:b w:val="0"/>
          <w:bCs w:val="0"/>
          <w:lang w:val="en-GB"/>
        </w:rPr>
        <w:t xml:space="preserve">, </w:t>
      </w:r>
      <w:hyperlink r:id="rId42" w:history="1">
        <w:r w:rsidR="004E0CAF" w:rsidRPr="006A0CE1">
          <w:rPr>
            <w:rStyle w:val="Hyperlink"/>
            <w:b w:val="0"/>
            <w:bCs w:val="0"/>
            <w:lang w:val="en-GB"/>
          </w:rPr>
          <w:t>https://caws.org.nz/old-site/awc/1996/awc199615161.pdf</w:t>
        </w:r>
      </w:hyperlink>
      <w:r w:rsidR="004E0CAF">
        <w:rPr>
          <w:b w:val="0"/>
          <w:bCs w:val="0"/>
          <w:lang w:val="en-GB"/>
        </w:rPr>
        <w:t>, under license CC BY 4.0.</w:t>
      </w:r>
      <w:bookmarkEnd w:id="266"/>
      <w:bookmarkEnd w:id="271"/>
      <w:bookmarkEnd w:id="272"/>
      <w:r w:rsidR="00E33239" w:rsidRPr="00837161">
        <w:rPr>
          <w:lang w:val="en-GB"/>
        </w:rPr>
        <w:br w:type="page"/>
      </w:r>
    </w:p>
    <w:p w14:paraId="00000208" w14:textId="62ACE5D9" w:rsidR="00A758FD" w:rsidRPr="00C0338D" w:rsidRDefault="00C81287" w:rsidP="002F2F42">
      <w:pPr>
        <w:pStyle w:val="Heading1"/>
      </w:pPr>
      <w:bookmarkStart w:id="273" w:name="_heading=h.39kk8xu" w:colFirst="0" w:colLast="0"/>
      <w:bookmarkStart w:id="274" w:name="_heading=h.1opuj5n" w:colFirst="0" w:colLast="0"/>
      <w:bookmarkStart w:id="275" w:name="_Toc69313984"/>
      <w:bookmarkStart w:id="276" w:name="_Toc87623142"/>
      <w:bookmarkStart w:id="277" w:name="_Toc131681643"/>
      <w:bookmarkStart w:id="278" w:name="_Toc146810110"/>
      <w:bookmarkStart w:id="279" w:name="_Toc149555475"/>
      <w:bookmarkStart w:id="280" w:name="_Toc12965700"/>
      <w:bookmarkEnd w:id="273"/>
      <w:bookmarkEnd w:id="274"/>
      <w:r w:rsidRPr="00C0338D">
        <w:lastRenderedPageBreak/>
        <w:t>Review of key databases, management tools and technologies</w:t>
      </w:r>
      <w:bookmarkEnd w:id="275"/>
      <w:bookmarkEnd w:id="276"/>
      <w:bookmarkEnd w:id="277"/>
      <w:r w:rsidR="13620970">
        <w:t xml:space="preserve"> for biological invasions</w:t>
      </w:r>
      <w:bookmarkEnd w:id="278"/>
      <w:bookmarkEnd w:id="279"/>
    </w:p>
    <w:p w14:paraId="00000209" w14:textId="22620C5E" w:rsidR="00A758FD" w:rsidRPr="00C0338D" w:rsidRDefault="00C81287">
      <w:pPr>
        <w:spacing w:before="240" w:after="120" w:line="240" w:lineRule="auto"/>
      </w:pPr>
      <w:bookmarkStart w:id="281" w:name="_heading=h.2nusc19" w:colFirst="0" w:colLast="0"/>
      <w:bookmarkStart w:id="282" w:name="_Toc69193562"/>
      <w:bookmarkStart w:id="283" w:name="_Toc69194306"/>
      <w:bookmarkStart w:id="284" w:name="_Toc69194481"/>
      <w:bookmarkStart w:id="285" w:name="_Toc69221855"/>
      <w:bookmarkStart w:id="286" w:name="_Toc69287509"/>
      <w:bookmarkStart w:id="287" w:name="_Toc69289263"/>
      <w:bookmarkStart w:id="288" w:name="_Toc69309936"/>
      <w:bookmarkStart w:id="289" w:name="_Toc69313985"/>
      <w:bookmarkEnd w:id="280"/>
      <w:bookmarkEnd w:id="281"/>
      <w:bookmarkEnd w:id="282"/>
      <w:bookmarkEnd w:id="283"/>
      <w:bookmarkEnd w:id="284"/>
      <w:bookmarkEnd w:id="285"/>
      <w:bookmarkEnd w:id="286"/>
      <w:bookmarkEnd w:id="287"/>
      <w:bookmarkEnd w:id="288"/>
      <w:bookmarkEnd w:id="289"/>
      <w:r w:rsidRPr="00C0338D">
        <w:t xml:space="preserve">From countries to communities, cost-effective solutions for managing pathways, invasive alien species and invaded sites and ecosystems are needed to prevent increasing economic, environmental and social impacts </w:t>
      </w:r>
      <w:r w:rsidR="001B0409" w:rsidRPr="00837161">
        <w:fldChar w:fldCharType="begin"/>
      </w:r>
      <w:r w:rsidR="000F35EB">
        <w:instrText xml:space="preserve"> ADDIN ZOTERO_ITEM CSL_CITATION {"citationID":"gWsj9Ggr","properties":{"formattedCitation":"(Ricciardi et al., 2017)","plainCitation":"(Ricciardi et al., 2017)","noteIndex":0},"citationItems":[{"id":29130,"uris":["http://zotero.org/groups/2352922/items/RFIVYNSF"],"itemData":{"id":29130,"type":"article-journal","abstract":"We identified emerging scientific, technological, and sociopolitical issues likely to affect how biological invasions are studied and managed over the next two decades. Issues were ranked according to their probability of emergence, pervasiveness, potential impact, and novelty. Top-ranked issues include the application of genomic modification tools to control invasions, effects of Arctic globalization on invasion risk in the Northern Hemisphere, commercial use of microbes to facilitate crop production, the emergence of invasive microbial pathogens, and the fate of intercontinental trade agreements. These diverse issues suggest an expanding interdisciplinary role for invasion science in biosecurity and ecosystem management, burgeoning applications of biotechnology in alien species detection and control, and new frontiers in the microbial ecology of invasions.","container-title":"Trends in Ecology &amp; Evolution","DOI":"10.1016/j.tree.2017.03.007","ISSN":"0169-5347","issue":"6","journalAbbreviation":"Trends in Ecology &amp; Evolution","language":"en","page":"464-474","source":"ScienceDirect","title":"Invasion Science: A Horizon Scan of Emerging Challenges and Opportunities","title-short":"Invasion Science","URL":"http://www.sciencedirect.com/science/article/pii/S0169534717300794","volume":"32","author":[{"family":"Ricciardi","given":"Anthony"},{"family":"Blackburn","given":"Tim M."},{"family":"Carlton","given":"James T."},{"family":"Dick","given":"Jaimie T. A."},{"family":"Hulme","given":"Philip E."},{"family":"Iacarella","given":"Josephine C."},{"family":"Jeschke","given":"Jonathan M."},{"family":"Liebhold","given":"Andrew M."},{"family":"Lockwood","given":"Julie L."},{"family":"MacIsaac","given":"Hugh J."},{"family":"Pyšek","given":"Petr"},{"family":"Richardson","given":"David M."},{"family":"Ruiz","given":"Gregory M."},{"family":"Simberloff","given":"Daniel"},{"family":"Sutherland","given":"William J."},{"family":"Wardle","given":"David A."},{"family":"Aldridge","given":"David C."}],"accessed":{"date-parts":[["2019",10,21]]},"issued":{"date-parts":[["2017",6,1]]}},"label":"page"}],"schema":"https://github.com/citation-style-language/schema/raw/master/csl-citation.json"} </w:instrText>
      </w:r>
      <w:r w:rsidR="001B0409" w:rsidRPr="00837161">
        <w:fldChar w:fldCharType="separate"/>
      </w:r>
      <w:r w:rsidR="00271B78" w:rsidRPr="00271B78">
        <w:t>(Ricciardi et al., 2017)</w:t>
      </w:r>
      <w:r w:rsidR="001B0409" w:rsidRPr="00837161">
        <w:fldChar w:fldCharType="end"/>
      </w:r>
      <w:r w:rsidR="001B0409" w:rsidRPr="00837161">
        <w:t>.</w:t>
      </w:r>
      <w:r w:rsidRPr="00C0338D">
        <w:t xml:space="preserve"> A wide range and increasing number of data sources, tools and technologies support actions towards a) prevention, preparedness, surveillance, detection and monitoring of pathways, b) species-</w:t>
      </w:r>
      <w:r w:rsidR="73A5FF54">
        <w:t>based</w:t>
      </w:r>
      <w:r w:rsidRPr="00C0338D">
        <w:t xml:space="preserve"> eradication, containment and management and c) site-based and ecosystem-based management to protect key biodiversity assets to build resilience to further invasion. This section provides explanatory information on databases, tools, technologies, platforms and approaches to support their adoption and use</w:t>
      </w:r>
      <w:r w:rsidR="007C0391">
        <w:t>,</w:t>
      </w:r>
      <w:r w:rsidRPr="00C0338D">
        <w:t xml:space="preserve"> and the context in which they can be used in </w:t>
      </w:r>
      <w:r w:rsidR="5F684D8C">
        <w:t>the</w:t>
      </w:r>
      <w:r w:rsidR="5F684D8C" w:rsidRPr="00C0338D">
        <w:t xml:space="preserve"> </w:t>
      </w:r>
      <w:r w:rsidR="5A7C5823" w:rsidRPr="00C0338D">
        <w:t>management</w:t>
      </w:r>
      <w:r w:rsidR="7A8631CF">
        <w:t xml:space="preserve"> of biological invasions</w:t>
      </w:r>
      <w:r w:rsidR="5A7C5823" w:rsidRPr="00C0338D">
        <w:t>.</w:t>
      </w:r>
      <w:r w:rsidRPr="00C0338D">
        <w:t xml:space="preserve"> Limitations, challenges, advantages, and disadvantages of these are also covered in either the body of the section or in the </w:t>
      </w:r>
      <w:r w:rsidR="0079215C">
        <w:rPr>
          <w:b/>
        </w:rPr>
        <w:t>S</w:t>
      </w:r>
      <w:r w:rsidRPr="00C0338D">
        <w:rPr>
          <w:b/>
        </w:rPr>
        <w:t>upplementary materials 5.3</w:t>
      </w:r>
      <w:r w:rsidRPr="00AC1F76">
        <w:t xml:space="preserve"> to</w:t>
      </w:r>
      <w:r w:rsidRPr="00C0338D">
        <w:rPr>
          <w:i/>
        </w:rPr>
        <w:t xml:space="preserve"> </w:t>
      </w:r>
      <w:r w:rsidRPr="00C0338D">
        <w:rPr>
          <w:b/>
        </w:rPr>
        <w:t>5.8</w:t>
      </w:r>
      <w:r w:rsidRPr="00C0338D">
        <w:t xml:space="preserve">. These </w:t>
      </w:r>
      <w:r w:rsidR="00C166ED">
        <w:t xml:space="preserve">key databases, management tools and technologies for biological invasions </w:t>
      </w:r>
      <w:r w:rsidRPr="00C0338D">
        <w:t>are categorized under a) databases, b) surveillance, detection and diagnostics</w:t>
      </w:r>
      <w:r w:rsidR="00CE7B20">
        <w:t xml:space="preserve"> and</w:t>
      </w:r>
      <w:r w:rsidRPr="00C0338D">
        <w:t xml:space="preserve"> c) intervention technologies. For the last two categories, the tools and technologies are grouped in the context of managing pathways, species and sites. In each of these categories, stakeholder engagement frameworks and decision-support tools have been covered in </w:t>
      </w:r>
      <w:r w:rsidRPr="00C0338D">
        <w:rPr>
          <w:b/>
        </w:rPr>
        <w:t>section 5.2</w:t>
      </w:r>
      <w:r w:rsidRPr="00C0338D">
        <w:t xml:space="preserve">. Some of the latest technologies with significant potential, but not yet applied in the context of </w:t>
      </w:r>
      <w:r w:rsidR="7CD56936">
        <w:t>biological invasions</w:t>
      </w:r>
      <w:r w:rsidRPr="00C0338D">
        <w:t>, are also briefly discussed. The rapid development of novel technologies and approaches has produced tools capable of massively improving management</w:t>
      </w:r>
      <w:r w:rsidR="6C4D5036">
        <w:t xml:space="preserve"> of biological invasions</w:t>
      </w:r>
      <w:r w:rsidR="5A7C5823" w:rsidRPr="00C0338D">
        <w:t>.</w:t>
      </w:r>
      <w:r w:rsidRPr="00C0338D">
        <w:t xml:space="preserve"> However, understanding how to facilitate context specific adoption, application and operationalization of such technologies in a policy and community acceptability context is lagging behind </w:t>
      </w:r>
      <w:r w:rsidR="00F0773E" w:rsidRPr="00837161">
        <w:fldChar w:fldCharType="begin"/>
      </w:r>
      <w:r w:rsidR="00E25D54">
        <w:instrText xml:space="preserve"> ADDIN ZOTERO_ITEM CSL_CITATION {"citationID":"4Qpi0Ar4","properties":{"formattedCitation":"(Burke et al., 2005; Stilgoe et al., 2020; van Rees et al., 2022)","plainCitation":"(Burke et al., 2005; Stilgoe et al., 2020; van Rees et al., 2022)","dontUpdate":true,"noteIndex":0},"citationItems":[{"id":53055,"uris":["http://zotero.org/groups/2352922/items/9GKGZPMI"],"itemData":{"id":53055,"type":"book","ISBN":"978-0-471-72237-3","note":"issue: Ed. 2","publisher":"John Wiley &amp; Sons, Inc.","title":"Handbook of environmental management and technology.","author":[{"family":"Burke","given":"Gwendolyn"},{"family":"Singh","given":"Ben Ramnarine"},{"family":"Theodore","given":"Louis"}],"issued":{"date-parts":[["2005"]]}},"label":"page"},{"id":53054,"uris":["http://zotero.org/groups/2352922/items/VTYEIHHY"],"itemData":{"id":53054,"type":"article-journal","container-title":"Research Policy","DOI":"10.1016/j.respol.2013.05.008","issue":"9","page":"1568-1580","title":"Developing a framework for responsible innovation","volume":"42","author":[{"family":"Stilgoe","given":"Jack"},{"family":"Owen","given":"Richard"},{"family":"Macnaghten","given":"Phil"}],"issued":{"date-parts":[["2020"]]}},"label":"page"},{"id":52616,"uris":["http://zotero.org/groups/2352922/items/99U2QPR5"],"itemData":{"id":52616,"type":"article-journal","abstract":"Invasive alien species (IAS) are a rising threat to biodiversity, national security, and regional economies, with impacts in the hundreds of billions of U.S. dollars annually. Proactive or predictive approaches guided by scientific knowledge are essential to keeping pace with growing impacts of invasions under climate change. Although the rapid development of diverse technologies and approaches has produced tools with the potential to greatly accelerate invasion research and management, innovation has far outpaced implementation and coordination. Technological and methodological syntheses are urgently needed to close the growing implementation gap and facilitate interdisciplinary collaboration and synergy among evolving disciplines. A broad review is necessary to demonstrate the utility and relevance of work in diverse fields to generate actionable science for the ongoing invasion crisis. Here, we review such advances in relevant fields including remote sensing, epidemiology, big data analytics, environmental DNA (eDNA) sampling, genomics, and others, and present a generalized framework for distilling existing and emerging data into products for proactive IAS research and management. This integrated workflow provides a pathway for scientists and practitioners in diverse disciplines to contribute to applied invasion biology in a coordinated, synergistic, and scalable manner.","container-title":"Biological Reviews","DOI":"10.1111/brv.12859","ISSN":"1469-185X","issue":"4","language":"en","note":"_eprint: https://onlinelibrary.wiley.com/doi/pdf/10.1111/brv.12859","page":"1712-1735","source":"Wiley Online Library","title":"A framework to integrate innovations in invasion science for proactive management","URL":"https://onlinelibrary.wiley.com/doi/abs/10.1111/brv.12859","volume":"97","author":[{"family":"Rees","given":"Charles B.","non-dropping-particle":"van"},{"family":"Hand","given":"Brian K."},{"family":"Carter","given":"Sean C."},{"family":"Bargeron","given":"Chuck"},{"family":"Cline","given":"Timothy J."},{"family":"Daniel","given":"Wesley"},{"family":"Ferrante","given":"Jason A."},{"family":"Gaddis","given":"Keith"},{"family":"Hunter","given":"Margaret E."},{"family":"Jarnevich","given":"Catherine S."},{"family":"McGeoch","given":"Melodie A."},{"family":"Morisette","given":"Jeffrey T."},{"family":"Neilson","given":"Matthew E."},{"family":"Roy","given":"Helen E."},{"family":"Rozance","given":"Mary Ann"},{"family":"Sepulveda","given":"Adam"},{"family":"Wallace","given":"Rebekah D."},{"family":"Whited","given":"Diane"},{"family":"Wilcox","given":"Taylor"},{"family":"Kimball","given":"John S."},{"family":"Luikart","given":"Gordon"}],"accessed":{"date-parts":[["2022",7,25]]},"issued":{"date-parts":[["2022"]]}},"label":"page"}],"schema":"https://github.com/citation-style-language/schema/raw/master/csl-citation.json"} </w:instrText>
      </w:r>
      <w:r w:rsidR="00F0773E" w:rsidRPr="00837161">
        <w:fldChar w:fldCharType="separate"/>
      </w:r>
      <w:r w:rsidR="00E25D54" w:rsidRPr="00E25D54">
        <w:t>(Burke et al., 2005; Stilgoe et al., 2020; van Rees et al., 2022</w:t>
      </w:r>
      <w:r w:rsidR="00F0773E" w:rsidRPr="00837161">
        <w:fldChar w:fldCharType="end"/>
      </w:r>
      <w:r w:rsidR="00B051B1" w:rsidRPr="00837161">
        <w:t>;</w:t>
      </w:r>
      <w:r w:rsidRPr="00C0338D">
        <w:t xml:space="preserve"> </w:t>
      </w:r>
      <w:r w:rsidRPr="00C0338D">
        <w:rPr>
          <w:b/>
        </w:rPr>
        <w:t>Chapter 6</w:t>
      </w:r>
      <w:r w:rsidRPr="00C0338D">
        <w:t>,</w:t>
      </w:r>
      <w:r w:rsidRPr="00C0338D">
        <w:rPr>
          <w:b/>
        </w:rPr>
        <w:t xml:space="preserve"> section 6.3.3.4</w:t>
      </w:r>
      <w:r w:rsidRPr="00C0338D">
        <w:t xml:space="preserve">). </w:t>
      </w:r>
    </w:p>
    <w:p w14:paraId="0000020A" w14:textId="26813E94" w:rsidR="00A758FD" w:rsidRPr="00C0338D" w:rsidRDefault="00C81287">
      <w:pPr>
        <w:spacing w:before="240" w:after="120" w:line="240" w:lineRule="auto"/>
      </w:pPr>
      <w:r w:rsidRPr="00C0338D">
        <w:t xml:space="preserve">Summary </w:t>
      </w:r>
      <w:bookmarkStart w:id="290" w:name="_Hlk21810201"/>
      <w:r w:rsidRPr="00C0338D">
        <w:t>tables are provided to frame each tool, technology, approach or platform in terms of the aspects of management they address, their relevance to different types of invasive alien species and the temporal and spatial scale of their application.</w:t>
      </w:r>
      <w:bookmarkStart w:id="291" w:name="_Toc40980437"/>
      <w:bookmarkStart w:id="292" w:name="_Toc43218427"/>
      <w:bookmarkStart w:id="293" w:name="_Toc40980438"/>
      <w:bookmarkStart w:id="294" w:name="_Toc43218428"/>
      <w:bookmarkStart w:id="295" w:name="_Toc40980439"/>
      <w:bookmarkStart w:id="296" w:name="_Toc43218429"/>
      <w:bookmarkStart w:id="297" w:name="_Toc40980440"/>
      <w:bookmarkStart w:id="298" w:name="_Toc43218430"/>
      <w:bookmarkStart w:id="299" w:name="_Toc40980441"/>
      <w:bookmarkStart w:id="300" w:name="_Toc43218431"/>
      <w:bookmarkEnd w:id="290"/>
      <w:bookmarkEnd w:id="291"/>
      <w:bookmarkEnd w:id="292"/>
      <w:bookmarkEnd w:id="293"/>
      <w:bookmarkEnd w:id="294"/>
      <w:bookmarkEnd w:id="295"/>
      <w:bookmarkEnd w:id="296"/>
      <w:bookmarkEnd w:id="297"/>
      <w:bookmarkEnd w:id="298"/>
      <w:bookmarkEnd w:id="299"/>
      <w:bookmarkEnd w:id="300"/>
    </w:p>
    <w:p w14:paraId="0000020B" w14:textId="4A1142FB" w:rsidR="00A758FD" w:rsidRPr="00C0338D" w:rsidRDefault="67C226A7" w:rsidP="002F2F42">
      <w:pPr>
        <w:pStyle w:val="Heading2"/>
      </w:pPr>
      <w:bookmarkStart w:id="301" w:name="_Toc69313991"/>
      <w:bookmarkStart w:id="302" w:name="_Toc87623144"/>
      <w:bookmarkStart w:id="303" w:name="_Toc131681644"/>
      <w:bookmarkStart w:id="304" w:name="_Toc146810111"/>
      <w:bookmarkStart w:id="305" w:name="_Toc149555476"/>
      <w:bookmarkStart w:id="306" w:name="_Hlk69189505"/>
      <w:r>
        <w:t>R</w:t>
      </w:r>
      <w:r w:rsidR="5A7C5823">
        <w:t>elevant</w:t>
      </w:r>
      <w:r w:rsidR="00C81287">
        <w:t xml:space="preserve"> databases</w:t>
      </w:r>
      <w:r w:rsidR="3417D5BC">
        <w:t xml:space="preserve"> for </w:t>
      </w:r>
      <w:r w:rsidR="3417D5BC" w:rsidRPr="00C0338D">
        <w:t xml:space="preserve">management </w:t>
      </w:r>
      <w:bookmarkEnd w:id="301"/>
      <w:bookmarkEnd w:id="302"/>
      <w:bookmarkEnd w:id="303"/>
      <w:r w:rsidR="3417D5BC">
        <w:t>of biological invasions</w:t>
      </w:r>
      <w:bookmarkEnd w:id="304"/>
      <w:bookmarkEnd w:id="305"/>
    </w:p>
    <w:bookmarkEnd w:id="306"/>
    <w:p w14:paraId="60142679" w14:textId="4E0D8C5A" w:rsidR="001B0409" w:rsidRPr="00837161" w:rsidRDefault="00A12685" w:rsidP="00D01847">
      <w:pPr>
        <w:spacing w:before="240" w:after="120"/>
      </w:pPr>
      <w:r w:rsidRPr="00837161">
        <w:t>A</w:t>
      </w:r>
      <w:r w:rsidR="127C8D6D" w:rsidRPr="00837161">
        <w:t>ccurate and real-time publicly accessible geospatial databases of invasive alien species</w:t>
      </w:r>
      <w:r w:rsidRPr="00837161">
        <w:t xml:space="preserve"> provide considerable value for underpinning management</w:t>
      </w:r>
      <w:r w:rsidR="127C8D6D" w:rsidRPr="00837161">
        <w:t xml:space="preserve"> (</w:t>
      </w:r>
      <w:r w:rsidR="654F4FB1" w:rsidRPr="00837161">
        <w:t xml:space="preserve">e.g., </w:t>
      </w:r>
      <w:r w:rsidR="001B0409" w:rsidRPr="00837161">
        <w:fldChar w:fldCharType="begin"/>
      </w:r>
      <w:r w:rsidR="000F35EB">
        <w:instrText xml:space="preserve"> ADDIN ZOTERO_ITEM CSL_CITATION {"citationID":"OvmiCzCA","properties":{"formattedCitation":"(Seebens et al., 2017)","plainCitation":"(Seebens et al., 2017)","dontUpdate":true,"noteIndex":0},"citationItems":[{"id":33027,"uris":["http://zotero.org/groups/2352922/items/SW8TKG54"],"itemData":{"id":33027,"type":"article-journal","container-title":"Nature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label":"page"}],"schema":"https://github.com/citation-style-language/schema/raw/master/csl-citation.json"} </w:instrText>
      </w:r>
      <w:r w:rsidR="001B0409" w:rsidRPr="00837161">
        <w:fldChar w:fldCharType="separate"/>
      </w:r>
      <w:r w:rsidR="00CA1289" w:rsidRPr="00837161">
        <w:t>Seebens et al., 2017</w:t>
      </w:r>
      <w:r w:rsidR="001B0409" w:rsidRPr="00837161">
        <w:fldChar w:fldCharType="end"/>
      </w:r>
      <w:r w:rsidR="7F68C217" w:rsidRPr="00837161">
        <w:t>;</w:t>
      </w:r>
      <w:r w:rsidR="127C8D6D" w:rsidRPr="00837161">
        <w:t xml:space="preserve"> </w:t>
      </w:r>
      <w:r w:rsidR="00B52DF2">
        <w:rPr>
          <w:b/>
          <w:iCs/>
        </w:rPr>
        <w:t>C</w:t>
      </w:r>
      <w:r w:rsidR="15A28E07" w:rsidRPr="00B52DF2">
        <w:rPr>
          <w:b/>
          <w:iCs/>
        </w:rPr>
        <w:t xml:space="preserve">hapter </w:t>
      </w:r>
      <w:r w:rsidR="7F68C217" w:rsidRPr="00B52DF2">
        <w:rPr>
          <w:b/>
          <w:iCs/>
        </w:rPr>
        <w:t>2</w:t>
      </w:r>
      <w:r w:rsidR="7F68C217" w:rsidRPr="00B52DF2">
        <w:rPr>
          <w:iCs/>
        </w:rPr>
        <w:t>,</w:t>
      </w:r>
      <w:r w:rsidR="7F68C217" w:rsidRPr="00B52DF2">
        <w:rPr>
          <w:b/>
          <w:iCs/>
        </w:rPr>
        <w:t xml:space="preserve"> section</w:t>
      </w:r>
      <w:r w:rsidR="15A28E07" w:rsidRPr="00B52DF2">
        <w:rPr>
          <w:b/>
          <w:iCs/>
        </w:rPr>
        <w:t xml:space="preserve"> 2.1.4</w:t>
      </w:r>
      <w:r w:rsidR="07F71EB5" w:rsidRPr="00B52DF2">
        <w:rPr>
          <w:iCs/>
        </w:rPr>
        <w:t>;</w:t>
      </w:r>
      <w:r w:rsidR="07F71EB5" w:rsidRPr="00B52DF2">
        <w:rPr>
          <w:b/>
          <w:iCs/>
        </w:rPr>
        <w:t xml:space="preserve"> </w:t>
      </w:r>
      <w:r w:rsidR="00B52DF2">
        <w:rPr>
          <w:b/>
          <w:iCs/>
        </w:rPr>
        <w:t>C</w:t>
      </w:r>
      <w:r w:rsidR="43AF70B5" w:rsidRPr="00B52DF2">
        <w:rPr>
          <w:b/>
          <w:iCs/>
        </w:rPr>
        <w:t>hapter 6</w:t>
      </w:r>
      <w:r w:rsidR="7F68C217" w:rsidRPr="00B52DF2">
        <w:rPr>
          <w:iCs/>
        </w:rPr>
        <w:t>,</w:t>
      </w:r>
      <w:r w:rsidR="7F68C217" w:rsidRPr="00B52DF2">
        <w:rPr>
          <w:b/>
          <w:iCs/>
        </w:rPr>
        <w:t xml:space="preserve"> section</w:t>
      </w:r>
      <w:r w:rsidR="009F1E1B" w:rsidRPr="00B52DF2">
        <w:rPr>
          <w:b/>
          <w:iCs/>
        </w:rPr>
        <w:t>s</w:t>
      </w:r>
      <w:r w:rsidR="43AF70B5" w:rsidRPr="00B52DF2">
        <w:rPr>
          <w:b/>
          <w:iCs/>
        </w:rPr>
        <w:t xml:space="preserve"> 6.6</w:t>
      </w:r>
      <w:r w:rsidR="00AE5475" w:rsidRPr="00B52DF2">
        <w:rPr>
          <w:b/>
          <w:iCs/>
        </w:rPr>
        <w:t>.1</w:t>
      </w:r>
      <w:r w:rsidR="009F1E1B" w:rsidRPr="00B52DF2">
        <w:rPr>
          <w:b/>
          <w:iCs/>
        </w:rPr>
        <w:t xml:space="preserve"> </w:t>
      </w:r>
      <w:r w:rsidR="009F1E1B" w:rsidRPr="00B52DF2">
        <w:t>and</w:t>
      </w:r>
      <w:r w:rsidR="009F1E1B" w:rsidRPr="00B52DF2">
        <w:rPr>
          <w:iCs/>
        </w:rPr>
        <w:t xml:space="preserve"> </w:t>
      </w:r>
      <w:r w:rsidR="009F1E1B" w:rsidRPr="00B52DF2">
        <w:rPr>
          <w:b/>
          <w:iCs/>
        </w:rPr>
        <w:t>6.6.2</w:t>
      </w:r>
      <w:r w:rsidR="127C8D6D" w:rsidRPr="00837161">
        <w:t xml:space="preserve">). There remain considerable sensitivity issues for </w:t>
      </w:r>
      <w:r w:rsidRPr="00837161">
        <w:t xml:space="preserve">invasive alien </w:t>
      </w:r>
      <w:r w:rsidR="127C8D6D" w:rsidRPr="00837161">
        <w:t xml:space="preserve">species important for trade and market </w:t>
      </w:r>
      <w:r w:rsidR="00EE4BA5" w:rsidRPr="00837161">
        <w:t>access,</w:t>
      </w:r>
      <w:r w:rsidR="127C8D6D" w:rsidRPr="00837161">
        <w:t xml:space="preserve"> but most species data </w:t>
      </w:r>
      <w:r w:rsidR="007C0391">
        <w:t>is</w:t>
      </w:r>
      <w:r w:rsidR="007C0391" w:rsidRPr="00837161">
        <w:t xml:space="preserve"> </w:t>
      </w:r>
      <w:r w:rsidR="127C8D6D" w:rsidRPr="00837161">
        <w:t>on publicly available platforms (</w:t>
      </w:r>
      <w:r w:rsidR="654F4FB1" w:rsidRPr="00837161">
        <w:t xml:space="preserve">e.g., </w:t>
      </w:r>
      <w:r w:rsidR="127C8D6D" w:rsidRPr="00837161">
        <w:t xml:space="preserve">GBIF). Big-data analytics </w:t>
      </w:r>
      <w:r w:rsidR="007C0391">
        <w:t>are</w:t>
      </w:r>
      <w:r w:rsidR="007C0391" w:rsidRPr="00837161">
        <w:t xml:space="preserve"> </w:t>
      </w:r>
      <w:r w:rsidR="127C8D6D" w:rsidRPr="00837161">
        <w:t xml:space="preserve">proving increasingly valuable for understanding and managing priority invasive alien species issues </w:t>
      </w:r>
      <w:r w:rsidR="001B0409" w:rsidRPr="00837161">
        <w:fldChar w:fldCharType="begin"/>
      </w:r>
      <w:r w:rsidR="000F35EB">
        <w:instrText xml:space="preserve"> ADDIN ZOTERO_ITEM CSL_CITATION {"citationID":"xqcmmgUi","properties":{"unsorted":true,"formattedCitation":"(Hay et al., 2013; Bennett, 2015)","plainCitation":"(Hay et al., 2013; Bennett, 2015)","noteIndex":0},"citationItems":[{"id":16803,"uris":["http://zotero.org/groups/2352922/items/LIZXG2IL"],"itemData":{"id":16803,"type":"article-journal","abstract":"Simon Hay and colleagues discuss the potential and challenges of producing continually updated infectious disease risk maps using diverse and large volume data sources such as social media.","container-title":"PLOS Medicine","DOI":"10.1371/journal.pmed.1001413","ISSN":"1549-1676","issue":"4","journalAbbreviation":"PLOS Medicine","language":"en","page":"e1001413","source":"PLoS Journals","title":"Big Data Opportunities for Global Infectious Disease Surveillance","URL":"https://journals.plos.org/plosmedicine/article?id=10.1371/journal.pmed.1001413","volume":"10","author":[{"family":"Hay","given":"Simon I."},{"family":"George","given":"Dylan B."},{"family":"Moyes","given":"Catherine L."},{"family":"Brownstein","given":"John S."}],"accessed":{"date-parts":[["2019",12,9]]},"issued":{"date-parts":[["2013",4,2]]}},"label":"page"},{"id":16804,"uris":["http://zotero.org/groups/2352922/items/7J47FQ26"],"itemData":{"id":16804,"type":"article-journal","abstract":"This short discussion paper considers the current agricultural extension shortfalls and considers how agricultural big data might be used to change the way unknown on-farm issues are identified and managed. The premise being that if unknown issues are brought to light on an individual basis, and potential solutions discussed within trusted networks, that this will enhance the incidence of practice change. Knowledge is discussed in terms of that which is known and that which is not, with the discussion focused on the use of data to help realise unknown knowledge and thus determine on-farm issues, as well as predict cause and effect. The paper draws on the concepts of big data and networked learning to provide a base model on which digital platforms might operate to provide efficiencies in the on-farm decision-making process, as well as enhance the power of those decisions.","container-title":"Farm Policy Journal","ISSN":"1449-2210","issue":"1","page":"43-50","source":"eprints.usq.edu.au","title":"Agricultural big data: utilisation to discover the unknown and instigate practice change","title-short":"Agricultural big data","URL":"http://www.farminstitute.org.au/publications-1/farm-policy-journals/2015-autumn-from-little-data-big-data-grow/agricultural-big-data-utilisation-to-discover-the-unknown-and-instigate-practice-change","volume":"12","author":[{"family":"Bennett","given":"John McLean"}],"accessed":{"date-parts":[["2019",12,9]]},"issued":{"date-parts":[["2015",3]]}},"label":"page"}],"schema":"https://github.com/citation-style-language/schema/raw/master/csl-citation.json"} </w:instrText>
      </w:r>
      <w:r w:rsidR="001B0409" w:rsidRPr="00837161">
        <w:fldChar w:fldCharType="separate"/>
      </w:r>
      <w:r w:rsidR="00271B78" w:rsidRPr="00271B78">
        <w:t>(Hay et al., 2013; Bennett, 2015)</w:t>
      </w:r>
      <w:r w:rsidR="001B0409" w:rsidRPr="00837161">
        <w:fldChar w:fldCharType="end"/>
      </w:r>
      <w:r w:rsidR="127C8D6D" w:rsidRPr="00837161">
        <w:t xml:space="preserve">, but </w:t>
      </w:r>
      <w:r w:rsidR="007C0391">
        <w:t>are</w:t>
      </w:r>
      <w:r w:rsidR="007C0391" w:rsidRPr="00837161">
        <w:t xml:space="preserve"> </w:t>
      </w:r>
      <w:r w:rsidR="127C8D6D" w:rsidRPr="00837161">
        <w:t xml:space="preserve">undertaken by dedicated data analysis groups in academia, governments and industry which does not help social engagement </w:t>
      </w:r>
      <w:r w:rsidR="00F019DB" w:rsidRPr="00837161">
        <w:fldChar w:fldCharType="begin"/>
      </w:r>
      <w:r w:rsidR="000F35EB">
        <w:instrText xml:space="preserve"> ADDIN ZOTERO_ITEM CSL_CITATION {"citationID":"ha5q52Cz","properties":{"formattedCitation":"(Lawrence, 2006)","plainCitation":"(Lawrence, 2006)","noteIndex":0},"citationItems":[{"id":31564,"uris":["http://zotero.org/groups/2352922/items/F66EC42Z"],"itemData":{"id":31564,"type":"article-journal","container-title":"Ethics, Place &amp; Environment","DOI":"10.1080/13668790600893319","ISSN":"1366-879X, 1469-6703","issue":"3","journalAbbreviation":"Ethics, Place &amp; Environment","language":"en","page":"279-298","source":"DOI.org (Crossref)","title":"‘No Personal Motive?’ Volunteers, Biodiversity, and the False Dichotomies of Participation","title-short":"‘No Personal Motive?","URL":"http://www.tandfonline.com/doi/abs/10.1080/13668790600893319","volume":"9","author":[{"family":"Lawrence","given":"Anna"}],"accessed":{"date-parts":[["2021",11,22]]},"issued":{"date-parts":[["2006",10]]}},"label":"page"}],"schema":"https://github.com/citation-style-language/schema/raw/master/csl-citation.json"} </w:instrText>
      </w:r>
      <w:r w:rsidR="00F019DB" w:rsidRPr="00837161">
        <w:fldChar w:fldCharType="separate"/>
      </w:r>
      <w:r w:rsidR="00271B78" w:rsidRPr="00271B78">
        <w:t>(Lawrence, 2006)</w:t>
      </w:r>
      <w:r w:rsidR="00F019DB" w:rsidRPr="00837161">
        <w:fldChar w:fldCharType="end"/>
      </w:r>
      <w:r w:rsidR="127C8D6D" w:rsidRPr="00837161">
        <w:t>. Such databases are relevant for analysing species distribution and abundance, outbreak management and also capture of management activities and their effectiveness. Globally</w:t>
      </w:r>
      <w:r w:rsidR="383870E0" w:rsidRPr="00837161">
        <w:t>,</w:t>
      </w:r>
      <w:r w:rsidR="127C8D6D" w:rsidRPr="00837161">
        <w:t xml:space="preserve"> documentation and data on management and control costs are very limited in terms of final outcomes on </w:t>
      </w:r>
      <w:r w:rsidR="33FA205F" w:rsidRPr="00837161">
        <w:t>n</w:t>
      </w:r>
      <w:r w:rsidR="127C8D6D" w:rsidRPr="00837161">
        <w:t xml:space="preserve">ature and </w:t>
      </w:r>
      <w:r w:rsidR="33FA205F" w:rsidRPr="00837161">
        <w:t>nature's contributions to p</w:t>
      </w:r>
      <w:r w:rsidR="127C8D6D" w:rsidRPr="00837161">
        <w:t xml:space="preserve">eople. </w:t>
      </w:r>
      <w:r w:rsidR="6B86D2AB" w:rsidRPr="00837161">
        <w:t xml:space="preserve">One recent </w:t>
      </w:r>
      <w:r w:rsidR="0E841CC5" w:rsidRPr="00837161">
        <w:t xml:space="preserve">significant </w:t>
      </w:r>
      <w:r w:rsidR="6B86D2AB" w:rsidRPr="00837161">
        <w:t xml:space="preserve">database on impacts is the InvaCost database </w:t>
      </w:r>
      <w:r w:rsidR="003478AD" w:rsidRPr="00837161">
        <w:t>(</w:t>
      </w:r>
      <w:r w:rsidR="00B52DF2">
        <w:rPr>
          <w:b/>
          <w:iCs/>
        </w:rPr>
        <w:t>C</w:t>
      </w:r>
      <w:r w:rsidR="6B86D2AB" w:rsidRPr="00B52DF2">
        <w:rPr>
          <w:b/>
          <w:iCs/>
        </w:rPr>
        <w:t>ha</w:t>
      </w:r>
      <w:r w:rsidR="0E841CC5" w:rsidRPr="00B52DF2">
        <w:rPr>
          <w:b/>
          <w:iCs/>
        </w:rPr>
        <w:t>p</w:t>
      </w:r>
      <w:r w:rsidR="6B86D2AB" w:rsidRPr="00B52DF2">
        <w:rPr>
          <w:b/>
          <w:iCs/>
        </w:rPr>
        <w:t>ter 4</w:t>
      </w:r>
      <w:r w:rsidR="0E841CC5" w:rsidRPr="00B52DF2">
        <w:rPr>
          <w:iCs/>
        </w:rPr>
        <w:t>,</w:t>
      </w:r>
      <w:r w:rsidR="0E841CC5" w:rsidRPr="00B52DF2">
        <w:rPr>
          <w:b/>
          <w:iCs/>
        </w:rPr>
        <w:t xml:space="preserve"> Box 4.1</w:t>
      </w:r>
      <w:r w:rsidR="006B6BF4" w:rsidRPr="00B52DF2">
        <w:rPr>
          <w:b/>
          <w:iCs/>
        </w:rPr>
        <w:t>3</w:t>
      </w:r>
      <w:r w:rsidR="0E841CC5" w:rsidRPr="00837161">
        <w:t xml:space="preserve">). </w:t>
      </w:r>
      <w:r w:rsidR="127C8D6D" w:rsidRPr="00837161">
        <w:t>Global, regional and taxon specific databases relevant for invasive alien species management are listed in</w:t>
      </w:r>
      <w:r w:rsidR="00434FC0">
        <w:t xml:space="preserve"> </w:t>
      </w:r>
      <w:r w:rsidR="00434FC0" w:rsidRPr="00434FC0">
        <w:rPr>
          <w:b/>
          <w:bCs/>
        </w:rPr>
        <w:t>Table 5.4</w:t>
      </w:r>
      <w:r w:rsidR="00B30767" w:rsidRPr="00A50A98">
        <w:rPr>
          <w:i/>
          <w:iCs/>
        </w:rPr>
        <w:fldChar w:fldCharType="begin"/>
      </w:r>
      <w:r w:rsidR="00B30767" w:rsidRPr="00A50A98">
        <w:rPr>
          <w:i/>
          <w:iCs/>
        </w:rPr>
        <w:instrText xml:space="preserve"> REF _Ref104971619 \h  \* MERGEFORMAT </w:instrText>
      </w:r>
      <w:r w:rsidR="00B30767" w:rsidRPr="00A50A98">
        <w:rPr>
          <w:i/>
          <w:iCs/>
        </w:rPr>
      </w:r>
      <w:r w:rsidR="00B30767" w:rsidRPr="00A50A98">
        <w:rPr>
          <w:i/>
          <w:iCs/>
        </w:rPr>
        <w:fldChar w:fldCharType="end"/>
      </w:r>
      <w:r w:rsidR="31EC518B" w:rsidRPr="00837161">
        <w:rPr>
          <w:b/>
          <w:bCs/>
        </w:rPr>
        <w:t xml:space="preserve"> </w:t>
      </w:r>
      <w:r w:rsidR="127C8D6D" w:rsidRPr="00837161">
        <w:t>for a range of information types</w:t>
      </w:r>
      <w:r w:rsidR="6AF89569" w:rsidRPr="00837161">
        <w:t>.</w:t>
      </w:r>
      <w:r w:rsidR="3C8B72C1" w:rsidRPr="00837161">
        <w:t xml:space="preserve"> </w:t>
      </w:r>
      <w:r w:rsidR="0079215C">
        <w:t>Important databases for management of biological invasions</w:t>
      </w:r>
      <w:r w:rsidR="68CC1F90" w:rsidRPr="00837161">
        <w:t xml:space="preserve"> include </w:t>
      </w:r>
      <w:r w:rsidR="127C8D6D" w:rsidRPr="00837161">
        <w:t>the Database of Island Invasive Species Eradications (DIISE), Biological Control of Weeds – a world catalogue of agents and their target weeds</w:t>
      </w:r>
      <w:r w:rsidR="00777375" w:rsidRPr="00837161">
        <w:t>,</w:t>
      </w:r>
      <w:r w:rsidR="127C8D6D" w:rsidRPr="00837161">
        <w:t xml:space="preserve"> </w:t>
      </w:r>
      <w:r w:rsidR="127C8D6D" w:rsidRPr="00837161">
        <w:rPr>
          <w:rFonts w:eastAsia="Times New Roman"/>
        </w:rPr>
        <w:t xml:space="preserve">and BIOCAT for invertebrate pest biocontrol. </w:t>
      </w:r>
      <w:r w:rsidR="127C8D6D" w:rsidRPr="00837161">
        <w:t>The IUCN Red List of Threatened Species</w:t>
      </w:r>
      <w:r w:rsidR="2CCEE256" w:rsidRPr="00837161">
        <w:t>,</w:t>
      </w:r>
      <w:r w:rsidR="127C8D6D" w:rsidRPr="00837161">
        <w:t xml:space="preserve"> </w:t>
      </w:r>
      <w:r w:rsidR="2CCEE256" w:rsidRPr="00837161">
        <w:t>which currently has assessed the risk of extinction for 142,577 species, uses a hierarchical classification scheme to record drivers of species decline, including threats from invasive alien species</w:t>
      </w:r>
      <w:r w:rsidR="127C8D6D" w:rsidRPr="00837161">
        <w:t xml:space="preserve"> </w:t>
      </w:r>
      <w:r w:rsidR="000C2D28" w:rsidRPr="00837161">
        <w:fldChar w:fldCharType="begin"/>
      </w:r>
      <w:r w:rsidR="000F35EB">
        <w:instrText xml:space="preserve"> ADDIN ZOTERO_ITEM CSL_CITATION {"citationID":"MCzqiUOp","properties":{"formattedCitation":"(Salafsky et al., 2008)","plainCitation":"(Salafsky et al., 2008)","noteIndex":0},"citationItems":[{"id":25130,"uris":["http://zotero.org/groups/2352922/items/VPGVRIHQ"],"itemData":{"id":25130,"type":"article-journal","abstract":"Abstract: An essential foundation of any science is a standard lexicon. Any given conservation project can be described in terms of the biodiversity targets, direct threats, contributing factors at the project site, and the conservation actions that the project team is employing to change the situation. These common elements can be linked in a causal chain, which represents a theory of change about how the conservation actions are intended to bring about desired project outcomes. If project teams want to describe and share their work and learn from one another, they need a standard and precise lexicon to specifically describe each node along this chain. To date, there have been several independent efforts to develop standard classifications for the direct threats that affect biodiversity and the conservation actions required to counteract these threats. Recognizing that it is far more effective to have only one accepted global scheme, we merged these separate efforts into unified classifications of threats and actions, which we present here. Each classification is a hierarchical listing of terms and associated definitions. The classifications are comprehensive and exclusive at the upper levels of the hierarchy, expandable at the lower levels, and simple, consistent, and scalable at all levels. We tested these classifications by applying them post hoc to 1191 threatened bird species and 737 conservation projects. Almost all threats and actions could be assigned to the new classification systems, save for some cases lacking detailed information. Furthermore, the new classification systems provided an improved way of analyzing and comparing information across projects when compared with earlier systems. We believe that widespread adoption of these classifications will help practitioners more systematically identify threats and appropriate actions, managers to more efficiently set priorities and allocate resources, and most important, facilitate cross-project learning and the development of a systematic science of conservation.","container-title":"Conservation Biology","DOI":"https://doi.org/10.1111/j.1523-1739.2008.00937.x","ISSN":"1523-1739","issue":"4","language":"en","license":"Journal compilation ©2008 Society for Conservation Biology. No claim to original US government works.","note":"_eprint: https://conbio.onlinelibrary.wiley.com/doi/pdf/10.1111/j.1523-1739.2008.00937.x","page":"897-911","source":"Wiley Online Library","title":"A Standard Lexicon for Biodiversity Conservation: Unified Classifications of Threats and Actions","title-short":"A Standard Lexicon for Biodiversity Conservation","URL":"https://conbio.onlinelibrary.wiley.com/doi/abs/10.1111/j.1523-1739.2008.00937.x","volume":"2</w:instrText>
      </w:r>
      <w:r w:rsidR="000F35EB">
        <w:rPr>
          <w:rFonts w:hint="eastAsia"/>
        </w:rPr>
        <w:instrText>2","author":[{"family":"Salafsky","given":"Nick"},{"family":"Salzer","given":"Daniel"},{"family":"Stattersfield","given":"Alison J."},{"family":"Hilton</w:instrText>
      </w:r>
      <w:r w:rsidR="000F35EB">
        <w:rPr>
          <w:rFonts w:hint="eastAsia"/>
        </w:rPr>
        <w:instrText>‐</w:instrText>
      </w:r>
      <w:r w:rsidR="000F35EB">
        <w:rPr>
          <w:rFonts w:hint="eastAsia"/>
        </w:rPr>
        <w:instrText>Taylor","given":"Craig"},{"family":"Neugarten","given":"Rachel"},{"family":"Butchart","given":"Stuart H</w:instrText>
      </w:r>
      <w:r w:rsidR="000F35EB">
        <w:instrText xml:space="preserve">. M."},{"family":"Collen","given":"Ben"},{"family":"Cox","given":"Neil"},{"family":"Master","given":"Lawrence L."},{"family":"O'connor","given":"Sheila"},{"family":"Wilkie","given":"David"}],"accessed":{"date-parts":[["2021",3,31]]},"issued":{"date-parts":[["2008"]]}},"label":"page"}],"schema":"https://github.com/citation-style-language/schema/raw/master/csl-citation.json"} </w:instrText>
      </w:r>
      <w:r w:rsidR="000C2D28" w:rsidRPr="00837161">
        <w:fldChar w:fldCharType="separate"/>
      </w:r>
      <w:r w:rsidR="00271B78" w:rsidRPr="00271B78">
        <w:t>(Salafsky et al., 2008)</w:t>
      </w:r>
      <w:r w:rsidR="000C2D28" w:rsidRPr="00837161">
        <w:fldChar w:fldCharType="end"/>
      </w:r>
      <w:r w:rsidR="127C8D6D" w:rsidRPr="00837161">
        <w:t>.</w:t>
      </w:r>
    </w:p>
    <w:p w14:paraId="0000020D" w14:textId="195BA49C" w:rsidR="00A758FD" w:rsidRPr="00C0338D" w:rsidRDefault="001B0409">
      <w:pPr>
        <w:spacing w:before="240" w:after="120" w:line="240" w:lineRule="auto"/>
      </w:pPr>
      <w:r w:rsidRPr="00837161">
        <w:lastRenderedPageBreak/>
        <w:t>All these databases are subject to some degree of geographical and taxonomic or sampling bias</w:t>
      </w:r>
      <w:r w:rsidR="001B2228" w:rsidRPr="00837161">
        <w:t xml:space="preserve"> </w:t>
      </w:r>
      <w:r w:rsidR="000C2D28" w:rsidRPr="00837161">
        <w:fldChar w:fldCharType="begin"/>
      </w:r>
      <w:r w:rsidR="000F35EB">
        <w:instrText xml:space="preserve"> ADDIN ZOTERO_ITEM CSL_CITATION {"citationID":"gkZgoc3e","properties":{"formattedCitation":"(Yesson et al., 2007)","plainCitation":"(Yesson et al., 2007)","noteIndex":0},"citationItems":[{"id":24261,"uris":["http://zotero.org/groups/2352922/items/FIADMGRF"],"itemData":{"id":24261,"type":"article-journal","abstract":"There is a concerted global effort to digitize biodiversity occurrence data from herbarium and museum collections that together offer an unparalleled archive of life on Earth over the past few centuries. The Global Biodiversity Information Facility provides the largest single gateway to these data. Since 2004 it has provided a single point of access to specimen data from databases of biological surveys and collections. Biologists now have rapid access to more than 120 million observations, for use in many biological analyses. We investigate the quality and coverage of data digitally available, from the perspective of a biologist seeking distribution data for spatial analysis on a global scale. We present an example of automatic verification of geographic data using distributions from the International Legume Database and Information Service to test empirically, issues of geographic coverage and accuracy. There are over 1/2 million records covering 31% of all Legume species, and 84% of these records pass geographic validation. These data are not yet a global biodiversity resource for all species, or all countries. A user will encounter many biases and gaps in these data which should be understood before data are used or analyzed. The data are notably deficient in many of the world's biodiversity hotspots. The deficiencies in data coverage can be resolved by an increased application of resources to digitize and publish data throughout these most diverse regions. But in the push to provide ever more data online, we should not forget that consistent data quality is of paramount importance if the data are to be useful in capturing a meaningful picture of life on Earth.","container-title":"PLoS ONE","DOI":"10.1371/journal.pone.0001124","ISSN":"1932-6203","issue":"11","journalAbbreviation":"PLOS ONE","language":"en","page":"e1124","source":"PLoS Journals","title":"How Global Is the Global Biodiversity Information Facility?","URL":"https://journals.plos.org/plosone/article?id=10.1371/journal.pone.0001124","volume":"2","author":[{"family":"Yesson","given":"Chris"},{"family":"Brewer","given":"Peter W."},{"family":"Sutton","given":"Tim"},{"family":"Caithness","given":"Neil"},{"family":"Pahwa","given":"Jaspreet S."},{"family":"Burgess","given":"Mikhaila"},{"family":"Gray","given":"W. Alec"},{"family":"White","given":"Richard J."},{"family":"Jones","given":"Andrew C."},{"family":"Bisby","given":"Frank A."},{"family":"Culham","given":"Alastair"}],"accessed":{"date-parts":[["2019",4,15]]},"issued":{"date-parts":[["2007",11,7]]}},"label":"page"}],"schema":"https://github.com/citation-style-language/schema/raw/master/csl-citation.json"} </w:instrText>
      </w:r>
      <w:r w:rsidR="000C2D28" w:rsidRPr="00837161">
        <w:fldChar w:fldCharType="separate"/>
      </w:r>
      <w:r w:rsidR="00271B78" w:rsidRPr="00271B78">
        <w:t>(Yesson et al., 2007)</w:t>
      </w:r>
      <w:r w:rsidR="000C2D28" w:rsidRPr="00837161">
        <w:fldChar w:fldCharType="end"/>
      </w:r>
      <w:r w:rsidRPr="00837161">
        <w:t>.</w:t>
      </w:r>
      <w:r w:rsidR="00C81287" w:rsidRPr="00C0338D">
        <w:t xml:space="preserve"> Data sharing and data integration wor</w:t>
      </w:r>
      <w:r w:rsidR="00C166ED">
        <w:t>k</w:t>
      </w:r>
      <w:r w:rsidR="00C81287" w:rsidRPr="00C0338D">
        <w:t xml:space="preserve"> as long as international data standards are defined and followed. Achieving this in developing countries remains a challenge and it is important to have sustained support to ensure databases are not just a snapshot in time. In this context the </w:t>
      </w:r>
      <w:r w:rsidRPr="00837161">
        <w:t>CBD</w:t>
      </w:r>
      <w:r w:rsidR="00C81287" w:rsidRPr="00C0338D">
        <w:t xml:space="preserve"> invasive alien species ad hoc technical expert group made the following observations:</w:t>
      </w:r>
    </w:p>
    <w:p w14:paraId="0000020E" w14:textId="77777777" w:rsidR="00A758FD" w:rsidRPr="0079215C" w:rsidRDefault="00C81287" w:rsidP="0079215C">
      <w:pPr>
        <w:numPr>
          <w:ilvl w:val="0"/>
          <w:numId w:val="7"/>
        </w:numPr>
        <w:pBdr>
          <w:top w:val="nil"/>
          <w:left w:val="nil"/>
          <w:bottom w:val="nil"/>
          <w:right w:val="nil"/>
          <w:between w:val="nil"/>
        </w:pBdr>
        <w:spacing w:line="240" w:lineRule="auto"/>
        <w:rPr>
          <w:color w:val="000000"/>
        </w:rPr>
      </w:pPr>
      <w:r w:rsidRPr="0079215C">
        <w:rPr>
          <w:color w:val="000000"/>
        </w:rPr>
        <w:t xml:space="preserve">Ensure open access to databases, knowledge sources and analytical data tools via national and international data portals. </w:t>
      </w:r>
    </w:p>
    <w:p w14:paraId="0000020F" w14:textId="77777777" w:rsidR="00A758FD" w:rsidRPr="0079215C" w:rsidRDefault="00C81287" w:rsidP="0079215C">
      <w:pPr>
        <w:numPr>
          <w:ilvl w:val="0"/>
          <w:numId w:val="7"/>
        </w:numPr>
        <w:pBdr>
          <w:top w:val="nil"/>
          <w:left w:val="nil"/>
          <w:bottom w:val="nil"/>
          <w:right w:val="nil"/>
          <w:between w:val="nil"/>
        </w:pBdr>
        <w:spacing w:line="240" w:lineRule="auto"/>
        <w:rPr>
          <w:color w:val="000000"/>
        </w:rPr>
      </w:pPr>
      <w:r w:rsidRPr="0079215C">
        <w:rPr>
          <w:color w:val="000000"/>
        </w:rPr>
        <w:t>Improve databases for marine, invertebrates, microorganisms and fungi and collect and integrate deoxyribonucleic acid (DNA) sequence data into existing databases, where possible.</w:t>
      </w:r>
    </w:p>
    <w:p w14:paraId="00000210" w14:textId="77777777" w:rsidR="00A758FD" w:rsidRPr="0079215C" w:rsidRDefault="00C81287" w:rsidP="0079215C">
      <w:pPr>
        <w:numPr>
          <w:ilvl w:val="0"/>
          <w:numId w:val="7"/>
        </w:numPr>
        <w:pBdr>
          <w:top w:val="nil"/>
          <w:left w:val="nil"/>
          <w:bottom w:val="nil"/>
          <w:right w:val="nil"/>
          <w:between w:val="nil"/>
        </w:pBdr>
        <w:spacing w:line="240" w:lineRule="auto"/>
        <w:rPr>
          <w:color w:val="000000"/>
        </w:rPr>
      </w:pPr>
      <w:r w:rsidRPr="0079215C">
        <w:rPr>
          <w:color w:val="000000"/>
        </w:rPr>
        <w:t xml:space="preserve">Develop internationally agreed data standards to facilitate data sharing. </w:t>
      </w:r>
    </w:p>
    <w:p w14:paraId="00000211" w14:textId="0A8BDECE" w:rsidR="00A758FD" w:rsidRPr="0079215C" w:rsidRDefault="00C81287" w:rsidP="0079215C">
      <w:pPr>
        <w:numPr>
          <w:ilvl w:val="0"/>
          <w:numId w:val="7"/>
        </w:numPr>
        <w:pBdr>
          <w:top w:val="nil"/>
          <w:left w:val="nil"/>
          <w:bottom w:val="nil"/>
          <w:right w:val="nil"/>
          <w:between w:val="nil"/>
        </w:pBdr>
        <w:spacing w:line="240" w:lineRule="auto"/>
        <w:rPr>
          <w:color w:val="000000"/>
        </w:rPr>
      </w:pPr>
      <w:r w:rsidRPr="0079215C">
        <w:rPr>
          <w:color w:val="000000"/>
        </w:rPr>
        <w:t xml:space="preserve">Develop invasive alien species filters for existing species databases (e.g., ECOLEX &amp; FAOLEX; </w:t>
      </w:r>
      <w:r w:rsidR="00434FC0" w:rsidRPr="00434FC0">
        <w:rPr>
          <w:b/>
          <w:bCs/>
        </w:rPr>
        <w:t>Table</w:t>
      </w:r>
      <w:r w:rsidRPr="0079215C">
        <w:rPr>
          <w:b/>
          <w:color w:val="000000"/>
        </w:rPr>
        <w:t xml:space="preserve"> 5.4</w:t>
      </w:r>
      <w:r w:rsidRPr="0079215C">
        <w:rPr>
          <w:color w:val="000000"/>
        </w:rPr>
        <w:t xml:space="preserve">) </w:t>
      </w:r>
    </w:p>
    <w:p w14:paraId="00000212" w14:textId="77777777" w:rsidR="00A758FD" w:rsidRPr="0079215C" w:rsidRDefault="00C81287" w:rsidP="0079215C">
      <w:pPr>
        <w:numPr>
          <w:ilvl w:val="0"/>
          <w:numId w:val="7"/>
        </w:numPr>
        <w:pBdr>
          <w:top w:val="nil"/>
          <w:left w:val="nil"/>
          <w:bottom w:val="nil"/>
          <w:right w:val="nil"/>
          <w:between w:val="nil"/>
        </w:pBdr>
        <w:spacing w:line="240" w:lineRule="auto"/>
        <w:rPr>
          <w:color w:val="000000"/>
        </w:rPr>
      </w:pPr>
      <w:bookmarkStart w:id="307" w:name="_heading=h.2250f4o" w:colFirst="0" w:colLast="0"/>
      <w:bookmarkEnd w:id="307"/>
      <w:r w:rsidRPr="0079215C">
        <w:rPr>
          <w:color w:val="000000"/>
        </w:rPr>
        <w:t xml:space="preserve">Collectively collate data and knowledge on best practice invasive alien species policy and regulatory, voluntary codes of conduct across sectors across and international agencies and conventions. </w:t>
      </w:r>
      <w:bookmarkStart w:id="308" w:name="_Ref104971619"/>
    </w:p>
    <w:p w14:paraId="00000213" w14:textId="77777777" w:rsidR="00A758FD" w:rsidRPr="00C0338D" w:rsidRDefault="00A758FD">
      <w:pPr>
        <w:spacing w:line="240" w:lineRule="auto"/>
      </w:pPr>
    </w:p>
    <w:p w14:paraId="00000214" w14:textId="202C44EC" w:rsidR="00A758FD" w:rsidRPr="00C0338D" w:rsidRDefault="00C81287">
      <w:pPr>
        <w:spacing w:line="240" w:lineRule="auto"/>
      </w:pPr>
      <w:bookmarkStart w:id="309" w:name="_heading=h.haapch" w:colFirst="0" w:colLast="0"/>
      <w:bookmarkStart w:id="310" w:name="_Ref131673734"/>
      <w:bookmarkStart w:id="311" w:name="_Toc147489081"/>
      <w:bookmarkEnd w:id="309"/>
      <w:r w:rsidRPr="00C0338D">
        <w:rPr>
          <w:b/>
        </w:rPr>
        <w:t>Table 5</w:t>
      </w:r>
      <w:r w:rsidR="004469B4" w:rsidRPr="00837161">
        <w:rPr>
          <w:b/>
          <w:bCs/>
        </w:rPr>
        <w:t>.</w:t>
      </w:r>
      <w:r w:rsidR="004469B4" w:rsidRPr="00837161">
        <w:rPr>
          <w:b/>
          <w:bCs/>
        </w:rPr>
        <w:fldChar w:fldCharType="begin"/>
      </w:r>
      <w:r w:rsidR="004469B4" w:rsidRPr="00837161">
        <w:rPr>
          <w:b/>
          <w:bCs/>
        </w:rPr>
        <w:instrText xml:space="preserve"> SEQ Table_5. \* ARABIC </w:instrText>
      </w:r>
      <w:r w:rsidR="004469B4" w:rsidRPr="00837161">
        <w:rPr>
          <w:b/>
          <w:bCs/>
        </w:rPr>
        <w:fldChar w:fldCharType="separate"/>
      </w:r>
      <w:r w:rsidR="00DC77F8">
        <w:rPr>
          <w:b/>
          <w:bCs/>
          <w:noProof/>
        </w:rPr>
        <w:t>4</w:t>
      </w:r>
      <w:r w:rsidR="004469B4" w:rsidRPr="00837161">
        <w:rPr>
          <w:b/>
          <w:bCs/>
        </w:rPr>
        <w:fldChar w:fldCharType="end"/>
      </w:r>
      <w:bookmarkEnd w:id="308"/>
      <w:bookmarkEnd w:id="310"/>
      <w:r w:rsidR="00326D4E" w:rsidRPr="00837161">
        <w:rPr>
          <w:b/>
          <w:bCs/>
        </w:rPr>
        <w:t>.</w:t>
      </w:r>
      <w:r w:rsidRPr="00C0338D">
        <w:t xml:space="preserve"> Information components including description and importance of the information for documenting and managing biological invasions (reason) of existing invasive alien species databases (data and knowledge products) relevant for planning and implementation of management.</w:t>
      </w:r>
      <w:bookmarkEnd w:id="311"/>
      <w:r w:rsidRPr="00C0338D">
        <w:t xml:space="preserve"> </w:t>
      </w:r>
    </w:p>
    <w:p w14:paraId="00000215" w14:textId="03B32805" w:rsidR="00A758FD" w:rsidRPr="00C0338D" w:rsidRDefault="00C81287">
      <w:pPr>
        <w:spacing w:after="120" w:line="240" w:lineRule="auto"/>
      </w:pPr>
      <w:r w:rsidRPr="00C0338D">
        <w:t xml:space="preserve">Websites are provided at the first mention of each database (see </w:t>
      </w:r>
      <w:r w:rsidRPr="00C0338D">
        <w:rPr>
          <w:b/>
        </w:rPr>
        <w:t>Chapter 2</w:t>
      </w:r>
      <w:r w:rsidRPr="00C0338D">
        <w:t xml:space="preserve"> for databases relevant for status and trends and </w:t>
      </w:r>
      <w:r w:rsidRPr="00C0338D">
        <w:rPr>
          <w:b/>
        </w:rPr>
        <w:t>Chapter 6</w:t>
      </w:r>
      <w:r w:rsidRPr="00C0338D">
        <w:t>,</w:t>
      </w:r>
      <w:r w:rsidRPr="00C0338D">
        <w:rPr>
          <w:b/>
        </w:rPr>
        <w:t xml:space="preserve"> section 6.6.3</w:t>
      </w:r>
      <w:r w:rsidRPr="00C0338D">
        <w:t xml:space="preserve"> for databases supporting policy options). Identified gaps identified within the data and knowledge products are also given. </w:t>
      </w:r>
      <w:r w:rsidR="00A0207D" w:rsidRPr="00837161">
        <w:rPr>
          <w:iCs/>
        </w:rPr>
        <w:t>A</w:t>
      </w:r>
      <w:r w:rsidR="007A359D" w:rsidRPr="00837161">
        <w:rPr>
          <w:iCs/>
        </w:rPr>
        <w:t>dapted from</w:t>
      </w:r>
      <w:r w:rsidR="009F50FE" w:rsidRPr="00837161">
        <w:rPr>
          <w:iCs/>
        </w:rPr>
        <w:t xml:space="preserve"> CBD</w:t>
      </w:r>
      <w:r w:rsidR="007A359D" w:rsidRPr="00837161">
        <w:rPr>
          <w:iCs/>
        </w:rPr>
        <w:t xml:space="preserve"> </w:t>
      </w:r>
      <w:r w:rsidR="007A359D" w:rsidRPr="00837161">
        <w:rPr>
          <w:iCs/>
        </w:rPr>
        <w:fldChar w:fldCharType="begin"/>
      </w:r>
      <w:r w:rsidR="000F35EB">
        <w:rPr>
          <w:iCs/>
        </w:rPr>
        <w:instrText xml:space="preserve"> ADDIN ZOTERO_ITEM CSL_CITATION {"citationID":"i9d5pQJ9","properties":{"formattedCitation":"(2019)","plainCitation":"(2019)","noteIndex":0},"citationItems":[{"id":31369,"uris":["http://zotero.org/groups/2352922/items/NNJIACHI"],"itemData":{"id":31369,"type":"paper-conference","collection-title":"CBD/IAS/AHTEG/2019/1/INF/1","event-place":"Montreal, Canada","event-title":"Ad hoc technical expert group on invasive alien species","publisher-place":"Montreal, Canada","title":"Synthesis report of the online forum on invasive alien species","URL":"https://www.cbd.int/doc/c/d56b/254f/f263e27be6e1bb97f564e21d/ias-ahteg-2019-01-inf-01-en.pdf","author":[{"literal":"CBD"}],"accessed":{"date-parts":[["2021",11,18]]},"issued":{"date-parts":[["2019"]]}},"label":"page","suppress-author":true}],"schema":"https://github.com/citation-style-language/schema/raw/master/csl-citation.json"} </w:instrText>
      </w:r>
      <w:r w:rsidR="007A359D" w:rsidRPr="00837161">
        <w:rPr>
          <w:iCs/>
        </w:rPr>
        <w:fldChar w:fldCharType="separate"/>
      </w:r>
      <w:r w:rsidR="00271B78" w:rsidRPr="00271B78">
        <w:t>(2019)</w:t>
      </w:r>
      <w:r w:rsidR="007A359D" w:rsidRPr="00837161">
        <w:rPr>
          <w:iCs/>
        </w:rPr>
        <w:fldChar w:fldCharType="end"/>
      </w:r>
      <w:r w:rsidRPr="00C0338D">
        <w:t xml:space="preserve"> </w:t>
      </w:r>
    </w:p>
    <w:tbl>
      <w:tblPr>
        <w:tblW w:w="971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00" w:firstRow="0" w:lastRow="0" w:firstColumn="0" w:lastColumn="0" w:noHBand="0" w:noVBand="1"/>
      </w:tblPr>
      <w:tblGrid>
        <w:gridCol w:w="1525"/>
        <w:gridCol w:w="1530"/>
        <w:gridCol w:w="1530"/>
        <w:gridCol w:w="3510"/>
        <w:gridCol w:w="1620"/>
      </w:tblGrid>
      <w:tr w:rsidR="00A758FD" w14:paraId="5CC3656C" w14:textId="77777777" w:rsidTr="00AC1F76">
        <w:trPr>
          <w:tblHeader/>
        </w:trPr>
        <w:tc>
          <w:tcPr>
            <w:tcW w:w="1525" w:type="dxa"/>
          </w:tcPr>
          <w:p w14:paraId="00000216" w14:textId="77777777" w:rsidR="00A758FD" w:rsidRPr="00C0338D" w:rsidRDefault="00C81287">
            <w:pPr>
              <w:rPr>
                <w:b/>
              </w:rPr>
            </w:pPr>
            <w:r w:rsidRPr="00C0338D">
              <w:rPr>
                <w:b/>
              </w:rPr>
              <w:t>Fields</w:t>
            </w:r>
          </w:p>
        </w:tc>
        <w:tc>
          <w:tcPr>
            <w:tcW w:w="1530" w:type="dxa"/>
          </w:tcPr>
          <w:p w14:paraId="00000217" w14:textId="77777777" w:rsidR="00A758FD" w:rsidRPr="00C0338D" w:rsidRDefault="00C81287">
            <w:pPr>
              <w:rPr>
                <w:b/>
              </w:rPr>
            </w:pPr>
            <w:r w:rsidRPr="00C0338D">
              <w:rPr>
                <w:b/>
              </w:rPr>
              <w:t xml:space="preserve">Description </w:t>
            </w:r>
          </w:p>
        </w:tc>
        <w:tc>
          <w:tcPr>
            <w:tcW w:w="1530" w:type="dxa"/>
          </w:tcPr>
          <w:p w14:paraId="00000218" w14:textId="77777777" w:rsidR="00A758FD" w:rsidRPr="00C0338D" w:rsidRDefault="00C81287">
            <w:pPr>
              <w:rPr>
                <w:b/>
              </w:rPr>
            </w:pPr>
            <w:r w:rsidRPr="00C0338D">
              <w:rPr>
                <w:b/>
              </w:rPr>
              <w:t>Database purpose</w:t>
            </w:r>
          </w:p>
        </w:tc>
        <w:tc>
          <w:tcPr>
            <w:tcW w:w="3510" w:type="dxa"/>
          </w:tcPr>
          <w:p w14:paraId="00000219" w14:textId="77777777" w:rsidR="00A758FD" w:rsidRPr="00C0338D" w:rsidRDefault="00C81287">
            <w:pPr>
              <w:rPr>
                <w:b/>
              </w:rPr>
            </w:pPr>
            <w:r w:rsidRPr="00C0338D">
              <w:rPr>
                <w:b/>
              </w:rPr>
              <w:t>Examples of data and knowledge products</w:t>
            </w:r>
          </w:p>
        </w:tc>
        <w:tc>
          <w:tcPr>
            <w:tcW w:w="1620" w:type="dxa"/>
          </w:tcPr>
          <w:p w14:paraId="0000021A" w14:textId="77777777" w:rsidR="00A758FD" w:rsidRPr="00C0338D" w:rsidRDefault="00C81287">
            <w:pPr>
              <w:rPr>
                <w:b/>
              </w:rPr>
            </w:pPr>
            <w:r w:rsidRPr="00C0338D">
              <w:rPr>
                <w:b/>
              </w:rPr>
              <w:t>Identified gaps</w:t>
            </w:r>
          </w:p>
        </w:tc>
      </w:tr>
      <w:tr w:rsidR="00A758FD" w:rsidRPr="00E87F41" w14:paraId="4F16D665" w14:textId="77777777" w:rsidTr="00AC1F76">
        <w:tc>
          <w:tcPr>
            <w:tcW w:w="1525" w:type="dxa"/>
          </w:tcPr>
          <w:p w14:paraId="0000021B" w14:textId="77777777" w:rsidR="00A758FD" w:rsidRPr="00AC1F76" w:rsidRDefault="00C81287">
            <w:pPr>
              <w:rPr>
                <w:sz w:val="20"/>
                <w:szCs w:val="20"/>
              </w:rPr>
            </w:pPr>
            <w:r w:rsidRPr="00AC1F76">
              <w:rPr>
                <w:sz w:val="20"/>
                <w:szCs w:val="20"/>
              </w:rPr>
              <w:t>Taxonomy</w:t>
            </w:r>
          </w:p>
        </w:tc>
        <w:tc>
          <w:tcPr>
            <w:tcW w:w="1530" w:type="dxa"/>
          </w:tcPr>
          <w:p w14:paraId="0000021C" w14:textId="77777777" w:rsidR="00A758FD" w:rsidRPr="00AC1F76" w:rsidRDefault="00C81287">
            <w:pPr>
              <w:rPr>
                <w:sz w:val="20"/>
                <w:szCs w:val="20"/>
              </w:rPr>
            </w:pPr>
            <w:r w:rsidRPr="00AC1F76">
              <w:rPr>
                <w:sz w:val="20"/>
                <w:szCs w:val="20"/>
              </w:rPr>
              <w:t>Scientific name, higher taxonomy, synonyms, common names</w:t>
            </w:r>
          </w:p>
        </w:tc>
        <w:tc>
          <w:tcPr>
            <w:tcW w:w="1530" w:type="dxa"/>
          </w:tcPr>
          <w:p w14:paraId="0000021D" w14:textId="77777777" w:rsidR="00A758FD" w:rsidRPr="00AC1F76" w:rsidRDefault="00C81287">
            <w:pPr>
              <w:rPr>
                <w:sz w:val="20"/>
                <w:szCs w:val="20"/>
              </w:rPr>
            </w:pPr>
            <w:r w:rsidRPr="00AC1F76">
              <w:rPr>
                <w:sz w:val="20"/>
                <w:szCs w:val="20"/>
              </w:rPr>
              <w:t xml:space="preserve">Name consistency &amp; locating specimens </w:t>
            </w:r>
          </w:p>
        </w:tc>
        <w:tc>
          <w:tcPr>
            <w:tcW w:w="3510" w:type="dxa"/>
          </w:tcPr>
          <w:p w14:paraId="0000021E" w14:textId="575B7188"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GBIF -</w:t>
            </w:r>
            <w:hyperlink r:id="rId43">
              <w:r w:rsidRPr="00AC1F76">
                <w:rPr>
                  <w:rFonts w:eastAsia="Times New Roman"/>
                  <w:color w:val="0563C1"/>
                  <w:sz w:val="20"/>
                  <w:szCs w:val="20"/>
                  <w:u w:val="single"/>
                </w:rPr>
                <w:t>https://www.gbif.org/</w:t>
              </w:r>
            </w:hyperlink>
            <w:r w:rsidRPr="00AC1F76">
              <w:rPr>
                <w:color w:val="0563C1"/>
                <w:sz w:val="20"/>
                <w:szCs w:val="20"/>
                <w:u w:val="single"/>
              </w:rPr>
              <w:t xml:space="preserve"> </w:t>
            </w:r>
          </w:p>
          <w:p w14:paraId="0000021F" w14:textId="6A1F55BB"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World Register of Introduced Marine Species -</w:t>
            </w:r>
            <w:hyperlink r:id="rId44">
              <w:r w:rsidRPr="00AC1F76">
                <w:rPr>
                  <w:rFonts w:eastAsia="Times New Roman"/>
                  <w:color w:val="0563C1"/>
                  <w:sz w:val="20"/>
                  <w:szCs w:val="20"/>
                  <w:u w:val="single"/>
                </w:rPr>
                <w:t>http://www.marinespecies.org/introduced/</w:t>
              </w:r>
            </w:hyperlink>
            <w:r w:rsidRPr="00AC1F76">
              <w:rPr>
                <w:color w:val="000000"/>
                <w:sz w:val="20"/>
                <w:szCs w:val="20"/>
              </w:rPr>
              <w:t xml:space="preserve"> </w:t>
            </w:r>
          </w:p>
          <w:p w14:paraId="00000220" w14:textId="5A945D5B"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 xml:space="preserve">FishBase - </w:t>
            </w:r>
            <w:hyperlink r:id="rId45">
              <w:r w:rsidRPr="00AC1F76">
                <w:rPr>
                  <w:rFonts w:eastAsia="Times New Roman"/>
                  <w:color w:val="0563C1"/>
                  <w:sz w:val="20"/>
                  <w:szCs w:val="20"/>
                  <w:u w:val="single"/>
                </w:rPr>
                <w:t>https://fishbase.org/</w:t>
              </w:r>
            </w:hyperlink>
            <w:r w:rsidRPr="00AC1F76">
              <w:rPr>
                <w:color w:val="0563C1"/>
                <w:sz w:val="20"/>
                <w:szCs w:val="20"/>
                <w:u w:val="single"/>
              </w:rPr>
              <w:t xml:space="preserve"> </w:t>
            </w:r>
          </w:p>
          <w:p w14:paraId="00000221" w14:textId="08CE484D"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 xml:space="preserve">Plant List - </w:t>
            </w:r>
            <w:hyperlink r:id="rId46">
              <w:r w:rsidRPr="00AC1F76">
                <w:rPr>
                  <w:rFonts w:eastAsia="Times New Roman"/>
                  <w:color w:val="0563C1"/>
                  <w:sz w:val="20"/>
                  <w:szCs w:val="20"/>
                  <w:u w:val="single"/>
                </w:rPr>
                <w:t>http://www.theplantlist.org/</w:t>
              </w:r>
            </w:hyperlink>
            <w:r w:rsidRPr="00AC1F76">
              <w:rPr>
                <w:color w:val="0563C1"/>
                <w:sz w:val="20"/>
                <w:szCs w:val="20"/>
                <w:u w:val="single"/>
              </w:rPr>
              <w:t xml:space="preserve"> </w:t>
            </w:r>
          </w:p>
          <w:p w14:paraId="00000222" w14:textId="6CB85616"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 xml:space="preserve">The Reptile Database - </w:t>
            </w:r>
            <w:hyperlink r:id="rId47">
              <w:r w:rsidRPr="00AC1F76">
                <w:rPr>
                  <w:rFonts w:eastAsia="Times New Roman"/>
                  <w:color w:val="0563C1"/>
                  <w:sz w:val="20"/>
                  <w:szCs w:val="20"/>
                  <w:u w:val="single"/>
                </w:rPr>
                <w:t>http://www.reptile-database.org/</w:t>
              </w:r>
            </w:hyperlink>
            <w:r w:rsidRPr="00AC1F76">
              <w:rPr>
                <w:color w:val="0563C1"/>
                <w:sz w:val="20"/>
                <w:szCs w:val="20"/>
                <w:u w:val="single"/>
              </w:rPr>
              <w:t xml:space="preserve"> </w:t>
            </w:r>
          </w:p>
          <w:p w14:paraId="00000223" w14:textId="55663A65"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 xml:space="preserve">AlgaeBase - </w:t>
            </w:r>
            <w:hyperlink r:id="rId48">
              <w:r w:rsidRPr="00AC1F76">
                <w:rPr>
                  <w:color w:val="0563C1"/>
                  <w:sz w:val="20"/>
                  <w:szCs w:val="20"/>
                  <w:u w:val="single"/>
                </w:rPr>
                <w:t>https://www.algaebase.org/</w:t>
              </w:r>
            </w:hyperlink>
          </w:p>
          <w:p w14:paraId="00000224" w14:textId="1121716C" w:rsidR="00A758FD" w:rsidRPr="00AC1F76" w:rsidRDefault="00C81287" w:rsidP="0079215C">
            <w:pPr>
              <w:numPr>
                <w:ilvl w:val="0"/>
                <w:numId w:val="1"/>
              </w:numPr>
              <w:pBdr>
                <w:top w:val="nil"/>
                <w:left w:val="nil"/>
                <w:bottom w:val="nil"/>
                <w:right w:val="nil"/>
                <w:between w:val="nil"/>
              </w:pBdr>
              <w:rPr>
                <w:color w:val="000000"/>
                <w:sz w:val="20"/>
                <w:szCs w:val="20"/>
              </w:rPr>
            </w:pPr>
            <w:r w:rsidRPr="00AC1F76">
              <w:rPr>
                <w:color w:val="000000"/>
                <w:sz w:val="20"/>
                <w:szCs w:val="20"/>
              </w:rPr>
              <w:t>IUCN Red List of Threatened Species -</w:t>
            </w:r>
            <w:hyperlink r:id="rId49">
              <w:r w:rsidRPr="00AC1F76">
                <w:rPr>
                  <w:rFonts w:eastAsia="Times New Roman"/>
                  <w:color w:val="0563C1"/>
                  <w:sz w:val="20"/>
                  <w:szCs w:val="20"/>
                  <w:u w:val="single"/>
                </w:rPr>
                <w:t>https://www.iucnredlist.org/</w:t>
              </w:r>
            </w:hyperlink>
          </w:p>
        </w:tc>
        <w:tc>
          <w:tcPr>
            <w:tcW w:w="1620" w:type="dxa"/>
          </w:tcPr>
          <w:p w14:paraId="00000225" w14:textId="77777777" w:rsidR="00A758FD" w:rsidRPr="00AC1F76" w:rsidRDefault="00C81287">
            <w:pPr>
              <w:rPr>
                <w:sz w:val="20"/>
                <w:szCs w:val="20"/>
              </w:rPr>
            </w:pPr>
            <w:r w:rsidRPr="00AC1F76">
              <w:rPr>
                <w:sz w:val="20"/>
                <w:szCs w:val="20"/>
              </w:rPr>
              <w:t>Underrepresented biomes and taxa</w:t>
            </w:r>
          </w:p>
        </w:tc>
      </w:tr>
      <w:tr w:rsidR="00A758FD" w:rsidRPr="00E87F41" w14:paraId="3A2BCBB1" w14:textId="77777777" w:rsidTr="00AC1F76">
        <w:tc>
          <w:tcPr>
            <w:tcW w:w="1525" w:type="dxa"/>
          </w:tcPr>
          <w:p w14:paraId="00000226" w14:textId="77777777" w:rsidR="00A758FD" w:rsidRPr="00AC1F76" w:rsidRDefault="00C81287">
            <w:pPr>
              <w:rPr>
                <w:sz w:val="20"/>
                <w:szCs w:val="20"/>
              </w:rPr>
            </w:pPr>
            <w:r w:rsidRPr="00AC1F76">
              <w:rPr>
                <w:sz w:val="20"/>
                <w:szCs w:val="20"/>
              </w:rPr>
              <w:t>Identification</w:t>
            </w:r>
          </w:p>
        </w:tc>
        <w:tc>
          <w:tcPr>
            <w:tcW w:w="1530" w:type="dxa"/>
          </w:tcPr>
          <w:p w14:paraId="00000227" w14:textId="77777777" w:rsidR="00A758FD" w:rsidRPr="00AC1F76" w:rsidRDefault="00C81287">
            <w:pPr>
              <w:rPr>
                <w:sz w:val="20"/>
                <w:szCs w:val="20"/>
              </w:rPr>
            </w:pPr>
            <w:r w:rsidRPr="00AC1F76">
              <w:rPr>
                <w:sz w:val="20"/>
                <w:szCs w:val="20"/>
              </w:rPr>
              <w:t>Identification guides, diagnostic tools</w:t>
            </w:r>
          </w:p>
        </w:tc>
        <w:tc>
          <w:tcPr>
            <w:tcW w:w="1530" w:type="dxa"/>
          </w:tcPr>
          <w:p w14:paraId="00000228" w14:textId="77777777" w:rsidR="00A758FD" w:rsidRPr="00AC1F76" w:rsidRDefault="00C81287">
            <w:pPr>
              <w:rPr>
                <w:sz w:val="20"/>
                <w:szCs w:val="20"/>
              </w:rPr>
            </w:pPr>
            <w:r w:rsidRPr="00AC1F76">
              <w:rPr>
                <w:sz w:val="20"/>
                <w:szCs w:val="20"/>
              </w:rPr>
              <w:t>Correct identification,</w:t>
            </w:r>
          </w:p>
          <w:p w14:paraId="00000229" w14:textId="77777777" w:rsidR="00A758FD" w:rsidRPr="00AC1F76" w:rsidRDefault="00C81287">
            <w:pPr>
              <w:rPr>
                <w:sz w:val="20"/>
                <w:szCs w:val="20"/>
              </w:rPr>
            </w:pPr>
            <w:r w:rsidRPr="00AC1F76">
              <w:rPr>
                <w:sz w:val="20"/>
                <w:szCs w:val="20"/>
              </w:rPr>
              <w:t>Early Detection</w:t>
            </w:r>
          </w:p>
        </w:tc>
        <w:tc>
          <w:tcPr>
            <w:tcW w:w="3510" w:type="dxa"/>
          </w:tcPr>
          <w:p w14:paraId="0000022A" w14:textId="4A91B973"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iNaturalist - </w:t>
            </w:r>
            <w:hyperlink r:id="rId50">
              <w:r w:rsidRPr="00AC1F76">
                <w:rPr>
                  <w:rFonts w:eastAsia="Times New Roman"/>
                  <w:color w:val="0563C1"/>
                  <w:sz w:val="20"/>
                  <w:szCs w:val="20"/>
                  <w:u w:val="single"/>
                </w:rPr>
                <w:t>https://www.inaturalist.org</w:t>
              </w:r>
            </w:hyperlink>
            <w:r w:rsidRPr="00AC1F76">
              <w:rPr>
                <w:color w:val="0563C1"/>
                <w:sz w:val="20"/>
                <w:szCs w:val="20"/>
                <w:u w:val="single"/>
              </w:rPr>
              <w:t xml:space="preserve"> </w:t>
            </w:r>
          </w:p>
          <w:p w14:paraId="0000022B" w14:textId="53845A6D"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Lucidcentral - </w:t>
            </w:r>
            <w:hyperlink r:id="rId51">
              <w:r w:rsidRPr="00AC1F76">
                <w:rPr>
                  <w:rFonts w:eastAsia="Times New Roman"/>
                  <w:color w:val="0563C1"/>
                  <w:sz w:val="20"/>
                  <w:szCs w:val="20"/>
                  <w:u w:val="single"/>
                </w:rPr>
                <w:t>https://www.lucidcentral.org</w:t>
              </w:r>
            </w:hyperlink>
          </w:p>
          <w:p w14:paraId="0000022C" w14:textId="178DE5C9"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Antweb - a comprehensive diagnostic tool for ants - </w:t>
            </w:r>
            <w:hyperlink r:id="rId52">
              <w:r w:rsidRPr="00AC1F76">
                <w:rPr>
                  <w:rFonts w:eastAsia="Times New Roman"/>
                  <w:color w:val="0563C1"/>
                  <w:sz w:val="20"/>
                  <w:szCs w:val="20"/>
                  <w:u w:val="single"/>
                </w:rPr>
                <w:t>http://antweb.org/</w:t>
              </w:r>
            </w:hyperlink>
            <w:r w:rsidRPr="00AC1F76">
              <w:rPr>
                <w:color w:val="0563C1"/>
                <w:sz w:val="20"/>
                <w:szCs w:val="20"/>
                <w:u w:val="single"/>
              </w:rPr>
              <w:t xml:space="preserve"> </w:t>
            </w:r>
          </w:p>
          <w:p w14:paraId="0000022D" w14:textId="39B50FDC"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Plant net -</w:t>
            </w:r>
            <w:hyperlink r:id="rId53">
              <w:r w:rsidRPr="00AC1F76">
                <w:rPr>
                  <w:rFonts w:eastAsia="Times New Roman"/>
                  <w:color w:val="0563C1"/>
                  <w:sz w:val="20"/>
                  <w:szCs w:val="20"/>
                  <w:u w:val="single"/>
                </w:rPr>
                <w:t>https://plantnet.rbgsyd.nsw.gov.au/</w:t>
              </w:r>
            </w:hyperlink>
            <w:r w:rsidRPr="00AC1F76">
              <w:rPr>
                <w:color w:val="0563C1"/>
                <w:sz w:val="20"/>
                <w:szCs w:val="20"/>
                <w:u w:val="single"/>
              </w:rPr>
              <w:t xml:space="preserve"> </w:t>
            </w:r>
          </w:p>
          <w:p w14:paraId="0000022E" w14:textId="5ED6B6A8"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eBird - </w:t>
            </w:r>
            <w:hyperlink r:id="rId54">
              <w:r w:rsidRPr="00AC1F76">
                <w:rPr>
                  <w:rFonts w:eastAsia="Times New Roman"/>
                  <w:color w:val="0563C1"/>
                  <w:sz w:val="20"/>
                  <w:szCs w:val="20"/>
                  <w:u w:val="single"/>
                </w:rPr>
                <w:t>https://ebird.org/home</w:t>
              </w:r>
            </w:hyperlink>
          </w:p>
          <w:p w14:paraId="0000022F" w14:textId="77777777" w:rsidR="00A758FD" w:rsidRPr="00AC1F76" w:rsidRDefault="00C81287">
            <w:pPr>
              <w:numPr>
                <w:ilvl w:val="0"/>
                <w:numId w:val="5"/>
              </w:numPr>
              <w:pBdr>
                <w:top w:val="nil"/>
                <w:left w:val="nil"/>
                <w:bottom w:val="nil"/>
                <w:right w:val="nil"/>
                <w:between w:val="nil"/>
              </w:pBdr>
              <w:rPr>
                <w:rFonts w:eastAsia="Times New Roman"/>
                <w:color w:val="000000"/>
                <w:sz w:val="20"/>
                <w:szCs w:val="20"/>
              </w:rPr>
            </w:pPr>
            <w:r w:rsidRPr="00AC1F76">
              <w:rPr>
                <w:rFonts w:eastAsia="Times New Roman"/>
                <w:color w:val="000000"/>
                <w:sz w:val="20"/>
                <w:szCs w:val="20"/>
              </w:rPr>
              <w:t xml:space="preserve">BioNET – EAFRINET - </w:t>
            </w:r>
            <w:hyperlink r:id="rId55">
              <w:r w:rsidRPr="00AC1F76">
                <w:rPr>
                  <w:rFonts w:eastAsia="Times New Roman"/>
                  <w:color w:val="0563C1"/>
                  <w:sz w:val="20"/>
                  <w:szCs w:val="20"/>
                  <w:u w:val="single"/>
                </w:rPr>
                <w:t>https://keys.lucidcentral.org/keys/v3/eafrinet/plants.htm</w:t>
              </w:r>
            </w:hyperlink>
          </w:p>
          <w:p w14:paraId="00000230" w14:textId="066CF440"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lastRenderedPageBreak/>
              <w:t xml:space="preserve">Portaleei Latin America - </w:t>
            </w:r>
            <w:hyperlink r:id="rId56">
              <w:r w:rsidRPr="00AC1F76">
                <w:rPr>
                  <w:rFonts w:eastAsia="Times New Roman"/>
                  <w:color w:val="0563C1"/>
                  <w:sz w:val="20"/>
                  <w:szCs w:val="20"/>
                  <w:u w:val="single"/>
                </w:rPr>
                <w:t>http://portaleei.fcien.edu.uy/</w:t>
              </w:r>
            </w:hyperlink>
            <w:r w:rsidRPr="00AC1F76">
              <w:rPr>
                <w:rFonts w:eastAsia="Times New Roman"/>
                <w:color w:val="000000"/>
                <w:sz w:val="20"/>
                <w:szCs w:val="20"/>
              </w:rPr>
              <w:t xml:space="preserve"> </w:t>
            </w:r>
          </w:p>
        </w:tc>
        <w:tc>
          <w:tcPr>
            <w:tcW w:w="1620" w:type="dxa"/>
          </w:tcPr>
          <w:p w14:paraId="00000231" w14:textId="77777777" w:rsidR="00A758FD" w:rsidRPr="00AC1F76" w:rsidRDefault="00A758FD">
            <w:pPr>
              <w:rPr>
                <w:sz w:val="20"/>
                <w:szCs w:val="20"/>
              </w:rPr>
            </w:pPr>
          </w:p>
        </w:tc>
      </w:tr>
      <w:tr w:rsidR="00A758FD" w:rsidRPr="00E87F41" w14:paraId="3D320777" w14:textId="77777777" w:rsidTr="00AC1F76">
        <w:tc>
          <w:tcPr>
            <w:tcW w:w="1525" w:type="dxa"/>
          </w:tcPr>
          <w:p w14:paraId="00000232" w14:textId="77777777" w:rsidR="00A758FD" w:rsidRPr="00AC1F76" w:rsidRDefault="00C81287">
            <w:pPr>
              <w:rPr>
                <w:sz w:val="20"/>
                <w:szCs w:val="20"/>
              </w:rPr>
            </w:pPr>
            <w:r w:rsidRPr="00AC1F76">
              <w:rPr>
                <w:sz w:val="20"/>
                <w:szCs w:val="20"/>
              </w:rPr>
              <w:t>Ecology</w:t>
            </w:r>
          </w:p>
        </w:tc>
        <w:tc>
          <w:tcPr>
            <w:tcW w:w="1530" w:type="dxa"/>
          </w:tcPr>
          <w:p w14:paraId="00000233" w14:textId="77777777" w:rsidR="00A758FD" w:rsidRPr="00AC1F76" w:rsidRDefault="00C81287">
            <w:pPr>
              <w:rPr>
                <w:sz w:val="20"/>
                <w:szCs w:val="20"/>
              </w:rPr>
            </w:pPr>
            <w:r w:rsidRPr="00AC1F76">
              <w:rPr>
                <w:sz w:val="20"/>
                <w:szCs w:val="20"/>
              </w:rPr>
              <w:t>Including habitat, species interactions (e.g., host species)</w:t>
            </w:r>
          </w:p>
        </w:tc>
        <w:tc>
          <w:tcPr>
            <w:tcW w:w="1530" w:type="dxa"/>
          </w:tcPr>
          <w:p w14:paraId="00000234" w14:textId="77777777" w:rsidR="00A758FD" w:rsidRPr="00AC1F76" w:rsidRDefault="00C81287">
            <w:pPr>
              <w:rPr>
                <w:sz w:val="20"/>
                <w:szCs w:val="20"/>
              </w:rPr>
            </w:pPr>
            <w:r w:rsidRPr="00AC1F76">
              <w:rPr>
                <w:sz w:val="20"/>
                <w:szCs w:val="20"/>
              </w:rPr>
              <w:t>Management</w:t>
            </w:r>
          </w:p>
          <w:p w14:paraId="00000235" w14:textId="77777777" w:rsidR="00A758FD" w:rsidRPr="00AC1F76" w:rsidRDefault="00C81287">
            <w:pPr>
              <w:rPr>
                <w:sz w:val="20"/>
                <w:szCs w:val="20"/>
              </w:rPr>
            </w:pPr>
            <w:r w:rsidRPr="00AC1F76">
              <w:rPr>
                <w:sz w:val="20"/>
                <w:szCs w:val="20"/>
              </w:rPr>
              <w:t>Risk assessment</w:t>
            </w:r>
          </w:p>
        </w:tc>
        <w:tc>
          <w:tcPr>
            <w:tcW w:w="3510" w:type="dxa"/>
          </w:tcPr>
          <w:p w14:paraId="00000236" w14:textId="1D999A30"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Invasive Species Database (GISD)-</w:t>
            </w:r>
            <w:hyperlink r:id="rId57">
              <w:r w:rsidRPr="00AC1F76">
                <w:rPr>
                  <w:rFonts w:eastAsia="Times New Roman"/>
                  <w:color w:val="0563C1"/>
                  <w:sz w:val="20"/>
                  <w:szCs w:val="20"/>
                  <w:u w:val="single"/>
                </w:rPr>
                <w:t>http://www.iucngisd.org/gisd</w:t>
              </w:r>
            </w:hyperlink>
            <w:r w:rsidRPr="00AC1F76">
              <w:rPr>
                <w:color w:val="0563C1"/>
                <w:sz w:val="20"/>
                <w:szCs w:val="20"/>
                <w:u w:val="single"/>
              </w:rPr>
              <w:t xml:space="preserve"> </w:t>
            </w:r>
          </w:p>
          <w:p w14:paraId="00000237" w14:textId="16A4490E"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Centre for Agriculture and Bioscience International Invasive Species Compendium - </w:t>
            </w:r>
            <w:hyperlink r:id="rId58">
              <w:r w:rsidRPr="00AC1F76">
                <w:rPr>
                  <w:rFonts w:eastAsia="Times New Roman"/>
                  <w:color w:val="0563C1"/>
                  <w:sz w:val="20"/>
                  <w:szCs w:val="20"/>
                  <w:u w:val="single"/>
                </w:rPr>
                <w:t>https://www.cabi.org/isc</w:t>
              </w:r>
            </w:hyperlink>
            <w:r w:rsidRPr="00AC1F76">
              <w:rPr>
                <w:color w:val="0563C1"/>
                <w:sz w:val="20"/>
                <w:szCs w:val="20"/>
                <w:u w:val="single"/>
              </w:rPr>
              <w:t xml:space="preserve"> </w:t>
            </w:r>
          </w:p>
          <w:p w14:paraId="00000238"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FishBase</w:t>
            </w:r>
          </w:p>
          <w:p w14:paraId="3C035F10" w14:textId="27CA1B9A" w:rsidR="0081530F" w:rsidRPr="009A04E6" w:rsidRDefault="00C81287" w:rsidP="0081530F">
            <w:pPr>
              <w:numPr>
                <w:ilvl w:val="0"/>
                <w:numId w:val="5"/>
              </w:numPr>
              <w:pBdr>
                <w:top w:val="nil"/>
                <w:left w:val="nil"/>
                <w:bottom w:val="nil"/>
                <w:right w:val="nil"/>
                <w:between w:val="nil"/>
              </w:pBdr>
              <w:rPr>
                <w:rFonts w:eastAsia="Times New Roman"/>
                <w:color w:val="0563C1"/>
                <w:sz w:val="20"/>
                <w:szCs w:val="20"/>
                <w:u w:val="single"/>
              </w:rPr>
            </w:pPr>
            <w:r w:rsidRPr="00AC1F76">
              <w:rPr>
                <w:rFonts w:eastAsia="Times New Roman"/>
                <w:color w:val="000000"/>
                <w:sz w:val="20"/>
                <w:szCs w:val="20"/>
              </w:rPr>
              <w:t xml:space="preserve">National invasive alien species databases - </w:t>
            </w:r>
            <w:hyperlink r:id="rId59" w:history="1">
              <w:r w:rsidR="0081530F" w:rsidRPr="009A04E6">
                <w:rPr>
                  <w:rStyle w:val="Hyperlink"/>
                  <w:rFonts w:eastAsia="Times New Roman"/>
                  <w:sz w:val="20"/>
                  <w:szCs w:val="20"/>
                </w:rPr>
                <w:t>http://www.inbiar.uns.edu.ar/</w:t>
              </w:r>
            </w:hyperlink>
            <w:r w:rsidR="0081530F" w:rsidRPr="009A04E6">
              <w:rPr>
                <w:rFonts w:eastAsia="Times New Roman"/>
                <w:color w:val="000000"/>
                <w:sz w:val="20"/>
                <w:szCs w:val="20"/>
              </w:rPr>
              <w:t>;</w:t>
            </w:r>
          </w:p>
          <w:p w14:paraId="6862BAEF" w14:textId="42083D57" w:rsidR="0081530F" w:rsidRPr="009A04E6" w:rsidRDefault="0081530F" w:rsidP="009A04E6">
            <w:pPr>
              <w:pBdr>
                <w:top w:val="nil"/>
                <w:left w:val="nil"/>
                <w:bottom w:val="nil"/>
                <w:right w:val="nil"/>
                <w:between w:val="nil"/>
              </w:pBdr>
              <w:ind w:left="360"/>
              <w:rPr>
                <w:rFonts w:eastAsia="Times New Roman"/>
                <w:color w:val="0563C1"/>
                <w:sz w:val="20"/>
                <w:szCs w:val="20"/>
                <w:u w:val="single"/>
              </w:rPr>
            </w:pPr>
            <w:hyperlink r:id="rId60" w:history="1">
              <w:r w:rsidRPr="009A04E6">
                <w:rPr>
                  <w:rStyle w:val="Hyperlink"/>
                  <w:rFonts w:eastAsia="Times New Roman"/>
                  <w:sz w:val="20"/>
                  <w:szCs w:val="20"/>
                </w:rPr>
                <w:t>http://bd.institutohorus.org.br</w:t>
              </w:r>
            </w:hyperlink>
            <w:r w:rsidRPr="00F02205">
              <w:rPr>
                <w:rFonts w:eastAsia="Times New Roman"/>
                <w:color w:val="000000"/>
                <w:sz w:val="20"/>
                <w:szCs w:val="20"/>
              </w:rPr>
              <w:t>;</w:t>
            </w:r>
          </w:p>
          <w:p w14:paraId="2EAA3FA9" w14:textId="1E2F317B" w:rsidR="0081530F" w:rsidRPr="009A04E6" w:rsidRDefault="0081530F" w:rsidP="009A04E6">
            <w:pPr>
              <w:pBdr>
                <w:top w:val="nil"/>
                <w:left w:val="nil"/>
                <w:bottom w:val="nil"/>
                <w:right w:val="nil"/>
                <w:between w:val="nil"/>
              </w:pBdr>
              <w:ind w:left="360"/>
              <w:rPr>
                <w:rFonts w:eastAsia="Times New Roman"/>
                <w:color w:val="0563C1"/>
                <w:sz w:val="20"/>
                <w:szCs w:val="20"/>
                <w:u w:val="single"/>
              </w:rPr>
            </w:pPr>
            <w:hyperlink r:id="rId61" w:history="1">
              <w:r w:rsidRPr="009A04E6">
                <w:rPr>
                  <w:rStyle w:val="Hyperlink"/>
                  <w:rFonts w:eastAsia="Times New Roman"/>
                  <w:sz w:val="20"/>
                  <w:szCs w:val="20"/>
                </w:rPr>
                <w:t>https://caribbeaninvasives.org</w:t>
              </w:r>
            </w:hyperlink>
            <w:r w:rsidRPr="00F02205">
              <w:rPr>
                <w:rFonts w:eastAsia="Times New Roman"/>
                <w:color w:val="000000"/>
                <w:sz w:val="20"/>
                <w:szCs w:val="20"/>
              </w:rPr>
              <w:t>;</w:t>
            </w:r>
          </w:p>
          <w:p w14:paraId="54591241" w14:textId="3D48FC13" w:rsidR="0081530F" w:rsidRPr="009A04E6" w:rsidRDefault="0081530F" w:rsidP="009A04E6">
            <w:pPr>
              <w:pBdr>
                <w:top w:val="nil"/>
                <w:left w:val="nil"/>
                <w:bottom w:val="nil"/>
                <w:right w:val="nil"/>
                <w:between w:val="nil"/>
              </w:pBdr>
              <w:ind w:left="360"/>
              <w:rPr>
                <w:rFonts w:eastAsia="Times New Roman"/>
                <w:color w:val="0563C1"/>
                <w:sz w:val="20"/>
                <w:szCs w:val="20"/>
                <w:u w:val="single"/>
              </w:rPr>
            </w:pPr>
            <w:hyperlink r:id="rId62" w:history="1">
              <w:r w:rsidRPr="009A04E6">
                <w:rPr>
                  <w:rStyle w:val="Hyperlink"/>
                  <w:rFonts w:eastAsia="Times New Roman"/>
                  <w:sz w:val="20"/>
                  <w:szCs w:val="20"/>
                </w:rPr>
                <w:t>https://sieei.udelar.edu.uy</w:t>
              </w:r>
            </w:hyperlink>
            <w:r w:rsidRPr="00F02205">
              <w:rPr>
                <w:rFonts w:eastAsia="Times New Roman"/>
                <w:color w:val="000000"/>
                <w:sz w:val="20"/>
                <w:szCs w:val="20"/>
              </w:rPr>
              <w:t>;</w:t>
            </w:r>
          </w:p>
          <w:p w14:paraId="781E3BF9" w14:textId="4B9E9E93" w:rsidR="0081530F" w:rsidRPr="009A04E6" w:rsidRDefault="0081530F" w:rsidP="009A04E6">
            <w:pPr>
              <w:pBdr>
                <w:top w:val="nil"/>
                <w:left w:val="nil"/>
                <w:bottom w:val="nil"/>
                <w:right w:val="nil"/>
                <w:between w:val="nil"/>
              </w:pBdr>
              <w:ind w:left="360"/>
              <w:rPr>
                <w:rFonts w:eastAsia="Times New Roman"/>
                <w:color w:val="0563C1"/>
                <w:sz w:val="20"/>
                <w:szCs w:val="20"/>
                <w:u w:val="single"/>
              </w:rPr>
            </w:pPr>
            <w:hyperlink r:id="rId63" w:history="1">
              <w:r w:rsidRPr="009A04E6">
                <w:rPr>
                  <w:rStyle w:val="Hyperlink"/>
                  <w:rFonts w:eastAsia="Times New Roman"/>
                  <w:sz w:val="20"/>
                  <w:szCs w:val="20"/>
                </w:rPr>
                <w:t>https://guyra.org.py</w:t>
              </w:r>
            </w:hyperlink>
            <w:r w:rsidRPr="00F02205">
              <w:rPr>
                <w:rFonts w:eastAsia="Times New Roman"/>
                <w:color w:val="000000"/>
                <w:sz w:val="20"/>
                <w:szCs w:val="20"/>
              </w:rPr>
              <w:t>;</w:t>
            </w:r>
          </w:p>
          <w:p w14:paraId="00000239" w14:textId="331FE4D3" w:rsidR="00A758FD" w:rsidRPr="00AC1F76" w:rsidRDefault="0081530F" w:rsidP="009A04E6">
            <w:pPr>
              <w:pBdr>
                <w:top w:val="nil"/>
                <w:left w:val="nil"/>
                <w:bottom w:val="nil"/>
                <w:right w:val="nil"/>
                <w:between w:val="nil"/>
              </w:pBdr>
              <w:ind w:left="360"/>
              <w:rPr>
                <w:color w:val="000000"/>
                <w:sz w:val="20"/>
                <w:szCs w:val="20"/>
              </w:rPr>
            </w:pPr>
            <w:hyperlink r:id="rId64" w:history="1">
              <w:r w:rsidRPr="009A04E6">
                <w:rPr>
                  <w:rStyle w:val="Hyperlink"/>
                  <w:rFonts w:eastAsia="Times New Roman"/>
                  <w:sz w:val="20"/>
                  <w:szCs w:val="20"/>
                </w:rPr>
                <w:t>https://invasoras.biodiversidad.gob.ec</w:t>
              </w:r>
            </w:hyperlink>
            <w:r>
              <w:rPr>
                <w:rFonts w:eastAsia="Times New Roman"/>
                <w:color w:val="0563C1"/>
                <w:sz w:val="20"/>
                <w:szCs w:val="20"/>
                <w:u w:val="single"/>
              </w:rPr>
              <w:t xml:space="preserve"> </w:t>
            </w:r>
            <w:r w:rsidR="00C81287" w:rsidRPr="009A04E6">
              <w:rPr>
                <w:rFonts w:eastAsia="Times New Roman"/>
                <w:color w:val="0563C1"/>
                <w:sz w:val="20"/>
                <w:szCs w:val="20"/>
                <w:u w:val="single"/>
              </w:rPr>
              <w:t xml:space="preserve"> </w:t>
            </w:r>
          </w:p>
        </w:tc>
        <w:tc>
          <w:tcPr>
            <w:tcW w:w="1620" w:type="dxa"/>
          </w:tcPr>
          <w:p w14:paraId="0000023A" w14:textId="77777777" w:rsidR="00A758FD" w:rsidRPr="00AC1F76" w:rsidRDefault="00A758FD">
            <w:pPr>
              <w:rPr>
                <w:sz w:val="20"/>
                <w:szCs w:val="20"/>
              </w:rPr>
            </w:pPr>
          </w:p>
        </w:tc>
      </w:tr>
      <w:tr w:rsidR="00A758FD" w:rsidRPr="00E87F41" w14:paraId="4355229E" w14:textId="77777777" w:rsidTr="00AC1F76">
        <w:tc>
          <w:tcPr>
            <w:tcW w:w="1525" w:type="dxa"/>
          </w:tcPr>
          <w:p w14:paraId="0000023B" w14:textId="77777777" w:rsidR="00A758FD" w:rsidRPr="00AC1F76" w:rsidRDefault="00C81287">
            <w:pPr>
              <w:rPr>
                <w:sz w:val="20"/>
                <w:szCs w:val="20"/>
              </w:rPr>
            </w:pPr>
            <w:r w:rsidRPr="00AC1F76">
              <w:rPr>
                <w:sz w:val="20"/>
                <w:szCs w:val="20"/>
              </w:rPr>
              <w:t>Spatial data</w:t>
            </w:r>
          </w:p>
        </w:tc>
        <w:tc>
          <w:tcPr>
            <w:tcW w:w="1530" w:type="dxa"/>
          </w:tcPr>
          <w:p w14:paraId="0000023C" w14:textId="77777777" w:rsidR="00A758FD" w:rsidRPr="00AC1F76" w:rsidRDefault="00C81287">
            <w:pPr>
              <w:rPr>
                <w:sz w:val="20"/>
                <w:szCs w:val="20"/>
              </w:rPr>
            </w:pPr>
            <w:r w:rsidRPr="00AC1F76">
              <w:rPr>
                <w:sz w:val="20"/>
                <w:szCs w:val="20"/>
              </w:rPr>
              <w:t>Distribution, native and introduced range, occurrence</w:t>
            </w:r>
          </w:p>
        </w:tc>
        <w:tc>
          <w:tcPr>
            <w:tcW w:w="1530" w:type="dxa"/>
          </w:tcPr>
          <w:p w14:paraId="0000023D" w14:textId="77777777" w:rsidR="00A758FD" w:rsidRPr="00AC1F76" w:rsidRDefault="00C81287">
            <w:pPr>
              <w:rPr>
                <w:sz w:val="20"/>
                <w:szCs w:val="20"/>
              </w:rPr>
            </w:pPr>
            <w:r w:rsidRPr="00AC1F76">
              <w:rPr>
                <w:sz w:val="20"/>
                <w:szCs w:val="20"/>
              </w:rPr>
              <w:t>Origin,</w:t>
            </w:r>
          </w:p>
          <w:p w14:paraId="0000023E" w14:textId="77777777" w:rsidR="00A758FD" w:rsidRPr="00AC1F76" w:rsidRDefault="00C81287">
            <w:pPr>
              <w:rPr>
                <w:sz w:val="20"/>
                <w:szCs w:val="20"/>
              </w:rPr>
            </w:pPr>
            <w:r w:rsidRPr="00AC1F76">
              <w:rPr>
                <w:sz w:val="20"/>
                <w:szCs w:val="20"/>
              </w:rPr>
              <w:t>Management,</w:t>
            </w:r>
          </w:p>
          <w:p w14:paraId="0000023F" w14:textId="77777777" w:rsidR="00A758FD" w:rsidRPr="00AC1F76" w:rsidRDefault="00C81287">
            <w:pPr>
              <w:rPr>
                <w:sz w:val="20"/>
                <w:szCs w:val="20"/>
              </w:rPr>
            </w:pPr>
            <w:r w:rsidRPr="00AC1F76">
              <w:rPr>
                <w:sz w:val="20"/>
                <w:szCs w:val="20"/>
              </w:rPr>
              <w:t>Risk assessment</w:t>
            </w:r>
          </w:p>
          <w:p w14:paraId="00000240" w14:textId="77777777" w:rsidR="00A758FD" w:rsidRPr="00AC1F76" w:rsidRDefault="00A758FD">
            <w:pPr>
              <w:rPr>
                <w:sz w:val="20"/>
                <w:szCs w:val="20"/>
              </w:rPr>
            </w:pPr>
          </w:p>
        </w:tc>
        <w:tc>
          <w:tcPr>
            <w:tcW w:w="3510" w:type="dxa"/>
          </w:tcPr>
          <w:p w14:paraId="00000241"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Invasive Species Database</w:t>
            </w:r>
          </w:p>
          <w:p w14:paraId="00000242" w14:textId="77777777" w:rsidR="00A758FD" w:rsidRPr="00AC1F76" w:rsidRDefault="00C81287">
            <w:pPr>
              <w:numPr>
                <w:ilvl w:val="0"/>
                <w:numId w:val="5"/>
              </w:numPr>
              <w:pBdr>
                <w:top w:val="nil"/>
                <w:left w:val="nil"/>
                <w:bottom w:val="nil"/>
                <w:right w:val="nil"/>
                <w:between w:val="nil"/>
              </w:pBdr>
              <w:rPr>
                <w:rFonts w:eastAsia="Times New Roman"/>
                <w:color w:val="000000"/>
                <w:sz w:val="20"/>
                <w:szCs w:val="20"/>
              </w:rPr>
            </w:pPr>
            <w:r w:rsidRPr="00AC1F76">
              <w:rPr>
                <w:rFonts w:eastAsia="Times New Roman"/>
                <w:color w:val="000000"/>
                <w:sz w:val="20"/>
                <w:szCs w:val="20"/>
              </w:rPr>
              <w:t xml:space="preserve">Global Register of Introduced and Invasive Species (GRIIS) - </w:t>
            </w:r>
            <w:hyperlink r:id="rId65">
              <w:r w:rsidRPr="00AC1F76">
                <w:rPr>
                  <w:rFonts w:eastAsia="Times New Roman"/>
                  <w:color w:val="0563C1"/>
                  <w:sz w:val="20"/>
                  <w:szCs w:val="20"/>
                  <w:u w:val="single"/>
                </w:rPr>
                <w:t>http://www.griis.org/</w:t>
              </w:r>
            </w:hyperlink>
            <w:r w:rsidRPr="00AC1F76">
              <w:rPr>
                <w:rFonts w:eastAsia="Times New Roman"/>
                <w:color w:val="000000"/>
                <w:sz w:val="20"/>
                <w:szCs w:val="20"/>
              </w:rPr>
              <w:t xml:space="preserve"> (Pagad et al., 2018, 2022b, 2022a)</w:t>
            </w:r>
          </w:p>
          <w:p w14:paraId="00000243"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Centre for Agriculture and Bioscience International Invasive Species Compendium</w:t>
            </w:r>
          </w:p>
          <w:p w14:paraId="00000244"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FishBase</w:t>
            </w:r>
          </w:p>
          <w:p w14:paraId="00000245" w14:textId="6D0C76FD" w:rsidR="00A758FD" w:rsidRPr="00AC1F76" w:rsidRDefault="00C81287" w:rsidP="0079215C">
            <w:pPr>
              <w:numPr>
                <w:ilvl w:val="0"/>
                <w:numId w:val="5"/>
              </w:numPr>
              <w:pBdr>
                <w:top w:val="nil"/>
                <w:left w:val="nil"/>
                <w:bottom w:val="nil"/>
                <w:right w:val="nil"/>
                <w:between w:val="nil"/>
              </w:pBdr>
              <w:rPr>
                <w:sz w:val="20"/>
                <w:szCs w:val="20"/>
              </w:rPr>
            </w:pPr>
            <w:r w:rsidRPr="00AC1F76">
              <w:rPr>
                <w:color w:val="000000"/>
                <w:sz w:val="20"/>
                <w:szCs w:val="20"/>
              </w:rPr>
              <w:t xml:space="preserve">Global Naturalized Alien Flora (GloNAF) - </w:t>
            </w:r>
            <w:hyperlink r:id="rId66">
              <w:r w:rsidRPr="00AC1F76">
                <w:rPr>
                  <w:color w:val="0563C1"/>
                  <w:sz w:val="20"/>
                  <w:szCs w:val="20"/>
                  <w:u w:val="single"/>
                </w:rPr>
                <w:t>https://glonaf.org</w:t>
              </w:r>
            </w:hyperlink>
            <w:r w:rsidRPr="00AC1F76">
              <w:rPr>
                <w:color w:val="C00000"/>
                <w:sz w:val="20"/>
                <w:szCs w:val="20"/>
                <w:u w:val="single"/>
              </w:rPr>
              <w:t xml:space="preserve"> </w:t>
            </w:r>
          </w:p>
          <w:p w14:paraId="00000246" w14:textId="1EB49268"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rFonts w:eastAsia="Times New Roman"/>
                <w:color w:val="000000"/>
                <w:sz w:val="20"/>
                <w:szCs w:val="20"/>
              </w:rPr>
              <w:t xml:space="preserve">Global Avian Invasions Atlas - </w:t>
            </w:r>
            <w:hyperlink r:id="rId67">
              <w:r w:rsidRPr="00AC1F76">
                <w:rPr>
                  <w:rFonts w:eastAsia="Times New Roman"/>
                  <w:color w:val="0563C1"/>
                  <w:sz w:val="20"/>
                  <w:szCs w:val="20"/>
                  <w:u w:val="single"/>
                </w:rPr>
                <w:t>https://figshare.com/articles/Data_from_The_Global_Avian_Invasions_Atlas__A_database_of_alien_bird_distributions_worldwide/4234850</w:t>
              </w:r>
            </w:hyperlink>
            <w:r w:rsidRPr="00AC1F76">
              <w:rPr>
                <w:color w:val="000000"/>
                <w:sz w:val="20"/>
                <w:szCs w:val="20"/>
              </w:rPr>
              <w:t xml:space="preserve"> </w:t>
            </w:r>
          </w:p>
          <w:p w14:paraId="00000247"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SeaLifeBase - </w:t>
            </w:r>
            <w:r w:rsidRPr="00AC1F76">
              <w:rPr>
                <w:color w:val="0563C1"/>
                <w:sz w:val="20"/>
                <w:szCs w:val="20"/>
                <w:u w:val="single"/>
              </w:rPr>
              <w:t>https://www.sealifebase.ca</w:t>
            </w:r>
          </w:p>
          <w:p w14:paraId="00000248"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WOAH - </w:t>
            </w:r>
            <w:r w:rsidRPr="00AC1F76">
              <w:rPr>
                <w:color w:val="0563C1"/>
                <w:sz w:val="20"/>
                <w:szCs w:val="20"/>
                <w:u w:val="single"/>
              </w:rPr>
              <w:t>https://www.woah.org/en/what-we-do/animal-health-and-welfare/disease-data-collection/world-animal-health-information-system/</w:t>
            </w:r>
          </w:p>
          <w:p w14:paraId="00000249" w14:textId="243AF9B2"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European Alien Species Information Network - </w:t>
            </w:r>
            <w:hyperlink r:id="rId68">
              <w:r w:rsidRPr="00AC1F76">
                <w:rPr>
                  <w:rFonts w:eastAsia="Times New Roman"/>
                  <w:color w:val="0563C1"/>
                  <w:sz w:val="20"/>
                  <w:szCs w:val="20"/>
                  <w:u w:val="single"/>
                </w:rPr>
                <w:t>https://easin.jrc.ec.europa.eu/easin/#</w:t>
              </w:r>
            </w:hyperlink>
          </w:p>
          <w:p w14:paraId="0000024A"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Pacific Islands Ecosystems at Risk -</w:t>
            </w:r>
            <w:r w:rsidRPr="00AC1F76">
              <w:rPr>
                <w:color w:val="0563C1"/>
                <w:sz w:val="20"/>
                <w:szCs w:val="20"/>
                <w:u w:val="single"/>
              </w:rPr>
              <w:t>http://www.hear.org/pier/</w:t>
            </w:r>
            <w:r w:rsidRPr="00AC1F76">
              <w:rPr>
                <w:color w:val="000000"/>
                <w:sz w:val="20"/>
                <w:szCs w:val="20"/>
              </w:rPr>
              <w:t xml:space="preserve"> </w:t>
            </w:r>
          </w:p>
          <w:p w14:paraId="0000024B" w14:textId="117DA5F6" w:rsidR="00A758FD" w:rsidRPr="00AC1F76" w:rsidRDefault="00C81287" w:rsidP="0079215C">
            <w:pPr>
              <w:numPr>
                <w:ilvl w:val="0"/>
                <w:numId w:val="5"/>
              </w:numPr>
              <w:pBdr>
                <w:top w:val="nil"/>
                <w:left w:val="nil"/>
                <w:bottom w:val="nil"/>
                <w:right w:val="nil"/>
                <w:between w:val="nil"/>
              </w:pBdr>
              <w:rPr>
                <w:color w:val="000000"/>
                <w:sz w:val="20"/>
                <w:szCs w:val="20"/>
                <w:highlight w:val="white"/>
              </w:rPr>
            </w:pPr>
            <w:r w:rsidRPr="00AC1F76">
              <w:rPr>
                <w:color w:val="000000"/>
                <w:sz w:val="20"/>
                <w:szCs w:val="20"/>
                <w:highlight w:val="white"/>
              </w:rPr>
              <w:t xml:space="preserve">Species observations for the United States and Territories </w:t>
            </w:r>
            <w:hyperlink r:id="rId69">
              <w:r w:rsidRPr="00AC1F76">
                <w:rPr>
                  <w:rFonts w:eastAsia="Times New Roman"/>
                  <w:color w:val="0563C1"/>
                  <w:sz w:val="20"/>
                  <w:szCs w:val="20"/>
                  <w:highlight w:val="white"/>
                  <w:u w:val="single"/>
                </w:rPr>
                <w:t>https://www.gbif.us</w:t>
              </w:r>
            </w:hyperlink>
          </w:p>
          <w:p w14:paraId="0000024C" w14:textId="210F75C2" w:rsidR="00A758FD" w:rsidRPr="00AC1F76" w:rsidRDefault="00C81287" w:rsidP="0079215C">
            <w:pPr>
              <w:numPr>
                <w:ilvl w:val="0"/>
                <w:numId w:val="5"/>
              </w:numPr>
              <w:pBdr>
                <w:top w:val="nil"/>
                <w:left w:val="nil"/>
                <w:bottom w:val="nil"/>
                <w:right w:val="nil"/>
                <w:between w:val="nil"/>
              </w:pBdr>
              <w:rPr>
                <w:color w:val="000000"/>
                <w:sz w:val="20"/>
                <w:szCs w:val="20"/>
                <w:highlight w:val="white"/>
              </w:rPr>
            </w:pPr>
            <w:r w:rsidRPr="00AC1F76">
              <w:rPr>
                <w:color w:val="000000"/>
                <w:sz w:val="20"/>
                <w:szCs w:val="20"/>
              </w:rPr>
              <w:t xml:space="preserve">Atlas of Living Australia - </w:t>
            </w:r>
            <w:hyperlink r:id="rId70">
              <w:r w:rsidRPr="00AC1F76">
                <w:rPr>
                  <w:rFonts w:eastAsia="Times New Roman"/>
                  <w:color w:val="0563C1"/>
                  <w:sz w:val="20"/>
                  <w:szCs w:val="20"/>
                  <w:u w:val="single"/>
                </w:rPr>
                <w:t>www.ala.org</w:t>
              </w:r>
            </w:hyperlink>
            <w:r w:rsidR="0081530F">
              <w:rPr>
                <w:rFonts w:eastAsia="Times New Roman"/>
                <w:color w:val="0563C1"/>
                <w:sz w:val="20"/>
                <w:szCs w:val="20"/>
                <w:u w:val="single"/>
              </w:rPr>
              <w:t>.au</w:t>
            </w:r>
            <w:r w:rsidRPr="00AC1F76">
              <w:rPr>
                <w:color w:val="0563C1"/>
                <w:sz w:val="20"/>
                <w:szCs w:val="20"/>
                <w:u w:val="single"/>
              </w:rPr>
              <w:t xml:space="preserve"> </w:t>
            </w:r>
            <w:r w:rsidRPr="00AC1F76">
              <w:rPr>
                <w:color w:val="000000"/>
                <w:sz w:val="20"/>
                <w:szCs w:val="20"/>
              </w:rPr>
              <w:t xml:space="preserve">Analytic software platforms extensive and open source. </w:t>
            </w:r>
          </w:p>
          <w:p w14:paraId="0000024D"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lastRenderedPageBreak/>
              <w:t xml:space="preserve">National invasive alien species databases </w:t>
            </w:r>
          </w:p>
          <w:p w14:paraId="0000024E" w14:textId="723F5F0B"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Biomodelos - Biomodels of potential distribution maps and invasive species fauna and flora in Colombia - </w:t>
            </w:r>
            <w:hyperlink r:id="rId71">
              <w:r w:rsidRPr="00AC1F76">
                <w:rPr>
                  <w:rFonts w:eastAsia="Times New Roman"/>
                  <w:color w:val="0563C1"/>
                  <w:sz w:val="20"/>
                  <w:szCs w:val="20"/>
                  <w:u w:val="single"/>
                </w:rPr>
                <w:t>http://biomodelos.humboldt.org.co/en</w:t>
              </w:r>
            </w:hyperlink>
            <w:r w:rsidRPr="00AC1F76">
              <w:rPr>
                <w:color w:val="0563C1"/>
                <w:sz w:val="20"/>
                <w:szCs w:val="20"/>
                <w:u w:val="single"/>
              </w:rPr>
              <w:t xml:space="preserve"> </w:t>
            </w:r>
          </w:p>
          <w:p w14:paraId="0000024F"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International Union for Conservation of Nature Red List of Threatened Species</w:t>
            </w:r>
          </w:p>
          <w:p w14:paraId="00000250" w14:textId="47F8E2F2"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Regional plant protection organizations - </w:t>
            </w:r>
            <w:hyperlink r:id="rId72">
              <w:r w:rsidRPr="00AC1F76">
                <w:rPr>
                  <w:rFonts w:eastAsia="Times New Roman"/>
                  <w:color w:val="0563C1"/>
                  <w:sz w:val="20"/>
                  <w:szCs w:val="20"/>
                  <w:u w:val="single"/>
                </w:rPr>
                <w:t>https://www.ippc.int/en/external-cooperation/regional-plant-protection-organizations/</w:t>
              </w:r>
            </w:hyperlink>
          </w:p>
        </w:tc>
        <w:tc>
          <w:tcPr>
            <w:tcW w:w="1620" w:type="dxa"/>
          </w:tcPr>
          <w:p w14:paraId="00000251" w14:textId="77777777" w:rsidR="00A758FD" w:rsidRPr="00AC1F76" w:rsidRDefault="00A758FD">
            <w:pPr>
              <w:rPr>
                <w:sz w:val="20"/>
                <w:szCs w:val="20"/>
              </w:rPr>
            </w:pPr>
          </w:p>
        </w:tc>
      </w:tr>
      <w:tr w:rsidR="00A758FD" w:rsidRPr="00E87F41" w14:paraId="341DDEB1" w14:textId="77777777" w:rsidTr="00AC1F76">
        <w:tc>
          <w:tcPr>
            <w:tcW w:w="1525" w:type="dxa"/>
          </w:tcPr>
          <w:p w14:paraId="00000252" w14:textId="77777777" w:rsidR="00A758FD" w:rsidRPr="00AC1F76" w:rsidRDefault="00C81287">
            <w:pPr>
              <w:rPr>
                <w:sz w:val="20"/>
                <w:szCs w:val="20"/>
              </w:rPr>
            </w:pPr>
            <w:r w:rsidRPr="00AC1F76">
              <w:rPr>
                <w:sz w:val="20"/>
                <w:szCs w:val="20"/>
              </w:rPr>
              <w:t>Status and Provenance</w:t>
            </w:r>
          </w:p>
        </w:tc>
        <w:tc>
          <w:tcPr>
            <w:tcW w:w="1530" w:type="dxa"/>
          </w:tcPr>
          <w:p w14:paraId="00000253" w14:textId="34229C59" w:rsidR="00A758FD" w:rsidRPr="00AC1F76" w:rsidRDefault="00C81287">
            <w:pPr>
              <w:rPr>
                <w:sz w:val="20"/>
                <w:szCs w:val="20"/>
              </w:rPr>
            </w:pPr>
            <w:r w:rsidRPr="00AC1F76">
              <w:rPr>
                <w:sz w:val="20"/>
                <w:szCs w:val="20"/>
              </w:rPr>
              <w:t xml:space="preserve"> </w:t>
            </w:r>
            <w:r w:rsidR="0A38E19B" w:rsidRPr="00AC1F76">
              <w:rPr>
                <w:sz w:val="20"/>
                <w:szCs w:val="20"/>
              </w:rPr>
              <w:t>Invasive alien species</w:t>
            </w:r>
            <w:r w:rsidRPr="00AC1F76">
              <w:rPr>
                <w:sz w:val="20"/>
                <w:szCs w:val="20"/>
              </w:rPr>
              <w:t xml:space="preserve"> status in introduced range including abundance, occurrence (extent of spread) and invasiveness</w:t>
            </w:r>
          </w:p>
        </w:tc>
        <w:tc>
          <w:tcPr>
            <w:tcW w:w="1530" w:type="dxa"/>
          </w:tcPr>
          <w:p w14:paraId="00000254" w14:textId="77777777" w:rsidR="00A758FD" w:rsidRPr="00AC1F76" w:rsidRDefault="00C81287">
            <w:pPr>
              <w:rPr>
                <w:sz w:val="20"/>
                <w:szCs w:val="20"/>
              </w:rPr>
            </w:pPr>
            <w:r w:rsidRPr="00AC1F76">
              <w:rPr>
                <w:sz w:val="20"/>
                <w:szCs w:val="20"/>
              </w:rPr>
              <w:t>Origin,</w:t>
            </w:r>
          </w:p>
          <w:p w14:paraId="00000255" w14:textId="77777777" w:rsidR="00A758FD" w:rsidRPr="00AC1F76" w:rsidRDefault="00C81287">
            <w:pPr>
              <w:rPr>
                <w:sz w:val="20"/>
                <w:szCs w:val="20"/>
              </w:rPr>
            </w:pPr>
            <w:r w:rsidRPr="00AC1F76">
              <w:rPr>
                <w:sz w:val="20"/>
                <w:szCs w:val="20"/>
              </w:rPr>
              <w:t>Prioritization and Management</w:t>
            </w:r>
          </w:p>
          <w:p w14:paraId="00000256" w14:textId="77777777" w:rsidR="00A758FD" w:rsidRPr="00AC1F76" w:rsidRDefault="00C81287">
            <w:pPr>
              <w:rPr>
                <w:sz w:val="20"/>
                <w:szCs w:val="20"/>
              </w:rPr>
            </w:pPr>
            <w:r w:rsidRPr="00AC1F76">
              <w:rPr>
                <w:sz w:val="20"/>
                <w:szCs w:val="20"/>
              </w:rPr>
              <w:t>Prioritization</w:t>
            </w:r>
          </w:p>
        </w:tc>
        <w:tc>
          <w:tcPr>
            <w:tcW w:w="3510" w:type="dxa"/>
          </w:tcPr>
          <w:p w14:paraId="00000257"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Invasive Species Database</w:t>
            </w:r>
          </w:p>
          <w:p w14:paraId="00000258"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Register of Introduced and Invasive Species</w:t>
            </w:r>
          </w:p>
          <w:p w14:paraId="00000259"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Centre for Agriculture and Bioscience International Invasive Species Compendium</w:t>
            </w:r>
          </w:p>
          <w:p w14:paraId="0000025A"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FishBase</w:t>
            </w:r>
          </w:p>
          <w:p w14:paraId="0000025B"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European Alien Species Information Network</w:t>
            </w:r>
          </w:p>
          <w:p w14:paraId="0000025C"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Pacific Islands Ecosystems at Risk </w:t>
            </w:r>
          </w:p>
          <w:p w14:paraId="0000025D"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World Register of Introduced Marine Species </w:t>
            </w:r>
          </w:p>
          <w:p w14:paraId="0000025E" w14:textId="77777777" w:rsidR="00A758FD" w:rsidRPr="00AC1F76" w:rsidRDefault="00C81287">
            <w:pPr>
              <w:numPr>
                <w:ilvl w:val="0"/>
                <w:numId w:val="5"/>
              </w:numPr>
              <w:pBdr>
                <w:top w:val="nil"/>
                <w:left w:val="nil"/>
                <w:bottom w:val="nil"/>
                <w:right w:val="nil"/>
                <w:between w:val="nil"/>
              </w:pBdr>
              <w:rPr>
                <w:rFonts w:eastAsia="Times New Roman"/>
                <w:color w:val="000000"/>
                <w:sz w:val="20"/>
                <w:szCs w:val="20"/>
              </w:rPr>
            </w:pPr>
            <w:r w:rsidRPr="00AC1F76">
              <w:rPr>
                <w:rFonts w:eastAsia="Times New Roman"/>
                <w:color w:val="000000"/>
                <w:sz w:val="20"/>
                <w:szCs w:val="20"/>
              </w:rPr>
              <w:t xml:space="preserve">SeaLifeBase - </w:t>
            </w:r>
            <w:hyperlink r:id="rId73">
              <w:r w:rsidRPr="00AC1F76">
                <w:rPr>
                  <w:rFonts w:eastAsia="Times New Roman"/>
                  <w:color w:val="0563C1"/>
                  <w:sz w:val="20"/>
                  <w:szCs w:val="20"/>
                  <w:u w:val="single"/>
                </w:rPr>
                <w:t>https://www.sealifebase.ca/</w:t>
              </w:r>
            </w:hyperlink>
            <w:r w:rsidRPr="00AC1F76">
              <w:rPr>
                <w:rFonts w:eastAsia="Times New Roman"/>
                <w:color w:val="000000"/>
                <w:sz w:val="20"/>
                <w:szCs w:val="20"/>
              </w:rPr>
              <w:t xml:space="preserve"> </w:t>
            </w:r>
          </w:p>
          <w:p w14:paraId="0000025F" w14:textId="77777777" w:rsidR="00A758FD" w:rsidRPr="00AC1F76" w:rsidRDefault="00BF75D1">
            <w:pPr>
              <w:numPr>
                <w:ilvl w:val="0"/>
                <w:numId w:val="5"/>
              </w:numPr>
              <w:pBdr>
                <w:top w:val="nil"/>
                <w:left w:val="nil"/>
                <w:bottom w:val="nil"/>
                <w:right w:val="nil"/>
                <w:between w:val="nil"/>
              </w:pBdr>
              <w:rPr>
                <w:rFonts w:eastAsia="Times New Roman"/>
                <w:color w:val="000000"/>
                <w:sz w:val="20"/>
                <w:szCs w:val="20"/>
              </w:rPr>
            </w:pPr>
            <w:hyperlink r:id="rId74">
              <w:r w:rsidR="00C81287" w:rsidRPr="00AC1F76">
                <w:rPr>
                  <w:rFonts w:eastAsia="Times New Roman"/>
                  <w:color w:val="000000"/>
                  <w:sz w:val="20"/>
                  <w:szCs w:val="20"/>
                </w:rPr>
                <w:t>WOAH World Animal Health Information System</w:t>
              </w:r>
            </w:hyperlink>
            <w:r w:rsidR="00C81287" w:rsidRPr="00AC1F76">
              <w:rPr>
                <w:rFonts w:eastAsia="Times New Roman"/>
                <w:color w:val="000000"/>
                <w:sz w:val="20"/>
                <w:szCs w:val="20"/>
              </w:rPr>
              <w:t xml:space="preserve"> - disease status </w:t>
            </w:r>
          </w:p>
          <w:p w14:paraId="00000260"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National invasive alien species databases </w:t>
            </w:r>
          </w:p>
        </w:tc>
        <w:tc>
          <w:tcPr>
            <w:tcW w:w="1620" w:type="dxa"/>
          </w:tcPr>
          <w:p w14:paraId="00000261" w14:textId="77777777" w:rsidR="00A758FD" w:rsidRPr="00AC1F76" w:rsidRDefault="00A758FD">
            <w:pPr>
              <w:rPr>
                <w:sz w:val="20"/>
                <w:szCs w:val="20"/>
              </w:rPr>
            </w:pPr>
          </w:p>
        </w:tc>
      </w:tr>
      <w:tr w:rsidR="00A758FD" w:rsidRPr="00E87F41" w14:paraId="78F4F73A" w14:textId="77777777" w:rsidTr="00AC1F76">
        <w:tc>
          <w:tcPr>
            <w:tcW w:w="1525" w:type="dxa"/>
          </w:tcPr>
          <w:p w14:paraId="00000262" w14:textId="77777777" w:rsidR="00A758FD" w:rsidRPr="00AC1F76" w:rsidRDefault="00C81287">
            <w:pPr>
              <w:rPr>
                <w:sz w:val="20"/>
                <w:szCs w:val="20"/>
              </w:rPr>
            </w:pPr>
            <w:r w:rsidRPr="00AC1F76">
              <w:rPr>
                <w:sz w:val="20"/>
                <w:szCs w:val="20"/>
              </w:rPr>
              <w:t xml:space="preserve">Primary and secondary pathways </w:t>
            </w:r>
          </w:p>
        </w:tc>
        <w:tc>
          <w:tcPr>
            <w:tcW w:w="1530" w:type="dxa"/>
          </w:tcPr>
          <w:p w14:paraId="00000263" w14:textId="77777777" w:rsidR="00A758FD" w:rsidRPr="00AC1F76" w:rsidRDefault="00C81287">
            <w:pPr>
              <w:rPr>
                <w:sz w:val="20"/>
                <w:szCs w:val="20"/>
              </w:rPr>
            </w:pPr>
            <w:r w:rsidRPr="00AC1F76">
              <w:rPr>
                <w:sz w:val="20"/>
                <w:szCs w:val="20"/>
              </w:rPr>
              <w:t>Intentional or unintentional Pathways of introduction and spread</w:t>
            </w:r>
          </w:p>
        </w:tc>
        <w:tc>
          <w:tcPr>
            <w:tcW w:w="1530" w:type="dxa"/>
          </w:tcPr>
          <w:p w14:paraId="00000264" w14:textId="77777777" w:rsidR="00A758FD" w:rsidRPr="00AC1F76" w:rsidRDefault="00C81287">
            <w:pPr>
              <w:rPr>
                <w:sz w:val="20"/>
                <w:szCs w:val="20"/>
              </w:rPr>
            </w:pPr>
            <w:r w:rsidRPr="00AC1F76">
              <w:rPr>
                <w:sz w:val="20"/>
                <w:szCs w:val="20"/>
              </w:rPr>
              <w:t>Biosecurity</w:t>
            </w:r>
          </w:p>
          <w:p w14:paraId="00000265" w14:textId="77777777" w:rsidR="00A758FD" w:rsidRPr="00AC1F76" w:rsidRDefault="00C81287">
            <w:pPr>
              <w:rPr>
                <w:sz w:val="20"/>
                <w:szCs w:val="20"/>
              </w:rPr>
            </w:pPr>
            <w:r w:rsidRPr="00AC1F76">
              <w:rPr>
                <w:sz w:val="20"/>
                <w:szCs w:val="20"/>
              </w:rPr>
              <w:t>Management</w:t>
            </w:r>
          </w:p>
          <w:p w14:paraId="00000266" w14:textId="77777777" w:rsidR="00A758FD" w:rsidRPr="00AC1F76" w:rsidRDefault="00A758FD">
            <w:pPr>
              <w:rPr>
                <w:sz w:val="20"/>
                <w:szCs w:val="20"/>
              </w:rPr>
            </w:pPr>
          </w:p>
        </w:tc>
        <w:tc>
          <w:tcPr>
            <w:tcW w:w="3510" w:type="dxa"/>
          </w:tcPr>
          <w:p w14:paraId="00000267"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Invasive Species Database</w:t>
            </w:r>
          </w:p>
          <w:p w14:paraId="00000268"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Register of Introduced and Invasive Species</w:t>
            </w:r>
          </w:p>
          <w:p w14:paraId="00000269"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Centre for Agriculture and Bioscience International Invasive Species Compendium</w:t>
            </w:r>
          </w:p>
          <w:p w14:paraId="0000026A"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FishBase</w:t>
            </w:r>
          </w:p>
          <w:p w14:paraId="0000026B"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European Alien Species Information Network</w:t>
            </w:r>
          </w:p>
          <w:p w14:paraId="0000026C"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Pacific Islands Ecosystems at Risk </w:t>
            </w:r>
          </w:p>
          <w:p w14:paraId="0000026D"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World Register of Introduced Marine Species</w:t>
            </w:r>
          </w:p>
          <w:p w14:paraId="0000026E"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Database on Introductions of Aquatic Species</w:t>
            </w:r>
          </w:p>
          <w:p w14:paraId="0000026F" w14:textId="2A69A944"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IPPC Documentation on ISPM - </w:t>
            </w:r>
            <w:hyperlink r:id="rId75">
              <w:r w:rsidRPr="00AC1F76">
                <w:rPr>
                  <w:rFonts w:eastAsia="Times New Roman"/>
                  <w:color w:val="0563C1"/>
                  <w:sz w:val="20"/>
                  <w:szCs w:val="20"/>
                  <w:u w:val="single"/>
                </w:rPr>
                <w:t>https://www.ippc.int/en/core-activities/standards-setting/ispms/</w:t>
              </w:r>
            </w:hyperlink>
          </w:p>
          <w:p w14:paraId="00000270" w14:textId="3E6A3636"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National invasive alien species databases </w:t>
            </w:r>
            <w:hyperlink r:id="rId76">
              <w:r w:rsidRPr="00AC1F76">
                <w:rPr>
                  <w:rFonts w:eastAsia="Times New Roman"/>
                  <w:color w:val="0563C1"/>
                  <w:sz w:val="20"/>
                  <w:szCs w:val="20"/>
                  <w:u w:val="single"/>
                </w:rPr>
                <w:t>http://www.inbiar.uns.edu.ar/</w:t>
              </w:r>
            </w:hyperlink>
            <w:r w:rsidRPr="00AC1F76">
              <w:rPr>
                <w:rFonts w:eastAsia="Times New Roman"/>
                <w:color w:val="000000"/>
                <w:sz w:val="20"/>
                <w:szCs w:val="20"/>
              </w:rPr>
              <w:t xml:space="preserve"> </w:t>
            </w:r>
          </w:p>
        </w:tc>
        <w:tc>
          <w:tcPr>
            <w:tcW w:w="1620" w:type="dxa"/>
          </w:tcPr>
          <w:p w14:paraId="00000271" w14:textId="77777777" w:rsidR="00A758FD" w:rsidRPr="00AC1F76" w:rsidRDefault="00C81287">
            <w:pPr>
              <w:rPr>
                <w:sz w:val="20"/>
                <w:szCs w:val="20"/>
              </w:rPr>
            </w:pPr>
            <w:r w:rsidRPr="00AC1F76">
              <w:rPr>
                <w:sz w:val="20"/>
                <w:szCs w:val="20"/>
              </w:rPr>
              <w:t>Secondary pathways classification inconsistent or missing</w:t>
            </w:r>
          </w:p>
        </w:tc>
      </w:tr>
      <w:tr w:rsidR="00A758FD" w:rsidRPr="00E87F41" w14:paraId="68BD5E7C" w14:textId="77777777" w:rsidTr="00AC1F76">
        <w:tc>
          <w:tcPr>
            <w:tcW w:w="1525" w:type="dxa"/>
          </w:tcPr>
          <w:p w14:paraId="00000272" w14:textId="77777777" w:rsidR="00A758FD" w:rsidRPr="00AC1F76" w:rsidRDefault="00C81287">
            <w:pPr>
              <w:rPr>
                <w:sz w:val="20"/>
                <w:szCs w:val="20"/>
              </w:rPr>
            </w:pPr>
            <w:r w:rsidRPr="00AC1F76">
              <w:rPr>
                <w:sz w:val="20"/>
                <w:szCs w:val="20"/>
              </w:rPr>
              <w:lastRenderedPageBreak/>
              <w:t>Monitoring and surveillance</w:t>
            </w:r>
          </w:p>
        </w:tc>
        <w:tc>
          <w:tcPr>
            <w:tcW w:w="1530" w:type="dxa"/>
          </w:tcPr>
          <w:p w14:paraId="00000273" w14:textId="77777777" w:rsidR="00A758FD" w:rsidRPr="00AC1F76" w:rsidRDefault="00C81287">
            <w:pPr>
              <w:rPr>
                <w:sz w:val="20"/>
                <w:szCs w:val="20"/>
              </w:rPr>
            </w:pPr>
            <w:r w:rsidRPr="00AC1F76">
              <w:rPr>
                <w:sz w:val="20"/>
                <w:szCs w:val="20"/>
              </w:rPr>
              <w:t xml:space="preserve">Data from multiple sources in a real time. </w:t>
            </w:r>
          </w:p>
        </w:tc>
        <w:tc>
          <w:tcPr>
            <w:tcW w:w="1530" w:type="dxa"/>
          </w:tcPr>
          <w:p w14:paraId="00000274" w14:textId="77777777" w:rsidR="00A758FD" w:rsidRPr="00AC1F76" w:rsidRDefault="00C81287">
            <w:pPr>
              <w:rPr>
                <w:sz w:val="20"/>
                <w:szCs w:val="20"/>
              </w:rPr>
            </w:pPr>
            <w:r w:rsidRPr="00AC1F76">
              <w:rPr>
                <w:sz w:val="20"/>
                <w:szCs w:val="20"/>
              </w:rPr>
              <w:t>Early Detection</w:t>
            </w:r>
          </w:p>
        </w:tc>
        <w:tc>
          <w:tcPr>
            <w:tcW w:w="3510" w:type="dxa"/>
          </w:tcPr>
          <w:p w14:paraId="00000275" w14:textId="7853D6AA"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Early Detection and Distribution Mapping System - </w:t>
            </w:r>
            <w:hyperlink r:id="rId77">
              <w:r w:rsidRPr="00AC1F76">
                <w:rPr>
                  <w:rFonts w:eastAsia="Times New Roman"/>
                  <w:color w:val="0563C1"/>
                  <w:sz w:val="20"/>
                  <w:szCs w:val="20"/>
                  <w:u w:val="single"/>
                </w:rPr>
                <w:t>https://www.eddmaps.org/</w:t>
              </w:r>
            </w:hyperlink>
            <w:r w:rsidRPr="00AC1F76">
              <w:rPr>
                <w:color w:val="0563C1"/>
                <w:sz w:val="20"/>
                <w:szCs w:val="20"/>
                <w:u w:val="single"/>
              </w:rPr>
              <w:t xml:space="preserve"> </w:t>
            </w:r>
          </w:p>
        </w:tc>
        <w:tc>
          <w:tcPr>
            <w:tcW w:w="1620" w:type="dxa"/>
          </w:tcPr>
          <w:p w14:paraId="00000276" w14:textId="77777777" w:rsidR="00A758FD" w:rsidRPr="00AC1F76" w:rsidRDefault="00A758FD">
            <w:pPr>
              <w:rPr>
                <w:sz w:val="20"/>
                <w:szCs w:val="20"/>
              </w:rPr>
            </w:pPr>
          </w:p>
        </w:tc>
      </w:tr>
      <w:tr w:rsidR="00A758FD" w:rsidRPr="00E87F41" w14:paraId="43DEA2F9" w14:textId="77777777" w:rsidTr="00AC1F76">
        <w:tc>
          <w:tcPr>
            <w:tcW w:w="1525" w:type="dxa"/>
          </w:tcPr>
          <w:p w14:paraId="00000277" w14:textId="77777777" w:rsidR="00A758FD" w:rsidRPr="00AC1F76" w:rsidRDefault="00C81287">
            <w:pPr>
              <w:rPr>
                <w:sz w:val="20"/>
                <w:szCs w:val="20"/>
              </w:rPr>
            </w:pPr>
            <w:r w:rsidRPr="00AC1F76">
              <w:rPr>
                <w:sz w:val="20"/>
                <w:szCs w:val="20"/>
              </w:rPr>
              <w:t>Impact</w:t>
            </w:r>
          </w:p>
        </w:tc>
        <w:tc>
          <w:tcPr>
            <w:tcW w:w="1530" w:type="dxa"/>
          </w:tcPr>
          <w:p w14:paraId="00000278" w14:textId="77777777" w:rsidR="00A758FD" w:rsidRPr="00AC1F76" w:rsidRDefault="00C81287">
            <w:pPr>
              <w:rPr>
                <w:sz w:val="20"/>
                <w:szCs w:val="20"/>
              </w:rPr>
            </w:pPr>
            <w:r w:rsidRPr="00AC1F76">
              <w:rPr>
                <w:sz w:val="20"/>
                <w:szCs w:val="20"/>
              </w:rPr>
              <w:t>Environmental and socio-economic impact, mechanisms of impact, outcomes of these impacts and ecosystem services impacted</w:t>
            </w:r>
          </w:p>
        </w:tc>
        <w:tc>
          <w:tcPr>
            <w:tcW w:w="1530" w:type="dxa"/>
          </w:tcPr>
          <w:p w14:paraId="00000279" w14:textId="77777777" w:rsidR="00A758FD" w:rsidRPr="00AC1F76" w:rsidRDefault="00C81287">
            <w:pPr>
              <w:rPr>
                <w:sz w:val="20"/>
                <w:szCs w:val="20"/>
              </w:rPr>
            </w:pPr>
            <w:r w:rsidRPr="00AC1F76">
              <w:rPr>
                <w:sz w:val="20"/>
                <w:szCs w:val="20"/>
              </w:rPr>
              <w:t>Risk assessment</w:t>
            </w:r>
          </w:p>
          <w:p w14:paraId="0000027A" w14:textId="77777777" w:rsidR="00A758FD" w:rsidRPr="00AC1F76" w:rsidRDefault="00C81287">
            <w:pPr>
              <w:rPr>
                <w:sz w:val="20"/>
                <w:szCs w:val="20"/>
              </w:rPr>
            </w:pPr>
            <w:r w:rsidRPr="00AC1F76">
              <w:rPr>
                <w:sz w:val="20"/>
                <w:szCs w:val="20"/>
              </w:rPr>
              <w:t>Policy</w:t>
            </w:r>
          </w:p>
          <w:p w14:paraId="0000027B" w14:textId="77777777" w:rsidR="00A758FD" w:rsidRPr="00AC1F76" w:rsidRDefault="00C81287">
            <w:pPr>
              <w:rPr>
                <w:sz w:val="20"/>
                <w:szCs w:val="20"/>
              </w:rPr>
            </w:pPr>
            <w:r w:rsidRPr="00AC1F76">
              <w:rPr>
                <w:sz w:val="20"/>
                <w:szCs w:val="20"/>
              </w:rPr>
              <w:t>Management</w:t>
            </w:r>
          </w:p>
        </w:tc>
        <w:tc>
          <w:tcPr>
            <w:tcW w:w="3510" w:type="dxa"/>
          </w:tcPr>
          <w:p w14:paraId="0000027C"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Invasive Species Database</w:t>
            </w:r>
          </w:p>
          <w:p w14:paraId="0000027D"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Register of Introduced and Invasive Species</w:t>
            </w:r>
          </w:p>
          <w:p w14:paraId="0000027E"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Centre for Agriculture and Bioscience International Invasive Species Compendium</w:t>
            </w:r>
          </w:p>
          <w:p w14:paraId="0000027F" w14:textId="5384867E"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InvaCost database - </w:t>
            </w:r>
            <w:hyperlink r:id="rId78">
              <w:r w:rsidRPr="00AC1F76">
                <w:rPr>
                  <w:rFonts w:eastAsia="Times New Roman"/>
                  <w:color w:val="0563C1"/>
                  <w:sz w:val="20"/>
                  <w:szCs w:val="20"/>
                  <w:u w:val="single"/>
                </w:rPr>
                <w:t>https://figshare.com/articles/dataset/InvaCost_References_and_description_of_economic_cost_estimates_associated_with_biological_invasions_worldwide_/12668570/4</w:t>
              </w:r>
            </w:hyperlink>
            <w:r w:rsidRPr="00AC1F76">
              <w:rPr>
                <w:color w:val="000000"/>
                <w:sz w:val="20"/>
                <w:szCs w:val="20"/>
              </w:rPr>
              <w:t xml:space="preserve"> </w:t>
            </w:r>
          </w:p>
          <w:p w14:paraId="00000280" w14:textId="33EF1CCB"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Millennium ecosystem assessment </w:t>
            </w:r>
            <w:hyperlink r:id="rId79">
              <w:r w:rsidRPr="00AC1F76">
                <w:rPr>
                  <w:rFonts w:eastAsia="Times New Roman"/>
                  <w:color w:val="0563C1"/>
                  <w:sz w:val="20"/>
                  <w:szCs w:val="20"/>
                  <w:u w:val="single"/>
                </w:rPr>
                <w:t>https://www.millenniumassessment.org</w:t>
              </w:r>
            </w:hyperlink>
            <w:r w:rsidRPr="00AC1F76">
              <w:rPr>
                <w:color w:val="000000"/>
                <w:sz w:val="20"/>
                <w:szCs w:val="20"/>
              </w:rPr>
              <w:t xml:space="preserve"> </w:t>
            </w:r>
          </w:p>
          <w:p w14:paraId="00000281" w14:textId="35E0611F"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IUCN Red List of Threatened Species </w:t>
            </w:r>
            <w:hyperlink r:id="rId80">
              <w:r w:rsidRPr="00AC1F76">
                <w:rPr>
                  <w:color w:val="0563C1"/>
                  <w:sz w:val="20"/>
                  <w:szCs w:val="20"/>
                  <w:u w:val="single"/>
                </w:rPr>
                <w:t>https://www.iucnredlist.org/resources/threat-classification-scheme</w:t>
              </w:r>
            </w:hyperlink>
            <w:r w:rsidRPr="00AC1F76">
              <w:rPr>
                <w:color w:val="000000"/>
                <w:sz w:val="20"/>
                <w:szCs w:val="20"/>
              </w:rPr>
              <w:t xml:space="preserve"> </w:t>
            </w:r>
          </w:p>
          <w:p w14:paraId="00000282"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FishBase</w:t>
            </w:r>
          </w:p>
        </w:tc>
        <w:tc>
          <w:tcPr>
            <w:tcW w:w="1620" w:type="dxa"/>
          </w:tcPr>
          <w:p w14:paraId="00000283" w14:textId="77777777" w:rsidR="00A758FD" w:rsidRPr="00AC1F76" w:rsidRDefault="00C81287">
            <w:pPr>
              <w:rPr>
                <w:sz w:val="20"/>
                <w:szCs w:val="20"/>
              </w:rPr>
            </w:pPr>
            <w:r w:rsidRPr="00AC1F76">
              <w:rPr>
                <w:sz w:val="20"/>
                <w:szCs w:val="20"/>
              </w:rPr>
              <w:t>No transparent, standardized way to report on impacts</w:t>
            </w:r>
          </w:p>
        </w:tc>
      </w:tr>
      <w:tr w:rsidR="00A758FD" w:rsidRPr="00E87F41" w14:paraId="4F1F01D3" w14:textId="77777777" w:rsidTr="00AC1F76">
        <w:tc>
          <w:tcPr>
            <w:tcW w:w="1525" w:type="dxa"/>
          </w:tcPr>
          <w:p w14:paraId="00000284" w14:textId="77777777" w:rsidR="00A758FD" w:rsidRPr="00AC1F76" w:rsidRDefault="00C81287">
            <w:pPr>
              <w:rPr>
                <w:sz w:val="20"/>
                <w:szCs w:val="20"/>
              </w:rPr>
            </w:pPr>
            <w:r w:rsidRPr="00AC1F76">
              <w:rPr>
                <w:sz w:val="20"/>
                <w:szCs w:val="20"/>
              </w:rPr>
              <w:t>Risk assessments</w:t>
            </w:r>
          </w:p>
        </w:tc>
        <w:tc>
          <w:tcPr>
            <w:tcW w:w="1530" w:type="dxa"/>
          </w:tcPr>
          <w:p w14:paraId="00000285" w14:textId="77777777" w:rsidR="00A758FD" w:rsidRPr="00AC1F76" w:rsidRDefault="00C81287">
            <w:pPr>
              <w:rPr>
                <w:sz w:val="20"/>
                <w:szCs w:val="20"/>
              </w:rPr>
            </w:pPr>
            <w:r w:rsidRPr="00AC1F76">
              <w:rPr>
                <w:sz w:val="20"/>
                <w:szCs w:val="20"/>
              </w:rPr>
              <w:t>Developed risk assessments with outcomes</w:t>
            </w:r>
          </w:p>
        </w:tc>
        <w:tc>
          <w:tcPr>
            <w:tcW w:w="1530" w:type="dxa"/>
          </w:tcPr>
          <w:p w14:paraId="00000286" w14:textId="77777777" w:rsidR="00A758FD" w:rsidRPr="00AC1F76" w:rsidRDefault="00C81287">
            <w:pPr>
              <w:rPr>
                <w:sz w:val="20"/>
                <w:szCs w:val="20"/>
              </w:rPr>
            </w:pPr>
            <w:r w:rsidRPr="00AC1F76">
              <w:rPr>
                <w:sz w:val="20"/>
                <w:szCs w:val="20"/>
              </w:rPr>
              <w:t>Management</w:t>
            </w:r>
          </w:p>
        </w:tc>
        <w:tc>
          <w:tcPr>
            <w:tcW w:w="3510" w:type="dxa"/>
          </w:tcPr>
          <w:p w14:paraId="00000287"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Invasive Species Database</w:t>
            </w:r>
          </w:p>
          <w:p w14:paraId="00000288"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Pacific Islands Ecosystems at Risk </w:t>
            </w:r>
          </w:p>
          <w:p w14:paraId="00000289" w14:textId="335AF878"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Environmental Impact Classification of Alien Taxa </w:t>
            </w:r>
            <w:r w:rsidR="00FF055A">
              <w:rPr>
                <w:color w:val="000000"/>
                <w:sz w:val="20"/>
                <w:szCs w:val="20"/>
              </w:rPr>
              <w:t xml:space="preserve">(EICAT) </w:t>
            </w:r>
            <w:r w:rsidRPr="00AC1F76">
              <w:rPr>
                <w:color w:val="000000"/>
                <w:sz w:val="20"/>
                <w:szCs w:val="20"/>
              </w:rPr>
              <w:t>and the Socio-Economic Impact Classification for Alien Taxa</w:t>
            </w:r>
            <w:r w:rsidR="00FF055A">
              <w:rPr>
                <w:color w:val="000000"/>
                <w:sz w:val="20"/>
                <w:szCs w:val="20"/>
              </w:rPr>
              <w:t xml:space="preserve"> (SEICAT)</w:t>
            </w:r>
          </w:p>
          <w:p w14:paraId="0000028A" w14:textId="6F51D0F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Global Compendium of Weeds -</w:t>
            </w:r>
            <w:hyperlink r:id="rId81">
              <w:r w:rsidRPr="00AC1F76">
                <w:rPr>
                  <w:rFonts w:eastAsia="Times New Roman"/>
                  <w:color w:val="0563C1"/>
                  <w:sz w:val="20"/>
                  <w:szCs w:val="20"/>
                  <w:u w:val="single"/>
                </w:rPr>
                <w:t>http://www.hear.org/gcw/</w:t>
              </w:r>
            </w:hyperlink>
            <w:r w:rsidRPr="00AC1F76">
              <w:rPr>
                <w:color w:val="0563C1"/>
                <w:sz w:val="20"/>
                <w:szCs w:val="20"/>
                <w:u w:val="single"/>
              </w:rPr>
              <w:t xml:space="preserve"> </w:t>
            </w:r>
          </w:p>
          <w:p w14:paraId="0000028B" w14:textId="30CA7E34"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East and South European Network for Invasive Alien Species - </w:t>
            </w:r>
            <w:hyperlink r:id="rId82">
              <w:r w:rsidRPr="00AC1F76">
                <w:rPr>
                  <w:rFonts w:eastAsia="Times New Roman"/>
                  <w:color w:val="0563C1"/>
                  <w:sz w:val="20"/>
                  <w:szCs w:val="20"/>
                  <w:u w:val="single"/>
                </w:rPr>
                <w:t>www.esenias.org</w:t>
              </w:r>
            </w:hyperlink>
          </w:p>
          <w:p w14:paraId="0000028C" w14:textId="77777777" w:rsidR="00A758FD" w:rsidRPr="00AC1F76" w:rsidRDefault="00C81287" w:rsidP="0079215C">
            <w:pPr>
              <w:numPr>
                <w:ilvl w:val="0"/>
                <w:numId w:val="5"/>
              </w:numPr>
              <w:pBdr>
                <w:top w:val="nil"/>
                <w:left w:val="nil"/>
                <w:bottom w:val="nil"/>
                <w:right w:val="nil"/>
                <w:between w:val="nil"/>
              </w:pBdr>
              <w:rPr>
                <w:color w:val="000000"/>
                <w:sz w:val="20"/>
                <w:szCs w:val="20"/>
                <w:highlight w:val="white"/>
              </w:rPr>
            </w:pPr>
            <w:r w:rsidRPr="00AC1F76">
              <w:rPr>
                <w:color w:val="000000"/>
                <w:sz w:val="20"/>
                <w:szCs w:val="20"/>
                <w:highlight w:val="white"/>
              </w:rPr>
              <w:t xml:space="preserve">Pacific Invasive Ants Toolkit - </w:t>
            </w:r>
            <w:r w:rsidRPr="00AC1F76">
              <w:rPr>
                <w:color w:val="0563C1"/>
                <w:sz w:val="20"/>
                <w:szCs w:val="20"/>
                <w:u w:val="single"/>
              </w:rPr>
              <w:t>http://www.piat.org.nz/</w:t>
            </w:r>
          </w:p>
          <w:p w14:paraId="0000028D"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National invasive alien species databases </w:t>
            </w:r>
          </w:p>
        </w:tc>
        <w:tc>
          <w:tcPr>
            <w:tcW w:w="1620" w:type="dxa"/>
          </w:tcPr>
          <w:p w14:paraId="0000028E" w14:textId="77777777" w:rsidR="00A758FD" w:rsidRPr="00AC1F76" w:rsidRDefault="00A758FD">
            <w:pPr>
              <w:rPr>
                <w:sz w:val="20"/>
                <w:szCs w:val="20"/>
              </w:rPr>
            </w:pPr>
          </w:p>
        </w:tc>
      </w:tr>
      <w:tr w:rsidR="00A758FD" w:rsidRPr="00E87F41" w14:paraId="7395CD8C" w14:textId="77777777" w:rsidTr="00AC1F76">
        <w:tc>
          <w:tcPr>
            <w:tcW w:w="1525" w:type="dxa"/>
          </w:tcPr>
          <w:p w14:paraId="0000028F" w14:textId="77777777" w:rsidR="00A758FD" w:rsidRPr="00AC1F76" w:rsidRDefault="00C81287">
            <w:pPr>
              <w:rPr>
                <w:sz w:val="20"/>
                <w:szCs w:val="20"/>
              </w:rPr>
            </w:pPr>
            <w:r w:rsidRPr="00AC1F76">
              <w:rPr>
                <w:sz w:val="20"/>
                <w:szCs w:val="20"/>
              </w:rPr>
              <w:t xml:space="preserve">Policy response </w:t>
            </w:r>
          </w:p>
        </w:tc>
        <w:tc>
          <w:tcPr>
            <w:tcW w:w="1530" w:type="dxa"/>
          </w:tcPr>
          <w:p w14:paraId="00000290" w14:textId="77777777" w:rsidR="00A758FD" w:rsidRPr="00AC1F76" w:rsidRDefault="00C81287">
            <w:pPr>
              <w:rPr>
                <w:sz w:val="20"/>
                <w:szCs w:val="20"/>
              </w:rPr>
            </w:pPr>
            <w:r w:rsidRPr="00AC1F76">
              <w:rPr>
                <w:sz w:val="20"/>
                <w:szCs w:val="20"/>
              </w:rPr>
              <w:t>Legislations enacted, regulations, voluntary codes of conduct</w:t>
            </w:r>
          </w:p>
        </w:tc>
        <w:tc>
          <w:tcPr>
            <w:tcW w:w="1530" w:type="dxa"/>
          </w:tcPr>
          <w:p w14:paraId="00000291" w14:textId="77777777" w:rsidR="00A758FD" w:rsidRPr="00AC1F76" w:rsidRDefault="00C81287">
            <w:pPr>
              <w:rPr>
                <w:sz w:val="20"/>
                <w:szCs w:val="20"/>
              </w:rPr>
            </w:pPr>
            <w:r w:rsidRPr="00AC1F76">
              <w:rPr>
                <w:sz w:val="20"/>
                <w:szCs w:val="20"/>
              </w:rPr>
              <w:t>Policy</w:t>
            </w:r>
          </w:p>
          <w:p w14:paraId="00000292" w14:textId="77777777" w:rsidR="00A758FD" w:rsidRPr="00AC1F76" w:rsidRDefault="00C81287">
            <w:pPr>
              <w:rPr>
                <w:sz w:val="20"/>
                <w:szCs w:val="20"/>
              </w:rPr>
            </w:pPr>
            <w:r w:rsidRPr="00AC1F76">
              <w:rPr>
                <w:sz w:val="20"/>
                <w:szCs w:val="20"/>
              </w:rPr>
              <w:t>Management</w:t>
            </w:r>
          </w:p>
        </w:tc>
        <w:tc>
          <w:tcPr>
            <w:tcW w:w="3510" w:type="dxa"/>
            <w:shd w:val="clear" w:color="auto" w:fill="auto"/>
          </w:tcPr>
          <w:p w14:paraId="00000293"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ECOLEX - </w:t>
            </w:r>
            <w:r w:rsidRPr="00AC1F76">
              <w:rPr>
                <w:color w:val="0563C1"/>
                <w:sz w:val="20"/>
                <w:szCs w:val="20"/>
                <w:u w:val="single"/>
              </w:rPr>
              <w:t>https://www.ecolex.org</w:t>
            </w:r>
            <w:r w:rsidRPr="00AC1F76">
              <w:rPr>
                <w:color w:val="000000"/>
                <w:sz w:val="20"/>
                <w:szCs w:val="20"/>
              </w:rPr>
              <w:t xml:space="preserve"> </w:t>
            </w:r>
          </w:p>
          <w:p w14:paraId="00000294"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FAOLEX - </w:t>
            </w:r>
            <w:r w:rsidRPr="00AC1F76">
              <w:rPr>
                <w:color w:val="0563C1"/>
                <w:sz w:val="20"/>
                <w:szCs w:val="20"/>
                <w:u w:val="single"/>
              </w:rPr>
              <w:t>fao.org/faolex/en/</w:t>
            </w:r>
          </w:p>
          <w:p w14:paraId="00000295" w14:textId="46395EA2"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InforMEA - United Nations Information Portal on Multilateral Agreements - </w:t>
            </w:r>
            <w:hyperlink r:id="rId83">
              <w:r w:rsidRPr="00AC1F76">
                <w:rPr>
                  <w:color w:val="0563C1"/>
                  <w:sz w:val="20"/>
                  <w:szCs w:val="20"/>
                  <w:u w:val="single"/>
                </w:rPr>
                <w:t>https://www.informea.org</w:t>
              </w:r>
            </w:hyperlink>
          </w:p>
          <w:p w14:paraId="00000296" w14:textId="7E10E62A"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rFonts w:eastAsia="Times New Roman"/>
                <w:color w:val="000000"/>
                <w:sz w:val="20"/>
                <w:szCs w:val="20"/>
              </w:rPr>
              <w:t xml:space="preserve">EU Regulations </w:t>
            </w:r>
            <w:hyperlink r:id="rId84">
              <w:r w:rsidRPr="00AC1F76">
                <w:rPr>
                  <w:rFonts w:eastAsia="Times New Roman"/>
                  <w:color w:val="0563C1"/>
                  <w:sz w:val="20"/>
                  <w:szCs w:val="20"/>
                  <w:u w:val="single"/>
                </w:rPr>
                <w:t>https://ec.europa.eu/environment/nature/invasivealien/index_en.htm</w:t>
              </w:r>
            </w:hyperlink>
          </w:p>
        </w:tc>
        <w:tc>
          <w:tcPr>
            <w:tcW w:w="1620" w:type="dxa"/>
          </w:tcPr>
          <w:p w14:paraId="00000297" w14:textId="77777777" w:rsidR="00A758FD" w:rsidRPr="00AC1F76" w:rsidRDefault="00C81287">
            <w:pPr>
              <w:rPr>
                <w:sz w:val="20"/>
                <w:szCs w:val="20"/>
              </w:rPr>
            </w:pPr>
            <w:r w:rsidRPr="00AC1F76">
              <w:rPr>
                <w:sz w:val="20"/>
                <w:szCs w:val="20"/>
              </w:rPr>
              <w:t>Databases not searchable for invasive alien species</w:t>
            </w:r>
          </w:p>
        </w:tc>
      </w:tr>
      <w:tr w:rsidR="00A758FD" w:rsidRPr="00E87F41" w14:paraId="54FB6227" w14:textId="77777777" w:rsidTr="00AC1F76">
        <w:tc>
          <w:tcPr>
            <w:tcW w:w="1525" w:type="dxa"/>
          </w:tcPr>
          <w:p w14:paraId="00000298" w14:textId="77777777" w:rsidR="00A758FD" w:rsidRPr="00AC1F76" w:rsidRDefault="00C81287">
            <w:pPr>
              <w:rPr>
                <w:sz w:val="20"/>
                <w:szCs w:val="20"/>
              </w:rPr>
            </w:pPr>
            <w:r w:rsidRPr="00AC1F76">
              <w:rPr>
                <w:sz w:val="20"/>
                <w:szCs w:val="20"/>
              </w:rPr>
              <w:t>Eradication</w:t>
            </w:r>
          </w:p>
        </w:tc>
        <w:tc>
          <w:tcPr>
            <w:tcW w:w="1530" w:type="dxa"/>
          </w:tcPr>
          <w:p w14:paraId="00000299" w14:textId="77777777" w:rsidR="00A758FD" w:rsidRPr="00AC1F76" w:rsidRDefault="00C81287">
            <w:pPr>
              <w:rPr>
                <w:sz w:val="20"/>
                <w:szCs w:val="20"/>
              </w:rPr>
            </w:pPr>
            <w:r w:rsidRPr="00AC1F76">
              <w:rPr>
                <w:sz w:val="20"/>
                <w:szCs w:val="20"/>
              </w:rPr>
              <w:t>Successes</w:t>
            </w:r>
          </w:p>
        </w:tc>
        <w:tc>
          <w:tcPr>
            <w:tcW w:w="1530" w:type="dxa"/>
          </w:tcPr>
          <w:p w14:paraId="0000029A" w14:textId="77777777" w:rsidR="00A758FD" w:rsidRPr="00AC1F76" w:rsidRDefault="00C81287">
            <w:pPr>
              <w:rPr>
                <w:sz w:val="20"/>
                <w:szCs w:val="20"/>
              </w:rPr>
            </w:pPr>
            <w:r w:rsidRPr="00AC1F76">
              <w:rPr>
                <w:sz w:val="20"/>
                <w:szCs w:val="20"/>
              </w:rPr>
              <w:t>Management</w:t>
            </w:r>
          </w:p>
        </w:tc>
        <w:tc>
          <w:tcPr>
            <w:tcW w:w="3510" w:type="dxa"/>
            <w:shd w:val="clear" w:color="auto" w:fill="auto"/>
          </w:tcPr>
          <w:p w14:paraId="0000029B" w14:textId="3AC1FA8F"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rFonts w:eastAsia="Times New Roman"/>
                <w:color w:val="000000"/>
                <w:sz w:val="20"/>
                <w:szCs w:val="20"/>
              </w:rPr>
              <w:t xml:space="preserve">DIISE - </w:t>
            </w:r>
            <w:hyperlink r:id="rId85">
              <w:r w:rsidRPr="00AC1F76">
                <w:rPr>
                  <w:rFonts w:eastAsia="Times New Roman"/>
                  <w:color w:val="0563C1"/>
                  <w:sz w:val="20"/>
                  <w:szCs w:val="20"/>
                  <w:u w:val="single"/>
                </w:rPr>
                <w:t>http://diise.islandconservation.org/</w:t>
              </w:r>
            </w:hyperlink>
            <w:r w:rsidRPr="00AC1F76">
              <w:rPr>
                <w:color w:val="000000"/>
                <w:sz w:val="20"/>
                <w:szCs w:val="20"/>
              </w:rPr>
              <w:t xml:space="preserve"> </w:t>
            </w:r>
          </w:p>
          <w:p w14:paraId="0000029C" w14:textId="7EC82BB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Global Eradication and Response Database, </w:t>
            </w:r>
            <w:hyperlink r:id="rId86">
              <w:r w:rsidRPr="00AC1F76">
                <w:rPr>
                  <w:color w:val="0563C1"/>
                  <w:sz w:val="20"/>
                  <w:szCs w:val="20"/>
                  <w:u w:val="single"/>
                </w:rPr>
                <w:t>http://b3.net.nz/gerda/</w:t>
              </w:r>
            </w:hyperlink>
          </w:p>
          <w:p w14:paraId="0000029D"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National invasive alien species databases </w:t>
            </w:r>
          </w:p>
        </w:tc>
        <w:tc>
          <w:tcPr>
            <w:tcW w:w="1620" w:type="dxa"/>
          </w:tcPr>
          <w:p w14:paraId="0000029E" w14:textId="77777777" w:rsidR="00A758FD" w:rsidRPr="00AC1F76" w:rsidRDefault="00A758FD">
            <w:pPr>
              <w:rPr>
                <w:sz w:val="20"/>
                <w:szCs w:val="20"/>
              </w:rPr>
            </w:pPr>
          </w:p>
        </w:tc>
      </w:tr>
      <w:tr w:rsidR="00A758FD" w:rsidRPr="00E87F41" w14:paraId="4AF15A65" w14:textId="77777777" w:rsidTr="00AC1F76">
        <w:tc>
          <w:tcPr>
            <w:tcW w:w="1525" w:type="dxa"/>
          </w:tcPr>
          <w:p w14:paraId="0000029F" w14:textId="77777777" w:rsidR="00A758FD" w:rsidRPr="00AC1F76" w:rsidRDefault="00C81287">
            <w:pPr>
              <w:rPr>
                <w:sz w:val="20"/>
                <w:szCs w:val="20"/>
              </w:rPr>
            </w:pPr>
            <w:r w:rsidRPr="00AC1F76">
              <w:rPr>
                <w:sz w:val="20"/>
                <w:szCs w:val="20"/>
              </w:rPr>
              <w:lastRenderedPageBreak/>
              <w:t>Control</w:t>
            </w:r>
          </w:p>
        </w:tc>
        <w:tc>
          <w:tcPr>
            <w:tcW w:w="1530" w:type="dxa"/>
          </w:tcPr>
          <w:p w14:paraId="000002A0" w14:textId="77777777" w:rsidR="00A758FD" w:rsidRPr="00AC1F76" w:rsidRDefault="00C81287">
            <w:pPr>
              <w:rPr>
                <w:sz w:val="20"/>
                <w:szCs w:val="20"/>
              </w:rPr>
            </w:pPr>
            <w:r w:rsidRPr="00AC1F76">
              <w:rPr>
                <w:sz w:val="20"/>
                <w:szCs w:val="20"/>
              </w:rPr>
              <w:t>Management practices, failure, best practices, biocontrol</w:t>
            </w:r>
          </w:p>
        </w:tc>
        <w:tc>
          <w:tcPr>
            <w:tcW w:w="1530" w:type="dxa"/>
          </w:tcPr>
          <w:p w14:paraId="000002A1" w14:textId="77777777" w:rsidR="00A758FD" w:rsidRPr="00AC1F76" w:rsidRDefault="00C81287">
            <w:pPr>
              <w:rPr>
                <w:sz w:val="20"/>
                <w:szCs w:val="20"/>
              </w:rPr>
            </w:pPr>
            <w:r w:rsidRPr="00AC1F76">
              <w:rPr>
                <w:sz w:val="20"/>
                <w:szCs w:val="20"/>
              </w:rPr>
              <w:t>Management</w:t>
            </w:r>
          </w:p>
        </w:tc>
        <w:tc>
          <w:tcPr>
            <w:tcW w:w="3510" w:type="dxa"/>
            <w:shd w:val="clear" w:color="auto" w:fill="auto"/>
          </w:tcPr>
          <w:p w14:paraId="000002A2" w14:textId="77777777" w:rsidR="00A758FD" w:rsidRPr="00AC1F76" w:rsidRDefault="00C81287" w:rsidP="0079215C">
            <w:pPr>
              <w:numPr>
                <w:ilvl w:val="0"/>
                <w:numId w:val="5"/>
              </w:numPr>
              <w:pBdr>
                <w:top w:val="nil"/>
                <w:left w:val="nil"/>
                <w:bottom w:val="nil"/>
                <w:right w:val="nil"/>
                <w:between w:val="nil"/>
              </w:pBdr>
              <w:rPr>
                <w:color w:val="000000"/>
                <w:sz w:val="20"/>
                <w:szCs w:val="20"/>
              </w:rPr>
            </w:pPr>
            <w:r w:rsidRPr="00AC1F76">
              <w:rPr>
                <w:color w:val="000000"/>
                <w:sz w:val="20"/>
                <w:szCs w:val="20"/>
              </w:rPr>
              <w:t xml:space="preserve">Pacific Islands Ecosystems at Risk </w:t>
            </w:r>
          </w:p>
          <w:p w14:paraId="000002A3" w14:textId="77777777" w:rsidR="00A758FD" w:rsidRPr="00AC1F76" w:rsidRDefault="00C81287">
            <w:pPr>
              <w:numPr>
                <w:ilvl w:val="0"/>
                <w:numId w:val="5"/>
              </w:numPr>
              <w:pBdr>
                <w:top w:val="nil"/>
                <w:left w:val="nil"/>
                <w:bottom w:val="nil"/>
                <w:right w:val="nil"/>
                <w:between w:val="nil"/>
              </w:pBdr>
              <w:ind w:left="316"/>
              <w:rPr>
                <w:rFonts w:eastAsia="Times New Roman"/>
                <w:color w:val="000000"/>
                <w:sz w:val="20"/>
                <w:szCs w:val="20"/>
              </w:rPr>
            </w:pPr>
            <w:r w:rsidRPr="00AC1F76">
              <w:rPr>
                <w:rFonts w:eastAsia="Times New Roman"/>
                <w:color w:val="000000"/>
                <w:sz w:val="20"/>
                <w:szCs w:val="20"/>
              </w:rPr>
              <w:t>Database of introductions of insect biological control agents for the control of insect pests (Cock et al., 2016)</w:t>
            </w:r>
          </w:p>
          <w:p w14:paraId="000002A4" w14:textId="052F3D08"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 xml:space="preserve">Biological Control of Weeds – a world catalogue of agents and their target weeds - </w:t>
            </w:r>
            <w:hyperlink r:id="rId87">
              <w:r w:rsidRPr="00AC1F76">
                <w:rPr>
                  <w:rFonts w:eastAsia="Times New Roman"/>
                  <w:color w:val="0563C1"/>
                  <w:sz w:val="20"/>
                  <w:szCs w:val="20"/>
                  <w:u w:val="single"/>
                </w:rPr>
                <w:t>https://www.ibiocontrol.org/</w:t>
              </w:r>
            </w:hyperlink>
            <w:r w:rsidRPr="00AC1F76">
              <w:rPr>
                <w:color w:val="0563C1"/>
                <w:sz w:val="20"/>
                <w:szCs w:val="20"/>
                <w:u w:val="single"/>
              </w:rPr>
              <w:t xml:space="preserve"> </w:t>
            </w:r>
          </w:p>
          <w:p w14:paraId="000002A5" w14:textId="4B473E0E" w:rsidR="00A758FD" w:rsidRPr="00AC1F76" w:rsidRDefault="00C81287" w:rsidP="0079215C">
            <w:pPr>
              <w:numPr>
                <w:ilvl w:val="0"/>
                <w:numId w:val="5"/>
              </w:numPr>
              <w:pBdr>
                <w:top w:val="nil"/>
                <w:left w:val="nil"/>
                <w:bottom w:val="nil"/>
                <w:right w:val="nil"/>
                <w:between w:val="nil"/>
              </w:pBdr>
              <w:ind w:left="316"/>
              <w:rPr>
                <w:color w:val="000000"/>
                <w:sz w:val="20"/>
                <w:szCs w:val="20"/>
                <w:highlight w:val="white"/>
              </w:rPr>
            </w:pPr>
            <w:r w:rsidRPr="00AC1F76">
              <w:rPr>
                <w:color w:val="000000"/>
                <w:sz w:val="20"/>
                <w:szCs w:val="20"/>
                <w:highlight w:val="white"/>
              </w:rPr>
              <w:t xml:space="preserve">iMapInvasives - sharing information for strategic management - </w:t>
            </w:r>
            <w:hyperlink r:id="rId88">
              <w:r w:rsidRPr="00AC1F76">
                <w:rPr>
                  <w:rFonts w:eastAsia="Times New Roman"/>
                  <w:color w:val="0563C1"/>
                  <w:sz w:val="20"/>
                  <w:szCs w:val="20"/>
                  <w:u w:val="single"/>
                </w:rPr>
                <w:t>https://www.imapinvasives.org</w:t>
              </w:r>
            </w:hyperlink>
          </w:p>
          <w:p w14:paraId="000002A6"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 xml:space="preserve">Centre for Agriculture and Bioscience International Invasive Species Compendium </w:t>
            </w:r>
          </w:p>
          <w:p w14:paraId="000002A7"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highlight w:val="white"/>
              </w:rPr>
            </w:pPr>
            <w:r w:rsidRPr="00AC1F76">
              <w:rPr>
                <w:color w:val="000000"/>
                <w:sz w:val="20"/>
                <w:szCs w:val="20"/>
                <w:highlight w:val="white"/>
              </w:rPr>
              <w:t>Pacific Invasive Ant Toolkit</w:t>
            </w:r>
          </w:p>
          <w:p w14:paraId="000002A8" w14:textId="699A394F"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 xml:space="preserve">Caribbean Invasive Alien Species Network - </w:t>
            </w:r>
            <w:hyperlink r:id="rId89" w:history="1">
              <w:r w:rsidR="0081530F" w:rsidRPr="009A04E6">
                <w:rPr>
                  <w:rStyle w:val="Hyperlink"/>
                  <w:sz w:val="20"/>
                  <w:szCs w:val="20"/>
                </w:rPr>
                <w:t>https://caribbeaninvasives.org/</w:t>
              </w:r>
            </w:hyperlink>
            <w:r w:rsidR="0081530F">
              <w:rPr>
                <w:color w:val="0563C1"/>
                <w:sz w:val="20"/>
                <w:szCs w:val="20"/>
                <w:u w:val="single"/>
              </w:rPr>
              <w:t xml:space="preserve"> </w:t>
            </w:r>
          </w:p>
          <w:p w14:paraId="000002A9"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Database of Island Invasive Species Eradications</w:t>
            </w:r>
          </w:p>
          <w:p w14:paraId="000002AA"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 xml:space="preserve">Global Eradication and Response Database </w:t>
            </w:r>
          </w:p>
          <w:p w14:paraId="000002AB"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highlight w:val="white"/>
              </w:rPr>
            </w:pPr>
            <w:r w:rsidRPr="00AC1F76">
              <w:rPr>
                <w:color w:val="000000"/>
                <w:sz w:val="20"/>
                <w:szCs w:val="20"/>
              </w:rPr>
              <w:t>Early Detection and Distribution Mapping System</w:t>
            </w:r>
            <w:r w:rsidRPr="00AC1F76">
              <w:rPr>
                <w:color w:val="000000"/>
                <w:sz w:val="20"/>
                <w:szCs w:val="20"/>
                <w:highlight w:val="white"/>
              </w:rPr>
              <w:t xml:space="preserve"> </w:t>
            </w:r>
          </w:p>
          <w:p w14:paraId="000002AC"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East and South European Network for Invasive Alien Species</w:t>
            </w:r>
          </w:p>
          <w:p w14:paraId="000002AD" w14:textId="77777777" w:rsidR="00A758FD" w:rsidRPr="00AC1F76" w:rsidRDefault="00C81287" w:rsidP="0079215C">
            <w:pPr>
              <w:numPr>
                <w:ilvl w:val="0"/>
                <w:numId w:val="5"/>
              </w:numPr>
              <w:pBdr>
                <w:top w:val="nil"/>
                <w:left w:val="nil"/>
                <w:bottom w:val="nil"/>
                <w:right w:val="nil"/>
                <w:between w:val="nil"/>
              </w:pBdr>
              <w:ind w:left="316"/>
              <w:rPr>
                <w:color w:val="000000"/>
                <w:sz w:val="20"/>
                <w:szCs w:val="20"/>
              </w:rPr>
            </w:pPr>
            <w:r w:rsidRPr="00AC1F76">
              <w:rPr>
                <w:color w:val="000000"/>
                <w:sz w:val="20"/>
                <w:szCs w:val="20"/>
              </w:rPr>
              <w:t xml:space="preserve">National invasive alien species databases </w:t>
            </w:r>
          </w:p>
        </w:tc>
        <w:tc>
          <w:tcPr>
            <w:tcW w:w="1620" w:type="dxa"/>
          </w:tcPr>
          <w:p w14:paraId="000002AE" w14:textId="77777777" w:rsidR="00A758FD" w:rsidRPr="00AC1F76" w:rsidRDefault="00C81287">
            <w:pPr>
              <w:rPr>
                <w:sz w:val="20"/>
                <w:szCs w:val="20"/>
              </w:rPr>
            </w:pPr>
            <w:r w:rsidRPr="00AC1F76">
              <w:rPr>
                <w:sz w:val="20"/>
                <w:szCs w:val="20"/>
              </w:rPr>
              <w:t>No standardized way to report on management outcomes</w:t>
            </w:r>
          </w:p>
        </w:tc>
      </w:tr>
    </w:tbl>
    <w:p w14:paraId="000002AF" w14:textId="77777777" w:rsidR="00A758FD" w:rsidRPr="00AC1F76" w:rsidRDefault="00A758FD">
      <w:pPr>
        <w:rPr>
          <w:sz w:val="20"/>
          <w:szCs w:val="20"/>
        </w:rPr>
      </w:pPr>
    </w:p>
    <w:p w14:paraId="000002B0" w14:textId="31FA39A3" w:rsidR="00A758FD" w:rsidRPr="00C0338D" w:rsidRDefault="00C81287" w:rsidP="002F2F42">
      <w:pPr>
        <w:pStyle w:val="Heading2"/>
      </w:pPr>
      <w:bookmarkStart w:id="312" w:name="_Toc146810112"/>
      <w:bookmarkStart w:id="313" w:name="_Toc69313992"/>
      <w:bookmarkStart w:id="314" w:name="_Toc87623145"/>
      <w:bookmarkStart w:id="315" w:name="_Toc131681645"/>
      <w:bookmarkStart w:id="316" w:name="_Toc149555477"/>
      <w:bookmarkStart w:id="317" w:name="_Toc69188383"/>
      <w:r w:rsidRPr="00C0338D">
        <w:t>Surveillance, detection and diagnostics supporting prevention and preparedness</w:t>
      </w:r>
      <w:bookmarkEnd w:id="312"/>
      <w:bookmarkEnd w:id="313"/>
      <w:bookmarkEnd w:id="314"/>
      <w:bookmarkEnd w:id="315"/>
      <w:bookmarkEnd w:id="316"/>
      <w:r w:rsidRPr="00C0338D">
        <w:t xml:space="preserve"> </w:t>
      </w:r>
      <w:bookmarkEnd w:id="317"/>
    </w:p>
    <w:p w14:paraId="000002B1" w14:textId="71182285" w:rsidR="00A758FD" w:rsidRPr="00C0338D" w:rsidRDefault="00C81287">
      <w:pPr>
        <w:spacing w:before="240" w:after="120" w:line="240" w:lineRule="auto"/>
        <w:ind w:right="240"/>
      </w:pPr>
      <w:bookmarkStart w:id="318" w:name="_heading=h.1gf8i83" w:colFirst="0" w:colLast="0"/>
      <w:bookmarkStart w:id="319" w:name="_Hlk17878105"/>
      <w:bookmarkEnd w:id="318"/>
      <w:r w:rsidRPr="00C0338D">
        <w:t xml:space="preserve">There are a range of tools and technologies for surveillance, early detection and monitoring of invasive alien species including measuring the effectiveness of management actions. </w:t>
      </w:r>
      <w:bookmarkStart w:id="320" w:name="_Hlk112852366"/>
      <w:r w:rsidRPr="00C0338D">
        <w:t xml:space="preserve">These include remote sensing (satellite and aerial imagery, drones, under water remote vehicles, camera traps etc.), sensor networks and crowd sourcing and the traditional use of trained detector dogs (e.g., </w:t>
      </w:r>
      <w:r w:rsidR="00AD5210" w:rsidRPr="00837161">
        <w:fldChar w:fldCharType="begin"/>
      </w:r>
      <w:r w:rsidR="000F35EB">
        <w:instrText xml:space="preserve"> ADDIN ZOTERO_ITEM CSL_CITATION {"citationID":"CERxlnUd","properties":{"formattedCitation":"(Browne et al., 2006)","plainCitation":"(Browne et al., 2006)","dontUpdate":true,"noteIndex":0},"citationItems":[{"id":53173,"uris":["http://zotero.org/groups/2352922/items/XN35AILN"],"itemData":{"id":53173,"type":"article-journal","container-title":"Irish Veterinary Journal","issue":"2","note":"ISBN: 0368-0762\npublisher: R&amp;W PBLICATIONS (NEWMARKET) LTD","page":"97-104","title":"The use of scent-detection dogs","URL":"https://www.researchgate.net/publication/261663456","volume":"59","author":[{"family":"Browne","given":"Clare"},{"family":"Stafford","given":"Kevin"},{"family":"Fordham","given":"Robin"}],"issued":{"date-parts":[["2006"]]}},"label":"page"}],"schema":"https://github.com/citation-style-language/schema/raw/master/csl-citation.json"} </w:instrText>
      </w:r>
      <w:r w:rsidR="00AD5210" w:rsidRPr="00837161">
        <w:fldChar w:fldCharType="separate"/>
      </w:r>
      <w:r w:rsidR="009F50FE" w:rsidRPr="00837161">
        <w:t>Browne et al., 2006)</w:t>
      </w:r>
      <w:r w:rsidR="00AD5210" w:rsidRPr="00837161">
        <w:fldChar w:fldCharType="end"/>
      </w:r>
      <w:r w:rsidR="4795DB47" w:rsidRPr="00837161">
        <w:t>.</w:t>
      </w:r>
      <w:bookmarkEnd w:id="320"/>
      <w:r w:rsidRPr="00C0338D">
        <w:t xml:space="preserve"> These tools are becoming increasingly cost</w:t>
      </w:r>
      <w:r w:rsidR="005D7B59">
        <w:t>-</w:t>
      </w:r>
      <w:r w:rsidRPr="00C0338D">
        <w:t>effective for early detection (</w:t>
      </w:r>
      <w:r w:rsidRPr="00C0338D">
        <w:rPr>
          <w:b/>
        </w:rPr>
        <w:t>section 5.1</w:t>
      </w:r>
      <w:r w:rsidRPr="00C0338D">
        <w:t xml:space="preserve">). Early detection also needs effective species-based diagnostics tools, not all of which are based on taxonomy or morphological characteristics as described here. Technology adoption is heavily driven by cheaper price differentiation under novel business models. This is what is frequently termed “disruptive technologies”. </w:t>
      </w:r>
      <w:bookmarkStart w:id="321" w:name="_Hlk110329129"/>
    </w:p>
    <w:p w14:paraId="000002B2" w14:textId="77777777" w:rsidR="00A758FD" w:rsidRPr="0079215C" w:rsidRDefault="00C81287" w:rsidP="002F2F42">
      <w:pPr>
        <w:pStyle w:val="Heading3"/>
      </w:pPr>
      <w:bookmarkStart w:id="322" w:name="_heading=h.40ew0vw" w:colFirst="0" w:colLast="0"/>
      <w:bookmarkStart w:id="323" w:name="_Toc87623146"/>
      <w:bookmarkStart w:id="324" w:name="_Toc131681646"/>
      <w:bookmarkEnd w:id="322"/>
      <w:r w:rsidRPr="0079215C">
        <w:t>Pathway surveillance tools and technologie</w:t>
      </w:r>
      <w:bookmarkEnd w:id="323"/>
      <w:r w:rsidRPr="0079215C">
        <w:t>s</w:t>
      </w:r>
      <w:bookmarkEnd w:id="324"/>
    </w:p>
    <w:p w14:paraId="000002B3" w14:textId="77777777" w:rsidR="00A758FD" w:rsidRPr="00C0338D" w:rsidRDefault="00C81287" w:rsidP="0079215C">
      <w:pPr>
        <w:pStyle w:val="Heading4"/>
        <w:numPr>
          <w:ilvl w:val="0"/>
          <w:numId w:val="31"/>
        </w:numPr>
      </w:pPr>
      <w:r w:rsidRPr="00C0338D">
        <w:t xml:space="preserve">Digital data mining - crowdsourcing general surveillance </w:t>
      </w:r>
    </w:p>
    <w:p w14:paraId="000002B4" w14:textId="1D450BE5" w:rsidR="00A758FD" w:rsidRPr="00C0338D" w:rsidRDefault="00C81287">
      <w:pPr>
        <w:spacing w:before="240" w:after="120" w:line="240" w:lineRule="auto"/>
      </w:pPr>
      <w:bookmarkStart w:id="325" w:name="_heading=h.2fk6b3p" w:colFirst="0" w:colLast="0"/>
      <w:bookmarkStart w:id="326" w:name="_Hlk112852542"/>
      <w:bookmarkEnd w:id="325"/>
      <w:r w:rsidRPr="00C0338D">
        <w:t>Citizen surveillance</w:t>
      </w:r>
      <w:r w:rsidR="00C166ED">
        <w:t>,</w:t>
      </w:r>
      <w:r w:rsidRPr="00C0338D">
        <w:t xml:space="preserve"> through crowdsourcing and data-mining or web scraping</w:t>
      </w:r>
      <w:r w:rsidR="00C166ED">
        <w:t>,</w:t>
      </w:r>
      <w:r w:rsidRPr="00C0338D">
        <w:t xml:space="preserve"> social media and other data streams filtering on invasive alien species content, can be used as a cost-effective complementary form of general surveillance supporting </w:t>
      </w:r>
      <w:r w:rsidR="0079215C">
        <w:t xml:space="preserve">species-based </w:t>
      </w:r>
      <w:r w:rsidR="71BC3FB1" w:rsidRPr="00837161">
        <w:t>risk assessment</w:t>
      </w:r>
      <w:r w:rsidR="2838CBDC" w:rsidRPr="00837161">
        <w:t xml:space="preserve"> </w:t>
      </w:r>
      <w:r w:rsidR="001B0409" w:rsidRPr="00837161">
        <w:fldChar w:fldCharType="begin"/>
      </w:r>
      <w:r w:rsidR="000F35EB">
        <w:instrText xml:space="preserve"> ADDIN ZOTERO_ITEM CSL_CITATION {"citationID":"Ng3y8ClT","properties":{"formattedCitation":"(Grossel et al., 2017; Lyon, 2010; Welvaert &amp; Caley, 2016)","plainCitation":"(Grossel et al., 2017; Lyon, 2010; Welvaert &amp; Caley, 2016)","noteIndex":0},"citationItems":[{"id":53129,"uris":["http://zotero.org/groups/2352922/items/3NIPYH56"],"itemData":{"id":53129,"type":"chapter","container-title":"Invasive Species: Risk Assessment and Management","edition":"1","event-place":"Cambridge","ISBN":"978-1-139-01960-6","language":"en","note":"DOI: 10.1017/9781139019606.005","page":"84-92","publisher":"Cambridge University Press","publisher-place":"Cambridge","source":"DOI.org (Crossref)","title":"Open-Source Intelligence Gathering and Open-Analysis Intelligence for Biosecurity","URL":"https://www.cambridge.org/core/product/identifier/9781139019606%23CN-bp-4/type/book_part","editor":[{"family":"Robinson","given":"Andrew P."},{"family":"Walshe","given":"Terry"},{"family":"Burgman","given":"Mark A."},{"family":"Nunn","given":"Mike"}],"author":[{"family":"Grossel","given":"Geoff"},{"family":"Lyon","given":"Aidan"},{"family":"Nunn","given":"Mike"}],"accessed":{"date-parts":[["2022",9,1]]},"issued":{"date-parts":[["2017",6,8]]}},"label":"page"},{"id":23593,"uris":["http://zotero.org/groups/2352922/items/CTRXWCHY"],"itemData":{"id":23593,"type":"report","genre":"Final Report","page":"99","publisher":"University of Maryland, College Park Australian National University University of Sydney","title":"Review of Online Systems for Biosecurity Intelligence–Gathering and Analysis - ACERA Project 1003","URL":"https://cebra.unimelb.edu.au/__data/assets/pdf_file/0005/2068691/1003-final-report.pdf","author":[{"family":"Lyon","given":"Aidan"}],"issued":{"date-parts":[["2010"]]}},"label":"page"},{"id":23896,"uris":["http://zotero.org/groups/2352922/items/SB2K88U9"],"itemData":{"id":23896,"type":"article-journal","abstract":"Citizen science and crowdsourcing have been emerging as methods to collect data for surveillance and/or monitoring activities. They could be gathered under the overarching term citizen surveillance. The discipline, however, still struggles to be widely accepted in the scientific community, mainly because these activities are not embedded in a quantitative framework. This results in an ongoing discussion on how to analyze and make useful inference from these data. When considering the data collection process, we illustrate how citizen surveillance can be classified according to the nature of the underlying observation process measured in two dimensions—the degree of observer reporting intention and the control in observer detection effort. By classifying the observation process in these dimensions we distinguish between crowdsourcing, unstructured citizen science and structured citizen science. This classification helps the determine data processing and statistical treatment of these data for making inference. Using our framework, it is apparent that published studies are overwhelmingly associated with structured citizen science, and there are well developed statistical methods for the resulting data. In contrast, methods for making useful inference from purely crowd-sourced data remain under development, with the challenges of accounting for the unknown observation process considerable. Our quantitative framework for citizen surveillance calls for an integration of citizen science and crowdsourcing and provides a way forward to solve the statistical challenges inherent to citizen-sourced data.","container-title":"SpringerPlus","DOI":"10.1186/s40064-016-3583-5","ISSN":"2193-1801","issue":"1","journalAbbreviation":"SpringerPlus","language":"en","page":"1890","source":"Springer Link","title":"Citizen surveillance for environmental monitoring: combining the efforts of citizen science and crowdsourcing in a quantitative data framework","title-short":"Citizen surveillance for environmental monitoring","URL":"https://doi.org/10.1186/s40064-016-3583-5","volume":"5","author":[{"family":"Welvaert","given":"Marijke"},{"family":"Caley","given":"Peter"}],"accessed":{"date-parts":[["2019",12,9]]},"issued":{"date-parts":[["2016",10,28]]}},"label":"page"}],"schema":"https://github.com/citation-style-language/schema/raw/master/csl-citation.json"} </w:instrText>
      </w:r>
      <w:r w:rsidR="001B0409" w:rsidRPr="00837161">
        <w:fldChar w:fldCharType="separate"/>
      </w:r>
      <w:r w:rsidR="00271B78" w:rsidRPr="00271B78">
        <w:t>(Grossel et al., 2017; Lyon, 2010; Welvaert &amp; Caley, 2016)</w:t>
      </w:r>
      <w:r w:rsidR="001B0409" w:rsidRPr="00837161">
        <w:fldChar w:fldCharType="end"/>
      </w:r>
      <w:r w:rsidR="2838CBDC" w:rsidRPr="00837161">
        <w:t xml:space="preserve">. </w:t>
      </w:r>
      <w:bookmarkEnd w:id="326"/>
      <w:r w:rsidR="2838CBDC" w:rsidRPr="00837161">
        <w:t xml:space="preserve">Data mining is extracting information from large databases. Resources scanned can include </w:t>
      </w:r>
      <w:r w:rsidR="171343B0" w:rsidRPr="00837161">
        <w:t>internet</w:t>
      </w:r>
      <w:r w:rsidR="2838CBDC" w:rsidRPr="00837161">
        <w:t xml:space="preserve"> search engines, Really Simple Syndication (RSS) feeds and Twitter</w:t>
      </w:r>
      <w:r w:rsidR="007C0391">
        <w:t>,</w:t>
      </w:r>
      <w:r w:rsidR="2838CBDC" w:rsidRPr="00837161">
        <w:t xml:space="preserve"> which often contain invasive alien species photographic, taxonomic or detection-</w:t>
      </w:r>
      <w:r w:rsidR="2838CBDC" w:rsidRPr="00837161">
        <w:lastRenderedPageBreak/>
        <w:t xml:space="preserve">based content. Searches can be targeted at </w:t>
      </w:r>
      <w:r w:rsidR="000A7C42">
        <w:t xml:space="preserve">specific </w:t>
      </w:r>
      <w:r w:rsidR="2838CBDC" w:rsidRPr="00837161">
        <w:t xml:space="preserve">species or </w:t>
      </w:r>
      <w:r w:rsidR="000A7C42">
        <w:t xml:space="preserve">can be </w:t>
      </w:r>
      <w:r w:rsidR="2838CBDC" w:rsidRPr="00837161">
        <w:t>more general (</w:t>
      </w:r>
      <w:r w:rsidR="1693A85B" w:rsidRPr="00837161">
        <w:t xml:space="preserve">e.g., </w:t>
      </w:r>
      <w:r w:rsidR="2838CBDC" w:rsidRPr="00837161">
        <w:t>symptoms/impacts)</w:t>
      </w:r>
      <w:r w:rsidR="000A7C42">
        <w:t xml:space="preserve"> </w:t>
      </w:r>
      <w:r w:rsidR="2838CBDC" w:rsidRPr="00837161">
        <w:t xml:space="preserve">and can </w:t>
      </w:r>
      <w:r w:rsidR="000A7C42">
        <w:t>include</w:t>
      </w:r>
      <w:r w:rsidR="2838CBDC" w:rsidRPr="00837161">
        <w:t xml:space="preserve"> other terms </w:t>
      </w:r>
      <w:r w:rsidR="008949EB">
        <w:t>such as</w:t>
      </w:r>
      <w:r w:rsidR="2838CBDC" w:rsidRPr="00837161">
        <w:t xml:space="preserve"> climate and land use change. </w:t>
      </w:r>
      <w:r w:rsidR="00C166ED">
        <w:t>S</w:t>
      </w:r>
      <w:r w:rsidR="2838CBDC" w:rsidRPr="00837161">
        <w:t>oftware exists (</w:t>
      </w:r>
      <w:r w:rsidR="1693A85B" w:rsidRPr="00837161">
        <w:t xml:space="preserve">e.g., </w:t>
      </w:r>
      <w:r w:rsidR="007C0391" w:rsidRPr="00837161">
        <w:t>International Biosecurity Intelligence System</w:t>
      </w:r>
      <w:r w:rsidR="00944F0A" w:rsidRPr="00837161">
        <w:t xml:space="preserve"> (IBIS)</w:t>
      </w:r>
      <w:r w:rsidR="2838CBDC" w:rsidRPr="00837161">
        <w:t>) which can automatically search the internet daily looking for invasive alien species reports, grey literature, articles from relevant journals and any other articles or comments</w:t>
      </w:r>
      <w:r w:rsidR="002B59EA">
        <w:t>, thereby</w:t>
      </w:r>
      <w:r w:rsidR="2838CBDC" w:rsidRPr="00837161">
        <w:t xml:space="preserve"> generating invasive </w:t>
      </w:r>
      <w:r w:rsidR="002C3FAB" w:rsidRPr="00837161">
        <w:rPr>
          <w:rFonts w:eastAsia="Times New Roman"/>
        </w:rPr>
        <w:t xml:space="preserve">alien </w:t>
      </w:r>
      <w:r w:rsidR="2838CBDC" w:rsidRPr="00837161">
        <w:t xml:space="preserve">species intelligence. Crowdsourcing surveillance can include early warning, mapping, eradication, containment, understanding real-time impacts, proof of </w:t>
      </w:r>
      <w:r w:rsidR="5D5E3808" w:rsidRPr="00837161">
        <w:t xml:space="preserve">area wide </w:t>
      </w:r>
      <w:r w:rsidR="5A40A735" w:rsidRPr="00837161">
        <w:t xml:space="preserve">pest/disease </w:t>
      </w:r>
      <w:r w:rsidR="2838CBDC" w:rsidRPr="00837161">
        <w:t>freedom</w:t>
      </w:r>
      <w:r w:rsidR="5A40A735" w:rsidRPr="00837161">
        <w:t xml:space="preserve"> (for trade purposes)</w:t>
      </w:r>
      <w:r w:rsidR="2838CBDC" w:rsidRPr="00837161">
        <w:t xml:space="preserve"> and knowledge sharing. Once an article is found, third-party web services such as AlchemyAP</w:t>
      </w:r>
      <w:r w:rsidR="00E12782" w:rsidRPr="00837161">
        <w:t>I</w:t>
      </w:r>
      <w:r w:rsidR="2838CBDC" w:rsidRPr="00837161">
        <w:t xml:space="preserve"> and GeoNames can be used to extract information from the article such as the title, text, author, language</w:t>
      </w:r>
      <w:r w:rsidR="00C16EEB">
        <w:rPr>
          <w:rFonts w:eastAsia="游明朝"/>
          <w:lang w:eastAsia="ja-JP"/>
        </w:rPr>
        <w:t xml:space="preserve"> and</w:t>
      </w:r>
      <w:r w:rsidR="2838CBDC" w:rsidRPr="00837161">
        <w:t xml:space="preserve"> locations. This approach accesses citizens as surveillance agents</w:t>
      </w:r>
      <w:r w:rsidR="007C0391">
        <w:t>,</w:t>
      </w:r>
      <w:r w:rsidR="2838CBDC" w:rsidRPr="00837161">
        <w:t xml:space="preserve"> as </w:t>
      </w:r>
      <w:r w:rsidR="00BC187C" w:rsidRPr="00837161">
        <w:t>“</w:t>
      </w:r>
      <w:r w:rsidR="2838CBDC" w:rsidRPr="00837161">
        <w:t>eyes and ears</w:t>
      </w:r>
      <w:r w:rsidR="00BC187C" w:rsidRPr="00837161">
        <w:t>”</w:t>
      </w:r>
      <w:r w:rsidR="2838CBDC" w:rsidRPr="00837161">
        <w:t xml:space="preserve"> over large areas. The key difficulty lies in delineating real incursion events from background </w:t>
      </w:r>
      <w:r w:rsidR="00BC187C" w:rsidRPr="00837161">
        <w:t>“</w:t>
      </w:r>
      <w:r w:rsidR="2838CBDC" w:rsidRPr="00837161">
        <w:t>noise</w:t>
      </w:r>
      <w:r w:rsidR="00BC187C" w:rsidRPr="00837161">
        <w:t>”</w:t>
      </w:r>
      <w:r w:rsidR="2838CBDC" w:rsidRPr="00837161">
        <w:t xml:space="preserve">. Costs are limited to crowdsourcing system development, hardware and software maintenance. </w:t>
      </w:r>
      <w:r w:rsidR="2838CBDC" w:rsidRPr="00837161">
        <w:rPr>
          <w:shd w:val="clear" w:color="auto" w:fill="FFFFFF"/>
        </w:rPr>
        <w:t xml:space="preserve">Systems exist for </w:t>
      </w:r>
      <w:r w:rsidR="5CEB5779" w:rsidRPr="00837161">
        <w:t>biosecurity (e.g.</w:t>
      </w:r>
      <w:r w:rsidR="59ADBCC6" w:rsidRPr="00837161">
        <w:t>,</w:t>
      </w:r>
      <w:r w:rsidR="5CEB5779" w:rsidRPr="00837161">
        <w:t xml:space="preserve"> </w:t>
      </w:r>
      <w:r w:rsidR="0529C1AF" w:rsidRPr="00837161">
        <w:t>IBIS</w:t>
      </w:r>
      <w:r w:rsidR="59ADBCC6" w:rsidRPr="00837161">
        <w:t>;</w:t>
      </w:r>
      <w:r w:rsidR="5017CFE3" w:rsidRPr="00837161">
        <w:t xml:space="preserve"> </w:t>
      </w:r>
      <w:r w:rsidR="00820EBC">
        <w:fldChar w:fldCharType="begin"/>
      </w:r>
      <w:r w:rsidR="000F35EB">
        <w:instrText xml:space="preserve"> ADDIN ZOTERO_ITEM CSL_CITATION {"citationID":"F4UHzmaS","properties":{"formattedCitation":"(Grossel et al., 2017)","plainCitation":"(Grossel et al., 2017)","dontUpdate":true,"noteIndex":0},"citationItems":[{"id":53129,"uris":["http://zotero.org/groups/2352922/items/3NIPYH56"],"itemData":{"id":53129,"type":"chapter","container-title":"Invasive Species: Risk Assessment and Management","edition":"1","event-place":"Cambridge","ISBN":"978-1-139-01960-6","language":"en","note":"DOI: 10.1017/9781139019606.005","page":"84-92","publisher":"Cambridge University Press","publisher-place":"Cambridge","source":"DOI.org (Crossref)","title":"Open-Source Intelligence Gathering and Open-Analysis Intelligence for Biosecurity","URL":"https://www.cambridge.org/core/product/identifier/9781139019606%23CN-bp-4/type/book_part","editor":[{"family":"Robinson","given":"Andrew P."},{"family":"Walshe","given":"Terry"},{"family":"Burgman","given":"Mark A."},{"family":"Nunn","given":"Mike"}],"author":[{"family":"Grossel","given":"Geoff"},{"family":"Lyon","given":"Aidan"},{"family":"Nunn","given":"Mike"}],"accessed":{"date-parts":[["2022",9,1]]},"issued":{"date-parts":[["2017",6,8]]}}}],"schema":"https://github.com/citation-style-language/schema/raw/master/csl-citation.json"} </w:instrText>
      </w:r>
      <w:r w:rsidR="00820EBC">
        <w:fldChar w:fldCharType="separate"/>
      </w:r>
      <w:r w:rsidR="00820EBC" w:rsidRPr="00820EBC">
        <w:t>Grossel et al., 2017)</w:t>
      </w:r>
      <w:r w:rsidR="00820EBC">
        <w:fldChar w:fldCharType="end"/>
      </w:r>
      <w:r w:rsidR="4EE89782" w:rsidRPr="00837161">
        <w:t>,</w:t>
      </w:r>
      <w:r w:rsidR="5CEB5779" w:rsidRPr="00837161">
        <w:t xml:space="preserve"> </w:t>
      </w:r>
      <w:r w:rsidR="2838CBDC" w:rsidRPr="00837161">
        <w:rPr>
          <w:shd w:val="clear" w:color="auto" w:fill="FFFFFF"/>
        </w:rPr>
        <w:t>animal and public health diseases (</w:t>
      </w:r>
      <w:r w:rsidR="1693A85B" w:rsidRPr="00837161">
        <w:rPr>
          <w:shd w:val="clear" w:color="auto" w:fill="FFFFFF"/>
        </w:rPr>
        <w:t xml:space="preserve">e.g., </w:t>
      </w:r>
      <w:hyperlink r:id="rId90" w:history="1">
        <w:r w:rsidR="2838CBDC" w:rsidRPr="00837161">
          <w:rPr>
            <w:shd w:val="clear" w:color="auto" w:fill="FFFFFF"/>
          </w:rPr>
          <w:t xml:space="preserve">Program for Monitoring Emerging Diseases </w:t>
        </w:r>
        <w:r w:rsidR="0001490E" w:rsidRPr="00837161">
          <w:t>(</w:t>
        </w:r>
        <w:r w:rsidR="2838CBDC" w:rsidRPr="00837161">
          <w:t>ProMED</w:t>
        </w:r>
      </w:hyperlink>
      <w:r w:rsidR="007E2A35" w:rsidRPr="00837161">
        <w:t>;</w:t>
      </w:r>
      <w:r w:rsidR="2838CBDC" w:rsidRPr="00837161">
        <w:rPr>
          <w:shd w:val="clear" w:color="auto" w:fill="FFFFFF"/>
        </w:rPr>
        <w:t xml:space="preserve"> </w:t>
      </w:r>
      <w:r w:rsidR="001B0409" w:rsidRPr="00837161">
        <w:rPr>
          <w:shd w:val="clear" w:color="auto" w:fill="FFFFFF"/>
        </w:rPr>
        <w:fldChar w:fldCharType="begin"/>
      </w:r>
      <w:r w:rsidR="000F35EB">
        <w:rPr>
          <w:shd w:val="clear" w:color="auto" w:fill="FFFFFF"/>
        </w:rPr>
        <w:instrText xml:space="preserve"> ADDIN ZOTERO_ITEM CSL_CITATION {"citationID":"nW2pnpGf","properties":{"formattedCitation":"(M. Carrion &amp; Madoff, 2017)","plainCitation":"(M. Carrion &amp; Madoff, 2017)","dontUpdate":true,"noteIndex":0},"citationItems":[{"id":22676,"uris":["http://zotero.org/groups/2352922/items/R7KNT89W"],"itemData":{"id":22676,"type":"article-journal","abstract":"Abstract.  ProMED-mail (ProMED) was launched in 1994 as an email service to identify unusual health events related to emerging and re-emerging infectious diseas","container-title":"International Health","DOI":"10.1093/inthealth/ihx014","ISSN":"1876-3413","issue":"3","journalAbbreviation":"Int Health","language":"en","note":"publisher: Oxford Academic","page":"177-183","source":"academic.oup.com","title":"ProMED-mail: 22 years of digital surveillance of emerging infectious diseases","title-short":"ProMED-mail","URL":"https://academic.oup.com/inthealth/article/9/3/177/3861034","volume":"9","author":[{"family":"Carrion","given":"Malwina"},{"family":"Madoff","given":"Lawrence C."}],"accessed":{"date-parts":[["2020",6,12]]},"issued":{"date-parts":[["2017",5,1]]}},"label":"page"}],"schema":"https://github.com/citation-style-language/schema/raw/master/csl-citation.json"} </w:instrText>
      </w:r>
      <w:r w:rsidR="001B0409" w:rsidRPr="00837161">
        <w:rPr>
          <w:shd w:val="clear" w:color="auto" w:fill="FFFFFF"/>
        </w:rPr>
        <w:fldChar w:fldCharType="separate"/>
      </w:r>
      <w:r w:rsidR="002D501A" w:rsidRPr="00837161">
        <w:t>M. Carrion &amp; Madoff, 2017)</w:t>
      </w:r>
      <w:r w:rsidR="001B0409" w:rsidRPr="00837161">
        <w:rPr>
          <w:shd w:val="clear" w:color="auto" w:fill="FFFFFF"/>
        </w:rPr>
        <w:fldChar w:fldCharType="end"/>
      </w:r>
      <w:r w:rsidR="0001490E" w:rsidRPr="00837161">
        <w:rPr>
          <w:shd w:val="clear" w:color="auto" w:fill="FFFFFF"/>
        </w:rPr>
        <w:t>,</w:t>
      </w:r>
      <w:r w:rsidR="2838CBDC" w:rsidRPr="00837161">
        <w:rPr>
          <w:shd w:val="clear" w:color="auto" w:fill="FFFFFF"/>
        </w:rPr>
        <w:t xml:space="preserve"> linked to EpiSPIDER </w:t>
      </w:r>
      <w:r w:rsidR="001B0409" w:rsidRPr="00837161">
        <w:rPr>
          <w:shd w:val="clear" w:color="auto" w:fill="FFFFFF"/>
        </w:rPr>
        <w:fldChar w:fldCharType="begin"/>
      </w:r>
      <w:r w:rsidR="000F35EB">
        <w:rPr>
          <w:shd w:val="clear" w:color="auto" w:fill="FFFFFF"/>
        </w:rPr>
        <w:instrText xml:space="preserve"> ADDIN ZOTERO_ITEM CSL_CITATION {"citationID":"agKnlh5c","properties":{"formattedCitation":"(Tolentino et al., 2007)","plainCitation":"(Tolentino et al., 2007)","noteIndex":0},"citationItems":[{"id":10935,"uris":["http://zotero.org/groups/2352922/items/IG8RHNSM"],"itemData":{"id":10935,"type":"article-journal","container-title":"Advances in Disease Surveillance","page":"169","title":"Scanning the Emerging Infectious Diseases Horizon - Visualizing ProMED Emails Using EpiSPIDER","URL":"https://lhncbc.nlm.nih.gov/publication/lhncbc-2007-055","volume":"2","author":[{"family":"Tolentino","given":"Herman"},{"family":"Kamadjeu","given":"Raoul"},{"family":"Fontelo","given":"Paul"},{"family":"Liu","given":"Fang"},{"family":"Matters","given":"Michael"},{"family":"Pollack","given":"Marjorie"},{"family":"Madoff","given":"Larry"}],"accessed":{"date-parts":[["2020",6,12]]},"issued":{"date-parts":[["2007"]]}},"label":"page"}],"schema":"https://github.com/citation-style-language/schema/raw/master/csl-citation.json"} </w:instrText>
      </w:r>
      <w:r w:rsidR="001B0409" w:rsidRPr="00837161">
        <w:rPr>
          <w:shd w:val="clear" w:color="auto" w:fill="FFFFFF"/>
        </w:rPr>
        <w:fldChar w:fldCharType="separate"/>
      </w:r>
      <w:r w:rsidR="00271B78" w:rsidRPr="00271B78">
        <w:t>(Tolentino et al., 2007)</w:t>
      </w:r>
      <w:r w:rsidR="001B0409" w:rsidRPr="00837161">
        <w:rPr>
          <w:shd w:val="clear" w:color="auto" w:fill="FFFFFF"/>
        </w:rPr>
        <w:fldChar w:fldCharType="end"/>
      </w:r>
      <w:r w:rsidR="0001490E" w:rsidRPr="00837161">
        <w:rPr>
          <w:shd w:val="clear" w:color="auto" w:fill="FFFFFF"/>
        </w:rPr>
        <w:t>;</w:t>
      </w:r>
      <w:r w:rsidR="2838CBDC" w:rsidRPr="00837161">
        <w:rPr>
          <w:shd w:val="clear" w:color="auto" w:fill="FFFFFF"/>
        </w:rPr>
        <w:t xml:space="preserve"> BioCaster </w:t>
      </w:r>
      <w:r w:rsidR="001B0409" w:rsidRPr="00837161">
        <w:rPr>
          <w:shd w:val="clear" w:color="auto" w:fill="FFFFFF"/>
        </w:rPr>
        <w:fldChar w:fldCharType="begin"/>
      </w:r>
      <w:r w:rsidR="000F35EB">
        <w:rPr>
          <w:shd w:val="clear" w:color="auto" w:fill="FFFFFF"/>
        </w:rPr>
        <w:instrText xml:space="preserve"> ADDIN ZOTERO_ITEM CSL_CITATION {"citationID":"ifnHFn5d","properties":{"formattedCitation":"(Collier et al., 2008)","plainCitation":"(Collier et al., 2008)","noteIndex":0},"citationItems":[{"id":22677,"uris":["http://zotero.org/groups/2352922/items/E3TMGVYH"],"itemData":{"id":22677,"type":"article-journal","abstract":"Abstract.  Summary: BioCaster is an ontology-based text mining system for detecting and tracking the distribution of infectious disease outbreaks from linguisti","container-title":"Bioinformatics","DOI":"10.1093/bioinformatics/btn534","ISSN":"1367-4803","issue":"24","journalAbbreviation":"Bioinformatics","language":"en","note":"publisher: Oxford Academic","page":"2940-2941","source":"academic.oup.com","title":"BioCaster: detecting public health rumors with a Web-based text mining system","title-short":"BioCaster","URL":"https://academic.oup.com/bioinformatics/article/24/24/2940/196395","volume":"24","author":[{"family":"Collier","given":"Nigel"},{"family":"Doan","given":"Son"},{"family":"Kawazoe","given":"Ai"},{"family":"Goodwin","given":"Reiko Matsuda"},{"family":"Conway","given":"Mike"},{"family":"Tateno","given":"Yoshio"},{"family":"Ngo","given":"Quoc-Hung"},{"family":"Dien","given":"Dinh"},{"family":"Kawtrakul","given":"Asanee"},{"family":"Takeuchi","given":"Koichi"},{"family":"Shigematsu","given":"Mika"},{"family":"Taniguchi","given":"Kiyosu"}],"accessed":{"date-parts":[["2020",6,12]]},"issued":{"date-parts":[["2008",12,15]]}},"label":"page"}],"schema":"https://github.com/citation-style-language/schema/raw/master/csl-citation.json"} </w:instrText>
      </w:r>
      <w:r w:rsidR="001B0409" w:rsidRPr="00837161">
        <w:rPr>
          <w:shd w:val="clear" w:color="auto" w:fill="FFFFFF"/>
        </w:rPr>
        <w:fldChar w:fldCharType="separate"/>
      </w:r>
      <w:r w:rsidR="00271B78" w:rsidRPr="00271B78">
        <w:t>(Collier et al., 2008)</w:t>
      </w:r>
      <w:r w:rsidR="001B0409" w:rsidRPr="00837161">
        <w:rPr>
          <w:shd w:val="clear" w:color="auto" w:fill="FFFFFF"/>
        </w:rPr>
        <w:fldChar w:fldCharType="end"/>
      </w:r>
      <w:r w:rsidR="2838CBDC" w:rsidRPr="00837161">
        <w:rPr>
          <w:shd w:val="clear" w:color="auto" w:fill="FFFFFF"/>
        </w:rPr>
        <w:t>.</w:t>
      </w:r>
      <w:r w:rsidRPr="0079215C">
        <w:rPr>
          <w:highlight w:val="white"/>
        </w:rPr>
        <w:t xml:space="preserve"> The multiple global and jurisdictional coronavirus disease 2019 (COVID-19) dynamic online case number dashboards are other examples of real-time automated invasion surveillance data feeds.</w:t>
      </w:r>
      <w:bookmarkEnd w:id="319"/>
      <w:bookmarkEnd w:id="321"/>
    </w:p>
    <w:p w14:paraId="000002B5" w14:textId="77777777" w:rsidR="00A758FD" w:rsidRPr="00C0338D" w:rsidRDefault="00C81287" w:rsidP="00B06042">
      <w:pPr>
        <w:pStyle w:val="Heading4"/>
      </w:pPr>
      <w:bookmarkStart w:id="327" w:name="_heading=h.upglbi" w:colFirst="0" w:colLast="0"/>
      <w:bookmarkStart w:id="328" w:name="_Toc43218440"/>
      <w:bookmarkStart w:id="329" w:name="_Toc69313997"/>
      <w:bookmarkEnd w:id="327"/>
      <w:r w:rsidRPr="00C0338D">
        <w:t>Sensor networks and smart traps</w:t>
      </w:r>
      <w:bookmarkEnd w:id="328"/>
      <w:bookmarkEnd w:id="329"/>
    </w:p>
    <w:p w14:paraId="3E3D4DA2" w14:textId="1CA36607" w:rsidR="001B0409" w:rsidRPr="00837161" w:rsidRDefault="001B0409" w:rsidP="00C11DFA">
      <w:pPr>
        <w:spacing w:before="240" w:after="120" w:line="240" w:lineRule="auto"/>
        <w:rPr>
          <w:lang w:eastAsia="ja-JP"/>
        </w:rPr>
      </w:pPr>
      <w:r w:rsidRPr="00837161">
        <w:t xml:space="preserve">An emerging cost-effective approach to passive surveillance is through the use of sensor networks </w:t>
      </w:r>
      <w:r w:rsidRPr="00837161">
        <w:fldChar w:fldCharType="begin"/>
      </w:r>
      <w:r w:rsidR="000F35EB">
        <w:instrText xml:space="preserve"> ADDIN ZOTERO_ITEM CSL_CITATION {"citationID":"LewAEtkO","properties":{"formattedCitation":"(Farouk &amp; Zhen, 2019; Rundel et al., 2009)","plainCitation":"(Farouk &amp; Zhen, 2019; Rundel et al., 2009)","noteIndex":0},"citationItems":[{"id":53327,"uris":["http://zotero.org/groups/2352922/items/58SMZNII"],"itemData":{"id":53327,"type":"article-journal","container-title":"Journal of Intelligent &amp; Fuzzy Systems","DOI":"10.3233/JIFS-179109","issue":"3","note":"ISBN: 1064-1246\npublisher: IOS Press","page":"3067-3071","title":"Big data analysis techniques for intelligent systems","volume":"37","author":[{"family":"Farouk","given":"Ahmed"},{"family":"Zhen","given":"Dou"}],"issued":{"date-parts":[["2019"]]}},"label":"page"},{"id":10184,"uris":["http://zotero.org/groups/2352922/items/UB4S9NZ9"],"itemData":{"id":10184,"type":"article-journal","abstract":"Environmental sensor networks offer a powerful combination of distributed sensing capacity, real-time data visualization and analysis, and integration with adjacent networks and remote sensing data streams. These advances have become a reality as a combined result of the continuing miniaturization of electronics, the availability of large data storage and computational capacity, and the pervasive connectivity of the Internet. Environmental sensor networks have been established and large new networks are planned for monitoring multiple habitats at many different scales. Projects range in spatial scale from continental systems designed to measure global change and environmental stability to those involved with the monitoring of only a few meters of forest edge in fragmented landscapes. Temporal measurements have ranged from the evaluation of sunfleck dynamics at scales of seconds, to daily CO2 fluxes, to decadal shifts in temperatures. Above-ground sensor systems are partnered with subsurface soil measurement networks for physical and biological activity, together with aquatic and riparian sensor networks to measure groundwater fluxes and nutrient dynamics. More recently, complex sensors, such as networked digital cameras and microphones, as well as newly emerging sensors, are being integrated into sensor networks for hierarchical methods of sensing that promise a further understanding of our ecological systems by revealing previously unobservable phenomena. Contents Summary 589 I. Introduction 590 II. Terrestrial sensor networks 591 III. Soil sensor networks 594 IV. Aquatic sensor networks 597 V. Challenges for sensor network development 601 Acknowledgements 1063 References 1063","container-title":"New Phytologist","DOI":"10.1111/j.1469-8137.2009.02811.x","ISSN":"1469-8137","issue":"3","language":"en","note":"_eprint: https://onlinelibrary.wiley.com/doi/pdf/10.1111/j.1469-8137.2009.02811.x","page":"589-607","source":"Wiley Online Library","title":"Environmental sensor networks in ecological research","URL":"https://onlinelibrary.wiley.com/doi/abs/10.1111/j.1469-8137.2009.02811.x","volume":"182","author":[{"family":"Rundel","given":"Philip W."},{"family":"Graham","given":"Eric A."},{"family":"Allen","given":"Michael F."},{"family":"Fisher","given":"Jason C."},{"family":"Harmon","given":"Thomas C."}],"accessed":{"date-parts":[["2021",10,27]]},"issued":{"date-parts":[["2009"]]}},"label":"page"}],"schema":"https://github.com/citation-style-language/schema/raw/master/csl-citation.json"} </w:instrText>
      </w:r>
      <w:r w:rsidRPr="00837161">
        <w:fldChar w:fldCharType="separate"/>
      </w:r>
      <w:r w:rsidR="00271B78" w:rsidRPr="00271B78">
        <w:t>(Farouk &amp; Zhen, 2019; Rundel et al., 2009)</w:t>
      </w:r>
      <w:r w:rsidRPr="00837161">
        <w:fldChar w:fldCharType="end"/>
      </w:r>
      <w:r w:rsidR="00573FF8" w:rsidRPr="00837161">
        <w:t xml:space="preserve"> </w:t>
      </w:r>
      <w:r w:rsidRPr="00837161">
        <w:t>and mobile smart traps</w:t>
      </w:r>
      <w:r w:rsidR="00AC1078" w:rsidRPr="00837161">
        <w:t xml:space="preserve"> </w:t>
      </w:r>
      <w:r w:rsidRPr="00837161">
        <w:fldChar w:fldCharType="begin"/>
      </w:r>
      <w:r w:rsidR="00E25D54">
        <w:instrText xml:space="preserve"> ADDIN ZOTERO_ITEM CSL_CITATION {"citationID":"zungH1bO","properties":{"formattedCitation":"(Potamitis &amp; Rigakis, 2015)","plainCitation":"(Potamitis &amp; Rigakis, 2015)","noteIndex":0},"citationItems":[{"id":10189,"uris":["http://zotero.org/groups/2352922/items/YNTUPDP6"],"itemData":{"id":10189,"type":"article","abstract":"This work describes a novel solution to remote R. ferrugineus monitoring. Classical, plastic RPW traps containing aggregation pheromones for RPW are modified to include an optical sensor that senses adult pests falling in the trap. The counts of the pests are accumulated through the day and the counts are transmitted via the mobile phone network straight to a smartphone/tablet or internet address. The device is small and is attached internally in the trap carrying all necessary electronic equipment to allow optical detection, counting and transmission of counts through GSM. Smart RPW traps are expected to reduce the cost of monitoring and allow for reliable decision making as the wireless transmission is instantaneous thus allows the creations of real-time infestation maps. Our device has been tested extensively in real field delivering excellent detection results. We did not observe a single case that a RPW was not detected while being inside the trap and our trap delivers nearly zero rate false alarms.","DOI":"10.7287/peerj.preprints.1337v1","language":"en","note":"ISSN: 2167-9843","number":"e1651","publisher":"PeerJ Inc.","source":"peerj.com","title":"Smart traps for automatic remote monitoring of &lt;i&gt;Rhynchophorus ferrugineus&lt;/i&gt; (Coleoptera: Curculionidae)","title-short":"Smart traps for automatic remote monitoring of Rhynchophorus ferrugineus (Coleoptera","URL":"https://peerj.com/preprints/1337","author":[{"family":"Potamitis","given":"Ilyas"},{"family":"Rigakis","given":"Iraklis"}],"accessed":{"date-parts":[["2021",10,27]]},"issued":{"date-parts":[["2015",9,2]]}},"label":"page"}],"schema":"https://github.com/citation-style-language/schema/raw/master/csl-citation.json"} </w:instrText>
      </w:r>
      <w:r w:rsidRPr="00837161">
        <w:fldChar w:fldCharType="separate"/>
      </w:r>
      <w:r w:rsidR="00271B78" w:rsidRPr="00271B78">
        <w:t>(Potamitis &amp; Rigakis, 2015)</w:t>
      </w:r>
      <w:r w:rsidRPr="00837161">
        <w:fldChar w:fldCharType="end"/>
      </w:r>
      <w:r w:rsidRPr="00837161">
        <w:t xml:space="preserve">. Wireless sensor networks generally consist of a number of different sensors connected wirelessly, </w:t>
      </w:r>
      <w:r w:rsidR="002B59EA">
        <w:t xml:space="preserve">that </w:t>
      </w:r>
      <w:r w:rsidRPr="00837161">
        <w:t>typically collect audio, image</w:t>
      </w:r>
      <w:r w:rsidR="00C16EEB">
        <w:t xml:space="preserve"> and</w:t>
      </w:r>
      <w:r w:rsidRPr="00837161">
        <w:t xml:space="preserve"> body temperature observations produced by monitored targets, and use machine learning and pattern recognition algorithms to identify targets of interest automatically from these observations. </w:t>
      </w:r>
      <w:r w:rsidRPr="00837161">
        <w:rPr>
          <w:lang w:eastAsia="ja-JP"/>
        </w:rPr>
        <w:t xml:space="preserve">Such networks can provide effective methods for small-scale continuous monitoring applications. They provide </w:t>
      </w:r>
      <w:r w:rsidR="49E7A8EB" w:rsidRPr="00837161">
        <w:rPr>
          <w:lang w:eastAsia="ja-JP"/>
        </w:rPr>
        <w:t>mul</w:t>
      </w:r>
      <w:r w:rsidR="5591C152" w:rsidRPr="00837161">
        <w:rPr>
          <w:lang w:eastAsia="ja-JP"/>
        </w:rPr>
        <w:t>t</w:t>
      </w:r>
      <w:r w:rsidR="49E7A8EB" w:rsidRPr="00837161">
        <w:rPr>
          <w:lang w:eastAsia="ja-JP"/>
        </w:rPr>
        <w:t>iple</w:t>
      </w:r>
      <w:r w:rsidRPr="00837161">
        <w:rPr>
          <w:lang w:eastAsia="ja-JP"/>
        </w:rPr>
        <w:t xml:space="preserve"> observations operating independently over long time periods. The infrastructure deployment and maintenance costs, however means spatial coverage is limited</w:t>
      </w:r>
      <w:r w:rsidR="00F8284D" w:rsidRPr="00837161">
        <w:rPr>
          <w:lang w:eastAsia="ja-JP"/>
        </w:rPr>
        <w:t xml:space="preserve"> </w:t>
      </w:r>
      <w:r w:rsidRPr="00837161">
        <w:rPr>
          <w:lang w:eastAsia="ja-JP"/>
        </w:rPr>
        <w:fldChar w:fldCharType="begin"/>
      </w:r>
      <w:r w:rsidR="000F35EB">
        <w:rPr>
          <w:lang w:eastAsia="ja-JP"/>
        </w:rPr>
        <w:instrText xml:space="preserve"> ADDIN ZOTERO_ITEM CSL_CITATION {"citationID":"LRBJALGY","properties":{"formattedCitation":"(Preti et al., 2021)","plainCitation":"(Preti et al., 2021)","noteIndex":0},"citationItems":[{"id":10187,"uris":["http://zotero.org/groups/2352922/items/VTPXBN9T"],"itemData":{"id":10187,"type":"article-journal","abstract":"Integrated pest management relies on insect pest monitoring to support the decision of counteracting a given level of infestation and to select the adequate control method. The classic monitoring approach of insect pests is based on placing in single infested areas a series of traps that are checked by human operators on a temporal basis. This strategy requires high labor cost and provides poor spatial and temporal resolution achievable by single operators. The adoption of image sensors to monitor insect pests can result in several practical advantages. The purpose of this review is to summarize the progress made on automatic traps with a particular focus on camera-equipped traps. The use of software and image recognition algorithms can support automatic trap usage to identify and/or count insect species from pictures. Considering the high image resolution achievable and the opportunity to exploit data transfer systems through wireless technology, it is possible to have remote control of insect captures, limiting field visits. The availability of real-time and on-line pest monitoring systems from a distant location opens the opportunity for measuring insect population dynamics constantly and simultaneously in a large number of traps with a limited human labor requirement. The actual limitations are the high cost, the low power autonomy and the low picture quality of some prototypes together with the need for further improvements in fully automated pest detection. Limits and benefits resulting from several case studies are examined with a perspective for the future development of technology-driven insect pest monitoring and management.","container-title":"Journal of Pest Science","DOI":"10.1007/s10340-020-01309-4","ISSN":"1612-4766","issue":"2","journalAbbreviation":"J Pest Sci","language":"en","page":"203-217","source":"Springer Link","title":"Insect pest monitoring with camera-equipped traps: strengths and limitations","title-short":"Insect pest monitoring with camera-equipped traps","URL":"https://doi.org/10.1007/s10340-020-01309-4","volume":"94","author":[{"family":"Preti","given":"Michele"},{"family":"Verheggen","given":"François"},{"family":"Angeli","given":"Sergio"}],"accessed":{"date-parts":[["2021",10,27]]},"issued":{"date-parts":[["2021",3,1]]}},"label":"page"}],"schema":"https://github.com/citation-style-language/schema/raw/master/csl-citation.json"} </w:instrText>
      </w:r>
      <w:r w:rsidRPr="00837161">
        <w:rPr>
          <w:lang w:eastAsia="ja-JP"/>
        </w:rPr>
        <w:fldChar w:fldCharType="separate"/>
      </w:r>
      <w:r w:rsidR="00271B78" w:rsidRPr="00271B78">
        <w:t>(Preti et al., 2021)</w:t>
      </w:r>
      <w:r w:rsidRPr="00837161">
        <w:rPr>
          <w:lang w:eastAsia="ja-JP"/>
        </w:rPr>
        <w:fldChar w:fldCharType="end"/>
      </w:r>
      <w:r w:rsidRPr="00837161">
        <w:rPr>
          <w:lang w:eastAsia="ja-JP"/>
        </w:rPr>
        <w:t>. Key advantages include low power allowing for the deployment of many and varied sensors across a landscape, continuous data streams pro</w:t>
      </w:r>
      <w:r w:rsidRPr="00837161">
        <w:t xml:space="preserve">vide real-time data transferred via the mobile network even if accessible by only a few sensor nodes. </w:t>
      </w:r>
      <w:r w:rsidR="00F8284D" w:rsidRPr="00837161">
        <w:rPr>
          <w:rFonts w:eastAsia="Calibri"/>
        </w:rPr>
        <w:t>Such systems</w:t>
      </w:r>
      <w:r w:rsidRPr="00837161">
        <w:rPr>
          <w:rFonts w:eastAsia="Calibri"/>
        </w:rPr>
        <w:t xml:space="preserve"> can be applied in terrestrial, aquatic </w:t>
      </w:r>
      <w:r w:rsidRPr="00837161">
        <w:rPr>
          <w:rFonts w:eastAsia="Calibri"/>
        </w:rPr>
        <w:fldChar w:fldCharType="begin"/>
      </w:r>
      <w:r w:rsidR="000F35EB">
        <w:rPr>
          <w:rFonts w:eastAsia="Calibri"/>
        </w:rPr>
        <w:instrText xml:space="preserve"> ADDIN ZOTERO_ITEM CSL_CITATION {"citationID":"KJrSKu9h","properties":{"formattedCitation":"(Kong et al., 2005)","plainCitation":"(Kong et al., 2005)","noteIndex":0},"citationItems":[{"id":31597,"uris":["http://zotero.org/groups/2352922/items/7C9NY5Z5"],"itemData":{"id":31597,"type":"paper-conference","abstract":"Large-scale underwater ad-hoc networks (UANET) and underwater sensor networks (UWSN) are novel networking paradigms to explore the uninhabited oceans. However, the characteristics of these new networks, such as huge propagation delay, floating node mobility, and limited acoustic link capacity, are significantly different from ground-based mobile ad-hoc networks (MANET) and wireless sensor networks (WSN). In this paper we adopt a top-down approach to explore the new research subject. We at first show a new practical application scenario that cannot be addressed by existing technology and hence demands the advent of the UANET and UWSN. Then along the layered protocol stack, we go down from the top application layer to the bottom physical layer. At each layer we show a set of new design challenges. We conclude that UANET and UWSN are challenges that must be answered by inter-disciplinary efforts of acoustic communication, signal processing and mobile acoustic network protocol design","container-title":"MILCOM 2005 - 2005 IEEE Military Communications Conference","DOI":"10.1109/MILCOM.2005.1605894","event-title":"MILCOM 2005 - 2005 IEEE Military Communications Conference","note":"ISSN: 2155-7586","page":"1535-1541","source":"IEEE Xplore","title":"Building underwater ad-hoc networks and sensor networks for large scale real-time aquatic applications","volume":"3","author":[{"family":"Kong","given":"Jiejun"},{"family":"Cui","given":"Jun-hong"},{"family":"Wu","given":"Dapeng"},{"family":"Gerla","given":"M."}],"issued":{"date-parts":[["2005",10]]}},"label":"page"}],"schema":"https://github.com/citation-style-language/schema/raw/master/csl-citation.json"} </w:instrText>
      </w:r>
      <w:r w:rsidRPr="00837161">
        <w:rPr>
          <w:rFonts w:eastAsia="Calibri"/>
        </w:rPr>
        <w:fldChar w:fldCharType="separate"/>
      </w:r>
      <w:r w:rsidR="00271B78" w:rsidRPr="00271B78">
        <w:t>(Kong et al., 2005)</w:t>
      </w:r>
      <w:r w:rsidRPr="00837161">
        <w:rPr>
          <w:rFonts w:eastAsia="Calibri"/>
        </w:rPr>
        <w:fldChar w:fldCharType="end"/>
      </w:r>
      <w:r w:rsidR="00573FF8" w:rsidRPr="00837161">
        <w:rPr>
          <w:rFonts w:eastAsia="Calibri"/>
        </w:rPr>
        <w:t xml:space="preserve"> </w:t>
      </w:r>
      <w:r w:rsidRPr="00837161">
        <w:rPr>
          <w:rFonts w:eastAsia="Calibri"/>
        </w:rPr>
        <w:t xml:space="preserve">or aerial </w:t>
      </w:r>
      <w:r w:rsidRPr="00837161">
        <w:fldChar w:fldCharType="begin"/>
      </w:r>
      <w:r w:rsidR="000F35EB">
        <w:instrText xml:space="preserve"> ADDIN ZOTERO_ITEM CSL_CITATION {"citationID":"Ttg3F1Ex","properties":{"formattedCitation":"(Kgori et al., 2006)","plainCitation":"(Kgori et al., 2006)","noteIndex":0},"citationItems":[{"id":10186,"uris":["http://zotero.org/groups/2352922/items/D2WW9HUE"],"itemData":{"id":10186,"type":"article-journal","abstract":"In Botswana, 16,000km2 of the Okavango Delta were aerial sprayed five times with deltamethrin, applied at 0.26–0.3g/ha, to control Glossina morsitans centralis Machado (Diptera: Glossinidae) over a period of </w:instrText>
      </w:r>
      <w:r w:rsidR="000F35EB">
        <w:rPr>
          <w:rFonts w:ascii="ＭＳ 明朝" w:eastAsia="ＭＳ 明朝" w:hAnsi="ＭＳ 明朝" w:cs="ＭＳ 明朝" w:hint="eastAsia"/>
        </w:rPr>
        <w:instrText>∼</w:instrText>
      </w:r>
      <w:r w:rsidR="000F35EB">
        <w:instrText>8 weeks. The northern half of the Delta (7180km2) was sprayed in June–September 2001 and the southern half (8720km2) in May–August 2002. A barrier (mean width≈10km) of 12,000 deltamethrin-treated targets was deployed at the interface of these two blocks to prevent tsetse from invading from the southern to the northern block. Prior to spraying, the mean catches of tsetse from man fly-rounds were 44.6 round/day in the northern block and 101 in the southern. Between September 2002 and November 2005, surveys (</w:instrText>
      </w:r>
      <w:r w:rsidR="000F35EB">
        <w:rPr>
          <w:rFonts w:ascii="ＭＳ 明朝" w:eastAsia="ＭＳ 明朝" w:hAnsi="ＭＳ 明朝" w:cs="ＭＳ 明朝" w:hint="eastAsia"/>
        </w:rPr>
        <w:instrText>∼</w:instrText>
      </w:r>
      <w:r w:rsidR="000F35EB">
        <w:instrText xml:space="preserve">820 daily fly-rounds and </w:instrText>
      </w:r>
      <w:r w:rsidR="000F35EB">
        <w:rPr>
          <w:rFonts w:ascii="ＭＳ 明朝" w:eastAsia="ＭＳ 明朝" w:hAnsi="ＭＳ 明朝" w:cs="ＭＳ 明朝" w:hint="eastAsia"/>
        </w:rPr>
        <w:instrText>∼</w:instrText>
      </w:r>
      <w:r w:rsidR="000F35EB">
        <w:instrText xml:space="preserve">2050 trap-days) in the northern and southern blocks failed to detect tsetse. Simulations of tsetse populations suggest that while spraying operations can reduce tsetse populations to levels that are difficult to detect by standard survey techniques, such populations will recover to densities &gt;100tsetse/km2 after 1000 days, at which density there is a very high probability (&gt;0.999) that the survey methods will catch at least one fly. Since none was caught, it is argued that tsetse have been eliminated from the Delta. The particular success of this operation in comparison to the 18 aerial spraying operations conducted in the Delta prior to 2001 is attributed to the application of an adequate dose of insecticide, the use of a GPS-based navigation system to ensure even application of insecticide, and the large size and spatial arrangement of the spray blocks coupled with the use of a barrier of targets which prevented tsetse from re-invading the northern sprayed block before the southern one was treated.","container-title":"Acta Tropica","DOI":"10.1016/j.actatropica.2006.07.007","ISSN":"0001-706X","issue":"2","journalAbbreviation":"Acta Tropica","language":"en","page":"184-199","source":"ScienceDirect","title":"The use of aerial spraying to eliminate tsetse from the Okavango Delta of Botswana","URL":"https://www.sciencedirect.com/science/article/pii/S0001706X06001422","volume":"99","author":[{"family":"Kgori","given":"P. M."},{"family":"Modo","given":"S."},{"family":"Torr","given":"S. J."}],"accessed":{"date-parts":[["2021",10,27]]},"issued":{"date-parts":[["2006",10,1]]}},"label":"page"}],"schema":"https://github.com/citation-style-language/schema/raw/master/csl-citation.json"} </w:instrText>
      </w:r>
      <w:r w:rsidRPr="00837161">
        <w:fldChar w:fldCharType="separate"/>
      </w:r>
      <w:r w:rsidR="00271B78" w:rsidRPr="00271B78">
        <w:t>(Kgori et al., 2006)</w:t>
      </w:r>
      <w:r w:rsidRPr="00837161">
        <w:fldChar w:fldCharType="end"/>
      </w:r>
      <w:r w:rsidR="00AC27FA" w:rsidRPr="00837161">
        <w:rPr>
          <w:rFonts w:eastAsia="Calibri"/>
        </w:rPr>
        <w:t xml:space="preserve"> </w:t>
      </w:r>
      <w:r w:rsidRPr="00837161">
        <w:rPr>
          <w:rFonts w:eastAsia="Calibri"/>
        </w:rPr>
        <w:t>settings.</w:t>
      </w:r>
      <w:r w:rsidRPr="00837161">
        <w:rPr>
          <w:lang w:eastAsia="ja-JP"/>
        </w:rPr>
        <w:t xml:space="preserve"> Attaching sensors to mobile objects, such as domestic and wild animals, has the potential to greatly extend the spatial coverage of fixed sensors</w:t>
      </w:r>
      <w:r w:rsidR="00604D58" w:rsidRPr="00837161">
        <w:rPr>
          <w:lang w:eastAsia="ja-JP"/>
        </w:rPr>
        <w:t xml:space="preserve"> </w:t>
      </w:r>
      <w:r w:rsidRPr="00837161">
        <w:fldChar w:fldCharType="begin"/>
      </w:r>
      <w:r w:rsidR="000F35EB">
        <w:instrText xml:space="preserve"> ADDIN ZOTERO_ITEM CSL_CITATION {"citationID":"IfR0SXam","properties":{"formattedCitation":"(Duda et al., 2018)","plainCitation":"(Duda et al., 2018)","noteIndex":0},"citationItems":[{"id":10183,"uris":["http://zotero.org/groups/2352922/items/HJRT3QRI"],"itemData":{"id":10183,"type":"article-journal","abstract":"In this paper, the BATS project is presented, which aims to track the behavior of bats via an ultra-low power wireless sensor network. An overview about the whole project and its parts like sensor node design, tracking grid and software infrastructure is given and the evaluation of the project is shown. The BATS project includes a lightweight sensor node that is attached to bats and combines multiple features. Communication among sensor nodes allows tracking of bat encounters. Flight trajectories of individual tagged bats can be recorded at high spatial and temporal resolution by a ground node grid. To increase the communication range, the BATS project implemented a long-range telemetry system to still receive sensor data outside the standard ground node network. The whole system is designed with the common goal of ultra-low energy consumption while still maintaining optimal measurement results. To this end, the system is designed in a flexible way and is able to adapt its functionality according to the current situation. In this way, it uses the energy available on the sensor node as efficient as possible.","container-title":"Sensors","DOI":"10.3390/s18103343","issue":"10","language":"en","license":"http://creativecommons.org/licenses/by/3.0/","note":"publisher: Multidisciplinary Digital Publishing Institute","page":"3343","source":"www.mdpi.com","title":"BATS: Adaptive Ultra Low Power Sensor Network for Animal Tracking","title-short":"BATS","URL":"https://www.mdpi.com/1424-8220/18/10/3343","volume":"18","author":[{"family":"Duda","given":"Niklas"},{"family":"Nowak","given":"Thorsten"},{"family":"Hartmann","given":"Markus"},{"family":"Schadhauser","given":"Michael"},{"family":"Cassens","given":"Björn"},{"family":"Wägemann","given":"Peter"},{"family":"Nabeel","given":"Muhammad"},{"family":"Ripperger","given":"Simon"},{"family":"Herbst","given":"Sebastian"},{"family":"Meyer-Wegener","given":"Klaus"},{"family":"Mayer","given":"Frieder"},{"family":"Dressler","given":"Falko"},{"family":"Schröder-Preikschat","given":"Wolfgang"},{"family":"Kapitza","given":"Rüdiger"},{"family":"Robert","given":"Jörg"},{"family":"Thielecke","given":"Jörn"},{"family":"Weigel","given":"Robert"},{"family":"Kölpin","given":"Alexander"}],"accessed":{"date-parts":[["2021",10,27]]},"issued":{"date-parts":[["2018",10]]}},"label":"page"}],"schema":"https://github.com/citation-style-language/schema/raw/master/csl-citation.json"} </w:instrText>
      </w:r>
      <w:r w:rsidRPr="00837161">
        <w:fldChar w:fldCharType="separate"/>
      </w:r>
      <w:r w:rsidR="00271B78" w:rsidRPr="00271B78">
        <w:t>(Duda et al., 2018)</w:t>
      </w:r>
      <w:r w:rsidRPr="00837161">
        <w:fldChar w:fldCharType="end"/>
      </w:r>
      <w:r w:rsidRPr="00837161">
        <w:rPr>
          <w:lang w:eastAsia="ja-JP"/>
        </w:rPr>
        <w:t>.</w:t>
      </w:r>
      <w:r w:rsidRPr="00837161">
        <w:rPr>
          <w:rFonts w:eastAsia="Calibri"/>
        </w:rPr>
        <w:t xml:space="preserve"> </w:t>
      </w:r>
      <w:r w:rsidR="005D3B30" w:rsidRPr="00837161">
        <w:rPr>
          <w:rFonts w:eastAsia="Calibri"/>
        </w:rPr>
        <w:t>Sensor networks</w:t>
      </w:r>
      <w:r w:rsidRPr="00837161">
        <w:rPr>
          <w:rFonts w:eastAsia="Calibri"/>
        </w:rPr>
        <w:t xml:space="preserve"> can be deployed in tracking invasive alien species movement and activities, invasive </w:t>
      </w:r>
      <w:r w:rsidR="002C3FAB" w:rsidRPr="00837161">
        <w:rPr>
          <w:rFonts w:eastAsia="Times New Roman"/>
        </w:rPr>
        <w:t xml:space="preserve">alien </w:t>
      </w:r>
      <w:r w:rsidRPr="00837161">
        <w:rPr>
          <w:rFonts w:eastAsia="Calibri"/>
        </w:rPr>
        <w:t>species in lakes, rivers, or reefs, as well as on birds, flying foxes or similar</w:t>
      </w:r>
      <w:r w:rsidR="006840CC" w:rsidRPr="00837161">
        <w:rPr>
          <w:lang w:eastAsia="ja-JP"/>
        </w:rPr>
        <w:t xml:space="preserve"> </w:t>
      </w:r>
      <w:r w:rsidRPr="00837161">
        <w:fldChar w:fldCharType="begin"/>
      </w:r>
      <w:r w:rsidR="000F35EB">
        <w:instrText xml:space="preserve"> ADDIN ZOTERO_ITEM CSL_CITATION {"citationID":"jU6TwWG8","properties":{"formattedCitation":"(Jurdak et al., 2013; K. Li et al., 2014)","plainCitation":"(Jurdak et al., 2013; K. Li et al., 2014)","noteIndex":0},"citationItems":[{"id":10181,"uris":["http://zotero.org/groups/2352922/items/HJIJIWTM"],"itemData":{"id":10181,"type":"paper-conference","abstract":"Long-term outdoor localisation with battery-powered devices remains an unsolved challenge, mainly due to the high energy consumption of GPS modules. The use of inertial sensors and short-range radio can reduce reliance on GPS to prolong the operational lifetime of tracking devices, but they only provide coarse-grained control over GPS activity. In this paper, we introduce our feature-rich lightweight Camazotz platform as an enabler of Multimodal Activity-based Localisation~(MAL), which detects activities of interest by combining multiple sensor streams for fine-grained control of GPS sampling times. Using the case study of long-term flying fox tracking, we characterise the tracking, connectivity, energy, and activity recognition performance of our module under both static and 3-D mobile scenarios. We use Camazotz to collect empirical flying fox data and illustrate the utility of individual and composite sensor modalities in classifying activity. We evaluate MAL for flying foxes through simulations based on retrospective empirical data. The results show that multimodal activity-based localisation reduces the power consumption over periodic GPS and single sensor-triggered GPS by up to 77% and 14% respectively, and provides a richer event type dissociation for fine-grained control of GPS sampling.","collection-title":"IPSN '13","container-title":"Proceedings of the 12th international conference on Information processing in sensor networks","DOI":"10.1145/2461381.2461393","event-place":"New York, NY, USA","ISBN":"978-1-4503-1959-1","page":"67–78","publisher":"Association for Computing Machinery","publisher-place":"New York, NY, USA","source":"ACM Digital Library","title":"Camazotz: multimodal activity-based GPS sampling","title-short":"Camazotz","URL":"https://doi.org/10.1145/2461381.2461393","author":[{"family":"Jurdak","given":"Raja"},{"family":"Sommer","given":"Philipp"},{"family":"Kusy","given":"Branislav"},{"family":"Kottege","given":"Navinda"},{"family":"Crossman","given":"Christopher"},{"family":"Mckeown","given":"Adam"},{"family":"Westcott","given":"David"}],"accessed":{"date-parts":[["2021",10,26]]},"issued":{"date-parts":[["2013",4,8]]}},"label":"page"},{"id":10182,"uris":["http://zotero.org/groups/2352922/items/3PDXZSEC"],"itemData":{"id":10182,"type":"paper-conference","abstract":"We consider the problem of data collection from a continental-scale network of mobile sensors, specifically applied to wildlife tracking. Our application constraints favor a highly asymmetric solution, with heavily duty-cycled sensor nodes communicating with a network of powered base stations. Individual nodes move freely in the environment, resulting in low-quality radio links and hot-spot arrival patterns with the available data exceeding the radio link capacity. We propose a novel scheduling algorithm, κ-Fair Scheduling Optimization Model (κ-FSOM), that maximizes the amount of collected data under the constraints of radio link quality and energy, while ensuring a fair access to the radio channel. We show the problem is NP-complete and propose a heuristic to approximate the optimal scheduling solution in polynomial time. We use empirical link quality data to evaluate the κ-FSOM heuristic in a realistic setting and compare its performance to other heuristics. We show that κ-FSOM heuristic achieves high data reception rates, under different fairness and node lifetime constraints.","collection-title":"Lecture Notes in Computer Science","container-title":"Wireless Sensor Networks","DOI":"10.1007/978-3-319-04651-8_2","event-place":"Cham","ISBN":"978-3-319-04651-8","language":"en","page":"17-33","publisher":"Springer International Publishing","publisher-place":"Cham","source":"Springer Link","title":"κ-FSOM: Fair Link Scheduling Optimization for Energy-Aware Data Collection in Mobile Sensor Networks","title-short":"κ-FSOM","volume":"8354","author":[{"family":"Li","given":"Kai"},{"family":"Kusy","given":"Branislav"},{"family":"Jurdak","given":"Raja"},{"family":"Ignjatovic","given":"Aleksandar"},{"family":"Kanhere","given":"Salil S."},{"family":"Jha","given":"Sanjay"}],"editor":[{"family":"Krishnamachari","given":"Bhaskar"},{"family":"Murphy","given":"Amy L."},{"family":"Trigoni","given":"Niki"}],"issued":{"date-parts":[["2014"]]}},"label":"page"}],"schema":"https://github.com/citation-style-language/schema/raw/master/csl-citation.json"} </w:instrText>
      </w:r>
      <w:r w:rsidRPr="00837161">
        <w:fldChar w:fldCharType="separate"/>
      </w:r>
      <w:r w:rsidR="00271B78" w:rsidRPr="00271B78">
        <w:t>(Jurdak et al., 2013; K. Li et al., 2014)</w:t>
      </w:r>
      <w:r w:rsidRPr="00837161">
        <w:fldChar w:fldCharType="end"/>
      </w:r>
      <w:r w:rsidRPr="00837161">
        <w:rPr>
          <w:rFonts w:eastAsia="Calibri"/>
        </w:rPr>
        <w:t>.</w:t>
      </w:r>
      <w:r w:rsidRPr="00837161">
        <w:t xml:space="preserve"> Networked mobile suction traps or smart lure traps can also be </w:t>
      </w:r>
      <w:r w:rsidRPr="00837161">
        <w:rPr>
          <w:rFonts w:eastAsia="Times New Roman"/>
          <w:lang w:eastAsia="en-AU"/>
        </w:rPr>
        <w:t>cost</w:t>
      </w:r>
      <w:r w:rsidR="0072363E">
        <w:rPr>
          <w:rFonts w:eastAsia="Times New Roman"/>
          <w:lang w:eastAsia="en-AU"/>
        </w:rPr>
        <w:t>-</w:t>
      </w:r>
      <w:r w:rsidRPr="00837161">
        <w:rPr>
          <w:rFonts w:eastAsia="Times New Roman"/>
          <w:lang w:eastAsia="en-AU"/>
        </w:rPr>
        <w:t>effective and be used at high</w:t>
      </w:r>
      <w:r w:rsidR="7B5CEE5D" w:rsidRPr="00837161">
        <w:rPr>
          <w:rFonts w:eastAsia="Times New Roman"/>
          <w:lang w:eastAsia="en-AU"/>
        </w:rPr>
        <w:t>-</w:t>
      </w:r>
      <w:r w:rsidRPr="00837161">
        <w:rPr>
          <w:rFonts w:eastAsia="Times New Roman"/>
          <w:lang w:eastAsia="en-AU"/>
        </w:rPr>
        <w:t xml:space="preserve"> risk sites </w:t>
      </w:r>
      <w:r w:rsidR="008949EB">
        <w:rPr>
          <w:rFonts w:eastAsia="Times New Roman"/>
          <w:lang w:eastAsia="en-AU"/>
        </w:rPr>
        <w:t>such as</w:t>
      </w:r>
      <w:r w:rsidRPr="00837161">
        <w:rPr>
          <w:rFonts w:eastAsia="Times New Roman"/>
          <w:lang w:eastAsia="en-AU"/>
        </w:rPr>
        <w:t xml:space="preserve"> ports of entry or at jurisdictional borders to monitor pest movement pathways</w:t>
      </w:r>
      <w:r w:rsidR="006855B2" w:rsidRPr="00837161">
        <w:rPr>
          <w:rFonts w:eastAsia="Times New Roman"/>
          <w:lang w:eastAsia="en-AU"/>
        </w:rPr>
        <w:t xml:space="preserve"> </w:t>
      </w:r>
      <w:r w:rsidR="0001490E" w:rsidRPr="00837161">
        <w:rPr>
          <w:rFonts w:eastAsia="Times New Roman"/>
          <w:lang w:eastAsia="en-AU"/>
        </w:rPr>
        <w:fldChar w:fldCharType="begin"/>
      </w:r>
      <w:r w:rsidR="000F35EB">
        <w:rPr>
          <w:rFonts w:eastAsia="Times New Roman"/>
          <w:lang w:eastAsia="en-AU"/>
        </w:rPr>
        <w:instrText xml:space="preserve"> ADDIN ZOTERO_ITEM CSL_CITATION {"citationID":"X0u5mfYk","properties":{"formattedCitation":"(Harrington et al., 2012)","plainCitation":"(Harrington et al., 2012)","noteIndex":0},"citationItems":[{"id":53326,"uris":["http://zotero.org/groups/2352922/items/765VKW2F"],"itemData":{"id":53326,"type":"article-journal","container-title":"Aspects of Applied Biology","ISSN":"02651491","issue":"117","note":"ISBN: 0265-1491\npublisher: Association of Applied Biologists","page":"157-164","title":"The Rothamsted Insect Survey: old traps, new tricks.","URL":"https://repository.rothamsted.ac.uk/item/8qv68/the-rothamsted-insect-survey-old-traps-new-tricks","author":[{"family":"Harrington","given":"R. A."},{"family":"Taylor","given":"M. S."},{"family":"Shortall","given":"C. R."},{"family":"Alderson","given":"L."},{"family":"Mallott","given":"M."},{"family":"Verrier","given":"P. J."}],"issued":{"date-parts":[["2012"]]}},"label":"page"}],"schema":"https://github.com/citation-style-language/schema/raw/master/csl-citation.json"} </w:instrText>
      </w:r>
      <w:r w:rsidR="0001490E" w:rsidRPr="00837161">
        <w:rPr>
          <w:rFonts w:eastAsia="Times New Roman"/>
          <w:lang w:eastAsia="en-AU"/>
        </w:rPr>
        <w:fldChar w:fldCharType="separate"/>
      </w:r>
      <w:r w:rsidR="00271B78" w:rsidRPr="00271B78">
        <w:t>(Harrington et al., 2012)</w:t>
      </w:r>
      <w:r w:rsidR="0001490E" w:rsidRPr="00837161">
        <w:rPr>
          <w:rFonts w:eastAsia="Times New Roman"/>
          <w:lang w:eastAsia="en-AU"/>
        </w:rPr>
        <w:fldChar w:fldCharType="end"/>
      </w:r>
      <w:r w:rsidRPr="00837161">
        <w:rPr>
          <w:rFonts w:eastAsia="Times New Roman"/>
          <w:lang w:eastAsia="en-AU"/>
        </w:rPr>
        <w:t xml:space="preserve">. Trap contents </w:t>
      </w:r>
      <w:r w:rsidR="00540964" w:rsidRPr="00837161">
        <w:rPr>
          <w:rFonts w:eastAsia="Times New Roman"/>
          <w:lang w:eastAsia="en-AU"/>
        </w:rPr>
        <w:t xml:space="preserve">can </w:t>
      </w:r>
      <w:r w:rsidR="001318CF" w:rsidRPr="00837161">
        <w:rPr>
          <w:rFonts w:eastAsia="Times New Roman"/>
          <w:lang w:eastAsia="en-AU"/>
        </w:rPr>
        <w:t>potential</w:t>
      </w:r>
      <w:r w:rsidR="22079993" w:rsidRPr="00837161">
        <w:rPr>
          <w:rFonts w:eastAsia="Times New Roman"/>
          <w:lang w:eastAsia="en-AU"/>
        </w:rPr>
        <w:t xml:space="preserve">ly </w:t>
      </w:r>
      <w:r w:rsidR="00540964" w:rsidRPr="00837161">
        <w:rPr>
          <w:rFonts w:eastAsia="Times New Roman"/>
          <w:lang w:eastAsia="en-AU"/>
        </w:rPr>
        <w:t xml:space="preserve">be </w:t>
      </w:r>
      <w:r w:rsidRPr="00837161">
        <w:rPr>
          <w:rFonts w:eastAsia="Times New Roman"/>
          <w:lang w:eastAsia="en-AU"/>
        </w:rPr>
        <w:t xml:space="preserve">analysed via metabarcoding </w:t>
      </w:r>
      <w:r w:rsidR="00885F5C" w:rsidRPr="00837161">
        <w:rPr>
          <w:rFonts w:eastAsia="Times New Roman"/>
          <w:lang w:eastAsia="en-AU"/>
        </w:rPr>
        <w:t>enviro</w:t>
      </w:r>
      <w:r w:rsidR="002B59EA">
        <w:rPr>
          <w:rFonts w:eastAsia="Times New Roman"/>
          <w:lang w:eastAsia="en-AU"/>
        </w:rPr>
        <w:t>n</w:t>
      </w:r>
      <w:r w:rsidR="00885F5C" w:rsidRPr="00837161">
        <w:rPr>
          <w:rFonts w:eastAsia="Times New Roman"/>
          <w:lang w:eastAsia="en-AU"/>
        </w:rPr>
        <w:t xml:space="preserve">mental </w:t>
      </w:r>
      <w:r w:rsidRPr="00837161">
        <w:rPr>
          <w:rFonts w:eastAsia="Times New Roman"/>
          <w:lang w:eastAsia="en-AU"/>
        </w:rPr>
        <w:t>DNA</w:t>
      </w:r>
      <w:r w:rsidR="000946D9" w:rsidRPr="00837161">
        <w:rPr>
          <w:rFonts w:eastAsia="Times New Roman"/>
          <w:lang w:eastAsia="en-AU"/>
        </w:rPr>
        <w:t xml:space="preserve"> </w:t>
      </w:r>
      <w:r w:rsidRPr="00837161">
        <w:fldChar w:fldCharType="begin"/>
      </w:r>
      <w:r w:rsidR="000F35EB">
        <w:instrText xml:space="preserve"> ADDIN ZOTERO_ITEM CSL_CITATION {"citationID":"vxQNjbWY","properties":{"formattedCitation":"(Lagos-Kutz et al., 2020)","plainCitation":"(Lagos-Kutz et al., 2020)","dontUpdate":true,"noteIndex":0},"citationItems":[{"id":10180,"uris":["http://zotero.org/groups/2352922/items/RLBECEKI"],"itemData":{"id":10180,"type":"article-journal","abstract":"The initiation of the soybean aphid suction trap network (STN) in 2001 marked the beginning of a rich and fruitful collaborative effort that has produced a wealth of data about the soybean aphid, other insect species, and other organisms that make up the aerobiological “soup.” Collaboration among researchers, extension specialists, and agriculturalists has provided information about seasonal migration patterns of the soybean aphid and monitoring of other insect species. The physical collections of the “soup” have been stored and used for past research, and will serve as a foundation for future research.","container-title":"American Entomologist","DOI":"10.1093/ae/tmaa009","ISSN":"1046-2821","issue":"1","journalAbbreviation":"American Entomologist","page":"48-55","source":"Silverchair","title":"The Soybean Aphid Suction Trap Network: Sampling the Aerobiological “Soup”","title-short":"The Soybean Aphid Suction Trap Network","URL":"https://doi.org/10.1093/ae/tmaa009","volume":"66","author":[{"family":"Lagos-Kutz","given":"Doris"},{"family":"Voegtlin","given":"David J"},{"family":"Onstad","given":"David"},{"family":"Hogg","given":"David"},{"family":"Ragsdale","given":"David"},{"family":"Tilmon","given":"Kelley"},{"family":"Hodgson","given":"Erin"},{"family":"Difonzo","given":"Christina"},{"family":"Groves","given":"Russell"},{"family":"Krupke","given":"Christian"},{"family":"Laforest","given":"Joseph"},{"family":"Seiter","given":"Nicholas J"},{"family":"Duerr","given":"Emily"},{"family":"Bradford","given":"Benjamin"},{"family":"Hartman","given":"Glen L"}],"accessed":{"date-parts":[["2021",10,27]]},"issued":{"date-parts":[["2020",3,12]]}},"label":"page"}],"schema":"https://github.com/citation-style-language/schema/raw/master/csl-citation.json"} </w:instrText>
      </w:r>
      <w:r w:rsidRPr="00837161">
        <w:fldChar w:fldCharType="separate"/>
      </w:r>
      <w:r w:rsidR="0030231B" w:rsidRPr="00837161">
        <w:t>(Lagos-Kutz et al., 2020</w:t>
      </w:r>
      <w:r w:rsidRPr="00837161">
        <w:fldChar w:fldCharType="end"/>
      </w:r>
      <w:r w:rsidR="0001490E" w:rsidRPr="00837161">
        <w:t>;</w:t>
      </w:r>
      <w:r w:rsidR="006A244B" w:rsidRPr="00837161">
        <w:rPr>
          <w:rFonts w:eastAsia="Times New Roman"/>
          <w:lang w:eastAsia="en-AU"/>
        </w:rPr>
        <w:t xml:space="preserve"> </w:t>
      </w:r>
      <w:r w:rsidR="002D3C4A" w:rsidRPr="00B52DF2">
        <w:rPr>
          <w:rFonts w:eastAsia="Times New Roman"/>
          <w:b/>
          <w:iCs/>
          <w:lang w:eastAsia="en-AU"/>
        </w:rPr>
        <w:t>s</w:t>
      </w:r>
      <w:r w:rsidR="000946D9" w:rsidRPr="00B52DF2">
        <w:rPr>
          <w:rFonts w:eastAsia="Times New Roman"/>
          <w:b/>
          <w:iCs/>
          <w:lang w:eastAsia="en-AU"/>
        </w:rPr>
        <w:t>ection</w:t>
      </w:r>
      <w:r w:rsidR="00C177B9" w:rsidRPr="00B52DF2">
        <w:rPr>
          <w:b/>
          <w:iCs/>
        </w:rPr>
        <w:t xml:space="preserve"> </w:t>
      </w:r>
      <w:r w:rsidR="00934870" w:rsidRPr="00B52DF2">
        <w:rPr>
          <w:b/>
          <w:iCs/>
        </w:rPr>
        <w:t>5.4.</w:t>
      </w:r>
      <w:r w:rsidR="00826797" w:rsidRPr="00B52DF2">
        <w:rPr>
          <w:b/>
          <w:iCs/>
        </w:rPr>
        <w:t>2.2h</w:t>
      </w:r>
      <w:r w:rsidR="00F2396D" w:rsidRPr="00B52DF2">
        <w:rPr>
          <w:iCs/>
        </w:rPr>
        <w:t>;</w:t>
      </w:r>
      <w:r w:rsidR="00F2396D" w:rsidRPr="00B52DF2">
        <w:rPr>
          <w:b/>
          <w:iCs/>
        </w:rPr>
        <w:t xml:space="preserve"> </w:t>
      </w:r>
      <w:r w:rsidR="00B52DF2">
        <w:rPr>
          <w:b/>
          <w:iCs/>
        </w:rPr>
        <w:t>G</w:t>
      </w:r>
      <w:r w:rsidR="00F2396D" w:rsidRPr="00B52DF2">
        <w:rPr>
          <w:b/>
          <w:iCs/>
        </w:rPr>
        <w:t>lossary</w:t>
      </w:r>
      <w:r w:rsidR="00C177B9" w:rsidRPr="00837161">
        <w:rPr>
          <w:rFonts w:eastAsia="Times New Roman"/>
          <w:lang w:eastAsia="en-AU"/>
        </w:rPr>
        <w:t>)</w:t>
      </w:r>
      <w:r w:rsidRPr="00837161">
        <w:rPr>
          <w:rFonts w:eastAsia="Times New Roman"/>
          <w:lang w:eastAsia="en-AU"/>
        </w:rPr>
        <w:t>.</w:t>
      </w:r>
    </w:p>
    <w:p w14:paraId="50D808E8" w14:textId="33F9F269" w:rsidR="001B0409" w:rsidRPr="00837161" w:rsidRDefault="001B0409" w:rsidP="00C11DFA">
      <w:pPr>
        <w:spacing w:before="240" w:after="120" w:line="240" w:lineRule="auto"/>
      </w:pPr>
      <w:r w:rsidRPr="00837161">
        <w:t xml:space="preserve">Over the past decades, wireless sensor networks (including lightweight telemetric tags) have been deployed successfully in a number of invasive alien species contexts reviewed by </w:t>
      </w:r>
      <w:r w:rsidRPr="00837161">
        <w:fldChar w:fldCharType="begin"/>
      </w:r>
      <w:r w:rsidR="00115E42">
        <w:instrText xml:space="preserve"> ADDIN ZOTERO_ITEM CSL_CITATION {"citationID":"NnuMtclY","properties":{"formattedCitation":"(Jurdak et al., 2015)","plainCitation":"(Jurdak et al., 2015)","dontUpdate":true,"noteIndex":0},"citationItems":[{"id":29769,"uris":["http://zotero.org/groups/2352922/items/6CJENS8D"],"itemData":{"id":29769,"type":"article-journal","abstract":"The global movement of people and goods has increased the risk of biosecurity threats and their potential to incur large economic, social, and environmental costs. Conventional manual biosecurity surveillance methods are limited by their scalability in space and time. This article focuses on autonomous surveillance systems, comprising sensor networks, robots, and intelligent algorithms, and their applicability to biosecurity threats. We discuss the spatial and temporal attributes of autonomous surveillance technologies and map them to three broad categories of biosecurity threat: (i) vector-borne diseases; (ii) plant pests; and (iii) aquatic pests. Our discussion reveals a broad range of opportunities to serve biosecurity needs through autonomous surveillance.","container-title":"Trends in Biotechnology","DOI":"10.1016/j.tibtech.2015.01.003","ISSN":"0167-7799","issue":"4","journalAbbreviation":"Trends in Biotechnology","language":"en","page":"201-207","source":"ScienceDirect","title":"Autonomous surveillance for biosecurity","URL":"http://www.sciencedirect.com/science/article/pii/S0167779915000190","volume":"33","author":[{"family":"Jurdak","given":"Raja"},{"family":"Elfes","given":"Alberto"},{"family":"Kusy","given":"Branislav"},{"family":"Tews","given":"Ashley"},{"family":"Hu","given":"Wen"},{"family":"Hernandez","given":"Emili"},{"family":"Kottege","given":"Navinda"},{"family":"Sikka","given":"Pavan"}],"accessed":{"date-parts":[["2019",12,9]]},"issued":{"date-parts":[["2015",4,1]]}},"label":"page"}],"schema":"https://github.com/citation-style-language/schema/raw/master/csl-citation.json"} </w:instrText>
      </w:r>
      <w:r w:rsidRPr="00837161">
        <w:fldChar w:fldCharType="separate"/>
      </w:r>
      <w:r w:rsidR="00271B78" w:rsidRPr="00271B78">
        <w:t>Jurdak et al.</w:t>
      </w:r>
      <w:r w:rsidR="0072363E">
        <w:t xml:space="preserve"> (</w:t>
      </w:r>
      <w:r w:rsidR="00271B78" w:rsidRPr="00271B78">
        <w:t>2015)</w:t>
      </w:r>
      <w:r w:rsidRPr="00837161">
        <w:fldChar w:fldCharType="end"/>
      </w:r>
      <w:r w:rsidRPr="00837161">
        <w:t xml:space="preserve">, including to detect </w:t>
      </w:r>
      <w:r w:rsidRPr="00837161">
        <w:rPr>
          <w:rFonts w:eastAsia="Calibri"/>
        </w:rPr>
        <w:t xml:space="preserve">insect pests </w:t>
      </w:r>
      <w:r w:rsidRPr="00837161">
        <w:rPr>
          <w:rFonts w:eastAsia="Calibri"/>
        </w:rPr>
        <w:fldChar w:fldCharType="begin"/>
      </w:r>
      <w:r w:rsidR="000F35EB">
        <w:rPr>
          <w:rFonts w:eastAsia="Calibri"/>
        </w:rPr>
        <w:instrText xml:space="preserve"> ADDIN ZOTERO_ITEM CSL_CITATION {"citationID":"gy8XYJhO","properties":{"formattedCitation":"(L\\uc0\\u243{}pez et al., 2012)","plainCitation":"(López et al., 2012)","noteIndex":0},"citationItems":[{"id":17226,"uris":["http://zotero.org/groups/2352922/items/CR32JC8Q"],"itemData":{"id":17226,"type":"article-journal","abstract":"Monitoring pest insect populations is currently a key issue in agriculture and forestry protection. At the farm level, human operators typically must perform periodical surveys of the traps disseminated through the field. This is a labor-, time- and cost-consuming activity, in particular for large plantations or large forestry areas, so it would be of great advantage to have an affordable system capable of doing this task automatically in an accurate and a more efficient way. This paper proposes an autonomous monitoring system based on a low-cost image sensor that it is able to capture and send images of the trap contents to a remote control station with the periodicity demanded by the trapping application. Our autonomous monitoring system will be able to cover large areas with very low energy consumption. This issue would be the main key point in our study; since the operational live of the overall monitoring system should be extended to months of continuous operation without any kind of maintenance (i.e., battery replacement). The images delivered by image sensors would be time-stamped and processed in the control station to get the number of individuals found at each trap. All the information would be conveniently stored at the control station, and accessible via Internet by means of available network services at control station (WiFi, WiMax, 3G/4G, etc.).","container-title":"Sensors","DOI":"10.3390/s121115801","issue":"11","language":"en","license":"http://creativecommons.org/licenses/by/3.0/","page":"15801-15819","source":"www.mdpi.com","title":"Monitoring Pest Insect Traps by Means of Low-Power Image Sensor Technologies","URL":"https://www.mdpi.com/1424-8220/12/11/15801","volume":"12","author":[{"family":"López","given":"Otoniel"},{"family":"Rach","given":"Miguel Martinez"},{"family":"Migallon","given":"Hector"},{"family":"Malumbres","given":"Manuel P."},{"family":"Bonastre","given":"Alberto"},{"family":"Serrano","given":"Juan J."}],"accessed":{"date-parts":[["2019",12,9]]},"issued":{"date-parts":[["2012",11]]}},"label":"page"}],"schema":"https://github.com/citation-style-language/schema/raw/master/csl-citation.json"} </w:instrText>
      </w:r>
      <w:r w:rsidRPr="00837161">
        <w:rPr>
          <w:rFonts w:eastAsia="Calibri"/>
        </w:rPr>
        <w:fldChar w:fldCharType="separate"/>
      </w:r>
      <w:r w:rsidR="00271B78" w:rsidRPr="00271B78">
        <w:t>(López et al., 2012)</w:t>
      </w:r>
      <w:r w:rsidRPr="00837161">
        <w:rPr>
          <w:rFonts w:eastAsia="Calibri"/>
        </w:rPr>
        <w:fldChar w:fldCharType="end"/>
      </w:r>
      <w:r w:rsidRPr="00837161">
        <w:rPr>
          <w:rFonts w:eastAsia="Calibri"/>
        </w:rPr>
        <w:t xml:space="preserve">, invasive alien vertebrates </w:t>
      </w:r>
      <w:r w:rsidRPr="00837161">
        <w:rPr>
          <w:rFonts w:eastAsia="Calibri"/>
        </w:rPr>
        <w:fldChar w:fldCharType="begin"/>
      </w:r>
      <w:r w:rsidR="000F35EB">
        <w:rPr>
          <w:rFonts w:eastAsia="Calibri"/>
        </w:rPr>
        <w:instrText xml:space="preserve"> ADDIN ZOTERO_ITEM CSL_CITATION {"citationID":"oGrGv1XH","properties":{"formattedCitation":"(Fleming et al., 2014)","plainCitation":"(Fleming et al., 2014)","noteIndex":0},"citationItems":[{"id":25120,"uris":["http://zotero.org/groups/2352922/items/U44YRP47"],"itemData":{"id":25120,"type":"chapter","container-title":"Carnivores of Australia: Past, Present and Future","event-place":"Collinwood, Australia","ISBN":"978-0-643-10310-8","page":"105-149","publisher":"CSIRO","publisher-place":"Collinwood, Australia","title":"Management of wild canids in Australia: free-ranging dogs and red foxes","URL":"https://scholar.google.com.au/scholar?hl=en&amp;as_sdt=0%2C5&amp;q=Management+of+wild+canids+in+Australia%3A+free-ranging+dogs+and+red+foxes.&amp;btnG=","author":[{"family":"Fleming","given":"Peter J. S."},{"family":"Allen","given":"Ben L."},{"family":"Allen","given":"Lee R."},{"family":"Ballard","given":"Guy-Anthony"},{"family":"Bengsen","given":"Andrew"},{"family":"Gentle","given":"Matt N."},{"family":"McLeod","given":"Lynette J."},{"family":"Meek","given":"Paul D."},{"family":"Saunders","given":"Glen R."}],"editor":[{"family":"Glen","given":"A. S."},{"family":"Dickman","given":"C. R."}],"accessed":{"date-parts":[["2020",8,20]]},"issued":{"date-parts":[["2014"]]}},"label":"page"}],"schema":"https://github.com/citation-style-language/schema/raw/master/csl-citation.json"} </w:instrText>
      </w:r>
      <w:r w:rsidRPr="00837161">
        <w:rPr>
          <w:rFonts w:eastAsia="Calibri"/>
        </w:rPr>
        <w:fldChar w:fldCharType="separate"/>
      </w:r>
      <w:r w:rsidR="00271B78" w:rsidRPr="00271B78">
        <w:t>(Fleming et al., 2014)</w:t>
      </w:r>
      <w:r w:rsidRPr="00837161">
        <w:rPr>
          <w:rFonts w:eastAsia="Calibri"/>
        </w:rPr>
        <w:fldChar w:fldCharType="end"/>
      </w:r>
      <w:r w:rsidRPr="00837161">
        <w:rPr>
          <w:rFonts w:eastAsia="Calibri"/>
        </w:rPr>
        <w:t xml:space="preserve">, invasive frogs </w:t>
      </w:r>
      <w:r w:rsidRPr="00837161">
        <w:rPr>
          <w:rFonts w:eastAsia="Calibri"/>
        </w:rPr>
        <w:fldChar w:fldCharType="begin"/>
      </w:r>
      <w:r w:rsidR="000F35EB">
        <w:rPr>
          <w:rFonts w:eastAsia="Calibri"/>
        </w:rPr>
        <w:instrText xml:space="preserve"> ADDIN ZOTERO_ITEM CSL_CITATION {"citationID":"xFHR9sJq","properties":{"formattedCitation":"(Hu et al., 2009)","plainCitation":"(Hu et al., 2009)","noteIndex":0},"citationItems":[{"id":29755,"uris":["http://zotero.org/groups/2352922/items/5SY7E27Y"],"itemData":{"id":29755,"type":"article-journal","abstract":"This article investigates a wireless acoustic sensor network application—monitoring amphibian populations in the monsoonal woodlands of northern Australia. Our goal is to use automatic recognition of animal vocalizations to census the populations of native frogs and the invasive introduced species, the cane toad. This is a challenging application because it requires high frequency acoustic sampling, complex signal processing, wide area sensing coverage and long-lived unattended operation. We set up two prototypes of wireless sensor networks that recognize vocalizations of up to ninth frog species found in northern Australia. Our first prototype consists of only resource-rich Stargate devices. Our second prototype is more complex and consists of a hybrid mixture of Stargates and inexpensive, resource-poor Mica2 devices operating in concert. In the hybrid system, the Mica2s are used to collect acoustic samples, and expand the sensor network coverage. The Stargates are used for resource-intensive tasks such as fast Fourier transforms (FFTs) and machine learning. The hybrid system incorporates four algorithms designed to account for the sampling, processing, energy, and communication bottlenecks of the Mica2s (1) high frequency sampling, (2) thresholding and noise reduction, to reduce data transmission by up to 90%, (3) sampling scheduling, which exploits the sensor network redundancy to increase the effective sample processing rate, and (4) harvesting-aware energy management, which exploits sensor energy harvesting capabilities to extend the system lifetime. Our evaluation shows the performance of our systems over a range of scenarios, and demonstrate that the feasibility and benefits of a hybrid systems approach justify the additional system complexity.","container-title":"ACM Transactions on Sensor Networks","DOI":"10.1145/1464420.1464424","ISSN":"1550-4859","issue":"1","journalAbbreviation":"ACM Trans. Sen. Netw.","page":"4:1–4:28","source":"February 2009","title":"Design and evaluation of a hybrid sensor network for cane toad monitoring","URL":"https://doi.org/10.1145/1464420.1464424","volume":"5","author":[{"family":"Hu","given":"Wen"},{"family":"Bulusu","given":"Nirupama"},{"family":"Chou","given":"Chun Tung"},{"family":"Jha","given":"Sanjay"},{"family":"Taylor","given":"Andrew"},{"family":"Tran","given":"Van Nghia"}],"accessed":{"date-parts":[["2021",8,4]]},"issued":{"date-parts":[["2009",2,11]]}},"label":"page"}],"schema":"https://github.com/citation-style-language/schema/raw/master/csl-citation.json"} </w:instrText>
      </w:r>
      <w:r w:rsidRPr="00837161">
        <w:rPr>
          <w:rFonts w:eastAsia="Calibri"/>
        </w:rPr>
        <w:fldChar w:fldCharType="separate"/>
      </w:r>
      <w:r w:rsidR="00271B78" w:rsidRPr="00271B78">
        <w:t>(Hu et al., 2009)</w:t>
      </w:r>
      <w:r w:rsidRPr="00837161">
        <w:rPr>
          <w:rFonts w:eastAsia="Calibri"/>
        </w:rPr>
        <w:fldChar w:fldCharType="end"/>
      </w:r>
      <w:r w:rsidRPr="00837161">
        <w:rPr>
          <w:rFonts w:eastAsia="Calibri"/>
        </w:rPr>
        <w:t xml:space="preserve">, fish </w:t>
      </w:r>
      <w:r w:rsidRPr="00837161">
        <w:rPr>
          <w:rFonts w:eastAsia="Calibri"/>
        </w:rPr>
        <w:fldChar w:fldCharType="begin"/>
      </w:r>
      <w:r w:rsidR="000F35EB">
        <w:rPr>
          <w:rFonts w:eastAsia="Calibri"/>
        </w:rPr>
        <w:instrText xml:space="preserve"> ADDIN ZOTERO_ITEM CSL_CITATION {"citationID":"M1k2Lxgq","properties":{"formattedCitation":"(Jurdak et al., 2015; Kottege et al., 2012)","plainCitation":"(Jurdak et al., 2015; Kottege et al., 2012)","noteIndex":0},"citationItems":[{"id":29769,"uris":["http://zotero.org/groups/2352922/items/6CJENS8D"],"itemData":{"id":29769,"type":"article-journal","abstract":"The global movement of people and goods has increased the risk of biosecurity threats and their potential to incur large economic, social, and environmental costs. Conventional manual biosecurity surveillance methods are limited by their scalability in space and time. This article focuses on autonomous surveillance systems, comprising sensor networks, robots, and intelligent algorithms, and their applicability to biosecurity threats. We discuss the spatial and temporal attributes of autonomous surveillance technologies and map them to three broad categories of biosecurity threat: (i) vector-borne diseases; (ii) plant pests; and (iii) aquatic pests. Our discussion reveals a broad range of opportunities to serve biosecurity needs through autonomous surveillance.","container-title":"Trends in Biotechnology","DOI":"10.1016/j.tibtech.2015.01.003","ISSN":"0167-7799","issue":"4","journalAbbreviation":"Trends in Biotechnology","language":"en","page":"201-207","source":"ScienceDirect","title":"Autonomous surveillance for biosecurity","URL":"http://www.sciencedirect.com/science/article/pii/S0167779915000190","volume":"33","author":[{"family":"Jurdak","given":"Raja"},{"family":"Elfes","given":"Alberto"},{"family":"Kusy","given":"Branislav"},{"family":"Tews","given":"Ashley"},{"family":"Hu","given":"Wen"},{"family":"Hernandez","given":"Emili"},{"family":"Kottege","given":"Navinda"},{"family":"Sikka","given":"Pavan"}],"accessed":{"date-parts":[["2019",12,9]]},"issued":{"date-parts":[["2015",4,1]]}},"label":"page"},{"id":29762,"uris":["http://zotero.org/groups/2352922/items/BKUATI7F"],"itemData":{"id":29762,"type":"paper-conference","abstract":"Large scale freshwater monitoring networks can passively capture sound for species detection or classification. The sheer volume of acoustic recordings in such systems requires in-network classification. Most of the recent work on bio-acoustic in-network classification targets narrowband or short-durations signals, which renders it unsuitable for classifying species that emit broadband short-duration signals. This paper proposes a method for broadband sound based classification for large scale aquatic monitoring networks. The method is based on the extraction of a small set of spectral and temporal features. We collect empirical fish sounds, using the case study of the spotted tilapia (Tilapia mariae) which is an invasive freshwater fish species in Australia, and extract spectral and temporal features with our method. We then evaluate the classification accuracy and precision of these features for detecting tilapia sounds against the performance of existing narrowband sound features. The results show that using logistic regression with our limited feature set yields the best performance. Surprisingly, performance slightly improves when we downsample the signal from 44.1 to 16 kHz, indicating that our method is well-suited for classification on embedded devices. We quantify the computational benefits of our approach for enabling broader long-term in-situ species tracking in underwater environments.","collection-title":"WUWNet '12","container-title":"Proceedings of the Seventh ACM International Conference on Underwater Networks and Systems","DOI":"10.1145/2398936.2398961","event-place":"New York, NY, USA","ISBN":"978-1-4503-1773-3","note":"event-place: Los Angeles, California","page":"19:1–19:8","publisher":"ACM","publisher-place":"New York, NY, USA","source":"ACM Digital Library","title":"Classification of Underwater Broadband Bio-acoustics Using Spectro-temporal Features","URL":"http://doi.acm.org/10.1145/2398936.2398961","author":[{"family":"Kottege","given":"Navinda"},{"family":"Kroon","given":"Frederieke"},{"family":"Jurdak","given":"Raja"},{"family":"Jones","given":"Dean"}],"accessed":{"date-parts":[["2019",12,9]]},"issued":{"date-parts":[["2012"]]}},"label":"page"}],"schema":"https://github.com/citation-style-language/schema/raw/master/csl-citation.json"} </w:instrText>
      </w:r>
      <w:r w:rsidRPr="00837161">
        <w:rPr>
          <w:rFonts w:eastAsia="Calibri"/>
        </w:rPr>
        <w:fldChar w:fldCharType="separate"/>
      </w:r>
      <w:r w:rsidR="00271B78" w:rsidRPr="00271B78">
        <w:t>(Jurdak et al., 2015; Kottege et al., 2012)</w:t>
      </w:r>
      <w:r w:rsidRPr="00837161">
        <w:rPr>
          <w:rFonts w:eastAsia="Calibri"/>
        </w:rPr>
        <w:fldChar w:fldCharType="end"/>
      </w:r>
      <w:r w:rsidRPr="00837161">
        <w:rPr>
          <w:rFonts w:eastAsia="Calibri"/>
        </w:rPr>
        <w:t xml:space="preserve"> and flying foxes </w:t>
      </w:r>
      <w:r w:rsidRPr="00837161">
        <w:rPr>
          <w:rFonts w:eastAsia="Calibri"/>
        </w:rPr>
        <w:fldChar w:fldCharType="begin"/>
      </w:r>
      <w:r w:rsidR="000F35EB">
        <w:rPr>
          <w:rFonts w:eastAsia="Calibri"/>
        </w:rPr>
        <w:instrText xml:space="preserve"> ADDIN ZOTERO_ITEM CSL_CITATION {"citationID":"7YSSl6pA","properties":{"formattedCitation":"(Sommer et al., 2016)","plainCitation":"(Sommer et al., 2016)","noteIndex":0},"citationItems":[{"id":16796,"uris":["http://zotero.org/groups/2352922/items/CIK99W9I"],"itemData":{"id":16796,"type":"article-journal","abstract":"The high energy consumption of GPS modules has kept long-term outdoor localisation with battery-powered devices an unsolved challenge. While low-power sensors can trigger GPS sampling to reduce energy consumption, validating the long-term reliability of these sensors in unconstrained environments is challenging due to sensor drifts and the lack of ground truth data in the field. We describe the design of our feature-rich platform and our progressive approach for characterising and validating its multiple sensing modalities in long-term deployments. Using empirical data collected from both controlled experiments and wild flying foxes, we characterise the tracking accuracy, wireless connectivity, energy harvesting, and cross-validate sensing modalities against their GPS counterparts. The results show that accelerometer, magnetometer, and pressure sensor can estimate flying speed and altitude well with relatively small errors in the wild. We further study the utility of multi-modal activity recognition under real-world conditions and demonstrate the potential for significantly increased resolution in triggering GPS samples.","container-title":"Pervasive and Mobile Computing","DOI":"10.1016/j.pmcj.2015.09.003","ISSN":"1574-1192","journalAbbreviation":"Pervasive and Mobile Computing","language":"en","page":"1-17","source":"ScienceDirect","title":"From the lab into the wild: Design and deployment methods for multi-modal tracking platforms","title-short":"From the lab into the wild","URL":"http://www.sciencedirect.com/science/article/pii/S1574119215001698","volume":"30","author":[{"family":"Sommer","given":"Philipp"},{"family":"Kusy","given":"Branislav"},{"family":"Jurdak","given":"Raja"},{"family":"Kottege","given":"Navinda"},{"family":"Liu","given":"Jiajun"},{"family":"Zhao","given":"Kun"},{"family":"McKeown","given":"Adam"},{"family":"Westcott","given":"David"}],"accessed":{"date-parts":[["2019",12,9]]},"issued":{"date-parts":[["2016",8,1]]}},"label":"page"}],"schema":"https://github.com/citation-style-language/schema/raw/master/csl-citation.json"} </w:instrText>
      </w:r>
      <w:r w:rsidRPr="00837161">
        <w:rPr>
          <w:rFonts w:eastAsia="Calibri"/>
        </w:rPr>
        <w:fldChar w:fldCharType="separate"/>
      </w:r>
      <w:r w:rsidR="00271B78" w:rsidRPr="00271B78">
        <w:t>(Sommer et al., 2016)</w:t>
      </w:r>
      <w:r w:rsidRPr="00837161">
        <w:rPr>
          <w:rFonts w:eastAsia="Calibri"/>
        </w:rPr>
        <w:fldChar w:fldCharType="end"/>
      </w:r>
      <w:r w:rsidRPr="00837161">
        <w:rPr>
          <w:rFonts w:eastAsia="Calibri"/>
        </w:rPr>
        <w:t xml:space="preserve">. Infrared cameras have also been used for </w:t>
      </w:r>
      <w:r w:rsidRPr="00837161">
        <w:t xml:space="preserve">livestock biosecurity </w:t>
      </w:r>
      <w:r w:rsidRPr="00837161">
        <w:rPr>
          <w:rFonts w:eastAsia="Calibri"/>
        </w:rPr>
        <w:t xml:space="preserve">to collect body temperatures of cattle as a sign of disease infection </w:t>
      </w:r>
      <w:r w:rsidRPr="00837161">
        <w:fldChar w:fldCharType="begin"/>
      </w:r>
      <w:r w:rsidR="000F35EB">
        <w:instrText xml:space="preserve"> ADDIN ZOTERO_ITEM CSL_CITATION {"citationID":"qDh1iTaT","properties":{"formattedCitation":"(Rainwater-Lovett et al., 2009)","plainCitation":"(Rainwater-Lovett et al., 2009)","noteIndex":0},"citationItems":[{"id":16756,"uris":["http://zotero.org/groups/2352922/items/GJ2WQQVZ"],"itemData":{"id":16756,"type":"article-journal","abstract":"In this study, infrared thermography (IRT) was assessed as a means of detecting foot-and-mouth disease virus (FMDV)-infected cattle before and after the development of clinical signs. Preliminary IRT imaging demonstrated that foot temperatures increased in FMDV-infected animals. The maximum foot temperatures of healthy (n=53), directly inoculated (DI) (n=12), contact (CT) (n=6), and vaccine trial (VT) (n=21) cattle were measured over the course of FMD infection. A cut-off value was established at 34.4°C (sensitivity=61.1%, specificity=87.7%) with the aim of detecting FMDV-infected animals both before and after clinical signs were observed. Seven of 12 (58%) DI and 3/6 (50%) CT animals showed maximum foot temperatures exceeding the 34.4°C cut-off before the development of foot vesicles. In contrast, only 5/21 (24%) VT animals displayed pre-clinical foot temperatures above this cut-off possibly indicating partial vaccine protection of this group. These results show IRT as a promising screening technology to quickly identify potentially infected animals for confirmatory diagnostic testing during FMD outbreaks. Further evaluation of this technology is needed to determine the value of IRT in detecting animals with mild clinical signs or sub-clinical infections.","container-title":"The Veterinary Journal","DOI":"10.1016/j.tvjl.2008.01.003","ISSN":"1090-0233","issue":"3","journalAbbreviation":"The Veterinary Journal","language":"en","page":"317-324","source":"ScienceDirect","title":"Detection of foot-and-mouth disease virus infected cattle using infrared thermography","URL":"http://www.sciencedirect.com/science/article/pii/S1090023308000129","volume":"180","author":[{"family":"Rainwater-Lovett","given":"Kaitlin"},{"family":"Pacheco","given":"Juan M."},{"family":"Packer","given":"Craig"},{"family":"Rodriguez","given":"Luis L."}],"accessed":{"date-parts":[["2019",12,9]]},"issued":{"date-parts":[["2009",6,1]]}},"label":"page"}],"schema":"https://github.com/citation-style-language/schema/raw/master/csl-citation.json"} </w:instrText>
      </w:r>
      <w:r w:rsidRPr="00837161">
        <w:fldChar w:fldCharType="separate"/>
      </w:r>
      <w:r w:rsidR="00271B78" w:rsidRPr="00271B78">
        <w:t>(Rainwater-Lovett et al., 2009)</w:t>
      </w:r>
      <w:r w:rsidRPr="00837161">
        <w:fldChar w:fldCharType="end"/>
      </w:r>
      <w:r w:rsidRPr="00837161">
        <w:rPr>
          <w:rFonts w:eastAsia="Calibri"/>
        </w:rPr>
        <w:t xml:space="preserve">. </w:t>
      </w:r>
      <w:r w:rsidRPr="00837161">
        <w:t xml:space="preserve">Low-power image-sensor networks have been used to detect and classify insect pests </w:t>
      </w:r>
      <w:r w:rsidRPr="00837161">
        <w:fldChar w:fldCharType="begin"/>
      </w:r>
      <w:r w:rsidR="000F35EB">
        <w:instrText xml:space="preserve"> ADDIN ZOTERO_ITEM CSL_CITATION {"citationID":"VIzGDHZw","properties":{"formattedCitation":"(Jurdak et al., 2015)","plainCitation":"(Jurdak et al., 2015)","noteIndex":0},"citationItems":[{"id":29769,"uris":["http://zotero.org/groups/2352922/items/6CJENS8D"],"itemData":{"id":29769,"type":"article-journal","abstract":"The global movement of people and goods has increased the risk of biosecurity threats and their potential to incur large economic, social, and environmental costs. Conventional manual biosecurity surveillance methods are limited by their scalability in space and time. This article focuses on autonomous surveillance systems, comprising sensor networks, robots, and intelligent algorithms, and their applicability to biosecurity threats. We discuss the spatial and temporal attributes of autonomous surveillance technologies and map them to three broad categories of biosecurity threat: (i) vector-borne diseases; (ii) plant pests; and (iii) aquatic pests. Our discussion reveals a broad range of opportunities to serve biosecurity needs through autonomous surveillance.","container-title":"Trends in Biotechnology","DOI":"10.1016/j.tibtech.2015.01.003","ISSN":"0167-7799","issue":"4","journalAbbreviation":"Trends in Biotechnology","language":"en","page":"201-207","source":"ScienceDirect","title":"Autonomous surveillance for biosecurity","URL":"http://www.sciencedirect.com/science/article/pii/S0167779915000190","volume":"33","author":[{"family":"Jurdak","given":"Raja"},{"family":"Elfes","given":"Alberto"},{"family":"Kusy","given":"Branislav"},{"family":"Tews","given":"Ashley"},{"family":"Hu","given":"Wen"},{"family":"Hernandez","given":"Emili"},{"family":"Kottege","given":"Navinda"},{"family":"Sikka","given":"Pavan"}],"accessed":{"date-parts":[["2019",12,9]]},"issued":{"date-parts":[["2015",4,1]]}},"label":"page"}],"schema":"https://github.com/citation-style-language/schema/raw/master/csl-citation.json"} </w:instrText>
      </w:r>
      <w:r w:rsidRPr="00837161">
        <w:fldChar w:fldCharType="separate"/>
      </w:r>
      <w:r w:rsidR="00271B78" w:rsidRPr="00271B78">
        <w:t>(Jurdak et al., 2015)</w:t>
      </w:r>
      <w:r w:rsidRPr="00837161">
        <w:fldChar w:fldCharType="end"/>
      </w:r>
      <w:r w:rsidRPr="00837161">
        <w:t xml:space="preserve"> a</w:t>
      </w:r>
      <w:r w:rsidR="002D3C4A" w:rsidRPr="00837161">
        <w:t xml:space="preserve">nd invasive alien vertebrates. </w:t>
      </w:r>
      <w:r w:rsidRPr="00837161">
        <w:rPr>
          <w:lang w:eastAsia="ja-JP"/>
        </w:rPr>
        <w:t xml:space="preserve">See </w:t>
      </w:r>
      <w:r w:rsidR="002F2F42">
        <w:rPr>
          <w:b/>
          <w:bCs/>
          <w:iCs/>
          <w:lang w:eastAsia="ja-JP"/>
        </w:rPr>
        <w:t>S</w:t>
      </w:r>
      <w:r w:rsidR="002D1867" w:rsidRPr="00B52DF2">
        <w:rPr>
          <w:b/>
          <w:bCs/>
          <w:iCs/>
          <w:lang w:eastAsia="ja-JP"/>
        </w:rPr>
        <w:t>upplementary material 5.</w:t>
      </w:r>
      <w:r w:rsidR="00834060" w:rsidRPr="00B52DF2">
        <w:rPr>
          <w:b/>
          <w:bCs/>
          <w:iCs/>
          <w:lang w:eastAsia="ja-JP"/>
        </w:rPr>
        <w:t>2</w:t>
      </w:r>
      <w:r w:rsidRPr="00B52DF2">
        <w:rPr>
          <w:b/>
          <w:lang w:eastAsia="ja-JP"/>
        </w:rPr>
        <w:t xml:space="preserve"> </w:t>
      </w:r>
      <w:r w:rsidRPr="00837161">
        <w:rPr>
          <w:lang w:eastAsia="ja-JP"/>
        </w:rPr>
        <w:t xml:space="preserve">for </w:t>
      </w:r>
      <w:r w:rsidR="5B89034D" w:rsidRPr="00837161">
        <w:rPr>
          <w:lang w:eastAsia="ja-JP"/>
        </w:rPr>
        <w:t xml:space="preserve">further details. </w:t>
      </w:r>
    </w:p>
    <w:p w14:paraId="0ADA89F2" w14:textId="77777777" w:rsidR="001B0409" w:rsidRPr="00837161" w:rsidRDefault="27514EC9" w:rsidP="00E87F41">
      <w:pPr>
        <w:pStyle w:val="Heading4"/>
      </w:pPr>
      <w:r w:rsidRPr="00837161">
        <w:lastRenderedPageBreak/>
        <w:t xml:space="preserve">Screening technologies </w:t>
      </w:r>
    </w:p>
    <w:p w14:paraId="000002B9" w14:textId="09B5E666" w:rsidR="00A758FD" w:rsidRPr="00C0338D" w:rsidRDefault="00C81287">
      <w:pPr>
        <w:spacing w:before="240" w:after="120" w:line="240" w:lineRule="auto"/>
      </w:pPr>
      <w:bookmarkStart w:id="330" w:name="_heading=h.3ep43zb" w:colFirst="0" w:colLast="0"/>
      <w:bookmarkStart w:id="331" w:name="_Hlk69190513"/>
      <w:bookmarkEnd w:id="330"/>
      <w:r w:rsidRPr="00C0338D">
        <w:t xml:space="preserve">X-ray screening devices are now in operation at most airports and have been a standard technology of biosecurity operations at borders for a number of years </w:t>
      </w:r>
      <w:r w:rsidR="001B0409" w:rsidRPr="00837161">
        <w:fldChar w:fldCharType="begin"/>
      </w:r>
      <w:r w:rsidR="000F35EB">
        <w:instrText xml:space="preserve"> ADDIN ZOTERO_ITEM CSL_CITATION {"citationID":"VuWVtsVl","properties":{"formattedCitation":"(Whyte, 2006)","plainCitation":"(Whyte, 2006)","noteIndex":0},"citationItems":[{"id":31563,"uris":["http://zotero.org/groups/2352922/items/68CBAGDN"],"itemData":{"id":31563,"type":"article-journal","container-title":"Royal Society of New Zealand, Miscellaneous series","note":"publisher: Citeseer\nNo unique identifier","page":"27-36","title":"Science and biosecurity–monitoring the effectiveness of biosecurity interventions at New Zealand’s borders","volume":"67","author":[{"family":"Whyte","given":"Carolyn"}],"issued":{"date-parts":[["2006"]]}},"label":"page"}],"schema":"https://github.com/citation-style-language/schema/raw/master/csl-citation.json"} </w:instrText>
      </w:r>
      <w:r w:rsidR="001B0409" w:rsidRPr="00837161">
        <w:fldChar w:fldCharType="separate"/>
      </w:r>
      <w:r w:rsidR="00271B78" w:rsidRPr="00271B78">
        <w:t>(Whyte, 2006)</w:t>
      </w:r>
      <w:r w:rsidR="001B0409" w:rsidRPr="00837161">
        <w:fldChar w:fldCharType="end"/>
      </w:r>
      <w:r w:rsidR="00F019DB" w:rsidRPr="00837161">
        <w:t>.</w:t>
      </w:r>
      <w:r w:rsidRPr="00C0338D">
        <w:t xml:space="preserve"> Their quality as a screen technology is variable due to the cost of both software and proper training of personnel. Human behaviour can also compromise effectiveness, for example proper fluid detection systems are often circumvented by staff because they cause frequent machine errors. Next generation 3D x-ray machines are however much more sophisticated and are being installed at airports and postal mail sorting centres in some countries (e.g., </w:t>
      </w:r>
      <w:r w:rsidR="001B0409" w:rsidRPr="00837161">
        <w:t>Australia and New Zealand</w:t>
      </w:r>
      <w:r w:rsidR="00247B0D" w:rsidRPr="00837161">
        <w:t>;</w:t>
      </w:r>
      <w:r w:rsidR="00C0004C" w:rsidRPr="00837161">
        <w:t xml:space="preserve"> </w:t>
      </w:r>
      <w:r w:rsidR="003E5429" w:rsidRPr="00837161">
        <w:fldChar w:fldCharType="begin"/>
      </w:r>
      <w:r w:rsidR="000F35EB">
        <w:instrText xml:space="preserve"> ADDIN ZOTERO_ITEM CSL_CITATION {"citationID":"ykjrwTFR","properties":{"formattedCitation":"(Australian Government, 2021a)","plainCitation":"(Australian Government, 2021a)","dontUpdate":true,"noteIndex":0},"citationItems":[{"id":53325,"uris":["http://zotero.org/groups/2352922/items/II5P8KT2"],"itemData":{"id":53325,"type":"webpage","container-title":"Biosecurity and trade in Australia","title":"Innovative Biosecurity 3D X-ray Project - Department of agriculture, fisheries and forestry","URL":"https://www.agriculture.gov.au/biosecurity-trade/policy/australia/biosecurity-3d-x-ray","author":[{"literal":"Australian Government"}],"accessed":{"date-parts":[["2022",9,21]]},"issued":{"date-parts":[["2021"]]}},"label":"page"}],"schema":"https://github.com/citation-style-language/schema/raw/master/csl-citation.json"} </w:instrText>
      </w:r>
      <w:r w:rsidR="003E5429" w:rsidRPr="00837161">
        <w:fldChar w:fldCharType="separate"/>
      </w:r>
      <w:r w:rsidR="001B4A85" w:rsidRPr="00837161">
        <w:t>Australian Government, 2021a)</w:t>
      </w:r>
      <w:r w:rsidR="003E5429" w:rsidRPr="00837161">
        <w:fldChar w:fldCharType="end"/>
      </w:r>
      <w:r w:rsidR="001B0409" w:rsidRPr="00837161">
        <w:t>.</w:t>
      </w:r>
      <w:r w:rsidRPr="00C0338D">
        <w:t xml:space="preserve"> Digital triage of these types of images will increasingly be run autonomously with machine learning algorithms trained to risk profiling key indicators of suspect material </w:t>
      </w:r>
      <w:r w:rsidR="001B0409" w:rsidRPr="00837161">
        <w:fldChar w:fldCharType="begin"/>
      </w:r>
      <w:r w:rsidR="000F35EB">
        <w:instrText xml:space="preserve"> ADDIN ZOTERO_ITEM CSL_CITATION {"citationID":"APlhg6Jy","properties":{"formattedCitation":"(Marturana et al., 2015)","plainCitation":"(Marturana et al., 2015)","noteIndex":0},"citationItems":[{"id":31562,"uris":["http://zotero.org/groups/2352922/items/7E</w:instrText>
      </w:r>
      <w:r w:rsidR="000F35EB">
        <w:rPr>
          <w:rFonts w:hint="eastAsia"/>
        </w:rPr>
        <w:instrText>IAGHWS"],"itemData":{"id":31562,"type":"chapter","container-title":"Handbook of Digital Forensics of Multimedia Data and Devices","ISBN":"1-118-64050-0","page":"94-132","publisher":"John Wiley &amp; Sons, Ltd Chichester, UK","title":"A machine learning</w:instrText>
      </w:r>
      <w:r w:rsidR="000F35EB">
        <w:rPr>
          <w:rFonts w:hint="eastAsia"/>
        </w:rPr>
        <w:instrText>‐</w:instrText>
      </w:r>
      <w:r w:rsidR="000F35EB">
        <w:rPr>
          <w:rFonts w:hint="eastAsia"/>
        </w:rPr>
        <w:instrText xml:space="preserve">based </w:instrText>
      </w:r>
      <w:r w:rsidR="000F35EB">
        <w:instrText xml:space="preserve">approach to digital triage","URL":"https://doi.org/10.1002/9781118705773.ch3","editor":[{"family":"Ho","given":"Anthony T. S."},{"family":"Li","given":"Shunjun"}],"author":[{"family":"Marturana","given":"Fabio"},{"family":"Tacconi","given":"Simone"},{"family":"Italiano","given":"Giuseppe F."}],"issued":{"date-parts":[["2015"]]}},"label":"page"}],"schema":"https://github.com/citation-style-language/schema/raw/master/csl-citation.json"} </w:instrText>
      </w:r>
      <w:r w:rsidR="001B0409" w:rsidRPr="00837161">
        <w:fldChar w:fldCharType="separate"/>
      </w:r>
      <w:r w:rsidR="00271B78" w:rsidRPr="00271B78">
        <w:t>(Marturana et al., 2015)</w:t>
      </w:r>
      <w:r w:rsidR="001B0409" w:rsidRPr="00837161">
        <w:fldChar w:fldCharType="end"/>
      </w:r>
      <w:r w:rsidR="694093D6" w:rsidRPr="00837161">
        <w:t>.</w:t>
      </w:r>
      <w:r w:rsidRPr="00C0338D">
        <w:t xml:space="preserve"> This could potentially lead to autonomous screening of luggage or postal mail triaging suspect items for human inspections. Similar systems are also under development for scanning shipping containers </w:t>
      </w:r>
      <w:r w:rsidR="001B0409" w:rsidRPr="00837161">
        <w:fldChar w:fldCharType="begin"/>
      </w:r>
      <w:r w:rsidR="000F35EB">
        <w:instrText xml:space="preserve"> ADDIN ZOTERO_ITEM CSL_CITATION {"citationID":"en0ZL9pN","properties":{"formattedCitation":"(C. H. Lim et al., 2021)","plainCitation":"(C. H. Lim et al., 2021)","noteIndex":0},"citationItems":[{"id":30799,"uris":["http://zotero.org/groups/2352922/items/53BUH5TC"],"itemData":{"id":30799,"type":"article-journal","abstract":"In 2007, the U.S. Congress mandated the implementation of the “Security and Accountability For Every Port Act of 2006,” which requires complete scanning of 100% of U.S.-bound shipping containers. To address this requirement, we developed a container inspection method that enables continuous high-speed screening, with considerable performance improvement. In this study, we developed a fixed-type high-precision container inspection system using dual-angle X-ray beams from a 9 MV linear accelerator (LINAC). We first calculated the X-ray irradiation angle-dependent changes in the contrast-to-noise ratio (CNR) of the images via Monte Carlo simulation. Using the calculated CNRs, the primary and secondary angles of the X-ray beam were set to 0° and 2.8°, respectively. A system based on the proposed dual-angle X-ray imaging technology was installed and evaluated by scanning a real cargo container truck. For the evaluation, we designed test equipment based on the ANSI N42.46 report and examined the beam penetration power, contrast sensitivity, spatial resolution, and wire detectability of the developed system. The maximum penetration thicknesses for the primary and secondary angle beams were found to be 410 and 400 mm, respectively. At the primary beam angle, the contrast sensitivities were 1.52% and 0.49% when the thicknesses of the steel plate were 80% and 50% of the maximum penetration thickness, respectively. At the secondary angle, the sensitivities were 1.88% at 80% maximum penetration thickness, and 0.5% at 50%. A line pattern formed by individual slits of 4.6 mm width could be easily recognized in an acquired image. In addition, the developed system could clearly identify a 1.6 mm diameter copper wire. Further, when a steel plate was added, the change in the wire-recognition ability of the imaging system was found to be similar at both beam angles. These results indicate that the developed system is suitable for container screening using a 9 MV LINAC. Shapes that could not be identified from one beam irradiation angle could more accurately be analyzed using images from two different angles.","container-title":"Journal of Instrumentation","DOI":"10.1088/1748-0221/16/08/P08037","ISSN":"1748-0221","issue":"08","journalAbbreviation":"J. Inst.","language":"en","note":"publisher: IOP Publishing","page":"P08037","source":"Institute of Physics","title":"Advanced container inspection system based on dual-angle X-ray imaging method","URL":"https://doi.org/10.1088/1748-0221/16/08/p08037","volume":"16","author":[{"family":"Lim","given":"C. H."},{"family":"Lee","given":"J."},{"family":"Choi","given":"Y."},{"family":"Park","given":"J. W."},{"family":"Kim","given":"H. K."}],"accessed":{"date-parts":[["2021",10,28]]},"issued":{"date-parts":[["2021",8]]}},"label":"page"}],"schema":"https://github.com/citation-style-language/schema/raw/master/csl-citation.json"} </w:instrText>
      </w:r>
      <w:r w:rsidR="001B0409" w:rsidRPr="00837161">
        <w:fldChar w:fldCharType="separate"/>
      </w:r>
      <w:r w:rsidR="00271B78" w:rsidRPr="00271B78">
        <w:t>(C. H. Lim et al., 2021)</w:t>
      </w:r>
      <w:r w:rsidR="001B0409" w:rsidRPr="00837161">
        <w:fldChar w:fldCharType="end"/>
      </w:r>
      <w:r w:rsidR="001B0409" w:rsidRPr="00837161">
        <w:t>.</w:t>
      </w:r>
      <w:r w:rsidRPr="00C0338D">
        <w:t xml:space="preserve"> </w:t>
      </w:r>
    </w:p>
    <w:p w14:paraId="000002BA" w14:textId="77777777" w:rsidR="00A758FD" w:rsidRPr="00C0338D" w:rsidRDefault="00C81287" w:rsidP="0079215C">
      <w:pPr>
        <w:pStyle w:val="Heading4"/>
      </w:pPr>
      <w:bookmarkStart w:id="332" w:name="_heading=h.1tuee74" w:colFirst="0" w:colLast="0"/>
      <w:bookmarkStart w:id="333" w:name="_Toc69314002"/>
      <w:bookmarkEnd w:id="332"/>
      <w:r w:rsidRPr="00C0338D">
        <w:t>Environmental DNA</w:t>
      </w:r>
      <w:bookmarkEnd w:id="333"/>
    </w:p>
    <w:p w14:paraId="000002BB" w14:textId="5EDF8FE9" w:rsidR="00A758FD" w:rsidRPr="00C0338D" w:rsidRDefault="00C81287">
      <w:pPr>
        <w:spacing w:before="240" w:after="120" w:line="240" w:lineRule="auto"/>
      </w:pPr>
      <w:bookmarkStart w:id="334" w:name="_heading=h.4du1wux" w:colFirst="0" w:colLast="0"/>
      <w:bookmarkEnd w:id="331"/>
      <w:bookmarkEnd w:id="334"/>
      <w:r w:rsidRPr="00C0338D">
        <w:t xml:space="preserve">All organisms leave a genetic trace of themselves within their environment and there are multiple ways of sampling and analysing this environmental DNA for species detection </w:t>
      </w:r>
      <w:r w:rsidR="001B0409" w:rsidRPr="00837161">
        <w:rPr>
          <w:lang w:eastAsia="ja-JP"/>
        </w:rPr>
        <w:fldChar w:fldCharType="begin"/>
      </w:r>
      <w:r w:rsidR="000F35EB">
        <w:rPr>
          <w:lang w:eastAsia="ja-JP"/>
        </w:rPr>
        <w:instrText xml:space="preserve"> ADDIN ZOTERO_ITEM CSL_CITATION {"citationID":"bs3TkVOp","properties":{"formattedCitation":"(C. I. M. Adams et al., 2019; Herder et al., 2014; Truelove et al., 2022)","plainCitation":"(C. I. M. Adams et al., 2019; Herder et al., 2014; Truelove et al., 2022)","noteIndex":0},"citationItems":[{"id":22666,"uris":["http://zotero.org/groups/2352922/items/5D3JWZPV"],"itemData":{"id":22666,"type":"article-journal","abstract":"Population genetic data underpin many studies of behavioral, ecological, and evolutionary processes in wild populations and contribute to effective conservation management. However, collecting genetic samples can be challenging when working with endangered, invasive, or cryptic species. Environmental DNA (eDNA) offers a way to sample genetic material non-invasively without requiring visual observation. While eDNA has been trialed extensively as a biodiversity and biosecurity monitoring tool with a strong taxonomic focus, it has yet to be fully explored as a means for obtaining population genetic information. Here, we review current research that employs eDNA approaches for the study of populations. We outline challenges facing eDNA-based population genetic methodologies, and suggest avenues of research for future developments. We advocate that with further optimizations, this emergent field holds great potential as part of the population genetics toolkit.","container-title":"Genes","DOI":"10.3390/genes10030192","issue":"3","language":"en","license":"http://creativecommons.org/licenses/by/3.0/","note":"publisher: Multidisciplinary Digital Publishing Institute","page":"192","source":"www.mdpi.com","title":"Beyond Biodiversity: Can Environmental DNA (eDNA) Cut It as a Population Genetics Tool?","title-short":"Beyond Biodiversity","URL":"https://www.mdpi.com/2073-4425/10/3/192","volume":"10","author":[{"family":"Adams","given":"Clare I. M."},{"family":"Knapp","given":"Michael"},{"family":"Gemmell","given":"Neil J."},{"family":"Jeunen","given":"Gert-Jan"},{"family":"Bunce","given":"Michael"},{"family":"Lamare","given":"Miles D."},{"family":"Taylor","given":"Helen R."}],"accessed":{"date-parts":[["2020",6,13]]},"issued":{"date-parts":[["2019",3]]}},"label":"page"},{"id":52540,"uris":["http://zotero.org/groups/2352922/items/MXIFQ3HW"],"itemData":{"id":52540,"type":"report","event-place":"Nijmegen","note":"DOI:10.13140/RG.2.1.4002.1208","number":"Report 2013-104","publisher":"Netherlands Food and Consumer Product Safety Authority","publisher-place":"Nijmegen","source":"Google Scholar","title":"Environmental DNA - a review of the possible applications for the detection of (invasive) species","title-short":"Environmental DNA—a review of the possible applications for the detection of (invasive) species Nijmegen","URL":"http://dx.doi.org/10.13140/RG.2.1.4002.1208","author":[{"family":"Herder","given":"J. E."},{"family":"Valentini","given":"A."},{"family":"Bellemain","given":"E."},{"family":"Dejean","given":"T."},{"family":"Delft","given":"J J C W","non-dropping-particle":"van"},{"family":"Thomsen","given":"P. F."},{"family":"Taberlet","given":"P."}],"issued":{"date-parts":[["2014"]]}},"label":"page"},{"id":52619,"uris":["http://zotero.org/groups/2352922/items/QHF92CKL"],"itemData":{"id":52619,"type":"article-journal","abstract":"Environmental DNA (eDNA) is an emerging and powerful method for use in marine research, conservation, and management, yet time- and resource-intensive protocols limit the scale of implementation. Long-range autonomous underwater vehicles equipped with autonomous environmental sample processors (LRAUV-ESPs) provide a new means for scaling up marine eDNA sample collection and processing. Here, we used eDNA metabarcoding of four marker genes (mitochondrial 12S rRNA, bacterial and archaeal 16S rRNA, nuclear 18S rRNA, and mitochondrial COI), which encompass the diversity of marine species from microbes to vertebrates, to demonstrate the efficacy of an LRAUV-ESP in sampling eDNA and assessing community structure in the Monterey Bay National Marine Sanctuary. The sequencing results from samples that were autonomously collected were comparable with those collected from a ship at similar locations, times, and depths, supporting previous results that found no significant differences using targeted qPCR. This study demonstrates the potential of equipping autonomous underwater vehicles with ESPs to greatly expand the scale of eDNA sample collection and processing and provide much needed information regarding the changing spatial and temporal patterns of marine biodiversity, especially in many data-poor regions of the world's oceans.","container-title":"Environmental DNA","DOI":"10.1002/edn3.299","ISSN":"2637-4943","issue":"4","language":"en","note":"_eprint: https://onlinelibrary.wiley.com/doi/pdf/10.1002/edn3.299","page":"972-984","source":"Wiley Online Library","title":"Expanding the temporal and spatial scales of environmental DNA research with autonomous sampling","URL":"https://onlinelibrary.wiley.com/doi/abs/10.1002/edn3.299","volume":"4","author":[{"family":"Truelove","given":"Nathan K."},{"family":"Patin","given":"Nastassia V."},{"family":"Min","given":"Markus"},{"family":"Pitz","given":"Kathleen J."},{"family":"Preston","given":"Chris M."},{"family":"Yamahara","given":"Kevan M."},{"family":"Zhang","given":"Yanwu"},{"family":"Raanan","given":"Ben Y."},{"family":"Kieft","given":"Brian"},{"family":"Hobson","given":"Brett"},{"family":"Thompson","given":"Luke R."},{"family":"Goodwin","given":"Kelly D."},{"family":"Chavez","given":"Francisco P."}],"accessed":{"date-parts":[["2022",7,25]]},"issued":{"date-parts":[["2022"]]}},"label":"page"}],"schema":"https://github.com/citation-style-language/schema/raw/master/csl-citation.json"} </w:instrText>
      </w:r>
      <w:r w:rsidR="001B0409" w:rsidRPr="00837161">
        <w:rPr>
          <w:lang w:eastAsia="ja-JP"/>
        </w:rPr>
        <w:fldChar w:fldCharType="separate"/>
      </w:r>
      <w:r w:rsidR="00271B78" w:rsidRPr="00271B78">
        <w:t>(C. I. M. Adams et al., 2019; Herder et al., 2014; Truelove et al., 2022)</w:t>
      </w:r>
      <w:r w:rsidR="001B0409" w:rsidRPr="00837161">
        <w:rPr>
          <w:lang w:eastAsia="ja-JP"/>
        </w:rPr>
        <w:fldChar w:fldCharType="end"/>
      </w:r>
      <w:r w:rsidR="001B0409" w:rsidRPr="00837161">
        <w:rPr>
          <w:lang w:eastAsia="ja-JP"/>
        </w:rPr>
        <w:t xml:space="preserve"> including</w:t>
      </w:r>
      <w:r w:rsidR="009A4690" w:rsidRPr="00837161">
        <w:rPr>
          <w:lang w:eastAsia="ja-JP"/>
        </w:rPr>
        <w:t xml:space="preserve"> for</w:t>
      </w:r>
      <w:r w:rsidR="001B0409" w:rsidRPr="00837161">
        <w:rPr>
          <w:lang w:eastAsia="ja-JP"/>
        </w:rPr>
        <w:t xml:space="preserve"> invasive alien species </w:t>
      </w:r>
      <w:r w:rsidR="001B0409" w:rsidRPr="00837161">
        <w:fldChar w:fldCharType="begin"/>
      </w:r>
      <w:r w:rsidR="000F35EB">
        <w:instrText xml:space="preserve"> ADDIN ZOTERO_ITEM CSL_CITATION {"citationID":"ECWKggIY","properties":{"formattedCitation":"(Bylemans et al., 2019)","plainCitation":"(Bylemans et al., 2019)","dontUpdate":true,"noteIndex":0},"citationItems":[{"id":30153,"uris":["http://zotero.org/groups/2352922/items/2ZY3S3YU"],"itemData":{"id":30153,"type":"article-journal","abstract":"Background The use of environmental DNA analysis has revolutionized biodiversity monitoring. Initially, eDNA monitoring surveys in aquatic environments utilized a targeted approach, but there has been a steady shift toward whole community assessments (eDNA metabarcoding). Both approaches can increase the detection sensitivity for rare and elusive species, compared to more conventional methods. However, it is important to understand the benefits and limitations of targeted and whole community eDNA monitoring to tailor surveys to research questions and management objectives. Aims Here, we aimed to test the relative merits of targeted eDNA analysis versus eDNA metabarcoding in an intermittent river system. Methods First, samples collected during different seasons were used to assess the influence of seasonality on the detection probabilities of both methods. Second, detection probabilities from the two monitoring approaches for one focal species were compared to evaluate the sensitivity of both methods. Finally, the data from an eDNA metabarcoding survey conducted across the outer distribution limits of an invasive species were used to evaluate whether species interactions can be inferred by this method. Results Analyses showed that sampling intermittent river systems during low flow events increases the performance of the targeted eDNA surveys, while sampling season does not influence the performance of eDNA metabarcoding surveys. Environmental DNA metabarcoding was found to be less sensitive than a targeted monitoring approach, thus making the latter more suitable for generating detailed distribution data. Nevertheless, eDNA metabarcoding survey data can be interpreted in a semiquantitative manner and can provide insights into biological interactions.","container-title":"Environmental DNA","DOI":"10.1002/edn3.41","ISSN":"2637-4943","issue":"4","language":"en","note":"_eprint: https://onlinelibrary.wiley.com/doi/pdf/10.1002/edn3.41","page":"402-414","source":"Wiley Online Library","title":"A performance evaluation of targeted eDNA and eDNA metabarcoding analyses for freshwater fishes","URL":"https://onlinelibrary.wiley.com/doi/abs/10.1002/edn3.41","volume":"1","author":[{"family":"Bylemans","given":"Jonas"},{"family":"Gleeson","given":"Dianne M."},{"family":"Duncan","given":"Richard P."},{"family":"Hardy","given":"Christopher M."},{"family":"Furlan","given":"Elise M."}],"accessed":{"date-parts":[["2020",6,13]]},"issued":{"date-parts":[["2019"]]}}}],"schema":"https://github.com/citation-style-language/schema/raw/master/csl-citation.json"} </w:instrText>
      </w:r>
      <w:r w:rsidR="001B0409" w:rsidRPr="00837161">
        <w:fldChar w:fldCharType="end"/>
      </w:r>
      <w:r w:rsidR="001B0409" w:rsidRPr="00837161">
        <w:fldChar w:fldCharType="begin"/>
      </w:r>
      <w:r w:rsidR="000F35EB">
        <w:instrText xml:space="preserve"> ADDIN ZOTERO_ITEM CSL_CITATION {"citationID":"tZSROKH3","properties":{"unsorted":true,"formattedCitation":"(Rees et al., 2014; Bylemans et al., 2019)","plainCitation":"(Rees et al., 2014; Bylemans et al., 2019)","noteIndex":0},"citationItems":[{"id":22669,"uris":["http://zotero.org/groups/2352922/items/M2AMZ2E2"],"itemData":{"id":22669,"type":"article-journal","abstract":"Knowledge of species distribution is critical to ecological management and conservation biology. Effective management requires the detection of populations, which can sometimes be at low densities and is usually based on visual detection and counting. Recently, there has been considerable interest in the detection of short species-specific environmental DNA (eDNA) fragments to allow aquatic species monitoring within different environments due to the potential of greater sensitivity over traditional survey methods which can be time-consuming and costly. Environmental DNA analysis is increasingly being used in the detection of rare or invasive species and has also been applied to eDNA persistence studies and estimations of species biomass and distribution. When combined with next-generation sequencing methods, it has been demonstrated that entire faunas can be identified. Different environments require different sampling methodologies, but there remain areas where laboratory methodologies could be standardized to allow results to be compared across studies. Synthesis and applications. We review recently published studies that use eDNA to monitor aquatic populations, discuss the methodologies used and the application of eDNA analysis as a survey tool in ecology. We include innovative ideas for how eDNA can be used for conservation and management citing test cases, for instance, the potential for on-site analyses, including the application of eDNA analysis to carbon nanotube platforms or laser transmission spectroscopy to facilitate rapid on-site detections. The use of eDNA monitoring is already being adopted in the UK for ecological surveys.","container-title":"Journal of Applied Ecology","DOI":"10.1111/1365-2664.12306","ISSN":"1365-2664","issue":"5","language":"en","license":"© 2014 The Authors. Journal of Applied Ecology © 2014 British Ecological Society","note":"_eprint: https://besjournals.onlinelibrary.wiley.com/doi/pdf/10.1111/1365-2664.12306","page":"1450-1459","source":"Wiley Online Library","title":"REVIEW: The detection of aquatic animal species using environmental DNA – a review of eDNA as a survey tool in ecology","title-short":"REVIEW","URL":"https://besjournals.onlinelibrary.wiley.com/doi/abs/10.1111/1365-2664.12306","volume":"51","author":[{"family":"Rees","given":"Helen C."},{"family":"Maddison","given":"Ben C."},{"family":"Middleditch","given":"David J."},{"family":"Patmore","given":"James R. M."},{"family":"Gough","given":"Kevin C."}],"accessed":{"date-parts":[["2020",6,13]]},"issued":{"date-parts":[["2014"]]}},"label":"page"},{"id":30153,"uris":["http://zotero.org/groups/2352922/items/2ZY3S3YU"],"itemData":{"id":30153,"type":"article-journal","abstract":"Background The use of environmental DNA analysis has revolutionized biodiversity monitoring. Initially, eDNA monitoring surveys in aquatic environments utilized a targeted approach, but there has been a steady shift toward whole community assessments (eDNA metabarcoding). Both approaches can increase the detection sensitivity for rare and elusive species, compared to more conventional methods. However, it is important to understand the benefits and limitations of targeted and whole community eDNA monitoring to tailor surveys to research questions and management objectives. Aims Here, we aimed to test the relative merits of targeted eDNA analysis versus eDNA metabarcoding in an intermittent river system. Methods First, samples collected during different seasons were used to assess the influence of seasonality on the detection probabilities of both methods. Second, detection probabilities from the two monitoring approaches for one focal species were compared to evaluate the sensitivity of both methods. Finally, the data from an eDNA metabarcoding survey conducted across the outer distribution limits of an invasive species were used to evaluate whether species interactions can be inferred by this method. Results Analyses showed that sampling intermittent river systems during low flow events increases the performance of the targeted eDNA surveys, while sampling season does not influence the performance of eDNA metabarcoding surveys. Environmental DNA metabarcoding was found to be less sensitive than a targeted monitoring approach, thus making the latter more suitable for generating detailed distribution data. Nevertheless, eDNA metabarcoding survey data can be interpreted in a semiquantitative manner and can provide insights into biological interactions.","container-title":"Environmental DNA","DOI":"10.1002/edn3.41","ISSN":"2637-4943","issue":"4","language":"en","note":"_eprint: https://onlinelibrary.wiley.com/doi/pdf/10.1002/edn3.41","page":"402-414","source":"Wiley Online Library","title":"A performance evaluation of targeted eDNA and eDNA metabarcoding analyses for freshwater fishes","URL":"https://onlinelibrary.wiley.com/doi/abs/10.1002/edn3.41","volume":"1","author":[{"family":"Bylemans","given":"Jonas"},{"family":"Gleeson","given":"Dianne M."},{"family":"Duncan","given":"Richard P."},{"family":"Hardy","given":"Christopher M."},{"family":"Furlan","given":"Elise M."}],"accessed":{"date-parts":[["2020",6,13]]},"issued":{"date-parts":[["2019"]]}},"label":"page"}],"schema":"https://github.com/citation-style-language/schema/raw/master/csl-citation.json"} </w:instrText>
      </w:r>
      <w:r w:rsidR="001B0409" w:rsidRPr="00837161">
        <w:fldChar w:fldCharType="separate"/>
      </w:r>
      <w:r w:rsidR="00271B78" w:rsidRPr="00271B78">
        <w:t>(Rees et al., 2014; Bylemans et al., 2019)</w:t>
      </w:r>
      <w:r w:rsidR="001B0409" w:rsidRPr="00837161">
        <w:fldChar w:fldCharType="end"/>
      </w:r>
      <w:r w:rsidR="001B0409" w:rsidRPr="00837161">
        <w:rPr>
          <w:lang w:eastAsia="ja-JP"/>
        </w:rPr>
        <w:t xml:space="preserve">. </w:t>
      </w:r>
      <w:r w:rsidR="002B59EA">
        <w:rPr>
          <w:lang w:eastAsia="ja-JP"/>
        </w:rPr>
        <w:t>When a</w:t>
      </w:r>
      <w:r w:rsidR="001B0409" w:rsidRPr="00837161">
        <w:rPr>
          <w:lang w:eastAsia="ja-JP"/>
        </w:rPr>
        <w:t xml:space="preserve">pplied within pathway or ecosystem surveillance, control or eradication programmes </w:t>
      </w:r>
      <w:r w:rsidR="001B0409" w:rsidRPr="00837161">
        <w:fldChar w:fldCharType="begin"/>
      </w:r>
      <w:r w:rsidR="000F35EB">
        <w:instrText xml:space="preserve"> ADDIN ZOTERO_ITEM CSL_CITATION {"citationID":"9dacsvFn","properties":{"formattedCitation":"(Carim et al., 2020)","plainCitation":"(Carim et al., 2020)","noteIndex":0},"citationItems":[{"id":30099,"uris":["http://zotero.org/groups/2352922/items/5RGN33NQ"],"itemData":{"id":30099,"type":"article-journal","abstract":"Worldwide, freshwater ecosystems are threatened by invasive species, resulting in adverse effects on infrastructure, economy, recreation, and native aquatic communities. In stream settings, chemical piscicides can be an effective tool for eradicating invasive fishes. However, chemical treatments are expensive and time consuming, and they do not discriminate between invasive and native species in a system. Therefore, managers would ideally limit treatment to only the area occupied by the invasive species. Because traditional survey methods may not accurately detect individuals in low abundance (e.g., at the edge of their distribution, or following an eradication effort), chemical treatments may be applied more broadly and more often than is necessary to ensure complete coverage. Furthermore, inadequate posttreatment sampling can fail to detect survivors of a treatment. As a result, managers may erroneously conclude that eradication was successful, leaving the ecosystem vulnerable to reestablishment by the invader. More sensitive sampling tools should allow for more precise definition of the treatment area and more accurate evaluation of project success. This would reduce project costs and overall effects on native species. Here, we illustrate how environmental DNA (eDNA) sampling addressed these challenges through three case studies, each of which used eDNA sampling to inform the removal of Brook Trout Salvelinus fontinalis in small streams. We found that eDNA methods can be informative throughout all stages of eradication projects in stream settings. It can assist with delimiting the population prior to treatment, provide detailed location data on surviving target individuals, and serve as an efficient and relatively inexpensive monitoring tool to assess long-term treatment efficacy. When combined with traditional survey tools, such as electrofishing, eDNA sampling may help reduce the size and number of treatments that are necessary to reach project goals. This translates directly to increased efficacy of treatments, reduced labor and cost, and reduced adverse effects on the native community.","container-title":"North American Journal of Fisheries Management","DOI":"10.1002/nafm.10428","ISSN":"1548-8675","issue":"2","language":"en","note":"_eprint: https://afspubs.onlinelibrary.wiley.com/doi/pdf/10.1002/nafm.10428","page":"488-508","source":"Wiley Online Library","title":"Environmental DNA Sampling Informs Fish Eradication Efforts: Case Studies and Lessons Learned","title-short":"Environmental DNA Sampling Informs Fish Eradication Efforts","URL":"https://afspubs.onlinelibrary.wiley.com/doi/abs/10.1002/nafm.10428","volume":"40","author":[{"family":"Carim","given":"K. J."},{"family":"Bean","given":"N. J."},{"family":"Connor","given":"J. M."},{"family":"Baker","given":"W. P."},{"family":"Jaeger","given":"M."},{"family":"Ruggles","given":"M. P."},{"family":"McKelvey","given":"K. S."},{"family":"Franklin","given":"T. W."},{"family":"Young","given":"M. K."},{"family":"Schwartz","given":"M. K."}],"accessed":{"date-parts":[["2021",8,17]]},"issued":{"date-parts":[["2020"]]}},"label":"page"}],"schema":"https://github.com/citation-style-language/schema/raw/master/csl-citation.json"} </w:instrText>
      </w:r>
      <w:r w:rsidR="001B0409" w:rsidRPr="00837161">
        <w:fldChar w:fldCharType="separate"/>
      </w:r>
      <w:r w:rsidR="00271B78" w:rsidRPr="00271B78">
        <w:t>(Carim et al., 2020)</w:t>
      </w:r>
      <w:r w:rsidR="001B0409" w:rsidRPr="00837161">
        <w:fldChar w:fldCharType="end"/>
      </w:r>
      <w:r w:rsidR="001B0409" w:rsidRPr="00837161">
        <w:rPr>
          <w:lang w:eastAsia="ja-JP"/>
        </w:rPr>
        <w:t xml:space="preserve">, environmental DNA analysis provides a sensitive and efficient means to detect the presence of a particular or multiple species and is applicable to all organisms including microbes that exceed the sensitivities of conventional observational monitoring </w:t>
      </w:r>
      <w:r w:rsidR="001B0409" w:rsidRPr="00837161">
        <w:rPr>
          <w:lang w:eastAsia="ja-JP"/>
        </w:rPr>
        <w:fldChar w:fldCharType="begin"/>
      </w:r>
      <w:r w:rsidR="000F35EB">
        <w:rPr>
          <w:lang w:eastAsia="ja-JP"/>
        </w:rPr>
        <w:instrText xml:space="preserve"> ADDIN ZOTERO_ITEM CSL_CITATION {"citationID":"5LrWI0ln","properties":{"formattedCitation":"(Furlan et al., 2019)","plainCitation":"(Furlan et al., 2019)","noteIndex":0},"citationItems":[{"id":11355,"uris":["http://zotero.org/groups/2352922/items/EMZN8USV"],"itemData":{"id":11355,"type":"article-journal","abstract":"Eradications of invasive species are usually expensive and difficult to conduct. Knowing when to declare an eradication successful requires distinguishing between failed detection of the target species due to imperfect sensitivity of the detection method and true species absence. This is difficult because the sensitivities of many detection methods are unknown. Environmental DNA (eDNA) methods can be used to detect species by analysing DNA present in environmental samples. eDNA has been promoted as a particularly sensitive and cost-effective way to detect species at low densities and, importantly, the sensitivity of eDNA surveys can be quantified. Nevertheless, the effort and costs involved in detecting species at extremely low densities, such as required during eradication, have not been previously calculated. We evaluated the sensitivity of eDNA surveys in detecting the invasive European carp, Cyprinus carpio, in two lakes in Tasmania, Australia, one in which carp have been eradicated and a second in which carp are currently being eradicated. We determined the sampling effort and associated cost required to detect the species at very low density in these lakes. While our eDNA survey detected the current low density carp population present in Lake Sorell, we show that an exponential increase in sampling effort and associated cost will be required to confidently detect the species as the population declines. Similarly, while our eDNA survey corroborated the species absence from Lake Crescent, our detection confidence was low. We quantify the survey effort and financial investment required to confidently establish eradication success in Lake Crescent. Synthesis and applications. Estimating the environmental DNA (eDNA) survey effort and cost required to detect species at a given density will enable practitioners to make informed decisions on the feasibility of implementing such surveys. Quantifying the sensitivity of eDNA surveys will also inform the confidence practitioners should place in eDNA detection results to ensure appropriate management actions are implemented and provide a suitable stopping point at which to confidently declare eradication success.","container-title":"Journal of Applied Ecology","DOI":"10.1111/1365-2664.13485","ISSN":"1365-2664","issue":"11","language":"en","license":"© 2019 The Authors. Journal of Applied Ecology © 2019 British Ecological Society","note":"_eprint: https://besjournals.onlinelibrary.wiley.com/doi/pdf/10.1111/1365-2664.13485","page":"2505-2517","source":"Wiley Online Library","title":"eDNA surveys to detect species at very low densities: A case study of European carp eradication in Tasmania, Australia","title-short":"eDNA surveys to detect species at very low densities","URL":"https://besjournals.onlinelibrary.wiley.com/doi/abs/10.1111/1365-2664.13485","volume":"56","author":[{"family":"Furlan","given":"Elise M."},{"family":"Gleeson","given":"Dianne"},{"family":"Wisniewski","given":"Chris"},{"family":"Yick","given":"Jonah"},{"family":"Duncan","given":"Richard P."}],"accessed":{"date-parts":[["2020",6,13]]},"issued":{"date-parts":[["2019"]]}},"label":"page"}],"schema":"https://github.com/citation-style-language/schema/raw/master/csl-citation.json"} </w:instrText>
      </w:r>
      <w:r w:rsidR="001B0409" w:rsidRPr="00837161">
        <w:rPr>
          <w:lang w:eastAsia="ja-JP"/>
        </w:rPr>
        <w:fldChar w:fldCharType="separate"/>
      </w:r>
      <w:r w:rsidR="00271B78" w:rsidRPr="00271B78">
        <w:t>(Furlan et al., 2019)</w:t>
      </w:r>
      <w:r w:rsidR="001B0409" w:rsidRPr="00837161">
        <w:rPr>
          <w:lang w:eastAsia="ja-JP"/>
        </w:rPr>
        <w:fldChar w:fldCharType="end"/>
      </w:r>
      <w:r w:rsidR="001B0409" w:rsidRPr="00837161">
        <w:t>, particularly for</w:t>
      </w:r>
      <w:r w:rsidR="001B0409" w:rsidRPr="00837161">
        <w:rPr>
          <w:lang w:eastAsia="ja-JP"/>
        </w:rPr>
        <w:t xml:space="preserve"> situations where other novel detection technologies are not applicable </w:t>
      </w:r>
      <w:r w:rsidR="001B0409" w:rsidRPr="00837161">
        <w:fldChar w:fldCharType="begin"/>
      </w:r>
      <w:r w:rsidR="000F35EB">
        <w:instrText xml:space="preserve"> ADDIN ZOTERO_ITEM CSL_CITATION {"citationID":"M8DqIVU0","properties":{"formattedCitation":"(Bylemans et al., 2019)","plainCitation":"(Bylemans et al., 2019)","dontUpdate":true,"noteIndex":0},"citationItems":[{"id":30153,"uris":["http://zotero.org/groups/2352922/items/2ZY3S3YU"],"itemData":{"id":30153,"type":"article-journal","abstract":"Background The use of environmental DNA analysis has revolutionized biodiversity monitoring. Initially, eDNA monitoring surveys in aquatic environments utilized a targeted approach, but there has been a steady shift toward whole community assessments (eDNA metabarcoding). Both approaches can increase the detection sensitivity for rare and elusive species, compared to more conventional methods. However, it is important to understand the benefits and limitations of targeted and whole community eDNA monitoring to tailor surveys to research questions and management objectives. Aims Here, we aimed to test the relative merits of targeted eDNA analysis versus eDNA metabarcoding in an intermittent river system. Methods First, samples collected during different seasons were used to assess the influence of seasonality on the detection probabilities of both methods. Second, detection probabilities from the two monitoring approaches for one focal species were compared to evaluate the sensitivity of both methods. Finally, the data from an eDNA metabarcoding survey conducted across the outer distribution limits of an invasive species were used to evaluate whether species interactions can be inferred by this method. Results Analyses showed that sampling intermittent river systems during low flow events increases the performance of the targeted eDNA surveys, while sampling season does not influence the performance of eDNA metabarcoding surveys. Environmental DNA metabarcoding was found to be less sensitive than a targeted monitoring approach, thus making the latter more suitable for generating detailed distribution data. Nevertheless, eDNA metabarcoding survey data can be interpreted in a semiquantitative manner and can provide insights into biological interactions.","container-title":"Environmental DNA","DOI":"10.1002/edn3.41","ISSN":"2637-4943","issue":"4","language":"en","note":"_eprint: https://onlinelibrary.wiley.com/doi/pdf/10.1002/edn3.41","page":"402-414","source":"Wiley Online Library","title":"A performance evaluation of targeted eDNA and eDNA metabarcoding analyses for freshwater fishes","URL":"https://onlinelibrary.wiley.com/doi/abs/10.1002/edn3.41","volume":"1","author":[{"family":"Bylemans","given":"Jonas"},{"family":"Gleeson","given":"Dianne M."},{"family":"Duncan","given":"Richard P."},{"family":"Hardy","given":"Christopher M."},{"family":"Furlan","given":"Elise M."}],"accessed":{"date-parts":[["2020",6,13]]},"issued":{"date-parts":[["2019"]]}},"label":"page"}],"schema":"https://github.com/citation-style-language/schema/raw/master/csl-citation.json"} </w:instrText>
      </w:r>
      <w:r w:rsidR="001B0409" w:rsidRPr="00837161">
        <w:fldChar w:fldCharType="separate"/>
      </w:r>
      <w:r w:rsidR="00F97064" w:rsidRPr="00837161">
        <w:t>(Bylemans et al., 2019</w:t>
      </w:r>
      <w:r w:rsidR="000C028B" w:rsidRPr="00837161">
        <w:t>;</w:t>
      </w:r>
      <w:r w:rsidR="001B0409" w:rsidRPr="00837161">
        <w:fldChar w:fldCharType="end"/>
      </w:r>
      <w:r w:rsidR="002D3C4A" w:rsidRPr="00B52DF2">
        <w:rPr>
          <w:b/>
        </w:rPr>
        <w:t xml:space="preserve"> </w:t>
      </w:r>
      <w:r w:rsidR="00B52DF2">
        <w:rPr>
          <w:b/>
          <w:iCs/>
        </w:rPr>
        <w:t>C</w:t>
      </w:r>
      <w:r w:rsidR="006B3FCB" w:rsidRPr="00B52DF2">
        <w:rPr>
          <w:b/>
          <w:iCs/>
        </w:rPr>
        <w:t>hapter 6</w:t>
      </w:r>
      <w:r w:rsidR="00EC4112" w:rsidRPr="00B52DF2">
        <w:rPr>
          <w:iCs/>
        </w:rPr>
        <w:t xml:space="preserve">, </w:t>
      </w:r>
      <w:r w:rsidR="00EC4112" w:rsidRPr="00B52DF2">
        <w:rPr>
          <w:b/>
          <w:iCs/>
        </w:rPr>
        <w:t xml:space="preserve">section </w:t>
      </w:r>
      <w:r w:rsidR="006B3FCB" w:rsidRPr="00B52DF2">
        <w:rPr>
          <w:b/>
          <w:iCs/>
        </w:rPr>
        <w:t>6</w:t>
      </w:r>
      <w:r w:rsidR="00B73726" w:rsidRPr="00B52DF2">
        <w:rPr>
          <w:b/>
          <w:iCs/>
        </w:rPr>
        <w:t>.6.1.2</w:t>
      </w:r>
      <w:r w:rsidR="00EA1CF4" w:rsidRPr="00B52DF2">
        <w:rPr>
          <w:iCs/>
        </w:rPr>
        <w:t>;</w:t>
      </w:r>
      <w:r w:rsidR="00517CEB" w:rsidRPr="00B52DF2">
        <w:rPr>
          <w:b/>
          <w:iCs/>
        </w:rPr>
        <w:t xml:space="preserve"> </w:t>
      </w:r>
      <w:r w:rsidR="00517CEB" w:rsidRPr="00B52DF2">
        <w:rPr>
          <w:b/>
          <w:bCs/>
          <w:iCs/>
        </w:rPr>
        <w:t>Box 6.</w:t>
      </w:r>
      <w:r w:rsidR="003C07B4" w:rsidRPr="00B52DF2">
        <w:rPr>
          <w:b/>
          <w:bCs/>
          <w:iCs/>
        </w:rPr>
        <w:t>19</w:t>
      </w:r>
      <w:r w:rsidR="002D7FFC" w:rsidRPr="00837161">
        <w:t>)</w:t>
      </w:r>
      <w:r w:rsidR="00B54796" w:rsidRPr="00837161">
        <w:t xml:space="preserve">. </w:t>
      </w:r>
      <w:r w:rsidR="1A805E78" w:rsidRPr="00837161">
        <w:rPr>
          <w:rFonts w:eastAsia="Times New Roman"/>
        </w:rPr>
        <w:t xml:space="preserve">Environmental DNA analysis has the potential to be applied across most fields of invasive alien species, environmental research and land management, particularly for aquatic and marine invasive alien species </w:t>
      </w:r>
      <w:r w:rsidR="00BF7498" w:rsidRPr="00837161">
        <w:rPr>
          <w:rFonts w:eastAsia="Times New Roman"/>
        </w:rPr>
        <w:fldChar w:fldCharType="begin"/>
      </w:r>
      <w:r w:rsidR="000F35EB">
        <w:rPr>
          <w:rFonts w:eastAsia="Times New Roman"/>
        </w:rPr>
        <w:instrText xml:space="preserve"> ADDIN ZOTERO_ITEM CSL_CITATION {"citationID":"yOIu5pcM","properties":{"formattedCitation":"(C. Abbott et al., 2021)","plainCitation":"(C. Abbott et al., 2021)","noteIndex":0},"citationItems":[{"id":52539,"uris":["http://zotero.org/groups/2352922/items/MBGPGMS6","http://zotero.org/groups/2352922/items/MI3U5VLK"],"itemData":{"id":52539,"type":"book","language":"en","publisher":"Canadian Science Advisory Secretariat (CSAS) Ottawa, ON, Canada","source":"Zotero","title":"Guidance on the Use of Targeted Environmental DNA (eDNA) Analysis for the Management of Aquatic Invasive Species and Species at Risk","URL":"https://waves-vagues.dfo-mpo.gc.ca/Library/40960791.pdf","volume":"Research Document 2021/019","author":[{"family":"Abbott","given":"Cathryn"},{"family":"Coulson","given":"Mark"},{"family":"Gagné","given":"Nellie"},{"family":"Lacoursière</w:instrText>
      </w:r>
      <w:r w:rsidR="000F35EB">
        <w:rPr>
          <w:rFonts w:eastAsia="Times New Roman" w:hint="eastAsia"/>
        </w:rPr>
        <w:instrText>‐</w:instrText>
      </w:r>
      <w:r w:rsidR="000F35EB">
        <w:rPr>
          <w:rFonts w:eastAsia="Times New Roman"/>
        </w:rPr>
        <w:instrText xml:space="preserve">Roussel","given":"Anaïs"},{"family":"Parent","given":"Geneviève J."},{"family":"Bajno","given":"Robert"},{"family":"Dietrich","given":"Charise"},{"family":"May-McNally","given":"Shannan"}],"issued":{"date-parts":[["2021"]]}},"label":"page"}],"schema":"https://github.com/citation-style-language/schema/raw/master/csl-citation.json"} </w:instrText>
      </w:r>
      <w:r w:rsidR="00BF7498" w:rsidRPr="00837161">
        <w:rPr>
          <w:rFonts w:eastAsia="Times New Roman"/>
        </w:rPr>
        <w:fldChar w:fldCharType="separate"/>
      </w:r>
      <w:r w:rsidR="00271B78" w:rsidRPr="00271B78">
        <w:t>(C. Abbott et al., 2021)</w:t>
      </w:r>
      <w:r w:rsidR="00BF7498" w:rsidRPr="00837161">
        <w:rPr>
          <w:rFonts w:eastAsia="Times New Roman"/>
        </w:rPr>
        <w:fldChar w:fldCharType="end"/>
      </w:r>
      <w:r w:rsidR="00B05BC2" w:rsidRPr="00837161">
        <w:rPr>
          <w:rFonts w:eastAsia="Times New Roman"/>
        </w:rPr>
        <w:t xml:space="preserve"> </w:t>
      </w:r>
      <w:r w:rsidR="1A805E78" w:rsidRPr="00837161">
        <w:rPr>
          <w:rFonts w:eastAsia="Times New Roman"/>
        </w:rPr>
        <w:t xml:space="preserve">as many conventional and novel methods for detection do not work well (if at all) in these environments. </w:t>
      </w:r>
      <w:r w:rsidR="00B54796" w:rsidRPr="00837161">
        <w:t xml:space="preserve">Environmental </w:t>
      </w:r>
      <w:r w:rsidR="001B0409" w:rsidRPr="00837161">
        <w:t xml:space="preserve">DNA can be applied, for example, to identify species within aquatic or marine environments using </w:t>
      </w:r>
      <w:r w:rsidR="00ED0DD6" w:rsidRPr="00837161">
        <w:t>polymerase chain reaction (</w:t>
      </w:r>
      <w:r w:rsidR="001B0409" w:rsidRPr="00837161">
        <w:t>PCR</w:t>
      </w:r>
      <w:r w:rsidR="00CE3563" w:rsidRPr="00837161">
        <w:t xml:space="preserve">, see </w:t>
      </w:r>
      <w:r w:rsidR="00B52DF2">
        <w:rPr>
          <w:b/>
          <w:iCs/>
        </w:rPr>
        <w:t>G</w:t>
      </w:r>
      <w:r w:rsidR="00CE3563" w:rsidRPr="00B52DF2">
        <w:rPr>
          <w:b/>
          <w:iCs/>
        </w:rPr>
        <w:t>lossary</w:t>
      </w:r>
      <w:r w:rsidR="00ED0DD6" w:rsidRPr="00837161">
        <w:t>)</w:t>
      </w:r>
      <w:r w:rsidR="001B0409" w:rsidRPr="00837161">
        <w:t xml:space="preserve"> to</w:t>
      </w:r>
      <w:r w:rsidR="00CB40F2" w:rsidRPr="00837161">
        <w:t>o</w:t>
      </w:r>
      <w:r w:rsidR="001B0409" w:rsidRPr="00837161">
        <w:t xml:space="preserve">ls or for whole community assessments using metabarcoding </w:t>
      </w:r>
      <w:r w:rsidR="001B0409" w:rsidRPr="00837161">
        <w:fldChar w:fldCharType="begin"/>
      </w:r>
      <w:r w:rsidR="000F35EB">
        <w:instrText xml:space="preserve"> ADDIN ZOTERO_ITEM CSL_CITATION {"citationID":"EUiZU2uY","properties":{"unsorted":true,"formattedCitation":"(Rees et al., 2014; Bylemans et al., 2019)","plainCitation":"(Rees et al., 2014; Bylemans et al., 2019)","noteIndex":0},"citationItems":[{"id":22669,"uris":["http://zotero.org/groups/2352922/items/M2AMZ2E2"],"itemData":{"id":22669,"type":"article-journal","abstract":"Knowledge of species distribution is critical to ecological management and conservation biology. Effective management requires the detection of populations, which can sometimes be at low densities and is usually based on visual detection and counting. Recently, there has been considerable interest in the detection of short species-specific environmental DNA (eDNA) fragments to allow aquatic species monitoring within different environments due to the potential of greater sensitivity over traditional survey methods which can be time-consuming and costly. Environmental DNA analysis is increasingly being used in the detection of rare or invasive species and has also been applied to eDNA persistence studies and estimations of species biomass and distribution. When combined with next-generation sequencing methods, it has been demonstrated that entire faunas can be identified. Different environments require different sampling methodologies, but there remain areas where laboratory methodologies could be standardized to allow results to be compared across studies. Synthesis and applications. We review recently published studies that use eDNA to monitor aquatic populations, discuss the methodologies used and the application of eDNA analysis as a survey tool in ecology. We include innovative ideas for how eDNA can be used for conservation and management citing test cases, for instance, the potential for on-site analyses, including the application of eDNA analysis to carbon nanotube platforms or laser transmission spectroscopy to facilitate rapid on-site detections. The use of eDNA monitoring is already being adopted in the UK for ecological surveys.","container-title":"Journal of Applied Ecology","DOI":"10.1111/1365-2664.12306","ISSN":"1365-2664","issue":"5","language":"en","license":"© 2014 The Authors. Journal of Applied Ecology © 2014 British Ecological Society","note":"_eprint: https://besjournals.onlinelibrary.wiley.com/doi/pdf/10.1111/1365-2664.12306","page":"1450-1459","source":"Wiley Online Library","title":"REVIEW: The detection of aquatic animal species using environmental DNA – a review of eDNA as a survey tool in ecology","title-short":"REVIEW","URL":"https://besjournals.onlinelibrary.wiley.com/doi/abs/10.1111/1365-2664.12306","volume":"51","author":[{"family":"Rees","given":"Helen C."},{"family":"Maddison","given":"Ben C."},{"family":"Middleditch","given":"David J."},{"family":"Patmore","given":"James R. M."},{"family":"Gough","given":"Kevin C."}],"accessed":{"date-parts":[["2020",6,13]]},"issued":{"date-parts":[["2014"]]}},"label":"page"},{"id":30153,"uris":["http://zotero.org/groups/2352922/items/2ZY3S3YU"],"itemData":{"id":30153,"type":"article-journal","abstract":"Background The use of environmental DNA analysis has revolutionized biodiversity monitoring. Initially, eDNA monitoring surveys in aquatic environments utilized a targeted approach, but there has been a steady shift toward whole community assessments (eDNA metabarcoding). Both approaches can increase the detection sensitivity for rare and elusive species, compared to more conventional methods. However, it is important to understand the benefits and limitations of targeted and whole community eDNA monitoring to tailor surveys to research questions and management objectives. Aims Here, we aimed to test the relative merits of targeted eDNA analysis versus eDNA metabarcoding in an intermittent river system. Methods First, samples collected during different seasons were used to assess the influence of seasonality on the detection probabilities of both methods. Second, detection probabilities from the two monitoring approaches for one focal species were compared to evaluate the sensitivity of both methods. Finally, the data from an eDNA metabarcoding survey conducted across the outer distribution limits of an invasive species were used to evaluate whether species interactions can be inferred by this method. Results Analyses showed that sampling intermittent river systems during low flow events increases the performance of the targeted eDNA surveys, while sampling season does not influence the performance of eDNA metabarcoding surveys. Environmental DNA metabarcoding was found to be less sensitive than a targeted monitoring approach, thus making the latter more suitable for generating detailed distribution data. Nevertheless, eDNA metabarcoding survey data can be interpreted in a semiquantitative manner and can provide insights into biological interactions.","container-title":"Environmental DNA","DOI":"10.1002/edn3.41","ISSN":"2637-4943","issue":"4","language":"en","note":"_eprint: https://onlinelibrary.wiley.com/doi/pdf/10.1002/edn3.41","page":"402-414","source":"Wiley Online Library","title":"A performance evaluation of targeted eDNA and eDNA metabarcoding analyses for freshwater fishes","URL":"https://onlinelibrary.wiley.com/doi/abs/10.1002/edn3.41","volume":"1","author":[{"family":"Bylemans","given":"Jonas"},{"family":"Gleeson","given":"Dianne M."},{"family":"Duncan","given":"Richard P."},{"family":"Hardy","given":"Christopher M."},{"family":"Furlan","given":"Elise M."}],"accessed":{"date-parts":[["2020",6,13]]},"issued":{"date-parts":[["2019"]]}},"label":"page"}],"schema":"https://github.com/citation-style-language/schema/raw/master/csl-citation.json"} </w:instrText>
      </w:r>
      <w:r w:rsidR="001B0409" w:rsidRPr="00837161">
        <w:fldChar w:fldCharType="separate"/>
      </w:r>
      <w:r w:rsidR="00271B78" w:rsidRPr="00271B78">
        <w:t>(Rees et al., 2014; Bylemans et al., 2019)</w:t>
      </w:r>
      <w:r w:rsidR="001B0409" w:rsidRPr="00837161">
        <w:fldChar w:fldCharType="end"/>
      </w:r>
      <w:r w:rsidR="00B54796" w:rsidRPr="00837161">
        <w:rPr>
          <w:lang w:eastAsia="ja-JP"/>
        </w:rPr>
        <w:t xml:space="preserve">. Portable environmental </w:t>
      </w:r>
      <w:r w:rsidR="001B0409" w:rsidRPr="00837161">
        <w:rPr>
          <w:lang w:eastAsia="ja-JP"/>
        </w:rPr>
        <w:t xml:space="preserve">DNA PCR units are also increasingly available. </w:t>
      </w:r>
      <w:r w:rsidR="000A563F" w:rsidRPr="00837161">
        <w:rPr>
          <w:lang w:eastAsia="ja-JP"/>
        </w:rPr>
        <w:t xml:space="preserve">More recently </w:t>
      </w:r>
      <w:r w:rsidR="00463728" w:rsidRPr="00837161">
        <w:rPr>
          <w:lang w:eastAsia="ja-JP"/>
        </w:rPr>
        <w:t xml:space="preserve">studies are demonstrating the capacity to also capture and analyse aerial </w:t>
      </w:r>
      <w:r w:rsidR="008D10A6" w:rsidRPr="00837161">
        <w:rPr>
          <w:lang w:eastAsia="ja-JP"/>
        </w:rPr>
        <w:t>environmental DNA</w:t>
      </w:r>
      <w:r w:rsidR="00BF7498" w:rsidRPr="00837161">
        <w:rPr>
          <w:lang w:eastAsia="ja-JP"/>
        </w:rPr>
        <w:t xml:space="preserve"> </w:t>
      </w:r>
      <w:r w:rsidR="00BF7498" w:rsidRPr="00837161">
        <w:rPr>
          <w:lang w:eastAsia="ja-JP"/>
        </w:rPr>
        <w:fldChar w:fldCharType="begin"/>
      </w:r>
      <w:r w:rsidR="000F35EB">
        <w:rPr>
          <w:lang w:eastAsia="ja-JP"/>
        </w:rPr>
        <w:instrText xml:space="preserve"> ADDIN ZOTERO_ITEM CSL_CITATION {"citationID":"2don9N0q","properties":{"formattedCitation":"(Banchi et al., 2018)","plainCitation":"(Banchi et al., 2018)","noteIndex":0},"citationItems":[{"id":52541,"uris":["http://zotero.org/groups/2352922/items/AAY4UBFU"],"itemData":{"id":52541,"type":"article-journal","abstract":"Fungal spores and mycelium fragments are particles which become and remain airborne and have been subjects of aerobiological studies. The presence and the abundance of taxa in aerobiological samples can be very variable and impaired by changeable climatic conditions. Because many fungi produce mycotoxins and both their mycelium fragments and spores are potential allergens, monitoring the presence of these taxa is of key importance. So far data on exposure and sensitization to fungal allergens are mainly based on the assessment of few, easily identifiable taxa and focused only on certain environments. The microscopic method used to analyze aerobiological samples and the inconspicuous fungal characters do not allow a in depth taxonomical identification. Here, we present a first assessment of fungal diversity from airborne samples using a DNA metabarcoding analysis. The nuclear ITS2 region was selected as barcode to catch fungal diversity in mixed airborne samples gathered during two weeks in four sites of North-Eastern and Central Italy. We assessed the taxonomic composition and diversity within and among the sampled sites and compared the molecular data with those obtained by traditional microscopy. The molecular analyses provide a tenfold more comprehensive determination of the taxa than the traditional morphological inspections. Our results prove that the metabarcoding analysis is a promising approach to increases quality and sensitivity of the aerobiological monitoring. The laboratory and bioinformatic workflow implemented here is now suitable for routine, high-throughput, regional analyses of airborne fungi.","container-title":"PLoS ONE","DOI":"10.1371/journal.pone.0194489","ISSN":"1932-6203","issue":"3","journalAbbreviation":"PLOS ONE","language":"en","note":"publisher: Public Library of Science","page":"e0194489","source":"PLoS Journals","title":"DNA metabarcoding uncovers fungal diversity of mixed airborne samples in Italy","URL":"https://journals.plos.org/plosone/article?id=10.1371/journal.pone.0194489","volume":"13","author":[{"family":"Banchi","given":"Elisa"},{"family":"Ametrano","given":"Claudio Gennaro"},{"family":"Stanković","given":"David"},{"family":"Verardo","given":"Pierluigi"},{"family":"Moretti","given":"Olga"},{"family":"Gabrielli","given":"Francesca"},{"family":"Lazzarin","given":"Stefania"},{"family":"Borney","given":"Maria Francesca"},{"family":"Tassan","given":"Francesca"},{"family":"Tretiach","given":"Mauro"},{"family":"Pallavicini","given":"Alberto"},{"family":"Muggia","given":"Lucia"}],"accessed":{"date-parts":[["2022",7,3]]},"issued":{"date-parts":[["2018",3,20]]}},"label":"page"}],"schema":"https://github.com/citation-style-language/schema/raw/master/csl-citation.json"} </w:instrText>
      </w:r>
      <w:r w:rsidR="00BF7498" w:rsidRPr="00837161">
        <w:rPr>
          <w:lang w:eastAsia="ja-JP"/>
        </w:rPr>
        <w:fldChar w:fldCharType="separate"/>
      </w:r>
      <w:r w:rsidR="00271B78" w:rsidRPr="00271B78">
        <w:t>(Banchi et al., 2018)</w:t>
      </w:r>
      <w:r w:rsidR="00BF7498" w:rsidRPr="00837161">
        <w:rPr>
          <w:lang w:eastAsia="ja-JP"/>
        </w:rPr>
        <w:fldChar w:fldCharType="end"/>
      </w:r>
      <w:r w:rsidR="00560A08" w:rsidRPr="00837161">
        <w:rPr>
          <w:lang w:eastAsia="ja-JP"/>
        </w:rPr>
        <w:t>.</w:t>
      </w:r>
      <w:r w:rsidR="00BB3363" w:rsidRPr="00837161">
        <w:rPr>
          <w:lang w:eastAsia="ja-JP"/>
        </w:rPr>
        <w:t xml:space="preserve"> </w:t>
      </w:r>
      <w:bookmarkStart w:id="335" w:name="_Hlk112853474"/>
      <w:r w:rsidR="00BB3363" w:rsidRPr="00837161">
        <w:rPr>
          <w:lang w:eastAsia="ja-JP"/>
        </w:rPr>
        <w:t>Cross-phyla studies combining e</w:t>
      </w:r>
      <w:r w:rsidR="2CBF186E" w:rsidRPr="00837161">
        <w:rPr>
          <w:lang w:eastAsia="ja-JP"/>
        </w:rPr>
        <w:t xml:space="preserve">nvironmental </w:t>
      </w:r>
      <w:r w:rsidR="00BB3363" w:rsidRPr="00837161">
        <w:rPr>
          <w:lang w:eastAsia="ja-JP"/>
        </w:rPr>
        <w:t xml:space="preserve">DNA metabarcoding with taxonomy and population genetics is also being used to detect new introductions of species and genotypes </w:t>
      </w:r>
      <w:r w:rsidR="00A32405" w:rsidRPr="00837161">
        <w:rPr>
          <w:lang w:eastAsia="ja-JP"/>
        </w:rPr>
        <w:fldChar w:fldCharType="begin"/>
      </w:r>
      <w:r w:rsidR="000F35EB">
        <w:rPr>
          <w:lang w:eastAsia="ja-JP"/>
        </w:rPr>
        <w:instrText xml:space="preserve"> ADDIN ZOTERO_ITEM CSL_CITATION {"citationID":"wPAdhzDt","properties":{"formattedCitation":"(Holman et al., 2019)","plainCitation":"(Holman et al., 2019)","noteIndex":0},"citationItems":[{"id":53130,"uris":["http://zotero.org/groups/2352922/items/4IKBR5YZ","http://zotero.org/groups/2352922/items/S9TES5Y5"],"itemData":{"id":53130,"type":"article-journal","abstract":"Environmental DNA (eDNA) surveys are increasingly being used for biodiversity monitoring, principally because they are sensitive and can provide high resolution community composition data. Despite considerable progress in recent years, eDNA studies examining how different environmental sample types can affect species detectability remain rare. Comparisons of environmental samples are especially important for providing best practice guidance on early detection and subsequent mitigation of non-indigenous species. Here we used eDNA metabarcoding of COI (cytochrome c oxidase subunit I) and 18S (nuclear small subunit ribosomal DNA) genes to compare community composition between sediment and water samples in artificial coastal sites across the United Kingdom. We first detected markedly different communities and a consistently greater number of distinct operational taxonomic units in sediment compared to water. We then compared our eDNA datasets with previously published rapid assessment biodiversity surveys and found excellent concordance among the different survey techniques. Finally, our eDNA surveys detected many non-indigenous species, including several newly introduced species, highlighting the utility of eDNA metabarcoding for both early detection and temporal / spatial monitoring of non-indigenous species. We conclude that careful consideration on environmental sample type is needed when conducting eDNA surveys, especially for studies assessing community change.","container-title":"Scientific Reports","DOI":"10.1038/s41598-019-47899-7","ISSN":"2045-2322","issue":"1","journalAbbreviation":"Sci Rep","language":"en","license":"2019 The Author(s)","page":"11559","source":"www.nature.com","title":"Detection of introduced and resident marine species using environmental DNA metabarcoding of sediment and water","URL":"https://www.nature.com/articles/s41598-019-47899-7","volume":"9","author":[{"family":"Holman","given":"Luke E."},{"family":"Bruyn","given":"Mark","non-dropping-particle":"de"},{"family":"Creer","given":"Simon"},{"family":"Carvalho","given":"Gary"},{"family":"Robidart","given":"Julie"},{"family":"Rius","given":"Marc"}],"accessed":{"date-parts":[["2022",9,1]]},"issued":{"date-parts":[["2019",8,9]]}},"label":"page"}],"schema":"https://github.com/citation-style-language/schema/raw/master/csl-citation.json"} </w:instrText>
      </w:r>
      <w:r w:rsidR="00A32405" w:rsidRPr="00837161">
        <w:rPr>
          <w:lang w:eastAsia="ja-JP"/>
        </w:rPr>
        <w:fldChar w:fldCharType="separate"/>
      </w:r>
      <w:r w:rsidR="00271B78" w:rsidRPr="00271B78">
        <w:t>(Holman et al., 2019)</w:t>
      </w:r>
      <w:r w:rsidR="00A32405" w:rsidRPr="00837161">
        <w:rPr>
          <w:lang w:eastAsia="ja-JP"/>
        </w:rPr>
        <w:fldChar w:fldCharType="end"/>
      </w:r>
      <w:r w:rsidR="001F298A" w:rsidRPr="00837161">
        <w:rPr>
          <w:lang w:eastAsia="ja-JP"/>
        </w:rPr>
        <w:t>.</w:t>
      </w:r>
      <w:r w:rsidR="008D10A6" w:rsidRPr="00837161">
        <w:rPr>
          <w:lang w:eastAsia="ja-JP"/>
        </w:rPr>
        <w:t xml:space="preserve"> </w:t>
      </w:r>
      <w:bookmarkEnd w:id="335"/>
      <w:r w:rsidR="001B0409" w:rsidRPr="00837161">
        <w:rPr>
          <w:lang w:eastAsia="ja-JP"/>
        </w:rPr>
        <w:t xml:space="preserve">Care is needed in the interpretation of results, as the presence of a species’ DNA </w:t>
      </w:r>
      <w:r w:rsidR="002B59EA">
        <w:rPr>
          <w:lang w:eastAsia="ja-JP"/>
        </w:rPr>
        <w:t xml:space="preserve">does </w:t>
      </w:r>
      <w:r w:rsidR="001B0409" w:rsidRPr="00837161">
        <w:rPr>
          <w:lang w:eastAsia="ja-JP"/>
        </w:rPr>
        <w:t>not necessarily mean</w:t>
      </w:r>
      <w:r w:rsidR="08685A9E" w:rsidRPr="00837161">
        <w:rPr>
          <w:lang w:eastAsia="ja-JP"/>
        </w:rPr>
        <w:t xml:space="preserve"> </w:t>
      </w:r>
      <w:r w:rsidR="001B0409" w:rsidRPr="00837161">
        <w:rPr>
          <w:lang w:eastAsia="ja-JP"/>
        </w:rPr>
        <w:t xml:space="preserve">that live individuals are also present and </w:t>
      </w:r>
      <w:r w:rsidR="002B59EA">
        <w:rPr>
          <w:lang w:eastAsia="ja-JP"/>
        </w:rPr>
        <w:t>cannot determine</w:t>
      </w:r>
      <w:r w:rsidR="001B0409" w:rsidRPr="00837161">
        <w:rPr>
          <w:lang w:eastAsia="ja-JP"/>
        </w:rPr>
        <w:t xml:space="preserve"> where in the sample</w:t>
      </w:r>
      <w:r w:rsidR="00B54796" w:rsidRPr="00837161">
        <w:rPr>
          <w:lang w:eastAsia="ja-JP"/>
        </w:rPr>
        <w:t>d environment the species are</w:t>
      </w:r>
      <w:r w:rsidR="00CD1434">
        <w:rPr>
          <w:lang w:eastAsia="ja-JP"/>
        </w:rPr>
        <w:t>/were</w:t>
      </w:r>
      <w:r w:rsidR="00B54796" w:rsidRPr="00837161">
        <w:rPr>
          <w:lang w:eastAsia="ja-JP"/>
        </w:rPr>
        <w:t xml:space="preserve">. Environmental </w:t>
      </w:r>
      <w:r w:rsidR="001B0409" w:rsidRPr="00837161">
        <w:rPr>
          <w:lang w:eastAsia="ja-JP"/>
        </w:rPr>
        <w:t xml:space="preserve">DNA density may not be correlated to species abundance as DNA can accumulate or persist in certain situations or be degraded or lost in others. </w:t>
      </w:r>
      <w:r w:rsidR="001B0409" w:rsidRPr="00837161">
        <w:rPr>
          <w:color w:val="000000" w:themeColor="text1"/>
          <w:lang w:eastAsia="ja-JP"/>
        </w:rPr>
        <w:t xml:space="preserve">Some target species have a strong seasonal release/availability of environmental DNA </w:t>
      </w:r>
      <w:r w:rsidR="00183384" w:rsidRPr="00837161">
        <w:rPr>
          <w:color w:val="000000" w:themeColor="text1"/>
          <w:lang w:eastAsia="ja-JP"/>
        </w:rPr>
        <w:t>(</w:t>
      </w:r>
      <w:r w:rsidR="00BA147F" w:rsidRPr="00837161">
        <w:rPr>
          <w:color w:val="000000" w:themeColor="text1"/>
          <w:lang w:eastAsia="ja-JP"/>
        </w:rPr>
        <w:t xml:space="preserve">e.g., </w:t>
      </w:r>
      <w:r w:rsidR="001B0409" w:rsidRPr="00837161">
        <w:rPr>
          <w:color w:val="000000" w:themeColor="text1"/>
          <w:lang w:eastAsia="ja-JP"/>
        </w:rPr>
        <w:t>crabs and other marine fauna</w:t>
      </w:r>
      <w:r w:rsidR="00CD1434">
        <w:rPr>
          <w:color w:val="000000" w:themeColor="text1"/>
          <w:lang w:eastAsia="ja-JP"/>
        </w:rPr>
        <w:t>),</w:t>
      </w:r>
      <w:r w:rsidR="001B0409" w:rsidRPr="00837161">
        <w:rPr>
          <w:color w:val="000000" w:themeColor="text1"/>
          <w:lang w:eastAsia="ja-JP"/>
        </w:rPr>
        <w:t xml:space="preserve"> which complicate</w:t>
      </w:r>
      <w:r w:rsidR="00CD1434">
        <w:rPr>
          <w:color w:val="000000" w:themeColor="text1"/>
          <w:lang w:eastAsia="ja-JP"/>
        </w:rPr>
        <w:t>s</w:t>
      </w:r>
      <w:r w:rsidR="001B0409" w:rsidRPr="00837161">
        <w:rPr>
          <w:color w:val="000000" w:themeColor="text1"/>
          <w:lang w:eastAsia="ja-JP"/>
        </w:rPr>
        <w:t xml:space="preserve"> detection. </w:t>
      </w:r>
      <w:r w:rsidR="001B0409" w:rsidRPr="00837161">
        <w:rPr>
          <w:lang w:eastAsia="ja-JP"/>
        </w:rPr>
        <w:t xml:space="preserve">Sampling design may substantially influence sensitivity </w:t>
      </w:r>
      <w:r w:rsidR="001B0409" w:rsidRPr="00837161">
        <w:rPr>
          <w:lang w:eastAsia="ja-JP"/>
        </w:rPr>
        <w:fldChar w:fldCharType="begin"/>
      </w:r>
      <w:r w:rsidR="000F35EB">
        <w:rPr>
          <w:lang w:eastAsia="ja-JP"/>
        </w:rPr>
        <w:instrText xml:space="preserve"> ADDIN ZOTERO_ITEM CSL_CITATION {"citationID":"31bTdzL4","properties":{"formattedCitation":"(Furlan et al., 2016; Hinlo et al., 2017)","plainCitation":"(Furlan et al., 2016; Hinlo et al., 2017)","noteIndex":0},"citationItems":[{"id":16791,"uris":["http://zotero.org/groups/2352922/items/SJRABXTE"],"itemData":{"id":16791,"type":"article-journal","abstract":"Imperfect sensitivity, or imperfect detection, is a feature of all survey methods that needs to be accounted for when interpreting survey results. Detection of environmental DNA (eDNA) is increasingly being used to infer species distributions, yet the sensitivity of the technique has not been fully evaluated. Sensitivity, or the probability of detecting target DNA given it is present at a site, will depend on both the survey method and the concentration and dispersion of target DNA molecules at a site. We present a model to estimate target DNA concentration and dispersion at survey sites and to estimate the sensitivity of an eDNA survey method. We fitted this model to data from a species-specific eDNA survey for Oriental weatherloach, Misgurnus anguillicaudatus, at three sites sampled in both autumn and spring. The concentration of target DNA molecules was similar at all three sites in autumn but much higher at two sites in spring. Our analysis showed the survey method had ≥95% sensitivity at sites where target DNA concentrations were ≥11 molecules per litre. We show how these data can be used to compare sampling schemes that differ in the number of field samples collected per site and number of PCR replicates per sample to achieve ≥95% sensitivity at a given target DNA concentration. These models allow researchers to quantify the sensitivity of eDNA survey methods to optimize the probability of detecting target species, and to compare DNA concentrations spatially and temporarily.","container-title":"Molecular Ecology Resources","DOI":"10.1111/1755-0998.12483","ISSN":"1755-0998","issue":"3","language":"en","license":"© 2015 John Wiley &amp; Sons Ltd","page":"641-654","source":"Wiley Online Library","title":"A framework for estimating the sensitivity of eDNA surveys","URL":"https://onlinelibrary.wiley.com/doi/abs/10.1111/1755-0998.12483","volume":"16","author":[{"family":"Furlan","given":"Elise M."},{"family":"Gleeson","given":"Dianne"},{"family":"Hardy","given":"Christopher M."},{"family":"Duncan","given":"Richard P."}],"accessed":{"date-parts":[["2019",12,9]]},"issued":{"date-parts":[["2016"]]}},"label":"page"},{"id":23813,"uris":["http://zotero.org/groups/2352922/items/36DW3QRT"],"itemData":{"id":23813,"type":"article-journal","container-title":"Management of Biological Invasions","DOI":"10.3391/mbi.2017.8.1.09","ISSN":"19898649","issue":"1","journalAbbreviation":"MBI","page":"89-100","source":"DOI.org (Crossref)","title":"Environmental DNA monitoring and management of invasive fish: comparison of eDNA and fyke netting","title-short":"Environmental DNA monitoring and management of invasive fish","URL":"http://www.reabic.net/journals/mbi/2017/Issue1.aspx","volume":"8","author":[{"family":"Hinlo","given":"Rheyda"},{"family":"Furlan","given":"Elise"},{"family":"Suitor","given":"Lara"},{"family":"Gleeson","given":"Dianne"}],"accessed":{"date-parts":[["2019",10,17]]},"issued":{"date-parts":[["2017"]]}},"label":"page"}],"schema":"https://github.com/citation-style-language/schema/raw/master/csl-citation.json"} </w:instrText>
      </w:r>
      <w:r w:rsidR="001B0409" w:rsidRPr="00837161">
        <w:rPr>
          <w:lang w:eastAsia="ja-JP"/>
        </w:rPr>
        <w:fldChar w:fldCharType="separate"/>
      </w:r>
      <w:r w:rsidR="00271B78" w:rsidRPr="00271B78">
        <w:t>(Furlan et al., 2016; Hinlo et al., 2017)</w:t>
      </w:r>
      <w:r w:rsidR="001B0409" w:rsidRPr="00837161">
        <w:rPr>
          <w:lang w:eastAsia="ja-JP"/>
        </w:rPr>
        <w:fldChar w:fldCharType="end"/>
      </w:r>
      <w:r w:rsidR="001B0409" w:rsidRPr="00837161">
        <w:rPr>
          <w:lang w:eastAsia="ja-JP"/>
        </w:rPr>
        <w:t xml:space="preserve"> and abundance biases </w:t>
      </w:r>
      <w:r w:rsidR="001B0409" w:rsidRPr="00837161">
        <w:rPr>
          <w:lang w:eastAsia="ja-JP"/>
        </w:rPr>
        <w:fldChar w:fldCharType="begin"/>
      </w:r>
      <w:r w:rsidR="000F35EB">
        <w:rPr>
          <w:lang w:eastAsia="ja-JP"/>
        </w:rPr>
        <w:instrText xml:space="preserve"> ADDIN ZOTERO_ITEM CSL_CITATION {"citationID":"ViRN8J59","properties":{"formattedCitation":"(Furlan et al., 2018)","plainCitation":"(Furlan et al., 2018)","noteIndex":0},"citationItems":[{"id":22668,"uris":["http://zotero.org/groups/2352922/items/G6JFG94Z"],"itemData":{"id":22668,"type":"paper-conference","container-title":"Proceedings of Restore, Regenerate, Revegetate: A Conference on Restoring Ecological Processes, Ecosystems and Landscapes in a Changing World","event-place":"Armidale NSW Australia","event-title":"A Conference on Restoring Ecological Processes, Ecosystems and Landscapes in a Changing World","ISBN":"978-1-921 597-76-3","page":"33","publisher-place":"Armidale NSW Australia","source":"Google Scholar","title":"Application of an eDNA detection framework for species monitoring","URL":"https://hdl.handle.net/1959.11/22627","author":[{"family":"Furlan","given":"Elise M."},{"family":"Duncan","given":"Richard"},{"family":"Bylemans","given":"Jonas"},{"family":"Hinlo","given":"Rheyda"},{"family":"Rojahn","given":"Jack"},{"family":"Gleeson","given":"Dianne"}],"issued":{"date-parts":[["2018"]]}},"label":"page"}],"schema":"https://github.com/citation-style-language/schema/raw/master/csl-citation.json"} </w:instrText>
      </w:r>
      <w:r w:rsidR="001B0409" w:rsidRPr="00837161">
        <w:rPr>
          <w:lang w:eastAsia="ja-JP"/>
        </w:rPr>
        <w:fldChar w:fldCharType="separate"/>
      </w:r>
      <w:r w:rsidR="00271B78" w:rsidRPr="00271B78">
        <w:t>(Furlan et al., 2018)</w:t>
      </w:r>
      <w:r w:rsidR="001B0409" w:rsidRPr="00837161">
        <w:rPr>
          <w:lang w:eastAsia="ja-JP"/>
        </w:rPr>
        <w:fldChar w:fldCharType="end"/>
      </w:r>
      <w:r w:rsidR="001B0409" w:rsidRPr="00837161">
        <w:rPr>
          <w:lang w:eastAsia="ja-JP"/>
        </w:rPr>
        <w:t>.</w:t>
      </w:r>
      <w:r w:rsidRPr="00C0338D">
        <w:t xml:space="preserve"> Broad-scale environmental DNA sampling is relatively of low cost, and data acquisition and extraction can be streamlined. Environmental DNA sampling is non-invasive and non-destructive to sensitive environments.</w:t>
      </w:r>
    </w:p>
    <w:p w14:paraId="000002BC" w14:textId="29291A67" w:rsidR="00A758FD" w:rsidRPr="00C0338D" w:rsidRDefault="00C81287">
      <w:pPr>
        <w:spacing w:before="240" w:after="120" w:line="240" w:lineRule="auto"/>
      </w:pPr>
      <w:r w:rsidRPr="00C0338D">
        <w:t xml:space="preserve">Environmental DNA is consistently used to demonstrate absence of selected invasive alien species, and could be combined with other approaches where possible. To help manage the issue of live and dead species in samples, a refined system is being developed where only DNA from whole cells in the sample are collected. These sorts of approaches are rapidly being adopted in relevant biosecurity monitoring programmes in for example Australia and New Zealand and can also be usefully combined with citizen science </w:t>
      </w:r>
      <w:r w:rsidR="001B0409" w:rsidRPr="00837161">
        <w:fldChar w:fldCharType="begin"/>
      </w:r>
      <w:r w:rsidR="000F35EB">
        <w:instrText xml:space="preserve"> ADDIN ZOTERO_ITEM CSL_CITATION {"citationID":"pHKTZivP","properties":{"formattedCitation":"(E. R. Larson et al., 2020)","plainCitation":"(E. R. Larson et al., 2020)","noteIndex":0},"citationItems":[{"id":30775,"uris":["http://zotero.org/groups/2352922/items/EENTMKLP"],"itemData":{"id":30775,"type":"article-journal","abstract":"Biological invasions are a form of global change threatening biodiversity, ecosystem stability, and human health, and cost government agencies billions of dollars in remediation and eradication programs. Attempts to eradicate introduced species are most successful when detection of newly established populations occurs early in the invasion process. We review existing and emerging tools – specifically environmental DNA (eDNA), chemical approaches, remote sensing, citizen science, and agency-based monitoring – for surveillance and monitoring of invasive species. For each tool, we consider the benefits provided, examine challenges and limitations, discuss data sharing and integration, and suggest best practice implementations for the early detection of invasive species. Programs that promote public participation in large-scale biodiversity identification and monitoring (such as iNaturalist and eBird) may be the best resources for early detection. However, data from these platforms must be monitored and used by agencies that can mount appropriate response efforts. Control efforts are more likely to succeed when they are focused on early detection and prevention, thereby saving considerable time and resources.","container-title":"Frontiers in Ecology and the Environment","DOI":"10.1002/fee.2162","ISSN":"1540-9309","issue":"4","language":"en","note":"_eprint: https://onlinelibrary.wiley.com/doi/pdf/10.1002/fee.2162","page":"194-202","source":"Wiley Online Library","title":"From eDNA to citizen science: emerging tools for the early detection of invasive species","title-short":"From eDNA to citizen science","URL":"https://onlinelibrary.wiley.com/doi/abs/10.1002/fee.2162","volume":"18","author":[{"family":"Larson","given":"Eric R"},{"family":"Graham","given":"Brittney M"},{"family":"Achury","given":"Rafael"},{"family":"Coon","given":"Jaime J"},{"family":"Daniels","given":"Melissa K"},{"family":"Gambrell","given":"Daniel K"},{"family":"Jonasen","given":"Kacie L"},{"family":"King","given":"Gregory D"},{"family":"LaRacuente","given":"Nicholas"},{"family":"Perrin-Stowe","given":"Tolulope IN"},{"family":"Reed","given":"Emily M"},{"family":"Rice","given":"Christopher J"},{"family":"Ruzi","given":"Selina A"},{"family":"Thairu","given":"Margaret W"},{"family":"Wilson","given":"Jared C"},{"family":"Suarez","given":"Andrew V"}],"accessed":{"date-parts":[["2021",10,28]]},"issued":{"date-parts":[["2020"]]}},"label":"page"}],"schema":"https://github.com/citation-style-language/schema/raw/master/csl-citation.json"} </w:instrText>
      </w:r>
      <w:r w:rsidR="001B0409" w:rsidRPr="00837161">
        <w:fldChar w:fldCharType="separate"/>
      </w:r>
      <w:r w:rsidR="00271B78" w:rsidRPr="00271B78">
        <w:t>(E. R. Larson et al., 2020)</w:t>
      </w:r>
      <w:r w:rsidR="001B0409" w:rsidRPr="00837161">
        <w:fldChar w:fldCharType="end"/>
      </w:r>
      <w:r w:rsidR="00A46F73" w:rsidRPr="00837161">
        <w:rPr>
          <w:lang w:eastAsia="ja-JP"/>
        </w:rPr>
        <w:t>.</w:t>
      </w:r>
      <w:r w:rsidRPr="00C0338D">
        <w:t xml:space="preserve"> </w:t>
      </w:r>
    </w:p>
    <w:p w14:paraId="000002BD" w14:textId="41A0B948" w:rsidR="00A758FD" w:rsidRPr="00C0338D" w:rsidRDefault="00C81287">
      <w:pPr>
        <w:spacing w:before="240" w:after="120" w:line="240" w:lineRule="auto"/>
      </w:pPr>
      <w:r w:rsidRPr="00C0338D">
        <w:lastRenderedPageBreak/>
        <w:t>Sampling for environmental DNA analysis can be coupled to unmanned vehicles</w:t>
      </w:r>
      <w:r w:rsidR="005D7B59">
        <w:t>,</w:t>
      </w:r>
      <w:r w:rsidRPr="00C0338D">
        <w:t xml:space="preserve"> including aerial, ground-based and aquatic or marine vehicles with sample analysis undertaken autonomously. In some scenarios, this combined approach might effectively automate the process of surveillance and enable far greater penetration of inaccessible landscapes or environments. See </w:t>
      </w:r>
      <w:r w:rsidR="002F2F42">
        <w:rPr>
          <w:b/>
        </w:rPr>
        <w:t>S</w:t>
      </w:r>
      <w:r w:rsidRPr="00C0338D">
        <w:rPr>
          <w:b/>
        </w:rPr>
        <w:t xml:space="preserve">upplementary material 5.2 </w:t>
      </w:r>
      <w:r w:rsidRPr="00C0338D">
        <w:t>for further details.</w:t>
      </w:r>
    </w:p>
    <w:p w14:paraId="000002BE" w14:textId="77777777" w:rsidR="00A758FD" w:rsidRPr="00C0338D" w:rsidRDefault="00C81287" w:rsidP="00B06042">
      <w:pPr>
        <w:pStyle w:val="Heading4"/>
      </w:pPr>
      <w:bookmarkStart w:id="336" w:name="_heading=h.2szc72q" w:colFirst="0" w:colLast="0"/>
      <w:bookmarkStart w:id="337" w:name="_Toc43218446"/>
      <w:bookmarkStart w:id="338" w:name="_Toc69314003"/>
      <w:bookmarkEnd w:id="336"/>
      <w:r w:rsidRPr="00C0338D">
        <w:t>Sentinel surveillance and monitoring</w:t>
      </w:r>
      <w:bookmarkEnd w:id="337"/>
      <w:bookmarkEnd w:id="338"/>
    </w:p>
    <w:p w14:paraId="000002BF" w14:textId="21C3288F" w:rsidR="00A758FD" w:rsidRPr="00C0338D" w:rsidRDefault="00CD1434">
      <w:pPr>
        <w:spacing w:before="240" w:after="120" w:line="240" w:lineRule="auto"/>
      </w:pPr>
      <w:r>
        <w:t>S</w:t>
      </w:r>
      <w:r w:rsidRPr="00C0338D">
        <w:t>entinel surveillance</w:t>
      </w:r>
      <w:r>
        <w:t xml:space="preserve"> has been d</w:t>
      </w:r>
      <w:r w:rsidR="00C81287" w:rsidRPr="00C0338D">
        <w:t>eveloped for early detection, surveillance and monitoring of invasive alien disease incursions</w:t>
      </w:r>
      <w:r>
        <w:t>. It</w:t>
      </w:r>
      <w:r w:rsidR="00C81287" w:rsidRPr="00C0338D">
        <w:t xml:space="preserve"> involves sampling from a sentinel species</w:t>
      </w:r>
      <w:r>
        <w:t xml:space="preserve"> and</w:t>
      </w:r>
      <w:r w:rsidR="00C81287" w:rsidRPr="00C0338D">
        <w:t xml:space="preserve"> may be configured to identify a single or a range of invasive alien species. </w:t>
      </w:r>
      <w:r w:rsidR="001B0409" w:rsidRPr="00837161">
        <w:t xml:space="preserve">Targets commonly include infectious animal diseases </w:t>
      </w:r>
      <w:r w:rsidR="001B0409" w:rsidRPr="00837161">
        <w:fldChar w:fldCharType="begin"/>
      </w:r>
      <w:r w:rsidR="000F35EB">
        <w:instrText xml:space="preserve"> ADDIN ZOTERO_ITEM CSL_CITATION {"citationID":"MIR47oZU","properties":{"formattedCitation":"(Batista et al., 2012; McCluskey &amp; Salman, 2003)","plainCitation":"(Batista et al., 2012; McCluskey &amp; Salman, 2003)","noteIndex":0},"citationItems":[{"id":30798,"uris":["http://zotero.org/groups/2352922/items/DUJQZCLB"],"itemData":{"id":30798,"type":"article-journal","abstract":"Introduction: From February-September 2010, seroepidemiological surveys were conducted on non-human primates and transmitter vector capture was used to investigate the possible circulation of arboviruses in the municipalities of Bonito, Campo Grande, and Jardim, State of Mato Grosso do Sul, Brazil. Methods: A total of 65 primates from the wild and captivity were used, and potential vectors were captured using Castro and dip nets. Serum samples were tested at the Instituto Evandro Chagas, State of Pará, using the hemagglutination inhibition test to detect total antibodies against 19 different arboviruses. Virus isolation was attempted from serum samples and arthropod suspensions using newborn mice and the C6/36 cell line clone. In addition, identification of the vector species was conducted. Results: From the 19 serum samples from Campo Grande, 1 sample had a 1:20 titer for Flavivirus. From the 35 samples collected in Bonito, 17 samples had antibodies to arboviruses, 4 (11.4%) were positive for Alphavirus, and 5 (14.2%) were positive for Flavivirus. Monotypic reactions were observed for the Mayaro (n = 10) and Oropouche (n = 5) viruses, and 6 (17.1%) samples had titers for &gt;1 virus. We captured 120 Culicidae individuals that were potential arbovirus transmitters in Jardim; however, all the samples were negative for the viruses. Conclusions: Mato Grosso do Sul has a variety of vertebrate hosts and transmission vectors, thereby providing ideal conditions for the emergence or reemergence of arboviruses, including some pathogenic to human beings.","container-title":"Revista da Sociedade Brasileira de Medicina Tropical","DOI":"10.1590/S0037-86822012000200006","ISSN":"0037-8682","issue":"2","journalAbbreviation":"Rev. Soc. Bras. Med. Trop.","language":"en","page":"168-173","source":"DOI.org (Crossref)","title":"Seroepidemiological monitoring in sentinel animals and vectors as part of arbovirus surveillance in the state of Mato Grosso do Sul, Brazil","URL":"http://www.scielo.br/scielo.php?script=sci_arttext&amp;pid=S0037-86822012000200006&amp;lng=en&amp;tlng=en","volume":"45","author":[{"family":"Batista","given":"Paulo Mira"},{"family":"Andreotti","given":"Renato"},{"family":"Chiang","given":"Jannifer Oliveira"},{"family":"Ferreira","given":"Milene Silveira"},{"family":"Vasconcelos","given":"Pedro Fernando da Costa"}],"accessed":{"date-parts":[["2021",10,28]]},"issued":{"date-parts":[["2012",4]]}},"label":"page"},{"id":53171,"uris":["http://zotero.org/groups/2352922/items/XTMQT4FJ"],"itemData":{"id":53171,"type":"chapter","container-title":"Animal disease surveillance and survey systems: methods and applications","page":"119-133","publisher":"Wiley Online Library","title":"Use of sentinel herds in monitoring and surveillance systems","URL":"https://doi.org/10.1002/9780470344866.ch8","author":[{"family":"McCluskey","given":"B. J."},{"family":"Salman","given":"M. D."}],"issued":{"date-parts":[["2003"]]}},"label":"page"}],"schema":"https://github.com/citation-style-language/schema/raw/master/csl-citation.json"} </w:instrText>
      </w:r>
      <w:r w:rsidR="001B0409" w:rsidRPr="00837161">
        <w:fldChar w:fldCharType="separate"/>
      </w:r>
      <w:r w:rsidR="00271B78" w:rsidRPr="00271B78">
        <w:t>(Batista et al., 2012; McCluskey &amp; Salman, 2003)</w:t>
      </w:r>
      <w:r w:rsidR="001B0409" w:rsidRPr="00837161">
        <w:fldChar w:fldCharType="end"/>
      </w:r>
      <w:r w:rsidR="001B0409" w:rsidRPr="00837161">
        <w:t xml:space="preserve"> and plant pests and </w:t>
      </w:r>
      <w:r w:rsidR="07409EA4" w:rsidRPr="00837161">
        <w:t>pathogens</w:t>
      </w:r>
      <w:r w:rsidR="00F26EC4" w:rsidRPr="00837161">
        <w:t xml:space="preserve"> </w:t>
      </w:r>
      <w:r w:rsidR="001B0409" w:rsidRPr="00837161">
        <w:fldChar w:fldCharType="begin"/>
      </w:r>
      <w:r w:rsidR="000F35EB">
        <w:instrText xml:space="preserve"> ADDIN ZOTERO_ITEM CSL_CITATION {"citationID":"XykA676u","properties":{"formattedCitation":"(Kenis et al., 2018)","plainCitation":"(Kenis et al., 2018)","noteIndex":0},"citationItems":[{"id":30098,"uris":["http://zotero.org/groups/2352922/items/69GRNGNA"],"itemData":{"id":30098,"type":"article-journal","abstract":"Ornamental plants represent a major pathway of invasion for alien pests worldwide. Commodity risk analyses are carried out to assess the risk posed by a new trade in a commodity, but they are restricted by our limited knowledge of the pests carried by traded plants. We used the sentinel nursery technique to identify insects attacking woody plants imported into Europe. We established two sentinel nurseries in China, with five traded Asian plants. These nurseries were monitored for two years to obtain lists of insects that can be expected on these commodities. These records were compared with those obtained from literature surveys, which are usually the sources of information available to pest risk assessors. At each site, 105 insect species and host associations were found on sentinel plants and 90% of these associations had not been found in a previous literature survey of insect pests of the five plants. Nearly 80% of these associations were not found in an a posteriori literature survey. An assessment classified 9%, 7% and 84% of the insect records as presenting a high, moderate and low likelihood of introduction, respectively. These results show the benefit of sentinel nurseries to identify potential infestation of plant commodity imports.","container-title":"Scientific Reports","DOI":"10.1038/s41598-018-29551-y","ISSN":"2045-2322","issue":"1","journalAbbreviation":"Sci Rep","language":"en","license":"2018 The Author(s)","note":"Bandiera_abtest: a\nCc_license_type: cc_by\nCg_type: Nature Research Journals\nnumber: 1\nPrimary_atype: Research\npublisher: Nature Publishing Group\nSubject_term: Entomology;Invasive species\nSubject_term_id: entomology;invasive-species","page":"11217","source":"www.nature.com","title":"Sentinel nurseries to assess the phytosanitary risks from insect pests on importations of live plants","URL":"https://www.nature.com/articles/s41598-018-29551-y","volume":"8","author":[{"family":"Kenis","given":"Marc"},{"family":"Li","given":"Hongmei"},{"family":"Fan","given":"Jian-ting"},{"family":"Courtial","given":"Beatrice"},{"family":"Auger-Rozenberg","given":"Marie-Anne"},{"family":"Yart","given":"Annie"},{"family":"Eschen","given":"René"},{"family":"Roques","given":"Alain"}],"accessed":{"date-parts":[["2021",8,17]]},"issued":{"date-parts":[["2018",7,25]]}},"label":"page"}],"schema":"https://github.com/citation-style-language/schema/raw/master/csl-citation.json"} </w:instrText>
      </w:r>
      <w:r w:rsidR="001B0409" w:rsidRPr="00837161">
        <w:fldChar w:fldCharType="separate"/>
      </w:r>
      <w:r w:rsidR="00271B78" w:rsidRPr="00271B78">
        <w:t>(Kenis et al., 2018)</w:t>
      </w:r>
      <w:r w:rsidR="001B0409" w:rsidRPr="00837161">
        <w:fldChar w:fldCharType="end"/>
      </w:r>
      <w:r w:rsidR="001B0409" w:rsidRPr="00837161">
        <w:t xml:space="preserve">. Animal disease examples include West Nile virus using chickens and mosquitos </w:t>
      </w:r>
      <w:r w:rsidR="001B0409" w:rsidRPr="00837161">
        <w:fldChar w:fldCharType="begin"/>
      </w:r>
      <w:r w:rsidR="000F35EB">
        <w:instrText xml:space="preserve"> ADDIN ZOTERO_ITEM CSL_CITATION {"citationID":"1kxWClsf","properties":{"formattedCitation":"(Reisen et al., 2004)","plainCitation":"(Reisen et al., 2004)","noteIndex":0},"citationItems":[{"id":22663,"uris":["http://zotero.org/groups/2352922/items/39UXJACZ"],"itemData":{"id":22663,"type":"article-journal","abstract":"The spread of WNV in California is tracked., West Nile virus (WNV) was first isolated in California during July 2003 from a pool of Culex tarsalis collected near El Centro, Imperial County. WNV transmission then increased and spread in Imperial and Coachella Valleys, where it was tracked by isolation from pools of Cx. tarsalis, seroconversions in sentinel chickens, and seroprevalence in free-ranging birds. WNV then dispersed to the city of Riverside, Riverside County, and to the Whittier Dam area of Los Angeles County, where it was detected in dead birds and pools of Cx. pipiens quinquefasciatus. By October, WNV was detected in dead birds collected from riparian corridors in Los Angeles, west to Long Beach, and through inland valleys south from Riverside to San Diego County. WNV was reported concurrently from Arizona in mid-August and from Baja, Mexico, in mid-November. Possible mechanisms for virus introduction, amplification, and dispersal are discussed.","container-title":"Emerging Infectious Diseases","DOI":"10.3201/eid1008.040077","ISSN":"1080-6040","issue":"8","journalAbbreviation":"Emerg Infect Dis","note":"PMID: 15496236\nPMCID: PMC3320391","page":"1369-1378","source":"PubMed Central","title":"West Nile Virus in California","URL":"https://www.ncbi.nlm.nih.gov/pmc/articles/PMC3320391/","volume":"10","author":[{"family":"Reisen","given":"William"},{"family":"Lothrop","given":"Hugh"},{"family":"Chiles","given":"Robert"},{"family":"Madon","given":"Minoo"},{"family":"Cossen","given":"Cynthia"},{"family":"Woods","given":"Leslie"},{"family":"Husted","given":"Stan"},{"family":"Kramer","given":"Vicki"},{"family":"Edman","given":"John"}],"accessed":{"date-parts":[["2020",6,13]]},"issued":{"date-parts":[["2004",8]]}},"label":"page"}],"schema":"https://github.com/citation-style-language/schema/raw/master/csl-citation.json"} </w:instrText>
      </w:r>
      <w:r w:rsidR="001B0409" w:rsidRPr="00837161">
        <w:fldChar w:fldCharType="separate"/>
      </w:r>
      <w:r w:rsidR="00271B78" w:rsidRPr="00271B78">
        <w:t>(Reisen et al., 2004)</w:t>
      </w:r>
      <w:r w:rsidR="001B0409" w:rsidRPr="00837161">
        <w:fldChar w:fldCharType="end"/>
      </w:r>
      <w:r w:rsidR="001B0409" w:rsidRPr="00837161">
        <w:t xml:space="preserve">, cattle for bluetongue disease in sheep </w:t>
      </w:r>
      <w:r w:rsidR="001B0409" w:rsidRPr="00837161">
        <w:fldChar w:fldCharType="begin"/>
      </w:r>
      <w:r w:rsidR="000F35EB">
        <w:instrText xml:space="preserve"> ADDIN ZOTERO_ITEM CSL_CITATION {"citationID":"1FdhI4rv","properties":{"formattedCitation":"(Elbers et al., 2008)","plainCitation":"(Elbers et al., 2008)","noteIndex":0},"citationItems":[{"id":25010,"uris":["http://zotero.org/groups/2352922/items/WWUHF6DR"],"itemData":{"id":25010,"type":"article-journal","abstract":"Starting August 2006, a major epidemic of bluetongue (BT) was identified in North-West Europe, affecting The Netherlands, Belgium, Germany, Luxemburg and the North of France. It was caused by BT virus serotype 8 (BTV-8), a serotype previously unknown to the European Union (EU). In this outbreak, the virus caused clinical disease in a few individual animals within cattle herds, whereas overt clinical disease was usually restricted to sheep. Investigations in Belgium suggested that the first clinical signs of BTV-8 appeared mid July 2006 in a cattle herd, while the first suspicion of a BT-outbreak in Belgium was reported on 17 August 2006. In the first 10 BTV-8 outbreaks in the Netherlands, the owners indicated that the first clinical signs started approximately 12–17 days before a suspicion was reported to the veterinary authorities via a veterinary practitioner. In BTV-8 affected sheep flocks, erosions of the oral mucosa, fever, salivation, facial and mandibular oedema, apathy and tiredness, mortality, oedema of the lips, lameness, and dysphagia were among the most frequent clinical signs recorded. The most prominent clinical signs in BTV-8 affected cattle herds were: crusts/lesions of the nasal mucosa, erosions of lips/crusts in or around the nostrils, erosions of the oral mucosa, salivation, fever, conjunctivitis, coronitis, muscle necrosis, and stiffness of the limbs. Crusts/lesions of nasal mucosa, conjunctivitis, hyperaemic/purple coloration and lesions of the teats, and redness/hypersensitivity of the skin were relatively more seen on outbreak farms with cattle compared to sheep. Mortality, oedema of the head and ears, coronitis, redness of the oral mucosa, erosions/ulceration of tongue mucosa, purple coloration of the tongue and tongue protrusion and dyspneu were relatively more seen on outbreak farms with sheep compared to cattle.","collection-title":"Special Issue: The 2006 Bluetongue outbreak in North-West Europe: The outcome from the epidemiological investigation coordinated by the European food safety authority (EFSA)","container-title":"Preventive Veterinary Medicine","DOI":"10.1016/j.prevetmed.2008.06.004","ISSN":"0167-5877","issue":"1-2","journalAbbreviation":"Preventive Veterinary Medicine","language":"en","page":"21-30","source":"ScienceDirect","title":"Field observations during the bluetongue serotype 8 epidemic in 2006: I. Detection of first outbreaks and clinical signs in sheep and cattle in Belgium, France and the Netherlands","title-short":"Field observations during the bluetongue serotype 8 epidemic in 2006","URL":"http://www.sciencedirect.com/science/article/pii/S0167587708001190","volume":"87","author":[{"family":"Elbers","given":"Armin R. W."},{"family":"Backx","given":"Anoek"},{"family":"Meroc","given":"Estelle"},{"family":"Gerbier","given":"Guillaume"},{"family":"Staubach","given":"Christoph"},{"family":"Hendrickx","given":"Guy"},{"family":"Spek","given":"Arco","non-dropping-particle":"van der"},{"family":"Mintiens","given":"Koen"}],"accessed":{"date-parts":[["2020",8,20]]},"issued":{"date-parts":[["2008",10,15]]}},"label":"page"}],"schema":"https://github.com/citation-style-language/schema/raw/master/csl-citation.json"} </w:instrText>
      </w:r>
      <w:r w:rsidR="001B0409" w:rsidRPr="00837161">
        <w:fldChar w:fldCharType="separate"/>
      </w:r>
      <w:r w:rsidR="00271B78" w:rsidRPr="00271B78">
        <w:t>(Elbers et al., 2008)</w:t>
      </w:r>
      <w:r w:rsidR="001B0409" w:rsidRPr="00837161">
        <w:fldChar w:fldCharType="end"/>
      </w:r>
      <w:r w:rsidR="001B0409" w:rsidRPr="00837161">
        <w:t xml:space="preserve"> </w:t>
      </w:r>
      <w:r w:rsidR="00644E84" w:rsidRPr="00837161">
        <w:t xml:space="preserve">and </w:t>
      </w:r>
      <w:r w:rsidR="001B0409" w:rsidRPr="00837161">
        <w:t xml:space="preserve">bovine ephemeral fever virus in cattle </w:t>
      </w:r>
      <w:r w:rsidR="001B0409" w:rsidRPr="00837161">
        <w:fldChar w:fldCharType="begin"/>
      </w:r>
      <w:r w:rsidR="000F35EB">
        <w:instrText xml:space="preserve"> ADDIN ZOTERO_ITEM CSL_CITATION {"citationID":"VzLTdf7K","properties":{"formattedCitation":"(St George, 1985)","plainCitation":"(St George, 1985)","noteIndex":0},"citationItems":[{"id":31926,"uris":["http://zotero.org/groups/2352922/items/57PQ77IT"],"itemData":{"id":31926,"type":"article-journal","abstract":"Twenty-two sentinel cattle were observed daily during an outbreak of ephemeral fever on a dairy farm in eastern Australia in the summer of 1981-82. Of the 22 cattle, 9 developed clinical ephemeral fever. None developed sub-clinical infection. The pattern of the epidemic was single index case followed 10 days later by the main epidemic wave which lasted for 7 days. This wave stopped when there...","container-title":"Veterinary Microbiology","DOI":"10.1016/0378-1135(85)90058-6","ISSN":"0378-1135","issue":"6","language":"English","page":"493-504","source":"www.cabdirect.org","title":"Studies on the pathogenesis of bovine ephemeral fever in sentinel cattle. I. Virology and serology.","URL":"https://www.cabdirect.org/cabdirect/abstract/19862274504","volume":"10","author":[{"family":"St George","given":"T. D."}],"accessed":{"date-parts":[["2020",6,13]]},"issued":{"date-parts":[["1985"]]}},"label":"page"}],"schema":"https://github.com/citation-style-language/schema/raw/master/csl-citation.json"} </w:instrText>
      </w:r>
      <w:r w:rsidR="001B0409" w:rsidRPr="00837161">
        <w:fldChar w:fldCharType="separate"/>
      </w:r>
      <w:r w:rsidR="00271B78" w:rsidRPr="00271B78">
        <w:t>(St George, 1985)</w:t>
      </w:r>
      <w:r w:rsidR="001B0409" w:rsidRPr="00837161">
        <w:fldChar w:fldCharType="end"/>
      </w:r>
      <w:r w:rsidR="001B0409" w:rsidRPr="00837161">
        <w:t xml:space="preserve"> or bovine tuberculosis using pigs, badgers and cattle </w:t>
      </w:r>
      <w:r w:rsidR="001B0409" w:rsidRPr="00837161">
        <w:fldChar w:fldCharType="begin"/>
      </w:r>
      <w:r w:rsidR="00E25D54">
        <w:instrText xml:space="preserve"> ADDIN ZOTERO_ITEM CSL_CITATION {"citationID":"GkQpGzdu","properties":{"formattedCitation":"(McInerney et al., 1995; Murphy et al., 2011)","plainCitation":"(McInerney et al., 1995; Murphy et al., 2011)","noteIndex":0},"citationItems":[{"id":11132,"uris":["http://zotero.org/groups/2352922/items/KZPA2ZV3"],"itemData":{"id":11132,"type":"article-journal","abstract":"The prevalence of Mycobacterium bovis infection in populations of feral pigs from five areas in the Northern Territory was examined. In total 790 pigs were necropsied and positive cultures of M bovis were obtained from two pigs (0.25%) and a mycobacterial granuloma was found in one pig. The observed prevalence of M bovis infection in feral pigs is significantly less (x2= 139.8, df = 1, P &lt; 0.001) than the results of a comparable survey conducted during the early 1970s before the implementation of the Brucellosis and Tuberculosis Eradication Campaign. The prevalence of all types of macroscopic lesions resembling tuberculosis was significantly (x2= 338.7, df = 1, P &lt; 0.001) less than the earlier survey. The results are further support for the hypothesis that in the Northern Territory feral pigs are an end-host for M bovis infection, and that the previous high prevalence of M bovis recorded in feral pigs in the 1970s was caused by the close association between these animals and large populations of M bovis-infected buffalo and cattle.","container-title":"Australian Veterinary Journal","DOI":"10.1111/j.1751-0813.1995.tb03486.x","ISSN":"1751-0813","issue":"12","language":"en","note":"_eprint: https://onlinelibrary.wiley.com/doi/pdf/10.1111/j.1751-0813.1995.tb03486.x","page":"448-451","source":"Wiley Online Library","title":"Prevalence of &lt;i&gt;Mycobacterium bovis&lt;/i&gt; infection in feral pigs in the Northern Territory","URL":"https://onlinelibrary.wiley.com/doi/abs/10.1111/j.1751-0813.1995.tb03486.x","volume":"72","author":[{"family":"McInerney","given":"J."},{"family":"Small","given":"Kj"},{"family":"Caley","given":"P."}],"accessed":{"date-parts":[["2020",8,20]]},"issued":{"date-parts":[["1995"]]}},"label":"page"},{"id":22661,"uris":["http://zotero.org/groups/2352922/items/KISASCF3"],"itemData":{"id":22661,"type":"article-journal","abstract":"In Ireland badgers are removed in response to tuberculosis (TB) breakdowns in cattle herds (focal culling). Prevalence studies, conducted using a detailed post mortem and bacteriological examination, showed that 36–50% of badgers were infected with Mycobacterium bovis. Focal culling forms part of the medium term national strategy for the control of bovine TB in cattle and is based on the premise that badgers in areas with herd breakdowns have a higher prevalence of infection than the badger population at large. However, the hypothesis that cattle can be used as sentinels for infection in the badger population has never been formally tested. In this study we tested the hypothesis by determining the infection prevalence in badgers in areas where there had been historically, a consistently low prevalence of infection in cattle. Low cattle TB prevalence areas were defined as those herds with ≤2 standard reactors in the annual round of skin testing over the preceding 5years (Greenfield sites). Using GIS, and adjusting for variation in land use, previous culling and cattle density, 198 Greenfield sites were identified and surveyed, and 138 areas with badger setts or signs of badger activity were identified. A single badger was removed from 87 sites and all were examined using detailed post mortem and bacteriological procedures. A prevalence of M. bovis infection of 14.9% was found in the Greenfield site badgers. This prevalence was significantly lower (P&lt;0.001) than in badgers removed during focal culling (36.6%). The results validate the use of cattle as sentinels for TB in badgers and support the medium term national strategy for the control of bovine TB. The geographic variation in M. bovis infection prevalence in the Irish badger populations will be used when devising strategies for the incorporation of badger vaccination into the long term bovine TB control programme.","collection-title":"Special issue: 5th International Conference on Mycobacterium bovis","container-title":"Veterinary Microbiology","DOI":"10.1016/j.vetmic.2011.02.034","ISSN":"0378-1135","issue":"1-2","journalAbbreviation":"Veterinary Microbiology","language":"en","page":"120-125","source":"ScienceDirect","title":"Tuberculosis in cattle herds are sentinels for &lt;i&gt;Mycobacterium bovis&lt;/i&gt; infection in European badgers (&lt;i&gt;Meles meles&lt;/i&gt;): The Irish Greenfield Study","title-short":"Tuberculosis in cattle herds are sentinels for Mycobacterium bovis infection in European badgers (Meles meles)","URL":"http://www.sciencedirect.com/science/article/pii/S0378113511001155","volume":"151","author":[{"family":"Murphy","given":"D."},{"family":"Gormley","given":"E."},{"family":"Collins","given":"D. M."},{"family":"McGrath","given":"G."},{"family":"Sovsic","given":"E."},{"family":"Costello","given":"E."},{"family":"Corner","given":"L. A. L."}],"accessed":{"date-parts":[["2020",6,13]]},"issued":{"date-parts":[["2011",7,5]]}},"label":"page"}],"schema":"https://github.com/citation-style-language/schema/raw/master/csl-citation.json"} </w:instrText>
      </w:r>
      <w:r w:rsidR="001B0409" w:rsidRPr="00837161">
        <w:fldChar w:fldCharType="separate"/>
      </w:r>
      <w:r w:rsidR="00271B78" w:rsidRPr="00271B78">
        <w:t>(McInerney et al., 1995; Murphy et al., 2011)</w:t>
      </w:r>
      <w:r w:rsidR="001B0409" w:rsidRPr="00837161">
        <w:fldChar w:fldCharType="end"/>
      </w:r>
      <w:r w:rsidR="001B0409" w:rsidRPr="00837161">
        <w:t>. Relatively less is known about the sensitivity, practicality and other characteristics of sentinel disease surveillance using wild species providing for sentinel surveillance. In one example in Estonia and Latvia</w:t>
      </w:r>
      <w:r w:rsidR="35694473" w:rsidRPr="00837161">
        <w:t>,</w:t>
      </w:r>
      <w:r w:rsidR="001B0409" w:rsidRPr="00837161">
        <w:t xml:space="preserve"> regular testing (and aerial vaccine bait dropping) is undertaken for wild animal rabies (</w:t>
      </w:r>
      <w:r w:rsidR="00BA147F" w:rsidRPr="00837161">
        <w:t xml:space="preserve">e.g., </w:t>
      </w:r>
      <w:r w:rsidR="001B0409" w:rsidRPr="00837161">
        <w:t xml:space="preserve">raccoon dog) </w:t>
      </w:r>
      <w:r w:rsidR="001B0409" w:rsidRPr="00837161">
        <w:fldChar w:fldCharType="begin"/>
      </w:r>
      <w:r w:rsidR="000F35EB">
        <w:instrText xml:space="preserve"> ADDIN ZOTERO_ITEM CSL_CITATION {"citationID":"NI5Blrk5","properties":{"formattedCitation":"(Holmala &amp; Kauhala, 2006)","plainCitation":"(Holmala &amp; Kauhala, 2006)","noteIndex":0},"citationItems":[{"id":30113,"uris":["http://zotero.org/groups/2352922/items/3LDDM8GI"],"itemData":{"id":30113,"type":"article-journal","abstract":"1 The number of wildlife rabies cases has increased in Europe in recent years. We review the epizootiology of wildlife rabies in Europe, paying special attention to recent changes to the situation of two important vector species: the red fox and the raccoon dog. Red fox Vulpes vulpes has been the main vector of rabies since 1945, but the number and proportion of raccoon dog Nyctereutes procyonoides cases has rapidly increased during the past few years, particularly in north-eastern Europe. 2 The transmission rate (average number of susceptible animals infected by each rabid animal) is critical for rabies spread and is partly determined by population density. Both raccoon dogs and foxes live in pairs. Foxes also live in family groups. Pairs and groups share their territories. Home range size usually correlates negatively with population density. Fox home ranges are 50–1500 ha, those of raccoon dogs 150–700 ha. The threshold value for rabies spread among foxes is estimated to be 0.63 individuals/km2. Although fox density in eastern and northern Europe may be lower than this, the pooled density of foxes and raccoon dogs exceeds the threshold density. 3 Animal movements, especially dispersal of young, pose a risk for rabies spread. Although the likelihood of an epizootic is highest where fox and raccoon dog densities are highest, rabies may spread fastest where population densities are lower, because dispersal distances tend to correlate negatively with population density. 4 Oral vaccinations have been more effective in rabies control than culling foxes. Where two vector species exist, vaccination should be conducted twice a year, because most raccoon dogs disperse in autumn but some foxes do not disperse before mid- or late winter. 5 New rabies models, based on two vector species and their interaction, and which take into account the hibernation period of raccoon dogs, are needed for north-eastern Europe.","container-title":"Mammal Review","DOI":"10.1111/j.1365-2907.2006.00078.x","ISSN":"1365-2907","issue":"1","language":"en","note":"_eprint: https://onlinelibrary.wiley.com/doi/pdf/10.1111/j.1365-2907.2006.00078.x","page":"17-36","source":"Wiley Online Library","title":"Ecology of wildlife rabies in Europe","URL":"https://onlinelibrary.wiley.com/doi/abs/10.1111/j.1365-2907.2006.00078.x","volume":"36","author":[{"family":"Holmala","given":"Katja"},{"family":"Kauhala","given":"Kaarina"}],"accessed":{"date-parts":[["2021",8,17]]},"issued":{"date-parts":[["2006"]]}},"label":"page"}],"schema":"https://github.com/citation-style-language/schema/raw/master/csl-citation.json"} </w:instrText>
      </w:r>
      <w:r w:rsidR="001B0409" w:rsidRPr="00837161">
        <w:fldChar w:fldCharType="separate"/>
      </w:r>
      <w:r w:rsidR="00271B78" w:rsidRPr="00271B78">
        <w:t>(Holmala &amp; Kauhala, 2006)</w:t>
      </w:r>
      <w:r w:rsidR="001B0409" w:rsidRPr="00837161">
        <w:fldChar w:fldCharType="end"/>
      </w:r>
      <w:r w:rsidR="001B0409" w:rsidRPr="00837161">
        <w:t>.</w:t>
      </w:r>
      <w:r w:rsidR="00851F48" w:rsidRPr="00837161">
        <w:t xml:space="preserve"> </w:t>
      </w:r>
      <w:r w:rsidR="001B0409" w:rsidRPr="00837161">
        <w:t xml:space="preserve">The monitoring of wildlife to understand the incidence and risk of particularly zoonotic diseases is likely to increase post COVID-19 </w:t>
      </w:r>
      <w:r w:rsidR="001B0409" w:rsidRPr="00837161">
        <w:fldChar w:fldCharType="begin"/>
      </w:r>
      <w:r w:rsidR="000F35EB">
        <w:instrText xml:space="preserve"> ADDIN ZOTERO_ITEM CSL_CITATION {"citationID":"dwcJ70ku","properties":{"formattedCitation":"(Latinne et al., 2020)","plainCitation":"(Latinne et al., 2020)","noteIndex":0},"citationItems":[{"id":22660,"uris":["http://zotero.org/groups/2352922/items/LABYQWTN"],"itemData":{"id":22660,"type":"article-journal","abstract":"&lt;p&gt;Bats are presumed reservoirs of diverse coronaviruses (CoVs) including progenitors of Severe Acute Respiratory Syndrome (SARS)-CoV and SARS-CoV-2, the causative agent of COVID-19. However, the evolution and diversification of these coronaviruses remains poorly understood. We used a Bayesian statistical framework and sequence data from all known bat-CoVs (including 630 novel CoV sequences) to study their macroevolution, cross-species transmission, and dispersal in China. We find that host-switching was more frequent and across more distantly related host taxa in alpha- than beta-CoVs, and more highly constrained by phylogenetic distance for beta-CoVs. We show that inter-family and -genus switching is most common in Rhinolophidae and the genus Rhinolophus. Our analyses identify the host taxa and geographic regions that define hotspots of CoV evolutionary diversity in China that could help target bat-CoV discovery for proactive zoonotic disease surveillance. Finally, we present a phylogenetic analysis suggesting a likely origin for SARS-CoV-2 in Rhinolophus spp. bats.&lt;/p&gt;","container-title":"Nature Communications","DOI":"10.1038/s41467-020-17687-3","language":"en","license":"© 2020, Posted by Cold Spring Harbor Laboratory. The copyright holder for this pre-print is the author. All rights reserved. The material may not be redistributed, re-used or adapted without the author's permission.","note":"publisher: Cold Spring Harbor Laboratory\nsection: New Results","page":"4235","source":"www.biorxiv.org","title":"Origin and cross-species transmission of bat coronaviruses in China","URL":"https://doi.org/10.1038/s41467-020-17687-3","volume":"11","author":[{"family":"Latinne","given":"Alice"},{"family":"Hu","given":"Ben"},{"family":"Olival","given":"Kevin J."},{"family":"Zhu","given":"Guangjian"},{"family":"Zhang","given":"Libiao"},{"family":"Li","given":"Hongying"},{"family":"Chmura","given":"Aleksei A."},{"family":"Field","given":"Hume E."},{"family":"Zambrana-Torrelio","given":"Carlos"},{"family":"Epstein","given":"Jonathan H."},{"family":"Li","given":"Bei"},{"family":"Zhang","given":"Wei"},{"family":"Wang","given":"Lin-Fa"},{"family":"Shi","given":"Zheng-Li"},{"family":"Daszak","given":"Peter"}],"accessed":{"date-parts":[["2020",6,14]]},"issued":{"date-parts":[["2020",5,31]]}},"label":"page"}],"schema":"https://github.com/citation-style-language/schema/raw/master/csl-citation.json"} </w:instrText>
      </w:r>
      <w:r w:rsidR="001B0409" w:rsidRPr="00837161">
        <w:fldChar w:fldCharType="separate"/>
      </w:r>
      <w:r w:rsidR="00271B78" w:rsidRPr="00271B78">
        <w:t>(Latinne et al., 2020)</w:t>
      </w:r>
      <w:r w:rsidR="001B0409" w:rsidRPr="00837161">
        <w:fldChar w:fldCharType="end"/>
      </w:r>
      <w:r w:rsidR="001B0409" w:rsidRPr="00837161">
        <w:t>.</w:t>
      </w:r>
      <w:r w:rsidR="00C81287" w:rsidRPr="00C0338D">
        <w:t xml:space="preserve"> </w:t>
      </w:r>
    </w:p>
    <w:p w14:paraId="7BA0691F" w14:textId="1D39A7B7" w:rsidR="001B0409" w:rsidRPr="00837161" w:rsidRDefault="001B0409" w:rsidP="00C11DFA">
      <w:pPr>
        <w:spacing w:before="240" w:after="120" w:line="240" w:lineRule="auto"/>
        <w:rPr>
          <w:lang w:eastAsia="ja-JP"/>
        </w:rPr>
      </w:pPr>
      <w:r w:rsidRPr="00837161">
        <w:t xml:space="preserve">The principles and value of sentinel surveillance are also acknowledged by </w:t>
      </w:r>
      <w:r w:rsidR="00E12287" w:rsidRPr="00837161">
        <w:t>WOAH</w:t>
      </w:r>
      <w:r w:rsidRPr="00837161">
        <w:t xml:space="preserve">, and can be utlized in the One Health approach </w:t>
      </w:r>
      <w:r w:rsidR="003478AD" w:rsidRPr="00837161">
        <w:t>(</w:t>
      </w:r>
      <w:r w:rsidR="00B52DF2">
        <w:rPr>
          <w:b/>
        </w:rPr>
        <w:t>G</w:t>
      </w:r>
      <w:r w:rsidR="00493FAE" w:rsidRPr="00B52DF2">
        <w:rPr>
          <w:b/>
        </w:rPr>
        <w:t>lossary</w:t>
      </w:r>
      <w:r w:rsidR="00914C64" w:rsidRPr="00B52DF2">
        <w:t>;</w:t>
      </w:r>
      <w:r w:rsidR="00493FAE" w:rsidRPr="00B52DF2">
        <w:rPr>
          <w:b/>
        </w:rPr>
        <w:t xml:space="preserve"> </w:t>
      </w:r>
      <w:r w:rsidR="00B52DF2">
        <w:rPr>
          <w:b/>
        </w:rPr>
        <w:t>C</w:t>
      </w:r>
      <w:r w:rsidR="00AE05BC" w:rsidRPr="00B52DF2">
        <w:rPr>
          <w:b/>
        </w:rPr>
        <w:t>hapter</w:t>
      </w:r>
      <w:r w:rsidRPr="00B52DF2">
        <w:rPr>
          <w:b/>
        </w:rPr>
        <w:t>s</w:t>
      </w:r>
      <w:r w:rsidRPr="00B52DF2">
        <w:rPr>
          <w:b/>
          <w:iCs/>
        </w:rPr>
        <w:t xml:space="preserve"> 1 </w:t>
      </w:r>
      <w:r w:rsidRPr="00B52DF2">
        <w:t>and</w:t>
      </w:r>
      <w:r w:rsidRPr="00B52DF2">
        <w:rPr>
          <w:b/>
          <w:iCs/>
        </w:rPr>
        <w:t xml:space="preserve"> 6</w:t>
      </w:r>
      <w:r w:rsidRPr="00837161">
        <w:t xml:space="preserve">). There are no existing regulatory precedents for the use of wildlife species in sentinel surveillance. The increasing development and use of novel point-of-detection rapid diagnostics creates an opportunity for sentinel surveillance to be augmented </w:t>
      </w:r>
      <w:r w:rsidR="003478AD" w:rsidRPr="00837161">
        <w:t>(</w:t>
      </w:r>
      <w:r w:rsidR="00AE05BC" w:rsidRPr="00B52DF2">
        <w:rPr>
          <w:b/>
          <w:iCs/>
        </w:rPr>
        <w:t>section</w:t>
      </w:r>
      <w:r w:rsidR="00285ABC" w:rsidRPr="00B52DF2">
        <w:rPr>
          <w:b/>
          <w:iCs/>
        </w:rPr>
        <w:t xml:space="preserve"> </w:t>
      </w:r>
      <w:r w:rsidR="00265B66" w:rsidRPr="00B52DF2">
        <w:rPr>
          <w:b/>
          <w:iCs/>
        </w:rPr>
        <w:t>5.</w:t>
      </w:r>
      <w:r w:rsidR="00285ABC" w:rsidRPr="00B52DF2">
        <w:rPr>
          <w:b/>
          <w:iCs/>
        </w:rPr>
        <w:t>4.3.</w:t>
      </w:r>
      <w:r w:rsidR="00265B66" w:rsidRPr="00B52DF2">
        <w:rPr>
          <w:b/>
          <w:iCs/>
        </w:rPr>
        <w:t>2</w:t>
      </w:r>
      <w:r w:rsidRPr="00837161">
        <w:t>). In addition to sentinel plant surveillance nurseries for plant pests and diseases</w:t>
      </w:r>
      <w:r w:rsidR="003E5429" w:rsidRPr="00A4003D">
        <w:rPr>
          <w:rStyle w:val="FootnoteReference"/>
        </w:rPr>
        <w:footnoteReference w:id="6"/>
      </w:r>
      <w:r w:rsidRPr="00837161">
        <w:t xml:space="preserve"> </w:t>
      </w:r>
      <w:r w:rsidRPr="00837161">
        <w:fldChar w:fldCharType="begin"/>
      </w:r>
      <w:r w:rsidR="000F35EB">
        <w:instrText xml:space="preserve"> ADDIN ZOTERO_ITEM CSL_CITATION {"citationID":"yBBNRPmD","properties":{"formattedCitation":"(Eschen et al., 2019; Kenis et al., 2018)","plainCitation":"(Eschen et al., 2019; Kenis et al., 2018)","noteIndex":0},"citationItems":[{"id":24530,"uris":["http://zotero.org/groups/2352922/items/ZKNDWG7K"],"itemData":{"id":24530,"type":"article-journal","container-title":"Journal of Pest Science","DOI":"10.1007/s10340-018-1041-6","ISSN":"1612-4758, 1612-4766","issue":"1","journalAbbreviation":"J Pest Sci","language":"en","page":"29-36","source":"DOI.org (Crossref)","title":"Safeguarding global plant health: the rise of sentinels","title-short":"Safeguarding global plant health","URL":"http://link.springer.com/10.1007/s10340-018-1041-6","volume":"92","author":[{"family":"Eschen","given":"R."},{"family":"O’Hanlon","given":"R."},{"family":"Santini","given":"A."},{"family":"Vannini","given":"A."},{"family":"Roques","given":"A."},{"family":"Kirichenko","given":"N."},{"family":"Kenis","given":"M."}],"accessed":{"date-parts":[["2021",3,2]]},"issued":{"date-parts":[["2019",1]]}},"label":"page"},{"id":30098,"uris":["http://zotero.org/groups/2352922/items/69GRNGNA"],"itemData":{"id":30098,"type":"article-journal","abstract":"Ornamental plants represent a major pathway of invasion for alien pests worldwide. Commodity risk analyses are carried out to assess the risk posed by a new trade in a commodity, but they are restricted by our limited knowledge of the pests carried by traded plants. We used the sentinel nursery technique to identify insects attacking woody plants imported into Europe. We established two sentinel nurseries in China, with five traded Asian plants. These nurseries were monitored for two years to obtain lists of insects that can be expected on these commodities. These records were compared with those obtained from literature surveys, which are usually the sources of information available to pest risk assessors. At each site, 105 insect species and host associations were found on sentinel plants and 90% of these associations had not been found in a previous literature survey of insect pests of the five plants. Nearly 80% of these associations were not found in an a posteriori literature survey. An assessment classified 9%, 7% and 84% of the insect records as presenting a high, moderate and low likelihood of introduction, respectively. These results show the benefit of sentinel nurseries to identify potential infestation of plant commodity imports.","container-title":"Scientific Reports","DOI":"10.1038/s41598-018-29551-y","ISSN":"2045-2322","issue":"1","journalAbbreviation":"Sci Rep","language":"en","license":"2018 The Author(s)","note":"Bandiera_abtest: a\nCc_license_type: cc_by\nCg_type: Nature Research Journals\nnumber: 1\nPrimary_atype: Research\npublisher: Nature Publishing Group\nSubject_term: Entomology;Invasive species\nSubject_term_id: entomology;invasive-species","page":"11217","source":"www.nature.com","title":"Sentinel nurseries to assess the phytosanitary risks from insect pests on importations of live plants","URL":"https://www.nature.com/articles/s41598-018-29551-y","volume":"8","author":[{"family":"Kenis","given":"Marc"},{"family":"Li","given":"Hongmei"},{"family":"Fan","given":"Jian-ting"},{"family":"Courtial","given":"Beatrice"},{"family":"Auger-Rozenberg","given":"Marie-Anne"},{"family":"Yart","given":"Annie"},{"family":"Eschen","given":"René"},{"family":"Roques","given":"Alain"}],"accessed":{"date-parts":[["2021",8,17]]},"issued":{"date-parts":[["2018",7,25]]}},"label":"page"}],"schema":"https://github.com/citation-style-language/schema/raw/master/csl-citation.json"} </w:instrText>
      </w:r>
      <w:r w:rsidRPr="00837161">
        <w:fldChar w:fldCharType="separate"/>
      </w:r>
      <w:r w:rsidR="00271B78" w:rsidRPr="00271B78">
        <w:t>(Eschen et al., 2019; Kenis et al., 2018)</w:t>
      </w:r>
      <w:r w:rsidRPr="00837161">
        <w:fldChar w:fldCharType="end"/>
      </w:r>
      <w:r w:rsidR="43F5B2C1" w:rsidRPr="00837161">
        <w:t>,</w:t>
      </w:r>
      <w:r w:rsidRPr="00837161">
        <w:t xml:space="preserve"> sentinel </w:t>
      </w:r>
      <w:r w:rsidRPr="00837161">
        <w:rPr>
          <w:lang w:eastAsia="ja-JP"/>
        </w:rPr>
        <w:t xml:space="preserve">sites </w:t>
      </w:r>
      <w:r w:rsidR="003478AD" w:rsidRPr="00837161">
        <w:t>(</w:t>
      </w:r>
      <w:r w:rsidR="00B52DF2">
        <w:rPr>
          <w:b/>
          <w:iCs/>
        </w:rPr>
        <w:t>G</w:t>
      </w:r>
      <w:r w:rsidR="000E65F2" w:rsidRPr="00B52DF2">
        <w:rPr>
          <w:b/>
          <w:iCs/>
        </w:rPr>
        <w:t>lossary</w:t>
      </w:r>
      <w:r w:rsidR="000E65F2" w:rsidRPr="00837161">
        <w:t xml:space="preserve">) </w:t>
      </w:r>
      <w:r w:rsidRPr="00837161">
        <w:rPr>
          <w:lang w:eastAsia="ja-JP"/>
        </w:rPr>
        <w:t xml:space="preserve">have also been proposed for monitoring for new invasive alien plant invasions in key disturbed locations close to points of entry </w:t>
      </w:r>
      <w:r w:rsidRPr="00837161">
        <w:rPr>
          <w:lang w:eastAsia="ja-JP"/>
        </w:rPr>
        <w:fldChar w:fldCharType="begin"/>
      </w:r>
      <w:r w:rsidR="000F35EB">
        <w:rPr>
          <w:lang w:eastAsia="ja-JP"/>
        </w:rPr>
        <w:instrText xml:space="preserve"> ADDIN ZOTERO_ITEM CSL_CITATION {"citationID":"uURoRaFI","properties":{"formattedCitation":"(T. J. Mason et al., 2005)","plainCitation":"(T. J. Mason et al., 2005)","noteIndex":0},"citationItems":[{"id":23759,"uris":["http://zotero.org/groups/2352922/items/34I6XFJQ"],"itemData":{"id":23759,"type":"article-journal","abstract":"Plant invasions of natural systems threaten biodiversity and ecosystem processes across many biomes. Historically most plant invasions have been facilitated by human activities such as industry, transport and landscape modification. Consequently, both causes and management of weed invasion are dependent on human behaviour and management advice provided by ecologists needs to take account of this fact. This paper assesses current environmental weed control policy in Australia and asks: are government, land managers and the scientific community using available social levers to achieve optimal weed management? We do this by comparing aspects of weed policy with a generalized natural resource policy framework. Adequacy of issue characterization and policy framing are discussed with particular reference to public perceptions of the weed problem, policy scaling and defining policy principles and goals. The implementation of policy Instruments, including regulation, VOluntary incentives, education, Information, motivational instruments, property-right instruments and pricing mechanisms are reviewed. Limitations of current instruments and potential options to improve instrument effectiveness are discussed. Funding arrangements for environmental weed control are also reported: environmental weed invasion generally represents an external cost to economic markets which has resulted in relatively low funding levels for control operations. Finally, review and monitoring procedures in weed programmes and policy are addressed. Rigorous monitoring systems are important in effective, adaptive weed management where control techniques are continually refined to improve ecological outcomes. The utility of maintaining links between project outcomes and policy inputs along with methods of implementing appropriate monitoring are discussed.","container-title":"Pacific Conservation Biology","DOI":"10.1071/pc050233","ISSN":"2204-4604","issue":"4","journalAbbreviation":"Pac. Conserv. Biol.","language":"en","note":"publisher: CSIRO PUBLISHING","page":"233-245","source":"www.publish.csiro.au","title":"Environmental weed control policy in Australia: current approaches, policy limitations and future directions","title-short":"Environmental weed control policy in Australia","URL":"https://www.publish.csiro.au/pc/pc050233","volume":"11","author":[{"family":"Mason","given":"T. J."},{"family":"Lonsdale","given":"W. M."},{"family":"French","given":"K."}],"accessed":{"date-parts":[["2020",8,20]]},"issued":{"date-parts":[["2005"]]}},"label":"page"}],"schema":"https://github.com/citation-style-language/schema/raw/master/csl-citation.json"} </w:instrText>
      </w:r>
      <w:r w:rsidRPr="00837161">
        <w:rPr>
          <w:lang w:eastAsia="ja-JP"/>
        </w:rPr>
        <w:fldChar w:fldCharType="separate"/>
      </w:r>
      <w:r w:rsidR="00271B78" w:rsidRPr="00271B78">
        <w:t>(T. J. Mason et al., 2005)</w:t>
      </w:r>
      <w:r w:rsidRPr="00837161">
        <w:rPr>
          <w:lang w:eastAsia="ja-JP"/>
        </w:rPr>
        <w:fldChar w:fldCharType="end"/>
      </w:r>
      <w:r w:rsidRPr="00837161">
        <w:rPr>
          <w:lang w:eastAsia="ja-JP"/>
        </w:rPr>
        <w:t>, such as sites where there are generally high records of alien plant naturali</w:t>
      </w:r>
      <w:r w:rsidR="004E6EBC" w:rsidRPr="00837161">
        <w:rPr>
          <w:lang w:eastAsia="ja-JP"/>
        </w:rPr>
        <w:t>z</w:t>
      </w:r>
      <w:r w:rsidRPr="00837161">
        <w:rPr>
          <w:lang w:eastAsia="ja-JP"/>
        </w:rPr>
        <w:t xml:space="preserve">ations such as waste dumps </w:t>
      </w:r>
      <w:r w:rsidRPr="00837161">
        <w:rPr>
          <w:lang w:eastAsia="ja-JP"/>
        </w:rPr>
        <w:fldChar w:fldCharType="begin"/>
      </w:r>
      <w:r w:rsidR="000F35EB">
        <w:rPr>
          <w:lang w:eastAsia="ja-JP"/>
        </w:rPr>
        <w:instrText xml:space="preserve"> ADDIN ZOTERO_ITEM CSL_CITATION {"citationID":"NM5YFGoK","properties":{"formattedCitation":"(Clements &amp; Foster, 1994)","plainCitation":"(Clements &amp; Foster, 1994)","noteIndex":0},"citationItems":[{"id":30138,"uris":["http://zotero.org/groups/2352922/items/ERD62N73"],"itemData":{"id":30138,"type":"book","event-place":"London","ISBN":"978-0-901158-23-9","note":"page: 589","number-of-pages":"589","publisher":"Botanical Society of the British Isles","publisher-place":"London","title":"Alien plants of the British Isles. A provisional catalogue of vascular plants (excluding grasses)","URL":"https://www.cabi.org/isc/abstract/19952313216","author":[{"family":"Clements","given":"E J"},{"family":"Foster","given":"M C"}],"issued":{"date-parts":[["1994"]]}},"label":"page"}],"schema":"https://github.com/citation-style-language/schema/raw/master/csl-citation.json"} </w:instrText>
      </w:r>
      <w:r w:rsidRPr="00837161">
        <w:rPr>
          <w:lang w:eastAsia="ja-JP"/>
        </w:rPr>
        <w:fldChar w:fldCharType="separate"/>
      </w:r>
      <w:r w:rsidR="00271B78" w:rsidRPr="00271B78">
        <w:t>(Clements &amp; Foster, 1994)</w:t>
      </w:r>
      <w:r w:rsidRPr="00837161">
        <w:rPr>
          <w:lang w:eastAsia="ja-JP"/>
        </w:rPr>
        <w:fldChar w:fldCharType="end"/>
      </w:r>
      <w:r w:rsidRPr="00837161">
        <w:rPr>
          <w:lang w:eastAsia="ja-JP"/>
        </w:rPr>
        <w:t xml:space="preserve">. See </w:t>
      </w:r>
      <w:r w:rsidR="002F2F42">
        <w:rPr>
          <w:b/>
          <w:iCs/>
          <w:lang w:eastAsia="ja-JP"/>
        </w:rPr>
        <w:t>S</w:t>
      </w:r>
      <w:r w:rsidR="14090371" w:rsidRPr="00B52DF2">
        <w:rPr>
          <w:b/>
          <w:iCs/>
          <w:lang w:eastAsia="ja-JP"/>
        </w:rPr>
        <w:t>upplementary</w:t>
      </w:r>
      <w:r w:rsidR="003C325C" w:rsidRPr="00B52DF2">
        <w:rPr>
          <w:b/>
          <w:iCs/>
          <w:lang w:eastAsia="ja-JP"/>
        </w:rPr>
        <w:t xml:space="preserve"> material 5.</w:t>
      </w:r>
      <w:r w:rsidR="00834060" w:rsidRPr="00B52DF2">
        <w:rPr>
          <w:b/>
          <w:iCs/>
          <w:lang w:eastAsia="ja-JP"/>
        </w:rPr>
        <w:t>2</w:t>
      </w:r>
      <w:r w:rsidRPr="00837161">
        <w:rPr>
          <w:lang w:eastAsia="ja-JP"/>
        </w:rPr>
        <w:t xml:space="preserve"> for </w:t>
      </w:r>
      <w:r w:rsidR="50A31995" w:rsidRPr="00837161">
        <w:rPr>
          <w:lang w:eastAsia="ja-JP"/>
        </w:rPr>
        <w:t xml:space="preserve">further details. </w:t>
      </w:r>
    </w:p>
    <w:p w14:paraId="000002C1" w14:textId="56F7B710" w:rsidR="00A758FD" w:rsidRPr="00AC1F76" w:rsidRDefault="00C81287" w:rsidP="002F2F42">
      <w:pPr>
        <w:pStyle w:val="Heading3"/>
      </w:pPr>
      <w:bookmarkStart w:id="339" w:name="_heading=h.184mhaj" w:colFirst="0" w:colLast="0"/>
      <w:bookmarkStart w:id="340" w:name="_Toc131681647"/>
      <w:bookmarkStart w:id="341" w:name="_Toc87623147"/>
      <w:bookmarkStart w:id="342" w:name="_Hlk110329164"/>
      <w:bookmarkEnd w:id="339"/>
      <w:r w:rsidRPr="00AC1F76">
        <w:t>Species-</w:t>
      </w:r>
      <w:r w:rsidR="1BBD52D2">
        <w:t>based</w:t>
      </w:r>
      <w:r w:rsidRPr="00AC1F76">
        <w:t xml:space="preserve"> surveillance, detection and diagnostics tools and technologies</w:t>
      </w:r>
      <w:bookmarkEnd w:id="340"/>
      <w:r w:rsidRPr="00AC1F76">
        <w:t xml:space="preserve"> </w:t>
      </w:r>
      <w:bookmarkEnd w:id="341"/>
    </w:p>
    <w:p w14:paraId="000002C2" w14:textId="77777777" w:rsidR="00A758FD" w:rsidRPr="00C0338D" w:rsidRDefault="00C81287" w:rsidP="00AC1F76">
      <w:pPr>
        <w:pStyle w:val="Heading4"/>
        <w:numPr>
          <w:ilvl w:val="0"/>
          <w:numId w:val="32"/>
        </w:numPr>
      </w:pPr>
      <w:r w:rsidRPr="00C0338D">
        <w:t xml:space="preserve">Citizen science – surveillance data input portals and diagnostics platform </w:t>
      </w:r>
    </w:p>
    <w:p w14:paraId="000002C3" w14:textId="4D3F21D2" w:rsidR="00A758FD" w:rsidRPr="00C0338D" w:rsidRDefault="00C81287">
      <w:pPr>
        <w:spacing w:before="240" w:after="120" w:line="240" w:lineRule="auto"/>
      </w:pPr>
      <w:r w:rsidRPr="00C0338D">
        <w:t xml:space="preserve">Citizen science reporting of invasive alien species presence and or impacts through data portals or hotlines (explicitly dedicated telephone numbers) is now widely recognized as a very effective form of active general surveillance </w:t>
      </w:r>
      <w:r w:rsidR="001B0409" w:rsidRPr="00837161">
        <w:fldChar w:fldCharType="begin"/>
      </w:r>
      <w:r w:rsidR="00A4003D">
        <w:instrText xml:space="preserve"> ADDIN ZOTERO_ITEM CSL_CITATION {"citationID":"rHYZW1Ct","properties":{"unsorted":true,"formattedCitation":"(Crall et al., 2011; Welvaert &amp; Caley, 2016; E. R. Larson et al., 2020; Johnson et al., 2020; Aceves-Bueno et al., 2017)","plainCitation":"(Crall et al., 2011; Welvaert &amp; Caley, 2016; E. R. Larson et al., 2020; Johnson et al., 2020; Aceves-Bueno et al., 2017)","dontUpdate":true,"noteIndex":0},"citationItems":[{"id":30784,"uris":["http://zotero.org/groups/2352922/items/J7ZHW74A"],"itemData":{"id":30784,"type":"article-journal","abstract":"An increase in the number of citizen science programs has prompted an examination of their ability to provide data of sufficient quality. We tested the ability of volunteers relative to professionals in identifying invasive plant species, mapping their distributions, and estimating their abundance within plots. We generally found that volunteers perform almost as well as professionals in some areas, but that we should be cautious about data quality in both groups. We analyzed predictors of volunteer success (age, education, experience, science literacy, attitudes) in training-related skills, but these proved to be poor predictors of performance and could not be used as effective eligibility criteria. However, volunteer success with species identification increased with their self-identified comfort level. Based on our case study results, we offer lessons learned and their application to other programs and provide recommendations for future research in this area.","container-title":"Conservation Letters","DOI":"10.1111/j.1755-263X.2011.00196.x","ISSN":"1755-263X","issue":"6","language":"en","license":"©2011 Wiley Periodicals, Inc.","page":"433-442","source":"Wiley Online Library","title":"Assessing citizen science data quality: an invasive species case study","title-short":"Assessing citizen science data quality","URL":"https://conbio.onlinelibrary.wiley.com/doi/abs/10.1111/j.1755-263X.2011.00196.x","volume":"4","author":[{"family":"Crall","given":"Alycia W."},{"family":"Newman","given":"Gregory J."},{"family":"Stohlgren","given":"Thomas J."},{"family":"Holfelder","given":"Kirstin A."},{"family":"Graham","given":"Jim"},{"family":"Waller","given":"Donald M."}],"accessed":{"date-parts":[["2020",4,3]]},"issued":{"date-parts":[["2011"]]}},"label":"page"},{"id":23896,"uris":["http://zotero.org/groups/2352922/items/SB2K88U9"],"itemData":{"id":23896,"type":"article-journal","abstract":"Citizen science and crowdsourcing have been emerging as methods to collect data for surveillance and/or monitoring activities. They could be gathered under the overarching term citizen surveillance. The discipline, however, still struggles to be widely accepted in the scientific community, mainly because these activities are not embedded in a quantitative framework. This results in an ongoing discussion on how to analyze and make useful inference from these data. When considering the data collection process, we illustrate how citizen surveillance can be classified according to the nature of the underlying observation process measured in two dimensions—the degree of observer reporting intention and the control in observer detection effort. By classifying the observation process in these dimensions we distinguish between crowdsourcing, unstructured citizen science and structured citizen science. This classification helps the determine data processing and statistical treatment of these data for making inference. Using our framework, it is apparent that published studies are overwhelmingly associated with structured citizen science, and there are well developed statistical methods for the resulting data. In contrast, methods for making useful inference from purely crowd-sourced data remain under development, with the challenges of accounting for the unknown observation process considerable. Our quantitative framework for citizen surveillance calls for an integration of citizen science and crowdsourcing and provides a way forward to solve the statistical challenges inherent to citizen-sourced data.","container-title":"SpringerPlus","DOI":"10.1186/s40064-016-3583-5","ISSN":"2193-1801","issue":"1","journalAbbreviation":"SpringerPlus","language":"en","page":"1890","source":"Springer Link","title":"Citizen surveillance for environmental monitoring: combining the efforts of citizen science and crowdsourcing in a quantitative data framework","title-short":"Citizen surveillance for environmental monitoring","URL":"https://doi.org/10.1186/s40064-016-3583-5","volume":"5","author":[{"family":"Welvaert","given":"Marijke"},{"family":"Caley","given":"Peter"}],"accessed":{"date-parts":[["2019",12,9]]},"issued":{"date-parts":[["2016",10,28]]}},"label":"page"},{"id":30775,"uris":["http://zotero.org/groups/2352922/items/EENTMKLP"],"itemData":{"id":30775,"type":"article-journal","abstract":"Biological invasions are a form of global change threatening biodiversity, ecosystem stability, and human health, and cost government agencies billions of dollars in remediation and eradication programs. Attempts to eradicate introduced species are most successful when detection of newly established populations occurs early in the invasion process. We review existing and emerging tools – specifically environmental DNA (eDNA), chemical approaches, remote sensing, citizen science, and agency-based monitoring – for surveillance and monitoring of invasive species. For each tool, we consider the benefits provided, examine challenges and limitations, discuss data sharing and integration, and suggest best practice implementations for the early detection of invasive species. Programs that promote public participation in large-scale biodiversity identification and monitoring (such as iNaturalist and eBird) may be the best resources for early detection. However, data from these platforms must be monitored and used by agencies that can mount appropriate response efforts. Control efforts are more likely to succeed when they are focused on early detection and prevention, thereby saving considerable time and resources.","container-title":"Frontiers in Ecology and the Environment","DOI":"10.1002/fee.2162","ISSN":"1540-9309","issue":"4","language":"en","note":"_eprint: https://onlinelibrary.wiley.com/doi/pdf/10.1002/fee.2162","page":"194-202","source":"Wiley Online Library","title":"From eDNA to citizen science: emerging tools for the early detection of invasive species","title-short":"From eDNA to citizen science","URL":"https://onlinelibrary.wiley.com/doi/abs/10.1002/fee.2162","volume":"18","author":[{"family":"Larson","given":"Eric R"},{"family":"Graham","given":"Brittney M"},{"family":"Achury","given":"Rafael"},{"family":"Coon","given":"Jaime J"},{"family":"Daniels","given":"Melissa K"},{"family":"Gambrell","given":"Daniel K"},{"family":"Jonasen","given":"Kacie L"},{"family":"King","given":"Gregory D"},{"family":"LaRacuente","given":"Nicholas"},{"family":"Perrin-Stowe","given":"Tolulope IN"},{"family":"Reed","given":"Emily M"},{"family":"Rice","given":"Christopher J"},{"family":"Ruzi","given":"Selina A"},{"family":"Thairu","given":"Margaret W"},{"family":"Wilson","given":"Jared C"},{"family":"Suarez","given":"Andrew V"}],"accessed":{"date-parts":[["2021",10,28]]},"issued":{"date-parts":[["2020"]]}},"label":"page"},{"id":30779,"uris":["http://zotero.org/groups/2352922/items/HZFFISRW"],"itemData":{"id":30779,"type":"article-journal","abstract":"Owing to the huge number of species observations that can be collected by non-professional scientists, “citizen science” has great potential to contribute to scientific knowledge on invasive alien species (IAS). Citizen science has existed for centuries, but the recent adoption of information and communications technology (ICT) in this field (e.g. web- or mobile application-based interfaces for citizen training and data generation) has led to a massive surge in popularity, mainly due to reduced geographic barriers to citizen participation. Several challenges exist, however, to effectively utilize citizen-generated data for monitoring IAS (or other species of interest) at the global scale. Here, we conducted a systematic analysis of citizen science initiatives collecting IAS data using ICT, hoping to better understand their scientific contributions and challenges, their similarities/differences, and their interconnections. Through a search of the Scopus database, we identified 26 initiatives whose data had been used in scientific publications related to IAS, and based our analyses on these initiatives. The most common scientific uses of these citizen science data were to visualize the spatial distribution of IAS, better understand their behaviour/phenology, and elucidate citizen science data quality issues. To alleviate data quality concerns, most initiatives (19/26) had mechanisms for verifying citizen observations, such as user-submitted photographs. While many initiatives collected similar data parameters for each species observation, only 54% of the initiatives had a practice of data sharing. This lack of data sharing causes fragmentation of the citizen-generated IAS data, and is likely inhibiting the wider usage of the data for scientific studies on IAS involving large geographic scales (e.g. regional or global) and/or broad taxonomic scopes. To reduce this fragmentation and better consolidate the collected citizen science data, finally we provide some general data sharing guidelines for citizen science initiatives as well as individual volunteers.","container-title":"Global Ecology and Conservation","DOI":"10.1016/j.gecco.2019.e00812","ISSN":"2351-9894","journalAbbreviation":"Global Ecology and Conservation","language":"en","page":"e00812","title":"Citizen science and invasive alien species: An analysis of citizen science initiatives using information and communications technology (ICT) to collect invasive alien species observations","title-short":"Citizen science and invasive alien species","URL":"https://www.sciencedirect.com/science/article/pii/S2351989419304500","volume":"21","author":[{"family":"Johnson","given":"Brian Alan"},{"family":"Mader","given":"André Derek"},{"family":"Dasgupta","given":"Rajarshi"},{"family":"Kumar","given":"Pankaj"}],"accessed":{"date-parts":[["2021",10,28]]},"issued":{"date-parts":[["2020",3,1]]}},"label":"page"},{"id":31596,"uris":["http://zotero.org/groups/2352922/items/QNKXUM9Q"],"itemData":{"id":31596,"type":"article-journal","container-title":"Bulletin of the Ecological Society of America","ISSN":"0012-9623","issue":"4","note":"publisher: [Wiley, Ecological Society of America]","page":"278-290","source":"JSTOR","title":"The Accuracy of Citizen Science Data: A Quantitative Review","title-short":"The Accuracy of Citizen Science Data","URL":"https://www.jstor.org/stable/90013289","volume":"98","author":[{"family":"Aceves-Bueno","given":"Eréndira"},{"family":"Adeleye","given":"Adeyemi S."},{"family":"Feraud","given":"Marina"},{"family":"Huang","given":"Yuxiong"},{"family":"Tao","given":"Mengya"},{"family":"Yang","given":"Yi"},{"family":"Anderson","given":"Sarah E."}],"accessed":{"date-parts":[["2021",11,19]]},"issued":{"date-parts":[["2017"]]}},"label":"page"}],"schema":"https://github.com/citation-style-language/schema/raw/master/csl-citation.json"} </w:instrText>
      </w:r>
      <w:r w:rsidR="001B0409" w:rsidRPr="00837161">
        <w:fldChar w:fldCharType="separate"/>
      </w:r>
      <w:r w:rsidR="007F7120" w:rsidRPr="00837161">
        <w:t>(Crall et al., 2011; Welvaert &amp; Caley, 2016; E. R. Larson et al., 2020; Johnson et al., 2020; Aceves-Bueno et al., 2017</w:t>
      </w:r>
      <w:r w:rsidR="001B0409" w:rsidRPr="00837161">
        <w:fldChar w:fldCharType="end"/>
      </w:r>
      <w:r w:rsidR="003E5429" w:rsidRPr="00837161">
        <w:t>;</w:t>
      </w:r>
      <w:r w:rsidR="00851F48" w:rsidRPr="00837161">
        <w:t xml:space="preserve"> </w:t>
      </w:r>
      <w:r w:rsidR="00B52DF2">
        <w:rPr>
          <w:b/>
          <w:iCs/>
        </w:rPr>
        <w:t>C</w:t>
      </w:r>
      <w:r w:rsidR="005F472F" w:rsidRPr="00B52DF2">
        <w:rPr>
          <w:b/>
          <w:iCs/>
        </w:rPr>
        <w:t xml:space="preserve">hapter </w:t>
      </w:r>
      <w:r w:rsidR="00EA5165" w:rsidRPr="00B52DF2">
        <w:rPr>
          <w:b/>
          <w:iCs/>
        </w:rPr>
        <w:t>1</w:t>
      </w:r>
      <w:r w:rsidR="00644788" w:rsidRPr="00B52DF2">
        <w:rPr>
          <w:iCs/>
        </w:rPr>
        <w:t>,</w:t>
      </w:r>
      <w:r w:rsidR="00644788" w:rsidRPr="00B52DF2">
        <w:rPr>
          <w:b/>
          <w:iCs/>
        </w:rPr>
        <w:t xml:space="preserve"> section </w:t>
      </w:r>
      <w:r w:rsidR="00EA5165" w:rsidRPr="00B52DF2">
        <w:rPr>
          <w:b/>
          <w:iCs/>
        </w:rPr>
        <w:t>1</w:t>
      </w:r>
      <w:r w:rsidR="00D20AC6" w:rsidRPr="00B52DF2">
        <w:rPr>
          <w:b/>
          <w:iCs/>
        </w:rPr>
        <w:t>.6.8</w:t>
      </w:r>
      <w:r w:rsidR="00644788" w:rsidRPr="00B52DF2">
        <w:rPr>
          <w:iCs/>
        </w:rPr>
        <w:t>,</w:t>
      </w:r>
      <w:r w:rsidR="00EA5165" w:rsidRPr="00B52DF2">
        <w:rPr>
          <w:b/>
          <w:iCs/>
        </w:rPr>
        <w:t xml:space="preserve"> Box 1.1</w:t>
      </w:r>
      <w:r w:rsidR="0016379D" w:rsidRPr="00B52DF2">
        <w:rPr>
          <w:b/>
          <w:iCs/>
        </w:rPr>
        <w:t>5</w:t>
      </w:r>
      <w:r w:rsidR="00B51673" w:rsidRPr="00B52DF2">
        <w:rPr>
          <w:iCs/>
        </w:rPr>
        <w:t xml:space="preserve">; </w:t>
      </w:r>
      <w:r w:rsidR="00B52DF2">
        <w:rPr>
          <w:b/>
          <w:iCs/>
        </w:rPr>
        <w:t>C</w:t>
      </w:r>
      <w:r w:rsidR="005F472F" w:rsidRPr="00B52DF2">
        <w:rPr>
          <w:b/>
          <w:iCs/>
        </w:rPr>
        <w:t xml:space="preserve">hapter </w:t>
      </w:r>
      <w:r w:rsidR="009034D8" w:rsidRPr="00B52DF2">
        <w:rPr>
          <w:b/>
          <w:iCs/>
        </w:rPr>
        <w:t>6</w:t>
      </w:r>
      <w:r w:rsidR="00644788" w:rsidRPr="00B52DF2">
        <w:rPr>
          <w:iCs/>
        </w:rPr>
        <w:t>,</w:t>
      </w:r>
      <w:r w:rsidR="009034D8" w:rsidRPr="00B52DF2">
        <w:rPr>
          <w:b/>
          <w:iCs/>
        </w:rPr>
        <w:t xml:space="preserve"> section </w:t>
      </w:r>
      <w:r w:rsidR="005F472F" w:rsidRPr="00B52DF2">
        <w:rPr>
          <w:b/>
          <w:iCs/>
        </w:rPr>
        <w:t>6.6.</w:t>
      </w:r>
      <w:r w:rsidR="006F5FBA" w:rsidRPr="00B52DF2">
        <w:rPr>
          <w:b/>
          <w:iCs/>
        </w:rPr>
        <w:t>2.1</w:t>
      </w:r>
      <w:r w:rsidR="00A26354" w:rsidRPr="00837161">
        <w:t>)</w:t>
      </w:r>
      <w:r w:rsidR="001B0409" w:rsidRPr="00837161">
        <w:t xml:space="preserve">. </w:t>
      </w:r>
      <w:r w:rsidR="00534BEA" w:rsidRPr="00837161">
        <w:t xml:space="preserve">Large scale citizen-science is being used </w:t>
      </w:r>
      <w:r w:rsidR="00BA327C" w:rsidRPr="00837161">
        <w:t xml:space="preserve">to monitor </w:t>
      </w:r>
      <w:r w:rsidR="7B5B2BBD" w:rsidRPr="00837161">
        <w:t>di</w:t>
      </w:r>
      <w:r w:rsidR="3A8ABE0B" w:rsidRPr="00837161">
        <w:t>s</w:t>
      </w:r>
      <w:r w:rsidR="7B5B2BBD" w:rsidRPr="00837161">
        <w:t>ease</w:t>
      </w:r>
      <w:r w:rsidR="00BA327C" w:rsidRPr="00837161">
        <w:t xml:space="preserve">-carrying mosquitos </w:t>
      </w:r>
      <w:r w:rsidR="003E5429" w:rsidRPr="00837161">
        <w:t xml:space="preserve">in southern Europe </w:t>
      </w:r>
      <w:r w:rsidR="003E5429" w:rsidRPr="00837161">
        <w:fldChar w:fldCharType="begin"/>
      </w:r>
      <w:r w:rsidR="000F35EB">
        <w:instrText xml:space="preserve"> ADDIN ZOTERO_ITEM CSL_CITATION {"citationID":"rwwEYeyI","properties":{"formattedCitation":"(Mosquito Alert, 2021)","plainCitation":"(Mosquito Alert, 2021)","noteIndex":0},"citationItems":[{"id":53324,"uris":["http://zotero.org/groups/2352922/items/TBHAHE46","http://zotero.org/groups/2352922/items/QVSBSN5G"],"itemData":{"id":53324,"type":"webpage","container-title":"Mosquito Alert","title":"Citizen science to investigate and control disease-carrying mosquitoes","URL":"http://www.mosquitoalert.com/en/","author":[{"literal":"Mosquito Alert"}],"accessed":{"date-parts":[["2022",9,21]]},"issued":{"date-parts":[["2021"]]}},"label":"page"}],"schema":"https://github.com/citation-style-language/schema/raw/master/csl-citation.json"} </w:instrText>
      </w:r>
      <w:r w:rsidR="003E5429" w:rsidRPr="00837161">
        <w:fldChar w:fldCharType="separate"/>
      </w:r>
      <w:r w:rsidR="00271B78" w:rsidRPr="00271B78">
        <w:t>(Mosquito Alert, 2021)</w:t>
      </w:r>
      <w:r w:rsidR="003E5429" w:rsidRPr="00837161">
        <w:fldChar w:fldCharType="end"/>
      </w:r>
      <w:r w:rsidR="00247D48" w:rsidRPr="00837161">
        <w:t xml:space="preserve">. </w:t>
      </w:r>
      <w:r w:rsidR="001B0409" w:rsidRPr="00837161">
        <w:t>New Zealand has effectively direct</w:t>
      </w:r>
      <w:r w:rsidR="00D7304D" w:rsidRPr="00837161">
        <w:t>l</w:t>
      </w:r>
      <w:r w:rsidR="001B0409" w:rsidRPr="00837161">
        <w:t xml:space="preserve">y targeted its population in biosecurity campaigns as the </w:t>
      </w:r>
      <w:r w:rsidR="00FD78E5" w:rsidRPr="00837161">
        <w:t>“</w:t>
      </w:r>
      <w:r w:rsidR="001B0409" w:rsidRPr="00837161">
        <w:t>eyes and ears</w:t>
      </w:r>
      <w:r w:rsidR="00FD78E5" w:rsidRPr="00837161">
        <w:t>”</w:t>
      </w:r>
      <w:r w:rsidR="001B0409" w:rsidRPr="00837161">
        <w:t xml:space="preserve"> of their national biosecurity system. Reporting </w:t>
      </w:r>
      <w:r w:rsidR="00644E84" w:rsidRPr="00837161">
        <w:t xml:space="preserve">of species sightings </w:t>
      </w:r>
      <w:r w:rsidR="001B0409" w:rsidRPr="00837161">
        <w:t xml:space="preserve">is through smart phone </w:t>
      </w:r>
      <w:r w:rsidR="00526914">
        <w:t>a</w:t>
      </w:r>
      <w:r w:rsidR="001B0409" w:rsidRPr="00837161">
        <w:t xml:space="preserve">pps and other online </w:t>
      </w:r>
      <w:r w:rsidR="00644E84" w:rsidRPr="00837161">
        <w:t xml:space="preserve">biological recording or </w:t>
      </w:r>
      <w:r w:rsidR="001B0409" w:rsidRPr="00837161">
        <w:t xml:space="preserve">reporting platforms such as </w:t>
      </w:r>
      <w:r w:rsidR="001B0409" w:rsidRPr="00837161">
        <w:rPr>
          <w:i/>
          <w:iCs/>
        </w:rPr>
        <w:t>iNaturalist</w:t>
      </w:r>
      <w:r w:rsidR="001B0409" w:rsidRPr="00837161">
        <w:t xml:space="preserve"> and national reporting hotlines often supported by online taxonomic tools</w:t>
      </w:r>
      <w:r w:rsidR="00644E84" w:rsidRPr="00837161">
        <w:t xml:space="preserve"> and resources</w:t>
      </w:r>
      <w:r w:rsidR="001B0409" w:rsidRPr="00837161">
        <w:t xml:space="preserve">. Many local and </w:t>
      </w:r>
      <w:r w:rsidR="00AF13BC" w:rsidRPr="00837161">
        <w:t>open-source</w:t>
      </w:r>
      <w:r w:rsidR="001B0409" w:rsidRPr="00837161">
        <w:t xml:space="preserve"> adaptable biodiversity, pest and disease reporting </w:t>
      </w:r>
      <w:r w:rsidR="00526914">
        <w:t>a</w:t>
      </w:r>
      <w:r w:rsidR="001B0409" w:rsidRPr="00837161">
        <w:t>pps exist now in many countries (</w:t>
      </w:r>
      <w:r w:rsidR="00BA147F" w:rsidRPr="00837161">
        <w:t xml:space="preserve">e.g., </w:t>
      </w:r>
      <w:hyperlink r:id="rId91">
        <w:r w:rsidR="001B0409" w:rsidRPr="00837161">
          <w:t>BioCollect hubs</w:t>
        </w:r>
      </w:hyperlink>
      <w:r w:rsidR="001B0409" w:rsidRPr="00837161">
        <w:t xml:space="preserve"> on the Atlas of Living Australia). </w:t>
      </w:r>
      <w:r w:rsidR="001B0409" w:rsidRPr="00837161">
        <w:rPr>
          <w:lang w:eastAsia="ja-JP"/>
        </w:rPr>
        <w:t>Portals can be regionally specific, habitat or biome specific (</w:t>
      </w:r>
      <w:r w:rsidR="00BA147F" w:rsidRPr="00837161">
        <w:rPr>
          <w:lang w:eastAsia="ja-JP"/>
        </w:rPr>
        <w:t xml:space="preserve">e.g., </w:t>
      </w:r>
      <w:hyperlink r:id="rId92">
        <w:r w:rsidR="001B0409" w:rsidRPr="00837161">
          <w:t>RedMap</w:t>
        </w:r>
      </w:hyperlink>
      <w:r w:rsidR="001B0409" w:rsidRPr="00837161">
        <w:rPr>
          <w:lang w:eastAsia="ja-JP"/>
        </w:rPr>
        <w:t xml:space="preserve"> in Australia or </w:t>
      </w:r>
      <w:hyperlink r:id="rId93">
        <w:r w:rsidR="001B0409" w:rsidRPr="00837161">
          <w:rPr>
            <w:lang w:eastAsia="ja-JP"/>
          </w:rPr>
          <w:t>European Alien Species Information Network in Europe</w:t>
        </w:r>
      </w:hyperlink>
      <w:r w:rsidR="001B0409" w:rsidRPr="00837161">
        <w:rPr>
          <w:lang w:eastAsia="ja-JP"/>
        </w:rPr>
        <w:t xml:space="preserve">) or organism type specific. </w:t>
      </w:r>
      <w:r w:rsidR="00D57586" w:rsidRPr="00837161">
        <w:rPr>
          <w:lang w:eastAsia="ja-JP"/>
        </w:rPr>
        <w:t>In Canada</w:t>
      </w:r>
      <w:r w:rsidR="57F79ED0" w:rsidRPr="00837161">
        <w:rPr>
          <w:lang w:eastAsia="ja-JP"/>
        </w:rPr>
        <w:t>,</w:t>
      </w:r>
      <w:r w:rsidR="00D57586" w:rsidRPr="00837161">
        <w:rPr>
          <w:lang w:eastAsia="ja-JP"/>
        </w:rPr>
        <w:t xml:space="preserve"> </w:t>
      </w:r>
      <w:r w:rsidR="00995ED8" w:rsidRPr="00837161">
        <w:rPr>
          <w:lang w:eastAsia="ja-JP"/>
        </w:rPr>
        <w:t xml:space="preserve">citizen science </w:t>
      </w:r>
      <w:r w:rsidR="00995ED8" w:rsidRPr="00837161">
        <w:rPr>
          <w:lang w:eastAsia="ja-JP"/>
        </w:rPr>
        <w:lastRenderedPageBreak/>
        <w:t xml:space="preserve">is being used for </w:t>
      </w:r>
      <w:r w:rsidR="006F51E6" w:rsidRPr="00837161">
        <w:rPr>
          <w:lang w:eastAsia="ja-JP"/>
        </w:rPr>
        <w:t xml:space="preserve">marine invasive </w:t>
      </w:r>
      <w:r w:rsidR="002C3FAB" w:rsidRPr="00837161">
        <w:rPr>
          <w:rFonts w:eastAsia="Times New Roman"/>
        </w:rPr>
        <w:t xml:space="preserve">alien </w:t>
      </w:r>
      <w:r w:rsidR="006F51E6" w:rsidRPr="00837161">
        <w:rPr>
          <w:lang w:eastAsia="ja-JP"/>
        </w:rPr>
        <w:t>species</w:t>
      </w:r>
      <w:r w:rsidR="0029014F" w:rsidRPr="00837161">
        <w:rPr>
          <w:lang w:eastAsia="ja-JP"/>
        </w:rPr>
        <w:t xml:space="preserve"> surveillance</w:t>
      </w:r>
      <w:r w:rsidR="006F51E6" w:rsidRPr="00837161">
        <w:rPr>
          <w:lang w:eastAsia="ja-JP"/>
        </w:rPr>
        <w:t xml:space="preserve"> </w:t>
      </w:r>
      <w:r w:rsidR="001B0409" w:rsidRPr="00837161">
        <w:rPr>
          <w:lang w:eastAsia="ja-JP"/>
        </w:rPr>
        <w:fldChar w:fldCharType="begin"/>
      </w:r>
      <w:r w:rsidR="000F35EB">
        <w:rPr>
          <w:lang w:eastAsia="ja-JP"/>
        </w:rPr>
        <w:instrText xml:space="preserve"> ADDIN ZOTERO_ITEM CSL_CITATION {"citationID":"wb4dthV7","properties":{"formattedCitation":"(Delaney et al., 2008)","plainCitation":"(Delaney et al., 2008)","noteIndex":0},"citationItems":[{"id":30783,"uris":["http://zotero.org/groups/2352922/items/DL6SY6B9"],"itemData":{"id":30783,"type":"article-journal","container-title":"Biological Invasions","DOI":"10.1007/s10530-007-9114-0","ISSN":"1387-3547, 1573-1464","issue":"1","journalAbbreviation":"Biol Invasions","language":"en","page":"117-128","source":"DOI.org (Crossref)","title":"Marine invasive species: validation of citizen science and implications for national monitoring networks","title-short":"Marine invasive species","URL":"http://link.springer.com/10.1007/s10530-007-9114-0","volume":"10","author":[{"family":"Delaney","given":"David G."},{"family":"Sperling","given":"Corinne D."},{"family":"Adams","given":"Christiaan S."},{"family":"Leung","given":"Brian"}],"accessed":{"date-parts":[["2021",7,21]]},"issued":{"date-parts":[["2008",1]]}},"label":"page"}],"schema":"https://github.com/citation-style-language/schema/raw/master/csl-citation.json"} </w:instrText>
      </w:r>
      <w:r w:rsidR="001B0409" w:rsidRPr="00837161">
        <w:rPr>
          <w:lang w:eastAsia="ja-JP"/>
        </w:rPr>
        <w:fldChar w:fldCharType="separate"/>
      </w:r>
      <w:r w:rsidR="00271B78" w:rsidRPr="00271B78">
        <w:t>(Delaney et al., 2008)</w:t>
      </w:r>
      <w:r w:rsidR="001B0409" w:rsidRPr="00837161">
        <w:rPr>
          <w:lang w:eastAsia="ja-JP"/>
        </w:rPr>
        <w:fldChar w:fldCharType="end"/>
      </w:r>
      <w:r w:rsidR="006F51E6" w:rsidRPr="00837161">
        <w:rPr>
          <w:lang w:eastAsia="ja-JP"/>
        </w:rPr>
        <w:t xml:space="preserve">. </w:t>
      </w:r>
      <w:r w:rsidR="001B0409" w:rsidRPr="00837161">
        <w:rPr>
          <w:lang w:eastAsia="ja-JP"/>
        </w:rPr>
        <w:t>A purpose-built regionali</w:t>
      </w:r>
      <w:r w:rsidR="000543F9" w:rsidRPr="00837161">
        <w:rPr>
          <w:lang w:eastAsia="ja-JP"/>
        </w:rPr>
        <w:t>z</w:t>
      </w:r>
      <w:r w:rsidR="001B0409" w:rsidRPr="00837161">
        <w:rPr>
          <w:lang w:eastAsia="ja-JP"/>
        </w:rPr>
        <w:t xml:space="preserve">ed system is the “Invaders of Texas program” </w:t>
      </w:r>
      <w:r w:rsidR="001B0409" w:rsidRPr="00837161">
        <w:rPr>
          <w:lang w:eastAsia="ja-JP"/>
        </w:rPr>
        <w:fldChar w:fldCharType="begin"/>
      </w:r>
      <w:r w:rsidR="000F35EB">
        <w:rPr>
          <w:lang w:eastAsia="ja-JP"/>
        </w:rPr>
        <w:instrText xml:space="preserve"> ADDIN ZOTERO_ITEM CSL_CITATION {"citationID":"Hd8Q8hGz","properties":{"formattedCitation":"(Gallo &amp; Waitt, 2011)","plainCitation":"(Gallo &amp; Waitt, 2011)","noteIndex":0},"citationItems":[{"id":21933,"uris":["http://zotero.org/groups/2352922/items/WQDTP4L6"],"itemData":{"id":21933,"type":"article-journal","abstract":"The Invaders of Texas program is a successful citizen science program in which volunteers survey and monitor invasive plants throughout Texas. Invasive plants are being introduced at alarming rates, and our limited knowledge about their distribution is a major cause for concern. The Invaders of Texas program trains citizen scientists to detect the arrival and dispersal of invasive plants in their local areas and to report them into an online, statewide mapping database. In order to test the value of citizen scientists’ data, we compared Invaders of Texas citizen scientists’ observations of Arundo donax (giant reed) with previously recorded A. donax observations in Texas and found an increase in the reed’s overall distribution. A comparison with observations from the Invasive Plant Atlas of New England, a similar citizen science program, confirmed that, given proper training, citizen scientists are able to detect and report invasive plants in their local areas, and the data they collect can be used by professional scientists.","container-title":"BioScience","DOI":"10.1525/bio.2011.61.6.8","ISSN":"1525-3244, 0006-3568","issue":"6","language":"en","page":"459-465","source":"DOI.org (Crossref)","title":"Creating a Successful Citizen Science Model to Detect and Report Invasive Species","URL":"https://academic.oup.com/bioscience/article-lookup/doi/10.1525/bio.2011.61.6.8","volume":"61","author":[{"family":"Gallo","given":"Travis"},{"family":"Waitt","given":"Damon"}],"accessed":{"date-parts":[["2020",4,19]]},"issued":{"date-parts":[["2011",6]]}},"label":"page"}],"schema":"https://github.com/citation-style-language/schema/raw/master/csl-citation.json"} </w:instrText>
      </w:r>
      <w:r w:rsidR="001B0409" w:rsidRPr="00837161">
        <w:rPr>
          <w:lang w:eastAsia="ja-JP"/>
        </w:rPr>
        <w:fldChar w:fldCharType="separate"/>
      </w:r>
      <w:r w:rsidR="00271B78" w:rsidRPr="00271B78">
        <w:t>(Gallo &amp; Waitt, 2011)</w:t>
      </w:r>
      <w:r w:rsidR="001B0409" w:rsidRPr="00837161">
        <w:rPr>
          <w:lang w:eastAsia="ja-JP"/>
        </w:rPr>
        <w:fldChar w:fldCharType="end"/>
      </w:r>
      <w:r w:rsidR="001B0409" w:rsidRPr="00837161">
        <w:rPr>
          <w:lang w:eastAsia="ja-JP"/>
        </w:rPr>
        <w:t>.</w:t>
      </w:r>
      <w:r w:rsidRPr="00C0338D">
        <w:t xml:space="preserve"> </w:t>
      </w:r>
    </w:p>
    <w:p w14:paraId="000002C4" w14:textId="7836B4BB" w:rsidR="00A758FD" w:rsidRPr="00C0338D" w:rsidRDefault="23794A0A">
      <w:pPr>
        <w:spacing w:before="240" w:after="120" w:line="240" w:lineRule="auto"/>
      </w:pPr>
      <w:r w:rsidRPr="00837161">
        <w:rPr>
          <w:lang w:eastAsia="ja-JP"/>
        </w:rPr>
        <w:t xml:space="preserve">Limitations around relevance </w:t>
      </w:r>
      <w:r w:rsidRPr="00837161">
        <w:t xml:space="preserve">only </w:t>
      </w:r>
      <w:r w:rsidRPr="00837161">
        <w:rPr>
          <w:lang w:eastAsia="ja-JP"/>
        </w:rPr>
        <w:t xml:space="preserve">to </w:t>
      </w:r>
      <w:r w:rsidRPr="00837161">
        <w:t xml:space="preserve">relatively easily observable and identifiable species are </w:t>
      </w:r>
      <w:r w:rsidR="330A0BD9" w:rsidRPr="00837161">
        <w:t>being addressed by</w:t>
      </w:r>
      <w:r w:rsidRPr="00837161">
        <w:t xml:space="preserve"> automated off the shelf digital platforms</w:t>
      </w:r>
      <w:r w:rsidR="74307FEF" w:rsidRPr="00837161">
        <w:t xml:space="preserve"> </w:t>
      </w:r>
      <w:r w:rsidRPr="00837161">
        <w:rPr>
          <w:i/>
          <w:iCs/>
        </w:rPr>
        <w:fldChar w:fldCharType="begin"/>
      </w:r>
      <w:r w:rsidR="000F35EB">
        <w:rPr>
          <w:i/>
          <w:iCs/>
        </w:rPr>
        <w:instrText xml:space="preserve"> ADDIN ZOTERO_ITEM CSL_CITATION {"citationID":"U0q2GKBy","properties":{"formattedCitation":"(Schmidt-Lebuhn &amp; Norton, 2017; W\\uc0\\u228{}ldchen et al., 2018)","plainCitation":"(Schmidt-Lebuhn &amp; Norton, 2017; Wäldchen et al., 2018)","dontUpdate":true,"noteIndex":0},"citationItems":[{"id":52781,"uris":["http://zotero.org/groups/2352922/items/S43YKEDH"],"itemData":{"id":52781,"type":"article-journal","abstract":"Exotic weed propagules (seeds or fruits) often contaminate goods intended for import into Australia. Biosecurity officers must identify such propagules to manage risks, prevent incursions, and decide on potentially costly actions such as cleaning, treating, or destroying cargo. According to observations made by the Australian Department of Agriculture and Water Resources, more than 20% of the propagules found by biosecurity officers currently cannot be identified. By far the most important weed families contributing to seed load of imported goods are the grass family (Poaceae) and the daisy family (Asteraceae), accounting together for approximately 80% of cases. To facilitate fast and secure identification, increase the capabilities of biosecurity staff, and reduce the risk of weed incursions, we have developed an interactive digital identification key to the propagules of an initial priority list of 43 species of Asteraceae.","container-title":"Invasive Plant Science and Management","DOI":"10.1017/inp.2017.17","ISSN":"1939-7291, 1939-747X","issue":"2","language":"en","note":"publisher: Cambridge University Press","page":"210-211","source":"Cambridge University Press","title":"An Online Multi-Access Identification Key to the Propagules of Selected Biosecurity-Relevant Asteraceae (Daisy or Sunflower Family)","URL":"https://www.cambridge.org/core/journals/invasive-plant-science-and-management/article/an-online-multiaccess-identification-key-to-the-propagules-of-selected-biosecurityrelevant-asteraceae-daisy-or-sunflower-family/5ED2E12D973DBA98C99538E4EF8D6622","volume":"10","author":[{"family":"Schmidt-Lebuhn","given":"Alexander N."},{"family":"Norton","given":"Gertraud"}],"accessed":{"date-parts":[["2022",8,3]]},"issued":{"date-parts":[["2017",6]]}},"label":"page"},{"id":30121,"uris":["http://zotero.org/groups/2352922/items/JEIV36TK"],"itemData":{"id":30121,"type":"article-journal","container-title":"PLOS Computational Biology","DOI":"10.1371/journal.pcbi.1005993","ISSN":"1553-7358","issue":"4","journalAbbreviation":"PLoS Comput Biol","language":"en","page":"e1005993","source":"DOI.org (Crossref)","title":"Automated plant species identification—Trends and future directions","URL":"https://dx.plos.org/10.1371/journal.pcbi.1005993","volume":"14","author":[{"family":"Wäldchen","given":"Jana"},{"family":"Rzanny","given":"Michael"},{"family":"Seeland","given":"Marco"},{"family":"Mäder","given":"Patrick"}],"editor":[{"family":"Bucksch","given":"Alexander"}],"accessed":{"date-parts":[["2020",8,17]]},"issued":{"date-parts":[["2018",4,5]]}},"label":"page"}],"schema":"https://github.com/citation-style-language/schema/raw/master/csl-citation.json"} </w:instrText>
      </w:r>
      <w:r w:rsidRPr="00837161">
        <w:rPr>
          <w:i/>
          <w:iCs/>
        </w:rPr>
        <w:fldChar w:fldCharType="separate"/>
      </w:r>
      <w:r w:rsidR="007F7120" w:rsidRPr="00837161">
        <w:t>(Schmidt-Lebuhn &amp; Norton, 2017; Wäldchen et al., 2018</w:t>
      </w:r>
      <w:r w:rsidRPr="00837161">
        <w:rPr>
          <w:i/>
          <w:iCs/>
        </w:rPr>
        <w:fldChar w:fldCharType="end"/>
      </w:r>
      <w:r w:rsidR="3C57F12C" w:rsidRPr="00837161">
        <w:t>;</w:t>
      </w:r>
      <w:r w:rsidR="00C81287" w:rsidRPr="00C0338D">
        <w:t xml:space="preserve"> </w:t>
      </w:r>
      <w:r w:rsidR="00C81287" w:rsidRPr="00C0338D">
        <w:rPr>
          <w:b/>
        </w:rPr>
        <w:t>section 5.4.3.2c</w:t>
      </w:r>
      <w:r w:rsidR="00C81287" w:rsidRPr="00C0338D">
        <w:t>)</w:t>
      </w:r>
      <w:r w:rsidR="00C81287" w:rsidRPr="00C0338D">
        <w:rPr>
          <w:i/>
        </w:rPr>
        <w:t>.</w:t>
      </w:r>
      <w:r w:rsidR="00C81287" w:rsidRPr="00C0338D">
        <w:t xml:space="preserve"> Citizen science portals are less effective for species generally requiring laboratory-based diagnostics (e.g., for micro-organisms and diseases) but not always (see </w:t>
      </w:r>
      <w:hyperlink r:id="rId94">
        <w:r w:rsidRPr="00837161">
          <w:t>AshTag App.</w:t>
        </w:r>
      </w:hyperlink>
      <w:r w:rsidR="00C81287" w:rsidRPr="00C0338D">
        <w:t xml:space="preserve"> in the United Kingdom for ash dieback). There are also privacy concerns if publicly searchable data repositories can identify landowners legally responsible for invasive alien species on their properties or include unvalidated records of potentially trade-sensitive species of biosecurity relevance. Citizen science reporting is also relevant beyond species distribution and abundance to outbreak management. Data input portals can also be used to capture management activities and their effectiveness.</w:t>
      </w:r>
      <w:bookmarkEnd w:id="342"/>
    </w:p>
    <w:p w14:paraId="000002C5" w14:textId="77777777" w:rsidR="00A758FD" w:rsidRPr="00C0338D" w:rsidRDefault="00C81287" w:rsidP="00B06042">
      <w:pPr>
        <w:pStyle w:val="Heading4"/>
      </w:pPr>
      <w:bookmarkStart w:id="343" w:name="_heading=h.3s49zyc" w:colFirst="0" w:colLast="0"/>
      <w:bookmarkStart w:id="344" w:name="_Toc69313995"/>
      <w:bookmarkEnd w:id="343"/>
      <w:r w:rsidRPr="00C0338D">
        <w:t>Earth observation - remote sensing detection</w:t>
      </w:r>
      <w:bookmarkEnd w:id="344"/>
    </w:p>
    <w:p w14:paraId="000002C6" w14:textId="55990774" w:rsidR="00A758FD" w:rsidRPr="00C0338D" w:rsidRDefault="00C81287">
      <w:pPr>
        <w:spacing w:before="240" w:after="120" w:line="240" w:lineRule="auto"/>
      </w:pPr>
      <w:r w:rsidRPr="00C0338D">
        <w:t xml:space="preserve">Remote sensing is an important tool supporting invasive alien species surveillance and monitoring </w:t>
      </w:r>
      <w:r w:rsidR="001B0409" w:rsidRPr="00837161">
        <w:fldChar w:fldCharType="begin"/>
      </w:r>
      <w:r w:rsidR="000F35EB">
        <w:instrText xml:space="preserve"> ADDIN ZOTERO_ITEM CSL_CITATION {"citationID":"U9iXpRVc","properties":{"formattedCitation":"(C. Joshi et al., 2004)","plainCitation":"(C. Joshi et al., 2004)","noteIndex":0},"citationItems":[{"id":15454,"uris":["http://zotero.org/groups/2352922/items/H7QA436S"],"itemData":{"id":15454,"type":"paper-conference","container-title":"ISPRS 2004: Proceedings of the XXth ISPRS congress","event-place":"Istanbul, Turkey","event-title":"the XXth ISPRS congress: Geo-imagery bridging continents","page":"669-677","publisher":"International Society for Photogrammetry and Remote Sensing (ISPRS)","publisher-place":"Istanbul, Turkey","title":"Remote sensing and GIS applications for mapping and spatial modelling of invasive species","URL":"http://www.itc.nl/library/Papers_2004/peer_conf/joshi.pdf","volume":"35","author":[{"family":"Joshi","given":"Chudamani"},{"family":"Leeuw","given":"Jan","non-dropping-particle":"de"},{"family":"Duren","given":"Iris C","non-dropping-particle":"van"}],"issued":{"date-parts":[["2004"]]}},"label":"page"}],"schema":"https://github.com/citation-style-language/schema/raw/master/csl-citation.json"} </w:instrText>
      </w:r>
      <w:r w:rsidR="001B0409" w:rsidRPr="00837161">
        <w:fldChar w:fldCharType="separate"/>
      </w:r>
      <w:r w:rsidR="00271B78" w:rsidRPr="00271B78">
        <w:t>(C. Joshi et al., 2004)</w:t>
      </w:r>
      <w:r w:rsidR="001B0409" w:rsidRPr="00837161">
        <w:fldChar w:fldCharType="end"/>
      </w:r>
      <w:r w:rsidR="001B0409" w:rsidRPr="00837161">
        <w:t>, eradication, containment and widespread management</w:t>
      </w:r>
      <w:r w:rsidR="00085F42" w:rsidRPr="00837161">
        <w:t xml:space="preserve"> </w:t>
      </w:r>
      <w:r w:rsidR="001B0409" w:rsidRPr="00837161">
        <w:fldChar w:fldCharType="begin"/>
      </w:r>
      <w:r w:rsidR="000F35EB">
        <w:instrText xml:space="preserve"> ADDIN ZOTERO_ITEM CSL_CITATION {"citationID":"PJ0XPiHA","properties":{"formattedCitation":"(Walsh, 2018)","plainCitation":"(Walsh, 2018)","noteIndex":0},"citationItems":[{"id":30796,"uris":["http://zotero.org/groups/2352922/items/IGA392LD"],"itemData":{"id":30796,"type":"chapter","abstract":"A fused, multi-scale remote sensing system that ranges from field-based to satellite-based systems offers considerable power and efficiencies for mapping and monitoring the spread and/or eradication of introduced and invasive plant species. Optical, multispectral, and hyperspectral remote sensing systems are capable of distinguishing alien species from background features through their spectral, spatial, and temporal signatures—often assessed through a suite of change detection approaches that rely upon an assembled image time series. Pixel- and object-based image processing approaches depend on an expanded feature set that generally includes digital enhancements and vegetation indices as well as GIS coverages. Several land suitability and ecosystem process models have been used to assess the spread of introduced and invasive species across the landscape, given ecological site conditions and social considerations associated with human-managed landscapes. Considerable challenges persist in the mapping, monitoring, and modeling of introduced and invasive species related to sub-canopy distributions, target resolutions of young and mature specimens, fragmented distributions, and natural and human forcing functions of their space-time patterns across the landscape.","collection-title":"Social and Ecological Interactions in the Galapagos Islands","container-title":"Understanding Invasive Species in the Galapagos Islands: From the Molecular to the Landscape","event-place":"Cham","ISBN":"978-3-319-67177-2","language":"en","note":"DOI: 10.1007/978-3-319-67177-2_8","page":"143-154","publisher":"Springer International Publishing","publisher-place":"Cham","source":"Springer Link","title":"Multi-scale Remote Sensing of Introduced and Invasive Species: An Overview of Approaches and Perspectives","title-short":"Multi-scale Remote Sensing of Introduced and Invasive Species","URL":"https://doi.org/10.1007/978-3-319-67177-2_8","author":[{"family":"Walsh","given":"Stephen J."}],"editor":[{"family":"Torres","given":"María de Lourdes"},{"family":"Mena","given":"Carlos F."}],"accessed":{"date-parts":[["2021",10,28]]},"issued":{"date-parts":[["2018"]]}},"label":"page"}],"schema":"https://github.com/citation-style-language/schema/raw/master/csl-citation.json"} </w:instrText>
      </w:r>
      <w:r w:rsidR="001B0409" w:rsidRPr="00837161">
        <w:fldChar w:fldCharType="separate"/>
      </w:r>
      <w:r w:rsidR="00271B78" w:rsidRPr="00271B78">
        <w:t>(Walsh, 2018)</w:t>
      </w:r>
      <w:r w:rsidR="001B0409" w:rsidRPr="00837161">
        <w:fldChar w:fldCharType="end"/>
      </w:r>
      <w:r w:rsidR="009034D8" w:rsidRPr="00837161">
        <w:t>.</w:t>
      </w:r>
      <w:r w:rsidRPr="00C0338D">
        <w:t xml:space="preserve"> The growing availability and adaptability of remote sensing could make large-scale eradication programmes cost</w:t>
      </w:r>
      <w:r w:rsidR="005D7B59">
        <w:t>-</w:t>
      </w:r>
      <w:r w:rsidRPr="00C0338D">
        <w:t>effective.</w:t>
      </w:r>
    </w:p>
    <w:p w14:paraId="362A0536" w14:textId="598C4500" w:rsidR="001B0409" w:rsidRPr="00837161" w:rsidRDefault="001B0409" w:rsidP="00C11DFA">
      <w:pPr>
        <w:spacing w:before="240" w:after="120" w:line="240" w:lineRule="auto"/>
        <w:rPr>
          <w:lang w:eastAsia="ja-JP"/>
        </w:rPr>
      </w:pPr>
      <w:r w:rsidRPr="00837161">
        <w:t>Earth observatio</w:t>
      </w:r>
      <w:r w:rsidRPr="00837161">
        <w:rPr>
          <w:lang w:eastAsia="ja-JP"/>
        </w:rPr>
        <w:t>n data from satellites and manned and unmanned aerial systems allows rapid</w:t>
      </w:r>
      <w:r w:rsidR="00CD1434">
        <w:rPr>
          <w:lang w:eastAsia="ja-JP"/>
        </w:rPr>
        <w:t xml:space="preserve">, </w:t>
      </w:r>
      <w:r w:rsidRPr="00837161">
        <w:rPr>
          <w:lang w:eastAsia="ja-JP"/>
        </w:rPr>
        <w:t>large-scale and repeatable assessment of areas inaccessible to ground surveys</w:t>
      </w:r>
      <w:r w:rsidR="00CC4A5D" w:rsidRPr="00837161">
        <w:rPr>
          <w:lang w:eastAsia="ja-JP"/>
        </w:rPr>
        <w:t xml:space="preserve"> </w:t>
      </w:r>
      <w:r w:rsidRPr="00837161">
        <w:rPr>
          <w:lang w:eastAsia="ja-JP"/>
        </w:rPr>
        <w:fldChar w:fldCharType="begin"/>
      </w:r>
      <w:r w:rsidR="000F35EB">
        <w:rPr>
          <w:lang w:eastAsia="ja-JP"/>
        </w:rPr>
        <w:instrText xml:space="preserve"> ADDIN ZOTERO_ITEM CSL_CITATION {"citationID":"V0LhkdBv","properties":{"formattedCitation":"(Pettorelli et al., 2014; Royimani et al., 2019)","plainCitation":"(Pettorelli et al., 2014; Royimani et al., 2019)","noteIndex":0},"citationItems":[{"id":30795,"uris":["http://zotero.org/groups/2352922/items/VZKVDNXZ"],"itemData":{"id":30795,"type":"article-journal","abstract":"Habitat loss and degradation, overexploitation, climate change and the spread of invasive species are drastically depleting the Earth's biological diversity, leading to detrimental impacts on ecosystem services and human well-being. Our ability to monitor the state of biodiversity and the impacts of global environmental change on this natural capital is fundamental to designing effective adaptation and mitigation strategies for preventing further loss of biological diversity. This requires the scientific community to assess spatio-temporal changes in the distribution of abiotic conditions (e.g. temperature, rainfall) and in the distribution, structure, composition and functioning of ecosystems. The potential for satellite remote sensing (SRS) to provide key data has been highlighted by many researchers, with SRS offering repeatable, standardized and verifiable information on long-term trends in biodiversity indicators. SRS permits one to address questions on scales inaccessible to ground-based methods alone, facilitating the development of an integrated approach to natural resource management, where biodiversity, pressures to biodiversity and consequences of management decisions can all be monitored. Synthesis and applications. Here, we provide an interdisciplinary perspective on the prospects of satellite remote sensing (SRS) for ecological applications, reviewing established avenues and highlighting new research and technological developments that have a high potential to make a difference in environmental management. We also discuss current barriers to the ecological application of SRS-based approaches and identify possible ways to overcome some of these limitations.","container-title":"Journal of Applied Ecology","DOI":"10.1111/1365-2664.12261","ISSN":"1365-2664","issue":"4","language":"en","note":"_eprint: https://onlinelibrary.wiley.com/doi/pdf/10.1111/1365-2664.12261","page":"839-848","source":"Wiley Online Library","title":"Satellite remote sensing for applied ecologists: opportunities and challenges","title-short":"Satellite remote sensing for applied ecologists","URL":"https://onlinelibrary.wiley.com/doi/abs/10.1111/1365-2664.12261","volume":"51","author":[{"family":"Pettorelli","given":"Nathalie"},{"family":"Laurance","given":"William F."},{"family":"O'Brien","given":"Timothy G."},{"family":"Wegmann","given":"Martin"},{"family":"Nagendra","given":"Harini"},{"family":"Turner","given":"Woody"}],"accessed":{"date-parts":[["2021",10,28]]},"issued":{"date-parts":[["2014"]]}},"label":"page"},{"id":30770,"uris":["http://zotero.org/groups/2352922/items/THTKRP75"],"itemData":{"id":30770,"type":"article-journal","abstract":"Detecting and mapping the occurrence, spatial distribution and abundance of Alien Invasive Plants (AIPs) have recently gained substantial attention, globally. This work, therefore, provides an overview of advancements in satellite remote sensing for mapping and monitoring of AIPs and associated challenges and opportunities. Satellite remote sensing techniques have been successful in detecting and mapping the spatial and temporal distribution of AIPs in rangeland ecosystems. Also, the launch of high spatial resolution and hyperspectral remote sensing sensors marked a major breakthrough to precise characterization of earth surface feature as well as optimal resource monitoring. Although essential, the improvements in spatial and spectral properties of remote sensing sensors presented a number of challenges including the excessive acquisition and limited temporal resolution. Therefore, the use of high spatial and hyperspectral datasets is not a plausible alternative to continued and operational scale earth observation, especially in financially constrained countries. On the other hand, literature shows that image classification algorithms have been instrumental in compensating the poor spatial and spectral resolution of remote sensing sensors. Furthermore, the emergence of robust and advanced non-parametric image classification algorithms have been a major development in image classification algorithms. Therefore, to address the inevitable challenges arising with satellite sensor development technology it is necessary to explore the use of robust and advanced non-parametric image classifiers with data provided by the new generation of multispectral sensors with improved spatial and spectral resolutions. This will promote long-term and large scale mapping of AIPs, especially in financially constrained countries.","collection-title":"18th WaterNet/WARFSA/GWPSA Symposium on Integrated Water Resources Development and Management: Innovative Technological Advances for Water Security in Eastern and Southern Africa - Part B","container-title":"Physics and Chemistry of the Earth, Parts A/B/C","DOI":"10.1016/j.pce.2018.12.004","ISSN":"1474-7065","journalAbbreviation":"Physics and Chemistry of the Earth, Parts A/B/C","language":"en","page":"237-245","source":"ScienceDirect","title":"Advancements in satellite remote sensing for mapping and monitoring of alien invasive plant species (AIPs)","URL":"https://www.sciencedirect.com/science/article/pii/S1474706518301128","volume":"112","author":[{"family":"Royimani","given":"Lwando"},{"family":"Mutanga","given":"Onisimo"},{"family":"Odindi","given":"John"},{"family":"Dube","given":"Timothy"},{"family":"Matongera","given":"Trylee Nyasha"}],"accessed":{"date-parts":[["2021",10,28]]},"issued":{"date-parts":[["2019",8,1]]}},"label":"page"}],"schema":"https://github.com/citation-style-language/schema/raw/master/csl-citation.json"} </w:instrText>
      </w:r>
      <w:r w:rsidRPr="00837161">
        <w:rPr>
          <w:lang w:eastAsia="ja-JP"/>
        </w:rPr>
        <w:fldChar w:fldCharType="separate"/>
      </w:r>
      <w:r w:rsidR="00271B78" w:rsidRPr="00271B78">
        <w:t>(Pettorelli et al., 2014; Royimani et al., 2019)</w:t>
      </w:r>
      <w:r w:rsidRPr="00837161">
        <w:rPr>
          <w:lang w:eastAsia="ja-JP"/>
        </w:rPr>
        <w:fldChar w:fldCharType="end"/>
      </w:r>
      <w:r w:rsidRPr="00837161">
        <w:rPr>
          <w:lang w:eastAsia="ja-JP"/>
        </w:rPr>
        <w:t>. Artificial Intelligence algorithms allow unmanned aerial systems to return to suspected detections and take repeat images from a number of angles for confirmation</w:t>
      </w:r>
      <w:r w:rsidR="00FB0F22" w:rsidRPr="00837161">
        <w:rPr>
          <w:lang w:eastAsia="ja-JP"/>
        </w:rPr>
        <w:t xml:space="preserve"> </w:t>
      </w:r>
      <w:r w:rsidRPr="00837161">
        <w:rPr>
          <w:lang w:eastAsia="ja-JP"/>
        </w:rPr>
        <w:fldChar w:fldCharType="begin"/>
      </w:r>
      <w:r w:rsidR="000F35EB">
        <w:rPr>
          <w:lang w:eastAsia="ja-JP"/>
        </w:rPr>
        <w:instrText xml:space="preserve"> ADDIN ZOTERO_ITEM CSL_CITATION {"citationID":"Um6QIPvP","properties":{"formattedCitation":"(Gonzalez et al., 2016)","plainCitation":"(Gonzalez et al., 2016)","noteIndex":0},"citationItems":[{"id":30793,"uris":["http://zotero.org/groups/2352922/items/V7RLWPGK"],"itemData":{"id":30793,"type":"article-journal","abstract":"Surveying threatened and invasive species to obtain accurate population estimates is an important but challenging task that requires a considerable investment in time and resources. Estimates using existing ground-based monitoring techniques, such as camera traps and surveys performed on foot, are known to be resource intensive, potentially inaccurate and imprecise, and difficult to validate. Recent developments in unmanned aerial vehicles (UAV), artificial intelligence and miniaturized thermal imaging systems represent a new opportunity for wildlife experts to inexpensively survey relatively large areas. The system presented in this paper includes thermal image acquisition as well as a video processing pipeline to perform object detection, classification and tracking of wildlife in forest or open areas. The system is tested on thermal video data from ground based and test flight footage, and is found to be able to detect all the target wildlife located in the surveyed area. The system is flexible in that the user can readily define the types of objects to classify and the object characteristics that should be considered during classification.","container-title":"Sensors","DOI":"10.3390/s16010097","issue":"1","language":"en","license":"http://creativecommons.org/licenses/by/3.0/","note":"publisher: Multidisciplinary Digital Publishing Institute","page":"97","source":"www.mdpi.com","title":"Unmanned Aerial Vehicles (UAVs) and Artificial Intelligence Revolutionizing Wildlife Monitoring and Conservation","URL":"https://www.mdpi.com/1424-8220/16/1/97","volume":"16","author":[{"family":"Gonzalez","given":"Luis F."},{"family":"Montes","given":"Glen A."},{"family":"Puig","given":"Eduard"},{"family":"Johnson","given":"Sandra"},{"family":"Mengersen","given":"Kerrie"},{"family":"Gaston","given":"Kevin J."}],"accessed":{"date-parts":[["2021",10,28]]},"issued":{"date-parts":[["2016",1]]}},"label":"page"}],"schema":"https://github.com/citation-style-language/schema/raw/master/csl-citation.json"} </w:instrText>
      </w:r>
      <w:r w:rsidRPr="00837161">
        <w:rPr>
          <w:lang w:eastAsia="ja-JP"/>
        </w:rPr>
        <w:fldChar w:fldCharType="separate"/>
      </w:r>
      <w:r w:rsidR="00271B78" w:rsidRPr="00271B78">
        <w:t>(Gonzalez et al., 2016)</w:t>
      </w:r>
      <w:r w:rsidRPr="00837161">
        <w:rPr>
          <w:lang w:eastAsia="ja-JP"/>
        </w:rPr>
        <w:fldChar w:fldCharType="end"/>
      </w:r>
      <w:r w:rsidRPr="00837161">
        <w:rPr>
          <w:lang w:eastAsia="ja-JP"/>
        </w:rPr>
        <w:t>. The capacity for</w:t>
      </w:r>
      <w:r w:rsidRPr="00837161">
        <w:t xml:space="preserve"> real-time analysis and information delivery is evolving as</w:t>
      </w:r>
      <w:r w:rsidRPr="00837161">
        <w:rPr>
          <w:lang w:eastAsia="ja-JP"/>
        </w:rPr>
        <w:t xml:space="preserve"> computing power improves. </w:t>
      </w:r>
      <w:r w:rsidRPr="00837161">
        <w:t>Ongoing technological and analytical advancements continue to improve both sensitivity and cost-effectiveness.</w:t>
      </w:r>
      <w:r w:rsidRPr="00837161">
        <w:rPr>
          <w:lang w:eastAsia="ja-JP"/>
        </w:rPr>
        <w:t xml:space="preserve"> The a</w:t>
      </w:r>
      <w:r w:rsidRPr="00837161">
        <w:t>vailability of specific algorithms is a key limitation, as these would need to be developed for each application. Data generally come from two types of sensors; the passive sensors (such as multispectral, hyperspectral</w:t>
      </w:r>
      <w:r w:rsidR="00B36F04" w:rsidRPr="00837161">
        <w:t>,</w:t>
      </w:r>
      <w:r w:rsidRPr="00837161">
        <w:t xml:space="preserve"> or thermal)</w:t>
      </w:r>
      <w:r w:rsidR="00C16EEB">
        <w:rPr>
          <w:lang w:eastAsia="ja-JP"/>
        </w:rPr>
        <w:t xml:space="preserve"> and</w:t>
      </w:r>
      <w:r w:rsidRPr="00837161">
        <w:rPr>
          <w:lang w:eastAsia="ja-JP"/>
        </w:rPr>
        <w:t xml:space="preserve"> active sensors, such as radar or l</w:t>
      </w:r>
      <w:r w:rsidRPr="00837161">
        <w:t xml:space="preserve">ight detection and ranging </w:t>
      </w:r>
      <w:r w:rsidRPr="00837161">
        <w:rPr>
          <w:lang w:eastAsia="ja-JP"/>
        </w:rPr>
        <w:t>(Lidar) using laser pulses to measure reflection times in space, and providing detail</w:t>
      </w:r>
      <w:r w:rsidR="30679047" w:rsidRPr="00837161">
        <w:rPr>
          <w:lang w:eastAsia="ja-JP"/>
        </w:rPr>
        <w:t>ed</w:t>
      </w:r>
      <w:r w:rsidRPr="00837161">
        <w:rPr>
          <w:lang w:eastAsia="ja-JP"/>
        </w:rPr>
        <w:t xml:space="preserve"> information on </w:t>
      </w:r>
      <w:r w:rsidR="004A68E8">
        <w:rPr>
          <w:lang w:eastAsia="ja-JP"/>
        </w:rPr>
        <w:t>vegetation</w:t>
      </w:r>
      <w:r w:rsidR="004A68E8" w:rsidRPr="00837161">
        <w:rPr>
          <w:lang w:eastAsia="ja-JP"/>
        </w:rPr>
        <w:t xml:space="preserve"> </w:t>
      </w:r>
      <w:r w:rsidRPr="00837161">
        <w:rPr>
          <w:lang w:eastAsia="ja-JP"/>
        </w:rPr>
        <w:t>structure</w:t>
      </w:r>
      <w:r w:rsidR="00C51F3C" w:rsidRPr="00837161">
        <w:rPr>
          <w:lang w:eastAsia="ja-JP"/>
        </w:rPr>
        <w:t xml:space="preserve"> and understory</w:t>
      </w:r>
      <w:r w:rsidRPr="00837161">
        <w:rPr>
          <w:lang w:eastAsia="ja-JP"/>
        </w:rPr>
        <w:t xml:space="preserve"> </w:t>
      </w:r>
      <w:r w:rsidRPr="00837161">
        <w:rPr>
          <w:lang w:eastAsia="ja-JP"/>
        </w:rPr>
        <w:fldChar w:fldCharType="begin"/>
      </w:r>
      <w:r w:rsidR="000F35EB">
        <w:rPr>
          <w:lang w:eastAsia="ja-JP"/>
        </w:rPr>
        <w:instrText xml:space="preserve"> ADDIN ZOTERO_ITEM CSL_CITATION {"citationID":"jAvjqFws","properties":{"formattedCitation":"(Dash et al., 2019)","plainCitation":"(Dash et al., 2019)","noteIndex":0},"citationItems":[{"id":30794,"uris":["http://zotero.org/groups/2352922/items/CILNXRU8"],"itemData":{"id":30794,"type":"article-journal","abstract":"Exotic conifers can provide significant ecosystem services, but in some environments, they have become invasive and threaten indigenous ecosystems. In New Zealand, this phenomenon is of considerable concern as the area occupied by invasive exotic trees is large and increasing rapidly. Remote sensing methods offer a potential means of identifying and monitoring land infested by these trees, enabling managers to efficiently allocate resources for their control. In this study, we sought to develop methods for remote detection of exotic invasive trees, namely Pinus sylvestris and P. ponderosa. Critically, the study aimed to detect these species prior to the onset of maturity and coning as this is important for preventing further spread. In the study environment in New Zealand&amp;rsquo;s South Island, these species reach maturity and begin bearing cones at a young age. As such, detection of these smaller individuals requires specialist methods and very high-resolution remote sensing data. We examined the efficacy of classifiers developed using two machine learning algorithms with multispectral and laser scanning data collected from two platforms&amp;mdash;manned aircraft and unmanned aerial vehicles (UAV). The study focused on a localized conifer invasion originating from a multi-species pine shelter belt in a grassland environment. This environment provided a useful means of defining the detection thresholds of the methods and technologies employed. An extensive field dataset including over 17,000 trees (height range = 1 cm to 476 cm) was used as an independent validation dataset for the detection methods developed. We found that data from both platforms and using both logistic regression and random forests for classification provided highly accurate (kappa     &amp;lt; 0.996    ) detection of invasive conifers. Our analysis showed that the data from both UAV and manned aircraft was useful for detecting trees down to 1 m in height and therefore shorter than 99.3% of the coning individuals in the study dataset. We also explored the relative contribution of both multispectral and airborne laser scanning (ALS) data in the detection of invasive trees through fitting classification models with different combinations of predictors and found that the most useful models included data from both sensors. However, the combination of ALS and multispectral data did not significantly improve classification accuracy. We believe that this was due to the simplistic vegetation and terrain structure in the study site that resulted in uncomplicated separability of invasive conifers from other vegetation. This study provides valuable new knowledge of the efficacy of detecting invasive conifers prior to the onset of coning using high-resolution data from UAV and manned aircraft. This will be an important tool in managing the spread of these important invasive plants.","container-title":"Remote Sensing","DOI":"10.3390/rs11151812","issue":"15","language":"en","license":"http://creativecommons.org/licenses/by/3.0/","note":"publisher: Multidisciplinary Digital Publishing Institute","page":"1812","source":"www.mdpi.com","title":"Early Detection of Invasive Exotic Trees Using UAV and Manned Aircraft Multispectral and LiDAR Data","URL":"https://www.mdpi.com/2072-4292/11/15/1812","volume":"11","author":[{"family":"Dash","given":"Jonathan P."},{"family":"Watt","given":"Michael S."},{"family":"Paul","given":"Thomas S. H."},{"family":"Morgenroth","given":"Justin"},{"family":"Pearse","given":"Grant D."}],"accessed":{"date-parts":[["2021",10,28]]},"issued":{"date-parts":[["2019",1]]}},"label":"page"}],"schema":"https://github.com/citation-style-language/schema/raw/master/csl-citation.json"} </w:instrText>
      </w:r>
      <w:r w:rsidRPr="00837161">
        <w:rPr>
          <w:lang w:eastAsia="ja-JP"/>
        </w:rPr>
        <w:fldChar w:fldCharType="separate"/>
      </w:r>
      <w:r w:rsidR="00271B78" w:rsidRPr="00271B78">
        <w:t>(Dash et al., 2019)</w:t>
      </w:r>
      <w:r w:rsidRPr="00837161">
        <w:rPr>
          <w:lang w:eastAsia="ja-JP"/>
        </w:rPr>
        <w:fldChar w:fldCharType="end"/>
      </w:r>
      <w:r w:rsidR="00DE5724" w:rsidRPr="00837161">
        <w:rPr>
          <w:lang w:eastAsia="ja-JP"/>
        </w:rPr>
        <w:t>.</w:t>
      </w:r>
    </w:p>
    <w:p w14:paraId="000002C8" w14:textId="197CF628" w:rsidR="00A758FD" w:rsidRPr="00C0338D" w:rsidRDefault="00C81287">
      <w:pPr>
        <w:spacing w:before="240" w:after="120" w:line="240" w:lineRule="auto"/>
      </w:pPr>
      <w:r w:rsidRPr="00C0338D">
        <w:t xml:space="preserve">While advancements are in progress, satellite imagery is still limited by the resolution, time, frequency of overhead passage and spatial detail which for passive sensors is limited to cloud-free periods. Satellite imagery currently complements aerial systems, however, the deployment of small low orbital satellite constellations could, in addition to providing capacity for the internet-of-things to remote areas, help specific invasive alien species recognition and monitoring </w:t>
      </w:r>
      <w:r w:rsidR="6F37074E" w:rsidRPr="00837161">
        <w:fldChar w:fldCharType="begin"/>
      </w:r>
      <w:r w:rsidR="000F35EB">
        <w:instrText xml:space="preserve"> ADDIN ZOTERO_ITEM CSL_CITATION {"citationID":"xv9wGfGk","properties":{"formattedCitation":"(Schnase et al., 2002)","plainCitation":"(Schnase et al., 2002)","noteIndex":0},"citationItems":[{"id":30792,"uris":["http://zotero.org/groups/2352922/items/2WVLFA2E"],"itemData":{"id":30792,"type":"paper-conference","abstract":"The spread of invasive species is one of the most daunting environmental, economic, and human-health problems facing the United States and the World today. It is one of several grand challenge environmental problems being considered by NASA's Earth Science Vision for 2025. The invasive species problem is complex and presents many challenges. Developing an invasive species predictive capability could significantly advance the science and technology of ecological forecasting.","container-title":"IEEE International Geoscience and Remote Sensing Symposium","DOI":"10.1109/IGARSS.2002.1024961","event-title":"IEEE International Geoscience and Remote Sensing Symposium","page":"122-124 vol.1","source":"IEEE Xplore","title":"Biological invasions: a challenge in ecological forecasting","title-short":"Biological invasions","volume":"1","author":[{"family":"Schnase","given":"J.L."},{"family":"Smith","given":"J.A."},{"family":"Stohlgren","given":"T.J."},{"family":"Graves","given":"S."},{"family":"Trees","given":"C."}],"issued":{"date-parts":[["2002",6]]}},"label":"page"}],"schema":"https://github.com/citation-style-language/schema/raw/master/csl-citation.json"} </w:instrText>
      </w:r>
      <w:r w:rsidR="6F37074E" w:rsidRPr="00837161">
        <w:fldChar w:fldCharType="separate"/>
      </w:r>
      <w:r w:rsidR="00271B78" w:rsidRPr="00271B78">
        <w:t>(Schnase et al., 2002)</w:t>
      </w:r>
      <w:r w:rsidR="6F37074E" w:rsidRPr="00837161">
        <w:fldChar w:fldCharType="end"/>
      </w:r>
      <w:r w:rsidR="59CD79BE" w:rsidRPr="00837161">
        <w:t>.</w:t>
      </w:r>
      <w:r w:rsidRPr="00C0338D">
        <w:t xml:space="preserve"> With the growing availability of free or low-cost higher spatial resolution operational satellites such as Sentinel and CubeSats, larger infestations can be monitored; however, small patches and individual plants are still impossible to detect on coarser resolution data, being especially true for the highly heterogeneous landscapes where the occurrence of invasive alien species plant populations is rather patchy </w:t>
      </w:r>
      <w:r w:rsidR="6F37074E" w:rsidRPr="00837161">
        <w:rPr>
          <w:rFonts w:eastAsia="Times New Roman"/>
        </w:rPr>
        <w:fldChar w:fldCharType="begin"/>
      </w:r>
      <w:r w:rsidR="000F35EB">
        <w:rPr>
          <w:rFonts w:eastAsia="Times New Roman"/>
        </w:rPr>
        <w:instrText xml:space="preserve"> ADDIN ZOTERO_ITEM CSL_CITATION {"citationID":"TnUskQYd","properties":{"formattedCitation":"(Perroy et al., 2017)","plainCitation":"(Perroy et al., 2017)","noteIndex":0},"citationItems":[{"id":30100,"uris":["http://zotero.org/groups/2352922/items/VKABFC7V"],"itemData":{"id":30100,"type":"article-journal","abstract":"Small unmanned aerial systems (sUAS) have great potential to facilitate the early detection and management of invasive plants. Here we show how very high-resolution optical imagery, collected from small consumer-grade multirotor UAS platform at altitudes of 30–120m above ground level (agl), can be used to detect individual miconia (Miconia calvescens) plants in a highly invaded tropical rainforest environment on the island of Hawai‘i. The central aim of this research was to determine how overstory vegetation cover, imagery resolution, and camera look-angle impact the aerial detection of known individual miconia plants. For our finest resolution imagery (1.37cm ground sampling distance collected at 30m agl), we obtained a 100% detection rate for sub-canopy plants with above-crown openness values &gt;40% and a 69% detection rate for those with &gt;20% openness. We were unable to detect any plants with &lt;10% above crown openness. Detection rates progressively declined with coarser spatial resolution imagery, ending in a 0% detection rate for the 120m agl flights (ground sampling distance of 5.31cm). The addition of forward-looking oblique imagery improved detection rates for plants below overstory vegetation, though this effect decreased with increasing flight altitude. While dense overstory canopy cover, limited flight times, and visual line of sight regulations present formidable obstacles for detecting miconia and other invasive plant species, we show that sUAS platforms carrying optical sensors can be an effective component of an integrated management plan within challenging subcanopy forest environments.","container-title":"ISPRS Journal of Photogrammetry and Remote Sensing","DOI":"10.1016/j.isprsjprs.2017.01.018","ISSN":"0924-2716","journalAbbreviation":"ISPRS Journal of Photogrammetry and Remote Sensing","language":"en","page":"174-183","source":"ScienceDirect","title":"Assessing the impacts of canopy openness and flight parameters on detecting a sub-canopy tropical invasive plant using a small unmanned aerial system","URL":"https://www.sciencedirect.com/science/article/pii/S0924271616303082","volume":"125","author":[{"family":"Perroy","given":"Ryan L."},{"family":"Sullivan","given":"Timo"},{"family":"Stephenson","given":"Nathan"}],"accessed":{"date-parts":[["2021",8,17]]},"issued":{"date-parts":[["2017",3,1]]}},"label":"page"}],"schema":"https://github.com/citation-style-language/schema/raw/master/csl-citation.json"} </w:instrText>
      </w:r>
      <w:r w:rsidR="6F37074E" w:rsidRPr="00837161">
        <w:rPr>
          <w:rFonts w:eastAsia="Times New Roman"/>
        </w:rPr>
        <w:fldChar w:fldCharType="separate"/>
      </w:r>
      <w:r w:rsidR="00271B78" w:rsidRPr="00271B78">
        <w:t>(Perroy et al., 2017)</w:t>
      </w:r>
      <w:r w:rsidR="6F37074E" w:rsidRPr="00837161">
        <w:rPr>
          <w:rFonts w:eastAsia="Times New Roman"/>
        </w:rPr>
        <w:fldChar w:fldCharType="end"/>
      </w:r>
      <w:r w:rsidR="235A4FCA" w:rsidRPr="00837161">
        <w:rPr>
          <w:rFonts w:eastAsia="Times New Roman"/>
        </w:rPr>
        <w:t>.</w:t>
      </w:r>
      <w:r w:rsidRPr="00C0338D">
        <w:t xml:space="preserve"> While conventional manned aircraft (including helicopters) are still widely used, advances in miniaturization of imagery platforms on unmanned aerial systems is leading to replacement. Very high spatial resolution and flexibility of unmanned aerial systems holds great potential to support targeted monitoring, identify priorities for management and assist eradication and suppression of invasions </w:t>
      </w:r>
      <w:r w:rsidR="6F37074E" w:rsidRPr="00837161">
        <w:fldChar w:fldCharType="begin"/>
      </w:r>
      <w:r w:rsidR="00A4003D">
        <w:instrText xml:space="preserve"> ADDIN ZOTERO_ITEM CSL_CITATION {"citationID":"r1o9vRR1","properties":{"formattedCitation":"(M\\uc0\\u252{}llerov\\uc0\\u225{} et al., 2017)","plainCitation":"(Müllerová et al., 2017)","noteIndex":0},"citationItems":[{"id":23766,"uris":["http://zotero.org/groups/2352922/items/E438NSS9"],"itemData":{"id":23766,"type":"article-journal","abstract":"To successfully fight plant invasions, new methods enabling fast and efficient monitoring are needed, and remote sensing can make their management more efficient and less expensive. However, the data resolution, cost, and availability can be limiting. Optimal solution depends on the species characteristics, where the spectral and spatial resolution can compensate each other to some extent, and phenology plays an important role. Available high spatial resolution satellite data are sufficient for recognition of species that are distinct and either large or form uniform patches at size comparable to the data pixel size. For other species, higher spatial resolution is needed, and unmanned aircraft (UAV) provide data of extremely high spatial resolution (cm) at low cost and high flexibility. We assess its potential to map invasive black locust (BL, Robinia pseudoaccacia), testing imagery of different origin (satellite, UAV), spectral (multispectral, ​​red, green, and blue (RGB) + near-infrared (NIR)) and spatial resolution, and various technical approaches to choose the best strategy for the species monitoring balancing between precision of detection and economic feasibility. Using purposely designed low-cost UAV with tailless fixed wing design for two consumer cameras (RGB and modified NIR) ensures robustness and repeatable field performance while maintaining high aerodynamic efficiency, with resulting mapping capacity over 10 km2 per day. Several challenges exist in UAV application, such as lower spectral resolution, geometrical and radiometric distortions, and significant amount of data (necessity of automatic processing). In our study, we tested different options of UAV data processing and present comparison of resulting orthomosaic accuracies. For repeated measurements, it is extremely important to ensure spatial co-registration of pixels/objects from different phenological phases. Investment in GPS receiver in the UAV and GPS post-processing eliminated laborious collection of ground control points, while maintaining the co-registration of objects across multiple flights. In our study we provide evidence of benefit of the low cost unmanned system for species monitoring with high classification accuracies of target species from UAV orthomosaic outcompeting WorldView-2 satellite data, and describe methodology that can be used for practical management of invasions.","container-title":"International Journal of Remote Sensing","DOI":"10.1080/01431161.2016.1275059","ISSN":"0143-1161","issue":"8-10","note":"publisher: Taylor &amp; Francis\n_eprint: https://doi.org/10.1080/01431161.2016.1275059","page":"2177-2198","source":"Taylor and Francis+NEJM","title":"Unmanned aircraft in nature conservation: an example from plant invasions","title-short":"Unmanned aircraft in nature conservation","URL":"https://doi.org/10.1080/01431161.2016.1275059","volume":"38","author":[{"family":"Müllerová","given":"Jana"},{"family":"Bartaloš","given":"Tomáš"},{"family":"Brůna","given":"Josef"},{"family":"Dvořák","given":"Petr"},{"family":"Vítková","given":"Michaela"}],"accessed":{"date-parts":[["2020",8,20]]},"issued":{"date-parts":[["2017",5,19]]}},"label":"page"}],"schema":"https://github.com/citation-style-language/schema/raw/master/csl-citation.json"} </w:instrText>
      </w:r>
      <w:r w:rsidR="6F37074E" w:rsidRPr="00837161">
        <w:fldChar w:fldCharType="separate"/>
      </w:r>
      <w:r w:rsidR="00A4003D" w:rsidRPr="00A4003D">
        <w:t>(Müllerová et al., 2017)</w:t>
      </w:r>
      <w:r w:rsidR="6F37074E" w:rsidRPr="00837161">
        <w:fldChar w:fldCharType="end"/>
      </w:r>
      <w:r w:rsidR="59CD79BE" w:rsidRPr="00837161">
        <w:t>.</w:t>
      </w:r>
      <w:r w:rsidRPr="00C0338D">
        <w:t xml:space="preserve"> Remote sensing from drones (</w:t>
      </w:r>
      <w:r w:rsidR="002F2F42">
        <w:rPr>
          <w:b/>
        </w:rPr>
        <w:t>S</w:t>
      </w:r>
      <w:r w:rsidRPr="00C0338D">
        <w:rPr>
          <w:b/>
        </w:rPr>
        <w:t>upplementary material 5.</w:t>
      </w:r>
      <w:r w:rsidR="0071682A">
        <w:rPr>
          <w:b/>
        </w:rPr>
        <w:t>3</w:t>
      </w:r>
      <w:r w:rsidR="0071682A" w:rsidRPr="00C0338D">
        <w:rPr>
          <w:i/>
        </w:rPr>
        <w:t xml:space="preserve"> </w:t>
      </w:r>
      <w:r w:rsidRPr="00C0338D">
        <w:t xml:space="preserve">for their limitations) can target specific tasks in time and across limited space, but at finer detection resolutions, working below clouds and avoiding excessive wind speeds. Multiple sensors and high resolution massively increases the data storage and complexity, analytics and processing time </w:t>
      </w:r>
      <w:r w:rsidR="6F37074E" w:rsidRPr="00837161">
        <w:fldChar w:fldCharType="begin"/>
      </w:r>
      <w:r w:rsidR="000F35EB">
        <w:instrText xml:space="preserve"> ADDIN ZOTERO_ITEM CSL_CITATION {"citationID":"ozGErfdS","properties":{"formattedCitation":"(M\\uc0\\u252{}llerov\\uc0\\u225{}, 2019)","plainCitation":"(Müllerová, 2019)","noteIndex":0},"citationItems":[{"id":11224,"uris":["http://zotero.org/groups/2352922/items/Z78LM2ZV"],"itemData":{"id":11224,"type":"chapter","container-title":"Applications of Small Unmanned Aircraft Systems: Best Practices and Case Studies","ISBN":"978-0-429-24411-7","page":"290","publisher":"CRC Press","title":"UAS for Nature Conservation–Monitoring Invasive Species","URL":"http://dx.doi.org/10.1201/9780429244117-8","author":[{"family":"Müllerová","given":"Jana"}],"accessed":{"date-parts":[["2020",8,20]]},"issued":{"date-parts":[["2019"]]}},"label":"page"}],"schema":"https://github.com/citation-style-language/schema/raw/master/csl-citation.json"} </w:instrText>
      </w:r>
      <w:r w:rsidR="6F37074E" w:rsidRPr="00837161">
        <w:fldChar w:fldCharType="separate"/>
      </w:r>
      <w:r w:rsidR="00271B78" w:rsidRPr="00271B78">
        <w:t>(Müllerová, 2019)</w:t>
      </w:r>
      <w:r w:rsidR="6F37074E" w:rsidRPr="00837161">
        <w:fldChar w:fldCharType="end"/>
      </w:r>
      <w:r w:rsidR="59CD79BE" w:rsidRPr="00837161">
        <w:t>.</w:t>
      </w:r>
      <w:r w:rsidRPr="00C0338D">
        <w:t xml:space="preserve"> Sensors can target invasive alien species directly using a specific optical signature or can detect their presence indirectly through </w:t>
      </w:r>
      <w:r w:rsidRPr="00C0338D">
        <w:lastRenderedPageBreak/>
        <w:t xml:space="preserve">methods such as rapid change in a landscape parameter over time caused by their spread. See </w:t>
      </w:r>
      <w:r w:rsidR="002F2F42">
        <w:rPr>
          <w:b/>
        </w:rPr>
        <w:t>S</w:t>
      </w:r>
      <w:r w:rsidRPr="00C0338D">
        <w:rPr>
          <w:b/>
        </w:rPr>
        <w:t xml:space="preserve">upplementary material 5.3 </w:t>
      </w:r>
      <w:r w:rsidRPr="00C0338D">
        <w:t>for further details.</w:t>
      </w:r>
    </w:p>
    <w:p w14:paraId="000002C9" w14:textId="5D06C804" w:rsidR="00A758FD" w:rsidRPr="00C0338D" w:rsidRDefault="00C81287">
      <w:pPr>
        <w:spacing w:before="240" w:after="120" w:line="240" w:lineRule="auto"/>
      </w:pPr>
      <w:r w:rsidRPr="00C0338D">
        <w:t xml:space="preserve">Examples of the use of remote sensing employing unmanned aerial systems imagery in invasive alien plant detection and active management include multiple life forms from the wet and dry tropics to Mediterranean and temperate regions </w:t>
      </w:r>
      <w:r w:rsidR="493F515C" w:rsidRPr="00837161">
        <w:fldChar w:fldCharType="begin"/>
      </w:r>
      <w:r w:rsidR="000F35EB">
        <w:instrText xml:space="preserve"> ADDIN ZOTERO_ITEM CSL_CITATION {"citationID":"JBkAnDjE","properties":{"formattedCitation":"(Elkind et al., 2019; Hill et al., 2017; Lehmann et al., 2017; Lopatin et al., 2019)","plainCitation":"(Elkind et al., 2019; Hill et al., 2017; Lehmann et al., 2017; Lopatin et al., 2019)","noteIndex":0},"citationItems":[{"id":23767,"uris":["http://zotero.org/groups/2352922/items/EJLQQEAJ"],"itemData":{"id":23767,"type":"article-journal","abstract":"Methods to detect and monitor the spread of invasive grasses are critical to avoid ecosystem transformations and large economic costs. The rapid spread of non-native buffelgrass(Pennisetum ciliare) has intensified fire risk and is replacing fire intolerant native vegetation in the Sonoran Desert of the southwestern US. Coarse-resolution satellite imagery has had limited success in detecting small patches of buffelgrass, whereas ground-based and aerial survey methods are often cost prohibitive. To improve detection, we trained 2 m resolution DigitalGlobe WorldView-2 satellite imagery with 12 cm resolution unmanned aerial vehicle (UAV) imagery and classified buffelgrass on Google Earth Engine, a cloud computing platform, using Random Forest (RF) models in Saguaro National Park, Arizona, USA. Our classification models had an average overall accuracy of 93% and producer's accuracies of 94–96% for buffelgrass, although user's accuracies were low. We detected a 2.92 km2 area of buffelgrass in the eastern Rincon Mountain District (1.07% of the total area) and a 0.46 km2 area (0.46% of the total area) in the western Tucson Mountain District of Saguaro National Park. Buffelgrass cover was significantly greater in the Sonoran Paloverde-Mixed Cacti Desert Scrub vegetation type, on poorly developed Entisols and Inceptisol soils and on south-facing topographic aspects compared to other areas. Our results demonstrate that high-resolution imagery improve on previous attempts to detect and classify buffelgrass and indicate potential areas where the invasive grass might spread. The methods demonstrated in this study could be employed by land managers as a low-cost strategy to identify priority areas for control efforts and continued monitoring.","container-title":"Remote Sensing in Ecology and Conservation","DOI":"10.1002/rse2.116","ISSN":"2056-3485","issue":"4","language":"en","note":"_eprint: https://zslpublications.onlinelibrary.wiley.com/doi/pdf/10.1002/rse2.116","page":"318-331","source":"Wiley Online Library","title":"Invasive buffelgrass detection using high-resolution satellite and UAV imagery on Google Earth Engine","URL":"https://zslpublications.onlinelibrary.wiley.com/doi/abs/10.1002/rse2.116","volume":"5","author":[{"family":"Elkind","given":"Kaitlyn"},{"family":"Sankey","given":"Temuulen T."},{"family":"Munson","given":"Seth M."},{"family":"Aslan","given":"Clare E."}],"accessed":{"date-parts":[["2020",8,20]]},"issued":{"date-parts":[["2019"]]}},"label":"page"},{"id":23765,"uris":["http://zotero.org/groups/2352922/items/YE8C7IQA"],"itemData":{"id":23765,"type":"article-journal","abstract":"This study investigates the utility of an off-the-shelf, consumer-grade unmanned aerial vehicle (UAV) for invasive species mapping in a lacustrine fringe environment. Specifically, this work sought to determine whether such a UAV would be capable of creating accurate maps of the extent of patches of an invasive plant, yellow flag iris (Iris pseudacorus L.), more efficiently than could be accomplished by a traditional field survey, which is often considered in the literature to provide the most accurate maps. The study was conducted at two lakes in the central interior of British Columbia. The UAV used in this study was a DJI Phantom 3 Professional that can acquire images using the built-in 12.4 MP digital camera. This UAV was selected because it is representative of the type of aerial platform that is easily accessible to invasive plant managers in terms of cost, ease of use, and lack of legal restrictions. Three methods of mapping the yellow flag iris were compared: (1) field survey, (2) manual interpretation of the raw UAV-acquired imagery and the orthoimage created from these data, and (3) pixel-based classification of the orthoimage created from the UAV imagery using a random forest classifier. The results revealed that, at both lakes considered, manual interpretation of the UAV-acquired imagery produced the most accurate maps of yellow flag iris infestation, with a false-positive and false-negative classification rate of less than 1%.","container-title":"International Journal of Remote Sensing","DOI":"10.1080/01431161.2016.1264030","ISSN":"0143-1161","issue":"8-10","note":"publisher: Taylor &amp; Francis\n_eprint: https://doi.org/10.1080/01431161.2016.1264030","page":"2083-2105","source":"Taylor and Francis+NEJM","title":"Utility of unmanned aerial vehicles for mapping invasive plant species: a case study on yellow flag iris (&lt;i&gt;Iris pseudacorus&lt;/i&gt; L.)","title-short":"Utility of unmanned aerial vehicles for mapping invasive plant species","URL":"https://doi.org/10.1080/01431161.2016.1264030","volume":"38","author":[{"family":"Hill","given":"David J."},{"family":"Tarasoff","given":"Catherine"},{"family":"Whitworth","given":"Garrett E."},{"family":"Baron","given":"Jackson"},{"family":"Bradshaw","given":"Jacob L."},{"family":"Church","given":"John S."}],"accessed":{"date-parts":[["2020",8,20]]},"issued":{"date-parts":[["2017",5,19]]}},"label":"page"},{"id":10292,"uris":["http://zotero.org/groups/2352922/items/HFG6JZ2L"],"itemData":{"id":10292,"type":"article-journal","abstract":"Remote sensing by Unmanned Aerial Systems (UAS) is a dynamic evolving technology. UAS are particularly useful in environmental monitoring and management because they have the capability to provide data at high temporal and spatial resolutions. Moreover, data acquisition costs are lower than those of conventional methods such as extensive ground sampling, manned airplanes, or satellites. Small fixed-wing UAS in particular offer further potential benefits as they extend the operational coverage of the area under study at lower operator risks and accelerate data deployment times. Taking these aspects into account, UAS might be an effective tool to support management of invasive plant based on early detection and regular monitoring. A straightforward UAS approach to map invasive plant species is presented in this study with the intention of providing ready-to-use field maps essential for action-oriented management. Our UAS utilizes low-cost sensors, free-of-charge software for mission planning and an affordable, commercial aerial platform to reduce operational costs, reducing expenses with personnel while increasing overall efficiency. We illustrate our approach using a real example of invasion by Acacia mangium in a Brazilian Savanna ecosystem. A. mangium was correctly identified with an overall accuracy of 82.7% from the analysis of imagery. This approach provides land management authorities and practitioners with new prospects for environmental restoration in areas where invasive plant species are present.","container-title":"Frontiers in Environmental Science","DOI":"10.3389/fenvs.2017.00044","ISSN":"2296-665X","journalAbbreviation":"Front. Environ. Sci.","language":"English","note":"publisher: Frontiers","source":"Frontiers","title":"Open-Source Processing and Analysis of Aerial Imagery Acquired with a Low-Cost Unmanned Aerial System to Support Invasive Plant Management","URL":"https://www.frontiersin.org/articles/10.3389/fenvs.2017.00044/full","volume":"5","author":[{"family":"Lehmann","given":"Jan R. K."},{"family":"Prinz","given":"Torsten"},{"family":"Ziller","given":"Silvia R."},{"family":"Thiele","given":"Jan"},{"family":"Heringer","given":"Gustavo"},{"family":"Meira-Neto","given":"João A. A."},{"family":"Buttschardt","given":"Tillmann K."}],"accessed":{"date-parts":[["2020",8,20]]},"issued":{"date-parts":[["2017"]]}},"label":"page"},{"id":23768,"uris":["http://zotero.org/groups/2352922/items/NYRHMBTK"],"itemData":{"id":23768,"type":"article-journal","abstract":"Plant invasions can result in serious threats for biodiversity and ecosystem functioning. Reliable maps at very-high spatial resolution are needed to assess invasions dynamics. Field sampling approaches could be replaced by unmanned aerial vehicles (UAVs) to derive such maps. However, pixel-based species classification at high spatial resolution is highly affected by within-canopy variation caused by shadows. Here, we studied the effect of shadows on mapping the occurrence of invasive species using UAV-based data. MaxEnt one-class classifications were applied to map Acacia dealbata, Ulex europaeus and Pinus radiata in central-south Chile using combinations of UAV-based spectral (RGB and hyperspectral), 2D textural and 3D structural variables including and excluding shaded canopy pixels during model calibration. The model accuracies in terms of area under the curve (AUC), Cohen's Kappa, sensitivity (true positive rate) and specificity (true negative rate) were examined in sunlit and shaded canopies separately. Bootstrapping was used for validation and to assess statistical differences between models. Our results show that shadows significantly affect the accuracies obtained with all types of variables. The predictions in shaded areas were generally inaccurate, leading to misclassification rates between 65% and 100% even when shadows were included during model calibration. The exclusion of shaded areas from model calibrations increased the predictive accuracies (especially in terms of sensitivity), decreasing false positives. Spectral and 2D textural information showed generally higher performances and improvements when excluding shadows from the analysis. Shadows significantly affected the model results obtained with any of the variables used, hence the exclusion of shadows is recommended prior to model calibration. This relatively easy pre-processing step enhances models for classifying species occurrences using high-resolution spectral imagery and derived products. Finally, a shadow simulation showed differences in the ideal acquisition window for each species, which is important to plan revisit campaigns.","container-title":"Remote Sensing in Ecology and Conservation","DOI":"10.1002/rse2.109","ISSN":"2056-3485","issue":"4","language":"en","license":"© 2019 The Authors. Remote Sensing in Ecology and Conservation published by John Wiley &amp; Sons Ltd on behalf of Zoological Society of London.","note":"_eprint: https://zslpublications.onlinelibrary.wiley.com/doi/pdf/10.1002/rse2.109","page":"302-317","source":"Wiley Online Library","title":"How canopy shadow affects invasive plant species classification in high spatial resolution remote sensing","URL":"https://zslpublications.onlinelibrary.wiley.com/doi/abs/10.1002/rse2.109","volume":"5","author":[{"family":"Lopatin","given":"Javier"},{"family":"Dolos","given":"Klara"},{"family":"Kattenborn","given":"Teja"},{"family":"Fassnacht","given":"Fabian E."}],"accessed":{"date-parts":[["2020",8,20]]},"issued":{"date-parts":[["2019"]]}},"label":"page"}],"schema":"https://github.com/citation-style-language/schema/raw/master/csl-citation.json"} </w:instrText>
      </w:r>
      <w:r w:rsidR="493F515C" w:rsidRPr="00837161">
        <w:fldChar w:fldCharType="separate"/>
      </w:r>
      <w:r w:rsidR="00271B78" w:rsidRPr="00271B78">
        <w:t>(Elkind et al., 2019; Hill et al., 2017; Lehmann et al., 2017; Lopatin et al., 2019)</w:t>
      </w:r>
      <w:r w:rsidR="493F515C" w:rsidRPr="00837161">
        <w:fldChar w:fldCharType="end"/>
      </w:r>
      <w:r w:rsidR="45D6B647" w:rsidRPr="00837161">
        <w:t xml:space="preserve">. In the European Union radar is being </w:t>
      </w:r>
      <w:r w:rsidR="2F099D1C" w:rsidRPr="00837161">
        <w:t xml:space="preserve">applied to track Asian hornets </w:t>
      </w:r>
      <w:r w:rsidR="00934870" w:rsidRPr="00837161">
        <w:fldChar w:fldCharType="begin"/>
      </w:r>
      <w:r w:rsidR="000F35EB">
        <w:instrText xml:space="preserve"> ADDIN ZOTERO_ITEM CSL_CITATION {"citationID":"CmfnvzCy","properties":{"formattedCitation":"(LIFE STOPVESPA, 2021)","plainCitation":"(LIFE STOPVESPA, 2021)","noteIndex":0},"citationItems":[{"id":53322,"uris":["http://zotero.org/groups/2352922/items/88AJAY5Q"],"itemData":{"id":53322,"type":"webpage","title":"Vespa Velutina - The Project","URL":"https://www.vespavelutina.eu/en-us/the-project/The-radar","author":[{"literal":"LIFE STOPVESPA"}],"accessed":{"date-parts":[["2021",12,20]]},"issued":{"date-parts":[["2021"]]}},"label":"page"}],"schema":"https://github.com/citation-style-language/schema/raw/master/csl-citation.json"} </w:instrText>
      </w:r>
      <w:r w:rsidR="00934870" w:rsidRPr="00837161">
        <w:fldChar w:fldCharType="separate"/>
      </w:r>
      <w:r w:rsidR="00271B78" w:rsidRPr="00271B78">
        <w:t>(LIFE STOPVESPA, 2021)</w:t>
      </w:r>
      <w:r w:rsidR="00934870" w:rsidRPr="00837161">
        <w:fldChar w:fldCharType="end"/>
      </w:r>
      <w:r w:rsidR="45D6B647" w:rsidRPr="00837161">
        <w:t xml:space="preserve">. </w:t>
      </w:r>
      <w:r w:rsidR="45D6B647" w:rsidRPr="00837161">
        <w:rPr>
          <w:lang w:eastAsia="ja-JP"/>
        </w:rPr>
        <w:t xml:space="preserve">Remote sensing can also be used well beyond mapping pest and disease distribution, </w:t>
      </w:r>
      <w:r w:rsidR="00F84FCF" w:rsidRPr="00837161">
        <w:rPr>
          <w:lang w:eastAsia="ja-JP"/>
        </w:rPr>
        <w:t>density</w:t>
      </w:r>
      <w:r w:rsidR="00C16EEB">
        <w:rPr>
          <w:lang w:eastAsia="ja-JP"/>
        </w:rPr>
        <w:t xml:space="preserve"> and</w:t>
      </w:r>
      <w:r w:rsidR="45D6B647" w:rsidRPr="00837161">
        <w:rPr>
          <w:lang w:eastAsia="ja-JP"/>
        </w:rPr>
        <w:t xml:space="preserve"> damage. </w:t>
      </w:r>
      <w:r w:rsidR="45D6B647" w:rsidRPr="00837161">
        <w:t>GIS and remo</w:t>
      </w:r>
      <w:r w:rsidR="4727E3F4" w:rsidRPr="00837161">
        <w:t>t</w:t>
      </w:r>
      <w:r w:rsidR="45D6B647" w:rsidRPr="00837161">
        <w:t xml:space="preserve">e sensing technologies are highly advanced in mapping invasive </w:t>
      </w:r>
      <w:r w:rsidR="52E09723" w:rsidRPr="00837161">
        <w:rPr>
          <w:rFonts w:eastAsia="Times New Roman"/>
        </w:rPr>
        <w:t xml:space="preserve">alien </w:t>
      </w:r>
      <w:r w:rsidR="45D6B647" w:rsidRPr="00837161">
        <w:t xml:space="preserve">species. Indirect remote sensing has been used to detect and map cryptic understory invasive alien species in forests </w:t>
      </w:r>
      <w:r w:rsidR="00934870" w:rsidRPr="00837161">
        <w:fldChar w:fldCharType="begin"/>
      </w:r>
      <w:r w:rsidR="000F35EB">
        <w:instrText xml:space="preserve"> ADDIN ZOTERO_ITEM CSL_CITATION {"citationID":"Khig19u8","properties":{"formattedCitation":"(C. Joshi et al., 2006)","plainCitation":"(C. Joshi et al., 2006)","noteIndex":0},"citationItems":[{"id":30456,"uris":["http://zotero.org/groups/2352922/items/M6SBI8KY"],"itemData":{"id":30456,"type":"article-journal","abstract":"Remote sensing has successfully been applied to map the distribution of canopy dominating invasive species. Many invaders however, do not dominate the canopy, and remote sensing has so far not been applied to map such species. In this study, an indirect method was used to map the seed production of Chromolaena odorata, one of the world's 100 worst invasive species. The study was executed in lowland Shorea robusta forest in Nepal, where Chromolaena invaded the understorey of degraded forest. A Landsat ETM+ image processed through a neural network predicted 89% and 81% of forest canopy density and light intensity reaching the understorey, respectively. We inverted these models to predict Chromolaena seed productivity. Light intensity determined 93% of the variation in log10 seed production per plant. Chromolaena failed to produce seed below a light intensity of 6.5mJm−2day−1. Further analysis revealed that Chromolaena was absent above this light intensity in case of a high biomass of other shrub and herb species, a situation occurring in the absence of grazing. We therefore suggest that other species control Chromolaena through competitive exclusion in the absence of grazing, whereas grazing breaks the dominance of these other species thus creating the conditions for Chromolaena attain canopy dominance. The presence of grazing was related to distance from the forest edge, a variable that together with light intensity allowed us to map 64% of variation in Chromolaena cover. Predicted Chromolaena cover and seed production per plant were combined into a map displaying the total seed production per unit area. Such map displaying seed producing sites could be used to significantly reduce the costs of controlling Chromolaena infestation by providing information on the spatial segregation of source and sink populations, which will support efficient habitat ranking to restore invaded areas and protect non-invaded ecosystems. This may prove particularly valuable when implementing control measures under circumstances of limited capital and manpower.","container-title":"Forest Ecology and Management","DOI":"10.1016/j.foreco.2006.01.013","ISSN":"0378-1127","issue":"1","journalAbbreviation":"Forest Ecology and Management","language":"en","page":"245-256","source":"ScienceDirect","title":"Indirect remote sensing of a cryptic forest understorey invasive species","URL":"https://www.sciencedirect.com/science/article/pii/S0378112706000089","volume":"225","author":[{"family":"Joshi","given":"Chudamani"},{"family":"De Leeuw","given":"Jan"},{"family":"Andel","given":"Jelte","non-dropping-particle":"van"},{"family":"Skidmore","given":"Andrew K."},{"family":"Lekhak","given":"Hari Datt"},{"family":"Duren","given":"Iris C.","non-dropping-particle":"van"},{"family":"Norbu","given":"Nawang"}],"accessed":{"date-parts":[["2021",8,17]]},"issued":{"date-parts":[["2006",4,15]]}},"label":"page"}],"schema":"https://github.com/citation-style-language/schema/raw/master/csl-citation.json"} </w:instrText>
      </w:r>
      <w:r w:rsidR="00934870" w:rsidRPr="00837161">
        <w:fldChar w:fldCharType="separate"/>
      </w:r>
      <w:r w:rsidR="00271B78" w:rsidRPr="00271B78">
        <w:t>(C. Joshi et al., 2006)</w:t>
      </w:r>
      <w:r w:rsidR="00934870" w:rsidRPr="00837161">
        <w:fldChar w:fldCharType="end"/>
      </w:r>
      <w:r w:rsidR="45D6B647" w:rsidRPr="00837161">
        <w:t>. Remote sensing is also being use</w:t>
      </w:r>
      <w:r w:rsidR="36A56479" w:rsidRPr="00837161">
        <w:t>d</w:t>
      </w:r>
      <w:r w:rsidR="45D6B647" w:rsidRPr="00837161">
        <w:t xml:space="preserve"> to detect</w:t>
      </w:r>
      <w:r w:rsidR="45D6B647" w:rsidRPr="00837161">
        <w:rPr>
          <w:lang w:eastAsia="ja-JP"/>
        </w:rPr>
        <w:t xml:space="preserve"> diseases before symptoms occur (</w:t>
      </w:r>
      <w:r w:rsidR="08390E5E" w:rsidRPr="00837161">
        <w:rPr>
          <w:lang w:eastAsia="ja-JP"/>
        </w:rPr>
        <w:t xml:space="preserve">e.g., </w:t>
      </w:r>
      <w:r w:rsidR="45D6B647" w:rsidRPr="00837161">
        <w:rPr>
          <w:i/>
          <w:iCs/>
          <w:lang w:eastAsia="ja-JP"/>
        </w:rPr>
        <w:t>Xylel</w:t>
      </w:r>
      <w:r w:rsidR="28F075D3" w:rsidRPr="00837161">
        <w:rPr>
          <w:i/>
          <w:iCs/>
          <w:lang w:eastAsia="ja-JP"/>
        </w:rPr>
        <w:t>l</w:t>
      </w:r>
      <w:r w:rsidR="45D6B647" w:rsidRPr="00837161">
        <w:rPr>
          <w:i/>
          <w:iCs/>
          <w:lang w:eastAsia="ja-JP"/>
        </w:rPr>
        <w:t>a</w:t>
      </w:r>
      <w:r w:rsidR="45D6B647" w:rsidRPr="00837161">
        <w:rPr>
          <w:lang w:eastAsia="ja-JP"/>
        </w:rPr>
        <w:t xml:space="preserve"> </w:t>
      </w:r>
      <w:r w:rsidR="45D6B647" w:rsidRPr="00837161">
        <w:rPr>
          <w:i/>
          <w:iCs/>
          <w:lang w:eastAsia="ja-JP"/>
        </w:rPr>
        <w:t>fastidiosa</w:t>
      </w:r>
      <w:r w:rsidR="2F099D1C" w:rsidRPr="00837161">
        <w:rPr>
          <w:lang w:eastAsia="ja-JP"/>
        </w:rPr>
        <w:t xml:space="preserve"> (</w:t>
      </w:r>
      <w:r w:rsidR="1C8C5ADA" w:rsidRPr="00837161">
        <w:rPr>
          <w:lang w:eastAsia="ja-JP"/>
        </w:rPr>
        <w:t>Pierce's disease of grapevines</w:t>
      </w:r>
      <w:r w:rsidR="2F099D1C" w:rsidRPr="00837161">
        <w:rPr>
          <w:lang w:eastAsia="ja-JP"/>
        </w:rPr>
        <w:t>)</w:t>
      </w:r>
      <w:r w:rsidR="45D6B647" w:rsidRPr="00837161">
        <w:rPr>
          <w:lang w:eastAsia="ja-JP"/>
        </w:rPr>
        <w:t xml:space="preserve">) and for assessing habitat suitability for invasive </w:t>
      </w:r>
      <w:r w:rsidR="52E09723" w:rsidRPr="00837161">
        <w:rPr>
          <w:lang w:eastAsia="ja-JP"/>
        </w:rPr>
        <w:t xml:space="preserve">alien </w:t>
      </w:r>
      <w:r w:rsidR="45D6B647" w:rsidRPr="00837161">
        <w:rPr>
          <w:lang w:eastAsia="ja-JP"/>
        </w:rPr>
        <w:t>species</w:t>
      </w:r>
      <w:r w:rsidR="6771F09F" w:rsidRPr="00837161">
        <w:rPr>
          <w:lang w:eastAsia="ja-JP"/>
        </w:rPr>
        <w:t xml:space="preserve"> (</w:t>
      </w:r>
      <w:r w:rsidR="08390E5E" w:rsidRPr="00837161">
        <w:rPr>
          <w:lang w:eastAsia="ja-JP"/>
        </w:rPr>
        <w:t xml:space="preserve">e.g., </w:t>
      </w:r>
      <w:r w:rsidR="493F515C" w:rsidRPr="00837161">
        <w:rPr>
          <w:lang w:eastAsia="ja-JP"/>
        </w:rPr>
        <w:fldChar w:fldCharType="begin"/>
      </w:r>
      <w:r w:rsidR="000F35EB">
        <w:rPr>
          <w:lang w:eastAsia="ja-JP"/>
        </w:rPr>
        <w:instrText xml:space="preserve"> ADDIN ZOTERO_ITEM CSL_CITATION {"citationID":"wBVNkUSu","properties":{"formattedCitation":"(Zarco-Tejada et al., 2018)","plainCitation":"(Zarco-Tejada et al., 2018)","dontUpdate":true,"noteIndex":0},"citationItems":[{"id":30791,"uris":["http://zotero.org/groups/2352922/items/KSCBICZW"],"itemData":{"id":30791,"type":"article-journal","abstract":"Plant pathogens cause significant losses to agricultural yields and increasingly threaten food security1, ecosystem integrity and societies in general2–5. Xylella fastidiosa is one of the most dangerous plant bacteria worldwide, causing several diseases with profound impacts on agriculture and the environment6. Primarily occurring in the Americas, its recent discovery in Asia and Europe demonstrates that X. fastidiosa’s geographic range has broadened considerably, positioning it as a reemerging global threat that has caused socioeconomic and cultural damage7,8. X. fastidiosa can infect more than 350 plant species worldwide9, and early detection is critical for its eradication8. In this article, we show that changes in plant functional traits retrieved from airborne imaging spectroscopy and thermography can reveal X. fastidiosa infection in olive trees before symptoms are visible. We obtained accuracies of disease detection, confirmed by quantitative polymerase chain reaction, exceeding 80% when high-resolution fluorescence quantified by three-dimensional simulations and thermal stress indicators were coupled with photosynthetic traits sensitive to rapid pigment dynamics and degradation. Moreover, we found that the visually asymptomatic trees originally scored as affected by spectral plant-trait alterations, developed X. fastidiosa symptoms at almost double the rate of the asymptomatic trees classified as not affected by remote sensing. We demonstrate that spectral plant-trait alterations caused by X. fastidiosa infection are detectable previsually at the landscape scale, a critical requirement to help eradicate some of the most devastating plant diseases worldwide.","container-title":"Nature Plants","DOI":"10.1038/s41477-018-0189-7","ISSN":"2055-0278","issue":"7","language":"en","license":"2018 The Author(s)","note":"Bandiera_abtest: a\nCg_type: Nature Research Journals\nnumber: 7\nPrimary_atype: Research\npublisher: Nature Publishing Group\nSubject_term: Biotic;Environmental sciences\nSubject_term_id: biotic;environmental-sciences","page":"432-439","source":"www.nature.com","title":"Previsual symptoms of &lt;i&gt;Xylella fastidiosa&lt;/i&gt; infection revealed in spectral plant-trait alterations","URL":"https://www.nature.com/articles/s41477-018-0189-7","volume":"4","author":[{"family":"Zarco-Tejada","given":"P. J."},{"family":"Camino","given":"C."},{"family":"Beck","given":"P. S. A."},{"family":"Calderon","given":"R."},{"family":"Hornero","given":"A."},{"family":"Hernández-Clemente","given":"R."},{"family":"Kattenborn","given":"T."},{"family":"Montes-Borrego","given":"M."},{"family":"Susca","given":"L."},{"family":"Morelli","given":"M."},{"family":"Gonzalez-Dugo","given":"V."},{"family":"North","given":"P. R. J."},{"family":"Landa","given":"B. B."},{"family":"Boscia","given":"D."},{"family":"Saponari","given":"M."},{"family":"Navas-Cortes","given":"J. A."}],"accessed":{"date-parts":[["2021",10,28]]},"issued":{"date-parts":[["2018",7]]}},"label":"page"}],"schema":"https://github.com/citation-style-language/schema/raw/master/csl-citation.json"} </w:instrText>
      </w:r>
      <w:r w:rsidR="493F515C" w:rsidRPr="00837161">
        <w:rPr>
          <w:lang w:eastAsia="ja-JP"/>
        </w:rPr>
        <w:fldChar w:fldCharType="separate"/>
      </w:r>
      <w:r w:rsidR="00DA6DA8" w:rsidRPr="00837161">
        <w:t>Zarco-Tejada et al., 2018)</w:t>
      </w:r>
      <w:r w:rsidR="493F515C" w:rsidRPr="00837161">
        <w:rPr>
          <w:lang w:eastAsia="ja-JP"/>
        </w:rPr>
        <w:fldChar w:fldCharType="end"/>
      </w:r>
      <w:r w:rsidR="45D6B647" w:rsidRPr="00837161">
        <w:rPr>
          <w:lang w:eastAsia="ja-JP"/>
        </w:rPr>
        <w:t xml:space="preserve">. Thermal imagery has been used to replace surveys of invasive alien vertebrates at low density in open habitats and </w:t>
      </w:r>
      <w:r w:rsidR="7E891D02" w:rsidRPr="00837161">
        <w:rPr>
          <w:lang w:eastAsia="ja-JP"/>
        </w:rPr>
        <w:t>inaccess</w:t>
      </w:r>
      <w:r w:rsidR="35DDB903" w:rsidRPr="00837161">
        <w:rPr>
          <w:lang w:eastAsia="ja-JP"/>
        </w:rPr>
        <w:t>i</w:t>
      </w:r>
      <w:r w:rsidR="7E891D02" w:rsidRPr="00837161">
        <w:rPr>
          <w:lang w:eastAsia="ja-JP"/>
        </w:rPr>
        <w:t>ble</w:t>
      </w:r>
      <w:r w:rsidR="45D6B647" w:rsidRPr="00837161">
        <w:rPr>
          <w:lang w:eastAsia="ja-JP"/>
        </w:rPr>
        <w:t xml:space="preserve"> locations </w:t>
      </w:r>
      <w:r w:rsidR="493F515C" w:rsidRPr="00837161">
        <w:fldChar w:fldCharType="begin"/>
      </w:r>
      <w:r w:rsidR="000F35EB">
        <w:instrText xml:space="preserve"> ADDIN ZOTERO_ITEM CSL_CITATION {"citationID":"7iokDmCW","properties":{"formattedCitation":"(Amstrup et al., 2004; Storm et al., 2011)","plainCitation":"(Amstrup et al., 2004; Storm et al., 2011)","noteIndex":0},"citationItems":[{"id":16802,"uris":["http://zotero.org/groups/2352922/items/9NMFEPRL"],"itemData":{"id":16802,"type":"article-journal","abstract":"Abstract.  Polar bears give birth in snow dens in midwinter and remain in dens until early spring. The survival and development of cubs is dependent on a stable","container-title":"BioScience","DOI":"10.1641/0006-3568(2004)054[0337:DDPBWF]2.0.CO;2","ISSN":"0006-3568","issue":"4","journalAbbreviation":"BioScience","language":"en","page":"337-344","source":"academic.oup.com","title":"Detecting Denning Polar Bears with Forward-Looking Infrared (FLIR) Imagery","URL":"https://academic.oup.com/bioscience/article/54/4/337/284136","volume":"54","author":[{"family":"Amstrup","given":"Steven C."},{"family":"York","given":"Geoff"},{"family":"McDonald","given":"Trent L."},{"family":"Nielson","given":"Ryan"},{"family":"Simac","given":"Kristin"}],"accessed":{"date-parts":[["2019",12,9]]},"issued":{"date-parts":[["2004",4,1]]}},"label":"page"},{"id":16801,"uris":["http://zotero.org/groups/2352922/items/IMMV9UMH"],"itemData":{"id":16801,"type":"article-journal","abstract":"Aerial surveys using direct counts of animals are commonly used to estimate deer abundance. Forward-looking infrared (FLIR) technology is increasingly replacing traditional methods such as visual observation from helicopters. Our goals were to compare fixed-wing FLIR and visual, helicopter-based counts in terms of relative bias, influence of snow cover and cost. We surveyed five plots: four 41.4 km2 plots with free-ranging white-tailed deer Odocoileus virginianus populations in Wisconsin and a 5.3 km2 plot with a white-tailed deer population contained by a high fence in Michigan. We surveyed plots using both fixed-wing FLIR and helicopters, both with snow cover and without snow. None of the methods counted more deer than the other when snow was present. Helicopter counts were lower in the absence of snow, but lack of snow cover did not apparently affect FLIR. Group sizes of observed deer were similar regardless of survey method or season. We found that FLIR counts were generally precise (CV = 0.089) when two or three replicate surveys were conducted within a few hours. However, at the plot level, FLIR counts differed greatly between seasons, suggesting that detection rates vary over larger time scales. Fixed-wing FLIR was more costly than visual observers in helicopters and was more restrictive in terms of acceptable survey conditions. Further research is needed to understand what factors influence the detection of deer during FLIR surveys.","container-title":"Wildlife Biology","DOI":"10.2981/10-062","ISSN":"0909-6396, 1903-220X","issue":"4","journalAbbreviation":"wbio","page":"431-440","source":"bioone.org","title":"Comparison of visual-based helicopter and fixed-wing forward-looking infrared surveys for counting white-tailed deer &lt;i&gt;Odocoileus virginianus&lt;/i&gt;","URL":"https://bioone.org/journals/Wildlife-Biology/volume-17/issue-4/10-062/Comparison-of-visual-based-helicopter-and-fixed-wing-forward-looking/10.2981/10-062.full","volume":"17","author":[{"family":"Storm","given":"Daniel J."},{"family":"Samuel","given":"Michael D."},{"family":"Van Deelen","given":"Timothy R."},{"family":"Malcolm","given":"Karl D."},{"family":"Rolley","given":"Robert E."},{"family":"Frost","given":"Nancy A."},{"family":"Bates","given":"Donald P."},{"family":"Richards","given":"Bryan J."}],"accessed":{"date-parts":[["2019",12,9]]},"issued":{"date-parts":[["2011",12]]}},"label":"page"}],"schema":"https://github.com/citation-style-language/schema/raw/master/csl-citation.json"} </w:instrText>
      </w:r>
      <w:r w:rsidR="493F515C" w:rsidRPr="00837161">
        <w:fldChar w:fldCharType="separate"/>
      </w:r>
      <w:r w:rsidR="00271B78" w:rsidRPr="00271B78">
        <w:t>(Amstrup et al., 2004; Storm et al., 2011)</w:t>
      </w:r>
      <w:r w:rsidR="493F515C" w:rsidRPr="00837161">
        <w:fldChar w:fldCharType="end"/>
      </w:r>
      <w:r w:rsidR="00137EF0" w:rsidRPr="00837161">
        <w:t xml:space="preserve"> </w:t>
      </w:r>
      <w:r w:rsidR="45D6B647" w:rsidRPr="00837161">
        <w:rPr>
          <w:lang w:eastAsia="ja-JP"/>
        </w:rPr>
        <w:t>and for monitoring tramp ants (</w:t>
      </w:r>
      <w:r w:rsidR="00191A6E">
        <w:rPr>
          <w:b/>
          <w:bCs/>
        </w:rPr>
        <w:t>Box 5.11</w:t>
      </w:r>
      <w:r w:rsidR="45D6B647" w:rsidRPr="00837161">
        <w:rPr>
          <w:lang w:eastAsia="ja-JP"/>
        </w:rPr>
        <w:t>).</w:t>
      </w:r>
      <w:r w:rsidRPr="00C0338D">
        <w:t xml:space="preserve"> </w:t>
      </w:r>
    </w:p>
    <w:p w14:paraId="000002CA" w14:textId="064CCC49" w:rsidR="00A758FD" w:rsidRPr="0079215C" w:rsidRDefault="00C81287" w:rsidP="0079215C">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345" w:name="_heading=h.279ka65" w:colFirst="0" w:colLast="0"/>
      <w:bookmarkStart w:id="346" w:name="_Ref112927203"/>
      <w:bookmarkStart w:id="347" w:name="_Toc80708185"/>
      <w:bookmarkStart w:id="348" w:name="_Toc87623071"/>
      <w:bookmarkStart w:id="349" w:name="_Toc147488946"/>
      <w:bookmarkEnd w:id="345"/>
      <w:r w:rsidRPr="0079215C">
        <w:rPr>
          <w:b/>
          <w:color w:val="000000"/>
        </w:rPr>
        <w:t>Box 5</w:t>
      </w:r>
      <w:r w:rsidR="0098187F" w:rsidRPr="0079215C">
        <w:rPr>
          <w:b/>
        </w:rPr>
        <w:t>.</w:t>
      </w:r>
      <w:r w:rsidR="0098187F" w:rsidRPr="0079215C">
        <w:rPr>
          <w:b/>
        </w:rPr>
        <w:fldChar w:fldCharType="begin"/>
      </w:r>
      <w:r w:rsidR="0098187F" w:rsidRPr="0079215C">
        <w:rPr>
          <w:b/>
        </w:rPr>
        <w:instrText>SEQ Box_5. \* ARABIC</w:instrText>
      </w:r>
      <w:r w:rsidR="0098187F" w:rsidRPr="0079215C">
        <w:rPr>
          <w:b/>
        </w:rPr>
        <w:fldChar w:fldCharType="separate"/>
      </w:r>
      <w:r w:rsidR="00DC77F8" w:rsidRPr="0079215C">
        <w:rPr>
          <w:b/>
          <w:noProof/>
        </w:rPr>
        <w:t>11</w:t>
      </w:r>
      <w:r w:rsidR="0098187F" w:rsidRPr="0079215C">
        <w:rPr>
          <w:b/>
        </w:rPr>
        <w:fldChar w:fldCharType="end"/>
      </w:r>
      <w:bookmarkEnd w:id="346"/>
      <w:r w:rsidR="00F84FCF" w:rsidRPr="0079215C">
        <w:rPr>
          <w:b/>
        </w:rPr>
        <w:t>.</w:t>
      </w:r>
      <w:r w:rsidRPr="0079215C">
        <w:rPr>
          <w:b/>
          <w:color w:val="000000"/>
        </w:rPr>
        <w:t xml:space="preserve"> Case study: </w:t>
      </w:r>
      <w:r w:rsidRPr="0079215C">
        <w:rPr>
          <w:b/>
          <w:i/>
          <w:color w:val="000000"/>
        </w:rPr>
        <w:t>Solenopsis invicta</w:t>
      </w:r>
      <w:r w:rsidRPr="0079215C">
        <w:rPr>
          <w:b/>
          <w:color w:val="000000"/>
        </w:rPr>
        <w:t xml:space="preserve"> (red imported fire ant) eradication</w:t>
      </w:r>
      <w:bookmarkEnd w:id="347"/>
      <w:bookmarkEnd w:id="348"/>
      <w:bookmarkEnd w:id="349"/>
    </w:p>
    <w:p w14:paraId="000002CC" w14:textId="22B1A65C" w:rsidR="00A758FD" w:rsidRDefault="00C81287" w:rsidP="0079215C">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r w:rsidRPr="00C0338D">
        <w:t xml:space="preserve">In Brisbane (Australia), the eradication of fire ant is dependent on airborne imagery. A camera is mounted beneath a helicopter, which flies over the target area at a height of 150m. Images are captured in three separate frequency ranges: visible, near infrared and thermal. These are then processed in parallel to identify objects that may be fire ant nests which are then destroyed by direct injection </w:t>
      </w:r>
      <w:r w:rsidR="008F44BD" w:rsidRPr="00837161">
        <w:rPr>
          <w:lang w:eastAsia="ja-JP"/>
        </w:rPr>
        <w:t>(</w:t>
      </w:r>
      <w:r w:rsidR="00191A6E">
        <w:rPr>
          <w:b/>
          <w:iCs/>
        </w:rPr>
        <w:t>Figure 5.15</w:t>
      </w:r>
      <w:r w:rsidR="006D538E" w:rsidRPr="00837161">
        <w:rPr>
          <w:lang w:eastAsia="ja-JP"/>
        </w:rPr>
        <w:t>)</w:t>
      </w:r>
      <w:r w:rsidR="001B0409" w:rsidRPr="00837161">
        <w:rPr>
          <w:lang w:eastAsia="ja-JP"/>
        </w:rPr>
        <w:t>.</w:t>
      </w:r>
      <w:r w:rsidRPr="00C0338D">
        <w:t xml:space="preserve"> As the size and weight of the camera decreases, there is potential to replicate the approach using unmanned aerial systems. This would be significantly cheaper than the use of helicopters, and would allow for significantly more surveillance. Red imported fire ant has been eradicated five of the six times they have established in Australia and these and other tramp ants have been intercepted a total of more than 225 times in recent years. Airborne imaging is a critical technology in this context and may also be applicable to other tramp ant eradication programmes </w:t>
      </w:r>
      <w:r w:rsidR="001B7FE1" w:rsidRPr="00837161">
        <w:fldChar w:fldCharType="begin"/>
      </w:r>
      <w:r w:rsidR="000F35EB">
        <w:instrText xml:space="preserve"> ADDIN ZOTERO_ITEM CSL_CITATION {"citationID":"NasFZez7","properties":{"formattedCitation":"(Hoffmann et al., 2016)","plainCitation":"(Hoffmann et al., 2016)","noteIndex":0},"citationItems":[{"id":30208,"uris":["http://zotero.org/groups/2352922/items/94HPET38"],"itemData":{"id":30208,"type":"article-journal","abstract":"While invasive species eradications are at the forefront of biodiversity conservation, ant eradication failures are common. We reviewed ant eradications worldwide to assess the practice and identify knowledge gaps and challenges. We documented 316 eradication campaigns targeting 11 species, with most occurring in Australia covering small areas (&lt;10ha). Yellow crazy ant was targeted most frequently, while the bigheaded ant has been eradicated most often. Of the eradications with known outcomes, 144 campaigns were successful, totaling approximately 9500ha, of which 8300ha were from a single campaign that has since been partially re-invaded. Three active ingredients, often in combination, are most commonly used: fipronil, hydramethylnon, and juvenile hormone mimics. Active ingredient, bait, and method varied considerably with respect to species targeted, which made assessing factors of eradication success challenging. We did, however, detect effects by active ingredient, number of treatments, and method on eradication success. Implementation costs increased with treatment area, and median costs were high compared to invasive mammal eradications. Ant eradications are in a phase of increased research and development, and a logical next step for practitioners is to develop best practices. A number of research themes that seek to integrate natural history with eradication strategies and methodologies would improve the ability to eradicate ants: increasing natural history and taxonomic knowledge, increasing the efficacy of active ingredients and baits, minimizing and mitigating non-target risks, developing better tools to declare eradication success, and developing alternative eradication methodologies. Invasive ant eradications are rapidly increasing in both size and frequency, and we envisage that eradicating invasive ants will increase in focus in coming decades given the increasing dispersal and subsequent impacts.","container-title":"Biological Conservation","DOI":"10.1016/j.biocon.2016.03.036","ISSN":"0006-3207","journalAbbreviation":"Biological Conservation","page":"37-49","source":"ScienceDirect","title":"Improving invasive ant eradication as a conservation tool: A review","title-short":"Improving invasive ant eradication as a conservation tool","URL":"http://www.sciencedirect.com/science/article/pii/S0006320716301239","volume":"198","author":[{"family":"Hoffmann","given":"Benjamin D."},{"family":"Luque","given":"Gloria M."},{"family":"Bellard","given":"Céline"},{"family":"Holmes","given":"Nick D."},{"family":"Donlan","given":"C. Josh"}],"accessed":{"date-parts":[["2019",10,16]]},"issued":{"date-parts":[["2016",6,1]]}},"label":"page"}],"schema":"https://github.com/citation-style-language/schema/raw/master/csl-citation.json"} </w:instrText>
      </w:r>
      <w:r w:rsidR="001B7FE1" w:rsidRPr="00837161">
        <w:fldChar w:fldCharType="separate"/>
      </w:r>
      <w:r w:rsidR="00271B78" w:rsidRPr="00271B78">
        <w:t>(Hoffmann et al., 2016)</w:t>
      </w:r>
      <w:r w:rsidR="001B7FE1" w:rsidRPr="00837161">
        <w:fldChar w:fldCharType="end"/>
      </w:r>
      <w:r w:rsidR="00265B66" w:rsidRPr="00837161">
        <w:t>.</w:t>
      </w:r>
      <w:r w:rsidRPr="00C0338D">
        <w:t xml:space="preserve"> </w:t>
      </w:r>
    </w:p>
    <w:p w14:paraId="277DEDA1" w14:textId="73EE60D3" w:rsidR="00783577" w:rsidRDefault="0078357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jc w:val="center"/>
      </w:pPr>
      <w:r w:rsidRPr="00783577">
        <w:rPr>
          <w:noProof/>
        </w:rPr>
        <w:drawing>
          <wp:inline distT="0" distB="0" distL="0" distR="0" wp14:anchorId="1B0577AA" wp14:editId="3DB68945">
            <wp:extent cx="6115050" cy="3220085"/>
            <wp:effectExtent l="0" t="0" r="6350" b="5715"/>
            <wp:docPr id="27" name="Picture 27" descr="A person wearing a mask and glo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erson wearing a mask and gloves&#10;&#10;Description automatically generated"/>
                    <pic:cNvPicPr/>
                  </pic:nvPicPr>
                  <pic:blipFill>
                    <a:blip r:embed="rId95"/>
                    <a:stretch>
                      <a:fillRect/>
                    </a:stretch>
                  </pic:blipFill>
                  <pic:spPr>
                    <a:xfrm>
                      <a:off x="0" y="0"/>
                      <a:ext cx="6115050" cy="3220085"/>
                    </a:xfrm>
                    <a:prstGeom prst="rect">
                      <a:avLst/>
                    </a:prstGeom>
                  </pic:spPr>
                </pic:pic>
              </a:graphicData>
            </a:graphic>
          </wp:inline>
        </w:drawing>
      </w:r>
    </w:p>
    <w:p w14:paraId="000002CD" w14:textId="4A7C2FBE" w:rsidR="00A758FD" w:rsidRPr="0079215C" w:rsidRDefault="00C81287" w:rsidP="0079215C">
      <w:pPr>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350" w:name="_heading=h.meukdy" w:colFirst="0" w:colLast="0"/>
      <w:bookmarkStart w:id="351" w:name="_Ref112862288"/>
      <w:bookmarkStart w:id="352" w:name="_Ref131083582"/>
      <w:bookmarkStart w:id="353" w:name="_Toc147489368"/>
      <w:bookmarkEnd w:id="350"/>
      <w:r w:rsidRPr="0079215C">
        <w:rPr>
          <w:b/>
          <w:color w:val="000000"/>
        </w:rPr>
        <w:t>Figure 5</w:t>
      </w:r>
      <w:r w:rsidR="005028B2" w:rsidRPr="0079215C">
        <w:rPr>
          <w:b/>
        </w:rPr>
        <w:t>.</w:t>
      </w:r>
      <w:r w:rsidR="005028B2" w:rsidRPr="0079215C">
        <w:rPr>
          <w:b/>
        </w:rPr>
        <w:fldChar w:fldCharType="begin"/>
      </w:r>
      <w:r w:rsidR="005028B2" w:rsidRPr="0079215C">
        <w:rPr>
          <w:b/>
        </w:rPr>
        <w:instrText xml:space="preserve"> SEQ Figure_5. \* ARABIC </w:instrText>
      </w:r>
      <w:r w:rsidR="005028B2" w:rsidRPr="0079215C">
        <w:rPr>
          <w:b/>
        </w:rPr>
        <w:fldChar w:fldCharType="separate"/>
      </w:r>
      <w:r w:rsidR="00DC77F8" w:rsidRPr="0079215C">
        <w:rPr>
          <w:b/>
          <w:noProof/>
        </w:rPr>
        <w:t>15</w:t>
      </w:r>
      <w:r w:rsidR="005028B2" w:rsidRPr="0079215C">
        <w:rPr>
          <w:b/>
        </w:rPr>
        <w:fldChar w:fldCharType="end"/>
      </w:r>
      <w:bookmarkEnd w:id="351"/>
      <w:r w:rsidR="00F84FCF" w:rsidRPr="0079215C">
        <w:rPr>
          <w:b/>
        </w:rPr>
        <w:t>.</w:t>
      </w:r>
      <w:r w:rsidRPr="0079215C">
        <w:rPr>
          <w:color w:val="000000"/>
        </w:rPr>
        <w:t xml:space="preserve"> The manual application of a chemical treatment of </w:t>
      </w:r>
      <w:r w:rsidRPr="0079215C">
        <w:rPr>
          <w:i/>
          <w:color w:val="000000"/>
        </w:rPr>
        <w:t>Solenopsis invicta</w:t>
      </w:r>
      <w:r w:rsidRPr="0079215C">
        <w:rPr>
          <w:color w:val="000000"/>
        </w:rPr>
        <w:t xml:space="preserve"> (red imported fire ant) in Brisbane Australia as part of an eradication campaign.</w:t>
      </w:r>
      <w:bookmarkEnd w:id="352"/>
      <w:r w:rsidRPr="0079215C">
        <w:rPr>
          <w:color w:val="000000"/>
        </w:rPr>
        <w:t xml:space="preserve"> Photo credit: The State of Queensland – Department of Agriculture and Fisheries 2019 - </w:t>
      </w:r>
      <w:r w:rsidR="00E87F41">
        <w:t xml:space="preserve">under license </w:t>
      </w:r>
      <w:r w:rsidRPr="0079215C">
        <w:rPr>
          <w:color w:val="000000"/>
        </w:rPr>
        <w:t>CC BY 4.0.</w:t>
      </w:r>
      <w:bookmarkEnd w:id="353"/>
    </w:p>
    <w:p w14:paraId="000002CE" w14:textId="77777777" w:rsidR="00A758FD" w:rsidRPr="00C0338D" w:rsidRDefault="00C81287" w:rsidP="00B06042">
      <w:pPr>
        <w:pStyle w:val="Heading4"/>
      </w:pPr>
      <w:r w:rsidRPr="00C0338D">
        <w:lastRenderedPageBreak/>
        <w:t xml:space="preserve">Automated image-based diagnostics </w:t>
      </w:r>
    </w:p>
    <w:p w14:paraId="000002CF" w14:textId="41FEDA79" w:rsidR="00A758FD" w:rsidRPr="00C0338D" w:rsidRDefault="00C81287">
      <w:pPr>
        <w:spacing w:before="240" w:after="120" w:line="240" w:lineRule="auto"/>
        <w:ind w:right="240"/>
      </w:pPr>
      <w:r w:rsidRPr="00C0338D">
        <w:t xml:space="preserve">Machine learning or artificial intelligence is being developed to contribute to the automatic identification and diagnosis of plant pests and diseases </w:t>
      </w:r>
      <w:r w:rsidR="00F3794C" w:rsidRPr="00837161">
        <w:fldChar w:fldCharType="begin"/>
      </w:r>
      <w:r w:rsidR="000F35EB">
        <w:instrText xml:space="preserve"> ADDIN ZOTERO_ITEM CSL_CITATION {"citationID":"RDNGI1oG","properties":{"formattedCitation":"(Dawei et al., 2019; Jia &amp; Gao, 2020)","plainCitation":"(Dawei et al., 2019; Jia &amp; Gao, 2020)","noteIndex":0},"citationItems":[{"id":30750,"uris":["http://zotero.org/groups/2352922/items/U8Y44RKB"],"itemData":{"id":30750,"type":"article-journal","abstract":"BACKGROUND Plant pests mainly refers to insects and mites that harm crops and products. There are a wide variety of plant pests, with wide distribution, fast reproduction and large quantity, which directly causes serious losses to crops. Therefore, pest recognition is very important for crops to grow healthily, and this in turn affects crop yields and quality. At present, it is a great challenge to realize accurate and reliable pest identification. RESULTS In this study, we put forward a diagnostic system based on transfer learning for pest detection and recognition. This method is able to train and test ten types of pests and achieves an accuracy of 93.84%. We compared this transfer learning method with human experts and a traditional neural network model. Experimental results show that the performance of the proposed method is comparable to human experts and the traditional neural network. To verify the general adaptability of this model, we used our model to recognize two types of weeds: Sisymbrium sophia and Procumbent Speedwell, and achieved an accuracy of 98.92%. CONCLUSION The proposed method can provide evidence for the control of pests and weeds and the precise spraying of pesticides. Thus, it provides reliable technical support for precision agriculture. © 2019 Society of Chemical Industry","container-title":"Journal of the Science of Food and Agriculture","DOI":"10.1002/jsfa.9689","ISSN":"1097-0010","issue":"10","language":"en","note":"_eprint: https://onlinelibrary.wiley.com/doi/pdf/10.1002/jsfa.9689","page":"4524-4531","source":"Wiley Online Library","title":"Recognition pest by image-based transfer learning","URL":"https://onlinelibrary.wiley.com/doi/abs/10.1002/jsfa.9689","volume":"99","author":[{"family":"Dawei","given":"Wang"},{"family":"Limiao","given":"Deng"},{"family":"Jiangong","given":"Ni"},{"family":"Jiyue","given":"Gao"},{"family":"Hongfei","given":"Zhu"},{"family":"Zhongzhi","given":"Han"}],"accessed":{"date-parts":[["2021",10,28]]},"issued":{"date-parts":[["2019"]]}},"label":"page"},{"id":30749,"uris":["http://zotero.org/groups/2352922/items/4EMB2PYM"],"itemData":{"id":30749,"type":"article-journal","abstract":"Throughout the history of agricultural development, crop diseases and pests have been one of the main obstacles hindering the development of agricultural economy, which not only caused irreversible economic losses to farmers, but also hindered the development of economic and social. The crop pets and diseases identification system based on digital image processing technology has the characteristics of fast, accurate and real-time, which can assist farmers to take effective control measures in time. In this paper, we have done some review on different digital image processing techniques to detect the plant diseases. We compared traditional machine learning and deep learning and discussed the future research trends and directions .","container-title":"IOP Conference Series: Materials Science and Engineering","DOI":"10.1088/1757-899X/799/1/012045","ISSN":"1757-899X","journalAbbreviation":"IOP Conf. Ser.: Mater. Sci. Eng.","language":"en","note":"publisher: IOP Publishing","page":"012045","source":"Institute of Physics","title":"Review of Crop Disease and Pest Image Recognition Technology","URL":"https://doi.org/10.1088/1757-899x/799/1/012045","volume":"799","author":[{"family":"Jia","given":"Shaopeng"},{"family":"Gao","given":"Hongju"}],"accessed":{"date-parts":[["2021",10,28]]},"issued":{"date-parts":[["2020",5]]}},"label":"page"}],"schema":"https://github.com/citation-style-language/schema/raw/master/csl-citation.json"} </w:instrText>
      </w:r>
      <w:r w:rsidR="00F3794C" w:rsidRPr="00837161">
        <w:fldChar w:fldCharType="separate"/>
      </w:r>
      <w:r w:rsidR="00271B78" w:rsidRPr="00271B78">
        <w:t>(Dawei et al., 2019; Jia &amp; Gao, 2020)</w:t>
      </w:r>
      <w:r w:rsidR="00F3794C" w:rsidRPr="00837161">
        <w:fldChar w:fldCharType="end"/>
      </w:r>
      <w:r w:rsidR="32A6D40E" w:rsidRPr="00837161">
        <w:t xml:space="preserve">. Automated image library based digital diagnostics platforms for invasive alien plants, invertebrates and </w:t>
      </w:r>
      <w:r w:rsidR="34A0E2D2" w:rsidRPr="00837161">
        <w:t>pathogens</w:t>
      </w:r>
      <w:r w:rsidR="00F26EC4" w:rsidRPr="00837161">
        <w:t xml:space="preserve"> </w:t>
      </w:r>
      <w:r w:rsidR="32A6D40E" w:rsidRPr="00837161">
        <w:t xml:space="preserve">that can be used on mobile devices are supporting biosecurity inspections and citizen science </w:t>
      </w:r>
      <w:r w:rsidR="005028B2" w:rsidRPr="00837161">
        <w:rPr>
          <w:i/>
          <w:iCs/>
        </w:rPr>
        <w:fldChar w:fldCharType="begin"/>
      </w:r>
      <w:r w:rsidR="000F35EB">
        <w:rPr>
          <w:i/>
          <w:iCs/>
        </w:rPr>
        <w:instrText xml:space="preserve"> ADDIN ZOTERO_ITEM CSL_CITATION {"citationID":"aY4pNYKv","properties":{"formattedCitation":"(Chen et al., 2021; Schmidt-Lebuhn &amp; Norton, 2017; W\\uc0\\u228{}ldchen et al., 2018)","plainCitation":"(Chen et al., 2021; Schmidt-Lebuhn &amp; Norton, 2017; Wäldchen et al., 2018)","noteIndex":0},"citationItems":[{"id":52780,"uris":["http://zotero.org/groups/2352922/items/R8NFLZTP"],"itemData":{"id":52780,"type":"article-journal","abstract":"Taiwan’s economy mainly relies on the export of agricultural products. If even the suspicion of a pest is found in the crop products after they are exported, not only are the agricultural products returned but the whole batch of crops is destroyed, resulting in extreme crop losses. The species of mealybugs, Coccidae, and Diaspididae, which are the primary pests of the scale insect in Taiwan, can not only lead to serious damage to the plants but also severely affect agricultural production. Hence, to recognize the scale pests is an important task in Taiwan’s agricultural field. In this study, we propose an AI-based pest detection system for solving the specific issue of detection of scale pests based on pictures. Deep-learning-based object detection models, such as faster region-based convolutional networks (Faster R-CNNs), single-shot multibox detectors (SSDs), and You Only Look Once v4 (YOLO v4), are employed to detect and localize scale pests in the picture. The experimental results show that YOLO v4 achieved the highest classification accuracy among the algorithms, with 100% in mealybugs, 89% in Coccidae, and 97% in Diaspididae. Meanwhile, the computational performance of YOLO v4 has indicated that it is suitable for real-time application. Moreover, the inference results of the YOLO v4 model further help the end user. A mobile application using the trained scale pest recognition model has been developed to facilitate pest identification in farms, which is helpful in applying appropriate pesticides to reduce crop losses.","container-title":"Electronics","DOI":"10.3390/electronics10040372","ISSN":"2079-9292","issue":"4","language":"en","license":"http://creativecommons.org/licenses/by/3.0/","note":"publisher: Multidisciplinary Digital Publishing Institute","page":"372","source":"www.mdpi.com","title":"A Smartphone-Based Application for Scale Pest Detection Using Multiple-Object Detection Methods","URL":"https://www.mdpi.com/2079-9292/10/4/372","volume":"10","author":[{"family":"Chen","given":"Jian-Wen"},{"family":"Lin","given":"Wan-Ju"},{"family":"Cheng","given":"Hui-Jun"},{"family":"Hung","given":"Che-Lun"},{"family":"Lin","given":"Chun-Yuan"},{"family":"Chen","given":"Shu-Pei"}],"accessed":{"date-parts":[["2022",8,3]]},"issued":{"date-parts":[["2021",1]]}}},{"id":52781,"uris":["http://zotero.org/groups/2352922/items/S43YKEDH"],"itemData":{"id":52781,"type":"article-journal","abstract":"Exotic weed propagules (seeds or fruits) often contaminate goods intended for import into Australia. Biosecurity officers must identify such propagules to manage risks, prevent incursions, and decide on potentially costly actions such as cleaning, treating, or destroying cargo. According to observations made by the Australian Department of Agriculture and Water Resources, more than 20% of the propagules found by biosecurity officers currently cannot be identified. By far the most important weed families contributing to seed load of imported goods are the grass family (Poaceae) and the daisy family (Asteraceae), accounting together for approximately 80% of cases. To facilitate fast and secure identification, increase the capabilities of biosecurity staff, and reduce the risk of weed incursions, we have developed an interactive digital identification key to the propagules of an initial priority list of 43 species of Asteraceae.","container-title":"Invasive Plant Science and Management","DOI":"10.1017/inp.2017.17","ISSN":"1939-7291, 1939-747X","issue":"2","language":"en","note":"publisher: Cambridge University Press","page":"210-211","source":"Cambridge University Press","title":"An Online Multi-Access Identification Key to the Propagules of Selected Biosecurity-Relevant Asteraceae (Daisy or Sunflower Family)","URL":"https://www.cambridge.org/core/journals/invasive-plant-science-and-management/article/an-online-multiaccess-identification-key-to-the-propagules-of-selected-biosecurityrelevant-asteraceae-daisy-or-sunflower-family/5ED2E12D973DBA98C99538E4EF8D6622","volume":"10","author":[{"family":"Schmidt-Lebuhn","given":"Alexander N."},{"family":"Norton","given":"Gertraud"}],"accessed":{"date-parts":[["2022",8,3]]},"issued":{"date-parts":[["2017",6]]}},"label":"page"},{"id":30121,"uris":["http://zotero.org/groups/2352922/items/JEIV36TK"],"itemData":{"id":30121,"type":"article-journal","container-title":"PLOS Computational Biology","DOI":"10.1371/journal.pcbi.1005993","ISSN":"1553-7358","issue":"4","journalAbbreviation":"PLoS Comput Biol","language":"en","page":"e1005993","source":"DOI.org (Crossref)","title":"Automated plant species identification—Trends and future directions","URL":"https://dx.plos.org/10.1371/journal.pcbi.1005993","volume":"14","author":[{"family":"Wäldchen","given":"Jana"},{"family":"Rzanny","given":"Michael"},{"family":"Seeland","given":"Marco"},{"family":"Mäder","given":"Patrick"}],"editor":[{"family":"Bucksch","given":"Alexander"}],"accessed":{"date-parts":[["2020",8,17]]},"issued":{"date-parts":[["2018",4,5]]}},"label":"page"}],"schema":"https://github.com/citation-style-language/schema/raw/master/csl-citation.json"} </w:instrText>
      </w:r>
      <w:r w:rsidR="005028B2" w:rsidRPr="00837161">
        <w:rPr>
          <w:i/>
          <w:iCs/>
        </w:rPr>
        <w:fldChar w:fldCharType="separate"/>
      </w:r>
      <w:r w:rsidR="00271B78" w:rsidRPr="00271B78">
        <w:t>(Chen et al., 2021; Schmidt-Lebuhn &amp; Norton, 2017; Wäldchen et al., 2018)</w:t>
      </w:r>
      <w:r w:rsidR="005028B2" w:rsidRPr="00837161">
        <w:rPr>
          <w:i/>
          <w:iCs/>
        </w:rPr>
        <w:fldChar w:fldCharType="end"/>
      </w:r>
      <w:r w:rsidR="005028B2" w:rsidRPr="00837161">
        <w:t xml:space="preserve">. </w:t>
      </w:r>
      <w:r w:rsidR="32A6D40E" w:rsidRPr="00837161">
        <w:t xml:space="preserve">Artificial intelligence or machine learning algorithms combined with image-processing-based species-recognition software provide automated triage of identification likelihood quickly and easily either back to the user or for uploaded images being signalled to an expert in the context of possible high priority targets. This reduces the effort in searching for false positive notifications which weaken analyses of species distributions </w:t>
      </w:r>
      <w:r w:rsidR="00F3794C" w:rsidRPr="00837161">
        <w:fldChar w:fldCharType="begin"/>
      </w:r>
      <w:r w:rsidR="000F35EB">
        <w:instrText xml:space="preserve"> ADDIN ZOTERO_ITEM CSL_CITATION {"citationID":"FPOGaYjq","properties":{"formattedCitation":"(Mo et al., 2017)","plainCitation":"(Mo et al., 2017)","noteIndex":0},"citationItems":[{"id":30825,"uris":["http://zotero.org/groups/2352922/items/DS64HFTY"],"itemData":{"id":30825,"type":"paper-conference","abstract":"The crowd-sourced Naturewatch GBIF dataset is used to obtain a species classification dataset containing approximately 1.2 million photos of nearly 20 thousand different species of biological organisms observed in their natural habitat. We present a general hierarchical species identification system based on deep convolutional neural networks trained on the NatureWatch dataset. The dataset contains images taken under a wide variety of conditions and is heavily imbalanced, with most species associated with only few images. We apply multi-view classification as a way to lend more influence to high frequency details, hierarchical fine-tuning to help with class imbalance and provide regularisation, and automatic specificity control for optimising classification depth. Our system achieves 55.8% accuracy when identifying individual species and around 90% accuracy at an average taxonomy depth of 5.1—equivalent to the taxonomic rank of “family”—when applying automatic specificity control.","collection-title":"Lecture Notes in Computer Science","container-title":"AI 2017: Advances in Artificial Intelligence","DOI":"10.1007/978-3-319-63004-5_24","event-place":"Cham","ISBN":"978-3-319-63004-5","language":"en","page":"301-312","publisher":"Springer International Publishing","publisher-place":"Cham","title":"Large-Scale Automatic Species Identification","author":[{"family":"Mo","given":"Jeff"},{"family":"Frank","given":"Eibe"},{"family":"Vetrova","given":"Varvara"}],"editor":[{"family":"Peng","given":"Wei"},{"family":"Alahakoon","given":"Damminda"},{"family":"Li","given":"Xiaodong"}],"issued":{"date-parts":[["2017"]]}},"label":"page"}],"schema":"https://github.com/citation-style-language/schema/raw/master/csl-citation.json"} </w:instrText>
      </w:r>
      <w:r w:rsidR="00F3794C" w:rsidRPr="00837161">
        <w:fldChar w:fldCharType="separate"/>
      </w:r>
      <w:r w:rsidR="00271B78" w:rsidRPr="00271B78">
        <w:t>(Mo et al., 2017)</w:t>
      </w:r>
      <w:r w:rsidR="00F3794C" w:rsidRPr="00837161">
        <w:fldChar w:fldCharType="end"/>
      </w:r>
      <w:r w:rsidR="32A6D40E" w:rsidRPr="00837161">
        <w:t xml:space="preserve">. Similar systems are already being used in public health as a technological tool enabling rapid screening with high accuracy </w:t>
      </w:r>
      <w:r w:rsidR="00F3794C" w:rsidRPr="00837161">
        <w:fldChar w:fldCharType="begin"/>
      </w:r>
      <w:r w:rsidR="000F35EB">
        <w:instrText xml:space="preserve"> ADDIN ZOTERO_ITEM CSL_CITATION {"citationID":"Z9BCpSP4","properties":{"formattedCitation":"(Chowdhury et al., 2020; van de Kant et al., 2012)","plainCitation":"(Chowdhury et al., 2020; van de Kant et al., 2012)","noteIndex":0},"citationItems":[{"id":24944,"uris":["http://zotero.org/groups/2352922/items/MGZAD25Z"],"itemData":{"id":24944,"type":"article-journal","container-title":"IEEE Access","DOI":"10.1109/ACCESS.2020.3010287","ISSN":"2169-3536","journalAbbreviation":"IEEE Access","page":"132665-132676","source":"DOI.org (Crossref)","title":"Can AI Help in Screening Viral and COVID-19 Pneumonia?","URL":"https://ieeexplore.ieee.org/document/9144185/","volume":"8","author":[{"family":"Chowdhury","given":"Muhammad E. H."},{"family":"Rahman","given":"Tawsifur"},{"family":"Khandakar","given":"Amith"},{"family":"Mazhar","given":"Rashid"},{"family":"Kadir","given":"Muhammad Abdul"},{"family":"Mahbub","given":"Zaid Bin"},{"family":"Islam","given":"Khandakar Reajul"},{"family":"Khan","given":"Muhammad Salman"},{"family":"Iqbal","given":"Atif"},{"family":"Emadi","given":"Nasser Al"},{"family":"Reaz","given":"Mamun Bin Ibne"},{"family":"Islam","given":"Mohammad Tariqul"}],"accessed":{"date-parts":[["2021",4,7]]},"issued":{"date-parts":[["2020"]]}},"label":"page"},{"id":30759,"uris":["http://zotero.org/groups/2352922/items/BA3PIBL6"],"itemData":{"id":30759,"type":"article-journal","abstract":"There is an increasing interest in the potential of exhaled biomarkers, such as volatile organic compounds (VOCs), to improve accurate diagnoses and management decisions in pulmonary diseases. The objective of this manuscript is to systematically review the current knowledge on exhaled VOCs with respect to their potential clinical use in asthma, lung cancer, chronic obstructive pulmonary disease (COPD), cystic fibrosis (CF), and respiratory tract infections. A systematic literature search was performed in PubMed, EMBASE, Cochrane database, and reference lists of retrieved studies. Controlled, clinical, English-language studies exploring the diagnostic and monitoring value of VOCs in asthma, COPD, CF, lung cancer and respiratory tract infections were included. Data on study design, setting, participant characteristics, VOCs techniques, and outcome measures were extracted. Seventy-three studies were included, counting in total 3,952 patients and 2,973 healthy controls. The collection and analysis of exhaled VOCs is non-invasive and could be easily applied in the broad range of patients, including subjects with severe disease and children. Various research groups demonstrated that VOCs profiles could accurately distinguish patients with a pulmonary disease from healthy controls. Pulmonary diseases seem to be characterized by a disease specific breath-print, as distinct profiles were found in patients with dissimilar diseases. The heterogeneity of studies challenged the inter-laboratory comparability. In conclusion, profiles of VOCs are potentially able to accurately diagnose various pulmonary diseases. Despite these promising findings, multiple challenges such as further standardization and validation of the diverse techniques need to be mastered before VOCs can be applied into clinical practice.","container-title":"Respiratory Research","DOI":"10.1186/1465-9921-13-117","ISSN":"1465-993X","issue":"1","journalAbbreviation":"Respiratory Research","page":"117","source":"BioMed Central","title":"Clinical use of exhaled volatile organic compounds in pulmonary diseases: a systematic review","title-short":"Clinical use of exhaled volatile organic compounds in pulmonary diseases","URL":"https://doi.org/10.1186/1465-9921-13-117","volume":"13","author":[{"family":"Kant","given":"Kim DG","non-dropping-particle":"van de"},{"family":"Sande","given":"Linda JTM","non-dropping-particle":"van der"},{"family":"Jöbsis","given":"Quirijn"},{"family":"Schayck","given":"Onno CP","non-dropping-particle":"van"},{"family":"Dompeling","given":"Edward"}],"accessed":{"date-parts":[["2021",10,28]]},"issued":{"date-parts":[["2012",12,21]]}},"label":"page"}],"schema":"https://github.com/citation-style-language/schema/raw/master/csl-citation.json"} </w:instrText>
      </w:r>
      <w:r w:rsidR="00F3794C" w:rsidRPr="00837161">
        <w:fldChar w:fldCharType="separate"/>
      </w:r>
      <w:r w:rsidR="00271B78" w:rsidRPr="00271B78">
        <w:t>(Chowdhury et al., 2020; van de Kant et al., 2012)</w:t>
      </w:r>
      <w:r w:rsidR="00F3794C" w:rsidRPr="00837161">
        <w:fldChar w:fldCharType="end"/>
      </w:r>
      <w:r w:rsidR="32A6D40E" w:rsidRPr="00837161">
        <w:t xml:space="preserve">. </w:t>
      </w:r>
      <w:r w:rsidR="00F3794C" w:rsidRPr="00837161">
        <w:t xml:space="preserve">The learning architectures and algorithms are becoming highly sophisticated with the development of the convolutional neural network, a deep learning network important in image recognition </w:t>
      </w:r>
      <w:r w:rsidR="00F3794C" w:rsidRPr="00837161">
        <w:fldChar w:fldCharType="begin"/>
      </w:r>
      <w:r w:rsidR="000F35EB">
        <w:instrText xml:space="preserve"> ADDIN ZOTERO_ITEM CSL_CITATION {"citationID":"6MPUyJ5p","properties":{"formattedCitation":"(Demertzis et al., 2017)","plainCitation":"(Demertzis et al., 2017)","dontUpdate":true,"noteIndex":0},"citationItems":[{"id":31001,"uris":["http://zotero.org/groups/2352922/items/P545SWME"],"itemData":{"id":31001,"type":"paper-conference","abstract":"Prolonged and sustained warming of the sea, acidification of surface water and rising of sea levels, creates significant habitat losses, resulting in the proliferation and spread of invasive species which immigrate to foreign regions seeking colder climate conditions. This is happening either because their natural habitat does not satisfy the temperature range in which they can survive, or because they are just following their food. This has negative consequences not only for the environment and biodiversity but for the socioeconomic status of the areas and for the human health. This research aims in the development of an advanced Machine Hearing system towards the automated recognition of invasive fish species based on their sounds. The proposed system uses the Spiking Convolutional Neural Network algorithm which cooperates with Geo Location Based Services. It is capable to correctly classify the typical local fish inhabitants from the invasive ones.","container-title":"2017 IEEE International Conference on Innovations in Intelligent Systems and Applications (INISTA)","DOI":"10.1109/INISTA.2017.8001126","event-place":"Gdynia, Poland","event-title":"2017 IEEE International Conference on INnovations in Intelligent SysTems and Applications (INISTA)","ISBN":"978-1-5090-5795-5","language":"en","page":"23-28","publisher":"IEEE","publisher-place":"Gdynia, Poland","source":"DOI.org (Crossref)","title":"A deep spiking machine-hearing system for the case of invasive fish species","URL":"http://ieeexplore.ieee.org/document/8001126/","author":[{"family":"Demertzis","given":"Konstantinos"},{"family":"Iliadis","given":"Lazaros"},{"family":"Anezakis","given":"Vardis-Dimitris"}],"accessed":{"date-parts":[["2021",10,28]]},"issued":{"date-parts":[["2017",7]]}}}],"schema":"https://github.com/citation-style-language/schema/raw/master/csl-citation.json"} </w:instrText>
      </w:r>
      <w:r w:rsidR="00F3794C" w:rsidRPr="00837161">
        <w:fldChar w:fldCharType="end"/>
      </w:r>
      <w:r w:rsidR="00F3794C" w:rsidRPr="00837161">
        <w:fldChar w:fldCharType="begin"/>
      </w:r>
      <w:r w:rsidR="000F35EB">
        <w:instrText xml:space="preserve"> ADDIN ZOTERO_ITEM CSL_CITATION {"citationID":"768LIA9U","properties":{"formattedCitation":"(Luaibi et al., 2021)","plainCitation":"(Luaibi et al., 2021)","noteIndex":0},"citationItems":[{"id":25216,"uris":["http://zotero.org/groups/2352922/items/EV36LZXJ"],"itemData":{"id":25216,"type":"article-journal","abstract":"The food security major threats are the diseases affected in plants such as citrus so that the identification in an earlier time is very important. Convenient malady recognition can assist the client with responding immediately and sketch for some guarded activities. This recognition can be completed without a human by utilizing plant leaf pictures. There are many methods employed for the classification and detection in machine learning (ML) models, but the combination of increasing advances in computer vision appears the deep learning (DL) area research to achieve a great potential in terms of increasing accuracy. In this paper, two ways of conventional neural networks are used named Alex Net and Res Net models with and without data augmentation involves the process of creating new data points by manipulating the original data. This process increases the number of training images in DL without the need to add new photos, it will appropriate in the case of small datasets. A self-dataset of 200 images of diseases and healthy citrus leaves are collected. The trained models with data augmentation give the best results with 95.83% and 97.92% for Res Net and Alex Net respectively.","container-title":"International Journal of Electrical and Computer Engineering (IJECE)","DOI":"10.11591/ijece.v11i2.pp1719-1727","ISSN":"2722-2578, 2088-8708","issue":"2","journalAbbreviation":"IJECE","page":"1719-1727","source":"DOI.org (Crossref)","title":"Detection of citrus leaf diseases using a deep learning technique","URL":"http://ijece.iaescore.com/index.php/IJECE/article/view/23056","volume":"11","author":[{"family":"Luaibi","given":"Ahmed R."},{"family":"Salman","given":"Tariq M."},{"family":"Miry","given":"Abbas Hussein"}],"accessed":{"date-parts":[["2021",4,8]]},"issued":{"date-parts":[["2021",4,1]]}},"label":"page"}],"schema":"https://github.com/citation-style-language/schema/raw/master/csl-citation.json"} </w:instrText>
      </w:r>
      <w:r w:rsidR="00F3794C" w:rsidRPr="00837161">
        <w:fldChar w:fldCharType="separate"/>
      </w:r>
      <w:r w:rsidR="00271B78" w:rsidRPr="00271B78">
        <w:t>(Luaibi et al., 2021)</w:t>
      </w:r>
      <w:r w:rsidR="00F3794C" w:rsidRPr="00837161">
        <w:fldChar w:fldCharType="end"/>
      </w:r>
      <w:r w:rsidR="00F3794C" w:rsidRPr="00837161">
        <w:t>. For example, the architecture was useful in classifying citrus diseases and insect damage from leaf images to best accuracy with data augmentation to a level of 97.9</w:t>
      </w:r>
      <w:r w:rsidR="006215F0" w:rsidRPr="00837161">
        <w:t xml:space="preserve"> per cent</w:t>
      </w:r>
      <w:r w:rsidR="00F3794C" w:rsidRPr="00837161">
        <w:t xml:space="preserve"> </w:t>
      </w:r>
      <w:r w:rsidR="00EB4AE5" w:rsidRPr="00837161">
        <w:fldChar w:fldCharType="begin"/>
      </w:r>
      <w:r w:rsidR="000F35EB">
        <w:instrText xml:space="preserve"> ADDIN ZOTERO_ITEM CSL_CITATION {"citationID":"uMU6VOcn","properties":{"formattedCitation":"(Luaibi et al., 2021)","plainCitation":"(Luaibi et al., 2021)","noteIndex":0},"citationItems":[{"id":25216,"uris":["http://zotero.org/groups/2352922/items/EV36LZXJ"],"itemData":{"id":25216,"type":"article-journal","abstract":"The food security major threats are the diseases affected in plants such as citrus so that the identification in an earlier time is very important. Convenient malady recognition can assist the client with responding immediately and sketch for some guarded activities. This recognition can be completed without a human by utilizing plant leaf pictures. There are many methods employed for the classification and detection in machine learning (ML) models, but the combination of increasing advances in computer vision appears the deep learning (DL) area research to achieve a great potential in terms of increasing accuracy. In this paper, two ways of conventional neural networks are used named Alex Net and Res Net models with and without data augmentation involves the process of creating new data points by manipulating the original data. This process increases the number of training images in DL without the need to add new photos, it will appropriate in the case of small datasets. A self-dataset of 200 images of diseases and healthy citrus leaves are collected. The trained models with data augmentation give the best results with 95.83% and 97.92% for Res Net and Alex Net respectively.","container-title":"International Journal of Electrical and Computer Engineering (IJECE)","DOI":"10.11591/ijece.v11i2.pp1719-1727","ISSN":"2722-2578, 2088-8708","issue":"2","journalAbbreviation":"IJECE","page":"1719-1727","source":"DOI.org (Crossref)","title":"Detection of citrus leaf diseases using a deep learning technique","URL":"http://ijece.iaescore.com/index.php/IJECE/article/view/23056","volume":"11","author":[{"family":"Luaibi","given":"Ahmed R."},{"family":"Salman","given":"Tariq M."},{"family":"Miry","given":"Abbas Hussein"}],"accessed":{"date-parts":[["2021",4,8]]},"issued":{"date-parts":[["2021",4,1]]}},"label":"page"}],"schema":"https://github.com/citation-style-language/schema/raw/master/csl-citation.json"} </w:instrText>
      </w:r>
      <w:r w:rsidR="00EB4AE5" w:rsidRPr="00837161">
        <w:fldChar w:fldCharType="separate"/>
      </w:r>
      <w:r w:rsidR="00271B78" w:rsidRPr="00271B78">
        <w:t>(Luaibi et al., 2021)</w:t>
      </w:r>
      <w:r w:rsidR="00EB4AE5" w:rsidRPr="00837161">
        <w:fldChar w:fldCharType="end"/>
      </w:r>
      <w:r w:rsidR="00F3794C" w:rsidRPr="00837161">
        <w:t xml:space="preserve"> and chicken sound convolutional neural networks were used to differentiate Avian influenza in poultry </w:t>
      </w:r>
      <w:r w:rsidR="00F3794C" w:rsidRPr="00837161">
        <w:fldChar w:fldCharType="begin"/>
      </w:r>
      <w:r w:rsidR="000F35EB">
        <w:instrText xml:space="preserve"> ADDIN ZOTERO_ITEM CSL_CITATION {"citationID":"XNw26sT1","properties":{"formattedCitation":"(Cuan et al., 2020)","plainCitation":"(Cuan et al., 2020)","noteIndex":0},"citationItems":[{"id":25410,"uris":["http://zotero.org/groups/2352922/items/RHH3LUXN"],"itemData":{"id":25410,"type":"article-journal","container-title":"Computers and Electronics in Agriculture","DOI":"10.1016/j.compag.2020.105688","ISSN":"01681699","journalAbbreviation":"Computers and Electronics in Agriculture","language":"en","page":"105688","source":"DOI.org (Crossref)","title":"Detection of avian influenza-infected chickens based on a chicken sound convolutional neural network","URL":"https://linkinghub.elsevier.com/retrieve/pii/S0168169920306621","volume":"178","author":[{"family":"Cuan","given":"Kaixuan"},{"family":"Zhang","given":"Tiemin"},{"family":"Huang","given":"Junduan"},{"family":"Fang","given":"Cheng"},{"family":"Guan","given":"Yun"}],"accessed":{"date-parts":[["2021",4,9]]},"issued":{"date-parts":[["2020",11]]}},"label":"page"}],"schema":"https://github.com/citation-style-language/schema/raw/master/csl-citation.json"} </w:instrText>
      </w:r>
      <w:r w:rsidR="00F3794C" w:rsidRPr="00837161">
        <w:fldChar w:fldCharType="separate"/>
      </w:r>
      <w:r w:rsidR="00271B78" w:rsidRPr="00271B78">
        <w:t>(Cuan et al., 2020)</w:t>
      </w:r>
      <w:r w:rsidR="00F3794C" w:rsidRPr="00837161">
        <w:fldChar w:fldCharType="end"/>
      </w:r>
      <w:r w:rsidR="00F3794C" w:rsidRPr="00837161">
        <w:t>.</w:t>
      </w:r>
      <w:r w:rsidRPr="00C0338D">
        <w:t xml:space="preserve"> </w:t>
      </w:r>
    </w:p>
    <w:p w14:paraId="000002D0" w14:textId="77777777" w:rsidR="00A758FD" w:rsidRPr="00C0338D" w:rsidRDefault="00C81287" w:rsidP="00B06042">
      <w:pPr>
        <w:pStyle w:val="Heading4"/>
      </w:pPr>
      <w:r w:rsidRPr="00C0338D">
        <w:t>Volatile detection technologies</w:t>
      </w:r>
    </w:p>
    <w:p w14:paraId="583EB779" w14:textId="53DA254D" w:rsidR="001B0409" w:rsidRPr="00837161" w:rsidRDefault="001B0409" w:rsidP="00C11DFA">
      <w:pPr>
        <w:spacing w:before="240" w:after="120" w:line="240" w:lineRule="auto"/>
      </w:pPr>
      <w:bookmarkStart w:id="354" w:name="_heading=h.36ei31r" w:colFirst="0" w:colLast="0"/>
      <w:bookmarkEnd w:id="354"/>
      <w:r w:rsidRPr="00837161">
        <w:t>Volatile detection technologies can be configured to identify any or multiple targets with a unique volatile profile, or footprint</w:t>
      </w:r>
      <w:r w:rsidR="00F4413B" w:rsidRPr="00837161">
        <w:t xml:space="preserve"> </w:t>
      </w:r>
      <w:r w:rsidR="00CB4524" w:rsidRPr="00837161">
        <w:fldChar w:fldCharType="begin"/>
      </w:r>
      <w:r w:rsidR="000F35EB">
        <w:instrText xml:space="preserve"> ADDIN ZOTERO_ITEM CSL_CITATION {"citationID":"m2q4eRCY","properties":{"formattedCitation":"(Cui et al., 2018)","plainCitation":"(Cui et al., 2018)","noteIndex":0},"citationItems":[{"id":30758,"uris":["http://zotero.org/groups/2352922/items/9Y3PV28B"],"itemData":{"id":30758,"type":"article-journal","abstract":"This paper reviews artificial intelligent noses (or electronic noses) as a fast and noninvasive approach for the diagnosis of insects and diseases that attack vegetables and fruit trees. The particular focus is on bacterial, fungal, and viral infections, and insect damage. Volatile organic compounds (VOCs) emitted from plants, which provide functional information about the plant’s growth, defense, and health status, allow for the possibility of using noninvasive detection to monitor plants status. Electronic noses are comprised of a sensor array, signal conditioning circuit, and pattern recognition algorithms. Compared with traditional gas chromatography–mass spectrometry (GC-MS) techniques, electronic noses are noninvasive and can be a rapid, cost-effective option for several applications. However, using electronic noses for plant pest diagnosis is still in its early stages, and there are challenges regarding sensor performance, sampling and detection in open areas, and scaling up measurements. This review paper introduces each element of electronic nose systems, especially commonly used sensors and pattern recognition methods, along with their advantages and limitations. It includes a comprehensive comparison and summary of applications, possible challenges, and potential improvements of electronic nose systems for different plant pest diagnoses.","container-title":"Sensors","DOI":"10.3390/s18020378","issue":"2","language":"en","license":"http://creativecommons.org/licenses/by/3.0/","note":"publisher: Multidisciplinary Digital Publishing Institute","page":"378","source":"www.mdpi.com","title":"Plant Pest Detection Using an Artificial Nose System: A Review","title-short":"Plant Pest Detection Using an Artificial Nose System","URL":"https://www.mdpi.com/1424-8220/18/2/378","volume":"18","author":[{"family":"Cui","given":"Shaoqing"},{"family":"Ling","given":"Peter"},{"family":"Zhu","given":"Heping"},{"family":"Keener","given":"Harold M."}],"accessed":{"date-parts":[["2021",10,28]]},"issued":{"date-parts":[["2018",2]]}},"label":"page"}],"schema":"https://github.com/citation-style-language/schema/raw/master/csl-citation.json"} </w:instrText>
      </w:r>
      <w:r w:rsidR="00CB4524" w:rsidRPr="00837161">
        <w:fldChar w:fldCharType="separate"/>
      </w:r>
      <w:r w:rsidR="00271B78" w:rsidRPr="00271B78">
        <w:t>(Cui et al., 2018)</w:t>
      </w:r>
      <w:r w:rsidR="00CB4524" w:rsidRPr="00837161">
        <w:fldChar w:fldCharType="end"/>
      </w:r>
      <w:r w:rsidRPr="00837161">
        <w:t xml:space="preserve">. </w:t>
      </w:r>
      <w:bookmarkStart w:id="355" w:name="_Hlk112927329"/>
      <w:r w:rsidRPr="00837161">
        <w:t xml:space="preserve">These technologies have relevance for a) detection of </w:t>
      </w:r>
      <w:r w:rsidR="49E7A8EB" w:rsidRPr="00837161">
        <w:t>terrestr</w:t>
      </w:r>
      <w:r w:rsidR="58F10123" w:rsidRPr="00837161">
        <w:t>i</w:t>
      </w:r>
      <w:r w:rsidR="49E7A8EB" w:rsidRPr="00837161">
        <w:t>al</w:t>
      </w:r>
      <w:r w:rsidRPr="00837161">
        <w:t xml:space="preserve"> invasive alien species offshore, at port of entry or onshore</w:t>
      </w:r>
      <w:r w:rsidR="00B36F04" w:rsidRPr="00837161">
        <w:t>,</w:t>
      </w:r>
      <w:r w:rsidRPr="00837161">
        <w:t xml:space="preserve"> b) detection of plant</w:t>
      </w:r>
      <w:r w:rsidR="006440A7" w:rsidRPr="00837161">
        <w:t>s</w:t>
      </w:r>
      <w:r w:rsidRPr="00837161">
        <w:t xml:space="preserve"> and </w:t>
      </w:r>
      <w:r w:rsidR="009034D8" w:rsidRPr="00837161">
        <w:t xml:space="preserve">animals infested with pests or </w:t>
      </w:r>
      <w:r w:rsidRPr="00837161">
        <w:t>diseases supporting conventional disease diagnostics</w:t>
      </w:r>
      <w:r w:rsidR="00F72B27" w:rsidRPr="00837161">
        <w:t xml:space="preserve"> </w:t>
      </w:r>
      <w:r w:rsidR="00CB4524" w:rsidRPr="00837161">
        <w:fldChar w:fldCharType="begin"/>
      </w:r>
      <w:r w:rsidR="000F35EB">
        <w:instrText xml:space="preserve"> ADDIN ZOTERO_ITEM CSL_CITATION {"citationID":"AFLJ469H","properties":{"formattedCitation":"(Knobloch et al., 2009; Laothawornkitkul et al., 2008)","plainCitation":"(Knobloch et al., 2009; Laothawornkitkul et al., 2008)","noteIndex":0},"citationItems":[{"id":30757,"uris":["http://zotero.org/groups/2352922/items/E9LID9BU"],"itemData":{"id":30757,"type":"article-journal","container-title":"AIP Conference Proceedings","DOI":"10.1063/1.3156505","ISSN":"0094-243X","issue":"1","note":"publisher: American Institute of Physics","page":"195-197","source":"aip.scitation.org (Atypon)","title":"Volatile Organic Compound (VOC) Analysis For Disease Detection: Proof Of Principle For Field Studies Detecting Paratuberculosis And Brucellosis","title-short":"Volatile Organic Compound (VOC) Analysis For Disease Detection","URL":"https://aip.scitation.org/doi/abs/10.1063/1.3156505","volume":"1137","author":[{"family":"Knobloch","given":"Henri"},{"family":"Köhler","given":"Heike"},{"family":"Commander","given":"Nicola"},{"family":"Reinhold","given":"Petra"},{"family":"Turner","given":"Claire"},{"family":"Chambers","given":"Mark"}],"accessed":{"date-parts":[["2021",10,28]]},"issued":{"date-parts":[["2009",5,23]]}},"label":"page"},{"id":30760,"uris":["http://zotero.org/groups/2352922/items/VS3K2XL4"],"itemData":{"id":30760,"type":"article-journal","abstract":"The volatile organic compounds (VOCs) profile emitted from plants often changes in response to environmental factors, and monitoring the change of such profiles could provide a nondestructive means of plant health measurement. An electronic nose (e-nose) was used to discriminate among VOC bouquets emitted by cucumber, pepper, and tomato leaves subjected to mechanical damage or pest and disease attacks compared with undamaged control leaves. Principle component analysis, discriminant function analysis, and cluster analysis were applied to evaluate the data. The results indicate that the e-nose can discriminate among VOCs from undamaged leaves of the three tested species. It can also discriminate undamaged and artificially damaged leaves of the same plant species. In cucumber, the e-nose can discriminate among VOCs emitted from control, artificially damaged, and spider-mite-infested leaves. It could also discriminate among VOCs emitted from control, artificially damaged, hornworm-damaged, and powdery-mildew-infected tomato leaves. The relationships between the changes in volatile signatures detected by the e-nose to changes in the underlying chemistry of plant VOC signatures in response to applied stresses were quantified by gas chromatography mass spectrometry. We conclude that the e-nose had genuine responses to changes in plant VOC signatures and can successfully discriminate them. These studies demonstrate the potential use of such e-nose technology as a real time pest and disease monitoring system in agricultural and horticultural settings.","container-title":"Environmental Science &amp; Technology","DOI":"10.1021/es801738s","ISSN":"0013-936X","issue":"22","journalAbbreviation":"Environ. Sci. Technol.","note":"publisher: American Chemical Society","page":"8433-8439","source":"ACS Publications","title":"Discrimination of Plant Volatile Signatures by an Electronic Nose: A Potential Technology for Plant Pest and Disease Monitoring","title-short":"Discrimination of Plant Volatile Signatures by an Electronic Nose","URL":"https://doi.org/10.1021/es801738s","volume":"42","author":[{"family":"Laothawornkitkul","given":"Jullada"},{"family":"Moore","given":"Jason P."},{"family":"Taylor","given":"Jane E."},{"family":"Possell","given":"Malcolm"},{"family":"Gibson","given":"Tim D."},{"family":"Hewitt","given":"C. Nicholas"},{"family":"Paul","given":"Nigel D."}],"accessed":{"date-parts":[["2021",10,28]]},"issued":{"date-parts":[["2008",11,15]]}},"label":"page"}],"schema":"https://github.com/citation-style-language/schema/raw/master/csl-citation.json"} </w:instrText>
      </w:r>
      <w:r w:rsidR="00CB4524" w:rsidRPr="00837161">
        <w:fldChar w:fldCharType="separate"/>
      </w:r>
      <w:r w:rsidR="00271B78" w:rsidRPr="00271B78">
        <w:t>(Knobloch et al., 2009; Laothawornkitkul et al., 2008)</w:t>
      </w:r>
      <w:r w:rsidR="00CB4524" w:rsidRPr="00837161">
        <w:fldChar w:fldCharType="end"/>
      </w:r>
      <w:r w:rsidRPr="00837161">
        <w:t xml:space="preserve">, </w:t>
      </w:r>
      <w:bookmarkEnd w:id="355"/>
      <w:r w:rsidRPr="00837161">
        <w:t xml:space="preserve">c) screening of international goods, </w:t>
      </w:r>
      <w:r w:rsidR="00EA4005" w:rsidRPr="00837161">
        <w:t xml:space="preserve">postal </w:t>
      </w:r>
      <w:r w:rsidRPr="00837161">
        <w:t xml:space="preserve">mail, travellers, luggage, cargo, containers, ships and aircraft </w:t>
      </w:r>
      <w:r w:rsidR="00304F0C" w:rsidRPr="00837161">
        <w:t>(</w:t>
      </w:r>
      <w:r w:rsidR="00BA147F" w:rsidRPr="00837161">
        <w:t xml:space="preserve">e.g., </w:t>
      </w:r>
      <w:r w:rsidR="00CB4524" w:rsidRPr="00837161">
        <w:fldChar w:fldCharType="begin"/>
      </w:r>
      <w:r w:rsidR="000F35EB">
        <w:instrText xml:space="preserve"> ADDIN ZOTERO_ITEM CSL_CITATION {"citationID":"vNAvxEbU","properties":{"formattedCitation":"(Staples &amp; Viswanathan, 2008)","plainCitation":"(Staples &amp; Viswanathan, 2008)","dontUpdate":true,"noteIndex":0},"citationItems":[{"id":30756,"uris":["http://zotero.org/groups/2352922/items/6QIS8WYF"],"itemData":{"id":30756,"type":"article-journal","abstract":"A portable chemical profiling system for cargo containers using a single, uncoated, high Q surface acoustic wave sensor, along with a high-speed chromatograph and column, a programmable gate array microprocessor, and a vapor preconcentrator, is described. This unit provides a recognizable visual vectorial image in N-dimensional space (where N equals the number of sensors) of specific vapor mixtures (fragrances) containing possibly hundreds of different chemical species in 20 s or near real time with picogram sensitivity. This new approach, based upon fast chromatography, which combines the technology with sampling system is proven to solve complex contraband detection and measurement problems with the probability of detection equal to or greater than 90% with a false alarm rate of 1%.","container-title":"Industrial &amp; Engineering Chemistry Research","DOI":"10.1021/ie701703y","ISSN":"0888-5885","issue":"21","journalAbbreviation":"Ind. Eng. Chem. Res.","note":"publisher: American Chemical Society","page":"8361-8367","source":"ACS Publications","title":"Detection of Contrabands in Cargo Containers Using a High-Speed Gas Chromatograph with Surface Acoustic Wave Sensor","URL":"https://doi.org/10.1021/ie701703y","volume":"47","author":[{"family":"Staples","given":"Edward J."},{"family":"Viswanathan","given":"Shekar"}],"accessed":{"date-parts":[["2021",10,28]]},"issued":{"date-parts":[["2008",11,5]]}},"label":"page"}],"schema":"https://github.com/citation-style-language/schema/raw/master/csl-citation.json"} </w:instrText>
      </w:r>
      <w:r w:rsidR="00CB4524" w:rsidRPr="00837161">
        <w:fldChar w:fldCharType="separate"/>
      </w:r>
      <w:r w:rsidR="00EB4AE5" w:rsidRPr="00837161">
        <w:t>Staples &amp; Viswanathan, 2008)</w:t>
      </w:r>
      <w:r w:rsidR="00CB4524" w:rsidRPr="00837161">
        <w:fldChar w:fldCharType="end"/>
      </w:r>
      <w:r w:rsidR="00C16EEB">
        <w:t xml:space="preserve"> and</w:t>
      </w:r>
      <w:r w:rsidRPr="00837161">
        <w:t xml:space="preserve"> d) improving invasive alien species traps and lures</w:t>
      </w:r>
      <w:r w:rsidR="004D03A0" w:rsidRPr="00837161">
        <w:t xml:space="preserve"> (</w:t>
      </w:r>
      <w:r w:rsidR="00BA147F" w:rsidRPr="00837161">
        <w:t xml:space="preserve">e.g., </w:t>
      </w:r>
      <w:r w:rsidR="00CB4524" w:rsidRPr="00837161">
        <w:fldChar w:fldCharType="begin"/>
      </w:r>
      <w:r w:rsidR="000F35EB">
        <w:instrText xml:space="preserve"> ADDIN ZOTERO_ITEM CSL_CITATION {"citationID":"K5lehOgT","properties":{"formattedCitation":"(Sweeney et al., 2004)","plainCitation":"(Sweeney et al., 2004)","dontUpdate":true,"noteIndex":0},"citationItems":[{"id":30755,"uris":["http://zotero.org/groups/2352922/items/3VVZTPH2"],"itemData":{"id":30755,"type":"article-journal","abstract":"Cortical and sapwood volatiles were collected in situ from red spruce, Picea rubens (Sarg.), trees infested with Tetropium fuscum (F.), to determine the relative concentrations and enantiomer ratios of monoterpenes emitted. This information was used to create a synthetic “spruce blend” lure that was tested in various trap designs for efficacy in capturing T. fuscum, and Tetropium castaneum L. in field bioassays conducted on McNabs Island, Nova Scotia, in 2001 and 2002 and in Poland and Switzerland in 2002. Response of other cerambycid species was measured opportunistically. Cross-vane pan traps baited with spruce blend caught significantly more T. fuscum than unbaited traps</w:instrText>
      </w:r>
      <w:r w:rsidR="000F35EB">
        <w:rPr>
          <w:rFonts w:hint="eastAsia"/>
        </w:rPr>
        <w:instrText xml:space="preserve"> or traps baited with racemic </w:instrText>
      </w:r>
      <w:r w:rsidR="000F35EB">
        <w:rPr>
          <w:rFonts w:hint="eastAsia"/>
        </w:rPr>
        <w:instrText></w:instrText>
      </w:r>
      <w:r w:rsidR="000F35EB">
        <w:rPr>
          <w:rFonts w:hint="eastAsia"/>
        </w:rPr>
        <w:instrText>-pinene, ethanol, or both. The addition of an ethanol lure to spruce blend</w:instrText>
      </w:r>
      <w:r w:rsidR="000F35EB">
        <w:rPr>
          <w:rFonts w:hint="eastAsia"/>
        </w:rPr>
        <w:instrText>–</w:instrText>
      </w:r>
      <w:r w:rsidR="000F35EB">
        <w:rPr>
          <w:rFonts w:hint="eastAsia"/>
        </w:rPr>
        <w:instrText>baited traps significantly increased capture of T. fuscum and T. castaneum. There were no significant differences among trap designs in mean catch of</w:instrText>
      </w:r>
      <w:r w:rsidR="000F35EB">
        <w:instrText xml:space="preserve"> either Tetropium species. Spruce blend was also significantly attractive to Monochamus urussovii (Fischer) and, when paired with an ethanol lure, was significantly attractive to Spondylis buprestoides L. Asemum striatum L. was significantly attracted to </w:instrText>
      </w:r>
      <w:r w:rsidR="000F35EB">
        <w:rPr>
          <w:rFonts w:hint="eastAsia"/>
        </w:rPr>
        <w:instrText xml:space="preserve">racemic </w:instrText>
      </w:r>
      <w:r w:rsidR="000F35EB">
        <w:rPr>
          <w:rFonts w:hint="eastAsia"/>
        </w:rPr>
        <w:instrText></w:instrText>
      </w:r>
      <w:r w:rsidR="000F35EB">
        <w:rPr>
          <w:rFonts w:hint="eastAsia"/>
        </w:rPr>
        <w:instrText>-pinene but was not attracted to spruce blend or spruce blend plus ethanol. None of the lures tested were significantly attractive to Stictoleptura rubra L. or Alosterna tabacicolor (DeGeer).","container-title":"Environmental Entomology","DOI":"1</w:instrText>
      </w:r>
      <w:r w:rsidR="000F35EB">
        <w:instrText xml:space="preserve">0.1603/0046-225X-33.4.844","ISSN":"0046-225X","issue":"4","journalAbbreviation":"Environmental Entomology","page":"844-854","source":"Silverchair","title":"Host Volatile Attractants and Traps for Detection of &lt;i&gt;Tetropium fuscum&lt;/i&gt; (F.), &lt;i&gt;Tetropium castaneum&lt;/i&gt; L., and Other Longhorned Beetles (Coleoptera: Cerambycidae)","title-short":"Host Volatile Attractants and Traps for Detection of Tetropium fuscum (F.), Tetropium castaneum L., and Other Longhorned Beetles (Coleoptera","URL":"https://doi.org/10.1603/0046-225X-33.4.844","volume":"33","author":[{"family":"Sweeney","given":"Jon"},{"family":"De Groot","given":"Peter"},{"family":"MacDonald","given":"Linda"},{"family":"Smith","given":"Sandy"},{"family":"Cocquempot","given":"Christian"},{"family":"Kenis","given":"Marc"},{"family":"Gutowski","given":"Jerzy M."}],"accessed":{"date-parts":[["2021",10,28]]},"issued":{"date-parts":[["2004",8,1]]}},"label":"page"}],"schema":"https://github.com/citation-style-language/schema/raw/master/csl-citation.json"} </w:instrText>
      </w:r>
      <w:r w:rsidR="00CB4524" w:rsidRPr="00837161">
        <w:fldChar w:fldCharType="separate"/>
      </w:r>
      <w:r w:rsidR="00EB4AE5" w:rsidRPr="00837161">
        <w:t>Sweeney et al., 2004)</w:t>
      </w:r>
      <w:r w:rsidR="00CB4524" w:rsidRPr="00837161">
        <w:fldChar w:fldCharType="end"/>
      </w:r>
      <w:r w:rsidRPr="00837161">
        <w:t xml:space="preserve">. </w:t>
      </w:r>
    </w:p>
    <w:p w14:paraId="000002D2" w14:textId="4CB96408" w:rsidR="00A758FD" w:rsidRPr="00C0338D" w:rsidRDefault="001B0409">
      <w:pPr>
        <w:spacing w:before="240" w:after="120" w:line="240" w:lineRule="auto"/>
      </w:pPr>
      <w:bookmarkStart w:id="356" w:name="_Hlk112927342"/>
      <w:r w:rsidRPr="00837161">
        <w:t>Trained detector dogs are the conventional approach in most situations for a wide range of invasive alien species threats</w:t>
      </w:r>
      <w:r w:rsidR="004D4FF7" w:rsidRPr="00837161">
        <w:t xml:space="preserve"> </w:t>
      </w:r>
      <w:r w:rsidR="0007104D" w:rsidRPr="00837161">
        <w:fldChar w:fldCharType="begin"/>
      </w:r>
      <w:r w:rsidR="000F35EB">
        <w:instrText xml:space="preserve"> ADDIN ZOTERO_ITEM CSL_CITATION {"citationID":"6tqyqT6k","properties":{"formattedCitation":"(A. Y. Moser et al., 2020)","plainCitation":"(A. Y. Moser et al., 2020)","noteIndex":0},"citationItems":[{"id":53135,"uris":["http://zotero.org/groups/2352922/items/W25DG5FR"],"itemData":{"id":53135,"type":"article-journal","abstract":"Detector dogs could be trained to find invasive insect pests at borders before they establish in new areas. However, without access to the live insects themselves, odor training aids are needed to condition dogs to their scent. This proof-of-concept study assessed 2 potential training aids for insect detection: a scent extract and dead specimens of the target species. Using Musgraveia sulciventris (Hemiptera: Tessaratomidae) as an experimental model, gas chromatography–mass spectrometry (GC-MS) analyses were carried out to compare the chemical headspaces that make up the odors of live specimens and these 2 training aids. This was then followed by canine scent-detection testing to investigate biosecurity detector dogs’ (n = 4) responses to training in an ecologically valid context. Both the scent extract and the dead specimens shared the majority of their volatile organic compounds (VOCs) with live insects. Of the dogs trained with scent extract (n = 2), both were able to detect the live insects accurately, and of those trained with dead specimens (n = 2), one detected the live insects accurately. These findings lend support for these training aids as odor-proxies for live insects—particularly scent extract, which is a relatively novel product with the potential for broad application to facilitate and improve insect-detection training.","container-title":"Chemical Senses","DOI":"10.1093/chemse/bjaa001","ISSN":"1464-3553","issue":"3","journalAbbreviation":"Chemical Senses","page":"179-186","source":"Silverchair","title":"Biosecurity Dogs Detect Live Insects after Training with Odor-Proxy Training Aids: Scent Extract and Dead Specimens","title-short":"Biosecurity Dogs Detect Live Insects after Training with Odor-Proxy Training Aids","URL":"https://doi.org/10.1093/chemse/bjaa001","volume":"45","author":[{"family":"Moser","given":"Ariella Y"},{"family":"Brown","given":"Wendy Y"},{"family":"Bizo","given":"Lewis A"},{"family":"Andrew","given":"Nigel R"},{"family":"Taylor","given":"Michelle K"}],"accessed":{"date-parts":[["2022",9,1]]},"issued":{"date-parts":[["2020",4,17]]}},"label":"page"}],"schema":"https://github.com/citation-style-language/schema/raw/master/csl-citation.json"} </w:instrText>
      </w:r>
      <w:r w:rsidR="0007104D" w:rsidRPr="00837161">
        <w:fldChar w:fldCharType="separate"/>
      </w:r>
      <w:r w:rsidR="00271B78" w:rsidRPr="00271B78">
        <w:t>(A. Y. Moser et al., 2020)</w:t>
      </w:r>
      <w:r w:rsidR="0007104D" w:rsidRPr="00837161">
        <w:fldChar w:fldCharType="end"/>
      </w:r>
      <w:r w:rsidRPr="00837161">
        <w:t>, but require direct human support and high training and maintenance costs.</w:t>
      </w:r>
      <w:bookmarkStart w:id="357" w:name="_heading=h.1ljsd9k" w:colFirst="0" w:colLast="0"/>
      <w:bookmarkEnd w:id="357"/>
      <w:r w:rsidR="00C81287" w:rsidRPr="00C0338D">
        <w:t xml:space="preserve"> </w:t>
      </w:r>
      <w:bookmarkEnd w:id="356"/>
      <w:r w:rsidR="00C81287" w:rsidRPr="00C0338D">
        <w:t xml:space="preserve">Many hand-held point-of-use detections systems have been developed for volatile detection, including miniaturized portable gas chromatography mass spectrometry and Fourier-transform infrared spectroscopy (FTIR), array-based sensors such as electronic noses and biosensors </w:t>
      </w:r>
      <w:r w:rsidRPr="00837161">
        <w:fldChar w:fldCharType="begin"/>
      </w:r>
      <w:r w:rsidR="000F35EB">
        <w:instrText xml:space="preserve"> ADDIN ZOTERO_ITEM CSL_CITATION {"citationID":"st1umL7P","properties":{"formattedCitation":"(Berna et al., 2009; A. D. Wilson, 2017)","plainCitation":"(Berna et al., 2009; A. D. Wilson, 2017)","noteIndex":0},"citationItems":[{"id":30753,"uris":["http://zotero.org/groups/2352922/items/R7W5NV2Q"],"itemData":{"id":30753,"type":"article-journal","abstract":"Background Electronic noses, E-Noses, are instruments designed to reproduce the performance of animal noses or antennae but generally they cannot match the discriminating power of the biological original and have, therefore, been of limited utility. The manner in which odorant space is sampled is a critical factor in the performance of all noses but so far it has been described in detail only for the fly antenna. Methodology Here we describe how a set of metal oxide (MOx) E-Nose sensors, which is the most commonly used type, samples odorant space and compare it with what is known about fly odorant receptors (ORs). Principal Findings Compared with a fly's odorant receptors, MOx sensors from an electronic nose are on average more narrowly tuned but much more highly correlated with each other. A set of insect ORs can therefore sample broader regions of odorant space independently and redundantly than an equivalent number of MOx sensors. The comparison also highlights some important questions about the molecular nature of fly ORs. Conclusions The comparative approach generates practical learnings that may be taken up by solid-state physicists or engineers in designing new solid-state electronic nose sensors. It also potentially deepens our understanding of the performance of the biological system.","container-title":"PLoS ONE","DOI":"10.1371/journal.pone.0006406","ISSN":"1932-6203","issue":"7","journalAbbreviation":"PLOS ONE","language":"en","note":"publisher: Public Library of Science","page":"e6406","source":"PLoS Journals","title":"Bio-Benchmarking of Electronic Nose Sensors","URL":"https://journals.plos.org/plosone/article?id=10.1371/journal.pone.0006406","volume":"4","author":[{"family":"Berna","given":"Amalia Z."},{"family":"Anderson","given":"Alisha R."},{"family":"Trowell","given":"Stephen C."}],"accessed":{"date-parts":[["2021",10,28]]},"issued":{"date-parts":[["2009",7,29]]}},"label":"page"},{"id":30752,"uris":["http://zotero.org/groups/2352922/items/YEMLUSDJ"],"itemData":{"id":30752,"type":"article-journal","container-title":"Annals of Clinical Case Reports","language":"en","note":"number: 1401","page":"1401","source":"www.fs.usda.gov","title":"Electronic-nose devices - Potential for noninvasive early disease-detection applications","URL":"https://www.fs.usda.gov/treesearch/pubs/54652","volume":"2","author":[{"family":"Wilson","given":"Alphus Dan"}],"accessed":{"date-parts":[["2021",10,28]]},"issued":{"date-parts":[["2017"]]}},"label":"page"}],"schema":"https://github.com/citation-style-language/schema/raw/master/csl-citation.json"} </w:instrText>
      </w:r>
      <w:r w:rsidRPr="00837161">
        <w:fldChar w:fldCharType="separate"/>
      </w:r>
      <w:r w:rsidR="00271B78" w:rsidRPr="00271B78">
        <w:t>(Berna et al., 2009; A. D. Wilson, 2017)</w:t>
      </w:r>
      <w:r w:rsidRPr="00837161">
        <w:fldChar w:fldCharType="end"/>
      </w:r>
      <w:r w:rsidRPr="00837161">
        <w:t>.</w:t>
      </w:r>
      <w:r w:rsidR="00C81287" w:rsidRPr="00C0338D">
        <w:t xml:space="preserve"> Key advantages of the volatile detection technologies include reliable detection from small samples, use for single or multiple targets, and low search effort and faster potentially automated screening. International approval may be required where proposed for use to replace other tests agreed under trade conventions (e.g., WTO) to demonstrate equivalent sensitivity and specificity. See </w:t>
      </w:r>
      <w:r w:rsidR="002F2F42">
        <w:rPr>
          <w:b/>
        </w:rPr>
        <w:t>S</w:t>
      </w:r>
      <w:r w:rsidR="00C81287" w:rsidRPr="00C0338D">
        <w:rPr>
          <w:b/>
        </w:rPr>
        <w:t>upplementary material 5.3</w:t>
      </w:r>
      <w:r w:rsidR="00C81287" w:rsidRPr="00C0338D">
        <w:t xml:space="preserve"> for further details including on advantages and disadvantages of the different volatile detector technologies.</w:t>
      </w:r>
    </w:p>
    <w:p w14:paraId="000002D3" w14:textId="77777777" w:rsidR="00A758FD" w:rsidRPr="00C0338D" w:rsidRDefault="00C81287" w:rsidP="00B06042">
      <w:pPr>
        <w:pStyle w:val="Heading4"/>
      </w:pPr>
      <w:r w:rsidRPr="00C0338D">
        <w:t xml:space="preserve">Pheromone and semiochemical lures </w:t>
      </w:r>
    </w:p>
    <w:p w14:paraId="000002D4" w14:textId="16D863D8" w:rsidR="00A758FD" w:rsidRPr="00C0338D" w:rsidRDefault="00C81287">
      <w:pPr>
        <w:spacing w:before="240" w:after="120" w:line="240" w:lineRule="auto"/>
      </w:pPr>
      <w:r w:rsidRPr="00C0338D">
        <w:t xml:space="preserve">In addition to the traditional use of pheromone lure traps for the management of established invasive alien species (mostly invertebrates as pests largely in horticulture </w:t>
      </w:r>
      <w:r w:rsidR="003465DB" w:rsidRPr="00837161">
        <w:fldChar w:fldCharType="begin"/>
      </w:r>
      <w:r w:rsidR="000F35EB">
        <w:instrText xml:space="preserve"> ADDIN ZOTERO_ITEM CSL_CITATION {"citationID":"5tkwxptM","properties":{"formattedCitation":"(El-Sayed et al., 2006)","plainCitation":"(El-Sayed et al., 2006)","noteIndex":0},"citationItems":[{"id":52547,"uris":["http://zotero.org/groups/2352922/items/ILULHK7I"],"itemData":{"id":52547,"type":"article-journal","abstract":"Semiochemical-based pest management programs comprise three major approaches that are being used to provide environmentally friendly control methods of insect pests: mass trapping, “lure and kill,” and mating disruption. In this article, we review the potential of mass trapping in long-term pest management as well as in the eradication of invasive species. We discuss similarities and differences between mass trapping and other two main approaches of semiochemical-based pest management programs. We highlight several study cases where mass trapping has been used either in long-term pest management [e.g., codling moth, Cydia pomonella (L.); pink bollworm, Pectinophora gossypiella (Saunders); bark beetles, palm weevils, corn rootworms (Diabrotica spp.); and fruit ßies] or in eradication of invasive species [e.g., gypsy moth, Lymantria dispar (L.); and boll weevil, Anthonomus grandis grandis Boheman). We list the critical issues that affect the efÞcacy of mass trapping and compare these with previously published models developed to investigate mass trapping efÞcacy in pest control. We conclude that mass trapping has good potential to suppress or eradicate low-density, isolated pest populations; however, its full potential in pest management has not been adequately realized and therefore encourages further research and development of this technology.","container-title":"Journal of Economic Entomology","DOI":"https://doi.org/10.1603/0022-0493-99.5.1550","issue":"5","language":"en","page":"1550-1564","source":"Zotero","title":"Potential of Mass Trapping for Long-Term Pest Management and Eradication of Invasive Species","volume":"99","author":[{"family":"El-Sayed","given":"A M"},{"family":"Suckling","given":"D M"},{"family":"Wearing","given":"C H"},{"family":"Byers","given":"J A"}],"issued":{"date-parts":[["2006"]]}},"label":"page"}],"schema":"https://github.com/citation-style-language/schema/raw/master/csl-citation.json"} </w:instrText>
      </w:r>
      <w:r w:rsidR="003465DB" w:rsidRPr="00837161">
        <w:fldChar w:fldCharType="separate"/>
      </w:r>
      <w:r w:rsidR="00271B78" w:rsidRPr="00271B78">
        <w:t>(El-Sayed et al., 2006)</w:t>
      </w:r>
      <w:r w:rsidR="003465DB" w:rsidRPr="00837161">
        <w:fldChar w:fldCharType="end"/>
      </w:r>
      <w:r w:rsidR="2C82E6B3" w:rsidRPr="00837161">
        <w:t>, such lures can and are being very effectively used in surveillance and detection</w:t>
      </w:r>
      <w:r w:rsidR="1FD4616D" w:rsidRPr="00837161">
        <w:t xml:space="preserve"> </w:t>
      </w:r>
      <w:r w:rsidR="003465DB" w:rsidRPr="00837161">
        <w:fldChar w:fldCharType="begin"/>
      </w:r>
      <w:r w:rsidR="000F35EB">
        <w:instrText xml:space="preserve"> ADDIN ZOTERO_ITEM CSL_CITATION {"citationID":"ijpawglu","properties":{"formattedCitation":"(Augustin et al., 2012)","plainCitation":"(Augustin et al., 2012)","noteIndex":0},"citationItems":[{"id":30151,"uris":["http://zotero.org/groups/2352922/items/ZDVTUTB4"],"itemData":{"id":30151,"type":"article-journal","abstract":"This paper provides reviews of the most commonly used methods to detect plant pests belonging to groups of invasive organisms with high economic relevance, including Coleoptera (bark beetles, flathead borers, leaf beetles, longhorn beetles, weevils), Diptera (cone and seed flies, fruit flies), Homoptera (aphids, leafhoppers and psyllids, whiteflies), Lepidoptera (moths and butterflies), Thysanoptera (thrips), bacteria (potato brown rot Ralstonia solanacearum) and fungi (pitch canker disease Gibberella circinata, brown rot disease Monilinia fructicola). Future perspectives in detection methods are discussed, with particular reference to the considerable increase in the volume, commodity type and origins of trade in plant material from third countries, the introduction of new crops, the continuous expansion of the EU with new border countries being added, and the impact of climate change affecting the geographical boundaries of pests and their vectors.","container-title":"EPPO Bulletin","DOI":"10.1111/epp.2600","ISSN":"1365-2338","issue":"3","language":"en","license":"© 2012 The Authors. Journal compilation © 2012 OEPP/EPPO","page":"515-551","source":"Wiley Online Library","title":"A review of pest surveillance techniques for detecting quarantine pests in Europe","URL":"https://onlinelibrary.wiley.com/doi/abs/10.1111/epp.2600","volume":"42","author":[{"family":"Augustin","given":"Sylvie"},{"family":"Boonham","given":"Neil"},{"family":"De Kogel","given":"Willem J."},{"family":"Donner","given":"Pierre"},{"family":"Faccoli","given":"Massimo"},{"family":"Lees","given":"David C."},{"family":"Marini","given":"Lorenzo"},{"family":"Mori","given":"Nicola"},{"family":"Petrucco Toffolo","given":"Edoardo"},{"family":"Quilici","given":"Serge"},{"family":"Roques","given":"Alain"},{"family":"Yart","given":"Annie"},{"family":"Battisti","given":"Andrea"}],"accessed":{"date-parts":[["2019",9,30]]},"issued":{"date-parts":[["2012"]]}},"label":"page"}],"schema":"https://github.com/citation-style-language/schema/raw/master/csl-citation.json"} </w:instrText>
      </w:r>
      <w:r w:rsidR="003465DB" w:rsidRPr="00837161">
        <w:fldChar w:fldCharType="separate"/>
      </w:r>
      <w:r w:rsidR="00271B78" w:rsidRPr="00271B78">
        <w:t>(Augustin et al., 2012)</w:t>
      </w:r>
      <w:r w:rsidR="003465DB" w:rsidRPr="00837161">
        <w:fldChar w:fldCharType="end"/>
      </w:r>
      <w:r w:rsidR="2C82E6B3" w:rsidRPr="00837161">
        <w:t xml:space="preserve"> and delimitation and spread in eradication and containment programs </w:t>
      </w:r>
      <w:r w:rsidR="003465DB" w:rsidRPr="00837161">
        <w:fldChar w:fldCharType="begin"/>
      </w:r>
      <w:r w:rsidR="000F35EB">
        <w:instrText xml:space="preserve"> ADDIN ZOTERO_ITEM CSL_CITATION {"citationID":"fL0tqCSK","properties":{"formattedCitation":"(Brockerhoff et al., 2010; Suckling et al., 2014)","plainCitation":"(Brockerhoff et al., 2010; Suckling et al., 2014)","noteIndex":0},"citationItems":[{"id":25150,"uris":["http://zotero.org/groups/2352922/items/TBEG82AU"],"itemData":{"id":25150,"type":"article-journal","abstract":"Invasive exotic insects can cause substantial damage to trees and the environment, and may reduce biodiversity. They can have a large negative economic effect on the forest industry, urban amenity trees and numerous other sectors, and they may necessitate extensive management expenditures. For such high-impact invaders, eradication is desirable but also difficult and often highly controversial. It requires substantial input of resources and commitment from managers and stakeholders, including the general public. Appropriate tools for surveillance and control of the target species must be available if success is to be achieved. This review outlines the sequence of steps required in well-managed operations; examines characteristics of successful and unsuccessful eradication campaigns; describes methods and tools known to be effective against specific pests; and discusses the analysis of costs and benefits of eradication programmes.","container-title":"New Zealand Journal of Forestry Science","ISSN":"1179-5395","language":"en","page":"S117-S135","source":"www.fs.usda.gov","title":"Eradication of invasive forest insects: concepts, methods, costs and benefits","title-short":"Eradication of invasive forest insects","URL":"https://www.fs.usda.gov/treesearch/pubs/34736","volume":"40","author":[{"family":"Brockerhoff","given":"Eckehard G."},{"family":"Liebhold","given":"Andrew M."},{"family":"Richardson","given":"Brian"},{"family":"Suckling","given":"David M."}],"accessed":{"date-parts":[["2019",10,18]]},"issued":{"date-parts":[["2010"]]}},"label":"page"},{"id":52545,"uris":["http://zotero.org/groups/2352922/items/ABFG6PIW"],"itemData":{"id":52545,"type":"article-journal","abstract":"BACKGROUND With growing globalization and trade, insect incursions are increasing worldwide. A proportion of incursions involve pests of major economic crops (e.g. Mediterranean fruit fly), conservation value (e.g. tramp ants) or health significance (e.g. mosquitoes), and may be the targets of eradication programmes. Historically, such responses have included the use of broad-spectrum insecticides. However, with increasing public awareness of the negative aspects of pesticides, new environmentally friendly and effective techniques are needed. Here, we review and evaluate a range of selective to broad-spectrum tactical options for suppression which either have, or show potential for, integration within arthropod eradication programmes. RESULTS Most of the available technologies have their roots in pest management, but higher efficacy is required. Further refinement may be needed for use in eradication. Integration of several tactics is usually needed, as compatible tools can be used simultaneously to target different parts of the pest life cycle. However, not all technologies are fully compatible; for example, the simultaneous use of mass trapping and the sterile insect technique (SIT) may be suboptimal, although sequential application may still be effective. CONCLUSIONS Broad-spectrum insecticides are generally incompatible with some biologically based technologies such as the SIT, but may be used to reduce the population so that density-dependent tactics can be used. Several novel technologies with fewer nontarget impacts have been proposed in recent years, and need to be properly evaluated for their applicability to insect eradication. Overall, there are still major gaps in surveillance and selective eradication technologies for most insects. © 2013 Society of Chemical Industry","container-title":"Pest Management Science","DOI":"10.1002/ps.3670","ISSN":"1526-4998","issue":"2","language":"en","note":"_eprint: https://onlinelibrary.wiley.com/doi/pdf/10.1002/ps.3670","page":"179-189","source":"Wiley Online Library","title":"From integrated pest management to integrated pest eradication: technologies and future needs","title-short":"From integrated pest management to integrated pest eradication","URL":"https://onlinelibrary.wiley.com/doi/abs/10.1002/ps.3670","volume":"70","author":[{"family":"Suckling","given":"David M"},{"family":"Stringer","given":"Lloyd D"},{"family":"Stephens","given":"Andrea EA"},{"family":"Woods","given":"Bill"},{"family":"Williams","given":"David G"},{"family":"Baker","given":"Greg"},{"family":"El-Sayed","given":"Ashraf M"}],"accessed":{"date-parts":[["2022",7,3]]},"issued":{"date-parts":[["2014"]]}},"label":"page"}],"schema":"https://github.com/citation-style-language/schema/raw/master/csl-citation.json"} </w:instrText>
      </w:r>
      <w:r w:rsidR="003465DB" w:rsidRPr="00837161">
        <w:fldChar w:fldCharType="separate"/>
      </w:r>
      <w:r w:rsidR="00271B78" w:rsidRPr="00271B78">
        <w:t>(Brockerhoff et al., 2010; Suckling et al., 2014)</w:t>
      </w:r>
      <w:r w:rsidR="003465DB" w:rsidRPr="00837161">
        <w:fldChar w:fldCharType="end"/>
      </w:r>
      <w:r w:rsidR="00B62203" w:rsidRPr="00837161">
        <w:t xml:space="preserve"> </w:t>
      </w:r>
      <w:r w:rsidR="2C82E6B3" w:rsidRPr="00837161">
        <w:t xml:space="preserve">of newly established </w:t>
      </w:r>
      <w:r w:rsidR="009C370C" w:rsidRPr="00837161">
        <w:t xml:space="preserve">alien </w:t>
      </w:r>
      <w:r w:rsidR="2C82E6B3" w:rsidRPr="00837161">
        <w:t xml:space="preserve">species. The general approach is the application of chemical ecology to identify and then manufacture specific pheromones (volatile chemicals used by species </w:t>
      </w:r>
      <w:r w:rsidR="004A68E8">
        <w:t xml:space="preserve">e.g., </w:t>
      </w:r>
      <w:r w:rsidR="2C82E6B3" w:rsidRPr="00837161">
        <w:t xml:space="preserve">in sexual attraction) or other </w:t>
      </w:r>
      <w:r w:rsidR="2A93DAA2" w:rsidRPr="00837161">
        <w:t>semiochem</w:t>
      </w:r>
      <w:r w:rsidR="4E498EFF" w:rsidRPr="00837161">
        <w:t>i</w:t>
      </w:r>
      <w:r w:rsidR="2A93DAA2" w:rsidRPr="00837161">
        <w:t>c</w:t>
      </w:r>
      <w:r w:rsidR="006862FF" w:rsidRPr="00837161">
        <w:t>a</w:t>
      </w:r>
      <w:r w:rsidR="2A93DAA2" w:rsidRPr="00837161">
        <w:t>ls</w:t>
      </w:r>
      <w:r w:rsidR="2C82E6B3" w:rsidRPr="00837161">
        <w:t xml:space="preserve"> that attract the target invasive alien species. These </w:t>
      </w:r>
      <w:r w:rsidR="2A93DAA2" w:rsidRPr="00837161">
        <w:t>chem</w:t>
      </w:r>
      <w:r w:rsidR="2BDFB976" w:rsidRPr="00837161">
        <w:t>i</w:t>
      </w:r>
      <w:r w:rsidR="2A93DAA2" w:rsidRPr="00837161">
        <w:t>cals</w:t>
      </w:r>
      <w:r w:rsidR="2C82E6B3" w:rsidRPr="00837161">
        <w:t xml:space="preserve"> are then distributed in a lure or bait (usually made of material that can store and also slowly release the chemical) inside a trap, such that the target </w:t>
      </w:r>
      <w:r w:rsidR="2C82E6B3" w:rsidRPr="00837161">
        <w:lastRenderedPageBreak/>
        <w:t>species is attracted too and trapped for detection and identification. The distribution of a network of lures in the area where detection is considered most likely provides a detection system (generally attracting males of the species</w:t>
      </w:r>
      <w:r w:rsidR="004A68E8">
        <w:t xml:space="preserve"> to a female sex pheromone</w:t>
      </w:r>
      <w:r w:rsidR="2C82E6B3" w:rsidRPr="00837161">
        <w:t xml:space="preserve">) that is very useful for demonstrating </w:t>
      </w:r>
      <w:r w:rsidR="004A68E8">
        <w:t xml:space="preserve">whether </w:t>
      </w:r>
      <w:r w:rsidR="2C82E6B3" w:rsidRPr="00837161">
        <w:t xml:space="preserve">species (in numbers capable or reproduction) are present/absent and to some degree </w:t>
      </w:r>
      <w:r w:rsidR="004A68E8">
        <w:t xml:space="preserve">determining </w:t>
      </w:r>
      <w:r w:rsidR="2C82E6B3" w:rsidRPr="00837161">
        <w:t xml:space="preserve">species abundance </w:t>
      </w:r>
      <w:r w:rsidR="003465DB" w:rsidRPr="00837161">
        <w:fldChar w:fldCharType="begin"/>
      </w:r>
      <w:r w:rsidR="000F35EB">
        <w:instrText xml:space="preserve"> ADDIN ZOTERO_ITEM CSL_CITATION {"citationID":"0FzQnIW9","properties":{"formattedCitation":"(R. A. Hayes et al., 2016; Suckling, 2015)","plainCitation":"(R. A. Hayes et al., 2016; Suckling, 2015)","noteIndex":0},"citationItems":[{"id":52544,"uris":["http://zotero.org/groups/2352922/items/9VYBFHZP"],"itemData":{"id":52544,"type":"article-journal","abstract":"The cerambycid beetles comprise a diverse family that includes many economically important pests of living and dead trees. Pheromone lures have been developed for cerambycids in many parts of the world, but to date, have not been tested in Australia. In this study, we tested the efficacy of several pheromones, identified from North American and European species, as attractants for cerambycids at three sites in southeast Queensland, Australia. Over two field seasons, we trapped 863 individuals from 47 cerambycid species. In the first season, racemic 3-hydroxyhexan-2-one was the most attractive compound among the eight pheromones tested. Subsequently, we aimed to optimize trapping success by combining this compound with other components. However, neither the addition of other pheromone components nor host plant volatiles improved the efficacy of 3-hydroxyhexan-2-one alone. We also tested a generic pheromone blend developed for North American cerambycids, and found that only the combination of this blend with host plant volatiles improved trapping success. The Australian cerambycid fauna is not well known, and effective lures for use in trapping beetles would greatly assist in the study of this important group. Effective semiochemical lures would also have implications for biosecurity through improved monitoring for invasive species.","container-title":"Journal of Economic Entomology","DOI":"10.1093/jee/tow100","ISSN":"0022-0493","issue":"4","journalAbbreviation":"Journal of Economic Entomology","page":"1741-1749","source":"Silverchair","title":"Optimizing Generic Cerambycid Pheromone Lures for Australian Biosecurity and Biodiversity Monitoring","URL":"https://doi.org/10.1093/jee/tow100","volume":"109","author":[{"family":"Hayes","given":"R. A."},{"family":"Griffiths","given":"M. W."},{"family":"Nahrung","given":"H. F."},{"family":"Arnold","given":"P. A."},{"family":"Hanks","given":"L. M."},{"family":"Millar","given":"J. G."}],"accessed":{"date-parts":[["2022",7,3]]},"issued":{"date-parts":[["2016",8,1]]}},"label":"page"},{"id":15392,"uris":["http://zotero.org/groups/2352922/items/9ZU4452V"],"itemData":{"id":15392,"type":"article-journal","abstract":"Biosecurity covers both long-term management of existing pests and the urgent government responses to alien invasive species which have yet to become fully established. Mating disruption, mass trapping and lure and kill systems all have potential to be used in pest management and against new incursions of certain types of organisms, predominantly moths and beetles. Straight chained lepidopteran sex pheromones have emerged as a source of potential market advantage in pest management, with trapping systems and residue-free multiple species disruption systems being increasingly adopted to reduce insecticide use and meet private stabndard. Semiochemicals can also offer new surveillance tools in pre-border biosecurity, greatly improving the chances for successful eradication of alien invasive species. However, a rising frequency of incursions of alien invasive species and consequent rise in official eradication programs due to globalisation points strongly to the need for further investment in the areas of discovery and development of surveillance and eradication technologies, from a sound knowledge of chemical ecology.","container-title":"Frontiers in Ecology and Evolution","DOI":"10.3389/fevo.2015.00017","ISSN":"2296-701X","journalAbbreviation":"Front. Ecol. Evol.","language":"English","source":"Frontiers","title":"Can we replace toxicants, achieve biosecurity, and generate market position with semiochemicals?","URL":"https://www.frontiersin.org/articles/10.3389/fevo.2015.00017/full","volume":"3","author":[{"family":"Suckling","given":"David M."}],"accessed":{"date-parts":[["2019",9,27]]},"issued":{"date-parts":[["2015"]]}},"label":"page"}],"schema":"https://github.com/citation-style-language/schema/raw/master/csl-citation.json"} </w:instrText>
      </w:r>
      <w:r w:rsidR="003465DB" w:rsidRPr="00837161">
        <w:fldChar w:fldCharType="separate"/>
      </w:r>
      <w:r w:rsidR="00271B78" w:rsidRPr="00271B78">
        <w:t>(R. A. Hayes et al., 2016; Suckling, 2015)</w:t>
      </w:r>
      <w:r w:rsidR="003465DB" w:rsidRPr="00837161">
        <w:fldChar w:fldCharType="end"/>
      </w:r>
      <w:r w:rsidR="2C82E6B3" w:rsidRPr="00837161">
        <w:t>.</w:t>
      </w:r>
      <w:r w:rsidRPr="00C0338D">
        <w:t xml:space="preserve"> </w:t>
      </w:r>
    </w:p>
    <w:p w14:paraId="000002D5" w14:textId="69102254" w:rsidR="00A758FD" w:rsidRPr="00C0338D" w:rsidRDefault="00C81287" w:rsidP="00B06042">
      <w:pPr>
        <w:pStyle w:val="Heading4"/>
      </w:pPr>
      <w:r w:rsidRPr="00C0338D">
        <w:t>Acoustic/ultra-sound sensors</w:t>
      </w:r>
    </w:p>
    <w:p w14:paraId="56DC54CF" w14:textId="2B01F092" w:rsidR="001B0409" w:rsidRPr="00837161" w:rsidRDefault="001B0409" w:rsidP="00C11DFA">
      <w:pPr>
        <w:spacing w:before="240" w:after="120" w:line="240" w:lineRule="auto"/>
      </w:pPr>
      <w:bookmarkStart w:id="358" w:name="_heading=h.45jfvxd" w:colFirst="0" w:colLast="0"/>
      <w:bookmarkEnd w:id="358"/>
      <w:r w:rsidRPr="00837161">
        <w:t>Ultra</w:t>
      </w:r>
      <w:r w:rsidR="009034D8" w:rsidRPr="00837161">
        <w:t xml:space="preserve">-sound and acoustic </w:t>
      </w:r>
      <w:r w:rsidR="00BA73C3" w:rsidRPr="00837161">
        <w:t xml:space="preserve">surveillance </w:t>
      </w:r>
      <w:r w:rsidR="009034D8" w:rsidRPr="00837161">
        <w:t>device</w:t>
      </w:r>
      <w:r w:rsidR="004A68E8">
        <w:t>s</w:t>
      </w:r>
      <w:r w:rsidR="009034D8" w:rsidRPr="00837161">
        <w:t xml:space="preserve"> can</w:t>
      </w:r>
      <w:r w:rsidRPr="00837161">
        <w:t xml:space="preserve"> be used to detect target invasive alien animals</w:t>
      </w:r>
      <w:r w:rsidR="001B7FE1" w:rsidRPr="00837161">
        <w:t xml:space="preserve"> </w:t>
      </w:r>
      <w:r w:rsidRPr="00837161">
        <w:fldChar w:fldCharType="begin"/>
      </w:r>
      <w:r w:rsidR="000F35EB">
        <w:instrText xml:space="preserve"> ADDIN ZOTERO_ITEM CSL_CITATION {"citationID":"GyjX9DXU","properties":{"formattedCitation":"(Demertzis et al., 2017; Jurdak et al., 2015)","plainCitation":"(Demertzis et al., 2017; Jurdak et al., 2015)","noteIndex":0},"citationItems":[{"id":31001,"uris":["http://zotero.org/groups/2352922/items/P545SWME"],"itemData":{"id":31001,"type":"paper-conference","abstract":"Prolonged and sustained warming of the sea, acidification of surface water and rising of sea levels, creates significant habitat losses, resulting in the proliferation and spread of invasive species which immigrate to foreign regions seeking colder climate conditions. This is happening either because their natural habitat does not satisfy the temperature range in which they can survive, or because they are just following their food. This has negative consequences not only for the environment and biodiversity but for the socioeconomic status of the areas and for the human health. This research aims in the development of an advanced Machine Hearing system towards the automated recognition of invasive fish species based on their sounds. The proposed system uses the Spiking Convolutional Neural Network algorithm which cooperates with Geo Location Based Services. It is capable to correctly classify the typical local fish inhabitants from the invasive ones.","container-title":"2017 IEEE International Conference on Innovations in Intelligent Systems and Applications (INISTA)","DOI":"10.1109/INISTA.2017.8001126","event-place":"Gdynia, Poland","event-title":"2017 IEEE International Conference on INnovations in Intelligent SysTems and Applications (INISTA)","ISBN":"978-1-5090-5795-5","language":"en","page":"23-28","publisher":"IEEE","publisher-place":"Gdynia, Poland","source":"DOI.org (Crossref)","title":"A deep spiking machine-hearing system for the case of invasive fish species","URL":"http://ieeexplore.ieee.org/document/8001126/","author":[{"family":"Demertzis","given":"Konstantinos"},{"family":"Iliadis","given":"Lazaros"},{"family":"Anezakis","given":"Vardis-Dimitris"}],"accessed":{"date-parts":[["2021",10,28]]},"issued":{"date-parts":[["2017",7]]}},"label":"page"},{"id":29769,"uris":["http://zotero.org/groups/2352922/items/6CJENS8D"],"itemData":{"id":29769,"type":"article-journal","abstract":"The global movement of people and goods has increased the risk of biosecurity threats and their potential to incur large economic, social, and environmental costs. Conventional manual biosecurity surveillance methods are limited by their scalability in space and time. This article focuses on autonomous surveillance systems, comprising sensor networks, robots, and intelligent algorithms, and their applicability to biosecurity threats. We discuss the spatial and temporal attributes of autonomous surveillance technologies and map them to three broad categories of biosecurity threat: (i) vector-borne diseases; (ii) plant pests; and (iii) aquatic pests. Our discussion reveals a broad range of opportunities to serve biosecurity needs through autonomous surveillance.","container-title":"Trends in Biotechnology","DOI":"10.1016/j.tibtech.2015.01.003","ISSN":"0167-7799","issue":"4","journalAbbreviation":"Trends in Biotechnology","language":"en","page":"201-207","source":"ScienceDirect","title":"Autonomous surveillance for biosecurity","URL":"http://www.sciencedirect.com/science/article/pii/S0167779915000190","volume":"33","author":[{"family":"Jurdak","given":"Raja"},{"family":"Elfes","given":"Alberto"},{"family":"Kusy","given":"Branislav"},{"family":"Tews","given":"Ashley"},{"family":"Hu","given":"Wen"},{"family":"Hernandez","given":"Emili"},{"family":"Kottege","given":"Navinda"},{"family":"Sikka","given":"Pavan"}],"accessed":{"date-parts":[["2019",12,9]]},"issued":{"date-parts":[["2015",4,1]]}},"label":"page"}],"schema":"https://github.com/citation-style-language/schema/raw/master/csl-citation.json"} </w:instrText>
      </w:r>
      <w:r w:rsidRPr="00837161">
        <w:fldChar w:fldCharType="separate"/>
      </w:r>
      <w:r w:rsidR="00271B78" w:rsidRPr="00271B78">
        <w:t>(Demertzis et al., 2017; Jurdak et al., 2015)</w:t>
      </w:r>
      <w:r w:rsidRPr="00837161">
        <w:fldChar w:fldCharType="end"/>
      </w:r>
      <w:r w:rsidRPr="00837161">
        <w:t xml:space="preserve">. Performance is affected by many factors </w:t>
      </w:r>
      <w:r w:rsidR="00F84FCF" w:rsidRPr="00837161">
        <w:t>including</w:t>
      </w:r>
      <w:r w:rsidRPr="00837161">
        <w:t xml:space="preserve"> the sensor type and frequency used, the size and behaviour of the target, the distance between the target and the sensor, the sampling time</w:t>
      </w:r>
      <w:r w:rsidR="00C16EEB">
        <w:t xml:space="preserve"> and</w:t>
      </w:r>
      <w:r w:rsidRPr="00837161">
        <w:t xml:space="preserve"> the structure of the substrate where the target is found. </w:t>
      </w:r>
      <w:bookmarkStart w:id="359" w:name="_Hlk114735105"/>
      <w:r w:rsidRPr="00837161">
        <w:t xml:space="preserve">Some invasive alien animals produce diagnostic sounds and there are a range of acoustic, sound and vibration sensors commercially available. </w:t>
      </w:r>
      <w:bookmarkEnd w:id="359"/>
      <w:r w:rsidRPr="00837161">
        <w:t>Beyond this</w:t>
      </w:r>
      <w:r w:rsidR="06844EF3" w:rsidRPr="00837161">
        <w:t>,</w:t>
      </w:r>
      <w:r w:rsidRPr="00837161">
        <w:t xml:space="preserve"> investment may be needed to determine the suitability acoustics for different invasive alien animals in different contexts and to build the digital platforms for data collection and analytics. </w:t>
      </w:r>
      <w:r w:rsidR="00970091" w:rsidRPr="00837161">
        <w:t xml:space="preserve">For marine species identification, an advanced machine hearing framework can be applied to target invasive alien species based on the sound they produce. The hearing framework uses two effective machine learning algorithms, the online sequential multilayer and the graph </w:t>
      </w:r>
      <w:r w:rsidR="37D236A2" w:rsidRPr="00837161">
        <w:t>regular</w:t>
      </w:r>
      <w:r w:rsidR="4C3462D5" w:rsidRPr="00837161">
        <w:t>i</w:t>
      </w:r>
      <w:r w:rsidR="0FEDC361" w:rsidRPr="00837161">
        <w:t>z</w:t>
      </w:r>
      <w:r w:rsidR="37D236A2" w:rsidRPr="00837161">
        <w:t>ed</w:t>
      </w:r>
      <w:r w:rsidR="00970091" w:rsidRPr="00837161">
        <w:t xml:space="preserve"> extreme learning machine autoencoder that provides a higher level of generali</w:t>
      </w:r>
      <w:r w:rsidR="00D82DEE" w:rsidRPr="00837161">
        <w:t>z</w:t>
      </w:r>
      <w:r w:rsidR="00970091" w:rsidRPr="00837161">
        <w:t xml:space="preserve">ation </w:t>
      </w:r>
      <w:r w:rsidRPr="00837161">
        <w:fldChar w:fldCharType="begin"/>
      </w:r>
      <w:r w:rsidR="000F35EB">
        <w:instrText xml:space="preserve"> ADDIN ZOTERO_ITEM CSL_CITATION {"citationID":"MT3D6uLt","properties":{"formattedCitation":"(Demertzis et al., 2018)","plainCitation":"(Demertzis et al., 2018)","noteIndex":0},"citationItems":[{"id":31143,"uris":["http://zotero.org/groups/2352922/items/I5BQD5ID"],"itemData":{"id":31143,"type":"article-journal","abstract":"Biosafety is defined as a set of preventive measures aimed at reducing the risk of infectious diseases’ spread to crops and animals, by providing quarantine pesticides. Prolonged and sustained overheating of the sea, creates significant habitat losses, resulting in the proliferation and spread of invasive species, which invade foreign areas typically seeking colder climate. This is one of the most important modern threats to marine biosafety. The research effort presented herein, proposes an innovative approach for Marine Species Identification, by employing an advanced intelligent Machine Hearing Framework (MHF). The final target is the identification of invasive alien species (IAS) based on the sounds they produce. This classification attempt, can provide significant aid towards the protection of biodiversity, and can achieve overall regional biosecurity. Hearing recognition is performed by using the Online Sequential Multilayer Graph Regularized Extreme Learning Machine Autoencoder (MIGRATE_ELM). The MIGRATE_ELM uses an innovative Deep Learning algorithm (DELE) that is applied for the first time for the above purpose. The assignment of the corresponding class ‘native’ or ‘invasive’ in its locality, is carried out by an equally innovative approach entitled ‘Geo Location Country Based Service’ that has been proposed by our research team.","container-title":"Journal of Information and Telecommunication","DOI":"10.1080/24751839.2018.1501542","ISSN":"2475-1839","issue":"4","note":"publisher: Taylor &amp; Francis\n_eprint: https://doi.org/10.1080/24751839.2018.1501542","page":"492-510","source":"Taylor and Francis+NEJM","title":"Extreme deep learning in biosecurity: the case of machine hearing for marine species identification","title-short":"Extreme deep learning in biosecurity","URL":"https://doi.org/10.1080/24751839.2018.1501542","volume":"2","author":[{"family":"Demertzis","given":"Konstantinos"},{"family":"Iliadis","given":"Lazaros S."},{"family":"Anezakis","given":"Vardis-Dimitris"}],"accessed":{"date-parts":[["2021",10,28]]},"issued":{"date-parts":[["2018",10,2]]}},"label":"page"}],"schema":"https://github.com/citation-style-language/schema/raw/master/csl-citation.json"} </w:instrText>
      </w:r>
      <w:r w:rsidRPr="00837161">
        <w:fldChar w:fldCharType="separate"/>
      </w:r>
      <w:r w:rsidR="00271B78" w:rsidRPr="00271B78">
        <w:t>(Demertzis et al., 2018)</w:t>
      </w:r>
      <w:r w:rsidRPr="00837161">
        <w:fldChar w:fldCharType="end"/>
      </w:r>
      <w:r w:rsidR="00970091" w:rsidRPr="00837161">
        <w:t>. Checking whether the recogni</w:t>
      </w:r>
      <w:r w:rsidR="00814B7A" w:rsidRPr="00837161">
        <w:t>z</w:t>
      </w:r>
      <w:r w:rsidR="00970091" w:rsidRPr="00837161">
        <w:t xml:space="preserve">ed species is native to its locality or not is carried out by using global positioning systems </w:t>
      </w:r>
      <w:r w:rsidR="005B4F61" w:rsidRPr="00837161">
        <w:fldChar w:fldCharType="begin"/>
      </w:r>
      <w:r w:rsidR="000F35EB">
        <w:instrText xml:space="preserve"> ADDIN ZOTERO_ITEM CSL_CITATION {"citationID":"e108nCpc","properties":{"formattedCitation":"(Demertzis et al., 2018)","plainCitation":"(Demertzis et al., 2018)","noteIndex":0},"citationItems":[{"id":31143,"uris":["http://zotero.org/groups/2352922/items/I5BQD5ID"],"itemData":{"id":31143,"type":"article-journal","abstract":"Biosafety is defined as a set of preventive measures aimed at reducing the risk of infectious diseases’ spread to crops and animals, by providing quarantine pesticides. Prolonged and sustained overheating of the sea, creates significant habitat losses, resulting in the proliferation and spread of invasive species, which invade foreign areas typically seeking colder climate. This is one of the most important modern threats to marine biosafety. The research effort presented herein, proposes an innovative approach for Marine Species Identification, by employing an advanced intelligent Machine Hearing Framework (MHF). The final target is the identification of invasive alien species (IAS) based on the sounds they produce. This classification attempt, can provide significant aid towards the protection of biodiversity, and can achieve overall regional biosecurity. Hearing recognition is performed by using the Online Sequential Multilayer Graph Regularized Extreme Learning Machine Autoencoder (MIGRATE_ELM). The MIGRATE_ELM uses an innovative Deep Learning algorithm (DELE) that is applied for the first time for the above purpose. The assignment of the corresponding class ‘native’ or ‘invasive’ in its locality, is carried out by an equally innovative approach entitled ‘Geo Location Country Based Service’ that has been proposed by our research team.","container-title":"Journal of Information and Telecommunication","DOI":"10.1080/24751839.2018.1501542","ISSN":"2475-1839","issue":"4","note":"publisher: Taylor &amp; Francis\n_eprint: https://doi.org/10.1080/24751839.2018.1501542","page":"492-510","source":"Taylor and Francis+NEJM","title":"Extreme deep learning in biosecurity: the case of machine hearing for marine species identification","title-short":"Extreme deep learning in biosecurity","URL":"https://doi.org/10.1080/24751839.2018.1501542","volume":"2","author":[{"family":"Demertzis","given":"Konstantinos"},{"family":"Iliadis","given":"Lazaros S."},{"family":"Anezakis","given":"Vardis-Dimitris"}],"accessed":{"date-parts":[["2021",10,28]]},"issued":{"date-parts":[["2018",10,2]]}},"label":"page"}],"schema":"https://github.com/citation-style-language/schema/raw/master/csl-citation.json"} </w:instrText>
      </w:r>
      <w:r w:rsidR="005B4F61" w:rsidRPr="00837161">
        <w:fldChar w:fldCharType="separate"/>
      </w:r>
      <w:r w:rsidR="00271B78" w:rsidRPr="00271B78">
        <w:t>(Demertzis et al., 2018)</w:t>
      </w:r>
      <w:r w:rsidR="005B4F61" w:rsidRPr="00837161">
        <w:fldChar w:fldCharType="end"/>
      </w:r>
      <w:r w:rsidR="00A42524" w:rsidRPr="00837161">
        <w:t xml:space="preserve">. </w:t>
      </w:r>
      <w:r w:rsidRPr="00837161">
        <w:t xml:space="preserve">There may </w:t>
      </w:r>
      <w:r w:rsidR="0056085D" w:rsidRPr="00837161">
        <w:t>also</w:t>
      </w:r>
      <w:r w:rsidRPr="00837161">
        <w:t xml:space="preserve"> be some utility for niche applications such as detection of invasive </w:t>
      </w:r>
      <w:r w:rsidR="009C370C" w:rsidRPr="00837161">
        <w:t xml:space="preserve">alien </w:t>
      </w:r>
      <w:r w:rsidRPr="00837161">
        <w:t xml:space="preserve">insects in containers, which would be supported by a large body of research on stored grain pest detection and pests in timber </w:t>
      </w:r>
      <w:r w:rsidRPr="00837161">
        <w:fldChar w:fldCharType="begin"/>
      </w:r>
      <w:r w:rsidR="000F35EB">
        <w:instrText xml:space="preserve"> ADDIN ZOTERO_ITEM CSL_CITATION {"citationID":"IPZOABRN","properties":{"formattedCitation":"(Zahid et al., 2012)","plainCitation":"(Zahid et al., 2012)","noteIndex":0},"citationItems":[{"id":29536,"uris":["http://zotero.org/groups/2352922/items/3IWP3MAU"],"itemData":{"id":29536,"type":"article-journal","abstract":"Lack of accurate tools for detecting insect infestation in timber remains a big challenge for pest management authorities. Seven non-destructive insect detection technologies were used to assess their effectiveness in detecting insect borers and termites in timber samples. These technologies were: Termatrac†; Tramex Moisture tester; Acoustic Emission Device (AED-200L†); X-ray, thermal imaging camera; a termite detector dog; and trained quarantine inspectors using standard visual inspection (VI). The timber samples of Acacia parramattensis and Acacia decurrens used for the trial were naturally infested timber branches; timber blocks inoculated with lyctine beetles; timber blocks naturally infested with termites; and un-infested controls. All timber samples used were destructively sampled at the end of the trial to confirm the presence or absence of insects. The detector dog was 100% effective in detecting natural infested termite colonies but was totally ineffective in detecting termites on artificially inoculated timber blocks. The moisture metre and the thermal image camera were 100% effective in detecting large termite colonies but ineffective in detecting other insects in dry timber samples. The effectiveness of other methods of detecting insects or termites varied considerably. The AED was 79% effective, Termatrac 70%, X-ray 40% and VI 35%. Implications of these findings for quarantine and inspection purposes are discussed.","container-title":"Scandinavian Journal of Forest Research","DOI":"10.1080/02827581.2012.657801","ISSN":"0282-7581, 1651-1891","issue":"5","journalAbbreviation":"Scandinavian Journal of Forest Research","language":"en","page":"492-502","source":"DOI.org (Crossref)","title":"Assessment of technologies and dogs for detecting insect pests in timber and forest products","URL":"http://www.tandfonline.com/doi/abs/10.1080/02827581.2012.657801","volume":"27","author":[{"family":"Zahid","given":"Iqbal"},{"family":"Grgurinovic","given":"Cheryl"},{"family":"Zaman","given":"Tarik"},{"family":"De Keyzer","given":"Roger"},{"family":"Cayzer","given":"Lindy"}],"accessed":{"date-parts":[["2021",8,4]]},"issued":{"date-parts":[["2012",7]]}},"label":"page"}],"schema":"https://github.com/citation-style-language/schema/raw/master/csl-citation.json"} </w:instrText>
      </w:r>
      <w:r w:rsidRPr="00837161">
        <w:fldChar w:fldCharType="separate"/>
      </w:r>
      <w:r w:rsidR="00271B78" w:rsidRPr="00271B78">
        <w:t>(Zahid et al., 2012)</w:t>
      </w:r>
      <w:r w:rsidRPr="00837161">
        <w:fldChar w:fldCharType="end"/>
      </w:r>
      <w:r w:rsidRPr="00837161">
        <w:t>. Bioacoustic sensor networks have been developed and</w:t>
      </w:r>
      <w:r w:rsidR="28626817" w:rsidRPr="00837161">
        <w:t xml:space="preserve"> </w:t>
      </w:r>
      <w:r w:rsidRPr="00837161">
        <w:t>deployed to de</w:t>
      </w:r>
      <w:r w:rsidR="006A1BC3" w:rsidRPr="00837161">
        <w:t>tect invasive</w:t>
      </w:r>
      <w:r w:rsidR="009C370C" w:rsidRPr="00837161">
        <w:t xml:space="preserve"> alien</w:t>
      </w:r>
      <w:r w:rsidR="006A1BC3" w:rsidRPr="00837161">
        <w:t xml:space="preserve"> frogs (</w:t>
      </w:r>
      <w:r w:rsidR="000E3A20" w:rsidRPr="00837161">
        <w:rPr>
          <w:i/>
        </w:rPr>
        <w:t>Rhinella marina</w:t>
      </w:r>
      <w:r w:rsidR="000E3A20" w:rsidRPr="00837161">
        <w:t xml:space="preserve"> (</w:t>
      </w:r>
      <w:r w:rsidR="006A1BC3" w:rsidRPr="00837161">
        <w:t>cane toad</w:t>
      </w:r>
      <w:r w:rsidR="000E3A20" w:rsidRPr="00837161">
        <w:t>)</w:t>
      </w:r>
      <w:r w:rsidR="006A1BC3" w:rsidRPr="00837161">
        <w:t>;</w:t>
      </w:r>
      <w:r w:rsidRPr="00837161">
        <w:t xml:space="preserve"> </w:t>
      </w:r>
      <w:r w:rsidRPr="00837161">
        <w:fldChar w:fldCharType="begin"/>
      </w:r>
      <w:r w:rsidR="000F35EB">
        <w:instrText xml:space="preserve"> ADDIN ZOTERO_ITEM CSL_CITATION {"citationID":"lUBth9wG","properties":{"formattedCitation":"(Hu et al., 2009)","plainCitation":"(Hu et al., 2009)","dontUpdate":true,"noteIndex":0},"citationItems":[{"id":29755,"uris":["http://zotero.org/groups/2352922/items/5SY7E27Y"],"itemData":{"id":29755,"type":"article-journal","abstract":"This article investigates a wireless acoustic sensor network application—monitoring amphibian populations in the monsoonal woodlands of northern Australia. Our goal is to use automatic recognition of animal vocalizations to census the populations of native frogs and the invasive introduced species, the cane toad. This is a challenging application because it requires high frequency acoustic sampling, complex signal processing, wide area sensing coverage and long-lived unattended operation. We set up two prototypes of wireless sensor networks that recognize vocalizations of up to ninth frog species found in northern Australia. Our first prototype consists of only resource-rich Stargate devices. Our second prototype is more complex and consists of a hybrid mixture of Stargates and inexpensive, resource-poor Mica2 devices operating in concert. In the hybrid system, the Mica2s are used to collect acoustic samples, and expand the sensor network coverage. The Stargates are used for resource-intensive tasks such as fast Fourier transforms (FFTs) and machine learning. The hybrid system incorporates four algorithms designed to account for the sampling, processing, energy, and communication bottlenecks of the Mica2s (1) high frequency sampling, (2) thresholding and noise reduction, to reduce data transmission by up to 90%, (3) sampling scheduling, which exploits the sensor network redundancy to increase the effective sample processing rate, and (4) harvesting-aware energy management, which exploits sensor energy harvesting capabilities to extend the system lifetime. Our evaluation shows the performance of our systems over a range of scenarios, and demonstrate that the feasibility and benefits of a hybrid systems approach justify the additional system complexity.","container-title":"ACM Transactions on Sensor Networks","DOI":"10.1145/1464420.1464424","ISSN":"1550-4859","issue":"1","journalAbbreviation":"ACM Trans. Sen. Netw.","page":"4:1–4:28","source":"February 2009","title":"Design and evaluation of a hybrid sensor network for cane toad monitoring","URL":"https://doi.org/10.1145/1464420.1464424","volume":"5","author":[{"family":"Hu","given":"Wen"},{"family":"Bulusu","given":"Nirupama"},{"family":"Chou","given":"Chun Tung"},{"family":"Jha","given":"Sanjay"},{"family":"Taylor","given":"Andrew"},{"family":"Tran","given":"Van Nghia"}],"accessed":{"date-parts":[["2021",8,4]]},"issued":{"date-parts":[["2009",2,11]]}},"label":"page"}],"schema":"https://github.com/citation-style-language/schema/raw/master/csl-citation.json"} </w:instrText>
      </w:r>
      <w:r w:rsidRPr="00837161">
        <w:fldChar w:fldCharType="separate"/>
      </w:r>
      <w:r w:rsidR="00F500D2" w:rsidRPr="00837161">
        <w:t>Hu et al., 2009)</w:t>
      </w:r>
      <w:r w:rsidRPr="00837161">
        <w:fldChar w:fldCharType="end"/>
      </w:r>
      <w:r w:rsidRPr="00837161">
        <w:t xml:space="preserve"> and invasive fish </w:t>
      </w:r>
      <w:r w:rsidRPr="00837161">
        <w:fldChar w:fldCharType="begin"/>
      </w:r>
      <w:r w:rsidR="000F35EB">
        <w:instrText xml:space="preserve"> ADDIN ZOTERO_ITEM CSL_CITATION {"citationID":"L5fWUc27","properties":{"formattedCitation":"(Kottege et al., 2012)","plainCitation":"(Kottege et al., 2012)","noteIndex":0},"citationItems":[{"id":29762,"uris":["http://zotero.org/groups/2352922/items/BKUATI7F"],"itemData":{"id":29762,"type":"paper-conference","abstract":"Large scale freshwater monitoring networks can passively capture sound for species detection or classification. The sheer volume of acoustic recordings in such systems requires in-network classification. Most of the recent work on bio-acoustic in-network classification targets narrowband or short-durations signals, which renders it unsuitable for classifying species that emit broadband short-duration signals. This paper proposes a method for broadband sound based classification for large scale aquatic monitoring networks. The method is based on the extraction of a small set of spectral and temporal features. We collect empirical fish sounds, using the case study of the spotted tilapia (Tilapia mariae) which is an invasive freshwater fish species in Australia, and extract spectral and temporal features with our method. We then evaluate the classification accuracy and precision of these features for detecting tilapia sounds against the performance of existing narrowband sound features. The results show that using logistic regression with our limited feature set yields the best performance. Surprisingly, performance slightly improves when we downsample the signal from 44.1 to 16 kHz, indicating that our method is well-suited for classification on embedded devices. We quantify the computational benefits of our approach for enabling broader long-term in-situ species tracking in underwater environments.","collection-title":"WUWNet '12","container-title":"Proceedings of the Seventh ACM International Conference on Underwater Networks and Systems","DOI":"10.1145/2398936.2398961","event-place":"New York, NY, USA","ISBN":"978-1-4503-1773-3","note":"event-place: Los Angeles, California","page":"19:1–19:8","publisher":"ACM","publisher-place":"New York, NY, USA","source":"ACM Digital Library","title":"Classification of Underwater Broadband Bio-acoustics Using Spectro-temporal Features","URL":"http://doi.acm.org/10.1145/2398936.2398961","author":[{"family":"Kottege","given":"Navinda"},{"family":"Kroon","given":"Frederieke"},{"family":"Jurdak","given":"Raja"},{"family":"Jones","given":"Dean"}],"accessed":{"date-parts":[["2019",12,9]]},"issued":{"date-parts":[["2012"]]}},"label":"page"}],"schema":"https://github.com/citation-style-language/schema/raw/master/csl-citation.json"} </w:instrText>
      </w:r>
      <w:r w:rsidRPr="00837161">
        <w:fldChar w:fldCharType="separate"/>
      </w:r>
      <w:r w:rsidR="00271B78" w:rsidRPr="00271B78">
        <w:t>(Kottege et al., 2012)</w:t>
      </w:r>
      <w:r w:rsidRPr="00837161">
        <w:fldChar w:fldCharType="end"/>
      </w:r>
      <w:r w:rsidRPr="00837161">
        <w:t xml:space="preserve"> from their calls.</w:t>
      </w:r>
    </w:p>
    <w:p w14:paraId="000002D7" w14:textId="77777777" w:rsidR="00A758FD" w:rsidRPr="00C0338D" w:rsidRDefault="00C81287" w:rsidP="00B06042">
      <w:pPr>
        <w:pStyle w:val="Heading4"/>
      </w:pPr>
      <w:r w:rsidRPr="00C0338D">
        <w:t xml:space="preserve">Point of Care / Lab on a chip, rapid test diagnostics </w:t>
      </w:r>
    </w:p>
    <w:p w14:paraId="000002D8" w14:textId="2F5DA5F8" w:rsidR="00A758FD" w:rsidRPr="00C0338D" w:rsidRDefault="00C81287">
      <w:pPr>
        <w:spacing w:before="240" w:after="120" w:line="240" w:lineRule="auto"/>
      </w:pPr>
      <w:r w:rsidRPr="00C0338D">
        <w:t>Handheld rapid diagnostic test platform Point-of-Care (PoC) diagnostics</w:t>
      </w:r>
      <w:r w:rsidR="004A68E8">
        <w:t xml:space="preserve"> and </w:t>
      </w:r>
      <w:r w:rsidRPr="00C0338D">
        <w:t xml:space="preserve">Lab on a chip (LoC) are becoming increasingly common </w:t>
      </w:r>
      <w:r w:rsidR="000B0E58">
        <w:t>to diagnose</w:t>
      </w:r>
      <w:r w:rsidR="000B0E58" w:rsidRPr="00C0338D">
        <w:t xml:space="preserve"> </w:t>
      </w:r>
      <w:r w:rsidRPr="00C0338D">
        <w:t xml:space="preserve">human </w:t>
      </w:r>
      <w:r w:rsidR="12C07B71" w:rsidRPr="00837161">
        <w:fldChar w:fldCharType="begin"/>
      </w:r>
      <w:r w:rsidR="000F35EB">
        <w:instrText xml:space="preserve"> ADDIN ZOTERO_ITEM CSL_CITATION {"citationID":"8CUHR8xT","properties":{"formattedCitation":"(Ricc\\uc0\\u242{} et al., 2020)","plainCitation":"(Riccò et al., 2020)","noteIndex":0},"citationItems":[{"id":30745,"uris":["http://zotero.org/groups/2352922/items/JE44FYU4"],"itemData":{"id":30745,"type":"article-journal","abstract":"SARS-CoV-2 is responsible for a highly contagious infection, known as COVID-19. SARS-CoV-2 was discovered in late December 2019 and, since then, has become a global pandemic. Timely and accurate COVID-19 laboratory testing is an essential step in the management of the COVID-19 outbreak. To date, assays based on the reverse-transcription polymerase chain reaction (RT-PCR) in respiratory samples are the gold standard for COVID-19 diagnosis. Unfortunately, RT-PCR has several practical limitations. Consequently, alternative diagnostic methods are urgently required, both for alleviating the pressure on laboratories and healthcare facilities and for expanding testing capacity to enable large-scale screening and ensure a timely therapeutic intervention. To date, few studies have been conducted concerning the potential utilization of rapid testing for COVID-19, with some conflicting results. Therefore, the present systematic review and meta-analysis was undertaken to explore the feasibility of rapid diagnostic tests in the management of the COVID-19 outbreak. Based on ten studies, we computed a pooled sensitivity of 64.8% (95%CI 54.5&amp;ndash;74.0), and specificity of 98.0% (95%CI 95.8&amp;ndash;99.0), with high heterogeneity and risk of reporting bias. We can conclude that: (1) rapid diagnostic tests for COVID-19 are necessary, but should be adequately sensitive and specific; (2) few studies have been carried out to date; (3) the studies included are characterized by low numbers and low sample power, and (4) in light of these results, the use of available tests is currently questionable for clinical purposes and cannot substitute other more reliable molecular tests, such as assays based on RT-PCR.","container-title":"Journal of Clinical Medicine","DOI":"10.3390/jcm9051515","issue":"5","language":"en","license":"http://creativecommons.org/licenses/by/3.0/","note":"publisher: Multidisciplinary Digital Publishing Institute","page":"1515","source":"www.mdpi.com","title":"Point-of-Care Diagnostic Tests for Detecting SARS-CoV-2 Antibodies: A Systematic Review and Meta-Analysis of Real-World Data","title-short":"Point-of-Care Diagnostic Tests for Detecting SARS-CoV-2 Antibodies","URL":"https://www.mdpi.com/2077-0383/9/5/1515","volume":"9","author":[{"family":"Riccò","given":"Matteo"},{"family":"Ferraro","given":"Pietro"},{"family":"Gualerzi","given":"Giovanni"},{"family":"Ranzieri","given":"Silvia"},{"family":"Henry","given":"Brandon Michael"},{"family":"Said","given":"Younes Ben"},{"family":"Pyatigorskaya","given":"Natalia Valeryevna"},{"family":"Nevolina","given":"Elena"},{"family":"Wu","given":"Jianhong"},{"family":"Bragazzi","given":"Nicola Luigi"},{"family":"Signorelli","given":"Carlo"}],"accessed":{"date-parts":[["2021",10,28]]},"issued":{"date-parts":[["2020",5]]}},"label":"page"}],"schema":"https://github.com/citation-style-language/schema/raw/master/csl-citation.json"} </w:instrText>
      </w:r>
      <w:r w:rsidR="12C07B71" w:rsidRPr="00837161">
        <w:fldChar w:fldCharType="separate"/>
      </w:r>
      <w:r w:rsidR="00271B78" w:rsidRPr="00271B78">
        <w:t>(Riccò et al., 2020)</w:t>
      </w:r>
      <w:r w:rsidR="12C07B71" w:rsidRPr="00837161">
        <w:fldChar w:fldCharType="end"/>
      </w:r>
      <w:r w:rsidR="001B0409" w:rsidRPr="00767086">
        <w:rPr>
          <w:lang w:val="es-ES"/>
        </w:rPr>
        <w:t xml:space="preserve">, animal </w:t>
      </w:r>
      <w:r w:rsidR="12C07B71" w:rsidRPr="00837161">
        <w:fldChar w:fldCharType="begin"/>
      </w:r>
      <w:r w:rsidR="000F35EB">
        <w:rPr>
          <w:lang w:val="es-ES"/>
        </w:rPr>
        <w:instrText xml:space="preserve"> ADDIN ZOTERO_ITEM CSL_CITATION {"citationID":"yGzwACFL","properties":{"formattedCitation":"(Gattani et al., 2019)","plainCitation":"(Gattani et al., 2019)","noteIndex":0},"citationItems":[{"id":30744,"uris":["http://zotero.org/groups/2352922/items/JRMFP2GT"],"itemData":{"id":30744,"type":"article-journal","abstract":"Livestock are critical component for supporting the sustainable agriculture in the current global scenario. In the era of artificial intelligence and automation in field of livestock, sensors play an important role. Electrochemical sensor is the type of sensor which holds reliability and tremendous promise in raising the animal productivity in developing world. An early and accurate diagnosis of the animal pathogen and metabolic status are the cornerstone for better animal productivity. The available diagnostic techniques require tedious sample preparation, sophisticated instrument, dedicated laboratory, trained personnel and it is time consuming also. The electrochemical biosensor technology might be a smart solution because of its sensitivity, simplicity, low cost, possible miniaturization and potential ability for real-time analysis. In the veterinary disease diagnostics, various biosensors including electrochemical biosensors have been developed recently, based on disease specific biomarkers. The main focus of article is on reviewing the research in detection of animal infectious and metabolic diseases, hormonal analysis and sweat analysis with electrochemical biosensor.","container-title":"Analytical Biochemistry","DOI":"10.1016/j.ab.2019.05.014","ISSN":"0003-2697","journalAbbreviation":"Analytical Biochemistry","language":"en","page":"25-34","source":"ScienceDirect","title":"Recent progress in electrochemical biosensors as point of care diagnostics in livestock health","URL":"https://www.sciencedirect.com/science/article/pii/S0003269719302477","volume":"579","author":[{"family":"Gattani","given":"Anil"},{"family":"Singh","given":"Shiv Varan"},{"family":"Agrawal","given":"Aditya"},{"family":"Khan","given":"M. Hira"},{"family":"Singh","given":"Praveen"}],"accessed":{"date-parts":[["2021",10,28]]},"issued":{"date-parts":[["2019",8,15]]}},"label":"page"}],"schema":"https://github.com/citation-style-language/schema/raw/master/csl-citation.json"} </w:instrText>
      </w:r>
      <w:r w:rsidR="12C07B71" w:rsidRPr="00837161">
        <w:fldChar w:fldCharType="separate"/>
      </w:r>
      <w:r w:rsidR="00271B78" w:rsidRPr="00271B78">
        <w:t>(Gattani et al., 2019)</w:t>
      </w:r>
      <w:r w:rsidR="12C07B71" w:rsidRPr="00837161">
        <w:fldChar w:fldCharType="end"/>
      </w:r>
      <w:r w:rsidR="12C07B71" w:rsidRPr="00767086">
        <w:rPr>
          <w:lang w:val="es-ES"/>
        </w:rPr>
        <w:t xml:space="preserve"> and plant disease</w:t>
      </w:r>
      <w:r w:rsidR="000B0E58">
        <w:rPr>
          <w:lang w:val="es-ES"/>
        </w:rPr>
        <w:t>s</w:t>
      </w:r>
      <w:r w:rsidR="12C07B71" w:rsidRPr="00767086">
        <w:rPr>
          <w:lang w:val="es-ES"/>
        </w:rPr>
        <w:t xml:space="preserve"> </w:t>
      </w:r>
      <w:r w:rsidR="12C07B71" w:rsidRPr="00837161">
        <w:fldChar w:fldCharType="begin"/>
      </w:r>
      <w:r w:rsidR="000F35EB">
        <w:rPr>
          <w:lang w:val="es-ES"/>
        </w:rPr>
        <w:instrText xml:space="preserve"> ADDIN ZOTERO_ITEM CSL_CITATION {"citationID":"6xSKjRsF","properties":{"formattedCitation":"(Lau &amp; Botella, 2017)","plainCitation":"(Lau &amp; Botella, 2017)","noteIndex":0},"citationItems":[{"id":30746,"uris":["http://zotero.org/groups/2352922/items/GFRM4RM3"],"itemData":{"id":30746,"type":"article-journal","abstract":"Diagnostic technologies for the detection of plant pathogens with point-of-care capability and high multiplexing ability are an essential tool in the fight to reduce the large agricultural production losses caused by plant diseases. The main desirable characteristics for such diagnostic assays are high specificity, sensitivity, reproducibility, quickness, cost efficiency and high-throughput multiplex detection capability. This article describes and discusses various DNA-based point-of care diagnostic methods for applications in plant disease detection. Polymerase chain reaction (PCR) is the most common DNA amplification technology used for detecting various plant and animal pathogens. However, subsequent to PCR based assays, several types of nucleic acid amplification technologies have been developed to achieve higher sensitivity, rapid detection as well as suitable for field applications such as loop-mediated isothermal amplification, helicase-dependent amplification, rolling circle amplification, recombinase polymerase amplification, and molecular inversion probe. The principle behind these technologies has been thoroughly discussed in several review papers; herein we emphasize the application of these technologies to detect plant pathogens by outlining the advantages and disadvantages of each technology in detail.","container-title":"Frontiers in Plant Science","DOI":"10.3389/fpls.2017.02016","ISSN":"1664-462X","page":"2016","source":"Frontiers","title":"Advanced DNA-Based Point-of-Care Diagnostic Methods for Plant Diseases Detection","URL":"https://www.frontiersin.org/article/10.3389/fpls.2017.02016","volume":"8","author":[{"family":"Lau","given":"Han Yih"},{"family":"Botella","given":"Jose R."}],"accessed":{"date-parts":[["2021",10,28]]},"issued":{"date-parts":[["2017"]]}},"label":"page"}],"schema":"https://github.com/citation-style-language/schema/raw/master/csl-citation.json"} </w:instrText>
      </w:r>
      <w:r w:rsidR="12C07B71" w:rsidRPr="00837161">
        <w:fldChar w:fldCharType="separate"/>
      </w:r>
      <w:r w:rsidR="00271B78" w:rsidRPr="00271B78">
        <w:t>(Lau &amp; Botella, 2017)</w:t>
      </w:r>
      <w:r w:rsidR="12C07B71" w:rsidRPr="00837161">
        <w:fldChar w:fldCharType="end"/>
      </w:r>
      <w:r w:rsidR="001B0409" w:rsidRPr="00837161">
        <w:t>.</w:t>
      </w:r>
      <w:r w:rsidRPr="00C0338D">
        <w:t xml:space="preserve"> The global spread of African swine fever and associated rapid diagnostic platform development illustrates their value for tracking invasive alien diseases </w:t>
      </w:r>
      <w:r w:rsidR="12C07B71" w:rsidRPr="00837161">
        <w:fldChar w:fldCharType="begin"/>
      </w:r>
      <w:r w:rsidR="000F35EB">
        <w:instrText xml:space="preserve"> ADDIN ZOTERO_ITEM CSL_CITATION {"citationID":"xwaBX0y8","properties":{"formattedCitation":"(Ye et al., 2019)","plainCitation":"(Ye et al., 2019)","noteIndex":0},"citationItems":[{"id":30743,"uris":["http://zotero.org/groups/2352922/items/4QE9YHCL"],"itemData":{"id":30743,"type":"article-journal","abstract":"The outbreak of African swine fever has brought serious public safety problems to the world, and there is a need for reliable diagnostic tools to prevent and control the epidemic. Here, we successfully established a portable microfluidic-circular fluorescent probe-mediated isothermal nucleic acid amplification (CFPA) system for the rapid, high-throughput, accurate, and sensitive detection of African swine fever virus at point-of-care settings. This detection system has a detection limit of 10 copies/μL, good stability (C.V. &lt; 5%), and 92.73% sensitivity, and 100% specificity when tested on 220 pig samples collected for the diagnosis of African swine fever virus, with a median time to threshold of 10.8 min. This novel integrated diagnostic tool is urgently needed and has promising applications for the monitoring and control of African swine fever epidemics worldwide and, in particular, the serious outbreak in China.","container-title":"ACS Sensors","DOI":"10.1021/acssensors.9b01731","issue":"11","journalAbbreviation":"ACS Sens.","note":"publisher: American Chemical Society","page":"3066-3071","source":"ACS Publications","title":"Microfluidic-CFPA Chip for the Point-of-Care Detection of African Swine Fever Virus with a Median Time to Threshold in about 10 min","URL":"https://doi.org/10.1021/acssensors.9b01731","volume":"4","author":[{"family":"Ye","given":"Xin"},{"family":"Li","given":"Lin"},{"family":"Li","given":"Jian"},{"family":"Wu","given":"Xiaodong"},{"family":"Fang","given":"Xueen"},{"family":"Kong","given":"Jilie"}],"accessed":{"date-parts":[["2021",10,28]]},"issued":{"date-parts":[["2019",11,22]]}},"label":"page"}],"schema":"https://github.com/citation-style-language/schema/raw/master/csl-citation.json"} </w:instrText>
      </w:r>
      <w:r w:rsidR="12C07B71" w:rsidRPr="00837161">
        <w:fldChar w:fldCharType="separate"/>
      </w:r>
      <w:r w:rsidR="00271B78" w:rsidRPr="00271B78">
        <w:t>(Ye et al., 2019)</w:t>
      </w:r>
      <w:r w:rsidR="12C07B71" w:rsidRPr="00837161">
        <w:fldChar w:fldCharType="end"/>
      </w:r>
      <w:r w:rsidR="003525B3" w:rsidRPr="00837161">
        <w:t>.</w:t>
      </w:r>
      <w:r w:rsidRPr="00C0338D">
        <w:t xml:space="preserve"> Most handheld systems are designed to detect specific gene sequences or proteins. Po</w:t>
      </w:r>
      <w:r w:rsidR="000B0E58">
        <w:t>C</w:t>
      </w:r>
      <w:r w:rsidRPr="00C0338D">
        <w:t xml:space="preserve"> options for many pathogens rely on immunoassays in dipstick, lateral flow devices or increasingly microfluidic platforms </w:t>
      </w:r>
      <w:r w:rsidR="12C07B71" w:rsidRPr="00837161">
        <w:fldChar w:fldCharType="begin"/>
      </w:r>
      <w:r w:rsidR="000F35EB">
        <w:instrText xml:space="preserve"> ADDIN ZOTERO_ITEM CSL_CITATION {"citationID":"tn1Eer5d","properties":{"formattedCitation":"(Weng et al., 2019)","plainCitation":"(Weng et al., 2019)","noteIndex":0},"citationItems":[{"id":31590,"uris":["http://zotero.org/groups/2352922/items/Y8W28XZ2"],"itemData":{"id":31590,"type":"article-journal","abstract":"Over the past decades, researchers have been seeking attractive substrate materials to keep microfluidics improving to outbalance the drawbacks and issues. Cellulose substrates, including thread, paper and hydrogels are alternatives due to their distinct structural and mechanical properties for a number of applications. Thread have gained considerable attention and become promising powerful tool due to its advantages over paper-based systems thus finds numerous applications in the development of diagnostic systems, smart bandages and tissue engineering. To the best of our knowledge, no comprehensive review articles on the topic of thread-based microfluidics have been published and it is of significance for many scientific communities working on Microfluidics, Biosensors and Lab-on-Chip. This review gives an overview of the advances of thread-based microfluidic diagnostic devices in a variety of applications. It begins with an overall introduction of the fabrication followed by an in-depth review on the detection techniques in such devices and various applications with respect to effort and performance to date. A few perspective directions of thread-based microfluidics in its development are also discussed. Thread-based microfluidics are still at an early development stage and further improvements in terms of fabrication, analytical strategies, and function to become low-cost, low-volume and easy-to-use point-of-care (POC) diagnostic devices that can be adapted or commercialized for real world applications.","container-title":"Biosensors and Bioelectronics","DOI":"10.1016/j.bios.2019.03.009","ISSN":"0956-5663","journalAbbreviation":"Biosensors and Bioelectronics","language":"en","page":"171-185","source":"ScienceDirect","title":"Recent advances in thread-based microfluidics for diagnostic applications","URL":"https://www.sciencedirect.com/science/article/pii/S0956566319301903","volume":"132","author":[{"family":"Weng","given":"Xuan"},{"family":"Kang","given":"Yuejun"},{"family":"Guo","given":"Qian"},{"family":"Peng","given":"Bei"},{"family":"Jiang","given":"Hai"}],"accessed":{"date-parts":[["2021",11,19]]},"issued":{"date-parts":[["2019",5,1]]}},"label":"page"}],"schema":"https://github.com/citation-style-language/schema/raw/master/csl-citation.json"} </w:instrText>
      </w:r>
      <w:r w:rsidR="12C07B71" w:rsidRPr="00837161">
        <w:fldChar w:fldCharType="separate"/>
      </w:r>
      <w:r w:rsidR="00271B78" w:rsidRPr="00271B78">
        <w:t>(Weng et al., 2019)</w:t>
      </w:r>
      <w:r w:rsidR="12C07B71" w:rsidRPr="00837161">
        <w:fldChar w:fldCharType="end"/>
      </w:r>
      <w:r w:rsidR="12C07B71" w:rsidRPr="00837161">
        <w:t>.</w:t>
      </w:r>
      <w:r w:rsidRPr="00C0338D">
        <w:t xml:space="preserve"> These </w:t>
      </w:r>
      <w:r w:rsidR="000B0E58">
        <w:t xml:space="preserve">PoC and LoC are </w:t>
      </w:r>
      <w:r w:rsidRPr="00C0338D">
        <w:t xml:space="preserve">new diagnostic kits </w:t>
      </w:r>
      <w:r w:rsidR="000B0E58">
        <w:t xml:space="preserve">that </w:t>
      </w:r>
      <w:r w:rsidRPr="00C0338D">
        <w:t xml:space="preserve">generally need to be rigorously tested for sensitivity, selectivity, or performance. While microfluidic options lend themselves to multiplexing to diagnose multiple pathogens, a true combinatorial approach to diagnostics would be required to deliver a generic diagnostic platform. Currently, to detect a pathogen a specific sensor is required and to detect two different pathogens two different sensors are required and so </w:t>
      </w:r>
      <w:r w:rsidR="000B0E58">
        <w:t>forth</w:t>
      </w:r>
      <w:r w:rsidRPr="00C0338D">
        <w:t xml:space="preserve">. A combinatorial approach with sensors with broad but overlapping detection of pathogens would allow a multiplexed diagnostic that could sense more pathogens than the number of sensors it contains. Pooling samples will depend entirely on the sensitivity of the PoC diagnostic as pooling may dilute the target analyte. There are many lateral flow devices available for diagnosis of particular pathogens, however, there </w:t>
      </w:r>
      <w:r w:rsidR="000B0E58">
        <w:t>are</w:t>
      </w:r>
      <w:r w:rsidR="000B0E58" w:rsidRPr="00C0338D">
        <w:t xml:space="preserve"> </w:t>
      </w:r>
      <w:r w:rsidRPr="00C0338D">
        <w:t xml:space="preserve">little data comparing the performance, sensitivity, and specificity of the tests compared to standard laboratory diagnostic assays. International approval may be required where proposed for use to replace other tests agreed under trade conventions (e.g., WTO) to demonstrate equivalent sensitivity and specificity. Next generation sequencing (NGS) may be able to detect the presence of many pathogens and DNA tests are more sensitive than immunoassays. Currently, NGS technology is not available at the </w:t>
      </w:r>
      <w:r w:rsidR="000B0E58">
        <w:t>PoC</w:t>
      </w:r>
      <w:r w:rsidRPr="00C0338D">
        <w:t xml:space="preserve"> as it still requires multiple steps for sample preparation, amplification, sequencing and in-depth analysis. NGS technology improvements are emerging at a faster rate as it is a hot topic of research to enable human health diagnostic improvements. A large research effort </w:t>
      </w:r>
      <w:r w:rsidRPr="00C0338D">
        <w:lastRenderedPageBreak/>
        <w:t xml:space="preserve">would be needed to target next generation sequencing (NGS) to plant pathogens or other targets. The next level of automation is to deploy LoC technology that is capable of high-throughput screening for the pathogens of interest, utilizing a small quantity of fluid samples </w:t>
      </w:r>
      <w:r w:rsidR="12C07B71" w:rsidRPr="00837161">
        <w:fldChar w:fldCharType="begin"/>
      </w:r>
      <w:r w:rsidR="000F35EB">
        <w:instrText xml:space="preserve"> ADDIN ZOTERO_ITEM CSL_CITATION {"citationID":"b6RcQ4Yf","properties":{"formattedCitation":"(Zhu et al., 2020)","plainCitation":"(Zhu et al., 2020)","noteIndex":0},"citationItems":[{"id":29632,"uris":["http://zotero.org/groups/2352922/items/FNN5WZCJ"],"itemData":{"id":29632,"type":"article-journal","abstract":"The global risk of viral disease outbreaks emphasizes the need for rapid, accurate, and sensitive detection techniques to speed up diagnostics allowing early intervention. An emerging field of microfluidics also known as the lab-on-a-chip (LOC) or micro total analysis system includes a wide range of diagnostic devices. This review briefly covers both conventional and microfluidics-based techniques for rapid viral detection. We first describe conventional detection methods such as cell culturing, immunofluorescence or enzyme-linked immunosorbent assay (ELISA), or reverse transcription polymerase chain reaction (RT-PCR). These methods often have limited speed, sensitivity, or specificity and are performed with typically bulky equipment. Here, we discuss some of the LOC technologies that can overcome these demerits, highlighting the latest advances in LOC devices for viral disease diagnosis. We also discuss the fabrication of LOC systems to produce devices for performing either individual steps or virus detection in samples with the sample to answer method. The complete system consists of sample preparation, and ELISA and RT-PCR for viral-antibody and nucleic acid detection, respectively. Finally, we formulate our opinions on these areas for the future development of LOC systems for viral diagnostics.","container-title":"Biosensors and Bioelectronics","DOI":"10.1016/j.bios.2020.112041","ISSN":"0956-5663","journalAbbreviation":"Biosensors and Bioelectronics","language":"en","page":"112041","source":"ScienceDirect","title":"Recent advances in lab-on-a-chip technologies for viral diagnosis","URL":"https://www.sciencedirect.com/science/article/pii/S0956566320300385","volume":"153","author":[{"family":"Zhu","given":"Hanliang"},{"family":"Fohlerová","given":"Zdenka"},{"family":"Pekárek","given":"Jan"},{"family":"Basova","given":"Evgenia"},{"family":"Neužil","given":"Pavel"}],"accessed":{"date-parts":[["2021",8,16]]},"issued":{"date-parts":[["2020",4,1]]}},"label":"page"}],"schema":"https://github.com/citation-style-language/schema/raw/master/csl-citation.json"} </w:instrText>
      </w:r>
      <w:r w:rsidR="12C07B71" w:rsidRPr="00837161">
        <w:fldChar w:fldCharType="separate"/>
      </w:r>
      <w:r w:rsidR="00271B78" w:rsidRPr="00271B78">
        <w:t>(Zhu et al., 2020)</w:t>
      </w:r>
      <w:r w:rsidR="12C07B71" w:rsidRPr="00837161">
        <w:fldChar w:fldCharType="end"/>
      </w:r>
      <w:r w:rsidR="001B7FE1" w:rsidRPr="00837161">
        <w:t>.</w:t>
      </w:r>
    </w:p>
    <w:p w14:paraId="000002D9" w14:textId="77777777" w:rsidR="00A758FD" w:rsidRPr="00C0338D" w:rsidRDefault="00C81287" w:rsidP="00B06042">
      <w:pPr>
        <w:pStyle w:val="Heading4"/>
      </w:pPr>
      <w:r w:rsidRPr="00C0338D">
        <w:t>Track and trace next generation sequencing and meta-barcoding to identify invasive alien species</w:t>
      </w:r>
    </w:p>
    <w:p w14:paraId="3DF058B5" w14:textId="3D9D8604" w:rsidR="001B0409" w:rsidRPr="00837161" w:rsidRDefault="0043564E" w:rsidP="00C11DFA">
      <w:pPr>
        <w:spacing w:before="240" w:after="120" w:line="240" w:lineRule="auto"/>
      </w:pPr>
      <w:r w:rsidRPr="00837161">
        <w:t xml:space="preserve">The COVID-19 pandemic </w:t>
      </w:r>
      <w:r w:rsidR="008F44BD" w:rsidRPr="00837161">
        <w:t>(</w:t>
      </w:r>
      <w:r w:rsidR="00F618D4">
        <w:rPr>
          <w:b/>
          <w:iCs/>
        </w:rPr>
        <w:t>C</w:t>
      </w:r>
      <w:r w:rsidR="00EA4005" w:rsidRPr="00F618D4">
        <w:rPr>
          <w:b/>
          <w:iCs/>
        </w:rPr>
        <w:t>hapter 1</w:t>
      </w:r>
      <w:r w:rsidR="00EA4005" w:rsidRPr="00F618D4">
        <w:rPr>
          <w:iCs/>
        </w:rPr>
        <w:t>,</w:t>
      </w:r>
      <w:r w:rsidR="00EA4005" w:rsidRPr="00F618D4">
        <w:rPr>
          <w:b/>
          <w:iCs/>
        </w:rPr>
        <w:t xml:space="preserve"> Box 1.14</w:t>
      </w:r>
      <w:r w:rsidR="00EA4005" w:rsidRPr="00837161">
        <w:t xml:space="preserve">) </w:t>
      </w:r>
      <w:r w:rsidRPr="00837161">
        <w:t xml:space="preserve">has demonstrated the </w:t>
      </w:r>
      <w:r w:rsidR="21770EA1" w:rsidRPr="00837161">
        <w:t>effectiven</w:t>
      </w:r>
      <w:r w:rsidR="4B33D8C5" w:rsidRPr="00837161">
        <w:t>e</w:t>
      </w:r>
      <w:r w:rsidR="21770EA1" w:rsidRPr="00837161">
        <w:t>ss</w:t>
      </w:r>
      <w:r w:rsidRPr="00837161">
        <w:t xml:space="preserve"> of real-time genome sequencing on tracking and tracing the virus through movement trajectories of new mutations and strains and therefore spread of an invading organism. This technology approach is being applied now to the management of </w:t>
      </w:r>
      <w:r w:rsidR="0079215C">
        <w:t>biological invasions</w:t>
      </w:r>
      <w:r w:rsidR="0079215C" w:rsidRPr="00837161">
        <w:t xml:space="preserve"> </w:t>
      </w:r>
      <w:r w:rsidRPr="00837161">
        <w:t xml:space="preserve">by building global or regional genomics database of a key invasive alien species, both present or considered a </w:t>
      </w:r>
      <w:r w:rsidR="009C370C" w:rsidRPr="00837161">
        <w:t xml:space="preserve">potential </w:t>
      </w:r>
      <w:r w:rsidRPr="00837161">
        <w:t>threat. This allows a) quick identification of any new detection</w:t>
      </w:r>
      <w:r w:rsidR="000B0E58">
        <w:t>s</w:t>
      </w:r>
      <w:r w:rsidRPr="00837161">
        <w:t xml:space="preserve"> or introduction</w:t>
      </w:r>
      <w:r w:rsidR="000B0E58">
        <w:t>s</w:t>
      </w:r>
      <w:r w:rsidRPr="00837161">
        <w:t xml:space="preserve"> in terms of origin and likely pathway of spread </w:t>
      </w:r>
      <w:r w:rsidRPr="00837161">
        <w:fldChar w:fldCharType="begin"/>
      </w:r>
      <w:r w:rsidR="000F35EB">
        <w:instrText xml:space="preserve"> ADDIN ZOTERO_ITEM CSL_CITATION {"citationID":"MtHajz0a","properties":{"formattedCitation":"(Otim et al., 2018; Suarez-Menendez et al., 2020)","plainCitation":"(Otim et al., 2018; Suarez-Menendez et al., 2020)","noteIndex":0},"citationItems":[{"id":31561,"uris":["http://zotero.org/groups/2352922/items/XSXH7VDR"],"itemData":{"id":31561,"type":"article-journal","container-title":"PLoS ONE","DOI":"10.1371/journal.pone.0194571","ISSN":"1932-6203","issue":"4","journalAbbreviation":"PLoS ONE","language":"en","page":"e0194571","source":"DOI.org (Crossref)","title":"Detection of sister-species in invasive populations of the fall armyworm &lt;i&gt;Spodoptera frugiperda&lt;/i&gt; (Lepidoptera: Noctuidae) from Uganda","title-short":"Detection of sister-species in invasive populations of the fall armyworm Spodoptera frugiperda (Lepidoptera","URL":"https://dx.plos.org/10.1371/journal.pone.0194571","volume":"13","author":[{"family":"Otim","given":"Michael H."},{"family":"Tay","given":"Wee Tek"},{"family":"Walsh","given":"Thomas K."},{"family":"Kanyesigye","given":"Dalton"},{"family":"Adumo","given":"Stella"},{"family":"Abongosi","given":"Joseph"},{"family":"Ochen","given":"Stephen"},{"family":"Sserumaga","given":"Julius"},{"family":"Alibu","given":"Simon"},{"family":"Abalo","given":"Grace"},{"family":"Asea","given":"Godfrey"},{"family":"Agona","given":"Ambrose"}],"editor":[{"family":"Knapp","given":"Michael"}],"accessed":{"date-parts":[["2021",11,22]]},"issued":{"date-parts":[["2018",4,3]]}},"label":"page"},{"id":29534,"uris":["http://zotero.org/groups/2352922/items/J8GJEMAI"],"itemData":{"id":29534,"type":"article-journal","container-title":"Frontiers in Ecology and Evolution","DOI":"10.3389/fevo.2020.00009","ISSN":"2296-701X","journalAbbreviation":"Front. Ecol. Evol.","language":"en","page":"9","source":"DOI.org (Crossref)","title":"Early Alert of Biological Risk in a Coastal Lagoon Through eDNA Metabarcoding","URL":"https://www.frontiersin.org/article/10.3389/fevo.2020.00009/full","volume":"8","author":[{"family":"Suarez-Menendez","given":"Marcos"},{"family":"Planes","given":"Serge"},{"family":"Garcia-Vazquez","given":"Eva"},{"family":"Ardura","given":"Alba"}],"accessed":{"date-parts":[["2021",8,4]]},"issued":{"date-parts":[["2020",2,28]]}},"label":"page"}],"schema":"https://github.com/citation-style-language/schema/raw/master/csl-citation.json"} </w:instrText>
      </w:r>
      <w:r w:rsidRPr="00837161">
        <w:fldChar w:fldCharType="separate"/>
      </w:r>
      <w:r w:rsidR="00271B78" w:rsidRPr="00271B78">
        <w:t>(Otim et al., 2018; Suarez-Menendez et al., 2020)</w:t>
      </w:r>
      <w:r w:rsidRPr="00837161">
        <w:fldChar w:fldCharType="end"/>
      </w:r>
      <w:r w:rsidRPr="00837161">
        <w:t>, b) information o</w:t>
      </w:r>
      <w:r w:rsidR="000B0E58">
        <w:t>n</w:t>
      </w:r>
      <w:r w:rsidRPr="00837161">
        <w:t xml:space="preserve"> global invasion patterns that can help evaluate invasion and impact risks and pick up local rapid evolution or adaptation to new situations </w:t>
      </w:r>
      <w:r w:rsidRPr="00837161">
        <w:fldChar w:fldCharType="begin"/>
      </w:r>
      <w:r w:rsidR="000F35EB">
        <w:instrText xml:space="preserve"> ADDIN ZOTERO_ITEM CSL_CITATION {"citationID":"k8ow2t6x","properties":{"formattedCitation":"(Tay et al., 2022)","plainCitation":"(Tay et al., 2022)","noteIndex":0},"citationItems":[{"id":24519,"uris":["http://zotero.org/groups/2352922/items/3QRMAXD7"],"itemData":{"id":24519,"type":"article-journal","abstract":"Accurate genomic knowledge can elucidate the global spread patterns of invasive pests. The highprofile invasive agricultural pest Spodoptera frugiperda (fall armyworm; FAW) is a case in point. Native to the Americas, the FAW was first reported in West Africa in 2016 and has rapidly spread to over 64 countries across the Old World, resulting in significant economic losses. The chronological order of reported detections has led to the hypothesis that the FAW moved eastwards across Africa and then Asia, however genomic evidence remains lacking to test this hypothesis and to identify the potential origin of invasive populations. Using a whole genome sequencing approach, we explored the population genomic signatures of FAW populations from the Americas and the Old World. Analyses of complete mitochondrial DNA genomes and of 870 high-quality nuclear genome-wide single nucleotide polymorphic (SNP) DNA markers identified five distinct New World populations that broadly reflected their native geographical ranges and absence of host-plant preference status. Unique FAW populations in the Old World were also identified that suggested multiple introductions underpinned the rapid global spread of FAW. We identified in Asian FAW individuals, genomes that showed no evidence of admixture; while analysis of identified complex substructure revealed significant directional geneflow from Asia into East African populations, in contrast to a simple east-to-west spread. Our study highlights the need for a population genomics approach in analysing complex pest invasions, and the importance of global collaboration to address global biosecurity challenges presented by emerging high priority insect pests.","container-title":"Communications Biology","DOI":"10.1038/s42003-022-03230-1","language":"en","page":"297","source":"DOI.org (Crossref)","title":"Global population genomic signature of &lt;i&gt;Spodoptera frugiperda&lt;/i&gt; (fall armyworm) supports complex introduction events across the Old World","title-short":"Whole genome sequencing of global &lt;i&gt;Spodoptera frugiperda&lt;/i&gt; populations","URL":"https://doi.org/10.1038/s42003-022-03230-1","volume":"5","author":[{"family":"Tay","given":"W T"},{"family":"Rane","given":"R V"},{"family":"Padovan","given":"A"},{"family":"Walsh","given":"T K"},{"family":"Elfekih","given":"S"},{"family":"Downes","given":"S"},{"family":"Nam","given":"K"},{"family":"Alençon","given":"E","non-dropping-particle":"d’"},{"family":"Zhang","given":"J"},{"family":"Wu","given":"Y"},{"family":"Nègre","given":"N"},{"family":"Kunz","given":"D"},{"family":"Kriticos","given":"D. J."},{"family":"Czepak","given":"C"},{"family":"Otim","given":"M H"},{"family":"Gordon","given":"K H J"}],"accessed":{"date-parts":[["2020",7,31]]},"issued":{"date-parts":[["2022"]]}},"label":"page"}],"schema":"https://github.com/citation-style-language/schema/raw/master/csl-citation.json"} </w:instrText>
      </w:r>
      <w:r w:rsidRPr="00837161">
        <w:fldChar w:fldCharType="separate"/>
      </w:r>
      <w:r w:rsidR="00271B78" w:rsidRPr="00271B78">
        <w:t>(Tay et al., 2022)</w:t>
      </w:r>
      <w:r w:rsidRPr="00837161">
        <w:fldChar w:fldCharType="end"/>
      </w:r>
      <w:r w:rsidRPr="00837161">
        <w:t>, c) allow real-time monitoring of strategies for and effectiveness of management actions (eradication, containment or widespread management</w:t>
      </w:r>
      <w:r w:rsidR="000E7D57" w:rsidRPr="00837161">
        <w:t>;</w:t>
      </w:r>
      <w:r w:rsidRPr="00837161">
        <w:t xml:space="preserve"> </w:t>
      </w:r>
      <w:r w:rsidRPr="00837161">
        <w:fldChar w:fldCharType="begin"/>
      </w:r>
      <w:r w:rsidR="000F35EB">
        <w:instrText xml:space="preserve"> ADDIN ZOTERO_ITEM CSL_CITATION {"citationID":"puzMZARk","properties":{"formattedCitation":"(Yainna et al., 2021)","plainCitation":"(Yainna et al., 2021)","dontUpdate":true,"noteIndex":0},"citationItems":[{"id":29533,"uris":["http://zotero.org/groups/2352922/items/GWM4Z2ZU"],"itemData":{"id":29533,"type":"article-journal","abstract":"Field evolved resistance to insecticides is one of the main challenges in pest control. The fall armyworm (FAW) is a lepidopteran pest species causing severe crop losses, especially corn. While native to the Americas, the presence of FAW was confirmed in West Africa in 2016. Since then, the FAW has been detected in over 70 countries covering sub-Saharan Africa, the Middle East, North Africa, South Asia, Southeast Asia, and Oceania. In this study, we tested whether this invasion was accompanied by the spread of resistance mutations from native to invasive areas. We observed that mutations causing Bt resistance at ABCC2 genes were observed only in native populations where the mutations were initially reported. Invasive populations were found to have higher gene numbers of cytochrome P450 genes than native populations and a higher proportion of multiple resistance mutations at acetylcholinesterase genes, supporting strong selective pressure for resistance against synthetic insecticides. This result explains the susceptibility to Bt insecticides and resistance to various synthetic insecticides in Chinese populations. These results highlight the necessity of regular and standardized monitoring of insecticide resistance in invasive populations using both genomic approaches and bioassay experiments.","container-title":"Insects","DOI":"10.3390/insects12050468","issue":"5","language":"en","license":"http://creativecommons.org/licenses/by/3.0/","note":"number: 5\npublisher: Multidisciplinary Digital Publishing Institute","page":"468","source":"www.mdpi.com","title":"Geographic Monitoring of Insecticide Resistance Mutations in Native and Invasive Populations of the Fall Armyworm","URL":"https://www.mdpi.com/2075-4450/12/5/468","volume":"12","author":[{"family":"Yainna","given":"Sudeeptha"},{"family":"Nègre","given":"Nicolas"},{"family":"Silvie","given":"Pierre J."},{"family":"Brévault","given":"Thierry"},{"family":"Tay","given":"Wee Tek"},{"family":"Gordon","given":"Karl"},{"family":"dAlençon","given":"Emmanuelle"},{"family":"Walsh","given":"Thomas"},{"family":"Nam","given":"Kiwoong"}],"accessed":{"date-parts":[["2021",8,4]]},"issued":{"date-parts":[["2021",5]]}},"label":"page"}],"schema":"https://github.com/citation-style-language/schema/raw/master/csl-citation.json"} </w:instrText>
      </w:r>
      <w:r w:rsidRPr="00837161">
        <w:fldChar w:fldCharType="separate"/>
      </w:r>
      <w:r w:rsidR="00486AE9" w:rsidRPr="00837161">
        <w:t>Yainna et al., 2021)</w:t>
      </w:r>
      <w:r w:rsidRPr="00837161">
        <w:fldChar w:fldCharType="end"/>
      </w:r>
      <w:r w:rsidR="0076130D" w:rsidRPr="00837161">
        <w:t>.</w:t>
      </w:r>
    </w:p>
    <w:p w14:paraId="000002DB" w14:textId="5F2B099D" w:rsidR="00A758FD" w:rsidRPr="00AC1F76" w:rsidRDefault="00C81287" w:rsidP="002F2F42">
      <w:pPr>
        <w:pStyle w:val="Heading3"/>
      </w:pPr>
      <w:bookmarkStart w:id="360" w:name="_heading=h.2koq656" w:colFirst="0" w:colLast="0"/>
      <w:bookmarkStart w:id="361" w:name="_Toc69314006"/>
      <w:bookmarkStart w:id="362" w:name="_Toc87623148"/>
      <w:bookmarkStart w:id="363" w:name="_Toc131681648"/>
      <w:bookmarkEnd w:id="360"/>
      <w:r w:rsidRPr="00AC1F76">
        <w:t>Future technologies</w:t>
      </w:r>
      <w:bookmarkEnd w:id="361"/>
      <w:bookmarkEnd w:id="362"/>
      <w:bookmarkEnd w:id="363"/>
    </w:p>
    <w:p w14:paraId="000002DC" w14:textId="7F87CBD5" w:rsidR="00A758FD" w:rsidRPr="00C0338D" w:rsidRDefault="00C81287">
      <w:pPr>
        <w:spacing w:before="240" w:after="120" w:line="240" w:lineRule="auto"/>
        <w:rPr>
          <w:b/>
        </w:rPr>
      </w:pPr>
      <w:bookmarkStart w:id="364" w:name="_heading=h.zu0gcz" w:colFirst="0" w:colLast="0"/>
      <w:bookmarkStart w:id="365" w:name="_Hlk69191081"/>
      <w:bookmarkEnd w:id="364"/>
      <w:r w:rsidRPr="00C0338D">
        <w:t xml:space="preserve">A number of new technologies are being developed and improved for surveillance, detection, monitoring and automated response. These include biosensors and nanotechnology sensors, Clustered Regularly Interspaced Short Palindromic Repeats (CRISPR) diagnostics, multiplexed diagnostic real-time handheld </w:t>
      </w:r>
      <w:r w:rsidR="000B0E58">
        <w:t>P</w:t>
      </w:r>
      <w:r w:rsidRPr="00C0338D">
        <w:t>oint</w:t>
      </w:r>
      <w:r w:rsidR="000B0E58">
        <w:t>-</w:t>
      </w:r>
      <w:r w:rsidRPr="00C0338D">
        <w:t>of</w:t>
      </w:r>
      <w:r w:rsidR="000B0E58">
        <w:t>-C</w:t>
      </w:r>
      <w:r w:rsidRPr="00C0338D">
        <w:t xml:space="preserve">are </w:t>
      </w:r>
      <w:r w:rsidR="000B0E58">
        <w:t xml:space="preserve">(PoC) </w:t>
      </w:r>
      <w:r w:rsidRPr="00C0338D">
        <w:t>diagnostic platforms</w:t>
      </w:r>
      <w:r w:rsidR="00C16EEB">
        <w:t xml:space="preserve"> and</w:t>
      </w:r>
      <w:r w:rsidRPr="00C0338D">
        <w:t xml:space="preserve"> disease mRNA biomarkers. These are covered in more detail in the </w:t>
      </w:r>
      <w:r w:rsidR="002F2F42">
        <w:rPr>
          <w:b/>
        </w:rPr>
        <w:t>S</w:t>
      </w:r>
      <w:r w:rsidRPr="00C0338D">
        <w:rPr>
          <w:b/>
        </w:rPr>
        <w:t>upplementary material 5.</w:t>
      </w:r>
      <w:bookmarkEnd w:id="365"/>
      <w:r w:rsidRPr="00C0338D">
        <w:rPr>
          <w:b/>
        </w:rPr>
        <w:t>4</w:t>
      </w:r>
      <w:r w:rsidRPr="00C0338D">
        <w:t xml:space="preserve">. </w:t>
      </w:r>
    </w:p>
    <w:p w14:paraId="000002DD" w14:textId="4AD195DA" w:rsidR="00A758FD" w:rsidRPr="00C0338D" w:rsidRDefault="00C81287" w:rsidP="002F2F42">
      <w:pPr>
        <w:pStyle w:val="Heading2"/>
      </w:pPr>
      <w:bookmarkStart w:id="366" w:name="_Toc87623149"/>
      <w:bookmarkStart w:id="367" w:name="_Toc146810113"/>
      <w:bookmarkStart w:id="368" w:name="_Toc131681649"/>
      <w:bookmarkStart w:id="369" w:name="_Toc149555478"/>
      <w:r w:rsidRPr="00C0338D">
        <w:t>Intervention</w:t>
      </w:r>
      <w:bookmarkStart w:id="370" w:name="_Toc69314011"/>
      <w:r w:rsidRPr="00C0338D">
        <w:t xml:space="preserve"> technologies</w:t>
      </w:r>
      <w:bookmarkEnd w:id="366"/>
      <w:bookmarkEnd w:id="367"/>
      <w:bookmarkEnd w:id="368"/>
      <w:bookmarkEnd w:id="369"/>
      <w:bookmarkEnd w:id="370"/>
    </w:p>
    <w:p w14:paraId="000002DE" w14:textId="19FA3032" w:rsidR="00A758FD" w:rsidRPr="00C0338D" w:rsidRDefault="00C81287">
      <w:pPr>
        <w:spacing w:before="240" w:after="120" w:line="240" w:lineRule="auto"/>
      </w:pPr>
      <w:r w:rsidRPr="00C0338D">
        <w:t xml:space="preserve">When an action needs to be taken a) </w:t>
      </w:r>
      <w:r w:rsidR="000B0E58" w:rsidRPr="00C0338D">
        <w:t xml:space="preserve">to </w:t>
      </w:r>
      <w:r w:rsidRPr="00C0338D">
        <w:t xml:space="preserve">manage a pathway risk or consequence, b) once a new invasive alien species has been detected or in order to eradicate, contain or control it, or c) in order to manage a site or ecosystem to eliminate or reduce the impacts of invasive alien species or restore ecosystem function, then this is an intervention. This section covers tools, technologies and approaches available to support interventions. </w:t>
      </w:r>
    </w:p>
    <w:p w14:paraId="000002DF" w14:textId="2E17B07A" w:rsidR="00A758FD" w:rsidRPr="00AC1F76" w:rsidRDefault="00C81287" w:rsidP="002F2F42">
      <w:pPr>
        <w:pStyle w:val="Heading3"/>
      </w:pPr>
      <w:bookmarkStart w:id="371" w:name="_heading=h.1yyy98l" w:colFirst="0" w:colLast="0"/>
      <w:bookmarkStart w:id="372" w:name="_Toc87623150"/>
      <w:bookmarkStart w:id="373" w:name="_Toc131681650"/>
      <w:bookmarkEnd w:id="371"/>
      <w:r w:rsidRPr="00AC1F76">
        <w:t xml:space="preserve">Pathway management - prevention </w:t>
      </w:r>
      <w:bookmarkEnd w:id="372"/>
      <w:r w:rsidRPr="00AC1F76">
        <w:t>options</w:t>
      </w:r>
      <w:bookmarkEnd w:id="373"/>
    </w:p>
    <w:p w14:paraId="000002E0" w14:textId="77777777" w:rsidR="00A758FD" w:rsidRPr="00C0338D" w:rsidRDefault="00C81287">
      <w:pPr>
        <w:spacing w:before="240" w:after="120" w:line="240" w:lineRule="auto"/>
      </w:pPr>
      <w:r w:rsidRPr="00C0338D">
        <w:t xml:space="preserve">Managing biological invasion pathways across borders supports prevention of arrival of new alien species and establishment and the movement of invasive alien species through trade supply chains. </w:t>
      </w:r>
      <w:r w:rsidRPr="0079215C">
        <w:rPr>
          <w:color w:val="000000" w:themeColor="text1"/>
        </w:rPr>
        <w:t>The traveller, effects and trade pathways for invasive alien species movement are through air and sea travel, conveyance and transport, postal mail delivery and transport via parcels, luggage and container transported traded goods.</w:t>
      </w:r>
      <w:r w:rsidRPr="00C0338D">
        <w:t xml:space="preserve"> </w:t>
      </w:r>
    </w:p>
    <w:p w14:paraId="000002E1" w14:textId="4F2AEF09" w:rsidR="00A758FD" w:rsidRPr="00C0338D" w:rsidRDefault="00C81287">
      <w:pPr>
        <w:spacing w:before="240" w:after="120" w:line="240" w:lineRule="auto"/>
      </w:pPr>
      <w:r w:rsidRPr="00C0338D">
        <w:t xml:space="preserve">Prevention treatments for planes and ships are now widely recognized and regularly applied. Planes are decontaminated before take-off or treated with insecticides prior to arrival to prevent the entry of pathogens and insects including disease vectors such as mosquitos. Shipping is subject to the International Convention for the Control and Management of Ships' Ballast Water and Sediments (BWM Convention, </w:t>
      </w:r>
      <w:r w:rsidRPr="00C0338D">
        <w:rPr>
          <w:b/>
        </w:rPr>
        <w:t>section 5.5.1</w:t>
      </w:r>
      <w:r w:rsidRPr="00C0338D">
        <w:t xml:space="preserve">). The two main management options include ballast water exchange in accordance with regulation D-1, which is an interim option, and compliance with the discharge standard in regulation D-2, which is ultimately what all ships eventually have to comply with. </w:t>
      </w:r>
      <w:r w:rsidR="001B0409" w:rsidRPr="00837161">
        <w:t>The t</w:t>
      </w:r>
      <w:r w:rsidR="00CB1F91" w:rsidRPr="00837161">
        <w:t>hree</w:t>
      </w:r>
      <w:r w:rsidR="001B0409" w:rsidRPr="00837161">
        <w:t xml:space="preserve"> main methods for ballast water exchange are the "sequential" method (complete ballast replacement with seawater)</w:t>
      </w:r>
      <w:r w:rsidR="001D58C7">
        <w:t>,</w:t>
      </w:r>
      <w:r w:rsidR="001B0409" w:rsidRPr="00837161">
        <w:t xml:space="preserve"> "flow-through" method </w:t>
      </w:r>
      <w:r w:rsidR="009E2802" w:rsidRPr="00837161">
        <w:t xml:space="preserve">and the “dilution” method </w:t>
      </w:r>
      <w:r w:rsidR="001B0409" w:rsidRPr="00837161">
        <w:t xml:space="preserve">performed at sea at an agreed distance from the arrival </w:t>
      </w:r>
      <w:r w:rsidR="00DC4259" w:rsidRPr="00837161">
        <w:t>country</w:t>
      </w:r>
      <w:r w:rsidR="001B0409" w:rsidRPr="00837161">
        <w:t xml:space="preserve"> </w:t>
      </w:r>
      <w:r w:rsidR="001B0409" w:rsidRPr="00837161">
        <w:fldChar w:fldCharType="begin"/>
      </w:r>
      <w:r w:rsidR="000F35EB">
        <w:instrText xml:space="preserve"> ADDIN ZOTERO_ITEM CSL_CITATION {"citationID":"Vkry0eEr","properties":{"formattedCitation":"(Molina &amp; Drake, 2016)","plainCitation":"(Molina &amp; Drake, 2016)","noteIndex":0},"citationItems":[{"id":16860,"uris":["http://zotero.org/groups/2352922/items/NXTMLUIQ"],"itemData":{"id":16860,"type":"article-journal","abstract":"A literature search was conducted to summarize studies that quantified the efficacy of ballast water exchange. Here, a number of parameters were collated from 68 studies to provide a meta-analysis of the efficacy of exchange. The percent removal of ballast water, organisms, and various physical parameters was investigated to quantify exchange efficacy in terms of volumetric, biological, and water quality measurements, respectively. The two types of exchanges implemented—empty-refill and flow-through—demonstrated 66 to &gt;99% efficiencies of volumetric exchange when this factor was measured using rhodamine dye as a tracer. Of the reports and papers reviewed, zooplankton were the most common biological parameter studied, and nearly all data showed a decrease in concentrations following exchange, although the changes in community structure varied. Additional biological parameters reported were the concentrations of protists, bacteria, and virus-like particles (VLPs). Results of protist studies were highly variable—ranging from a decrease in cell concentrations to an increase following exchange—while bacteria and VLPs concentrations showed no change in most cases. Of course, the diversity and physiological condition of organisms in ballast water can cause differences in responses that may lead to inconsistencies when determining if organisms were removed during exchange. Additionally, organisms present in sediment may also repopulate ballast water following exchange. In contrast to the biological results, some water quality parameters, such as chromophoric dissolved organic matter (CDOM) and trace elements (e.g., barium and manganese), were consistent indicators of exchange. In conclusion, although the volumetric efficacy of exchange showed, in most studies, that the majority of the water was removed from the tanks, biological and most water quality parameters did not show a consistent response to exchange.","container-title":"Management of Biological Invasions","DOI":"10.3391/mbi.2016.7.4.07","ISSN":"19898649","issue":"4","journalAbbreviation":"MBI","language":"en","page":"375-388","source":"DOI.org (Crossref)","title":"Efficacy of open-ocean ballast water exchange: a review","title-short":"Efficacy of open-ocean ballast water exchange","URL":"http://www.reabic.net/journals/mbi/2016/Issue4.aspx","volume":"7","author":[{"family":"Molina","given":"Vanessa"},{"family":"Drake","given":"Lisa A."}],"accessed":{"date-parts":[["2019",10,20]]},"issued":{"date-parts":[["2016"]]}},"label":"page"}],"schema":"https://github.com/citation-style-language/schema/raw/master/csl-citation.json"} </w:instrText>
      </w:r>
      <w:r w:rsidR="001B0409" w:rsidRPr="00837161">
        <w:fldChar w:fldCharType="separate"/>
      </w:r>
      <w:r w:rsidR="00271B78" w:rsidRPr="00271B78">
        <w:t>(Molina &amp; Drake, 2016)</w:t>
      </w:r>
      <w:r w:rsidR="001B0409" w:rsidRPr="00837161">
        <w:fldChar w:fldCharType="end"/>
      </w:r>
      <w:r w:rsidR="001B0409" w:rsidRPr="00837161">
        <w:t xml:space="preserve">. Organisms are </w:t>
      </w:r>
      <w:r w:rsidR="001B0409" w:rsidRPr="00837161">
        <w:lastRenderedPageBreak/>
        <w:t xml:space="preserve">physically removed by the flow, while the higher salinity level of open seawater can kill any coastal organisms present in ballast tanks </w:t>
      </w:r>
      <w:r w:rsidR="001B0409" w:rsidRPr="00837161">
        <w:fldChar w:fldCharType="begin"/>
      </w:r>
      <w:r w:rsidR="000F35EB">
        <w:instrText xml:space="preserve"> ADDIN ZOTERO_ITEM CSL_CITATION {"citationID":"BVFFdhMr","properties":{"formattedCitation":"(Santagata et al., 2008)","plainCitation":"(Santagata et al., 2008)","noteIndex":0},"citationItems":[{"id":16868,"uris":["http://zotero.org/groups/2352922/items/IJ2IQFQX"],"itemData":{"id":16868,"type":"article-journal","abstract":"Open-ocean ballast-water exchange (BWE) is currently the most common treatment used to reduce the ballast transfer of organisms and the subsequent risk of invasions among coastal ecosystems. Freshwater or estuarine organisms remaining after BWE often experience high mortality, due to osmotic shock caused by high-salinity exposure. We conducted 70 salinity tolerance experiments on 54 different taxa to measure mortality rates of freshwater and estuarine organisms after exposure to oceanic seawater (34 psu), simulating both flow-through (F-T) and empty-refill (E-R) BWE methods. We focused especially on larval and adult crustaceans from freshwater and mesohaline habitats adjacent to ports of the Baltic Sea, North Sea, Great Lakes, Chesapeake Bay, and San Francisco Bay. Animals from oligohaline habitats (0-2 psu) experienced the highest mortality: all individuals died in 82% of the F-T treatments and 88% of the E-R treatments. The effectiveness of both treatment types decreased with animals from low-salinity (2-5 psu, 100% mortality in 27% of F-T and 46% of E-R treatments) and mesohaline habitats (5-18 psu, 100% mortality in 40% of F-T and 52% of E-R treatments). In 43% of cases among all salinity categories, empty-refill treatments required less exposure time to cause significant mortality than flow-through treatments. Invertebrates that exhibited significant survivorship were most often peracarid crustaceans including widely introduced species of mysid shrimps and amphipods. Although salinity shock does not completely prevent the transfer of all low-salinity biota, BWE provides a useful management tool to reduce species transfers, especially considering the combined effects of removal and mortality.","container-title":"Aquatic Invasions","DOI":"10.3391/ai.2008.3.1.10","ISSN":"18185487","issue":"1","journalAbbreviation":"AI","language":"en","page":"61-76","source":"DOI.org (Crossref)","title":"Effect of osmotic shock as a management strategy to reduce transfers of non-indigenous species among low-salinity ports by ships","URL":"http://www.aquaticinvasions.net/2008/index1.html","volume":"3","author":[{"family":"Santagata","given":"Scott"},{"family":"Gasiūnaite","given":"Zita R."},{"family":"Verling","given":"Emma"},{"family":"Cordell","given":"Jeffery R."},{"family":"Eason","given":"Karen"},{"family":"Cohen","given":"Jill S."},{"family":"Bacela","given":"Karolina"},{"family":"Quilez-Badia","given":"Gemma"},{"family":"Johengen","given":"Thomas H."},{"family":"Reid","given":"David F."},{"family":"Ruiz","given":"Gregory M."}],"accessed":{"date-parts":[["2019",11,24]]},"issued":{"date-parts":[["2008",3]]}},"label":"page"}],"schema":"https://github.com/citation-style-language/schema/raw/master/csl-citation.json"} </w:instrText>
      </w:r>
      <w:r w:rsidR="001B0409" w:rsidRPr="00837161">
        <w:fldChar w:fldCharType="separate"/>
      </w:r>
      <w:r w:rsidR="00271B78" w:rsidRPr="00271B78">
        <w:t>(Santagata et al., 2008)</w:t>
      </w:r>
      <w:r w:rsidR="001B0409" w:rsidRPr="00837161">
        <w:fldChar w:fldCharType="end"/>
      </w:r>
      <w:r w:rsidR="001B0409" w:rsidRPr="00837161">
        <w:t>. The flow-through method pumps flow through seawater into a ballast water tank at a volume sufficient for least 300</w:t>
      </w:r>
      <w:r w:rsidR="0071620D" w:rsidRPr="00837161">
        <w:t xml:space="preserve"> percent</w:t>
      </w:r>
      <w:r w:rsidR="001B0409" w:rsidRPr="00837161">
        <w:t xml:space="preserve"> water replacement </w:t>
      </w:r>
      <w:r w:rsidR="001B0409" w:rsidRPr="00837161">
        <w:fldChar w:fldCharType="begin"/>
      </w:r>
      <w:r w:rsidR="000F35EB">
        <w:instrText xml:space="preserve"> ADDIN ZOTERO_ITEM CSL_CITATION {"citationID":"FVREK2sT","properties":{"formattedCitation":"(Molina &amp; Drake, 2016)","plainCitation":"(Molina &amp; Drake, 2016)","noteIndex":0},"citationItems":[{"id":16860,"uris":["http://zotero.org/groups/2352922/items/NXTMLUIQ"],"itemData":{"id":16860,"type":"article-journal","abstract":"A literature search was conducted to summarize studies that quantified the efficacy of ballast water exchange. Here, a number of parameters were collated from 68 studies to provide a meta-analysis of the efficacy of exchange. The percent removal of ballast water, organisms, and various physical parameters was investigated to quantify exchange efficacy in terms of volumetric, biological, and water quality measurements, respectively. The two types of exchanges implemented—empty-refill and flow-through—demonstrated 66 to &gt;99% efficiencies of volumetric exchange when this factor was measured using rhodamine dye as a tracer. Of the reports and papers reviewed, zooplankton were the most common biological parameter studied, and nearly all data showed a decrease in concentrations following exchange, although the changes in community structure varied. Additional biological parameters reported were the concentrations of protists, bacteria, and virus-like particles (VLPs). Results of protist studies were highly variable—ranging from a decrease in cell concentrations to an increase following exchange—while bacteria and VLPs concentrations showed no change in most cases. Of course, the diversity and physiological condition of organisms in ballast water can cause differences in responses that may lead to inconsistencies when determining if organisms were removed during exchange. Additionally, organisms present in sediment may also repopulate ballast water following exchange. In contrast to the biological results, some water quality parameters, such as chromophoric dissolved organic matter (CDOM) and trace elements (e.g., barium and manganese), were consistent indicators of exchange. In conclusion, although the volumetric efficacy of exchange showed, in most studies, that the majority of the water was removed from the tanks, biological and most water quality parameters did not show a consistent response to exchange.","container-title":"Management of Biological Invasions","DOI":"10.3391/mbi.2016.7.4.07","ISSN":"19898649","issue":"4","journalAbbreviation":"MBI","language":"en","page":"375-388","source":"DOI.org (Crossref)","title":"Efficacy of open-ocean ballast water exchange: a review","title-short":"Efficacy of open-ocean ballast water exchange","URL":"http://www.reabic.net/journals/mbi/2016/Issue4.aspx","volume":"7","author":[{"family":"Molina","given":"Vanessa"},{"family":"Drake","given":"Lisa A."}],"accessed":{"date-parts":[["2019",10,20]]},"issued":{"date-parts":[["2016"]]}},"label":"page"}],"schema":"https://github.com/citation-style-language/schema/raw/master/csl-citation.json"} </w:instrText>
      </w:r>
      <w:r w:rsidR="001B0409" w:rsidRPr="00837161">
        <w:fldChar w:fldCharType="separate"/>
      </w:r>
      <w:r w:rsidR="00271B78" w:rsidRPr="00271B78">
        <w:t>(Molina &amp; Drake, 2016)</w:t>
      </w:r>
      <w:r w:rsidR="001B0409" w:rsidRPr="00837161">
        <w:fldChar w:fldCharType="end"/>
      </w:r>
      <w:r w:rsidR="001B0409" w:rsidRPr="00837161">
        <w:t xml:space="preserve">, but can lead to lower exchange efficiencies than the sequential method because of mixing between the influent and effluent water </w:t>
      </w:r>
      <w:r w:rsidR="001B0409" w:rsidRPr="00837161">
        <w:fldChar w:fldCharType="begin"/>
      </w:r>
      <w:r w:rsidR="000F35EB">
        <w:instrText xml:space="preserve"> ADDIN ZOTERO_ITEM CSL_CITATION {"citationID":"fPKkvT1L","properties":{"formattedCitation":"(Noble et al., 2016)","plainCitation":"(Noble et al., 2016)","noteIndex":0},"citationItems":[{"id":17102,"uris":["http://zotero.org/groups/2352922/items/7LV66UNX"],"itemData":{"id":17102,"type":"article-journal","container-title":"Frontiers in Marine Science","DOI":"10.3389/fmars.2016.00066","ISSN":"2296-7745","journalAbbreviation":"Front. Mar. Sci.","language":"en","source":"DOI.org (Crossref)","title":"Chemical Assessment of Ballast Water Exchange Compliance: Implementation in North America and New Zealand","title-short":"Chemical Assessment of Ballast Water Exchange Compliance","URL":"http://journal.frontiersin.org/Article/10.3389/fmars.2016.00066/abstract","volume":"3","author":[{"family":"Noble","given":"Monaca"},{"family":"Ruiz","given":"Gregory M."},{"family":"Murphy","given":"Kathleen R."}],"accessed":{"date-parts":[["2019",11,24]]},"issued":{"date-parts":[["2016",5,9]]}},"label":"page"}],"schema":"https://github.com/citation-style-language/schema/raw/master/csl-citation.json"} </w:instrText>
      </w:r>
      <w:r w:rsidR="001B0409" w:rsidRPr="00837161">
        <w:fldChar w:fldCharType="separate"/>
      </w:r>
      <w:r w:rsidR="00271B78" w:rsidRPr="00271B78">
        <w:t>(Noble et al., 2016)</w:t>
      </w:r>
      <w:r w:rsidR="001B0409" w:rsidRPr="00837161">
        <w:fldChar w:fldCharType="end"/>
      </w:r>
      <w:r w:rsidR="001B0409" w:rsidRPr="00837161">
        <w:t xml:space="preserve">. Most </w:t>
      </w:r>
      <w:r w:rsidR="00467796" w:rsidRPr="00837161">
        <w:t>ballast water manage</w:t>
      </w:r>
      <w:r w:rsidR="001B0409" w:rsidRPr="00837161">
        <w:t xml:space="preserve">ment systems actually employ a combination of two </w:t>
      </w:r>
      <w:r w:rsidR="00442C32" w:rsidRPr="00837161">
        <w:t>or more</w:t>
      </w:r>
      <w:r w:rsidR="001B0409" w:rsidRPr="00837161">
        <w:t xml:space="preserve"> additional treatments </w:t>
      </w:r>
      <w:r w:rsidR="001B0409" w:rsidRPr="00837161">
        <w:fldChar w:fldCharType="begin"/>
      </w:r>
      <w:r w:rsidR="000F35EB">
        <w:instrText xml:space="preserve"> ADDIN ZOTERO_ITEM CSL_CITATION {"citationID":"TPBtgfSH","properties":{"formattedCitation":"(Werschkun et al., 2014)","plainCitation":"(Werschkun et al., 2014)","noteIndex":0},"citationItems":[{"id":16855,"uris":["http://zotero.org/groups/2352922/items/9P5VUEB4"],"itemData":{"id":16855,"type":"article-journal","container-title":"Chemosphere","DOI":"10.1016/j.chemosphere.2014.03.135","ISSN":"00456535","journalAbbreviation":"Chemosphere","language":"en","page":"256-266","source":"DOI.org (Crossref)","title":"Emerging risks from ballast water treatment: The run-up to the International Ballast Water Management Convention","title-short":"Emerging risks from ballast water treatment","URL":"https://linkinghub.elsevier.com/retrieve/pii/S0045653514005268","volume":"112","author":[{"family":"Werschkun","given":"Barbara"},{"family":"Banerji","given":"Sangeeta"},{"family":"Basurko","given":"Oihane C."},{"family":"David","given":"Matej"},{"family":"Fuhr","given":"Frank"},{"family":"Gollasch","given":"Stephan"},{"family":"Grummt","given":"Tamara"},{"family":"Haarich","given":"Michael"},{"family":"Jha","given":"Awadhesh N."},{"family":"Kacan","given":"Stefan"},{"family":"Kehrer","given":"Anja"},{"family":"Linders","given":"Jan"},{"family":"Mesbahi","given":"Ehsan"},{"family":"Pughiuc","given":"Dandu"},{"family":"Richardson","given":"Susan D."},{"family":"Schwarz-Schulz","given":"Beatrice"},{"family":"Shah","given":"Amisha"},{"family":"Theobald","given":"Norbert"},{"family":"Gunten","given":"Urs","non-dropping-particle":"von"},{"family":"Wieck","given":"Stefanie"},{"family":"Höfer","given":"Thomas"}],"accessed":{"date-parts":[["2019",11,24]]},"issued":{"date-parts":[["2014",10]]}},"label":"page"}],"schema":"https://github.com/citation-style-language/schema/raw/master/csl-citation.json"} </w:instrText>
      </w:r>
      <w:r w:rsidR="001B0409" w:rsidRPr="00837161">
        <w:fldChar w:fldCharType="separate"/>
      </w:r>
      <w:r w:rsidR="00271B78" w:rsidRPr="00271B78">
        <w:t>(Werschkun et al., 2014)</w:t>
      </w:r>
      <w:r w:rsidR="001B0409" w:rsidRPr="00837161">
        <w:fldChar w:fldCharType="end"/>
      </w:r>
      <w:r w:rsidR="001B0409" w:rsidRPr="00837161">
        <w:t xml:space="preserve">. The first of these is mechanical filtration of larger particles </w:t>
      </w:r>
      <w:r w:rsidR="005B6F4B" w:rsidRPr="00837161">
        <w:t xml:space="preserve">(organisms) </w:t>
      </w:r>
      <w:r w:rsidR="001B0409" w:rsidRPr="00837161">
        <w:t>with self-cleaning filter systems</w:t>
      </w:r>
      <w:r w:rsidR="00442C32" w:rsidRPr="00837161">
        <w:t xml:space="preserve"> followed by electrochlorination or UV irradiation</w:t>
      </w:r>
      <w:r w:rsidR="001B0409" w:rsidRPr="00837161">
        <w:t xml:space="preserve">. </w:t>
      </w:r>
      <w:r w:rsidR="003453DA" w:rsidRPr="00837161">
        <w:t xml:space="preserve">Other treatments include </w:t>
      </w:r>
      <w:r w:rsidR="001B0409" w:rsidRPr="00837161">
        <w:t xml:space="preserve">ultrasound, cavitation </w:t>
      </w:r>
      <w:r w:rsidR="001D58C7">
        <w:t xml:space="preserve">and </w:t>
      </w:r>
      <w:r w:rsidR="001B0409" w:rsidRPr="00837161">
        <w:t>heating</w:t>
      </w:r>
      <w:r w:rsidR="003453DA" w:rsidRPr="00837161">
        <w:t xml:space="preserve"> which can also </w:t>
      </w:r>
      <w:r w:rsidR="001B0409" w:rsidRPr="00837161">
        <w:t>lead to physical destruction of unde</w:t>
      </w:r>
      <w:r w:rsidR="00D7304D" w:rsidRPr="00837161">
        <w:t>s</w:t>
      </w:r>
      <w:r w:rsidR="001B0409" w:rsidRPr="00837161">
        <w:t xml:space="preserve">irable organisms. The other important prevention </w:t>
      </w:r>
      <w:r w:rsidR="0065726C" w:rsidRPr="00837161">
        <w:t xml:space="preserve">approach </w:t>
      </w:r>
      <w:r w:rsidR="001B0409" w:rsidRPr="00837161">
        <w:t xml:space="preserve">for shipping is the </w:t>
      </w:r>
      <w:r w:rsidR="00CB6A57" w:rsidRPr="00837161">
        <w:t>management</w:t>
      </w:r>
      <w:r w:rsidR="001B0409" w:rsidRPr="00837161">
        <w:t xml:space="preserve"> of hull biofouling</w:t>
      </w:r>
      <w:r w:rsidR="000D1A24" w:rsidRPr="00837161">
        <w:t xml:space="preserve"> and specific niche areas of the hull</w:t>
      </w:r>
      <w:r w:rsidR="000301BE" w:rsidRPr="00837161">
        <w:t>. There is</w:t>
      </w:r>
      <w:r w:rsidR="001B0409" w:rsidRPr="00837161">
        <w:t>, however</w:t>
      </w:r>
      <w:r w:rsidR="000301BE" w:rsidRPr="00837161">
        <w:t>, currently no international convention regulating biofouling</w:t>
      </w:r>
      <w:r w:rsidR="005739B5" w:rsidRPr="00837161">
        <w:t xml:space="preserve"> </w:t>
      </w:r>
      <w:r w:rsidR="008E7125" w:rsidRPr="00837161">
        <w:t>and</w:t>
      </w:r>
      <w:r w:rsidR="005739B5" w:rsidRPr="00837161">
        <w:t xml:space="preserve"> only national or local regulations </w:t>
      </w:r>
      <w:r w:rsidR="008E7125" w:rsidRPr="00837161">
        <w:t xml:space="preserve">exist </w:t>
      </w:r>
      <w:r w:rsidR="005739B5" w:rsidRPr="00837161">
        <w:t>in a few jurisdictions such as Australia, New Zealand</w:t>
      </w:r>
      <w:r w:rsidR="00C16EEB">
        <w:t xml:space="preserve"> and</w:t>
      </w:r>
      <w:r w:rsidR="005739B5" w:rsidRPr="00837161">
        <w:t xml:space="preserve"> California in the United States</w:t>
      </w:r>
      <w:r w:rsidR="000301BE" w:rsidRPr="00837161">
        <w:t>.</w:t>
      </w:r>
      <w:r w:rsidR="008E7125" w:rsidRPr="00837161">
        <w:t xml:space="preserve"> </w:t>
      </w:r>
      <w:r w:rsidR="006D4C1C" w:rsidRPr="00837161">
        <w:t>The</w:t>
      </w:r>
      <w:r w:rsidR="00471656" w:rsidRPr="00837161">
        <w:t xml:space="preserve"> International Maritime Organi</w:t>
      </w:r>
      <w:r w:rsidR="00D82DEE" w:rsidRPr="00837161">
        <w:t>z</w:t>
      </w:r>
      <w:r w:rsidR="00471656" w:rsidRPr="00837161">
        <w:t xml:space="preserve">ation </w:t>
      </w:r>
      <w:r w:rsidR="006D4C1C" w:rsidRPr="00837161">
        <w:t>does have</w:t>
      </w:r>
      <w:r w:rsidR="00471656" w:rsidRPr="00837161">
        <w:t xml:space="preserve"> </w:t>
      </w:r>
      <w:r w:rsidR="00495B72" w:rsidRPr="00837161">
        <w:t>biofouling guidelines</w:t>
      </w:r>
      <w:r w:rsidR="00471656" w:rsidRPr="00837161">
        <w:t xml:space="preserve"> </w:t>
      </w:r>
      <w:r w:rsidR="001B0409" w:rsidRPr="00837161">
        <w:t>(</w:t>
      </w:r>
      <w:r w:rsidR="00AE05BC" w:rsidRPr="00F618D4">
        <w:rPr>
          <w:b/>
          <w:iCs/>
        </w:rPr>
        <w:t>section</w:t>
      </w:r>
      <w:r w:rsidR="001B0409" w:rsidRPr="00F618D4">
        <w:rPr>
          <w:b/>
          <w:iCs/>
        </w:rPr>
        <w:t xml:space="preserve"> </w:t>
      </w:r>
      <w:r w:rsidR="003D55A1" w:rsidRPr="00F618D4">
        <w:rPr>
          <w:b/>
          <w:iCs/>
        </w:rPr>
        <w:t>5.5.1</w:t>
      </w:r>
      <w:r w:rsidR="001B0409" w:rsidRPr="00837161">
        <w:t xml:space="preserve">). </w:t>
      </w:r>
      <w:r w:rsidR="00754AA3" w:rsidRPr="00837161">
        <w:t xml:space="preserve">Context and </w:t>
      </w:r>
      <w:r w:rsidR="5BB27864" w:rsidRPr="00837161">
        <w:t>effectivenes</w:t>
      </w:r>
      <w:r w:rsidR="2CE959DD" w:rsidRPr="00837161">
        <w:t>s</w:t>
      </w:r>
      <w:r w:rsidR="00754AA3" w:rsidRPr="00837161">
        <w:t xml:space="preserve"> of biofouling </w:t>
      </w:r>
      <w:r w:rsidR="008E7125" w:rsidRPr="00837161">
        <w:t xml:space="preserve">management </w:t>
      </w:r>
      <w:r w:rsidR="00754AA3" w:rsidRPr="00837161">
        <w:t>have been reviewed by</w:t>
      </w:r>
      <w:r w:rsidR="00543ED8" w:rsidRPr="00837161">
        <w:t xml:space="preserve"> Arndt et al. </w:t>
      </w:r>
      <w:r w:rsidR="001B0409" w:rsidRPr="00837161">
        <w:fldChar w:fldCharType="begin"/>
      </w:r>
      <w:r w:rsidR="000F35EB">
        <w:instrText xml:space="preserve"> ADDIN ZOTERO_ITEM CSL_CITATION {"citationID":"9pLWh1KS","properties":{"formattedCitation":"(2021)","plainCitation":"(2021)","noteIndex":0},"citationItems":[{"id":31791,"uris":["http://zotero.org/groups/2352922/items/UXI4GRKN"],"itemData":{"id":31791,"type":"report","genre":"Final report for CEBRA Project 190803","language":"en","page":"106","source":"Zotero","title":"Factors that influence vessel biofouling and its prevention and management","URL":"https://cebra.unimelb.edu.au/__data/assets/pdf_file/0010/3822922/Endorsed-CEBRA-190803-Final-Report.pdf","author":[{"family":"Arndt","given":"Edith"},{"family":"Robinson","given":"Andrew"},{"family":"Hester","given":"Susie"}],"contributor":[{"family":"Woodham","given":"Bartholomew"},{"family":"Wilkinson","given":"Peter"},{"family":"Gorgula","given":"Sonia"},{"family":"Brooks","given":"Bianca"}],"issued":{"date-parts":[["2021"]]}},"label":"page","suppress-author":true}],"schema":"https://github.com/citation-style-language/schema/raw/master/csl-citation.json"} </w:instrText>
      </w:r>
      <w:r w:rsidR="001B0409" w:rsidRPr="00837161">
        <w:fldChar w:fldCharType="separate"/>
      </w:r>
      <w:r w:rsidR="00271B78" w:rsidRPr="00271B78">
        <w:t>(2021)</w:t>
      </w:r>
      <w:r w:rsidR="001B0409" w:rsidRPr="00837161">
        <w:fldChar w:fldCharType="end"/>
      </w:r>
      <w:r w:rsidR="001B0409" w:rsidRPr="00837161">
        <w:t>.</w:t>
      </w:r>
      <w:r w:rsidRPr="00C0338D">
        <w:t xml:space="preserve"> </w:t>
      </w:r>
    </w:p>
    <w:p w14:paraId="20F33569" w14:textId="18C0B9CE" w:rsidR="001B0409" w:rsidRPr="00837161" w:rsidRDefault="493F515C" w:rsidP="00C11DFA">
      <w:pPr>
        <w:spacing w:before="240" w:after="120" w:line="240" w:lineRule="auto"/>
        <w:rPr>
          <w:rFonts w:eastAsia="DengXian"/>
        </w:rPr>
      </w:pPr>
      <w:r w:rsidRPr="00837161">
        <w:t xml:space="preserve">Prevention treatments for biosecurity risks associated with cargo (traded commodities, </w:t>
      </w:r>
      <w:r w:rsidR="00C3745E" w:rsidRPr="00837161">
        <w:t>packaging</w:t>
      </w:r>
      <w:r w:rsidR="00C16EEB">
        <w:t xml:space="preserve"> and</w:t>
      </w:r>
      <w:r w:rsidRPr="00837161">
        <w:t xml:space="preserve"> containers) are already in widespread use. These include chemical fumigation particularly of wooden pallets and cardboard packaging (still largely using methyl bromide even though regulations under the Montreal protocol have been agreed for some</w:t>
      </w:r>
      <w:r w:rsidR="00C3745E" w:rsidRPr="00837161">
        <w:t xml:space="preserve"> </w:t>
      </w:r>
      <w:r w:rsidRPr="00837161">
        <w:t>time to phase it out to avoid ozone damage</w:t>
      </w:r>
      <w:r w:rsidR="42C973EC" w:rsidRPr="00837161">
        <w:t>)</w:t>
      </w:r>
      <w:r w:rsidRPr="00837161">
        <w:t xml:space="preserve">. The IPPC have approved sulfuryl fluoride as a treatment for compliance for ISPM-15 </w:t>
      </w:r>
      <w:r w:rsidRPr="00837161">
        <w:fldChar w:fldCharType="begin"/>
      </w:r>
      <w:r w:rsidR="000F35EB">
        <w:instrText xml:space="preserve"> ADDIN ZOTERO_ITEM CSL_CITATION {"citationID":"UtbmFx6e","properties":{"formattedCitation":"(FAO, 2018a)","plainCitation":"(FAO, 2018a)","noteIndex":0},"citationItems":[{"id":25116,"uris":["http://zotero.org/groups/2352922/items/5IMAV5BE"],"itemData":{"id":25116,"type":"document","publisher":"Food and Agriculture Organization of the United Nations","title":"International Standard for Phytosanitary Measures 6. Surveillance.","URL":"http://www.fao.org/documents/card/en/c/7985f320-a606-47f9-9f0b-9dfa5a2e1622/","author":[{"literal":"FAO"}],"issued":{"date-parts":[["2018"]]}},"label":"page"}],"schema":"https://github.com/citation-style-language/schema/raw/master/csl-citation.json"} </w:instrText>
      </w:r>
      <w:r w:rsidRPr="00837161">
        <w:fldChar w:fldCharType="separate"/>
      </w:r>
      <w:r w:rsidR="00271B78" w:rsidRPr="00271B78">
        <w:t>(FAO, 2018a)</w:t>
      </w:r>
      <w:r w:rsidRPr="00837161">
        <w:fldChar w:fldCharType="end"/>
      </w:r>
      <w:r w:rsidRPr="00837161">
        <w:t xml:space="preserve"> and additional options include dielectric heating and </w:t>
      </w:r>
      <w:r w:rsidR="00AF13BC" w:rsidRPr="00837161">
        <w:t>non-wooden</w:t>
      </w:r>
      <w:r w:rsidRPr="00837161">
        <w:t xml:space="preserve"> pallets. It is recogni</w:t>
      </w:r>
      <w:r w:rsidR="00814B7A" w:rsidRPr="00837161">
        <w:t>z</w:t>
      </w:r>
      <w:r w:rsidRPr="00837161">
        <w:t xml:space="preserve">ed that sulphuryl fluoride is a highly effective greenhouse gas </w:t>
      </w:r>
      <w:r w:rsidR="00585CE8" w:rsidRPr="00837161">
        <w:fldChar w:fldCharType="begin"/>
      </w:r>
      <w:r w:rsidR="000F35EB">
        <w:instrText xml:space="preserve"> ADDIN ZOTERO_ITEM CSL_CITATION {"citationID":"8oTmcBpo","properties":{"formattedCitation":"(Papadimitriou et al., 2008)","plainCitation":"(Papadimitriou et al., 2008)","noteIndex":0},"citationItems":[{"id":29577,"uris":["http://zotero.org/groups/2352922/items/ABHT9G2A"],"itemData":{"id":29577,"type":"article-journal","container-title":"The Journal of Physical Chemistry A","DOI":"10.1021/jp806368u","ISSN":"1089-5639, 1520-5215","issue":"49","journalAbbreviation":"J. Phys. Chem. A","language":"en","page":"12657-12666","source":"DOI.org (Crossref)","title":"Experimental and Theoretical Study of the Atmospheric Chemistry and Global Warming Potential of SO &lt;sub&gt;2&lt;/sub&gt; F &lt;sub&gt;2&lt;/sub&gt;","URL":"https://pubs.acs.org/doi/10.1021/jp806368u","volume":"112","author":[{"family":"Papadimitriou","given":"Vassileios C."},{"family":"Portmann","given":"R. W."},{"family":"Fahey","given":"David W."},{"family":"Mühle","given":"Jens"},{"family":"Weiss","given":"Ray F."},{"family":"Burkholder","given":"James B."}],"accessed":{"date-parts":[["2021",7,26]]},"issued":{"date-parts":[["2008",12,11]]}},"label":"page"}],"schema":"https://github.com/citation-style-language/schema/raw/master/csl-citation.json"} </w:instrText>
      </w:r>
      <w:r w:rsidR="00585CE8" w:rsidRPr="00837161">
        <w:fldChar w:fldCharType="separate"/>
      </w:r>
      <w:r w:rsidR="00271B78" w:rsidRPr="00271B78">
        <w:t>(Papadimitriou et al., 2008)</w:t>
      </w:r>
      <w:r w:rsidR="00585CE8" w:rsidRPr="00837161">
        <w:fldChar w:fldCharType="end"/>
      </w:r>
      <w:r w:rsidRPr="00837161">
        <w:t>. Replacements for methy</w:t>
      </w:r>
      <w:r w:rsidR="00F72791" w:rsidRPr="00837161">
        <w:t>l</w:t>
      </w:r>
      <w:r w:rsidRPr="00837161">
        <w:t xml:space="preserve"> bromide are rapidly being sought</w:t>
      </w:r>
      <w:r w:rsidR="00601FF0" w:rsidRPr="00837161">
        <w:t xml:space="preserve"> to support</w:t>
      </w:r>
      <w:r w:rsidR="2CEFD195" w:rsidRPr="00837161">
        <w:t xml:space="preserve"> </w:t>
      </w:r>
      <w:r w:rsidRPr="00837161">
        <w:t xml:space="preserve">irradiation and cold treatment </w:t>
      </w:r>
      <w:r w:rsidR="00601FF0" w:rsidRPr="00837161">
        <w:t>along supply chains</w:t>
      </w:r>
      <w:r w:rsidRPr="00837161">
        <w:t xml:space="preserve"> for horticultural </w:t>
      </w:r>
      <w:r w:rsidR="0BD3A670" w:rsidRPr="00837161">
        <w:t>commodit</w:t>
      </w:r>
      <w:r w:rsidR="18FA89B3" w:rsidRPr="00837161">
        <w:t>i</w:t>
      </w:r>
      <w:r w:rsidR="0BD3A670" w:rsidRPr="00837161">
        <w:t>es.</w:t>
      </w:r>
      <w:r w:rsidRPr="00837161">
        <w:t xml:space="preserve"> Phosphine is </w:t>
      </w:r>
      <w:r w:rsidR="0BD3A670" w:rsidRPr="00837161">
        <w:t>cu</w:t>
      </w:r>
      <w:r w:rsidR="300EA698" w:rsidRPr="00837161">
        <w:t>r</w:t>
      </w:r>
      <w:r w:rsidR="0BD3A670" w:rsidRPr="00837161">
        <w:t>rently</w:t>
      </w:r>
      <w:r w:rsidRPr="00837161">
        <w:t xml:space="preserve"> in use as an alternative to methyl bromide and is widely used to treat most durable commodities and for disinfestation of stored seed and food grains </w:t>
      </w:r>
      <w:r w:rsidRPr="00837161">
        <w:fldChar w:fldCharType="begin"/>
      </w:r>
      <w:r w:rsidR="000F35EB">
        <w:instrText xml:space="preserve"> ADDIN ZOTERO_ITEM CSL_CITATION {"citationID":"iM1d66n4","properties":{"formattedCitation":"(Fields &amp; White, 2002)","plainCitation":"(Fields &amp; White, 2002)","noteIndex":0},"citationItems":[{"id":29574,"uris":["http://zotero.org/groups/2352922/items/MIRKFEII"],"itemData":{"id":29574,"type":"article-journal","container-title":"Annual Review of Entomology","DOI":"10.1146/annurev.ento.47.091201.145217","language":"English","page":"331-359","title":"Alternatives to methyl bromide treatments for stored-product and quarantine insects.","volume":"47","author":[{"family":"Fields","given":"Paul G."},{"family":"White","given":"Noel D.G."}],"issued":{"date-parts":[["2002"]]}},"label":"page"}],"schema":"https://github.com/citation-style-language/schema/raw/master/csl-citation.json"} </w:instrText>
      </w:r>
      <w:r w:rsidRPr="00837161">
        <w:fldChar w:fldCharType="separate"/>
      </w:r>
      <w:r w:rsidR="00271B78" w:rsidRPr="00271B78">
        <w:t>(Fields &amp; White, 2002)</w:t>
      </w:r>
      <w:r w:rsidRPr="00837161">
        <w:fldChar w:fldCharType="end"/>
      </w:r>
      <w:r w:rsidRPr="00837161">
        <w:t>. However</w:t>
      </w:r>
      <w:r w:rsidR="5AF04851" w:rsidRPr="00837161">
        <w:t>,</w:t>
      </w:r>
      <w:r w:rsidRPr="00837161">
        <w:t xml:space="preserve"> there is phosphine resistance in many stored grain beetle pests and this has been documented in Australia, India, Morocco, Brazil, the United States and China </w:t>
      </w:r>
      <w:r w:rsidRPr="00837161">
        <w:fldChar w:fldCharType="begin"/>
      </w:r>
      <w:r w:rsidR="007746C5">
        <w:instrText xml:space="preserve"> ADDIN ZOTERO_ITEM CSL_CITATION {"citationID":"ciVWSgm6","properties":{"formattedCitation":"(Benhalima et al., 2004; Chaudhry, 1997; Collins et al., 2003; Navarro &amp; Navarro, 2016; Nayak et al., 2003; M. A. G. Pimentel et al., 2009)","plainCitation":"(Benhalima et al., 2004; Chaudhry, 1997; Collins et al., 2003; Navarro &amp; Navarro, 2016; Nayak et al., 2003; M. A. G. Pimentel et al., 2009)","noteIndex":0},"citationItems":[{"id":29985,"uris":["http://zotero.org/groups/2352922/items/9HF5KYDU"],"itemData":{"id":29985,"type":"article-journal","container-title":"Journal of Stored Products Research","DOI":"10.1016/S0022-474X(03)00012-2","ISSN":"0022474X","issue":"3","journalAbbreviation":"Journal of Stored Products Research","language":"en","page":"241-249","source":"DOI.org (Crossref)","title":"Phosphine resistance in stored-product insects collected from various grain storage facilities in Morocco","URL":"https://linkinghub.elsevier.com/retrieve/pii/S0022474X03000122","volume":"40","author":[{"family":"Benhalima","given":"H."},{"family":"Chaudhry","given":"M.Q."},{"family":"Mills","given":"K.A."},{"family":"Price","given":"N.R."}],"accessed":{"date-parts":[["2021",7,23]]},"issued":{"date-parts":[["2004",1]]}},"label":"page"},{"id":29581,"uris":["http://zotero.org/groups/2352922/items/QHVGP3F6"],"itemData":{"id":29581,"type":"article-journal","abstract":"Phosphine gas has been used world-wide for more than four decades as an ideal fumigant for disinfestation of stored grains and other commodities. Its use as a safe fumigant of stored products has become even more important with recent restrictions on the production of the only alternative, methyl bromide. Widespread resistance to phosphine has emerged in several species of stored-product insects in many countries, which in some instances may have caused control failures. Chemically, phosphine is a strong reducing agent and biological redox systems, especially the components of the mitochondrial electron transport chain, are probably the site of its action in insects. The oxidation of phosphine could produce reactive phosphorylating species and interactions of phosphine with biological redox systems have been reported to cause generation of highly reactive oxyradicals. This appears to be the basis of phosphine toxicity to insects, which differs from that of respiratory inhibitors such as hydrogen cyanide. Phosphine-resistant strains of several species of stored-product insects have been reported to absorb very small amounts of the compound compared to their susceptible counterparts. This reduced uptake in resistant insects appears to result from respiratory exclusion of phosphine. The overall mechanism of resistance also involves a detoxification process. Despite the likely involvement of oxyradicals in the insecticidal action of phosphine, the level of anti-oxidant enzymes in resistant insects is apparently not higher than that in their susceptible counterparts. The reduced uptake of the compound might be due either to the presence of a phosphine insensitive target site or to a membrane-based efflux system that excludes phosphine gas in resistant insects. Studies have indicated the oxygen uptake in mitochondrial preparations from susceptible and resistant insects to be equally sensitive to inhibition by phosphine in vitro. The nature of the phosphine-exclusion system in resistant insects has not been fully elucidated. The possibilities of controlling resistant insects with phosphine and prospects for developing new alternative fumigants are also discussed. © 1997 SCI.","container-title":"Pesticide Science","DOI":"https://doi.org/10.1002/(SICI)1096-9063(199703)49:3%3C213::AID-PS516%3E3.0.CO;2-%23","ISSN":"1096-9063","issue":"3","language":"en","page":"213-228","source":"Wiley Online Library","title":"Review A Review of the Mechanisms Involved in the Action of Phosphine as an Insecticide and Phosphine Resistance in Stored-Product Insects","URL":"https://onlinelibrary.wiley.com/doi/abs/10.1002/%28SICI%291096-9063%28199703%2949%3A3%3C213%3A%3AAID-PS516%3E3.0.CO%3B2-%23","volume":"49","author":[{"family":"Chaudhry","given":"M. Q."}],"accessed":{"date-parts":[["2021",7,23]]},"issued":{"date-parts":[["1997"]]}},"label":"page"},{"id":29580,"uris":["http://zotero.org/groups/2352922/items/P2FGDYHL"],"itemData":{"id":29580,"type":"paper-conference","container-title":"Proceedings of the 8th International Working Conference on Stored Product Protection, York, UK, 22-26 July 2002","DOI":"10.1079/9780851996912.0570","event-place":"Wallingford","event-title":"The 8th International Working Conference on Stored Product Protection","ISBN":"978-0-85199-691-2","language":"en","page":"570-575","publisher":"CABI","publisher-place":"Wallingford","source":"DOI.org (Crossref)","title":"Two decades of monitoring and managing phosphine resistance in Australia.","URL":"http://www.cabi.org/cabebooks/ebook/20033122823","editor":[{"family":"Credland","given":"P. F."},{"family":"Armitage","given":"D. M."},{"family":"Bell","given":"C. H."},{"family":"Cogan","given":"P. M."},{"family":"Highley","given":"E."}],"author":[{"family":"Collins","given":"P. J."},{"family":"Emery","given":"R. N."},{"family":"Wallbank","given":"B. E."}],"accessed":{"date-parts":[["2021",7,23]]},"issued":{"date-parts":[["2003"]]}},"label":"page"},{"id":29582,"uris":["http://zotero.org/groups/2352922/items/9X56VBQL"],"itemData":{"id":29582,"type":"paper-conference","container-title":"Proceedings of the 10th International Conference on controlled atmosphere and fumigation in stored products","language":"English","page":"126-133","publisher":"CAF Permanent Committee Secretariat, CAF","title":"Current global challenges to the use of fumigants","URL":"http://ftic.co.il/2016NewDelhiPDF/PP126-133-A022-SESSION03.pdf","author":[{"family":"Navarro","given":"Hagit"},{"family":"Navarro","given":"Shlomo"}],"editor":[{"family":"Navarro","given":"S"},{"family":"Jayas","given":"D S"},{"family":"Alagusundaram","given":"K"}],"issued":{"date-parts":[["2016"]]}},"label":"page"},{"id":29579,"uris":["http://zotero.org/groups/2352922/items/6HBAIH7W"],"itemData":{"id":29579,"type":"paper-conference","collection-title":"Proceedings of the Australian Postharvest techncial conference","container-title":"Stored grain in Australia 2003.","event-place":"Canberra","page":"156-159","publisher":"CSIRO Stored Grain Research Laboratory","publisher-place":"Canberra","title":"Developments in phosphine resistance in China and possible implications for Australia","URL":"https://storedgrain.com.au/wp-content/uploads/2013/06/30.pdf","author":[{"family":"Nayak","given":"M.K."},{"family":"Collins","given":"P.J."},{"family":"Pavic","given":"H."}],"editor":[{"family":"Wright","given":"E.J."},{"family":"Webb","given":"M.C."},{"family":"Highley","given":"E."}],"issued":{"date-parts":[["2003",6,25]]}},"label":"page"},{"id":29986,"uris":["http://zotero.org/groups/2352922/items/MHABZH9I"],"itemData":{"id":29986,"type":"article-journal","container-title":"Journal of Stored Products Research","DOI":"10.1016/j.jspr.2008.09.001","ISSN":"0022474X","issue":"1","journalAbbreviation":"Journal of Stored Products Research","language":"en","page":"71-74","source":"DOI.org (Crossref)","title":"Phosphine resistance in Brazilian populations of &lt;i&gt;Sitophilus zeamais&lt;/i&gt; Motschulsky (Coleoptera: Curculionidae)","title-short":"Phosphine resistance in Brazilian populations of Sitophilus zeamais Motschulsky (Coleoptera","URL":"https://linkinghub.elsevier.com/retrieve/pii/S0022474X08000775","volume":"45","author":[{"family":"Pimentel","given":"M.A.G."},{"family":"Faroni","given":"L.R.D'A."},{"family":"Guedes","given":"R.N.C."},{"family":"Sousa","given":"A.H."},{"family":"Tótola","given":"M.R."}],"accessed":{"date-parts":[["2021",7,23]]},"issued":{"date-parts":[["2009",1]]}},"label":"page"}],"schema":"https://github.com/citation-style-language/schema/raw/master/csl-citation.json"} </w:instrText>
      </w:r>
      <w:r w:rsidRPr="00837161">
        <w:fldChar w:fldCharType="separate"/>
      </w:r>
      <w:r w:rsidR="007746C5" w:rsidRPr="007746C5">
        <w:t>(Benhalima et al., 2004; Chaudhry, 1997; Collins et al., 2003; Navarro &amp; Navarro, 2016; Nayak et al., 2003; M. A. G. Pimentel et al., 2009)</w:t>
      </w:r>
      <w:r w:rsidRPr="00837161">
        <w:fldChar w:fldCharType="end"/>
      </w:r>
      <w:r w:rsidRPr="00767086">
        <w:rPr>
          <w:lang w:val="es-ES"/>
        </w:rPr>
        <w:t xml:space="preserve">. </w:t>
      </w:r>
      <w:r w:rsidRPr="00837161">
        <w:t>Phosphine resistance in stored grain pests ha</w:t>
      </w:r>
      <w:r w:rsidR="001D58C7">
        <w:t>s</w:t>
      </w:r>
      <w:r w:rsidRPr="00837161">
        <w:t xml:space="preserve"> been increasing in severity and is a threat to the continued use of phosphine as an effective control method </w:t>
      </w:r>
      <w:r w:rsidRPr="00837161">
        <w:fldChar w:fldCharType="begin"/>
      </w:r>
      <w:r w:rsidR="000F35EB">
        <w:instrText xml:space="preserve"> ADDIN ZOTERO_ITEM CSL_CITATION {"citationID":"X0SiGu1a","properties":{"formattedCitation":"(Schlipalius et al., 2015)","plainCitation":"(Schlipalius et al., 2015)","noteIndex":0},"citationItems":[{"id":29575,"uris":["http://zotero.org/groups/2352922/items/KBRF3KQM"],"itemData":{"id":29575,"type":"paper-conference","container-title":"Session 1: Emerging Global Issues in Stored Product Protection","DOI":"10.14455/DOA.res.2014.3","event-place":"Chiang Mai Thailand","event-title":"11th International Working Conference on stored product protection","page":"10-14","publisher-place":"Chiang Mai Thailand","title":"An emerging international picture of phosphine resistance: opportunities for global cooperation.","URL":"http://spiru.cgahr.ksu.edu/proj/iwcspp/pdf2/11/001.pdf","author":[{"family":"Schlipalius","given":"D. I."},{"family":"Ebert","given":"P. R."},{"family":"Collins","given":"P. J."}],"issued":{"date-parts":[["2015"]]}},"label":"page"}],"schema":"https://github.com/citation-style-language/schema/raw/master/csl-citation.json"} </w:instrText>
      </w:r>
      <w:r w:rsidRPr="00837161">
        <w:fldChar w:fldCharType="separate"/>
      </w:r>
      <w:r w:rsidR="00271B78" w:rsidRPr="00271B78">
        <w:t>(Schlipalius et al., 2015)</w:t>
      </w:r>
      <w:r w:rsidRPr="00837161">
        <w:fldChar w:fldCharType="end"/>
      </w:r>
      <w:r w:rsidR="00BD497B" w:rsidRPr="00837161">
        <w:t>.</w:t>
      </w:r>
      <w:r w:rsidRPr="00837161">
        <w:t xml:space="preserve"> </w:t>
      </w:r>
    </w:p>
    <w:p w14:paraId="2D54D257" w14:textId="2E77AAB8" w:rsidR="001B0409" w:rsidRPr="00837161" w:rsidRDefault="001B0409" w:rsidP="00C11DFA">
      <w:pPr>
        <w:spacing w:before="240" w:after="120" w:line="240" w:lineRule="auto"/>
      </w:pPr>
      <w:r w:rsidRPr="00837161">
        <w:rPr>
          <w:rFonts w:eastAsia="Calibri"/>
        </w:rPr>
        <w:t>Low atmosphere pressure systems (</w:t>
      </w:r>
      <w:r w:rsidRPr="00837161">
        <w:fldChar w:fldCharType="begin"/>
      </w:r>
      <w:r w:rsidR="000F35EB">
        <w:instrText xml:space="preserve"> ADDIN ZOTERO_ITEM CSL_CITATION {"citationID":"bIbx5pr4","properties":{"formattedCitation":"(Paul et al., 2020)","plainCitation":"(Paul et al., 2020)","dontUpdate":true,"noteIndex":0},"citationItems":[{"id":31092,"uris":["http://zotero.org/groups/2352922/items/L8BCXTPW"],"itemData":{"id":31092,"type":"article-journal","abstract":"Management of stored product insects is a major concern and widely researched topic in the food and grain processing and storage industry. In the scenario of estimated utilization of produces exceeding the production, postharvest losses should be properly controlled to feed the growing population. The prevailing disinfestation techniques are forced to meet regulatory standards and market demands. The resistance developed by insects, environmental concerns, and occupational hazards lead to the vanishing of many chemicals used in insect and pest management programs. Some of the major disinfestation techniques such as the use of chemical fumigants, ozone, irradiation, dielectric heating, extreme temperature treatments, and bio rational approaches are discussed, particularly on the storage of cereal grains and its products, as they contribute to a significant proportion of food consumed worldwide. Newer techniques such as nonthermal plasma and metabolic stress disinfestation and decontamination for stored pest control are developed and evaluated in different parts of the world. The knowledge about the mode of action of these disinfestation techniques is important to avoid the cross-resistance and multiple resistance developed by insects with frequently used techniques. Various alternatives to conventional fumigants are discussed in this review as there is a growing demand for toxic-free, environment-friendly, and, at the same time, efficient techniques.","container-title":"Comprehensive Reviews in Food Science and Food Safety","DOI":"10.1111/1541-4337.12555","ISSN":"1541-4337","issue":"3","language":"en","note":"_eprint: https://onlinelibrary.wiley.com/doi/pdf/10.1111/1541-4337.12555","page":"1125-1155","source":"Wiley Online Library","title":"Disinfestation techniques for major cereals: A status report","title-short":"Disinfestation techniques for major cereals","URL":"https://onlinelibrary.wiley.com/doi/abs/10.1111/1541-4337.12555","volume":"19","author":[{"family":"Paul","given":"Anjaly"},{"family":"Radhakrishnan","given":"Mahendran"},{"family":"Anandakumar","given":"Sugumar"},{"family":"Shanmugasundaram","given":"Saravanan"},{"family":"Anandharamakrishnan","given":"Chinnaswamy"}],"accessed":{"date-parts":[["2021",10,31]]},"issued":{"date-parts":[["2020"]]}},"label":"page"}],"schema":"https://github.com/citation-style-language/schema/raw/master/csl-citation.json"} </w:instrText>
      </w:r>
      <w:r w:rsidRPr="00837161">
        <w:fldChar w:fldCharType="separate"/>
      </w:r>
      <w:r w:rsidR="00486AE9" w:rsidRPr="00837161">
        <w:t>Paul et al., 2020)</w:t>
      </w:r>
      <w:r w:rsidRPr="00837161">
        <w:fldChar w:fldCharType="end"/>
      </w:r>
      <w:r w:rsidR="00C44E72" w:rsidRPr="00837161">
        <w:rPr>
          <w:rFonts w:eastAsia="Calibri"/>
        </w:rPr>
        <w:t xml:space="preserve"> </w:t>
      </w:r>
      <w:r w:rsidRPr="00837161">
        <w:rPr>
          <w:rFonts w:eastAsia="Calibri"/>
        </w:rPr>
        <w:t xml:space="preserve">and microwaves are also used for horticultural </w:t>
      </w:r>
      <w:r w:rsidR="49E7A8EB" w:rsidRPr="00837161">
        <w:rPr>
          <w:rFonts w:eastAsia="Calibri"/>
        </w:rPr>
        <w:t>commodit</w:t>
      </w:r>
      <w:r w:rsidR="6C3B297B" w:rsidRPr="00837161">
        <w:rPr>
          <w:rFonts w:eastAsia="Calibri"/>
        </w:rPr>
        <w:t>i</w:t>
      </w:r>
      <w:r w:rsidR="49E7A8EB" w:rsidRPr="00837161">
        <w:rPr>
          <w:rFonts w:eastAsia="Calibri"/>
        </w:rPr>
        <w:t>es</w:t>
      </w:r>
      <w:r w:rsidRPr="00837161">
        <w:rPr>
          <w:rFonts w:eastAsia="Calibri"/>
        </w:rPr>
        <w:t xml:space="preserve"> but are not generally accepted under multilateral trade agreements</w:t>
      </w:r>
      <w:r w:rsidR="007065E3" w:rsidRPr="00837161">
        <w:rPr>
          <w:rFonts w:eastAsia="Calibri"/>
        </w:rPr>
        <w:t xml:space="preserve"> </w:t>
      </w:r>
      <w:r w:rsidRPr="00837161">
        <w:fldChar w:fldCharType="begin"/>
      </w:r>
      <w:r w:rsidR="000F35EB">
        <w:instrText xml:space="preserve"> ADDIN ZOTERO_ITEM CSL_CITATION {"citationID":"siTHev2w","properties":{"formattedCitation":"(Gamage et al., 2015)","plainCitation":"(Gamage et al., 2015)","noteIndex":0},"citationItems":[{"id":30729,"uris":["http://zotero.org/groups/2352922/items/GGLV4T94"],"itemData":{"id":30729,"type":"article-journal","abstract":"Apples at 24±2°C were heated in a pilot scale hot air assisted (40°C) continuous pentagonal microwave system, to evaluate the effectiveness of this treatment on insect mortality (variety Mutsu) and fruit quality (variety Granny Smith). An average temperature of 53.4±1.3°C at core, bottom and flesh of the apple was recorded at the end of the treatment. One hundred percent mortality of the most tolerant stage of Queensland fruit fly (Bactrocera tryoni, Froggatt) and Jarvis's fruit fly (Bactrocera jarvisi, Tryon), were observed when the Mortality value (M52, equivalent time of isothermal treatment at 52°C) at the slowest heating point applicable for each experiment was ≥50min and ≥37min, respectively.\nResults\nshowed that microwave heat treatment is effective for insect disinfestation without any adverse impact on total soluble solids, flesh or peel firmness of the treated apples. The treated apples recorded a significantly higher pH and lower ion leakage than the untreated apples after 3 or 4weeks. Therefore, the microwave heat treatment has the potential to be developed as an alternative chemical free quarantine treatment against economically significant insect pests.\nIndustrial relevance\nHot air assisted microwave heating of fruits and vegetables, is more cost effective compared to vapour heat treatment and ionising radiation for disinfestation of insects. Microwave treatment is environmentally friendly compared to fumigation and chemical treatments. Hot air assisted microwave disinfestation can be performed at farms or centralised pack houses since the capital cost would be comparatively lower than vapour heat or ionising radiation treatments.","collection-title":"APPLICATIONS OF PEF FOR FOOD PROCESSING","container-title":"Innovative Food Science &amp; Emerging Technologies","DOI":"10.1016/j.ifset.2015.02.009","ISSN":"1466-8564","journalAbbreviation":"Innovative Food Science &amp; Emerging Technologies","language":"en","page":"261-270","source":"ScienceDirect","title":"Continuous combined microwave and hot air treatment of apples for fruit fly (&lt;i&gt;Bactrocera tryoni&lt;/i&gt; and &lt;i&gt;B. jarvisi&lt;/i&gt;) disinfestation","URL":"https://www.sciencedirect.com/science/article/pii/S1466856415000454","volume":"29","author":[{"family":"Gamage","given":"T. V."},{"family":"Sanguansri","given":"P."},{"family":"Swiergon","given":"P."},{"family":"Eelkema","given":"M."},{"family":"Wyatt","given":"P."},{"family":"Leach","given":"P."},{"family":"Alexander","given":"D. L. J."},{"family":"Knoerzer","given":"K."}],"accessed":{"date-parts":[["2021",10,29]]},"issued":{"date-parts":[["2015",5,1]]}},"label":"page"}],"schema":"https://github.com/citation-style-language/schema/raw/master/csl-citation.json"} </w:instrText>
      </w:r>
      <w:r w:rsidRPr="00837161">
        <w:fldChar w:fldCharType="separate"/>
      </w:r>
      <w:r w:rsidR="00271B78" w:rsidRPr="00271B78">
        <w:t>(Gamage et al., 2015)</w:t>
      </w:r>
      <w:r w:rsidRPr="00837161">
        <w:fldChar w:fldCharType="end"/>
      </w:r>
      <w:r w:rsidRPr="00837161">
        <w:rPr>
          <w:rFonts w:eastAsia="Calibri"/>
        </w:rPr>
        <w:t>. When managing the threats of biosecurity contamination via trade for agricultural commodity supply chains, bilateral agreements are increasi</w:t>
      </w:r>
      <w:r w:rsidR="1DC2900E" w:rsidRPr="00837161">
        <w:rPr>
          <w:rFonts w:eastAsia="Calibri"/>
        </w:rPr>
        <w:t>n</w:t>
      </w:r>
      <w:r w:rsidRPr="00837161">
        <w:rPr>
          <w:rFonts w:eastAsia="Calibri"/>
        </w:rPr>
        <w:t>gly considering system-based approaches where more than one approach or treatment are applied in sequence to minimi</w:t>
      </w:r>
      <w:r w:rsidR="00814B7A" w:rsidRPr="00837161">
        <w:rPr>
          <w:rFonts w:eastAsia="Calibri"/>
        </w:rPr>
        <w:t>z</w:t>
      </w:r>
      <w:r w:rsidRPr="00837161">
        <w:rPr>
          <w:rFonts w:eastAsia="Calibri"/>
        </w:rPr>
        <w:t>e the risk of pest</w:t>
      </w:r>
      <w:r w:rsidR="00B33B7D" w:rsidRPr="00837161">
        <w:rPr>
          <w:rFonts w:eastAsia="Calibri"/>
        </w:rPr>
        <w:t xml:space="preserve"> and pathoge</w:t>
      </w:r>
      <w:r w:rsidR="3A679736" w:rsidRPr="00837161">
        <w:rPr>
          <w:rFonts w:eastAsia="Calibri"/>
        </w:rPr>
        <w:t>n</w:t>
      </w:r>
      <w:r w:rsidR="00B33B7D" w:rsidRPr="00837161">
        <w:rPr>
          <w:rFonts w:eastAsia="Calibri"/>
        </w:rPr>
        <w:t xml:space="preserve"> </w:t>
      </w:r>
      <w:r w:rsidRPr="00837161">
        <w:rPr>
          <w:rFonts w:eastAsia="Calibri"/>
        </w:rPr>
        <w:t>contamination</w:t>
      </w:r>
      <w:r w:rsidR="008B167D" w:rsidRPr="00837161">
        <w:rPr>
          <w:rFonts w:eastAsia="Calibri"/>
        </w:rPr>
        <w:t xml:space="preserve"> </w:t>
      </w:r>
      <w:r w:rsidRPr="00837161">
        <w:fldChar w:fldCharType="begin"/>
      </w:r>
      <w:r w:rsidR="000F35EB">
        <w:instrText xml:space="preserve"> ADDIN ZOTERO_ITEM CSL_CITATION {"citationID":"Mb6ipbGo","properties":{"formattedCitation":"(IPPC, 2017b; van Klinken et al., 2020)","plainCitation":"(IPPC, 2017b; van Klinken et al., 2020)","noteIndex":0},"citationItems":[{"id":53321,"uris":["http://zotero.org/groups/2352922/items/7EFIJJ47"],"itemData":{"id":53321,"type":"report","collection-title":"International standards for phytosanitary measures","number":"ISPM 14","publisher":"International Plant Protection Convention","title":"The use of integrated measures in a systems approach for pest risk management","URL":"https://www.ippc.int/static/media/files/publication/en/2017/05/ISPM_14_2002_En_2017-05-25_PostCPM12_InkAm.pdf","author":[{"literal":"IPPC"}],"accessed":{"date-parts":[["2022",9,21]]},"issued":{"date-parts":[["2017"]]}},"label":"page"},{"id":9994,"uris":["http://zotero.org/groups/2352922/items/UEMWQECS"],"itemData":{"id":9994,"type":"article-journal","container-title":"Crop Protection","DOI":"10.1016/j.cropro.2019.104994","ISSN":"02612194","journalAbbreviation":"Crop Protection","language":"en","page":"104994","source":"DOI.org (Crossref)","title":"A risk framework for using systems approaches to manage horticultural biosecurity risks for market access","URL":"https://linkinghub.elsevier.com/retrieve/pii/S0261219419303400","volume":"129","author":[{"family":"Klinken","given":"Rieks D.","non-dropping-particle":"van"},{"family":"Fiedler","given":"Kathryn"},{"family":"Kingham","given":"Lloyd"},{"family":"Collins","given":"Kerry"},{"family":"Barbour","given":"Darryl"}],"accessed":{"date-parts":[["2021",11,10]]},"issued":{"date-parts":[["2020",3]]}},"label":"page"}],"schema":"https://github.com/citation-style-language/schema/raw/master/csl-citation.json"} </w:instrText>
      </w:r>
      <w:r w:rsidRPr="00837161">
        <w:fldChar w:fldCharType="separate"/>
      </w:r>
      <w:r w:rsidR="00271B78" w:rsidRPr="00271B78">
        <w:t>(IPPC, 2017b; van Klinken et al., 2020)</w:t>
      </w:r>
      <w:r w:rsidRPr="00837161">
        <w:fldChar w:fldCharType="end"/>
      </w:r>
      <w:r w:rsidRPr="00837161">
        <w:rPr>
          <w:rFonts w:eastAsia="Calibri"/>
        </w:rPr>
        <w:t xml:space="preserve">. See </w:t>
      </w:r>
      <w:r w:rsidR="0079215C">
        <w:rPr>
          <w:rFonts w:eastAsia="Calibri"/>
          <w:b/>
          <w:iCs/>
        </w:rPr>
        <w:t>S</w:t>
      </w:r>
      <w:r w:rsidR="002D1867" w:rsidRPr="00F618D4">
        <w:rPr>
          <w:rFonts w:eastAsia="Calibri"/>
          <w:b/>
          <w:iCs/>
        </w:rPr>
        <w:t>upplementary material 5.</w:t>
      </w:r>
      <w:r w:rsidR="001D743D" w:rsidRPr="00F618D4">
        <w:rPr>
          <w:rFonts w:eastAsia="Calibri"/>
          <w:b/>
          <w:iCs/>
        </w:rPr>
        <w:t>6</w:t>
      </w:r>
      <w:r w:rsidRPr="00837161">
        <w:rPr>
          <w:rFonts w:eastAsia="Calibri"/>
        </w:rPr>
        <w:t xml:space="preserve"> for </w:t>
      </w:r>
      <w:r w:rsidR="00A232F5" w:rsidRPr="00837161">
        <w:rPr>
          <w:rFonts w:eastAsia="Calibri"/>
        </w:rPr>
        <w:t xml:space="preserve">further </w:t>
      </w:r>
      <w:r w:rsidRPr="00837161">
        <w:rPr>
          <w:rFonts w:eastAsia="Calibri"/>
        </w:rPr>
        <w:t>details.</w:t>
      </w:r>
    </w:p>
    <w:p w14:paraId="000002E4" w14:textId="3FDD295D" w:rsidR="00A758FD" w:rsidRPr="00AC1F76" w:rsidRDefault="00C81287" w:rsidP="002F2F42">
      <w:pPr>
        <w:pStyle w:val="Heading3"/>
      </w:pPr>
      <w:bookmarkStart w:id="374" w:name="_heading=h.4iylrwe" w:colFirst="0" w:colLast="0"/>
      <w:bookmarkStart w:id="375" w:name="_Toc87623151"/>
      <w:bookmarkStart w:id="376" w:name="_Toc131681651"/>
      <w:bookmarkEnd w:id="374"/>
      <w:r w:rsidRPr="00AC1F76">
        <w:t>Species-</w:t>
      </w:r>
      <w:r w:rsidR="5DBAA887">
        <w:t>based</w:t>
      </w:r>
      <w:r w:rsidRPr="00AC1F76">
        <w:t xml:space="preserve"> management technologies</w:t>
      </w:r>
      <w:bookmarkEnd w:id="375"/>
      <w:bookmarkEnd w:id="376"/>
    </w:p>
    <w:p w14:paraId="000002E5" w14:textId="77777777" w:rsidR="00A758FD" w:rsidRPr="00C0338D" w:rsidRDefault="00C81287" w:rsidP="0079215C">
      <w:pPr>
        <w:pStyle w:val="Heading4"/>
        <w:numPr>
          <w:ilvl w:val="0"/>
          <w:numId w:val="88"/>
        </w:numPr>
      </w:pPr>
      <w:bookmarkStart w:id="377" w:name="_heading=h.2y3w247" w:colFirst="0" w:colLast="0"/>
      <w:bookmarkStart w:id="378" w:name="_Hlk69191671"/>
      <w:bookmarkEnd w:id="377"/>
      <w:r w:rsidRPr="00C0338D">
        <w:t xml:space="preserve">Mechanical and manual control of invasive alien invertebrates and plants </w:t>
      </w:r>
    </w:p>
    <w:p w14:paraId="2D1FBF83" w14:textId="1B75DD55" w:rsidR="007B722F" w:rsidRPr="00837161" w:rsidRDefault="007B722F" w:rsidP="00C11DFA">
      <w:pPr>
        <w:spacing w:before="240" w:after="120" w:line="240" w:lineRule="auto"/>
      </w:pPr>
      <w:r w:rsidRPr="00837161">
        <w:fldChar w:fldCharType="begin"/>
      </w:r>
      <w:r w:rsidR="000F35EB">
        <w:instrText xml:space="preserve"> ADDIN ZOTERO_ITEM CSL_CITATION {"citationID":"Xr8WjLgE","properties":{"formattedCitation":"(Reyes-Garc\\uc0\\u237{}a et al., 2019)","plainCitation":"(Reyes-García et al., 2019)","dontUpdate":true,"noteIndex":0},"citationItems":[{"id":31071,"uris":["http://zotero.org/groups/2352922/items/LHIYXPSE"],"itemData":{"id":31071,"type":"article-journal","abstract":"Indigenous Peoples and local communities (IPLC) are affected by global environmental change because they directly rely on their immediate environment for meeting basic livelihood needs. Therefore, safeguarding and restoring ecosystem resilience is critical to support their well-being. Based on examples from the literature, we illustrate how IPLC participate in restoration activities maintaining traditional practices, restoring land degraded by outsiders, and joining outside groups seeking to restore ecosystems. Our review also provides examples of how Indigenous and Local Knowledge can be incorporated in the planning, execution, and monitoring of restoration activities. However, not all restoration initiatives engaging IPLC are beneficial or successful, and the factors that lead to success are not fully known. While local involvement in restoration projects is often mentioned as an element of success, this is primarily associated to projects that actively involve IPLC in codesigning restoration activities affecting their territories, ensure both short-term direct benefits to IPLC and long-term support of the maintenance of restored areas, and recognize IPLC local traditions and customary institutions. Based on these examples, we argue that IPLC should be a more important focus in any post-2020 CBD agenda on restoration.","container-title":"Restoration Ecology","DOI":"10.1111/rec.12894","ISSN":"1526-100X","issue":"1","language":"en","note":"_eprint: https://onlinelibrary.wiley.com/doi/pdf/10.1111/rec.12894","page":"3-8","source":"Wiley Online Library","title":"The contributions of Indigenous Peoples and local communities to ecological restoration","URL":"https://onlinelibrary.wiley.com/doi/abs/10.1111/rec.12894","volume":"27","author":[{"family":"Reyes-García","given":"Victoria"},{"family":"Fernández-Llamazares","given":"Álvaro"},{"family":"McElwee","given":"Pamela"},{"family":"Molnár","given":"Zsolt"},{"family":"Öllerer","given":"Kinga"},{"family":"Wilson","given":"Sarah J."},{"family":"Brondizio","given":"Eduardo S."}],"accessed":{"date-parts":[["2021",10,31]]},"issued":{"date-parts":[["2019"]]}}}],"schema":"https://github.com/citation-style-language/schema/raw/master/csl-citation.json"} </w:instrText>
      </w:r>
      <w:r w:rsidRPr="00837161">
        <w:fldChar w:fldCharType="end"/>
      </w:r>
      <w:r w:rsidRPr="00837161">
        <w:t>Mechanical and manual management takes many forms and operates at different scales, but in general primarily appl</w:t>
      </w:r>
      <w:r w:rsidR="001D58C7">
        <w:t>ies</w:t>
      </w:r>
      <w:r w:rsidRPr="00837161">
        <w:t xml:space="preserve"> to the management of invasive alien plants </w:t>
      </w:r>
      <w:r w:rsidRPr="00837161">
        <w:fldChar w:fldCharType="begin"/>
      </w:r>
      <w:r w:rsidR="000F35EB">
        <w:instrText xml:space="preserve"> ADDIN ZOTERO_ITEM CSL_CITATION {"citationID":"2GP2Upi1","properties":{"unsorted":true,"formattedCitation":"(Liebman et al., 2001; Csisz\\uc0\\u225{}r &amp; Korda, 2015; Hussain et al., 2018)","plainCitation":"(Liebman et al., 2001; Csiszár &amp; Korda, 2015; Hussain et al., 2018)","noteIndex":0},"citationItems":[{"id":31147,"uris":["http://zotero.org/groups/2352922/items/HVCRL2TG"],"itemData":{"id":31147,"type":"book","abstract":"Concerns over environmental and human health impacts of conventional weed management practices, herbicide resistance in weeds, and rising costs of crop production and protection have led agricultural producers and scientists in many countries to seek strategies that take greater advantage of ecological processes and thereby allow a reduction in herbicide use. This book provides principles and practices for ecologically based weed management in a wide range of temperate and tropical farming systems. After examining weed life histories and processes determining the assembly of weed communities, the authors describe how tillage and cultivation practices, manipulations of soil conditions, competitive cultivars, crop diversification, grazing livestock, arthropod and microbial biocontrol agents, and other factors can be used to reduce weed germination, growth, competitive ability, reproduction and dispersal. Special attention is given to the evolutionary challenges that weeds pose and the roles that farmers can play in the development of new weed-management strategies.","ISBN":"978-1-139-42724-1","language":"en","number-of-pages":"546","publisher":"Cambridge University Press","source":"Google Books","title":"Ecological Management of Agricultural Weeds","author":[{"family":"Liebman","given":"Matt"},{"family":"Mohler","given":"Charles L."},{"family":"Staver","given":"Charles P."}],"issued":{"date-parts":[["2001",7,19]]}},"label":"page"},{"id":30105,"uris":["http://zotero.org/groups/2352922/items/UI8UBBHZ"],"itemData":{"id":30105,"type":"book","collection-title":"Rosalia  Handbooks","ISBN":"978-615-5241-16-1","number-of-pages":"241","publisher":"Budapest: Duna–Ipoly National Park Directorate","source":"Google Scholar","title":"Practical experiences in invasive alien plant control","URL":"https://www.dunaipoly.hu/uploads/2016-02/20160202200313-rosalia-handbook-ver2-6xtoafsq.pdf","volume":"3","editor":[{"family":"Csiszár","given":"Á"},{"family":"Korda","given":"M."}],"issued":{"date-parts":[["2015"]]}},"label":"page"},{"id":29991,"uris":["http://zotero.org/groups/2352922/items/NWYFJ8DF"],"itemData":{"id":29991,"type":"chapter","abstract":"Evolution of herbicide resistance in weeds has increased the importance and scope of mechanical weed control. In many parts of the world, the efficacy of mechanical weed control has been reevaluated. Tillage (used for soil preparation for planting), although among the oldest methods of weed control, is still the preferred method of weed control for many farmers. Similarly, subsequent weeding (weed removal through manual or mechanical means) after the crop emergence is also a successful tool for effective weed management. Wise use of mechanical weeding can provide effective weed control in vegetables, fruits, and field crops. The use/choice of mechanical weeding method depends upon technical and economic factors. Weeds evolving herbicide resistance ultimately required either tillage, weeding, or other non-chemical methods; nevertheless, tillage has been considered the most effective among all non-chemical weed control methods. Development of intelligent weeders or automatic weeding tools may revolutionize mechanical weed control through the selective use of weeders in crops. However, a great deal of research work and investment is needed to develop robotic weeders, which are capable of functioning without human intervention for automated weed control in the future.","container-title":"Non-Chemical Weed Control","ISBN":"978-0-12-809881-3","language":"en","note":"DOI: 10.1016/B978-0-12-809881-3.00008-5","page":"133-155","publisher":"Academic Press","source":"ScienceDirect","title":"Chapter 8 - Mechanical Weed Control","URL":"https://www.sciencedirect.com/science/article/pii/B9780128098813000085","author":[{"family":"Hussain","given":"Mubshar"},{"family":"Farooq","given":"Shahid"},{"family":"Merfield","given":"Charles"},{"family":"Jabran","given":"Khawar"}],"editor":[{"family":"Jabran","given":"Khawar"},{"family":"Chauhan","given":"Bhagirath S."}],"accessed":{"date-parts":[["2021",8,17]]},"issued":{"date-parts":[["2018",1,1]]}},"label":"page"}],"schema":"https://github.com/citation-style-language/schema/raw/master/csl-citation.json"} </w:instrText>
      </w:r>
      <w:r w:rsidRPr="00837161">
        <w:fldChar w:fldCharType="separate"/>
      </w:r>
      <w:r w:rsidR="00271B78" w:rsidRPr="00271B78">
        <w:t>(Liebman et al., 2001; Csiszár &amp; Korda, 2015; Hussain et al., 2018)</w:t>
      </w:r>
      <w:r w:rsidRPr="00837161">
        <w:fldChar w:fldCharType="end"/>
      </w:r>
      <w:r w:rsidRPr="00837161">
        <w:t>. Physical management</w:t>
      </w:r>
      <w:r w:rsidR="008949EB">
        <w:t xml:space="preserve">, </w:t>
      </w:r>
      <w:r w:rsidR="00F65CFF">
        <w:t xml:space="preserve">like </w:t>
      </w:r>
      <w:r w:rsidRPr="00837161">
        <w:t>chemical management, if not targeted or sustained is more often ineffective than effective</w:t>
      </w:r>
      <w:r w:rsidR="00631362" w:rsidRPr="00837161">
        <w:t xml:space="preserve"> particularly if the seedbanks of invasive plants are not considered or addressed</w:t>
      </w:r>
      <w:r w:rsidRPr="00837161">
        <w:t xml:space="preserve">. Mechanical control </w:t>
      </w:r>
      <w:r w:rsidR="49D928AD" w:rsidRPr="00837161">
        <w:t>is</w:t>
      </w:r>
      <w:r w:rsidRPr="00837161">
        <w:t xml:space="preserve"> occasionally applied to other types of invasive alien species, such as rabbits in Australia where it has proved to be a more cost</w:t>
      </w:r>
      <w:r w:rsidR="00FE133C" w:rsidRPr="00837161">
        <w:t>-</w:t>
      </w:r>
      <w:r w:rsidRPr="00837161">
        <w:t xml:space="preserve">effective option than poisoning </w:t>
      </w:r>
      <w:r w:rsidRPr="00837161">
        <w:fldChar w:fldCharType="begin"/>
      </w:r>
      <w:r w:rsidR="000F35EB">
        <w:instrText xml:space="preserve"> ADDIN ZOTERO_ITEM CSL_CITATION {"citationID":"XgZIlUrR","properties":{"formattedCitation":"(Mutze, 1991)","plainCitation":"(Mutze, 1991)","noteIndex":0},"citationItems":[{"id":29977,"uris":["http://zotero.org/groups/2352922/items/CBVZWU92"],"itemData":{"id":29977,"type":"article-journal","abstract":"Warren ripping and poisoning were used to control rabbits on the flood-out plain of a major creek system on Manunda Station, a sheep-grazing property near Yunta in semi-arid South Australia. Rabbit numbers were initially reduced by &gt;99 per cent, as indicated by the number of active entrances remaining in rabbit warrens. After nearly 10 years without follow-up control work, ripped warrens had only two per cent of the pre-control number of active entrances. Poisoning effectively reduced rabbit numbers in the short-term, but had no long-term effect on the number of active entrances, either in ripped or unripped warrens. Perennial shrubs regenerated on and around ripped warrens. Warren ripping on this part of Manunda is a cost-effective management option.","container-title":"The Rangeland Journal","DOI":"10.1071/rj9910096","ISSN":"1834-7541","issue":"2","journalAbbreviation":"Rangel. J.","language":"en","note":"publisher: CSIRO PUBLISHING","page":"96-106","source":"www.publish.csiro.au","title":"Long-term effects of warren ripping for rabbit control in semi-arid South Australia.","URL":"https://www.publish.csiro.au/rj/rj9910096","volume":"13","author":[{"family":"Mutze","given":"G. J."}],"accessed":{"date-parts":[["2021",8,17]]},"issued":{"date-parts":[["1991"]]}},"label":"page"}],"schema":"https://github.com/citation-style-language/schema/raw/master/csl-citation.json"} </w:instrText>
      </w:r>
      <w:r w:rsidRPr="00837161">
        <w:fldChar w:fldCharType="separate"/>
      </w:r>
      <w:r w:rsidR="00271B78" w:rsidRPr="00271B78">
        <w:t>(Mutze, 1991)</w:t>
      </w:r>
      <w:r w:rsidRPr="00837161">
        <w:fldChar w:fldCharType="end"/>
      </w:r>
      <w:r w:rsidRPr="00837161">
        <w:t>.</w:t>
      </w:r>
    </w:p>
    <w:p w14:paraId="3602E1F4" w14:textId="151E4305" w:rsidR="001F27BB" w:rsidRPr="00837161" w:rsidRDefault="1D499C23" w:rsidP="00C11DFA">
      <w:pPr>
        <w:spacing w:before="240" w:after="120" w:line="240" w:lineRule="auto"/>
      </w:pPr>
      <w:r w:rsidRPr="00837161">
        <w:lastRenderedPageBreak/>
        <w:t xml:space="preserve">For invasive alien plants, physical management comes in a number of forms including manual pulling, uprooting, mowing, cut and removal, </w:t>
      </w:r>
      <w:r w:rsidR="001D58C7" w:rsidRPr="00837161">
        <w:t>bulldozing</w:t>
      </w:r>
      <w:r w:rsidRPr="00837161">
        <w:t xml:space="preserve">, mulching, debarking of trees from the collar region, ploughing and grazing </w:t>
      </w:r>
      <w:r w:rsidR="007B722F" w:rsidRPr="00837161">
        <w:fldChar w:fldCharType="begin"/>
      </w:r>
      <w:r w:rsidR="000F35EB">
        <w:instrText xml:space="preserve"> ADDIN ZOTERO_ITEM CSL_CITATION {"citationID":"IWLvBc9n","properties":{"formattedCitation":"(DiTomaso, 2000; Hussain et al., 2018)","plainCitation":"(DiTomaso, 2000; Hussain et al., 2018)","noteIndex":0},"citationItems":[{"id":30453,"uris":["http://zotero.org/groups/2352922/items/RHMHM7QA"],"itemData":{"id":30453,"type":"article-journal","abstract":"Rangeland and pastures comprise about 42% of the total land area of the United States. About three-quarters of all domestic livestock depend upon grazing lands for survival. Many ranges have had domestic stock grazing for more than 100 years and, as a result, the plant composition has changed greatly from the original ecosystems. Western rangelands previously dominated by perennial bunchgrasses have been converted, primarily through overgrazing, to annual grasslands that are susceptible to invasion by introduced dicots. Today there are more than 300 rangeland weeds in the United States. Some of the most problematic include Bromus tectorum, Euphorbia esula, Centaurea solstitialis, C. diffusa, C. maculosa, and a number of other Centaurea species. In total, weeds in rangeland cause an estimated loss of $2 billion annually in the United States, which is more than all other pests combined. They impact the livestock industry by lowering yield and quality of forage, interfering with grazing, poisoning animals, increasing costs of managing and producing livestock, and reducing land value. They also impact wildlife habitat and forage, deplete soil and water resources, and reduce plant and animal diversity. Numerous mechanical and cultural control options have been developed to manage noxious rangeland weeds, including mowing, prescribed burning, timely grazing, and perennial grass reseeding or interseeding. In addition, several herbicides are registered for use on rangelands and most biological control programs focus on noxious rangeland weed control. Successful management of noxious weeds on rangeland will require the development of a long-term strategic plan incorporating prevention programs, education materials and activities, and economical and sustainable multi-year integrated approaches that improve degraded rangeland communities, enhance the utility of the ecosystem, and prevent reinvasion or encroachment by other noxious weed species.","container-title":"Weed Science","DOI":"10.1614/0043-1745(2000)048[0255:IWIRSI]2.0.CO;2","ISSN":"0043-1745, 1550-2759","issue":"2","journalAbbreviation":"Weed Science","language":"en","page":"255-265","source":"DOI.org (Crossref)","title":"Invasive weeds in rangelands: Species, impacts, and management","title-short":"Invasive weeds in rangelands","URL":"https://www.cambridge.org/core/product/identifier/S004317450000878X/type/journal_article","volume":"48","author":[{"family":"DiTomaso","given":"Joseph M."}],"accessed":{"date-parts":[["2019",11,28]]},"issued":{"date-parts":[["2000",3]]}},"label":"page"},{"id":29991,"uris":["http://zotero.org/groups/2352922/items/NWYFJ8DF"],"itemData":{"id":29991,"type":"chapter","abstract":"Evolution of herbicide resistance in weeds has increased the importance and scope of mechanical weed control. In many parts of the world, the efficacy of mechanical weed control has been reevaluated. Tillage (used for soil preparation for planting), although among the oldest methods of weed control, is still the preferred method of weed control for many farmers. Similarly, subsequent weeding (weed removal through manual or mechanical means) after the crop emergence is also a successful tool for effective weed management. Wise use of mechanical weeding can provide effective weed control in vegetables, fruits, and field crops. The use/choice of mechanical weeding method depends upon technical and economic factors. Weeds evolving herbicide resistance ultimately required either tillage, weeding, or other non-chemical methods; nevertheless, tillage has been considered the most effective among all non-chemical weed control methods. Development of intelligent weeders or automatic weeding tools may revolutionize mechanical weed control through the selective use of weeders in crops. However, a great deal of research work and investment is needed to develop robotic weeders, which are capable of functioning without human intervention for automated weed control in the future.","container-title":"Non-Chemical Weed Control","ISBN":"978-0-12-809881-3","language":"en","note":"DOI: 10.1016/B978-0-12-809881-3.00008-5","page":"133-155","publisher":"Academic Press","source":"ScienceDirect","title":"Chapter 8 - Mechanical Weed Control","URL":"https://www.sciencedirect.com/science/article/pii/B9780128098813000085","author":[{"family":"Hussain","given":"Mubshar"},{"family":"Farooq","given":"Shahid"},{"family":"Merfield","given":"Charles"},{"family":"Jabran","given":"Khawar"}],"editor":[{"family":"Jabran","given":"Khawar"},{"family":"Chauhan","given":"Bhagirath S."}],"accessed":{"date-parts":[["2021",8,17]]},"issued":{"date-parts":[["2018",1,1]]}},"label":"page"}],"schema":"https://github.com/citation-style-language/schema/raw/master/csl-citation.json"} </w:instrText>
      </w:r>
      <w:r w:rsidR="007B722F" w:rsidRPr="00837161">
        <w:fldChar w:fldCharType="separate"/>
      </w:r>
      <w:r w:rsidR="00271B78" w:rsidRPr="00271B78">
        <w:t>(DiTomaso, 2000; Hussain et al., 2018)</w:t>
      </w:r>
      <w:r w:rsidR="007B722F" w:rsidRPr="00837161">
        <w:fldChar w:fldCharType="end"/>
      </w:r>
      <w:r w:rsidRPr="00837161">
        <w:t xml:space="preserve">. </w:t>
      </w:r>
      <w:r w:rsidR="4EA2310D" w:rsidRPr="00837161">
        <w:t>Mech</w:t>
      </w:r>
      <w:r w:rsidR="061A4392" w:rsidRPr="00837161">
        <w:t>a</w:t>
      </w:r>
      <w:r w:rsidR="4EA2310D" w:rsidRPr="00837161">
        <w:t>nical</w:t>
      </w:r>
      <w:r w:rsidRPr="00837161">
        <w:t xml:space="preserve"> control, in some form can be an effective strategy as part of integrated management of invasive alien plants or/and ecosystem restoration and some </w:t>
      </w:r>
      <w:r w:rsidR="00FD78E5" w:rsidRPr="00837161">
        <w:t>“</w:t>
      </w:r>
      <w:r w:rsidRPr="00837161">
        <w:t>best practice</w:t>
      </w:r>
      <w:r w:rsidR="00FD78E5" w:rsidRPr="00837161">
        <w:t>”</w:t>
      </w:r>
      <w:r w:rsidRPr="00837161">
        <w:t xml:space="preserve"> can be developed for some targets (e.g., </w:t>
      </w:r>
      <w:r w:rsidR="007B722F" w:rsidRPr="00837161">
        <w:fldChar w:fldCharType="begin"/>
      </w:r>
      <w:r w:rsidR="000F35EB">
        <w:instrText xml:space="preserve"> ADDIN ZOTERO_ITEM CSL_CITATION {"citationID":"aWbNFVec","properties":{"formattedCitation":"(S. King et al., 1996)","plainCitation":"(S. King et al., 1996)","dontUpdate":true,"noteIndex":0},"citationItems":[{"id":30921,"uris":["http://zotero.org/groups/2352922/items/ZHQK6DEG"],"itemData":{"id":30921,"type":"article-journal","abstract":"In Zotero from CABI abstracts King, S., Drlik, T., Simon, L. and Quarles, W., 1996. Integrated weed management of gorse. IPM Practitioner, 18(10), pp.1-9.","container-title":"IPM Practitioner","issue":"10","journalAbbreviation":"IPM Practitioner","page":"pp.1-9.","title":"Integrated weed management of gorse.","URL":"https://www.cabdirect.org/cabdirect/abstract/19962302800","volume":"18","author":[{"family":"King","given":"S"},{"family":"Drlik","given":"T"},{"family":"Simon","given":"L"},{"family":"Quarles","given":"W"}],"accessed":{"date-parts":[["2021",8,17]]},"issued":{"date-parts":[["1996"]]}},"label":"page"}],"schema":"https://github.com/citation-style-language/schema/raw/master/csl-citation.json"} </w:instrText>
      </w:r>
      <w:r w:rsidR="007B722F" w:rsidRPr="00837161">
        <w:fldChar w:fldCharType="separate"/>
      </w:r>
      <w:r w:rsidR="0086347A" w:rsidRPr="00837161">
        <w:t>S. King et al., 1996)</w:t>
      </w:r>
      <w:r w:rsidR="007B722F" w:rsidRPr="00837161">
        <w:fldChar w:fldCharType="end"/>
      </w:r>
      <w:r w:rsidRPr="00837161">
        <w:t xml:space="preserve">. A key understanding is a preference to limit levels of ecosystem </w:t>
      </w:r>
      <w:r w:rsidR="4EA2310D" w:rsidRPr="00837161">
        <w:t>distu</w:t>
      </w:r>
      <w:r w:rsidR="0B4810B1" w:rsidRPr="00837161">
        <w:t>r</w:t>
      </w:r>
      <w:r w:rsidR="4EA2310D" w:rsidRPr="00837161">
        <w:t>bance</w:t>
      </w:r>
      <w:r w:rsidRPr="00837161">
        <w:t xml:space="preserve"> during the treatment, because more disturbance will assist invasive alien plant reinvasion without additional </w:t>
      </w:r>
      <w:r w:rsidR="00997B0E">
        <w:t xml:space="preserve">ecosystem </w:t>
      </w:r>
      <w:r w:rsidRPr="00837161">
        <w:t xml:space="preserve">restoration activities </w:t>
      </w:r>
      <w:r w:rsidR="007B722F" w:rsidRPr="00837161">
        <w:fldChar w:fldCharType="begin"/>
      </w:r>
      <w:r w:rsidR="000F35EB">
        <w:instrText xml:space="preserve"> ADDIN ZOTERO_ITEM CSL_CITATION {"citationID":"pftFt73v","properties":{"formattedCitation":"(DiTomaso, 2000)","plainCitation":"(DiTomaso, 2000)","noteIndex":0},"citationItems":[{"id":30453,"uris":["http://zotero.org/groups/2352922/items/RHMHM7QA"],"itemData":{"id":30453,"type":"article-journal","abstract":"Rangeland and pastures comprise about 42% of the total land area of the United States. About three-quarters of all domestic livestock depend upon grazing lands for survival. Many ranges have had domestic stock grazing for more than 100 years and, as a result, the plant composition has changed greatly from the original ecosystems. Western rangelands previously dominated by perennial bunchgrasses have been converted, primarily through overgrazing, to annual grasslands that are susceptible to invasion by introduced dicots. Today there are more than 300 rangeland weeds in the United States. Some of the most problematic include Bromus tectorum, Euphorbia esula, Centaurea solstitialis, C. diffusa, C. maculosa, and a number of other Centaurea species. In total, weeds in rangeland cause an estimated loss of $2 billion annually in the United States, which is more than all other pests combined. They impact the livestock industry by lowering yield and quality of forage, interfering with grazing, poisoning animals, increasing costs of managing and producing livestock, and reducing land value. They also impact wildlife habitat and forage, deplete soil and water resources, and reduce plant and animal diversity. Numerous mechanical and cultural control options have been developed to manage noxious rangeland weeds, including mowing, prescribed burning, timely grazing, and perennial grass reseeding or interseeding. In addition, several herbicides are registered for use on rangelands and most biological control programs focus on noxious rangeland weed control. Successful management of noxious weeds on rangeland will require the development of a long-term strategic plan incorporating prevention programs, education materials and activities, and economical and sustainable multi-year integrated approaches that improve degraded rangeland communities, enhance the utility of the ecosystem, and prevent reinvasion or encroachment by other noxious weed species.","container-title":"Weed Science","DOI":"10.1614/0043-1745(2000)048[0255:IWIRSI]2.0.CO;2","ISSN":"0043-1745, 1550-2759","issue":"2","journalAbbreviation":"Weed Science","language":"en","page":"255-265","source":"DOI.org (Crossref)","title":"Invasive weeds in rangelands: Species, impacts, and management","title-short":"Invasive weeds in rangelands","URL":"https://www.cambridge.org/core/product/identifier/S004317450000878X/type/journal_article","volume":"48","author":[{"family":"DiTomaso","given":"Joseph M."}],"accessed":{"date-parts":[["2019",11,28]]},"issued":{"date-parts":[["2000",3]]}},"label":"page"}],"schema":"https://github.com/citation-style-language/schema/raw/master/csl-citation.json"} </w:instrText>
      </w:r>
      <w:r w:rsidR="007B722F" w:rsidRPr="00837161">
        <w:fldChar w:fldCharType="separate"/>
      </w:r>
      <w:r w:rsidR="00271B78" w:rsidRPr="00271B78">
        <w:t>(DiTomaso, 2000)</w:t>
      </w:r>
      <w:r w:rsidR="007B722F" w:rsidRPr="00837161">
        <w:fldChar w:fldCharType="end"/>
      </w:r>
      <w:r w:rsidRPr="00837161">
        <w:t>. Generally human applied physical management approaches for invasive alien plants can be effective locally but are not generally practical or effective at larger scales, particularly when only cutting is used, because targeted species, particularly with large rhizomes, resprout and regenerate (e.g.</w:t>
      </w:r>
      <w:r w:rsidR="51F3BCC9" w:rsidRPr="00837161">
        <w:t>,</w:t>
      </w:r>
      <w:r w:rsidRPr="00837161">
        <w:t xml:space="preserve"> </w:t>
      </w:r>
      <w:r w:rsidR="001F27BB" w:rsidRPr="00837161">
        <w:fldChar w:fldCharType="begin"/>
      </w:r>
      <w:r w:rsidR="00E25D54">
        <w:instrText xml:space="preserve"> ADDIN ZOTERO_ITEM CSL_CITATION {"citationID":"hdm62xtd","properties":{"formattedCitation":"(Mwangi &amp; Swallow, 2005)","plainCitation":"(Mwangi &amp; Swallow, 2005)","dontUpdate":true,"noteIndex":0},"citationItems":[{"id":31022,"uris":["http://zotero.org/groups/2352922/items/M8R5UZ7G"],"itemData":{"id":31022,"type":"document","publisher":"ICRAF Working Paper – no. 3. Nairobi: World Agroforestry Centre","title":"Invasion of &lt;i&gt;Prosopis juliflora&lt;/i&gt; and local livelihoods: Case study from the lake Baringo area of Kenya","URL":"http://apps.worldagroforestry.org/downloads/Publications/PDFS/WP13657.pdf","author":[{"family":"Mwangi","given":"Esther"},{"family":"Swallow","given":"Brent"}],"accessed":{"date-parts":[["2021",11,1]]},"issued":{"date-parts":[["2005",6]]}},"label":"page"}],"schema":"https://github.com/citation-style-language/schema/raw/master/csl-citation.json"} </w:instrText>
      </w:r>
      <w:r w:rsidR="001F27BB" w:rsidRPr="00837161">
        <w:fldChar w:fldCharType="separate"/>
      </w:r>
      <w:r w:rsidR="0086347A" w:rsidRPr="00837161">
        <w:t>Mwangi &amp; Swallow, 2005</w:t>
      </w:r>
      <w:r w:rsidR="001F27BB" w:rsidRPr="00837161">
        <w:fldChar w:fldCharType="end"/>
      </w:r>
      <w:r w:rsidRPr="00837161">
        <w:t>). Moreover, the short-term efficacy and the necessity for periodic implementation for sustained control makes physical methods such as cutting uneconomical. An exception to this is the large scale Working for Water Program</w:t>
      </w:r>
      <w:r w:rsidR="77F8A015" w:rsidRPr="00837161">
        <w:t>me</w:t>
      </w:r>
      <w:r w:rsidRPr="00837161">
        <w:t xml:space="preserve"> in South Africa (</w:t>
      </w:r>
      <w:r w:rsidR="00191A6E">
        <w:rPr>
          <w:b/>
          <w:bCs/>
        </w:rPr>
        <w:t>Box 5.19</w:t>
      </w:r>
      <w:r w:rsidR="00206386" w:rsidRPr="00F618D4">
        <w:rPr>
          <w:iCs/>
        </w:rPr>
        <w:t xml:space="preserve"> </w:t>
      </w:r>
      <w:r w:rsidR="00206386" w:rsidRPr="00F618D4">
        <w:t>in</w:t>
      </w:r>
      <w:r w:rsidR="00206386" w:rsidRPr="00F618D4">
        <w:rPr>
          <w:b/>
        </w:rPr>
        <w:t xml:space="preserve"> </w:t>
      </w:r>
      <w:r w:rsidR="00206386" w:rsidRPr="00F618D4">
        <w:rPr>
          <w:b/>
          <w:iCs/>
        </w:rPr>
        <w:t>section 5.5.5</w:t>
      </w:r>
      <w:r w:rsidR="00105333" w:rsidRPr="00837161">
        <w:t>)</w:t>
      </w:r>
      <w:r w:rsidR="00105333" w:rsidRPr="00837161">
        <w:rPr>
          <w:i/>
          <w:iCs/>
        </w:rPr>
        <w:t xml:space="preserve"> </w:t>
      </w:r>
      <w:r w:rsidRPr="00837161">
        <w:t>where the program</w:t>
      </w:r>
      <w:r w:rsidR="77F8A015" w:rsidRPr="00837161">
        <w:t>me</w:t>
      </w:r>
      <w:r w:rsidRPr="00837161">
        <w:t xml:space="preserve">, has also offered many additional ecosystem service and social benefits for the local communities supported by government investment </w:t>
      </w:r>
      <w:r w:rsidR="007B722F" w:rsidRPr="00837161">
        <w:fldChar w:fldCharType="begin"/>
      </w:r>
      <w:r w:rsidR="000F35EB">
        <w:instrText xml:space="preserve"> ADDIN ZOTERO_ITEM CSL_CITATION {"citationID":"U51C3vbp","properties":{"formattedCitation":"(Richardson &amp; van Wilgen, 2004; van Wilgen &amp; Wannenburgh, 2016)","plainCitation":"(Richardson &amp; van Wilgen, 2004; van Wilgen &amp; Wannenburgh, 2016)","noteIndex":0},"citationItems":[{"id":30920,"uris":["http://zotero.org/groups/2352922/items/YPDWJYJB"],"itemData":{"id":30920,"type":"article-journal","abstract":"This paper examines the evidence for the effects of invasive alien plants in natural and semi-natural ecosystems in South Africa. Invasive alien plants are concentrated in the Western Cape, along the eastern seaboard, and into the eastern interior, but there is a shortage of accurate data on abundance within this range. Most information on site-specific impacts comes from the fynbos biome, and is generally poor for other biomes. The consequences of invasions for the delivery of ecosystem goods and services to people are, with the notable exception of their influence on water resources, inadequately studied. Our understanding of many of the broader aspects of invasion ecology needs to be enhanced, and we identify important challenges for research to address critical gaps in knowledge. Priorities for future research include the development of a predictive understanding of the rates of spread of invasive alien plants, and the development of achievable goals for ecosystem repair after clearing, including measurable criteria for assessing the success of restoration. Climate change could significantly exacerbate problems with invasive species and work is needed to accommodate plausible trajectories in planning and management frameworks. Perhaps the greatest challenge for South African ecologists is to address the twin issues of skills development and social transformation, to ensure that adequate and relevant ecological expertise is maintained to meet future research and management needs. Formal collaboration between organizations to address capacity building and educational transformation in the field of invasion ecology would represent a significant step forward.","container-title":"South African Journal of Science","DOI":"10.10520/EJC96214","issue":"1","note":"publisher: Academy of Science for South Africa (ASSAf)","page":"45-52","source":"journals.co.za (Atypon)","title":"Invasive alien plants in South Africa: how well do we understand the ecological impacts?: working for water","title-short":"Invasive alien plants in South Africa","URL":"https://journals.co.za/doi/abs/10.10520/EJC96214","volume":"100","author":[{"family":"Richardson","given":"David M."},{"family":"Wilgen","given":"Brian W.","non-dropping-particle":"van"}],"accessed":{"date-parts":[["2021",8,17]]},"issued":{"date-parts":[["2004",1,1]]}},"label":"page"},{"id":30478,"uris":["http://zotero.org/groups/2352922/items/ZKSB3XRI"],"itemData":{"id":30478,"type":"article-journal","abstract":"The Working for Water programme simultaneously promotes conservation and poverty relief through alien plant control projects. We trace the programme's history and review the factors that led to its success. These included a sound scientific grounding, a clear demonstration that the plants are a serious threat to vital and scarce water resources, and a unique opportunity presented by South Africa's transition to democratic government. The programme built on historical precedents for control, and was able to capitalise on a core of dedicated managers that delivered a good-news story, leading to increased funding. The programme has facilitated advances in biological control, raised levels of awareness, enacted legislation, and promoted research. However, it has only treated a relatively small proportion of the estimated invaded area, and assessments of progress towards ecosystem-scale outcomes cannot be made as they are not monitored. The need to operate in a bureaucratic environment, an emphasis on job-creation and relative neglect of environmental goals, and high levels of political interference are significant obstacles to progress.","collection-title":"Sustainability science","container-title":"Current Opinion in Environmental Sustainability","DOI":"10.1016/j.cosust.2015.08.012","ISSN":"1877-3435","journalAbbreviation":"Current Opinion in Environmental Sustainability","language":"en","page":"7-17","source":"ScienceDirect","title":"Co-facilitating invasive species control, water conservation and poverty relief: achievements and challenges in South Africa's Working for Water programme","title-short":"Co-facilitating invasive species control, water conservation and poverty relief","URL":"https://www.sciencedirect.com/science/article/pii/S1877343515000962","volume":"19","author":[{"family":"Wilgen","given":"Brian W","non-dropping-particle":"van"},{"family":"Wannenburgh","given":"Andrew"}],"accessed":{"date-parts":[["2021",8,17]]},"issued":{"date-parts":[["2016",4,1]]}},"label":"page"}],"schema":"https://github.com/citation-style-language/schema/raw/master/csl-citation.json"} </w:instrText>
      </w:r>
      <w:r w:rsidR="007B722F" w:rsidRPr="00837161">
        <w:fldChar w:fldCharType="separate"/>
      </w:r>
      <w:r w:rsidR="00271B78" w:rsidRPr="00271B78">
        <w:t>(Richardson &amp; van Wilgen, 2004; van Wilgen &amp; Wannenburgh, 2016)</w:t>
      </w:r>
      <w:r w:rsidR="007B722F" w:rsidRPr="00837161">
        <w:fldChar w:fldCharType="end"/>
      </w:r>
      <w:r w:rsidRPr="00837161">
        <w:t>.</w:t>
      </w:r>
      <w:r w:rsidR="6335499E" w:rsidRPr="00837161">
        <w:t xml:space="preserve"> </w:t>
      </w:r>
    </w:p>
    <w:p w14:paraId="27A30D8E" w14:textId="5538C51B" w:rsidR="007B722F" w:rsidRPr="00837161" w:rsidRDefault="49CE0E9B" w:rsidP="00C11DFA">
      <w:pPr>
        <w:spacing w:before="240" w:after="120" w:line="240" w:lineRule="auto"/>
      </w:pPr>
      <w:r w:rsidRPr="00837161">
        <w:t xml:space="preserve">Using grazing animals for invasive alien plant control has a huge literature in the pastoral sector </w:t>
      </w:r>
      <w:r w:rsidR="007B722F" w:rsidRPr="00837161">
        <w:fldChar w:fldCharType="begin"/>
      </w:r>
      <w:r w:rsidR="000F35EB">
        <w:instrText xml:space="preserve"> ADDIN ZOTERO_ITEM CSL_CITATION {"citationID":"XbMX84MP","properties":{"unsorted":true,"formattedCitation":"(R. G. Smith et al., 2006; Popay &amp; Field, 1996)","plainCitation":"(R. G. Smith et al., 2006; Popay &amp; Field, 1996)","noteIndex":0},"citationItems":[{"id":30450,"uris":["http://zotero.org/groups/2352922/items/NZTBD2B9"],"itemData":{"id":30450,"type":"article-journal","container-title":"Frontiers in Ecology and the Environment","DOI":"10.1890/1540-9295(2006)4[428:LFAMIT]2.0.CO;2","ISSN":"1540-9295","issue":"8","journalAbbreviation":"Frontiers in Ecology and the Environment","language":"en","page":"428-434","source":"DOI.org (Crossref)","title":"Lessons from agriculture may improve the management of invasive plants in wildland systems","URL":"http://doi.wiley.com/10.1890/1540-9295(2006)4[428:LFAMIT]2.0.CO;2","volume":"4","author":[{"family":"Smith","given":"Richard G."},{"family":"Maxwell","given":"Bruce D."},{"family":"Menalled","given":"Fabián D."},{"family":"Rew","given":"Lisa J."}],"accessed":{"date-parts":[["2019",11,4]]},"issued":{"date-parts":[["2006",10]]}},"label":"page"},{"id":29916,"uris":["http://zotero.org/groups/2352922/items/7LSWTA89"],"itemData":{"id":29916,"type":"article-journal","abstract":"Literature on the effectiveness of grazing animals (especially cattle, goats, and sheep) in controlling weeds is reviewed. Availability of animals and the ability to fence them onto or off weed infestations are essential. Weeds of pastures are the most suitable subjects for control, although weeds of arable crops, forestry, and waste places are sometimes amenable to control by grazing animals. Although grazing animals themselves often cause weed problems in pasture, adjusting grazing timing or intensity or both can sometimes redress the balance. Increasing sheep or cattle stocking rates prevents animals from grazing selectively and can help control some weeds. Adjusting grazing pressure can also improve the growth of desirable pasture species so that these are more competitive and able to resist invasion of annual or biennial weeds. Introducing a different class of stock, like sheep into a cattle system or goats into a sheep system can control many weeds. Goats are capable of browsing on and controlling spiny or poisonous brush weeds, including gorse and poison ivy, without suffering adverse effects. Examples are given of the use of grazing animals for weed control in crops and forestry.","container-title":"Weed Technology","DOI":"10.1017/S0890037X00045942","ISSN":"0890-037X, 1550-2740","issue":"1","language":"en","note":"publisher: Cambridge University Press","page":"217-231","source":"Cambridge University Press","title":"Grazing Animals as Weed Control Agents","URL":"https://www.cambridge.org/core/journals/weed-technology/article/grazing-animals-as-weed-control-agents/8A0599E63C86378FD37E57E7BF1C407D","volume":"10","author":[{"family":"Popay","given":"Ian"},{"family":"Field","given":"Roger"}],"accessed":{"date-parts":[["2021",8,17]]},"issued":{"date-parts":[["1996",3]]}},"label":"page"}],"schema":"https://github.com/citation-style-language/schema/raw/master/csl-citation.json"} </w:instrText>
      </w:r>
      <w:r w:rsidR="007B722F" w:rsidRPr="00837161">
        <w:fldChar w:fldCharType="separate"/>
      </w:r>
      <w:r w:rsidR="00271B78" w:rsidRPr="00271B78">
        <w:t>(R. G. Smith et al., 2006; Popay &amp; Field, 1996)</w:t>
      </w:r>
      <w:r w:rsidR="007B722F" w:rsidRPr="00837161">
        <w:fldChar w:fldCharType="end"/>
      </w:r>
      <w:r w:rsidRPr="00837161">
        <w:t xml:space="preserve"> and also in rangelands </w:t>
      </w:r>
      <w:r w:rsidR="007B722F" w:rsidRPr="00837161">
        <w:fldChar w:fldCharType="begin"/>
      </w:r>
      <w:r w:rsidR="000F35EB">
        <w:instrText xml:space="preserve"> ADDIN ZOTERO_ITEM CSL_CITATION {"citationID":"WujKUfb3","properties":{"formattedCitation":"(DiTomaso, 2000; Frost &amp; Launchbaugh, 2003; Sheley et al., 1996)","plainCitation":"(DiTomaso, 2000; Frost &amp; Launchbaugh, 2003; Sheley et al., 1996)","noteIndex":0},"citationItems":[{"id":30453,"uris":["http://zotero.org/groups/2352922/items/RHMHM7QA"],"itemData":{"id":30453,"type":"article-journal","abstract":"Rangeland and pastures comprise about 42% of the total land area of the United States. About three-quarters of all domestic livestock depend upon grazing lands for survival. Many ranges have had domestic stock grazing for more than 100 years and, as a result, the plant composition has changed greatly from the original ecosystems. Western rangelands previously dominated by perennial bunchgrasses have been converted, primarily through overgrazing, to annual grasslands that are susceptible to invasion by introduced dicots. Today there are more than 300 rangeland weeds in the United States. Some of the most problematic include Bromus tectorum, Euphorbia esula, Centaurea solstitialis, C. diffusa, C. maculosa, and a number of other Centaurea species. In total, weeds in rangeland cause an estimated loss of $2 billion annually in the United States, which is more than all other pests combined. They impact the livestock industry by lowering yield and quality of forage, interfering with grazing, poisoning animals, increasing costs of managing and producing livestock, and reducing land value. They also impact wildlife habitat and forage, deplete soil and water resources, and reduce plant and animal diversity. Numerous mechanical and cultural control options have been developed to manage noxious rangeland weeds, including mowing, prescribed burning, timely grazing, and perennial grass reseeding or interseeding. In addition, several herbicides are registered for use on rangelands and most biological control programs focus on noxious rangeland weed control. Successful management of noxious weeds on rangeland will require the development of a long-term strategic plan incorporating prevention programs, education materials and activities, and economical and sustainable multi-year integrated approaches that improve degraded rangeland communities, enhance the utility of the ecosystem, and prevent reinvasion or encroachment by other noxious weed species.","container-title":"Weed Science","DOI":"10.1614/0043-1745(2000)048[0255:IWIRSI]2.0.CO;2","ISSN":"0043-1745, 1550-2759","issue":"2","journalAbbreviation":"Weed Science","language":"en","page":"255-265","source":"DOI.org (Crossref)","title":"Invasive weeds in rangelands: Species, impacts, and management","title-short":"Invasive weeds in rangelands","URL":"https://www.cambridge.org/core/product/identifier/S004317450000878X/type/journal_article","volume":"48","author":[{"family":"DiTomaso","given":"Joseph M."}],"accessed":{"date-parts":[["2019",11,28]]},"issued":{"date-parts":[["2000",3]]}},"label":"page"},{"id":30919,"uris":["http://zotero.org/groups/2352922/items/DWQ67M5S"],"itemData":{"id":30919,"type":"article-journal","container-title":"Rangelands","DOI":"http://dx.doi.org/10.2458/azu_rangelands_v25i6_frost","issue":"6","note":"ISBN: 0190-0528","page":"43-47","title":"Prescription grazing for rangeland weed management.","volume":"25","author":[{"family":"Frost","given":"Rachel A."},{"family":"Launchbaugh","given":"Karen L."}],"issued":{"date-parts":[["2003"]]}},"label":"page"},{"id":29929,"uris":["http://zotero.org/groups/2352922/items/HXXAXRTF"],"itemData":{"id":29929,"type":"article-journal","abstract":"Sustainable rangeland management will require successional strategies to deal with the expanding weed problem. These strategies must be consistent with the view that plant communities are dynamic and technology is used to enhance the natural processes and mechanisms that direct vegetation change. The goal is to shift the dynamics toward a desired plant community. A unified conceptual model is necessary to direct the development and application of successional weed management systems. We propose using a resource management model as a conceptual basis for successional weed management. This model is based on the primary causes of succession: site availability, differential species availability, and differential species performance. This model provides the mechanistic framework necessary for developing successional weed management systems and it is meant to enhance communication among rangeland weed managers and scientists.","container-title":"Weed Technology","DOI":"10.1017/S0890037X00040793","ISSN":"0890-037X, 1550-2740","issue":"4","language":"en","note":"publisher: Cambridge University Press","page":"766-773","source":"Cambridge University Press","title":"A Theoretical Framework for Developing Successional Weed Management Strategies on Rangeland","URL":"https://www.cambridge.org/core/journals/weed-technology/article/theoretical-framework-for-developing-successional-weed-management-strategies-on-rangeland/DD753B749F5CFC8065D1D27803A58A52","volume":"10","author":[{"family":"Sheley","given":"Roger L."},{"family":"Svejcar","given":"Tony J."},{"family":"Maxwell","given":"Bruce D."}],"accessed":{"date-parts":[["2021",8,17]]},"issued":{"date-parts":[["1996",12]]}},"label":"page"}],"schema":"https://github.com/citation-style-language/schema/raw/master/csl-citation.json"} </w:instrText>
      </w:r>
      <w:r w:rsidR="007B722F" w:rsidRPr="00837161">
        <w:fldChar w:fldCharType="separate"/>
      </w:r>
      <w:r w:rsidR="00271B78" w:rsidRPr="00271B78">
        <w:t>(DiTomaso, 2000; Frost &amp; Launchbaugh, 2003; Sheley et al., 1996)</w:t>
      </w:r>
      <w:r w:rsidR="007B722F" w:rsidRPr="00837161">
        <w:fldChar w:fldCharType="end"/>
      </w:r>
      <w:r w:rsidRPr="00837161">
        <w:t xml:space="preserve">, but it has also been used in forests </w:t>
      </w:r>
      <w:r w:rsidR="007B722F" w:rsidRPr="00837161">
        <w:fldChar w:fldCharType="begin"/>
      </w:r>
      <w:r w:rsidR="000F35EB">
        <w:instrText xml:space="preserve"> ADDIN ZOTERO_ITEM CSL_CITATION {"citationID":"JIRwIAKj","properties":{"formattedCitation":"(S. N. Adams, 1975)","plainCitation":"(S. N. Adams, 1975)","noteIndex":0},"citationItems":[{"id":29800,"uris":["http://zotero.org/groups/2352922/items/RCQYH5T5"],"itemData":{"id":29800,"type":"article-journal","abstract":"The world literature on sheep and cattle grazing in forests is reviewed, and its relevance to British conditions discussed.","container-title":"Journal of Applied Ecology","DOI":"10.2307/2401724","ISSN":"0021-8901","issue":"1","note":"publisher: [British Ecological Society, Wiley]","page":"143-152","source":"JSTOR","title":"Sheep and Cattle Grazing in Forests: A Review","title-short":"Sheep and Cattle Grazing in Forests","URL":"https://www.jstor.org/stable/2401724","volume":"12","author":[{"family":"Adams","given":"S. N."}],"accessed":{"date-parts":[["2021",8,17]]},"issued":{"date-parts":[["1975"]]}},"label":"page"}],"schema":"https://github.com/citation-style-language/schema/raw/master/csl-citation.json"} </w:instrText>
      </w:r>
      <w:r w:rsidR="007B722F" w:rsidRPr="00837161">
        <w:fldChar w:fldCharType="separate"/>
      </w:r>
      <w:r w:rsidR="00271B78" w:rsidRPr="00271B78">
        <w:t>(S. N. Adams, 1975)</w:t>
      </w:r>
      <w:r w:rsidR="007B722F" w:rsidRPr="00837161">
        <w:fldChar w:fldCharType="end"/>
      </w:r>
      <w:r w:rsidRPr="00837161">
        <w:t xml:space="preserve"> and other ecosystems </w:t>
      </w:r>
      <w:r w:rsidR="007B722F" w:rsidRPr="00837161">
        <w:fldChar w:fldCharType="begin"/>
      </w:r>
      <w:r w:rsidR="000F35EB">
        <w:instrText xml:space="preserve"> ADDIN ZOTERO_ITEM CSL_CITATION {"citationID":"2AFjgQSm","properties":{"formattedCitation":"(Randall, 1996)","plainCitation":"(Randall, 1996)","noteIndex":0},"citationItems":[{"id":30194,"uris":["http://zotero.org/groups/2352922/items/8JGVYMB9"],"itemData":{"id":30194,"type":"article-journal","abstract":"Invasions by non-native plants threaten the preservation of many plant and animal species and communities throughout North America. These pest species compete with and displace native plants and animals and may substantially alter ecosystem functions (e.g., fire occurrence and frequency, nutrient cycling). Awareness of these threats among wildland managers has greatly increased in the last decade. In a recent poll of National Park superintendents, 61% of 246 respondents indicated non-native plant invasions were moderate or major problems at their parks. Likewise, over 60% of Nature Conservancy stewards nationwide polled in 1992 indicated weeds were among their top 10 management problems, listing nearly 200 problem species. Over 12% indicated weeds were their worst problem. Weed control programs are now in place in wildlands across the continent, employing techniques ranging from manual removal, mechanical methods, prescribed fire, judicious use of herbicides, the release of biological control agents, and encouragement of native competitors. The most successful endeavors follow an adaptive management strategy in which plans based on the goals of the preserve are developed, weeds that interfere with those goals are identified and prioritized, and control measures are selected and implemented where appropriate. Emphasis is placed on preventing new weeds from becoming established and on early detection and elimination of incipient infestations. Managers must focus on the vegetation or community desired in place of the weeds and periodically re-evaluate whether their programs are moving them toward this objective. Control of weeds in wildlands poses unusual problems not ordinarily met in other systems which offer challenging research opportunities for weed scientists and ecologists.","container-title":"Weed Technology","DOI":"10.1017/S0890037X00040124","ISSN":"0890-037X, 1550-2740","issue":"2","language":"en","note":"publisher: Cambridge University Press","page":"370-383","source":"Cambridge University Press","title":"Weed Control for the Preservation of Biological Diversity","URL":"https://www.cambridge.org/core/journals/weed-technology/article/weed-control-for-the-preservation-of-biological-diversity/872F8C67AF2C1846F6C82F07CFEF86B8","volume":"10","author":[{"family":"Randall","given":"John M."}],"accessed":{"date-parts":[["2021",8,17]]},"issued":{"date-parts":[["1996",6]]}},"label":"page"}],"schema":"https://github.com/citation-style-language/schema/raw/master/csl-citation.json"} </w:instrText>
      </w:r>
      <w:r w:rsidR="007B722F" w:rsidRPr="00837161">
        <w:fldChar w:fldCharType="separate"/>
      </w:r>
      <w:r w:rsidR="00271B78" w:rsidRPr="00271B78">
        <w:t>(Randall, 1996)</w:t>
      </w:r>
      <w:r w:rsidR="007B722F" w:rsidRPr="00837161">
        <w:fldChar w:fldCharType="end"/>
      </w:r>
      <w:r w:rsidRPr="00837161">
        <w:t>. Most grazing management occurs through the use of livestock species but</w:t>
      </w:r>
      <w:r w:rsidR="0031159D" w:rsidRPr="00837161">
        <w:t>,</w:t>
      </w:r>
      <w:r w:rsidRPr="00837161">
        <w:t xml:space="preserve"> in natural ecosystems, goats are often used with obvious risks</w:t>
      </w:r>
      <w:r w:rsidR="000A1957" w:rsidRPr="00837161">
        <w:t xml:space="preserve"> of </w:t>
      </w:r>
      <w:r w:rsidRPr="00837161">
        <w:t>graz</w:t>
      </w:r>
      <w:r w:rsidR="000A1957" w:rsidRPr="00837161">
        <w:t>ing</w:t>
      </w:r>
      <w:r w:rsidRPr="00837161">
        <w:t xml:space="preserve"> native plants as well or escap</w:t>
      </w:r>
      <w:r w:rsidR="000A1957" w:rsidRPr="00837161">
        <w:t xml:space="preserve">ing </w:t>
      </w:r>
      <w:r w:rsidRPr="00837161">
        <w:t>containment</w:t>
      </w:r>
      <w:r w:rsidR="0031159D" w:rsidRPr="00837161">
        <w:t>,</w:t>
      </w:r>
      <w:r w:rsidRPr="00837161">
        <w:t xml:space="preserve"> </w:t>
      </w:r>
      <w:r w:rsidR="3AC5FBF2" w:rsidRPr="00837161">
        <w:t>which demands care</w:t>
      </w:r>
      <w:r w:rsidRPr="00837161">
        <w:t xml:space="preserve"> </w:t>
      </w:r>
      <w:r w:rsidR="007B722F" w:rsidRPr="00837161">
        <w:fldChar w:fldCharType="begin"/>
      </w:r>
      <w:r w:rsidR="000F35EB">
        <w:instrText xml:space="preserve"> ADDIN ZOTERO_ITEM CSL_CITATION {"citationID":"Rf4cCP65","properties":{"formattedCitation":"(Frost &amp; Launchbaugh, 2003; R. G. Smith et al., 2006)","plainCitation":"(Frost &amp; Launchbaugh, 2003; R. G. Smith et al., 2006)","noteIndex":0},"citationItems":[{"id":30919,"uris":["http://zotero.org/groups/2352922/items/DWQ67M5S"],"itemData":{"id":30919,"type":"article-journal","container-title":"Rangelands","DOI":"http://dx.doi.org/10.2458/azu_rangelands_v25i6_frost","issue":"6","note":"ISBN: 0190-0528","page":"43-47","title":"Prescription grazing for rangeland weed management.","volume":"25","author":[{"family":"Frost","given":"Rachel A."},{"family":"Launchbaugh","given":"Karen L."}],"issued":{"date-parts":[["2003"]]}},"label":"page"},{"id":30450,"uris":["http://zotero.org/groups/2352922/items/NZTBD2B9"],"itemData":{"id":30450,"type":"article-journal","container-title":"Frontiers in Ecology and the Environment","DOI":"10.1890/1540-9295(2006)4[428:LFAMIT]2.0.CO;2","ISSN":"1540-9295","issue":"8","journalAbbreviation":"Frontiers in Ecology and the Environment","language":"en","page":"428-434","source":"DOI.org (Crossref)","title":"Lessons from agriculture may improve the management of invasive plants in wildland systems","URL":"http://doi.wiley.com/10.1890/1540-9295(2006)4[428:LFAMIT]2.0.CO;2","volume":"4","author":[{"family":"Smith","given":"Richard G."},{"family":"Maxwell","given":"Bruce D."},{"family":"Menalled","given":"Fabián D."},{"family":"Rew","given":"Lisa J."}],"accessed":{"date-parts":[["2019",11,4]]},"issued":{"date-parts":[["2006",10]]}},"label":"page"}],"schema":"https://github.com/citation-style-language/schema/raw/master/csl-citation.json"} </w:instrText>
      </w:r>
      <w:r w:rsidR="007B722F" w:rsidRPr="00837161">
        <w:fldChar w:fldCharType="separate"/>
      </w:r>
      <w:r w:rsidR="00271B78" w:rsidRPr="00271B78">
        <w:t>(Frost &amp; Launchbaugh, 2003; R. G. Smith et al., 2006)</w:t>
      </w:r>
      <w:r w:rsidR="007B722F" w:rsidRPr="00837161">
        <w:fldChar w:fldCharType="end"/>
      </w:r>
      <w:r w:rsidRPr="00837161">
        <w:t xml:space="preserve">. The use of grazing animals can also spread invasive alien plants species adapted to attach to animal hides or when </w:t>
      </w:r>
      <w:r w:rsidR="001D58C7">
        <w:t xml:space="preserve">invasive alien plant </w:t>
      </w:r>
      <w:r w:rsidRPr="00837161">
        <w:t>seeds are consumed but may pass into animal f</w:t>
      </w:r>
      <w:r w:rsidR="00E40870">
        <w:t>a</w:t>
      </w:r>
      <w:r w:rsidRPr="00837161">
        <w:t>eces (e.g.</w:t>
      </w:r>
      <w:r w:rsidR="12B67E9A" w:rsidRPr="00837161">
        <w:t>,</w:t>
      </w:r>
      <w:r w:rsidRPr="00837161">
        <w:t xml:space="preserve"> </w:t>
      </w:r>
      <w:r w:rsidRPr="00837161">
        <w:rPr>
          <w:i/>
          <w:iCs/>
        </w:rPr>
        <w:t>Vachellia nilotica</w:t>
      </w:r>
      <w:r w:rsidRPr="00837161">
        <w:t xml:space="preserve"> </w:t>
      </w:r>
      <w:r w:rsidR="657F5EFB" w:rsidRPr="00837161">
        <w:t>(</w:t>
      </w:r>
      <w:r w:rsidR="12B67E9A" w:rsidRPr="00837161">
        <w:t>gum arabic tree</w:t>
      </w:r>
      <w:r w:rsidR="657F5EFB" w:rsidRPr="00837161">
        <w:t>)</w:t>
      </w:r>
      <w:r w:rsidR="3F516124" w:rsidRPr="00837161">
        <w:t>;</w:t>
      </w:r>
      <w:r w:rsidRPr="00837161">
        <w:t xml:space="preserve"> </w:t>
      </w:r>
      <w:r w:rsidR="007B722F" w:rsidRPr="00837161">
        <w:fldChar w:fldCharType="begin"/>
      </w:r>
      <w:r w:rsidR="000F35EB">
        <w:instrText xml:space="preserve"> ADDIN ZOTERO_ITEM CSL_CITATION {"citationID":"F6UY6OLz","properties":{"formattedCitation":"(Kriticos et al., 1999)","plainCitation":"(Kriticos et al., 1999)","dontUpdate":true,"noteIndex":0},"citationItems":[{"id":52574,"uris":["http://zotero.org/groups/2352922/items/2FL23U4F"],"itemData":{"id":52574,"type":"article-journal","abstract":"The conversion of grasslands and savannas to shrublands and woodlands by invasive weeds is a global problem confounding scientists and land managers. Since the 1960s, prickly acacia, Acacia nilotica ssp. indica, has substantially increased in density and range to become one of Australia's worst tropical rangeland weeds. Although the plant has been classified as a noxious weed for more than 30 years, relatively little research on its biology or ecology occurred until the late 1980s. A program of introducing biological control agents commenced in 1980 and resulted in the release of two insects: one failed to establish and the other has failed to exert any control. We suggest that studies of the population dynamics of a weed should occur prior to implementation of biological control programs. These can be valuable to identify weaknesses that can be exploited and to focus the search for effective agents, thereby enhancing the success rate of biological control efforts. We examine the life history and dispersal mechanisms of A. nilotica with a view to understanding the relative sensitivity of the population to reductions in each lifestage, understanding the vulnerability of each lifestage to biological control, and prioritizing potential control points in the lifecycle. Seedlings and juveniles appear to be the most susceptible lifestages to target for control. They are relatively easy to kill, and significant reductions in their numbers will reduce the overall weed status of the plant.","container-title":"Biological Control","DOI":"10.1006/bcon.1999.0746","ISSN":"1049-9644","issue":"2","journalAbbreviation":"Biological Control","language":"en","page":"230-239","source":"ScienceDirect","title":"Plant Population Ecology and Biological Control: &lt;i&gt;Acacia nilotica&lt;/i&gt; as a Case Study","title-short":"Plant Population Ecology and Biological Control","URL":"https://www.sciencedirect.com/science/article/pii/S1049964499907466","volume":"16","author":[{"family":"Kriticos","given":"D. J."},{"family":"Brown","given":"Joel"},{"family":"Radford","given":"Ian"},{"family":"Nicholas","given":"Mike"}],"accessed":{"date-parts":[["2022",7,4]]},"issued":{"date-parts":[["1999",10,1]]}},"label":"page"}],"schema":"https://github.com/citation-style-language/schema/raw/master/csl-citation.json"} </w:instrText>
      </w:r>
      <w:r w:rsidR="007B722F" w:rsidRPr="00837161">
        <w:fldChar w:fldCharType="separate"/>
      </w:r>
      <w:r w:rsidR="0086347A" w:rsidRPr="00837161">
        <w:t>Kriticos et al., 1999)</w:t>
      </w:r>
      <w:r w:rsidR="007B722F" w:rsidRPr="00837161">
        <w:fldChar w:fldCharType="end"/>
      </w:r>
      <w:r w:rsidRPr="00837161">
        <w:t xml:space="preserve">. Like other forms of physical management of invasive alien plants, </w:t>
      </w:r>
      <w:r w:rsidR="001B7297" w:rsidRPr="00837161">
        <w:t xml:space="preserve">the effectiveness of </w:t>
      </w:r>
      <w:r w:rsidRPr="00837161">
        <w:t xml:space="preserve">grazing management generally </w:t>
      </w:r>
      <w:r w:rsidR="001B7297" w:rsidRPr="00837161">
        <w:t>depends on</w:t>
      </w:r>
      <w:r w:rsidRPr="00837161">
        <w:t xml:space="preserve"> long-term contro</w:t>
      </w:r>
      <w:r w:rsidR="4F0807C1" w:rsidRPr="00837161">
        <w:t>l</w:t>
      </w:r>
      <w:r w:rsidRPr="00837161">
        <w:t>led application as the benefits can be quickly lost when the treatment is halted. This limits control cost</w:t>
      </w:r>
      <w:r w:rsidR="005D7B59">
        <w:t>-</w:t>
      </w:r>
      <w:r w:rsidRPr="00837161">
        <w:t xml:space="preserve">effectiveness, unless part of </w:t>
      </w:r>
      <w:r w:rsidR="001D58C7">
        <w:t xml:space="preserve">an </w:t>
      </w:r>
      <w:r w:rsidRPr="00837161">
        <w:t xml:space="preserve">integrated management or/and ecosystem restoration programme, where there are multiple other benefits for the local communities </w:t>
      </w:r>
      <w:r w:rsidR="007B722F" w:rsidRPr="00837161">
        <w:fldChar w:fldCharType="begin"/>
      </w:r>
      <w:r w:rsidR="000F35EB">
        <w:instrText xml:space="preserve"> ADDIN ZOTERO_ITEM CSL_CITATION {"citationID":"AriJ0H4d","properties":{"formattedCitation":"(Reyes-Garc\\uc0\\u237{}a et al., 2019)","plainCitation":"(Reyes-García et al., 2019)","noteIndex":0},"citationItems":[{"id":31071,"uris":["http://zotero.org/groups/2352922/items/LHIYXPSE"],"itemData":{"id":31071,"type":"article-journal","abstract":"Indigenous Peoples and local communities (IPLC) are affected by global environmental change because they directly rely on their immediate environment for meeting basic livelihood needs. Therefore, safeguarding and restoring ecosystem resilience is critical to support their well-being. Based on examples from the literature, we illustrate how IPLC participate in restoration activities maintaining traditional practices, restoring land degraded by outsiders, and joining outside groups seeking to restore ecosystems. Our review also provides examples of how Indigenous and Local Knowledge can be incorporated in the planning, execution, and monitoring of restoration activities. However, not all restoration initiatives engaging IPLC are beneficial or successful, and the factors that lead to success are not fully known. While local involvement in restoration projects is often mentioned as an element of success, this is primarily associated to projects that actively involve IPLC in codesigning restoration activities affecting their territories, ensure both short-term direct benefits to IPLC and long-term support of the maintenance of restored areas, and recognize IPLC local traditions and customary institutions. Based on these examples, we argue that IPLC should be a more important focus in any post-2020 CBD agenda on restoration.","container-title":"Restoration Ecology","DOI":"10.1111/rec.12894","ISSN":"1526-100X","issue":"1","language":"en","note":"_eprint: https://onlinelibrary.wiley.com/doi/pdf/10.1111/rec.12894","page":"3-8","source":"Wiley Online Library","title":"The contributions of Indigenous Peoples and local communities to ecological restoration","URL":"https://onlinelibrary.wiley.com/doi/abs/10.1111/rec.12894","volume":"27","author":[{"family":"Reyes-García","given":"Victoria"},{"family":"Fernández-Llamazares","given":"Álvaro"},{"family":"McElwee","given":"Pamela"},{"family":"Molnár","given":"Zsolt"},{"family":"Öllerer","given":"Kinga"},{"family":"Wilson","given":"Sarah J."},{"family":"Brondizio","given":"Eduardo S."}],"accessed":{"date-parts":[["2021",10,31]]},"issued":{"date-parts":[["2019"]]}},"label":"page"}],"schema":"https://github.com/citation-style-language/schema/raw/master/csl-citation.json"} </w:instrText>
      </w:r>
      <w:r w:rsidR="007B722F" w:rsidRPr="00837161">
        <w:fldChar w:fldCharType="separate"/>
      </w:r>
      <w:r w:rsidR="00271B78" w:rsidRPr="00271B78">
        <w:t>(Reyes-García et al., 2019)</w:t>
      </w:r>
      <w:r w:rsidR="007B722F" w:rsidRPr="00837161">
        <w:fldChar w:fldCharType="end"/>
      </w:r>
      <w:r w:rsidRPr="00837161">
        <w:t>.</w:t>
      </w:r>
    </w:p>
    <w:p w14:paraId="000002E9" w14:textId="77777777" w:rsidR="00A758FD" w:rsidRPr="00C0338D" w:rsidRDefault="00C81287" w:rsidP="00604A0A">
      <w:pPr>
        <w:pStyle w:val="Heading4"/>
      </w:pPr>
      <w:r w:rsidRPr="00C0338D">
        <w:t xml:space="preserve">Pesticide management of invasive alien animals and plants </w:t>
      </w:r>
    </w:p>
    <w:bookmarkEnd w:id="378"/>
    <w:p w14:paraId="000002EA" w14:textId="7B1018D1" w:rsidR="00A758FD" w:rsidRPr="00C0338D" w:rsidRDefault="00C81287">
      <w:pPr>
        <w:spacing w:before="240" w:after="120" w:line="240" w:lineRule="auto"/>
      </w:pPr>
      <w:r w:rsidRPr="00C0338D">
        <w:t xml:space="preserve">Chemical pesticides remain a key local tool for invasive alien species management. </w:t>
      </w:r>
      <w:r w:rsidRPr="00AC1F76">
        <w:rPr>
          <w:color w:val="000000"/>
        </w:rPr>
        <w:t>Herbicides can be sprayed on grasses, herbs</w:t>
      </w:r>
      <w:r w:rsidR="00C16EEB">
        <w:rPr>
          <w:color w:val="000000"/>
        </w:rPr>
        <w:t xml:space="preserve"> and</w:t>
      </w:r>
      <w:r w:rsidRPr="00AC1F76">
        <w:rPr>
          <w:color w:val="000000"/>
        </w:rPr>
        <w:t xml:space="preserve"> shrubs, applied on cut stumps to prevent sprouting, or injected in tree trunks. For invasive alien plants this is the most widely used control method and a wide array of herbicides are available </w:t>
      </w:r>
      <w:r w:rsidR="001D58C7">
        <w:rPr>
          <w:color w:val="000000"/>
        </w:rPr>
        <w:t>o</w:t>
      </w:r>
      <w:r w:rsidRPr="00AC1F76">
        <w:rPr>
          <w:color w:val="000000"/>
        </w:rPr>
        <w:t>n the market. Different products are used to control invasive alien animals, especially baits under controlled situations.</w:t>
      </w:r>
      <w:r w:rsidRPr="00C0338D">
        <w:t xml:space="preserve"> Social acceptability, risks of non-target impacts</w:t>
      </w:r>
      <w:r w:rsidR="00C16EEB">
        <w:t xml:space="preserve"> and</w:t>
      </w:r>
      <w:r w:rsidRPr="00C0338D">
        <w:t xml:space="preserve"> wider environmental risks are increasing societal issues and concerns associated with pesticide use. When addressing these societal issues, it is important to take into account </w:t>
      </w:r>
      <w:r w:rsidRPr="0079215C">
        <w:rPr>
          <w:color w:val="000000" w:themeColor="text1"/>
        </w:rPr>
        <w:t>the context of values and policies of individual countries. In order to increase the level of safety and acceptability, it is important that control projects include training and protocols to ensure the use of proper personal protective equipment, good quality materials to prevent leaking, proper disposal of pesticide containers, necessary permits, trained personnel and follow-up routines to increase effectiveness. The use of pesticides is also context-dependent, so local conditions need to be assessed to define limitations. For example, as proximity to water is a strong concern, herbicide spraying regulations require minimum distance from water bodies be maintained.</w:t>
      </w:r>
      <w:r w:rsidRPr="00C0338D">
        <w:t xml:space="preserve"> This is equally true for vertebrate pest control programmes. The aerial application of the brodifacoum bait to eradicate </w:t>
      </w:r>
      <w:r w:rsidRPr="00C0338D">
        <w:rPr>
          <w:i/>
        </w:rPr>
        <w:t>Rattus norvegicus</w:t>
      </w:r>
      <w:r w:rsidRPr="00C0338D">
        <w:t xml:space="preserve"> (brown rat) </w:t>
      </w:r>
      <w:r w:rsidRPr="0079215C">
        <w:rPr>
          <w:color w:val="000000" w:themeColor="text1"/>
        </w:rPr>
        <w:t xml:space="preserve">was conducted on the 267-hectare Ulva Island in New Zealand. </w:t>
      </w:r>
      <w:r w:rsidR="00C403EC" w:rsidRPr="00837161">
        <w:rPr>
          <w:rFonts w:eastAsia="SimSun"/>
          <w:color w:val="000000" w:themeColor="text1"/>
          <w:lang w:eastAsia="en-US"/>
        </w:rPr>
        <w:t xml:space="preserve">This </w:t>
      </w:r>
      <w:r w:rsidR="00A65996" w:rsidRPr="00837161">
        <w:t xml:space="preserve">resulted in a residual concentration in several coastal species of fish and shellfish </w:t>
      </w:r>
      <w:r w:rsidR="62EEBE71" w:rsidRPr="00837161">
        <w:fldChar w:fldCharType="begin"/>
      </w:r>
      <w:r w:rsidR="000F35EB">
        <w:instrText xml:space="preserve"> ADDIN ZOTERO_ITEM CSL_CITATION {"citationID":"8v63UxEw","properties":{"formattedCitation":"(Masuda et al., 2015)","plainCitation":"(Masuda et al., 2015)","noteIndex":0},"citationItems":[{"id":23916,"uris":["http://zotero.org/groups/2352922/items/BQHYGWLI"],"itemData":{"id":23916,"type":"article-journal","container-title":"Ecotoxicology and Environmental Safety","DOI":"10.1016/j.ecoenv.2014.11.013","ISSN":"01476513","journalAbbreviation":"Ecotoxicology and Environmental Safety","language":"en","page":"1-8","source":"DOI.org (Crossref)","title":"Residue profiles of brodifacoum in coastal marine species following an island rodent eradication","URL":"https://linkinghub.elsevier.com/retrieve/pii/S0147651314005259","volume":"113","author":[{"family":"Masuda","given":"Bryce M."},{"family":"Fisher","given":"Penny"},{"family":"Beaven","given":"Brent"}],"accessed":{"date-parts":[["2020",8,26]]},"issued":{"date-parts":[["2015",3]]}},"label":"page"}],"schema":"https://github.com/citation-style-language/schema/raw/master/csl-citation.json"} </w:instrText>
      </w:r>
      <w:r w:rsidR="62EEBE71" w:rsidRPr="00837161">
        <w:fldChar w:fldCharType="separate"/>
      </w:r>
      <w:r w:rsidR="00271B78" w:rsidRPr="00271B78">
        <w:t>(Masuda et al., 2015)</w:t>
      </w:r>
      <w:r w:rsidR="62EEBE71" w:rsidRPr="00837161">
        <w:fldChar w:fldCharType="end"/>
      </w:r>
      <w:r w:rsidR="00A65996" w:rsidRPr="00837161">
        <w:t>. Although the concentrations found were low as w</w:t>
      </w:r>
      <w:r w:rsidR="00C403EC" w:rsidRPr="00837161">
        <w:t>as</w:t>
      </w:r>
      <w:r w:rsidR="00A65996" w:rsidRPr="00837161">
        <w:t xml:space="preserve"> the risk for human </w:t>
      </w:r>
      <w:r w:rsidR="00A65996" w:rsidRPr="00837161">
        <w:lastRenderedPageBreak/>
        <w:t>exposure to the chemical, this example highlights the importance of being aware of the potential side effects.</w:t>
      </w:r>
      <w:r w:rsidR="0004589A" w:rsidRPr="00837161">
        <w:t xml:space="preserve"> Similar program</w:t>
      </w:r>
      <w:r w:rsidR="00653156" w:rsidRPr="00837161">
        <w:t>me</w:t>
      </w:r>
      <w:r w:rsidR="0004589A" w:rsidRPr="00837161">
        <w:t xml:space="preserve">s in Italy appear to have </w:t>
      </w:r>
      <w:r w:rsidR="007D448B" w:rsidRPr="00837161">
        <w:t>not raised such concerns</w:t>
      </w:r>
      <w:r w:rsidR="00DC6B65" w:rsidRPr="00837161">
        <w:t xml:space="preserve"> </w:t>
      </w:r>
      <w:r w:rsidR="00585CE8" w:rsidRPr="00837161">
        <w:fldChar w:fldCharType="begin"/>
      </w:r>
      <w:r w:rsidR="000F35EB">
        <w:instrText xml:space="preserve"> ADDIN ZOTERO_ITEM CSL_CITATION {"citationID":"NsZCxNBc","properties":{"formattedCitation":"(Capizzi et al., 2016)","plainCitation":"(Capizzi et al., 2016)","noteIndex":0},"citationItems":[{"id":52534,"uris":["http://zotero.org/groups/2352922/items/2PKBIGEP"],"itemData":{"id":52534,"type":"chapter","abstract":"The black rat (Rattus rattus) is thought to be the most widespread mammal on Mediterranean islands. In recent years, many field studies have documented its detrimental impact on native species, communities and ecosystems. In order to restore island ecosystems by eliminating the impacts of black rat, several projects have been planned and implemented during the last 15 years on Italian islands. Although these projects were specifically aimed at protecting nesting shearwaters Calonectris diomedea and Puffinus yelkouan from rat predation, they were also planned in order to provide benefits to other island ecosystem components, species and communities. Rats were eradicated from small islands (about 1 ha of surface) to very large islands (over 1000 ha, i.e. Montecristo). Monitoring programmes showed that shearwater reproductive success increased after rat eradication. During these years, we obtained data on different aspects related to the problem of rat impact and control on islands: (1) rat impact on target species; (2) benefits for native species from rat removal; (3) field techniques and bait delivery methods; (4) impact of rodenticides on non-target species; (5) rat abundance, home range and movements and (6) rat reinvasion after eradication. Furthermore, we developed a model aimed at identifying priority islands where rat eradication should be carried out, and/or establish recommended actions.","container-title":"Problematic Wildlife: A Cross-Disciplinary Approach","event-place":"Cham","ISBN":"978-3-319-22246-2","language":"en","note":"DOI: 10.1007/978-3-319-22246-2_10","page":"205-227","publisher":"Springer International Publishing","publisher-place":"Cham","source":"Springer Link","title":"Fifteen Years of Rat Eradication on Italian Islands","URL":"https://doi.org/10.1007/978-3-319-22246-2_10","author":[{"family":"Capizzi","given":"Dario"},{"family":"Baccetti","given":"Nicola"},{"family":"Sposimo","given":"Paolo"}],"editor":[{"family":"Angelici","given":"Francesco M."}],"accessed":{"date-parts":[["2022",7,3]]},"issued":{"date-parts":[["2016"]]}},"label":"page"}],"schema":"https://github.com/citation-style-language/schema/raw/master/csl-citation.json"} </w:instrText>
      </w:r>
      <w:r w:rsidR="00585CE8" w:rsidRPr="00837161">
        <w:fldChar w:fldCharType="separate"/>
      </w:r>
      <w:r w:rsidR="00271B78" w:rsidRPr="00271B78">
        <w:t>(Capizzi et al., 2016)</w:t>
      </w:r>
      <w:r w:rsidR="00585CE8" w:rsidRPr="00837161">
        <w:fldChar w:fldCharType="end"/>
      </w:r>
      <w:r w:rsidR="00DC6B65" w:rsidRPr="00837161">
        <w:t>.</w:t>
      </w:r>
      <w:r w:rsidRPr="00C0338D">
        <w:t xml:space="preserve"> </w:t>
      </w:r>
    </w:p>
    <w:p w14:paraId="000002EB" w14:textId="346B8F03" w:rsidR="00A758FD" w:rsidRPr="00C0338D" w:rsidRDefault="00C81287">
      <w:pPr>
        <w:spacing w:before="240" w:after="120" w:line="240" w:lineRule="auto"/>
      </w:pPr>
      <w:r w:rsidRPr="0079215C">
        <w:rPr>
          <w:shd w:val="clear" w:color="auto" w:fill="FFFFFF"/>
        </w:rPr>
        <w:t xml:space="preserve">There is a large literature dedicated to applications of chemical use in invasive alien species management beyond the scope of the IPBES assessment of invasive alien species. Most best practice manuals seek to optimize and minimize use </w:t>
      </w:r>
      <w:r w:rsidRPr="00C0338D">
        <w:rPr>
          <w:color w:val="000000"/>
        </w:rPr>
        <w:t>as well as choose active ingredients and surfactants that degrade fairly quickly and do not contaminate the soil or water. The use of pesticides in invaded natural ecosystems often generates concern so</w:t>
      </w:r>
      <w:r w:rsidRPr="0079215C">
        <w:rPr>
          <w:shd w:val="clear" w:color="auto" w:fill="FFFFFF"/>
        </w:rPr>
        <w:t xml:space="preserve"> needs to be highly regulated, particularly close to water bodies to avoid off target impacts </w:t>
      </w:r>
      <w:r w:rsidR="00295D2E" w:rsidRPr="00837161">
        <w:fldChar w:fldCharType="begin"/>
      </w:r>
      <w:r w:rsidR="000F35EB">
        <w:instrText xml:space="preserve"> ADDIN ZOTERO_ITEM CSL_CITATION {"citationID":"I2NVQ6ay","properties":{"formattedCitation":"(Kolpin et al., 1998)","plainCitation":"(Kolpin et al., 1998)","noteIndex":0},"citationItems":[{"id":30968,"uris":["http://zotero.org/groups/2352922/items/U8AYCCHN"],"itemData":{"id":30968,"type":"article-journal","abstract":"Numerous studies are being conducted to investigate the occurrence, fate, and effects on human health and the environment from the extensive worldwide use of herbicides to control weeds. Few studies, however, are considering the degradates of these herbicides in their investigations. Our study of herbicides in aquifers across Iowa found herbicide degradates to be prevalent in ground water, being detected in about 75% of the wells sampled. With the exception of atrazine, the frequencies of detection in ground water for a given herbicide increased multifold when its degradates were considered. Furthermore, a majority of the measured concentration for a given herbicide was in the form of its degradates—even for a relatively persistent compound such as atrazine. For this study, degradates comprised from 60 to over 99% of a herbicide's measured concentration. Because herbicide degradates can have similar acute and chronic toxicity as their parent compounds, these compounds have environmental significance as well as providing a more complete understanding of the fate and transport of a given herbicide. Thus, it is essential that degradates are included in any type of herbicide investigation.","container-title":"Archives of Environmental Contamination and Toxicology","DOI":"10.1007/s002449900392","ISSN":"1432-0703","issue":"3","journalAbbreviation":"Arch. Environ. Contam. Toxicol.","language":"en","page":"385-390","source":"Springer Link","title":"The Environmental Occurrence of Herbicides: The Importance of Degradates in Ground Water","title-short":"The Environmental Occurrence of Herbicides","URL":"https://doi.org/10.1007/s002449900392","volume":"35","author":[{"family":"Kolpin","given":"D. W."},{"family":"Thurman","given":"E. M."},{"family":"Linhart","given":"S. M."}],"accessed":{"date-parts":[["2021",11,8]]},"issued":{"date-parts":[["1998",10,1]]}},"label":"page"}],"schema":"https://github.com/citation-style-language/schema/raw/master/csl-citation.json"} </w:instrText>
      </w:r>
      <w:r w:rsidR="00295D2E" w:rsidRPr="00837161">
        <w:fldChar w:fldCharType="separate"/>
      </w:r>
      <w:r w:rsidR="00271B78" w:rsidRPr="00271B78">
        <w:t>(Kolpin et al., 1998)</w:t>
      </w:r>
      <w:r w:rsidR="00295D2E" w:rsidRPr="00837161">
        <w:fldChar w:fldCharType="end"/>
      </w:r>
      <w:r w:rsidR="493F515C" w:rsidRPr="00837161">
        <w:rPr>
          <w:shd w:val="clear" w:color="auto" w:fill="FFFFFF"/>
        </w:rPr>
        <w:t xml:space="preserve">. </w:t>
      </w:r>
      <w:r w:rsidR="493F515C" w:rsidRPr="00837161">
        <w:t>In most countries, use depends</w:t>
      </w:r>
      <w:r w:rsidR="0FD11AA1" w:rsidRPr="00837161">
        <w:t xml:space="preserve"> on</w:t>
      </w:r>
      <w:r w:rsidR="493F515C" w:rsidRPr="00837161">
        <w:t xml:space="preserve"> local jurisdictional legislation, registration and approval processes. Approval is needed from regulators to use a particular type of chemical</w:t>
      </w:r>
      <w:r w:rsidR="095DB026" w:rsidRPr="00837161">
        <w:t xml:space="preserve"> or active ingredient</w:t>
      </w:r>
      <w:r w:rsidR="493F515C" w:rsidRPr="00837161">
        <w:t>, they also approve how the chemical is to be stored and applied and the targets against which it can be used. This is particularly challenging in the context of the use in natural ecosystems, where across jurisdictions generally few reg</w:t>
      </w:r>
      <w:r w:rsidR="6C5050C9" w:rsidRPr="00837161">
        <w:t>istra</w:t>
      </w:r>
      <w:r w:rsidR="493F515C" w:rsidRPr="00837161">
        <w:t>tions exist and this is a problem for management</w:t>
      </w:r>
      <w:r w:rsidR="007C706D" w:rsidRPr="00837161">
        <w:t xml:space="preserve"> </w:t>
      </w:r>
      <w:r w:rsidR="00295D2E" w:rsidRPr="00837161">
        <w:fldChar w:fldCharType="begin"/>
      </w:r>
      <w:r w:rsidR="000F35EB">
        <w:instrText xml:space="preserve"> ADDIN ZOTERO_ITEM CSL_CITATION {"citationID":"tIuRG7Gh","properties":{"formattedCitation":"(Pergl et al., 2020)","plainCitation":"(Pergl et al., 2020)","noteIndex":0},"citationItems":[{"id":30095,"uris":["http://zotero.org/groups/2352922/items/EXYAT3HM"],"itemData":{"id":30095,"type":"article-journal","container-title":"NeoBiota","DOI":"10.3897/neobiota.56.51823","note":"publisher: Pensoft Publishers","page":"27-29","source":"Google Scholar","title":"Don’t throw the baby out with the bathwater–ban of glyphosate use depends on context","volume":"56","author":[{"family":"Pergl","given":"Jan"},{"family":"Härtel","given":"Handrij"},{"family":"Pyšek","given":"Petr"},{"family":"Stejskal","given":"Robert"}],"issued":{"date-parts":[["2020"]]}},"label":"page"}],"schema":"https://github.com/citation-style-language/schema/raw/master/csl-citation.json"} </w:instrText>
      </w:r>
      <w:r w:rsidR="00295D2E" w:rsidRPr="00837161">
        <w:fldChar w:fldCharType="separate"/>
      </w:r>
      <w:r w:rsidR="00271B78" w:rsidRPr="00271B78">
        <w:t>(Pergl et al., 2020)</w:t>
      </w:r>
      <w:r w:rsidR="00295D2E" w:rsidRPr="00837161">
        <w:fldChar w:fldCharType="end"/>
      </w:r>
      <w:r w:rsidR="493F515C" w:rsidRPr="00837161">
        <w:t xml:space="preserve">. </w:t>
      </w:r>
      <w:r w:rsidR="001A26E1" w:rsidRPr="00837161">
        <w:t xml:space="preserve">Whereas pesticides developed for </w:t>
      </w:r>
      <w:r w:rsidR="63DE53B5" w:rsidRPr="00837161">
        <w:t>control</w:t>
      </w:r>
      <w:r w:rsidR="205FF763" w:rsidRPr="00837161">
        <w:t>l</w:t>
      </w:r>
      <w:r w:rsidR="63DE53B5" w:rsidRPr="00837161">
        <w:t>ing</w:t>
      </w:r>
      <w:r w:rsidR="001A26E1" w:rsidRPr="00837161">
        <w:t xml:space="preserve"> alien fish in rivers are very unselective</w:t>
      </w:r>
      <w:r w:rsidR="00C765B2" w:rsidRPr="00837161">
        <w:t xml:space="preserve"> (</w:t>
      </w:r>
      <w:r w:rsidR="00BA147F" w:rsidRPr="00837161">
        <w:t xml:space="preserve">e.g., </w:t>
      </w:r>
      <w:r w:rsidR="00C765B2" w:rsidRPr="00837161">
        <w:t xml:space="preserve">Rotenone used in some countries </w:t>
      </w:r>
      <w:r w:rsidR="00A65996" w:rsidRPr="00837161">
        <w:t>but banned in others)</w:t>
      </w:r>
      <w:r w:rsidR="001A26E1" w:rsidRPr="00837161">
        <w:t xml:space="preserve">, in China </w:t>
      </w:r>
      <w:r w:rsidR="00A65996" w:rsidRPr="00837161">
        <w:t>an</w:t>
      </w:r>
      <w:r w:rsidR="001A26E1" w:rsidRPr="00837161">
        <w:t xml:space="preserve"> organophosphate pesticide has been evaluated for its selective efficacy against </w:t>
      </w:r>
      <w:r w:rsidR="00052704" w:rsidRPr="00837161">
        <w:rPr>
          <w:i/>
          <w:iCs/>
        </w:rPr>
        <w:t>Oreochromis niloticus</w:t>
      </w:r>
      <w:r w:rsidR="00052704" w:rsidRPr="00837161">
        <w:t xml:space="preserve"> (</w:t>
      </w:r>
      <w:r w:rsidR="001A26E1" w:rsidRPr="00837161">
        <w:t xml:space="preserve">Nile </w:t>
      </w:r>
      <w:r w:rsidR="00052704" w:rsidRPr="00837161">
        <w:t>tilapia</w:t>
      </w:r>
      <w:r w:rsidR="001A26E1" w:rsidRPr="00837161">
        <w:t xml:space="preserve">) compared to many non-target native species and based on good results it is being proposed to control this target in the wild where impacts on aquatic ecosystems </w:t>
      </w:r>
      <w:r w:rsidR="7573815F" w:rsidRPr="00837161">
        <w:t>have</w:t>
      </w:r>
      <w:r w:rsidR="001A26E1" w:rsidRPr="00837161">
        <w:t xml:space="preserve"> been very high </w:t>
      </w:r>
      <w:r w:rsidR="007E0435" w:rsidRPr="00837161">
        <w:fldChar w:fldCharType="begin"/>
      </w:r>
      <w:r w:rsidR="000F35EB">
        <w:instrText xml:space="preserve"> ADDIN ZOTERO_ITEM CSL_CITATION {"citationID":"ByL1PGIo","properties":{"formattedCitation":"(Gu et al., 2018, 2019)","plainCitation":"(Gu et al., 2018, 2019)","noteIndex":0},"citationItems":[{"id":31366,"uris":["http://zotero.org/groups/2352922/items/8637SLTA"],"itemData":{"id":31366,"type":"article-journal","abstract":"Nile tilapia (Oreochromis niloticus) can cause a series of economic problems in aquaculture ponds due to its competition with other species and negative impacts on their growth and breeding. To test the killing effect of “Miefeiling” on O. and to provide scientffic guide for its application, we conducted an experiment by applying 0.16 mg • L⁻¹ “Miefeiling” twice to control Nile tilapia in a big ornamental aquaculture pond. We iound that the application of 0.16 mg • L⁻¹ “Miefeiling” had significant effects on the removal of Nile tilapia, with a removal rate of &gt;99% but without any side effects on the breeding species. Our results give first evidence that “Mieieiling” can effectively remove the Nile tilapia in the pond and thus provide new insight to control tilapia species in ornamental aquaculture and to manage invasive fish species in the field. © 2018, Editorial Board of Chinese Journal of Ecology. All rights reserved.","container-title":"Chinese Journal of Ecology","DOI":"10.13292/j.1000-4890.201810.001","issue":"10","journalAbbreviation":"Chinese Journal of Ecology","page":"2985-2988","source":"ResearchGate","title":"Killing effect of “miefeiling” on alien nile tilapia in ornamental aquaculture","volume":"37","author":[{"family":"Gu","given":"Dang En"},{"family":"Yu","given":"F.-D"},{"family":"Yang","given":"Y.-X"},{"family":"Ma","given":"G.-M"},{"family":"Hu","given":"Yin-Chang"},{"family":"Mu","given":"X.-D"},{"family":"Xu","given":"Meng"},{"family":"Liu","given":"C."},{"family":"Luo","given":"Du"},{"family":"Wei","given":"Hui"}],"issued":{"date-parts":[["2018",1,1]]}},"label":"page"},{"id":31367,"uris":["http://zotero.org/groups/2352922/items/69VPICRN"],"itemData":{"id":31367,"type":"article-journal","abstract":"Tilapia is one of the groups of fish species most widely cultured globally. China has been the largest producer of tilapia in the world since 1990s. Guangdong Province produces almost 40% of all tilapia in China because of its suitable geography and weather conditions, and tilapia culture has brought considerable economic benefits. Unfortunately, many of the biological traits that make tilapia popular for culture also contribute to its success as an invader. Tilapia has invaded natural waters and has become the dominant fish in many rivers of Guangdong Province, causing economic loss in capture fisheries, and affecting native fish species, biodiversity and aquatic ecosystems. Poor fishery management, water quality degradation and biodiversity loss have all facilitated the tilapia invasion. Tilapia have filled the niches left vacant by now locally extinct native species resulting from environmental changes in freshwater ecosystems of the province. The introduction of tilapia has both advantages and disadvantages, which should be managed to use effectively the various tilapia species in aquaculture while controlling their spread in natural waters.","container-title":"Fisheries Management and Ecology","DOI":"10.1111/fme.12330","ISSN":"1365-2400","issue":"2","language":"en","note":"_eprint: https://onlinelibrary.wiley.com/doi/pdf/10.1111/fme.12330","page":"97-107","source":"Wiley Online Library","title":"Tilapia fisheries in Guangdong Province, China: Socio-economic benefits, and threats on native ecosystems and economics","title-short":"Tilapia fisheries in Guangdong Province, China","URL":"https://onlinelibrary.wiley.com/doi/abs/10.1111/fme.12330","volume":"26","author":[{"family":"Gu","given":"Dang En"},{"family":"Yu","given":"Fan Dong"},{"family":"Yang","given":"Ye Xin"},{"family":"Xu","given":"Meng"},{"family":"Wei","given":"Hui"},{"family":"Luo","given":"Du"},{"family":"Mu","given":"Xi Dong"},{"family":"Hu","given":"Yin Chang"}],"accessed":{"date-parts":[["2021",11,18]]},"issued":{"date-parts":[["2019"]]}},"label":"page"}],"schema":"https://github.com/citation-style-language/schema/raw/master/csl-citation.json"} </w:instrText>
      </w:r>
      <w:r w:rsidR="007E0435" w:rsidRPr="00837161">
        <w:fldChar w:fldCharType="separate"/>
      </w:r>
      <w:r w:rsidR="00271B78" w:rsidRPr="00271B78">
        <w:t>(Gu et al., 2018, 2019)</w:t>
      </w:r>
      <w:r w:rsidR="007E0435" w:rsidRPr="00837161">
        <w:fldChar w:fldCharType="end"/>
      </w:r>
      <w:r w:rsidR="007E0435" w:rsidRPr="00837161">
        <w:t>.</w:t>
      </w:r>
      <w:r w:rsidR="001A26E1" w:rsidRPr="00837161">
        <w:t xml:space="preserve"> </w:t>
      </w:r>
      <w:r w:rsidR="005C5F47" w:rsidRPr="00837161">
        <w:t>In an environmental context</w:t>
      </w:r>
      <w:r w:rsidR="008B47CA" w:rsidRPr="00837161">
        <w:t>,</w:t>
      </w:r>
      <w:r w:rsidR="005C5F47" w:rsidRPr="00837161">
        <w:t xml:space="preserve"> the </w:t>
      </w:r>
      <w:r w:rsidR="528675D3" w:rsidRPr="00837161">
        <w:t xml:space="preserve">incorrect </w:t>
      </w:r>
      <w:r w:rsidR="00A358FC" w:rsidRPr="00837161">
        <w:t>(e.g.</w:t>
      </w:r>
      <w:r w:rsidR="00655C36" w:rsidRPr="00837161">
        <w:t>,</w:t>
      </w:r>
      <w:r w:rsidR="00A358FC" w:rsidRPr="00837161">
        <w:t xml:space="preserve"> </w:t>
      </w:r>
      <w:r w:rsidR="088B90C8" w:rsidRPr="00837161">
        <w:t xml:space="preserve">not </w:t>
      </w:r>
      <w:r w:rsidR="00A358FC" w:rsidRPr="00837161">
        <w:t>complying with regulato</w:t>
      </w:r>
      <w:r w:rsidR="00DC4C34" w:rsidRPr="00837161">
        <w:t>r</w:t>
      </w:r>
      <w:r w:rsidR="00A358FC" w:rsidRPr="00837161">
        <w:t xml:space="preserve">y and label restrictions) </w:t>
      </w:r>
      <w:r w:rsidR="00007528" w:rsidRPr="00837161">
        <w:t>or</w:t>
      </w:r>
      <w:r w:rsidR="0DF0F346" w:rsidRPr="00837161">
        <w:t xml:space="preserve"> </w:t>
      </w:r>
      <w:r w:rsidR="31DE882B" w:rsidRPr="00837161">
        <w:t>non-</w:t>
      </w:r>
      <w:r w:rsidR="00007528" w:rsidRPr="00837161">
        <w:t xml:space="preserve">strategic </w:t>
      </w:r>
      <w:r w:rsidR="07157B00" w:rsidRPr="00837161">
        <w:t xml:space="preserve">use of pesticides </w:t>
      </w:r>
      <w:r w:rsidR="00DC4C34" w:rsidRPr="00837161">
        <w:t xml:space="preserve">(how and where they are applied) </w:t>
      </w:r>
      <w:r w:rsidR="00007528" w:rsidRPr="00837161">
        <w:t xml:space="preserve">is probably one </w:t>
      </w:r>
      <w:r w:rsidR="008B47CA" w:rsidRPr="00837161">
        <w:t>of the largest</w:t>
      </w:r>
      <w:r w:rsidR="00031C1D" w:rsidRPr="00837161">
        <w:t xml:space="preserve"> causes of failure to </w:t>
      </w:r>
      <w:r w:rsidR="0091051D" w:rsidRPr="00837161">
        <w:t>achieve</w:t>
      </w:r>
      <w:r w:rsidR="00031C1D" w:rsidRPr="00837161">
        <w:t xml:space="preserve"> effective</w:t>
      </w:r>
      <w:r w:rsidR="00A65996" w:rsidRPr="00837161">
        <w:t xml:space="preserve"> </w:t>
      </w:r>
      <w:r w:rsidR="0089752C" w:rsidRPr="00837161">
        <w:t xml:space="preserve">local </w:t>
      </w:r>
      <w:r w:rsidR="00031C1D" w:rsidRPr="00837161">
        <w:t>manage</w:t>
      </w:r>
      <w:r w:rsidR="67BA1BE0" w:rsidRPr="00837161">
        <w:t>ment of</w:t>
      </w:r>
      <w:r w:rsidR="00031C1D" w:rsidRPr="00837161">
        <w:t xml:space="preserve"> invasive alien species</w:t>
      </w:r>
      <w:r w:rsidR="0089752C" w:rsidRPr="00837161">
        <w:t xml:space="preserve"> in space and time</w:t>
      </w:r>
      <w:r w:rsidR="00031C1D" w:rsidRPr="00837161">
        <w:t xml:space="preserve"> </w:t>
      </w:r>
      <w:r w:rsidR="00295D2E" w:rsidRPr="00837161">
        <w:fldChar w:fldCharType="begin"/>
      </w:r>
      <w:r w:rsidR="000F35EB">
        <w:instrText xml:space="preserve"> ADDIN ZOTERO_ITEM CSL_CITATION {"citationID":"ea7B53Vc","properties":{"formattedCitation":"(D. Pimentel et al., 1992; D. Pimentel &amp; Andow, 1984)","plainCitation":"(D. Pimentel et al., 1992; D. Pimentel &amp; Andow, 1984)","noteIndex":0},"citationItems":[{"id":30966,"uris":["http://zotero.org/groups/2352922/items/HVYNCVVA"],"itemData":{"id":30966,"type":"article-journal","container-title":"BioScience","DOI":"10.2307/1311994","ISSN":"0006-3568","issue":"10","note":"publisher: [American Institute of Biological Sciences, Oxford University Press]","page":"750-760","source":"JSTOR","title":"Environmental and Economic Costs of Pesticide Use","URL":"https://www.jstor.org/stable/1311994","volume":"42","author":[{"family":"Pimentel","given":"David"},{"family":"Acquay","given":"H."},{"family":"Biltonen","given":"M."},{"family":"Rice","given":"P."},{"family":"Silva","given":"M."},{"family":"Nelson","given":"J."},{"family":"Lipner","given":"V."},{"family":"Giordano","given":"S."},{"family":"Horowitz","given":"A."},{"family":"D'Amore","given":"M."}],"accessed":{"date-parts":[["2021",11,8]]},"issued":{"date-parts":[["1992"]]}},"label":"page"},{"id":30967,"uris":["http://zotero.org/groups/2352922/items/Q53QKA8K"],"itemData":{"id":30967,"type":"article-journal","abstract":"Although pesticides provide benefits in our battle to control pests that destroy more than a third of all food, the use of pesticides also results in significant costs to public health and the environment. As many as 500,000 humans are poisoned annually by pesticides in the world; the United States alone reports about 45,000 human pesticide poisonings.Pesticides have also caused many detrimental effects on agroecosystems and natural ecosystems. These include: (i) reducing and sometimes eliminating beneficial natural enemies that keep pest populations at low densities; (ii) increasing or decreasing reproduction in various animal populations; (iii) altering decomposition rates of soil organic matter; (iv) developing insecticide resistance in pests, which results in increased pesticide use and additional crop losses; and (v) eliminating honey bee and other bee populations in certain regions thus reducing crop yields and quality. Pesticides also have had major impacts on fish, bird and mammal populations.","container-title":"International Journal of Tropical Insect Science","DOI":"10.1017/S1742758400008201","ISSN":"0191-9040","issue":"3","language":"en","note":"publisher: Cambridge University Press","page":"141-149","source":"Cambridge University Press","title":"Pest management and pesticide impacts","URL":"https://www.cambridge.org/core/journals/international-journal-of-tropical-insect-science/article/pest-management-and-pesticide-impacts/A6BBF41EF89703EE8B7BC17D92649BC6","volume":"5","author":[{"family":"Pimentel","given":"David"},{"family":"Andow","given":"David A."}],"accessed":{"date-parts":[["2021",11,8]]},"issued":{"date-parts":[["1984",6]]}},"label":"page"}],"schema":"https://github.com/citation-style-language/schema/raw/master/csl-citation.json"} </w:instrText>
      </w:r>
      <w:r w:rsidR="00295D2E" w:rsidRPr="00837161">
        <w:fldChar w:fldCharType="separate"/>
      </w:r>
      <w:r w:rsidR="00271B78" w:rsidRPr="00271B78">
        <w:t>(D. Pimentel et al., 1992; D. Pimentel &amp; Andow, 1984)</w:t>
      </w:r>
      <w:r w:rsidR="00295D2E" w:rsidRPr="00837161">
        <w:fldChar w:fldCharType="end"/>
      </w:r>
      <w:r w:rsidRPr="00C0338D">
        <w:t xml:space="preserve"> and certainly, results in most human and environmental harm and associated loss of public acceptability associated with their ongoing use. Ongoing use of chemical control needs to be highly regulated and part of effective adaptive management strategies (</w:t>
      </w:r>
      <w:r w:rsidRPr="00C0338D">
        <w:rPr>
          <w:b/>
        </w:rPr>
        <w:t>section 5.4.3.3</w:t>
      </w:r>
      <w:r w:rsidRPr="00C0338D">
        <w:t>).</w:t>
      </w:r>
    </w:p>
    <w:p w14:paraId="6C71B2D8" w14:textId="75077762" w:rsidR="00AD7421" w:rsidRPr="00837161" w:rsidRDefault="001B0409" w:rsidP="00C11DFA">
      <w:pPr>
        <w:spacing w:before="240" w:after="120" w:line="240" w:lineRule="auto"/>
        <w:rPr>
          <w:lang w:eastAsia="zh-CN"/>
        </w:rPr>
      </w:pPr>
      <w:bookmarkStart w:id="379" w:name="_heading=h.1d96cc0" w:colFirst="0" w:colLast="0"/>
      <w:bookmarkEnd w:id="379"/>
      <w:r w:rsidRPr="00837161">
        <w:t xml:space="preserve">Registering new active ingredients has become so lengthy and costly </w:t>
      </w:r>
      <w:r w:rsidR="38656026" w:rsidRPr="00837161">
        <w:t>demanding</w:t>
      </w:r>
      <w:r w:rsidR="008634A8" w:rsidRPr="00837161">
        <w:t xml:space="preserve"> </w:t>
      </w:r>
      <w:r w:rsidRPr="00837161">
        <w:t xml:space="preserve">a very large market to be viable and so very few novel pesticides are currently seeking registration </w:t>
      </w:r>
      <w:r w:rsidR="00295D2E" w:rsidRPr="00837161">
        <w:fldChar w:fldCharType="begin"/>
      </w:r>
      <w:r w:rsidR="000F35EB">
        <w:instrText xml:space="preserve"> ADDIN ZOTERO_ITEM CSL_CITATION {"citationID":"uthyhUfw","properties":{"formattedCitation":"(E. D. Booth et al., 2017; Nishimoto, 2019; Phillips McDougall, 2016)","plainCitation":"(E. D. Booth et al., 2017; Nishimoto, 2019; Phillips McDougall, 2016)","dontUpdate":true,"noteIndex":0},"citationItems":[{"id":31089,"uris":["http://zotero.org/groups/2352922/items/KV6G2FAP"],"itemData":{"id":31089,"type":"article-journal","abstract":"Active ingredients in plant protection products are subject to rigorous safety assessment during their development, including assessment of genotoxicity. Plant protection products are used for agriculture in multiple regions and for the registration of active ingredients it is necessary to satisfy the data requirements of these different regions. There are no overarching global agreements on which genotoxicity studies need to be conducted to satisfy the majority of regulatory authorities. The implementation of new OECD guidelines for the in vitro micronucleus, transgenic rodent somatic and germ cell gene mutation and in vivo comet assays, as well as the revision of a number of other OECD test guidelines has resulted in some changes to data requirements. This review describes the genotoxicity data requirements for chemical active ingredients as well as biologicals, microbials, ground water metabolites, metabolites, and impurities in a number of regions. Similarities and differences are highlighted. Environ. Mol. Mutagen. 58:325–344, 2017. © 2017 Wiley Periodicals, Inc.","container-title":"Environmental and Molecular Mutagenesis","DOI":"10.1002/em.22084","ISSN":"1098-2280","issue":"5","language":"en","note":"_eprint: https://onlinelibrary.wiley.com/doi/pdf/10.1002/em.22084","page":"325-344","source":"Wiley Online Library","title":"Regulatory requirements for genotoxicity assessment of plant protection product active ingredients, impurities, and metabolites","URL":"https://onlinelibrary.wiley.com/doi/abs/10.1002/em.22084","volume":"58","author":[{"family":"Booth","given":"Ewan D."},{"family":"Rawlinson","given":"Paul J."},{"family":"Maria Fagundes","given":"Priscila"},{"family":"Leiner","given":"Kevin A."}],"accessed":{"date-parts":[["2021",10,31]]},"issued":{"date-parts":[["2017"]]}},"label":"page"},{"id":26559,"uris":["http://zotero.org/groups/2352922/items/4DIMVZHR"],"itemData":{"id":26559,"type":"document","title":"The Cost of New Agrochemical Product Discovery, Development and Registration in 1995, 2000, 2005-8 and 2010-2014. R&amp;D expenditure in 2014 and expectations for 2019","URL":"https://croplife.org/wp-content/uploads/2016/04/Cost-of-CP-report-FINAL.pdf","author":[{"literal":"Phillips McDougall"}],"issued":{"date-parts":[["2016"]]}},"label":"page"},{"id":52578,"uris":["http://zotero.org/groups/2352922/items/D44D825Y"],"itemData":{"id":52578,"type":"article-journal","container-title":"Journal of Pesticide Science","DOI":"10.1584/jpestics.D19-101","ISSN":"1348-589X, 1349-0923","issue":"3","journalAbbreviation":"J. Pestic. Sci.","language":"en","page":"141-147","source":"DOI.org (Crossref)","title":"Global trends in the crop protection industry","URL":"https://www.jstage.jst.go.jp/article/jpestics/44/3/44_D19-101/_article","volume":"44","author":[{"family":"Nishimoto","given":"Ray"}],"accessed":{"date-parts":[["2022",7,4]]},"issued":{"date-parts":[["2019",8,20]]}},"label":"page"}],"schema":"https://github.com/citation-style-language/schema/raw/master/csl-citation.json"} </w:instrText>
      </w:r>
      <w:r w:rsidR="00295D2E" w:rsidRPr="00837161">
        <w:fldChar w:fldCharType="separate"/>
      </w:r>
      <w:r w:rsidR="008719F3" w:rsidRPr="008719F3">
        <w:t>(E. D. Booth et al., 2017; Nishimoto, 2019; Phillips McDougall, 2016</w:t>
      </w:r>
      <w:r w:rsidR="00295D2E" w:rsidRPr="00837161">
        <w:fldChar w:fldCharType="end"/>
      </w:r>
      <w:r w:rsidR="00864756" w:rsidRPr="00837161">
        <w:t>;</w:t>
      </w:r>
      <w:r w:rsidR="00056BAF" w:rsidRPr="00837161">
        <w:t xml:space="preserve"> </w:t>
      </w:r>
      <w:r w:rsidR="00191A6E">
        <w:rPr>
          <w:b/>
          <w:iCs/>
        </w:rPr>
        <w:t>Figure 5.16</w:t>
      </w:r>
      <w:r w:rsidRPr="00837161">
        <w:t xml:space="preserve">). Most new registrations are around new formulations for existing pesticide groups. </w:t>
      </w:r>
      <w:bookmarkStart w:id="380" w:name="_Hlk112928401"/>
      <w:r w:rsidRPr="00837161">
        <w:t>The main challenges are a) application approaches need to minimi</w:t>
      </w:r>
      <w:r w:rsidR="00814B7A" w:rsidRPr="00837161">
        <w:t>z</w:t>
      </w:r>
      <w:r w:rsidRPr="00837161">
        <w:t>e the build</w:t>
      </w:r>
      <w:r w:rsidR="00CD5ABD" w:rsidRPr="00837161">
        <w:t>-</w:t>
      </w:r>
      <w:r w:rsidRPr="00837161">
        <w:t>up of pesticide resistance and the global spread of pesticide resistant invasive alien species genotype</w:t>
      </w:r>
      <w:r w:rsidR="00D0215A" w:rsidRPr="00837161">
        <w:t xml:space="preserve">s </w:t>
      </w:r>
      <w:r w:rsidR="00295D2E" w:rsidRPr="00837161">
        <w:fldChar w:fldCharType="begin"/>
      </w:r>
      <w:r w:rsidR="000F35EB">
        <w:instrText xml:space="preserve"> ADDIN ZOTERO_ITEM CSL_CITATION {"citationID":"SMHsxo29","properties":{"formattedCitation":"(Beckie et al., 2019; Sparks &amp; Nauen, 2015)","plainCitation":"(Beckie et al., 2019; Sparks &amp; Nauen, 2015)","noteIndex":0},"citationItems":[{"id":31086,"uris":["http://zotero.org/groups/2352922/items/LFER9E2B"],"itemData":{"id":31086,"type":"article-journal","abstract":"This review covers recent developments and trends in herbicide-resistant (HR) weed management in agronomic field crops. In countries where input-intensive agriculture is practiced, these developments and trends over the past decade include renewed efforts by the agrichemical industry in herbicide discovery, cultivation of crops with combined (stacked) HR traits, increasing reliance on preemergence vs. postemergence herbicides, breeding for weed-competitive crop cultivars, expansion of harvest weed seed control practices, and advances in site-specific or precision weed management. The unifying framework or strategy underlying these developments and trends is mitigation of viable weed seeds into the soil seed bank and maintaining low weed seed banks to minimize population proliferation, evolution of resistance to additional herbicidal sites of action, and spread. A key question going forward is: how much weed control is enough to consistently achieve the goal of low weed seed banks? The vision for future HR weed management programs must be sustained crop production and profitability with reduced herbicide (particularly glyphosate) dependency.","container-title":"Plants","DOI":"10.3390/plants8060161","issue":"6","language":"en","license":"http://creativecommons.org/licenses/by/3.0/","note":"publisher: Multidisciplinary Digital Publishing Institute","page":"161","source":"www.mdpi.com","title":"Herbicide Resistance Management: Recent Developments and Trends","title-short":"Herbicide Resistance Management","URL":"https://www.mdpi.com/2223-7747/8/6/161","volume":"8","author":[{"family":"Beckie","given":"Hugh J."},{"family":"Ashworth","given":"Michael B."},{"family":"Flower","given":"Ken C."}],"accessed":{"date-parts":[["2021",10,31]]},"issued":{"date-parts":[["2019",6]]}},"label":"page"},{"id":31087,"uris":["http://zotero.org/groups/2352922/items/WUKURBPJ"],"itemData":{"id":31087,"type":"article-journal","abstract":"Insecticide resistance is a long standing and expanding problem for pest arthropod control. Effective insecticide resistance management (IRM) is essential if the utility of current and future insecticides is to be preserved. Established in 1984, the Insecticide Resistance Action Committee (IRAC) is an international association of crop protection companies. IRAC serves as the Specialist Technical Group within CropLife International focused on ensuring the long term efficacy of insect, mite and tick control products through effective resistance management for sustainable agriculture and improved public health. A key function of IRAC is the continued development of the Mode of Action (MoA) classification scheme, which provides up-to-date information on the modes of action of new and established insecticides and acaricides and which serves as the basis for developing appropriate IRM strategies for crop protection and vector control. The IRAC MoA classification scheme covers more than 25 different modes of action and at least 55 different chemical classes. Diversity is the spice of resistance management by chemical means and thus it provides an approach to IRM providing a straightforward means to identify potential rotation/alternation options.","collection-title":"Insecticide and Acaricide Modes of Action and their Role in Resistance and its Management","container-title":"Pesticide Biochemistry and Physiology","DOI":"10.1016/j.pestbp.2014.11.014","ISSN":"0048-3575","journalAbbreviation":"Pesticide Biochemistry and Physiology","language":"en","page":"122-128","source":"ScienceDirect","title":"IRAC: Mode of action classification and insecticide resistance management","title-short":"IRAC","URL":"https://www.sciencedirect.com/science/article/pii/S0048357514002272","volume":"121","author":[{"family":"Sparks","given":"Thomas C."},{"family":"Nauen","given":"Ralf"}],"accessed":{"date-parts":[["2021",10,31]]},"issued":{"date-parts":[["2015",6,1]]}},"label":"page"}],"schema":"https://github.com/citation-style-language/schema/raw/master/csl-citation.json"} </w:instrText>
      </w:r>
      <w:r w:rsidR="00295D2E" w:rsidRPr="00837161">
        <w:fldChar w:fldCharType="separate"/>
      </w:r>
      <w:r w:rsidR="00271B78" w:rsidRPr="00271B78">
        <w:t>(Beckie et al., 2019; Sparks &amp; Nauen, 2015)</w:t>
      </w:r>
      <w:r w:rsidR="00295D2E" w:rsidRPr="00837161">
        <w:fldChar w:fldCharType="end"/>
      </w:r>
      <w:r w:rsidRPr="00837161">
        <w:t>; b) increasing deregistration of key chemical active</w:t>
      </w:r>
      <w:r w:rsidR="0032147D" w:rsidRPr="00837161">
        <w:t xml:space="preserve"> ingredient</w:t>
      </w:r>
      <w:r w:rsidRPr="00837161">
        <w:t>s (e</w:t>
      </w:r>
      <w:r w:rsidR="00500ADC" w:rsidRPr="00837161">
        <w:t>.</w:t>
      </w:r>
      <w:r w:rsidRPr="00837161">
        <w:t>g</w:t>
      </w:r>
      <w:r w:rsidR="00500ADC" w:rsidRPr="00837161">
        <w:t>.</w:t>
      </w:r>
      <w:r w:rsidRPr="00837161">
        <w:t>, organophosphates</w:t>
      </w:r>
      <w:r w:rsidR="00E963EC" w:rsidRPr="00837161">
        <w:t xml:space="preserve">, </w:t>
      </w:r>
      <w:r w:rsidRPr="00837161">
        <w:t>nicotinoids and glyphosate</w:t>
      </w:r>
      <w:r w:rsidR="004C2628" w:rsidRPr="00837161">
        <w:t>;</w:t>
      </w:r>
      <w:r w:rsidRPr="00837161">
        <w:t xml:space="preserve"> </w:t>
      </w:r>
      <w:r w:rsidR="00295D2E" w:rsidRPr="00837161">
        <w:fldChar w:fldCharType="begin"/>
      </w:r>
      <w:r w:rsidR="000F35EB">
        <w:instrText xml:space="preserve"> ADDIN ZOTERO_ITEM CSL_CITATION {"citationID":"G0VanhXP","properties":{"unsorted":true,"formattedCitation":"(WHO, 2010; Sharma et al., 2020)","plainCitation":"(WHO, 2010; Sharma et al., 2020)","dontUpdate":true,"noteIndex":0},"citationItems":[{"id":30924,"uris":["http://zotero.org/groups/2352922/items/EAIX7GB2"],"itemData":{"id":30924,"type":"document","publisher":"World Health Organization","title":"International Code of Conduct on the Distribution and Use of Pesticides Guidelines for the Registration of Pesticides","URL":"https://apps.who.int/iris/bitstream/handle/10665/70293/WHO_HTM_NTD_WHOPES_2010.7_eng.pdf","author":[{"literal":"WHO"}],"accessed":{"date-parts":[["2021",10,31]]},"issued":{"date-parts":[["2010"]]}},"label":"page"},{"id":31085,"uris":["http://zotero.org/groups/2352922/items/PRMLG4VG"],"itemData":{"id":31085,"type":"article-journal","abstract":"Pesticides are widely used chemical compounds in agriculture to destroy insects, pests and weeds. In modern era, they form an indispensable part of agricultural and health practices. Globally, nearly 3 billion kg of pesticides are used every year with a budget of ~40 billion USD. This extensive usage has increased the crop yield as well as led to significant reduction in harvest losses and thereby, enhanced food availability. On the other hand, indiscriminate usage of these chemicals has led to several environmental implications and caused adverse effects on human health. Epidemiological evidences have revealed the harmful effects of pesticides exposure on various organs including liver, brain, lungs and colon. Recent investigations have shown that pesticides can also lead to fatal consequences such as cancer among individuals. These chemicals enter ecosystem, thus hampering the sensitive environmental equilibrium through bio-accumulation. Due to their non-biodegradable nature, they can persist in nature for years and are regarded as potent biohazard. Worldwide, very few surveillance methods have been considered, which can bring awareness among the individuals, therefore the present review is an attempt to delineate consequences induced by various types of pesticide exposure on the environment. Further, the prospective of biopesticides use could facilitate the increase of crop production without compromising human health.","container-title":"Ecotoxicology and Environmental Safety","DOI":"10.1016/j.ecoenv.2020.110812","ISSN":"1090-2414","journalAbbreviation":"Ecotoxicol Environ Saf","language":"eng","note":"PMID: 32512419","page":"110812","source":"PubMed","title":"Global trends in pesticides: A looming threat and viable alternatives","title-short":"Global trends in pesticides","volume":"201","author":[{"family":"Sharma","given":"Akanksha"},{"family":"Shukla","given":"Ananya"},{"family":"Attri","given":"Kriti"},{"family":"Kumar","given":"Megha"},{"family":"Kumar","given":"Puneet"},{"family":"Suttee","given":"Ashish"},{"family":"Singh","given":"Gurpal"},{"family":"Barnwal","given":"Ravi Pratap"},{"family":"Singla","given":"Neha"}],"issued":{"date-parts":[["2020",9,15]]}},"label":"page"}],"schema":"https://github.com/citation-style-language/schema/raw/master/csl-citation.json"} </w:instrText>
      </w:r>
      <w:r w:rsidR="00295D2E" w:rsidRPr="00837161">
        <w:fldChar w:fldCharType="separate"/>
      </w:r>
      <w:r w:rsidR="00362475" w:rsidRPr="00837161">
        <w:t>WHO, 2010; Sharma et al., 2020)</w:t>
      </w:r>
      <w:r w:rsidR="00295D2E" w:rsidRPr="00837161">
        <w:fldChar w:fldCharType="end"/>
      </w:r>
      <w:r w:rsidR="001939EB" w:rsidRPr="00837161">
        <w:t xml:space="preserve"> </w:t>
      </w:r>
      <w:r w:rsidRPr="00837161">
        <w:t>leading to increased illegal off label use</w:t>
      </w:r>
      <w:r w:rsidR="0069268C" w:rsidRPr="00837161">
        <w:t xml:space="preserve"> </w:t>
      </w:r>
      <w:r w:rsidR="00295D2E" w:rsidRPr="00837161">
        <w:fldChar w:fldCharType="begin"/>
      </w:r>
      <w:r w:rsidR="000F35EB">
        <w:instrText xml:space="preserve"> ADDIN ZOTERO_ITEM CSL_CITATION {"citationID":"E0675MkN","properties":{"formattedCitation":"(Galt, 2010)","plainCitation":"(Galt, 2010)","noteIndex":0},"citationItems":[{"id":31084,"uris":["http://zotero.org/groups/2352922/items/GZQWDTBP"],"itemData":{"id":31084,"type":"article-journal","abstract":"Compliance with regulations on pesticide residues in food is a major health and safety issue, as well as a signal about the complex set of ecological, social, and regulatory relationships. This article presents a multiscale analysis of data from analytical chemistry tests of pesticide residues conducted by the U.S. Food and Drug Administration on fresh vegetables from 1996 to 2006. Empirical findings include: (1) domestic vegetables have lower adverse (illegal) residue rates than imported produce; (2) adverse rates vary greatly by country of export and do not correspond to a nation's relative wealth or region; (3) intensity of testing (tests per kilogram of vegetables imported) varies considerably by country; (4) vegetables with high adverse rates are generally minor crops or vegetables with above-ground edible portions, and (5) fourteen pesticides out of 476 account for two thirds of all violations. Based on this analysis, and primary and secondary data on farmers' pesticide use, I develop a political ecological framework to explain high violation rates and to create hypotheses about countries with high violation rates: Guatemala, Spain, Jamaica, and China. I propose two hypotheses for high levels of violative residues. First, farmers face a cost and price squeeze and, where there is little exporter control, respond by using more effective and more highly residual pesticides like the organophosphates. Second, in other commodity chains, continued residue problems in the U.S. market are a by-product of production aimed at compliance with other regions' regulations.","container-title":"Annals of the Association of American Geographers","DOI":"10.1080/00045601003595388","ISSN":"0004-5608","issue":"2","note":"publisher: Routledge\n_eprint: https://doi.org/10.1080/00045601003595388","page":"327-355","source":"Taylor and Francis+NEJM","title":"Scaling Up Political Ecology: The Case of Illegal Pesticides on Fresh Vegetables Imported into the United States, 1996–2006","title-short":"Scaling Up Political Ecology","URL":"https://doi.org/10.1080/00045601003595388","volume":"100","author":[{"family":"Galt","given":"Ryan E."}],"accessed":{"date-parts":[["2021",10,31]]},"issued":{"date-parts":[["2010",3,31]]}},"label":"page"}],"schema":"https://github.com/citation-style-language/schema/raw/master/csl-citation.json"} </w:instrText>
      </w:r>
      <w:r w:rsidR="00295D2E" w:rsidRPr="00837161">
        <w:fldChar w:fldCharType="separate"/>
      </w:r>
      <w:r w:rsidR="00271B78" w:rsidRPr="00271B78">
        <w:t>(Galt, 2010)</w:t>
      </w:r>
      <w:r w:rsidR="00295D2E" w:rsidRPr="00837161">
        <w:fldChar w:fldCharType="end"/>
      </w:r>
      <w:r w:rsidRPr="00837161">
        <w:t>; c) designing treatment regimes to minimi</w:t>
      </w:r>
      <w:r w:rsidR="00814B7A" w:rsidRPr="00837161">
        <w:t>z</w:t>
      </w:r>
      <w:r w:rsidRPr="00837161">
        <w:t xml:space="preserve">e off target effects </w:t>
      </w:r>
      <w:r w:rsidR="00500ADC" w:rsidRPr="00837161">
        <w:t>(</w:t>
      </w:r>
      <w:r w:rsidRPr="00837161">
        <w:t>e.g.</w:t>
      </w:r>
      <w:r w:rsidR="09FCA235" w:rsidRPr="00837161">
        <w:t>,</w:t>
      </w:r>
      <w:r w:rsidRPr="00837161">
        <w:t xml:space="preserve"> bitou bush in Australian Coastal heaths</w:t>
      </w:r>
      <w:r w:rsidR="00081ACC" w:rsidRPr="00837161">
        <w:t xml:space="preserve"> –</w:t>
      </w:r>
      <w:r w:rsidR="00295D2E" w:rsidRPr="00837161">
        <w:fldChar w:fldCharType="begin"/>
      </w:r>
      <w:r w:rsidR="000F35EB">
        <w:instrText xml:space="preserve"> ADDIN ZOTERO_ITEM CSL_CITATION {"citationID":"WzfuaV5E","properties":{"formattedCitation":"(Flower, 2004; Vranjic et al., 2012)","plainCitation":"(Flower, 2004; Vranjic et al., 2012)","dontUpdate":true,"noteIndex":0},"citationItems":[{"id":31083,"uris":["http://zotero.org/groups/2352922/items/SYYVMZHZ"],"itemData":{"id":31083,"type":"report","language":"en","page":"96","source":"Zotero","title":"Bitou Bush Helicopter Boom Spraying in NSW","URL":"http://byronshirechemicalfreelandcare.org/links/bitou-bush-helicopter-boom-spraying-in-nsw/","author":[{"family":"Flower","given":"Paul"}],"issued":{"date-parts":[["2004"]]}},"label":"page"},{"id":31082,"uris":["http://zotero.org/groups/2352922/items/57SCBQ93"],"itemData":{"id":31082,"type":"article-journal","abstract":"Two multi-year field experiments investigated the effects of integrating revegetation with invasive plant management methods to rehabilitate coastal dune and woodland vegetation invaded by Bitou bush (Chrysanthemoides monilifera (L.) Norl. ssp. rotundata (DC.) Norl.) in New South Wales, Australia. The revegetation technique used was to sow directly seeds of three native species common to coastal habitats. Management treatments involved combinations of prescribed fire, manual removal of Bitou bush and an application of herbicide. Addition of native seeds significantly increased density of native species in both habitats. The benefits of manually removing Bitou bush were observed only where densities of native species were at their lowest. Fire increased densities of some native species in the woodland, but decreased those of others in the dune. Densities of Acacia longifolia ssp. sophorae (Labill.) Court (woodland) and of Banksia integrifolia L.f. (woodland and dune) were significantly reduced within 4 months of herbicide application, alone or in combination with other treatments. The majority of these effects, however, did not persist. Manual removal in both habitats and addition of seed in the woodland were most effective in reducing Bitou bush densities when applied post-fire. Herbicide treatment on its own or in combination with other treatments did not significantly reduce Bitou bush densities by the end of the experiments. We conclude that restoration of coastal ecosystems invaded by a major invasive plant species requires a whole-of-system approach involving revegetation in combination with known management methods to assist recovery of native species in the longer term.","container-title":"Austral Ecology","DOI":"10.1111/j.1442-9993.2011.02242.x","ISSN":"1442-9993","issue":"1","language":"en","note":"_eprint: https://onlinelibrary.wiley.com/doi/pdf/10.1111/j.1442-9993.2011.02242.x","page":"78-89","source":"Wiley Online Library","title":"Integrating revegetation with management methods to rehabilitate coastal vegetation invaded by Bitou bush (&lt;i&gt;Chrysanthemoides monilifera&lt;/i&gt; ssp. &lt;i&gt;rotundata&lt;/i&gt;) in Australia","URL":"https://onlinelibrary.wiley.com/doi/abs/10.1111/j.1442-9993.2011.02242.x","volume":"37","author":[{"family":"Vranjic","given":"J. A."},{"family":"Morin","given":"L."},{"family":"Reid","given":"A. M."},{"family":"Groves","given":"R. H."}],"accessed":{"date-parts":[["2021",10,31]]},"issued":{"date-parts":[["2012"]]}},"label":"page"}],"schema":"https://github.com/citation-style-language/schema/raw/master/csl-citation.json"} </w:instrText>
      </w:r>
      <w:r w:rsidR="00295D2E" w:rsidRPr="00837161">
        <w:fldChar w:fldCharType="separate"/>
      </w:r>
      <w:r w:rsidR="00C277DF" w:rsidRPr="00837161">
        <w:t>Flower, 2004; Vranjic et al., 2012)</w:t>
      </w:r>
      <w:r w:rsidR="00295D2E" w:rsidRPr="00837161">
        <w:fldChar w:fldCharType="end"/>
      </w:r>
      <w:r w:rsidRPr="00837161">
        <w:t xml:space="preserve">, d) use in aquatic environments (very few chemicals or </w:t>
      </w:r>
      <w:r w:rsidR="49E7A8EB" w:rsidRPr="00837161">
        <w:t>adjuv</w:t>
      </w:r>
      <w:r w:rsidR="50538C46" w:rsidRPr="00837161">
        <w:t>a</w:t>
      </w:r>
      <w:r w:rsidR="49E7A8EB" w:rsidRPr="00837161">
        <w:t>nts</w:t>
      </w:r>
      <w:r w:rsidRPr="00837161">
        <w:t xml:space="preserve"> approved for this</w:t>
      </w:r>
      <w:r w:rsidR="00B3542B" w:rsidRPr="00837161">
        <w:t>;</w:t>
      </w:r>
      <w:r w:rsidR="00C277DF" w:rsidRPr="00837161">
        <w:t xml:space="preserve"> </w:t>
      </w:r>
      <w:r w:rsidR="00840D73" w:rsidRPr="00837161">
        <w:fldChar w:fldCharType="begin"/>
      </w:r>
      <w:r w:rsidR="000F35EB">
        <w:instrText xml:space="preserve"> ADDIN ZOTERO_ITEM CSL_CITATION {"citationID":"vaK73fPU","properties":{"unsorted":true,"formattedCitation":"(Mesnage &amp; Antoniou, 2018; Grung et al., 2015)","plainCitation":"(Mesnage &amp; Antoniou, 2018; Grung et al., 2015)","dontUpdate":true,"noteIndex":0},"citationItems":[{"id":31079,"uris":["http://zotero.org/groups/2352922/items/CDLCMHPU"],"itemData":{"id":31079,"type":"article-journal","abstract":"Commercial formulations of pesticides are invariably not single ingredients. Instead they are cocktails of chemicals, composed of a designated pesticidal “active principle” and “other ingredients,” with the latter collectively also known as “adjuvants.” These include surfactants, antifoaming agents, dyes, etc. Some adjuvants are added to influence the absorption and stability of the active principle and thus promote its pesticidal action. Currently, the health risk assessment of pesticides in the European Union and in the United States focuses almost exclusively on the stated active principle. Nonetheless, adjuvants can also be toxic in their own right with numerous negative health effects having been reported in humans and on the environment. Despite the known toxicity of adjuvants, they are regulated differently from active principles, with their toxic effects being generally ignored. Adjuvants are not subject to an acceptable daily intake, and they are not included in the health risk assessment of dietary exposures to pesticide residues. Here, we illustrate this gap in risk assessment by reference to glyphosate, the most used pesticide active ingredient. We also investigate the case of neonicotinoid insecticides, which are strongly suspected to be involved in bee and bumblebee colony collapse disorder. Authors of studies sometimes use the name of the active principle (for example glyphosate) when they are testing a commercial formulation containing multiple (active principle plus adjuvant) ingredients. This results in confusion in the scientific literature and within regulatory circles and leads to a misrepresentation of the safety profile of commercial pesticides. Urgent action is needed to lift the veil on the presence of adjuvants in food and human bodily fluids, as well as in the environment (such as in air, water, and soil) and to characterize their toxicological properties. This must be accompanied by regulatory precautionary measures to protect the environment and general human population from some toxic adjuvants that are currently missing from risk assessments.","container-title":"Frontiers in Public Health","DOI":"10.3389/fpubh.2017.00361","ISSN":"2296-2565","page":"361","source":"Frontiers","title":"Ignoring Adjuvant Toxicity Falsifies the Safety Profile of Commercial Pesticides","URL":"https://www.frontiersin.org/article/10.3389/fpubh.2017.00361","volume":"5","author":[{"family":"Mesnage","given":"Robin"},{"family":"Antoniou","given":"Michael N."}],"accessed":{"date-parts":[["2021",10,31]]},"issued":{"date-parts":[["2018"]]}},"label":"page"},{"id":31081,"uris":["http://zotero.org/groups/2352922/items/TA8VBPCD"],"itemData":{"id":31081,"type":"article-journal","abstract":"China is one of the largest producers and consumers of pesticides in the world today. Along with the widespread use of pesticides and industrialization, there is a growing concern for water quality. The present review aims to provide an overview of studies on pesticides in aquatic environments in China. The levels in the water, sediment and biota were scored according to a detailed environmental classification system based on ecotoxicological effect, which is therefore a useful tool for assessing the risk these compounds pose to the aquatic ecosystem. Our review reveals that the most studied areas in China are the most populated and the most developed economically and that the most frequently studied pesticides are DDT and HCH. We show maps of where studies have been conducted and show the ecotoxicological risk the pesticides pose in each of the matrices. Our review pinpoints the need for biota samples to assess the risk. A large fraction of the results from the studies are given an environmental classification of “very bad” based on levels in biota. In general, the risk is higher for DDT than HCH. A few food web studies have also been conducted, and we encourage further study of this important information from this region. The review reveals that many of the most important agricultural provinces (e.g., Henan, Hubei and Hunan) with the largest pesticide use have been the subject of few studies on the environmental levels of pesticides. We consider this to be a major knowledge gap for understanding the status of pesticide contamination and related risk in China. Furthermore, there is also a lack of studies in remote Chinese environments, which is also an important knowledge gap. The compounds analyzed and reported in the studies represent a serious bias because a great deal of attention is given to DDT and HCH, whereas the organophosphate insecticides dominating current use are less frequently investigated. For the future, we point to the need for an organized monitoring plan designed according to the knowledge gaps in terms of geographical distribution, compounds included, and risks.","container-title":"Environment International","DOI":"10.1016/j.envint.2015.04.013","ISSN":"0160-4120","journalAbbreviation":"Environment International","language":"en","page":"87-97","source":"ScienceDirect","title":"Pesticide levels and environmental risk in aquatic environments in China - A review","URL":"https://www.sciencedirect.com/science/article/pii/S016041201500104X","volume":"81","author":[{"family":"Grung","given":"Merete"},{"family":"Lin","given":"Yan"},{"family":"Zhang","given":"Hua"},{"family":"Steen","given":"Anne Orderdalen"},{"family":"Huang","given":"Jun"},{"family":"Zhang","given":"Gan"},{"family":"Larssen","given":"Thorjørn"}],"accessed":{"date-parts":[["2021",10,31]]},"issued":{"date-parts":[["2015",8,1]]}},"label":"page"}],"schema":"https://github.com/citation-style-language/schema/raw/master/csl-citation.json"} </w:instrText>
      </w:r>
      <w:r w:rsidR="00840D73" w:rsidRPr="00837161">
        <w:fldChar w:fldCharType="separate"/>
      </w:r>
      <w:r w:rsidR="00C277DF" w:rsidRPr="00837161">
        <w:t>Mesnage &amp; Antoniou, 2018; Grung et al., 2015)</w:t>
      </w:r>
      <w:r w:rsidR="00840D73" w:rsidRPr="00837161">
        <w:fldChar w:fldCharType="end"/>
      </w:r>
      <w:r w:rsidR="00C16EEB">
        <w:t xml:space="preserve"> and</w:t>
      </w:r>
      <w:r w:rsidRPr="00837161">
        <w:t xml:space="preserve"> </w:t>
      </w:r>
      <w:r w:rsidR="004652D7" w:rsidRPr="00837161">
        <w:t>e</w:t>
      </w:r>
      <w:r w:rsidRPr="00837161">
        <w:t xml:space="preserve">) an absence of registered herbicides in developing countries can be a major impediment in the control of </w:t>
      </w:r>
      <w:r w:rsidR="00C867CA" w:rsidRPr="00837161">
        <w:t xml:space="preserve">invasive alien species </w:t>
      </w:r>
      <w:r w:rsidR="00840D73" w:rsidRPr="00837161">
        <w:fldChar w:fldCharType="begin"/>
      </w:r>
      <w:r w:rsidR="000F35EB">
        <w:instrText xml:space="preserve"> ADDIN ZOTERO_ITEM CSL_CITATION {"citationID":"eu8ppqso","properties":{"formattedCitation":"(Handford et al., 2015)","plainCitation":"(Handford et al., 2015)","noteIndex":0},"citationItems":[{"id":31078,"uris":["http://zotero.org/groups/2352922/items/G27WJ7LC"],"itemData":{"id":31078,"type":"article-journal","abstract":"Pesticide use is important in agriculture to protect crops and improve productivity. However, pesticides have the potential to cause adverse human health or environmental effects, depending on exposure levels. This review examines existing pesticide legislation worldwide, focusing on the level of harmonization and impacts of differing legislation on food safety and trade. Pesticide legislation varies greatly worldwide, because countries have different requirements, guidelines, and legal limits for plant protection. Developed nations have more stringent regulations than developing countries, which lack the resources and expertise to adequately implement and enforce legislation. Global differences in pesticide legislation act as a technical barrier to trade. International parties such as the European Union (EU), Codex Alimentarius Commission (Codex), and North American Free Trade Agreement (NAFTA) have attempted to harmonize pesticide legislation by providing maximum residue limits (MRLs), but globally these limits remain variable. Globally harmonized pesticide standards would serve to increase productivity, profits, and trade and also enhance the ability to protect public health and the environment. Integr Environ Assess Manag 2015;9999:1–12. © 2015 SETAC","container-title":"Integrated Environmental Assessment and Management","DOI":"10.1002/ieam.1635","ISSN":"1551-3793","issue":"4","language":"en","note":"_eprint: https://onlinelibrary.wiley.com/doi/pdf/10.1002/ieam.1635","page":"525-536","source":"Wiley Online Library","title":"A review of the global pesticide legislation and the scale of challenge in reaching the global harmonization of food safety standards","URL":"https://onlinelibrary.wiley.com/doi/abs/10.1002/ieam.1635","volume":"11","author":[{"family":"Handford","given":"Caroline E"},{"family":"Elliott","given":"Christopher T"},{"family":"Campbell","given":"Katrina"}],"accessed":{"date-parts":[["2021",10,31]]},"issued":{"date-parts":[["2015"]]}},"label":"page"}],"schema":"https://github.com/citation-style-language/schema/raw/master/csl-citation.json"} </w:instrText>
      </w:r>
      <w:r w:rsidR="00840D73" w:rsidRPr="00837161">
        <w:fldChar w:fldCharType="separate"/>
      </w:r>
      <w:r w:rsidR="00271B78" w:rsidRPr="00271B78">
        <w:t>(Handford et al., 2015)</w:t>
      </w:r>
      <w:r w:rsidR="00840D73" w:rsidRPr="00837161">
        <w:fldChar w:fldCharType="end"/>
      </w:r>
      <w:r w:rsidRPr="00837161">
        <w:t xml:space="preserve">. </w:t>
      </w:r>
      <w:bookmarkEnd w:id="380"/>
      <w:r w:rsidRPr="00837161">
        <w:t>It is critically important that all chemical interventions are undertaken under the regulations for that application and with a strong safety culture for the application staff and the environment</w:t>
      </w:r>
      <w:r w:rsidR="00840D73" w:rsidRPr="00837161">
        <w:t xml:space="preserve"> </w:t>
      </w:r>
      <w:r w:rsidR="00840D73" w:rsidRPr="00837161">
        <w:fldChar w:fldCharType="begin"/>
      </w:r>
      <w:r w:rsidR="000F35EB">
        <w:instrText xml:space="preserve"> ADDIN ZOTERO_ITEM CSL_CITATION {"citationID":"qidcTzkQ","properties":{"formattedCitation":"(FAO &amp; WHO, 2014)","plainCitation":"(FAO &amp; WHO, 2014)","noteIndex":0},"citationItems":[{"id":30923,"uris":["http://zotero.org/groups/2352922/items/HW6XMAZU"],"itemData":{"id":30923,"type":"report","title":"The International Code of Conduct on Pesticide Management","URL":"https://www.fao.org/fileadmin/templates/agphome/documents/Pests_Pesticides/Code/Code_ENG_2017updated.pdf","author":[{"literal":"FAO"},{"literal":"WHO"}],"accessed":{"date-parts":[["2021",11,11]]},"issued":{"date-parts":[["2014"]]}},"label":"page"}],"schema":"https://github.com/citation-style-language/schema/raw/master/csl-citation.json"} </w:instrText>
      </w:r>
      <w:r w:rsidR="00840D73" w:rsidRPr="00837161">
        <w:fldChar w:fldCharType="separate"/>
      </w:r>
      <w:r w:rsidR="00271B78" w:rsidRPr="00271B78">
        <w:t>(FAO &amp; WHO, 2014)</w:t>
      </w:r>
      <w:r w:rsidR="00840D73" w:rsidRPr="00837161">
        <w:fldChar w:fldCharType="end"/>
      </w:r>
      <w:r w:rsidR="00840D73" w:rsidRPr="00837161">
        <w:t>.</w:t>
      </w:r>
      <w:r w:rsidR="00405899" w:rsidRPr="00837161">
        <w:rPr>
          <w:lang w:eastAsia="zh-CN"/>
        </w:rPr>
        <w:t xml:space="preserve"> </w:t>
      </w:r>
    </w:p>
    <w:p w14:paraId="16C96853" w14:textId="7D535231" w:rsidR="001B0409" w:rsidRPr="00837161" w:rsidRDefault="0079215C" w:rsidP="0079215C">
      <w:pPr>
        <w:spacing w:before="240" w:after="120" w:line="240" w:lineRule="auto"/>
      </w:pPr>
      <w:r>
        <w:rPr>
          <w:noProof/>
        </w:rPr>
        <w:lastRenderedPageBreak/>
        <w:drawing>
          <wp:inline distT="0" distB="0" distL="0" distR="0" wp14:anchorId="00852BF9" wp14:editId="64A6FEB2">
            <wp:extent cx="6115050" cy="5928360"/>
            <wp:effectExtent l="0" t="0" r="6350" b="2540"/>
            <wp:docPr id="1971555474" name="image16.png" descr="A comparison of a graph&#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A comparison of a graph&#10;&#10;Description automatically generated"/>
                    <pic:cNvPicPr preferRelativeResize="0"/>
                  </pic:nvPicPr>
                  <pic:blipFill>
                    <a:blip r:embed="rId96"/>
                    <a:srcRect/>
                    <a:stretch>
                      <a:fillRect/>
                    </a:stretch>
                  </pic:blipFill>
                  <pic:spPr>
                    <a:xfrm>
                      <a:off x="0" y="0"/>
                      <a:ext cx="6115050" cy="5928360"/>
                    </a:xfrm>
                    <a:prstGeom prst="rect">
                      <a:avLst/>
                    </a:prstGeom>
                    <a:ln/>
                  </pic:spPr>
                </pic:pic>
              </a:graphicData>
            </a:graphic>
          </wp:inline>
        </w:drawing>
      </w:r>
    </w:p>
    <w:p w14:paraId="000002EE" w14:textId="266E0F61" w:rsidR="00A758FD" w:rsidRPr="0079215C" w:rsidRDefault="002D4D8B" w:rsidP="0079215C">
      <w:pPr>
        <w:keepNext/>
        <w:pBdr>
          <w:top w:val="nil"/>
          <w:left w:val="nil"/>
          <w:bottom w:val="nil"/>
          <w:right w:val="nil"/>
          <w:between w:val="nil"/>
        </w:pBdr>
        <w:spacing w:before="240" w:after="120" w:line="240" w:lineRule="auto"/>
      </w:pPr>
      <w:bookmarkStart w:id="381" w:name="_Ref104970808"/>
      <w:bookmarkStart w:id="382" w:name="_Toc87623109"/>
      <w:bookmarkStart w:id="383" w:name="_Toc147489369"/>
      <w:r w:rsidRPr="0079215C">
        <w:rPr>
          <w:b/>
          <w:bCs/>
        </w:rPr>
        <w:t>Figure 5.</w:t>
      </w:r>
      <w:r w:rsidRPr="0079215C">
        <w:rPr>
          <w:b/>
          <w:bCs/>
        </w:rPr>
        <w:fldChar w:fldCharType="begin"/>
      </w:r>
      <w:r w:rsidRPr="0079215C">
        <w:rPr>
          <w:b/>
          <w:bCs/>
        </w:rPr>
        <w:instrText>SEQ Figure_5. \* ARABIC</w:instrText>
      </w:r>
      <w:r w:rsidRPr="0079215C">
        <w:rPr>
          <w:b/>
          <w:bCs/>
        </w:rPr>
        <w:fldChar w:fldCharType="separate"/>
      </w:r>
      <w:r w:rsidR="00DC77F8" w:rsidRPr="0079215C">
        <w:rPr>
          <w:b/>
          <w:bCs/>
          <w:noProof/>
        </w:rPr>
        <w:t>16</w:t>
      </w:r>
      <w:r w:rsidRPr="0079215C">
        <w:rPr>
          <w:b/>
          <w:bCs/>
        </w:rPr>
        <w:fldChar w:fldCharType="end"/>
      </w:r>
      <w:bookmarkEnd w:id="381"/>
      <w:r w:rsidR="00F84FCF" w:rsidRPr="0079215C">
        <w:rPr>
          <w:b/>
          <w:bCs/>
        </w:rPr>
        <w:t>.</w:t>
      </w:r>
      <w:bookmarkStart w:id="384" w:name="_heading=h.3x8tuzt" w:colFirst="0" w:colLast="0"/>
      <w:bookmarkEnd w:id="384"/>
      <w:r w:rsidR="00C81287" w:rsidRPr="0079215C">
        <w:rPr>
          <w:b/>
          <w:color w:val="000000"/>
        </w:rPr>
        <w:t xml:space="preserve"> </w:t>
      </w:r>
      <w:r w:rsidR="00C81287" w:rsidRPr="0079215C">
        <w:t>Evolution of new crop protection product</w:t>
      </w:r>
      <w:bookmarkEnd w:id="382"/>
      <w:r w:rsidR="00C81287" w:rsidRPr="0079215C">
        <w:t xml:space="preserve">. Top: discovery and development cost of a new crop protection product (y axis) in 1995, 2000, 2005-8 and 2010-14 (x axis). The overall costs of discovery and development of a new crop protection product increased by 21.1 per cent from $152 million in 1995, to reach $184 million in 2000. From 2000 to 2005-8 period, costs increased by 39.1 per cent to $256 million. From 2005-8 to 2010-14 period, costs increased by 11.7 per cent to $286 million. </w:t>
      </w:r>
      <w:r w:rsidR="03F870A8" w:rsidRPr="00837161">
        <w:t>S</w:t>
      </w:r>
      <w:r w:rsidR="127C8D6D" w:rsidRPr="00837161">
        <w:t xml:space="preserve">ource: </w:t>
      </w:r>
      <w:r w:rsidR="00C277DF" w:rsidRPr="00837161">
        <w:t xml:space="preserve">McDougall </w:t>
      </w:r>
      <w:r w:rsidR="00405899" w:rsidRPr="00837161">
        <w:rPr>
          <w:b/>
          <w:bCs/>
        </w:rPr>
        <w:fldChar w:fldCharType="begin"/>
      </w:r>
      <w:r w:rsidR="000F35EB">
        <w:instrText xml:space="preserve"> ADDIN ZOTERO_ITEM CSL_CITATION {"citationID":"CkK3be9D","properties":{"formattedCitation":"(2016)","plainCitation":"(2016)","noteIndex":0},"citationItems":[{"id":26559,"uris":["http://zotero.org/groups/2352922/items/4DIMVZHR"],"itemData":{"id":26559,"type":"document","title":"The Cost of New Agrochemical Product Discovery, Development and Registration in 1995, 2000, 2005-8 and 2010-2014. R&amp;D expenditure in 2014 and expectations for 2019","URL":"https://croplife.org/wp-content/uploads/2016/04/Cost-of-CP-report-FINAL.pdf","author":[{"literal":"Phillips McDougall"}],"issued":{"date-parts":[["2016"]]}},"label":"page","suppress-author":true}],"schema":"https://github.com/citation-style-language/schema/raw/master/csl-citation.json"} </w:instrText>
      </w:r>
      <w:r w:rsidR="00405899" w:rsidRPr="00837161">
        <w:rPr>
          <w:b/>
          <w:bCs/>
        </w:rPr>
        <w:fldChar w:fldCharType="separate"/>
      </w:r>
      <w:r w:rsidR="00271B78" w:rsidRPr="00271B78">
        <w:t>(2016)</w:t>
      </w:r>
      <w:r w:rsidR="00405899" w:rsidRPr="00837161">
        <w:rPr>
          <w:b/>
          <w:bCs/>
        </w:rPr>
        <w:fldChar w:fldCharType="end"/>
      </w:r>
      <w:r w:rsidR="004E0CAF">
        <w:t>,</w:t>
      </w:r>
      <w:r w:rsidR="00C81287" w:rsidRPr="0079215C">
        <w:t xml:space="preserve"> </w:t>
      </w:r>
      <w:hyperlink r:id="rId97" w:history="1">
        <w:r w:rsidR="007456A9" w:rsidRPr="006A0CE1">
          <w:rPr>
            <w:rStyle w:val="Hyperlink"/>
          </w:rPr>
          <w:t>https://croplife.org/wp-content/uploads/2016/04/Cost-of-CP-report-FINAL.pdf</w:t>
        </w:r>
      </w:hyperlink>
      <w:r w:rsidR="00C81287" w:rsidRPr="0079215C">
        <w:t xml:space="preserve">, under license CC BY 4.0. Bottom: number of new active ingredients introduced (y axis) per decade (x axis): 1950s to present day. Source: McDougall </w:t>
      </w:r>
      <w:r w:rsidR="001B0409" w:rsidRPr="00476BFA">
        <w:rPr>
          <w:b/>
          <w:bCs/>
          <w:iCs/>
        </w:rPr>
        <w:fldChar w:fldCharType="begin"/>
      </w:r>
      <w:r w:rsidR="000F35EB">
        <w:rPr>
          <w:iCs/>
        </w:rPr>
        <w:instrText xml:space="preserve"> ADDIN ZOTERO_ITEM CSL_CITATION {"citationID":"X4G3kztp","properties":{"formattedCitation":"(2018)","plainCitation":"(2018)","noteIndex":0},"citationItems":[{"id":10776,"uris":["http://zotero.org/groups/2352922/items/6FJHQPTU"],"itemData":{"id":10776,"type":"document","abstract":"Today, the world’s leading manufacturers of crop protection products invest more than $3 billion\nannually into research and development of new products, and the overall R&amp;D investment by the\nmajor research-based companies has remained consistently high at 7%-10% of annual sales over the\nlast 50 years (Phillips McDougall AgriService). With this high level of investment, companies have\ncontinued to develop and improve the efficacy and safety profiles of products to ensure high and\nenhanced regulatory standards are met and farmers are provided with effective tools to provide\nnutritious, safe and affordable food.\nThe publication of Rachel Carson’s ‘Silent Spring’ book in 1962 was an important milestone in the\ndevelopment of the crop protection industry. It emphasized the need to improve the safety and\nenvironmental profiles of pesticide products, and its public and political impact was instrumental\nin the formation of the US Environmental Protection Agency (EPA). In order to illustrate how the\nindustry has evolved, it is helpful to compare key aspects of the crop protection industry around the\ntime of Silent Spring’s release, with where it stands today.\nIn this report, the following aspects were researched and, where the data is available, the situations\nin the 1960s and the present day are compared.\n• Product diversity: the number of products and product groups available\n• Product efficacy: comparative application rates per hectare\n• Innovation: the number of new products introduced per year/decade\n• Regulatory costs and requirements\n• Product safety and environmental aspects","title":"Evolution of the Crop Protection Industry since 1960","URL":"https://croplife.org/wp-content/uploads/2018/11/Phillips-McDougall-Evolution-of-the-Crop-Protection-Industry-since-1960-FINAL.pdf","author":[{"literal":"Phillips McDougall"}],"issued":{"date-parts":[["2018"]]}},"label":"page","suppress-author":true}],"schema":"https://github.com/citation-style-language/schema/raw/master/csl-citation.json"} </w:instrText>
      </w:r>
      <w:r w:rsidR="001B0409" w:rsidRPr="00476BFA">
        <w:rPr>
          <w:b/>
          <w:bCs/>
          <w:iCs/>
        </w:rPr>
        <w:fldChar w:fldCharType="separate"/>
      </w:r>
      <w:r w:rsidR="00271B78" w:rsidRPr="00271B78">
        <w:t>(2018)</w:t>
      </w:r>
      <w:r w:rsidR="001B0409" w:rsidRPr="00476BFA">
        <w:rPr>
          <w:b/>
          <w:bCs/>
          <w:iCs/>
        </w:rPr>
        <w:fldChar w:fldCharType="end"/>
      </w:r>
      <w:r w:rsidR="007456A9">
        <w:rPr>
          <w:iCs/>
        </w:rPr>
        <w:t>,</w:t>
      </w:r>
      <w:r w:rsidR="00C81287" w:rsidRPr="0079215C">
        <w:t xml:space="preserve"> </w:t>
      </w:r>
      <w:hyperlink r:id="rId98" w:history="1">
        <w:r w:rsidR="007456A9" w:rsidRPr="006A0CE1">
          <w:rPr>
            <w:rStyle w:val="Hyperlink"/>
            <w:iCs/>
          </w:rPr>
          <w:t>https://croplife.org/wp-content/uploads/2018/11/Phillips-McDougall-Evolution-of-the-Crop-Protection-Industry-since-1960-FINAL.pdf</w:t>
        </w:r>
      </w:hyperlink>
      <w:r w:rsidR="00C81287" w:rsidRPr="0079215C">
        <w:t>, under license CC BY 4.0.</w:t>
      </w:r>
      <w:bookmarkEnd w:id="383"/>
    </w:p>
    <w:p w14:paraId="54EF5A17" w14:textId="46A2F78B" w:rsidR="00FB32EF" w:rsidRPr="00837161" w:rsidRDefault="001B0409" w:rsidP="00C11DFA">
      <w:pPr>
        <w:spacing w:before="240" w:after="120" w:line="240" w:lineRule="auto"/>
      </w:pPr>
      <w:r w:rsidRPr="00837161">
        <w:t xml:space="preserve">Nanotech has the potential to reduce pesticide application rates through efficient delivery paving the way for novel applications, devices and systems for delivery of pesticides for invasive alien species management via development for agriculture </w:t>
      </w:r>
      <w:r w:rsidRPr="00837161">
        <w:fldChar w:fldCharType="begin"/>
      </w:r>
      <w:r w:rsidR="000F35EB">
        <w:instrText xml:space="preserve"> ADDIN ZOTERO_ITEM CSL_CITATION {"citationID":"be1B9OPY","properties":{"unsorted":true,"formattedCitation":"(Manjunatha et al., 2016; Anandhi et al., 2020)","plainCitation":"(Manjunatha et al., 2016; Anandhi et al., 2020)","noteIndex":0},"citationItems":[{"id":16764,"uris":["http://zotero.org/groups/2352922/items/KDYKYQ3F"],"itemData":{"id":16764,"type":"article-journal","container-title":"Journal of Farm Science","ISSN":"0972-1061","issue":"1","page":"1–13","source":"Google Scholar","title":"Nanotechnology and its applications in agriculture: A review","title-short":"Nanotechnology and its applications in agriculture","URL":"https://www.cabdirect.org/cabdirect/abstract/20163217790","volume":"29","author":[{"family":"Manjunatha","given":"S. B."},{"family":"Biradar","given":"D. P."},{"family":"Aladakatti","given":"Yallappa R."}],"issued":{"date-parts":[["2016"]]}},"label":"page"},{"id":31792,"uris":["http://zotero.org/groups/2352922/items/PGC6ZRUQ"],"itemData":{"id":31792,"type":"article-journal","abstract":"Pesticides are the basis to defend against major biological disaster in agriculture and important to ensure national food security. Biocompatible, biodegradable and responsive material is currently an emerging area of interest in eco-friendly green pesticide formulations. Nanotechnology plays a vital role in designing and preparation of target-oriented and controlled release pesticides which act environmentally safe. This can be achieved through chemical modification and this new technology has great potential in creating novel formulations. In this review, special attention has been paid towards pesticides with precise controlled release modes and responds to micro ecological changes such as light sensitivity, thermo sensitivity, humidity sensitivity, soil, pH, and enzyme activity. Moreover, establishing intelligent and controlled pesticide release technologies using nanomaterials are reported. The technologies could increase pesticide loading, improve the dispersibility and stability of active ingredient, and promote target ability.","container-title":"Journal of Entomology and Zoology Studies","issue":"4","language":"en","page":"685-690","source":"Zotero","title":"Nano-pesticides in pest management","URL":"https://www.entomoljournal.com/archives/2020/vol8issue4/PartL/8-3-380-752.pdf","volume":"8","author":[{"family":"Anandhi","given":"S"},{"family":"Saminathan","given":"V R"},{"family":"Yasotha","given":"P"},{"family":"Saravanan","given":"P T"},{"family":"Rajanbabu","given":"Venugopal"}],"issued":{"date-parts":[["2020"]]}},"label":"page"}],"schema":"https://github.com/citation-style-language/schema/raw/master/csl-citation.json"} </w:instrText>
      </w:r>
      <w:r w:rsidRPr="00837161">
        <w:fldChar w:fldCharType="separate"/>
      </w:r>
      <w:r w:rsidR="00271B78" w:rsidRPr="00271B78">
        <w:t>(Manjunatha et al., 2016; Anandhi et al., 2020)</w:t>
      </w:r>
      <w:r w:rsidRPr="00837161">
        <w:fldChar w:fldCharType="end"/>
      </w:r>
      <w:r w:rsidRPr="00837161">
        <w:t>. Current interest is on three formulation types: polymer-based nano-formulations, inorganic nanoparticles such as silica and titanium dioxide</w:t>
      </w:r>
      <w:r w:rsidR="00C16EEB">
        <w:t xml:space="preserve"> and</w:t>
      </w:r>
      <w:r w:rsidRPr="00837161">
        <w:t xml:space="preserve"> nano-emulsions. These novel formulations allow the release of active ingredients in a slow and targeted manner, protecting them against degradation and increasing “solubility” of even poorly water</w:t>
      </w:r>
      <w:r w:rsidR="41BB71B8" w:rsidRPr="00837161">
        <w:t>-</w:t>
      </w:r>
      <w:r w:rsidRPr="00837161">
        <w:t xml:space="preserve">soluble formulations </w:t>
      </w:r>
      <w:r w:rsidR="00AD7421" w:rsidRPr="00837161">
        <w:fldChar w:fldCharType="begin"/>
      </w:r>
      <w:r w:rsidR="000F35EB">
        <w:instrText xml:space="preserve"> ADDIN ZOTERO_ITEM CSL_CITATION {"citationID":"e587YsP2","properties":{"unsorted":true,"formattedCitation":"(Manjunatha et al., 2016)","plainCitation":"(Manjunatha et al., 2016)","noteIndex":0},"citationItems":[{"id":16764,"uris":["http://zotero.org/groups/2352922/items/KDYKYQ3F"],"itemData":{"id":16764,"type":"article-journal","container-title":"Journal of Farm Science","ISSN":"0972-1061","issue":"1","page":"1–13","source":"Google Scholar","title":"Nanotechnology and its applications in agriculture: A review","title-short":"Nanotechnology and its applications in agriculture","URL":"https://www.cabdirect.org/cabdirect/abstract/20163217790","volume":"29","author":[{"family":"Manjunatha","given":"S. B."},{"family":"Biradar","given":"D. P."},{"family":"Aladakatti","given":"Yallappa R."}],"issued":{"date-parts":[["2016"]]}},"label":"page"}],"schema":"https://github.com/citation-style-language/schema/raw/master/csl-citation.json"} </w:instrText>
      </w:r>
      <w:r w:rsidR="00AD7421" w:rsidRPr="00837161">
        <w:fldChar w:fldCharType="separate"/>
      </w:r>
      <w:r w:rsidR="00271B78" w:rsidRPr="00271B78">
        <w:t xml:space="preserve">(Manjunatha et </w:t>
      </w:r>
      <w:r w:rsidR="00271B78" w:rsidRPr="00271B78">
        <w:lastRenderedPageBreak/>
        <w:t>al., 2016)</w:t>
      </w:r>
      <w:r w:rsidR="00AD7421" w:rsidRPr="00837161">
        <w:fldChar w:fldCharType="end"/>
      </w:r>
      <w:r w:rsidRPr="00837161">
        <w:t xml:space="preserve">. Potential risks </w:t>
      </w:r>
      <w:r w:rsidR="001D58C7">
        <w:t>of</w:t>
      </w:r>
      <w:r w:rsidR="001D58C7" w:rsidRPr="00837161">
        <w:t xml:space="preserve"> </w:t>
      </w:r>
      <w:r w:rsidRPr="00837161">
        <w:t xml:space="preserve">nano particles to human and environmental health (the so-called </w:t>
      </w:r>
      <w:r w:rsidR="00FD78E5" w:rsidRPr="00837161">
        <w:t>“</w:t>
      </w:r>
      <w:r w:rsidRPr="00837161">
        <w:t>nanomaterials paradox</w:t>
      </w:r>
      <w:r w:rsidR="00FD78E5" w:rsidRPr="00837161">
        <w:t>”</w:t>
      </w:r>
      <w:r w:rsidRPr="00837161">
        <w:t xml:space="preserve">) has led to delays in application as national nanotech policy and regulatory risk analysis protocols are agreed so the risks are appropriately evaluated </w:t>
      </w:r>
      <w:r w:rsidRPr="00837161">
        <w:fldChar w:fldCharType="begin"/>
      </w:r>
      <w:r w:rsidR="000F35EB">
        <w:instrText xml:space="preserve"> ADDIN ZOTERO_ITEM CSL_CITATION {"citationID":"VuGZUYvt","properties":{"unsorted":true,"formattedCitation":"(OECD, 2012; Kah, 2015; Agathokleous et al., 2020)","plainCitation":"(OECD, 2012; Kah, 2015; Agathokleous et al., 2020)","noteIndex":0},"citationItems":[{"id":25738,"uris":["http://zotero.org/groups/2352922/items/S3C29BDK"],"itemData":{"id":25738,"type":"book","collection-number":"33","collection-title":"Series on the Safety of Manufactured Nanomaterials","publisher":"Organization for Economic Cooperation and Development, Environmental Health …","title":"Important Issues on Risk Assessment of Manufactured Nanomaterials","author":[{"literal":"OECD"}],"issued":{"date-parts":[["2012"]]}},"label":"page"},{"id":10293,"uris":["http://zotero.org/groups/2352922/items/PBG96J4I"],"itemData":{"id":10293,"type":"article-journal","container-title":"Frontiers in Chemistry","DOI":"10.3389/fchem.2015.00064","ISSN":"2296-2646","journalAbbreviation":"Front. Chem.","page":"64","source":"DOI.org (Crossref)","title":"Nanopesticides and Nanofertilizers: Emerging Contaminants or Opportunities for Risk Mitigation?","title-short":"Nanopesticides and Nanofertilizers","URL":"http://journal.frontiersin.org/Article/10.3389/fchem.2015.00064/abstract","volume":"3","author":[{"family":"Kah","given":"Melanie"}],"accessed":{"date-parts":[["2020",8,17]]},"issued":{"date-parts":[["2015",11,16]]}},"label":"page"},{"id":30094,"uris":["http://zotero.org/groups/2352922/items/76W4GVW3"],"itemData":{"id":30094,"type":"article-journal","abstract":"The need to protect plants against environmental challenges, abiotic and biotic, leads to the application of nanomaterials and pesticides in the environment. Recently, nanopesticides have been developed to replace classic pesticides. Their wide application in the agricultural practice leads to deposition of nanomaterials (and potential residuals) in the natural environment. The use of nanopesticides is a great challenge for biodiversity; however, not as originally envisioned. We discuss how nanopesticides may pose risks for biodiversity at far lower concentrations/doses than currently thought.","container-title":"Nano Today","DOI":"10.1016/j.nantod.2019.100808","ISSN":"1748-0132","journalAbbreviation":"Nano Today","language":"en","page":"100808","source":"ScienceDirect","title":"Nano-pesticides: A great challenge for biodiversity? The need for a broader perspective","title-short":"Nano-pesticides","URL":"https://www.sciencedirect.com/science/article/pii/S1748013219305158","volume":"30","author":[{"family":"Agathokleous","given":"Evgenios"},{"family":"Feng","given":"ZhaoZhong"},{"family":"Iavicoli","given":"Ivo"},{"family":"Calabrese","given":"Edward J."}],"accessed":{"date-parts":[["2021",8,17]]},"issued":{"date-parts":[["2020",2,1]]}},"label":"page"}],"schema":"https://github.com/citation-style-language/schema/raw/master/csl-citation.json"} </w:instrText>
      </w:r>
      <w:r w:rsidRPr="00837161">
        <w:fldChar w:fldCharType="separate"/>
      </w:r>
      <w:r w:rsidR="00271B78" w:rsidRPr="00271B78">
        <w:t>(OECD, 2012; Kah, 2015; Agathokleous et al., 2020)</w:t>
      </w:r>
      <w:r w:rsidRPr="00837161">
        <w:fldChar w:fldCharType="end"/>
      </w:r>
      <w:r w:rsidRPr="00837161">
        <w:t xml:space="preserve">. </w:t>
      </w:r>
    </w:p>
    <w:p w14:paraId="7D600A08" w14:textId="74FF5879" w:rsidR="001B0409" w:rsidRPr="00837161" w:rsidRDefault="5B737F31" w:rsidP="00C11DFA">
      <w:pPr>
        <w:spacing w:before="240" w:after="120" w:line="240" w:lineRule="auto"/>
      </w:pPr>
      <w:r w:rsidRPr="00837161">
        <w:t>With regard to b</w:t>
      </w:r>
      <w:r w:rsidR="1E181865" w:rsidRPr="00837161">
        <w:t>iopesticides</w:t>
      </w:r>
      <w:r w:rsidRPr="00837161">
        <w:t xml:space="preserve">, </w:t>
      </w:r>
      <w:r w:rsidR="32B262B4" w:rsidRPr="00837161">
        <w:t xml:space="preserve">which come under </w:t>
      </w:r>
      <w:r w:rsidR="02DB9619" w:rsidRPr="00837161">
        <w:t xml:space="preserve">the same regulatory registration process as chemical pesticides, </w:t>
      </w:r>
      <w:r w:rsidRPr="00837161">
        <w:t xml:space="preserve">a review </w:t>
      </w:r>
      <w:r w:rsidR="00E1267D" w:rsidRPr="00837161">
        <w:fldChar w:fldCharType="begin"/>
      </w:r>
      <w:r w:rsidR="000F35EB">
        <w:instrText xml:space="preserve"> ADDIN ZOTERO_ITEM CSL_CITATION {"citationID":"RJmfXVOJ","properties":{"formattedCitation":"(Glare et al., 2012)","plainCitation":"(Glare et al., 2012)","noteIndex":0},"citationItems":[{"id":52537,"uris":["http://zotero.org/groups/2352922/items/HD7H8Z2Q"],"itemData":{"id":52537,"type":"article-journal","abstract":"Biopesticides based on living microbes and their bioactive compounds have been researched and promoted as replacements for synthetic pesticides for many years. However, lack of efficacy, inconsistent field performance and high cost have generally relegated them to niche products. Recently, technological advances and major changes in the external environment have positively altered the outlook for biopesticides. Significant increases in market penetration have been made, but biopesticides still only make up a small percentage of pest control products. Progress in the areas of activity spectra, delivery options, persistence of effect and implementation have contributed to the increasing use of biopesticides, but technologies that are truly transformational and result in significant uptake are still lacking.","container-title":"Trends in Biotechnology","DOI":"10.1016/j.tibtech.2012.01.003","ISSN":"0167-7799","issue":"5","journalAbbreviation":"Trends in Biotechnology","language":"en","page":"250-258","source":"ScienceDirect","title":"Have biopesticides come of age?","URL":"https://www.sciencedirect.com/science/article/pii/S0167779912000042","volume":"30","author":[{"family":"Glare","given":"Travis"},{"family":"Caradus","given":"John"},{"family":"Gelernter","given":"Wendy"},{"family":"Jackson","given":"Trevor"},{"family":"Keyhani","given":"Nemat"},{"family":"Köhl","given":"Jürgen"},{"family":"Marrone","given":"Pamela"},{"family":"Morin","given":"Louise"},{"family":"Stewart","given":"Alison"}],"accessed":{"date-parts":[["2022",7,3]]},"issued":{"date-parts":[["2012",5,1]]}},"label":"page"}],"schema":"https://github.com/citation-style-language/schema/raw/master/csl-citation.json"} </w:instrText>
      </w:r>
      <w:r w:rsidR="00E1267D" w:rsidRPr="00837161">
        <w:fldChar w:fldCharType="separate"/>
      </w:r>
      <w:r w:rsidR="00271B78" w:rsidRPr="00271B78">
        <w:t>(Glare et al., 2012)</w:t>
      </w:r>
      <w:r w:rsidR="00E1267D" w:rsidRPr="00837161">
        <w:fldChar w:fldCharType="end"/>
      </w:r>
      <w:r w:rsidR="7385EEC5" w:rsidRPr="00837161">
        <w:t xml:space="preserve"> </w:t>
      </w:r>
      <w:r w:rsidRPr="00837161">
        <w:t>stated</w:t>
      </w:r>
      <w:r w:rsidR="7385EEC5" w:rsidRPr="00837161">
        <w:t xml:space="preserve"> “Biopesticides</w:t>
      </w:r>
      <w:r w:rsidR="1E181865" w:rsidRPr="00837161">
        <w:t xml:space="preserve"> based on living microbes and their bioactive compounds have been researched and promoted as replacements for synthetic pesticides for many years. However, lack of efficacy, inconsistent field performance and high cost have generally relegated them to niche products. Recently, technological advances and major changes in the external environment have positively altered the outlook for biopesticides. Significant increases in market penetration have been made, but biopesticides still only make up a small percentage of pest control product</w:t>
      </w:r>
      <w:r w:rsidR="001D58C7">
        <w:t>”</w:t>
      </w:r>
      <w:r w:rsidR="7385EEC5" w:rsidRPr="00837161">
        <w:t>.</w:t>
      </w:r>
      <w:r w:rsidR="0456F31E" w:rsidRPr="00837161">
        <w:t xml:space="preserve"> </w:t>
      </w:r>
      <w:bookmarkStart w:id="385" w:name="_Hlk112928775"/>
      <w:r w:rsidR="0456F31E" w:rsidRPr="00837161">
        <w:t>Biopesticides are being applied</w:t>
      </w:r>
      <w:r w:rsidR="42FBC652" w:rsidRPr="00837161">
        <w:t>,</w:t>
      </w:r>
      <w:r w:rsidR="0456F31E" w:rsidRPr="00837161">
        <w:t xml:space="preserve"> </w:t>
      </w:r>
      <w:r w:rsidR="06A78F75" w:rsidRPr="00837161">
        <w:t>for example</w:t>
      </w:r>
      <w:r w:rsidR="42FBC652" w:rsidRPr="00837161">
        <w:t>,</w:t>
      </w:r>
      <w:r w:rsidR="0456F31E" w:rsidRPr="00837161">
        <w:t xml:space="preserve"> against some </w:t>
      </w:r>
      <w:r w:rsidR="1D4D8E09" w:rsidRPr="00837161">
        <w:t>moths of economic importance</w:t>
      </w:r>
      <w:r w:rsidR="03F870A8" w:rsidRPr="00837161">
        <w:t xml:space="preserve"> </w:t>
      </w:r>
      <w:r w:rsidR="00E1267D" w:rsidRPr="00837161">
        <w:fldChar w:fldCharType="begin"/>
      </w:r>
      <w:r w:rsidR="000F35EB">
        <w:instrText xml:space="preserve"> ADDIN ZOTERO_ITEM CSL_CITATION {"citationID":"oW2DR50h","properties":{"formattedCitation":"(Shao et al., 2018)","plainCitation":"(Shao et al., 2018)","noteIndex":0},"citationItems":[{"id":52536,"uris":["http://zotero.org/groups/2352922/items/ZUG9B6PA"],"itemData":{"id":52536,"type":"article-journal","container-title":"Scientific Reports","DOI":"10.1038/s41598-018-28626-0","ISSN":"2045-2322","issue":"1","journalAbbreviation":"Sci Rep","language":"en","page":"10565","source":"DOI.org (Crossref)","title":"Microemulsion formulation of a new biopesticide to control the diamondback moth (Lepidoptera: Plutellidae)","title-short":"Microemulsion formulation of a new biopesticide to control the diamondback moth (Lepidoptera","URL":"http://www.nature.com/articles/s41598-018-28626-0","volume":"8","author":[{"family":"Shao","given":"Hainan"},{"family":"Xi","given":"Na"},{"family":"Zhang","given":"Yalin"}],"accessed":{"date-parts":[["2022",7,3]]},"issued":{"date-parts":[["2018",12]]}},"label":"page"}],"schema":"https://github.com/citation-style-language/schema/raw/master/csl-citation.json"} </w:instrText>
      </w:r>
      <w:r w:rsidR="00E1267D" w:rsidRPr="00837161">
        <w:fldChar w:fldCharType="separate"/>
      </w:r>
      <w:r w:rsidR="00271B78" w:rsidRPr="00271B78">
        <w:t>(Shao et al., 2018)</w:t>
      </w:r>
      <w:r w:rsidR="00E1267D" w:rsidRPr="00837161">
        <w:fldChar w:fldCharType="end"/>
      </w:r>
      <w:r w:rsidR="4874E9FB" w:rsidRPr="00837161">
        <w:t xml:space="preserve">, however they have </w:t>
      </w:r>
      <w:r w:rsidR="172C8A02" w:rsidRPr="00837161">
        <w:t xml:space="preserve">not </w:t>
      </w:r>
      <w:r w:rsidR="4874E9FB" w:rsidRPr="00837161">
        <w:t>been</w:t>
      </w:r>
      <w:r w:rsidR="5517C367" w:rsidRPr="00837161">
        <w:t xml:space="preserve"> commercially viable </w:t>
      </w:r>
      <w:r w:rsidR="4874E9FB" w:rsidRPr="00837161">
        <w:t xml:space="preserve">against invasive alien plants </w:t>
      </w:r>
      <w:r w:rsidR="00E1267D" w:rsidRPr="00837161">
        <w:fldChar w:fldCharType="begin"/>
      </w:r>
      <w:r w:rsidR="000F35EB">
        <w:instrText xml:space="preserve"> ADDIN ZOTERO_ITEM CSL_CITATION {"citationID":"Jo2zNDKE","properties":{"formattedCitation":"(Arora, 2003)","plainCitation":"(Arora, 2003)","noteIndex":0},"citationItems":[{"id":52535,"uris":["http://zotero.org/groups/2352922/items/LWDUEKZ9"],"itemData":{"id":52535,"type":"book","abstract":"Contributions from 80 world-renowned authorities representing a broad international background lend Fungal Biotechnology in Agricultural, Food, and Environmental Applicationsfirst-class information on the biotechnological potential of entomopathogenic fungi and ergot alkaloids, applications of Trichoderma in disease control, and the d","ISBN":"978-0-203-91336-9","language":"en","number-of-pages":"658","publisher":"CRC Press","source":"Google Books","title":"Fungal Biotechnology in Agricultural, Food, and Environmental Applications","URL":"https://doi.org/10.1201/9780203913369","editor":[{"family":"Arora","given":"Dilip K."}],"issued":{"date-parts":[["2003",12,17]]}},"label":"page"}],"schema":"https://github.com/citation-style-language/schema/raw/master/csl-citation.json"} </w:instrText>
      </w:r>
      <w:r w:rsidR="00E1267D" w:rsidRPr="00837161">
        <w:fldChar w:fldCharType="separate"/>
      </w:r>
      <w:r w:rsidR="00271B78" w:rsidRPr="00271B78">
        <w:t>(Arora, 2003)</w:t>
      </w:r>
      <w:r w:rsidR="00E1267D" w:rsidRPr="00837161">
        <w:fldChar w:fldCharType="end"/>
      </w:r>
      <w:r w:rsidR="172C8A02" w:rsidRPr="00837161">
        <w:t>.</w:t>
      </w:r>
      <w:bookmarkEnd w:id="385"/>
    </w:p>
    <w:p w14:paraId="686DC166" w14:textId="77777777" w:rsidR="001B0409" w:rsidRPr="00837161" w:rsidRDefault="27514EC9" w:rsidP="0079215C">
      <w:pPr>
        <w:pStyle w:val="Heading4"/>
        <w:rPr>
          <w:lang w:eastAsia="ja-JP"/>
        </w:rPr>
      </w:pPr>
      <w:bookmarkStart w:id="386" w:name="_Toc69313996"/>
      <w:r w:rsidRPr="00837161">
        <w:t>Robotic technology for targeted management</w:t>
      </w:r>
      <w:bookmarkEnd w:id="386"/>
      <w:r w:rsidRPr="00837161">
        <w:t xml:space="preserve"> </w:t>
      </w:r>
    </w:p>
    <w:p w14:paraId="55A166DB" w14:textId="1C69AE13" w:rsidR="001B0409" w:rsidRPr="00837161" w:rsidRDefault="001B0409" w:rsidP="00C11DFA">
      <w:pPr>
        <w:spacing w:before="240" w:after="120" w:line="240" w:lineRule="auto"/>
      </w:pPr>
      <w:r w:rsidRPr="00837161">
        <w:t>Robotic technology is increasingly applied to invasive alien species</w:t>
      </w:r>
      <w:r w:rsidR="0032147D" w:rsidRPr="00837161">
        <w:t xml:space="preserve"> management</w:t>
      </w:r>
      <w:r w:rsidR="00872839" w:rsidRPr="00837161">
        <w:t xml:space="preserve"> although this will be </w:t>
      </w:r>
      <w:r w:rsidR="0013753B" w:rsidRPr="00837161">
        <w:t>challenging in many developing countries without support from international aid program</w:t>
      </w:r>
      <w:r w:rsidR="00653156" w:rsidRPr="00837161">
        <w:t>me</w:t>
      </w:r>
      <w:r w:rsidR="0013753B" w:rsidRPr="00837161">
        <w:t>s</w:t>
      </w:r>
      <w:r w:rsidRPr="00837161">
        <w:t xml:space="preserve">. The benefits for management and control activities may be most marked in remote, </w:t>
      </w:r>
      <w:r w:rsidR="00CF7E6C" w:rsidRPr="00837161">
        <w:t>inaccessible,</w:t>
      </w:r>
      <w:r w:rsidRPr="00837161">
        <w:t xml:space="preserve"> or broad-scale applications where human actions are costly or dangerous. Robotics can be used to map and characteri</w:t>
      </w:r>
      <w:r w:rsidR="00814B7A" w:rsidRPr="00837161">
        <w:t>z</w:t>
      </w:r>
      <w:r w:rsidRPr="00837161">
        <w:t xml:space="preserve">e invasive alien species </w:t>
      </w:r>
      <w:r w:rsidR="00966426" w:rsidRPr="00837161">
        <w:t>(</w:t>
      </w:r>
      <w:r w:rsidR="00966426" w:rsidRPr="00F618D4">
        <w:rPr>
          <w:b/>
          <w:iCs/>
        </w:rPr>
        <w:t>section 5.4.</w:t>
      </w:r>
      <w:r w:rsidR="005B7F06" w:rsidRPr="00F618D4">
        <w:rPr>
          <w:b/>
          <w:iCs/>
        </w:rPr>
        <w:t>2</w:t>
      </w:r>
      <w:r w:rsidR="00966426" w:rsidRPr="00F618D4">
        <w:rPr>
          <w:b/>
          <w:iCs/>
        </w:rPr>
        <w:t>.2</w:t>
      </w:r>
      <w:r w:rsidRPr="00837161">
        <w:t>)</w:t>
      </w:r>
      <w:r w:rsidR="00C16EEB">
        <w:t xml:space="preserve"> and</w:t>
      </w:r>
      <w:r w:rsidRPr="00837161">
        <w:t xml:space="preserve"> to deliver a management action (</w:t>
      </w:r>
      <w:r w:rsidR="00E56CE3" w:rsidRPr="00837161">
        <w:t>e.g.</w:t>
      </w:r>
      <w:r w:rsidRPr="00837161">
        <w:t xml:space="preserve">, the application of foliar or granular herbicides; </w:t>
      </w:r>
      <w:r w:rsidRPr="00837161">
        <w:fldChar w:fldCharType="begin"/>
      </w:r>
      <w:r w:rsidR="000F35EB">
        <w:instrText xml:space="preserve"> ADDIN ZOTERO_ITEM CSL_CITATION {"citationID":"WLCoUGK8","properties":{"formattedCitation":"(Carwardine et al., 2016)","plainCitation":"(Carwardine et al., 2016)","noteIndex":0},"citationItems":[{"id":25149,"uris":["http://zotero.org/groups/2352922/items/RYRBY8U4"],"itemData":{"id":25149,"type":"report","event-place":"Canberra","language":"en","note":"csiro:EP164439","page":"26","publisher":"CSIRO","publisher-place":"Canberra","source":"Zotero","title":"Scoping study final report on the viability of robotics for the widespread management of prickly acacia","URL":"http://hdl.handle.net/102.100.100/90148?index=1","author":[{"family":"Carwardine","given":"Josie"},{"family":"Kottege","given":"Navinda"},{"family":"Borges","given":"Paulo"},{"family":"Nicol","given":"Sam"},{"family":"Merz","given":"Torsten"},{"family":"Bandyopadhyay","given":"Tirthankar"},{"family":"Sheppard","given":"Andy"}],"issued":{"date-parts":[["2016",6,30]]}},"label":"page"}],"schema":"https://github.com/citation-style-language/schema/raw/master/csl-citation.json"} </w:instrText>
      </w:r>
      <w:r w:rsidRPr="00837161">
        <w:fldChar w:fldCharType="separate"/>
      </w:r>
      <w:r w:rsidR="00271B78" w:rsidRPr="00271B78">
        <w:t>(Carwardine et al., 2016)</w:t>
      </w:r>
      <w:r w:rsidRPr="00837161">
        <w:fldChar w:fldCharType="end"/>
      </w:r>
      <w:r w:rsidRPr="00837161">
        <w:t xml:space="preserve">. An autonomous robot can be deployed to operate continuously and may result in significantly less use of chemicals and a reduction </w:t>
      </w:r>
      <w:r w:rsidR="001D58C7">
        <w:t>of</w:t>
      </w:r>
      <w:r w:rsidR="001D58C7" w:rsidRPr="00837161">
        <w:t xml:space="preserve"> </w:t>
      </w:r>
      <w:r w:rsidRPr="00837161">
        <w:t xml:space="preserve">the costs and generally harmful environmental impacts of manned vehicles. Unmanned robotic vehicles are suited to a wide range of aerial, terrestrial and marine applications and can have particular potential for deployment in the management of established pests, weeds and diseases </w:t>
      </w:r>
      <w:r w:rsidRPr="00837161">
        <w:fldChar w:fldCharType="begin"/>
      </w:r>
      <w:r w:rsidR="000F35EB">
        <w:instrText xml:space="preserve"> ADDIN ZOTERO_ITEM CSL_CITATION {"citationID":"Otpbu2P8","properties":{"formattedCitation":"(Jurdak et al., 2015)","plainCitation":"(Jurdak et al., 2015)","noteIndex":0},"citationItems":[{"id":29769,"uris":["http://zotero.org/groups/2352922/items/6CJENS8D"],"itemData":{"id":29769,"type":"article-journal","abstract":"The global movement of people and goods has increased the risk of biosecurity threats and their potential to incur large economic, social, and environmental costs. Conventional manual biosecurity surveillance methods are limited by their scalability in space and time. This article focuses on autonomous surveillance systems, comprising sensor networks, robots, and intelligent algorithms, and their applicability to biosecurity threats. We discuss the spatial and temporal attributes of autonomous surveillance technologies and map them to three broad categories of biosecurity threat: (i) vector-borne diseases; (ii) plant pests; and (iii) aquatic pests. Our discussion reveals a broad range of opportunities to serve biosecurity needs through autonomous surveillance.","container-title":"Trends in Biotechnology","DOI":"10.1016/j.tibtech.2015.01.003","ISSN":"0167-7799","issue":"4","journalAbbreviation":"Trends in Biotechnology","language":"en","page":"201-207","source":"ScienceDirect","title":"Autonomous surveillance for biosecurity","URL":"http://www.sciencedirect.com/science/article/pii/S0167779915000190","volume":"33","author":[{"family":"Jurdak","given":"Raja"},{"family":"Elfes","given":"Alberto"},{"family":"Kusy","given":"Branislav"},{"family":"Tews","given":"Ashley"},{"family":"Hu","given":"Wen"},{"family":"Hernandez","given":"Emili"},{"family":"Kottege","given":"Navinda"},{"family":"Sikka","given":"Pavan"}],"accessed":{"date-parts":[["2019",12,9]]},"issued":{"date-parts":[["2015",4,1]]}},"label":"page"}],"schema":"https://github.com/citation-style-language/schema/raw/master/csl-citation.json"} </w:instrText>
      </w:r>
      <w:r w:rsidRPr="00837161">
        <w:fldChar w:fldCharType="separate"/>
      </w:r>
      <w:r w:rsidR="00271B78" w:rsidRPr="00271B78">
        <w:t>(Jurdak et al., 2015)</w:t>
      </w:r>
      <w:r w:rsidRPr="00837161">
        <w:fldChar w:fldCharType="end"/>
      </w:r>
      <w:r w:rsidRPr="00837161">
        <w:t xml:space="preserve"> including marine invasive </w:t>
      </w:r>
      <w:r w:rsidR="002C3FAB" w:rsidRPr="00837161">
        <w:rPr>
          <w:rFonts w:eastAsia="Times New Roman"/>
        </w:rPr>
        <w:t xml:space="preserve">alien </w:t>
      </w:r>
      <w:r w:rsidRPr="00837161">
        <w:t>species, but the current technology will be limited for most sessile slow</w:t>
      </w:r>
      <w:r w:rsidR="293DD677" w:rsidRPr="00837161">
        <w:t>-</w:t>
      </w:r>
      <w:r w:rsidRPr="00837161">
        <w:t xml:space="preserve">moving species </w:t>
      </w:r>
      <w:r w:rsidRPr="00837161">
        <w:fldChar w:fldCharType="begin"/>
      </w:r>
      <w:r w:rsidR="000F35EB">
        <w:instrText xml:space="preserve"> ADDIN ZOTERO_ITEM CSL_CITATION {"citationID":"DdSevYHd","properties":{"formattedCitation":"(D. Smith &amp; Dunbabin, 2007)","plainCitation":"(D. Smith &amp; Dunbabin, 2007)","noteIndex":0},"citationItems":[{"id":30122,"uris":["http://zotero.org/groups/2352922/items/Y2LWTJNI"],"itemData":{"id":30122,"type":"paper-conference","abstract":"A novel shape recognition algorithm was developed to autonomously classify the Northern Pacific Sea Star (Asterias amurenis) from benthic images that were collected by the Starbug AUV during 6km of transects in the Derwent estuary. Despite the effects of scattering, attenuation, soft focus and motion blur within the underwater images, an optimal joint classification rate of 77.5% and misclassification rate of 13.5% was achieved. The performance of algorithm was largely attributed to its ability to recognise locally deformed sea star shapes that were created during the segmentation of the distorted images.","container-title":"9th Biennial Conference of the Australian Pattern Recognition Society on Digital Image Computing Techniques and Applications (DICTA 2007)","DOI":"10.1109/DICTA.2007.4426838","event-place":"Glenelg, SA, Australia","event-title":"9th Biennial Conference of the Australian Pattern Recognition Society on Digital Image Computing Techniques and Applications (DICTA 2007)","note":"ISSN: null","page":"500-507","publisher-place":"Glenelg, SA, Australia","source":"IEEE Xplore","title":"Automated Counting of the Northern Pacific Sea Star in the Derwent Using Shape Recognition","author":[{"family":"Smith","given":"Daniel"},{"family":"Dunbabin","given":"Matthew"}],"issued":{"date-parts":[["2007",12]]}},"label":"page"}],"schema":"https://github.com/citation-style-language/schema/raw/master/csl-citation.json"} </w:instrText>
      </w:r>
      <w:r w:rsidRPr="00837161">
        <w:fldChar w:fldCharType="separate"/>
      </w:r>
      <w:r w:rsidR="00271B78" w:rsidRPr="00271B78">
        <w:t>(D. Smith &amp; Dunbabin, 2007)</w:t>
      </w:r>
      <w:r w:rsidRPr="00837161">
        <w:fldChar w:fldCharType="end"/>
      </w:r>
      <w:r w:rsidRPr="00837161">
        <w:t>. Robotic platforms can be customi</w:t>
      </w:r>
      <w:r w:rsidR="00814B7A" w:rsidRPr="00837161">
        <w:t>z</w:t>
      </w:r>
      <w:r w:rsidRPr="00837161">
        <w:t>ed relatively easily to specific tasks</w:t>
      </w:r>
      <w:r w:rsidR="00C16EEB">
        <w:t xml:space="preserve"> and</w:t>
      </w:r>
      <w:r w:rsidRPr="00837161">
        <w:t xml:space="preserve"> machine learning and artificial intelligence algorithms continue to advance </w:t>
      </w:r>
      <w:r w:rsidRPr="00837161">
        <w:fldChar w:fldCharType="begin"/>
      </w:r>
      <w:r w:rsidR="000F35EB">
        <w:instrText xml:space="preserve"> ADDIN ZOTERO_ITEM CSL_CITATION {"citationID":"KC6NYUUu","properties":{"formattedCitation":"(Devitt et al., 2017)","plainCitation":"(Devitt et al., 2017)","noteIndex":0},"citationItems":[{"id":16797,"uris":["http://zotero.org/groups/2352922/items/L487698F"],"itemData":{"id":16797,"type":"paper-conference","abstract":"Weed management is becoming more complex due to the rise of herbicide resistant weeds. Integrated weed management strategies are recommended to minimize herbicide resistance. However, weed management can be daunting and uncertain leading to biased, avoidant or suboptimal decisions. Existing weed management tools can be insensitive to user needs and changing contexts over time. This paper discusses a proof of concept cognitive tool for integrated weed management decisions.\n\nOur team has taken initial steps into the design of an interactive tool for cotton growers that allows them to explore the impact of individual priorities and strategy preferences (optimistic, pessimistic and risk related) on weed management decisions given uncertainty in temperature and rainfall. Our research tackles the challenge of engaging stakeholders in complex decision making in three ways: 1) recognizing individual cognitive priorities 2) visualising scientific weed management in an appealing mobile interface and 3) representing decision uncertainties and risk weighted against cognitive priorities. \n\nSpecifically, our tool communicates personalised barnyard grass weeding management strategies for pre-crop and in-crop cotton weeding decisions. We ranked a set of actions including applications of herbicides: glyphosate, paraquat (shielded and unshielded), group A, trifluralin, diuron, pendimethalin, s-metolachlor, fluometuron, glufosinate; and non-chemical methods such as soil disturbance at various times prior to planting, at planting and in crop. Each action was evaluated against personal priorities including: saving time/effort, health/safety, saving money, sustainability and effectiveness.\n\nThe adoption of decision support in AgTech is improved when users can represent the objective benefits of recommended actions proportionately to their own needs and measures of success. Our interactive decision tool provides individualised decision support and quantifies uncertainty about attributes relevant to decision-makers to optimise integrated weeding management. The framework, however, can be extended to other decision making context where user priorities and decision uncertainties need to be incorporated alongside scientific best-practice.","container-title":"Proceedings of the 7th Asian-Australasian Conference on Precision Agriculture","DOI":"10.5281/zenodo.895617","event-place":"Hamilton, New Zealand","event-title":"International Tri-Conference for Precision Agriculture 2017","language":"en","license":"2017 S. Kate Devitt, Tristan Perez, Debra Polson, Tamara Pearce, Ryan Quagliata, Wade Taylor, David Thornby, Jenine Beekhuyzen","page":"1-8","publisher-place":"Hamilton, New Zealand","source":"eprints.qut.edu.au","title":"A cognitive decision tool to optimise integrated weed management","URL":"https://eprints.qut.edu.au/110232/","author":[{"family":"Devitt","given":"S. Kate"},{"family":"Perez","given":"Tristan"},{"family":"Polson","given":"Debra"},{"family":"Pearce","given":"Tamara R."},{"family":"Quagliata","given":"Ryan"},{"family":"Taylor","given":"Wade"},{"family":"Thornby","given":"David"},{"family":"Beekhuyzen","given":"Jenine"}],"accessed":{"date-parts":[["2019",12,9]]},"issued":{"date-parts":[["2017",10,18]]}},"label":"page"}],"schema":"https://github.com/citation-style-language/schema/raw/master/csl-citation.json"} </w:instrText>
      </w:r>
      <w:r w:rsidRPr="00837161">
        <w:fldChar w:fldCharType="separate"/>
      </w:r>
      <w:r w:rsidR="00271B78" w:rsidRPr="00271B78">
        <w:t>(Devitt et al., 2017)</w:t>
      </w:r>
      <w:r w:rsidRPr="00837161">
        <w:fldChar w:fldCharType="end"/>
      </w:r>
      <w:r w:rsidRPr="00837161">
        <w:t xml:space="preserve">. In the field of agriculture, autonomous unmanned ground-based vehicles exist that, in addition to programmed target detection and rapid learning to identify new targets with high accuracy, also include the capability for management decisions and actions. Unmanned ground-based vehicles-based systems are in prototype or </w:t>
      </w:r>
      <w:r w:rsidR="7B83C9D3" w:rsidRPr="00837161">
        <w:t xml:space="preserve">in </w:t>
      </w:r>
      <w:r w:rsidRPr="00837161">
        <w:t>commercial use</w:t>
      </w:r>
      <w:r w:rsidR="004316F9" w:rsidRPr="00837161">
        <w:t xml:space="preserve"> </w:t>
      </w:r>
      <w:r w:rsidR="00D56E81" w:rsidRPr="00837161">
        <w:t>for</w:t>
      </w:r>
      <w:r w:rsidRPr="00837161">
        <w:t xml:space="preserve"> many agricultural tasks including pest, weed and disease management, using a range of methods which may be applicable to some invasive alien species management situations. Unmanned Aerial Systems are also being used to deliver pesticides with high levels of precision </w:t>
      </w:r>
      <w:r w:rsidRPr="00837161">
        <w:fldChar w:fldCharType="begin"/>
      </w:r>
      <w:r w:rsidR="000F35EB">
        <w:instrText xml:space="preserve"> ADDIN ZOTERO_ITEM CSL_CITATION {"citationID":"IJi12GgD","properties":{"formattedCitation":"(Bawden et al., 2017; Lee et al., 2014)","plainCitation":"(Bawden et al., 2017; Lee et al., 2014)","noteIndex":0},"citationItems":[{"id":10924,"uris":["http://zotero.org/groups/2352922/items/ZVCDRVZJ"],"itemData":{"id":10924,"type":"article-journal","container-title":"Journal of Field Robotics","DOI":"10.1002/rob.21727","ISSN":"15564959","issue":"6","journalAbbreviation":"J. Field Robotics","language":"en","page":"1179-1199","source":"DOI.org (Crossref)","title":"Robot for weed species plant-specific management","title-short":"Robot for weed species plant-specific management","URL":"http://doi.wiley.com/10.1002/rob.21727","volume":"34","author":[{"family":"Bawden","given":"Owen"},{"family":"Kulk","given":"Jason"},{"family":"Russell","given":"Ray"},{"family":"McCool","given":"Chris"},{"family":"English","given":"Andrew"},{"family":"Dayoub","given":"Feras"},{"family":"Lehnert","given":"Chris"},{"family":"Perez","given":"Tristan"}],"accessed":{"date-parts":[["2020",8,17]]},"issued":{"date-parts":[["2017",9]]}},"label":"page"},{"id":10777,"uris":["http://zotero.org/groups/2352922/items/QKU7RY82"],"itemData":{"id":10777,"type":"paper-conference","container-title":"Proceedings of Australasian Conference on Robotics and Automation","event-title":"Australasian Conference on Robotics and Automation","title":"Fast path planning for precision weeding","URL":"https://opus.lib.uts.edu.au/handle/10453/106135","author":[{"family":"Lee","given":"J J H"},{"family":"Frey","given":"K"},{"family":"Fitch","given":"R"},{"family":"Sukkarieh","given":"S"}],"accessed":{"date-parts":[["2019",12,9]]},"issued":{"date-parts":[["2014",1,1]]}},"label":"page"}],"schema":"https://github.com/citation-style-language/schema/raw/master/csl-citation.json"} </w:instrText>
      </w:r>
      <w:r w:rsidRPr="00837161">
        <w:fldChar w:fldCharType="separate"/>
      </w:r>
      <w:r w:rsidR="00271B78" w:rsidRPr="00271B78">
        <w:t>(Bawden et al., 2017; Lee et al., 2014)</w:t>
      </w:r>
      <w:r w:rsidRPr="00837161">
        <w:fldChar w:fldCharType="end"/>
      </w:r>
      <w:r w:rsidRPr="00837161">
        <w:t>. There are also robotic technologies currently available for in-water hull cleaning to remove biofouling (</w:t>
      </w:r>
      <w:r w:rsidR="00AE05BC" w:rsidRPr="00F618D4">
        <w:rPr>
          <w:b/>
          <w:iCs/>
        </w:rPr>
        <w:t>section</w:t>
      </w:r>
      <w:r w:rsidRPr="00F618D4">
        <w:rPr>
          <w:b/>
          <w:iCs/>
        </w:rPr>
        <w:t xml:space="preserve"> 5.4.3.1</w:t>
      </w:r>
      <w:r w:rsidRPr="00837161">
        <w:t>). Similarly, a robotic automated underwater vehicle developed for environmental monitoring</w:t>
      </w:r>
      <w:r w:rsidR="00427A75" w:rsidRPr="00837161">
        <w:t xml:space="preserve"> </w:t>
      </w:r>
      <w:r w:rsidR="003250A1" w:rsidRPr="00837161">
        <w:t>a</w:t>
      </w:r>
      <w:r w:rsidRPr="00837161">
        <w:t xml:space="preserve">dapted and tested </w:t>
      </w:r>
      <w:r w:rsidR="00373A1B" w:rsidRPr="00837161">
        <w:t xml:space="preserve">against an </w:t>
      </w:r>
      <w:r w:rsidR="003250A1" w:rsidRPr="00837161">
        <w:t xml:space="preserve">undesirable </w:t>
      </w:r>
      <w:r w:rsidR="00373A1B" w:rsidRPr="00837161">
        <w:t xml:space="preserve">sea urchin </w:t>
      </w:r>
      <w:r w:rsidR="003250A1" w:rsidRPr="00837161">
        <w:t>on</w:t>
      </w:r>
      <w:r w:rsidRPr="00837161">
        <w:t xml:space="preserve"> the Great Barrier Reef </w:t>
      </w:r>
      <w:r w:rsidRPr="00837161">
        <w:fldChar w:fldCharType="begin"/>
      </w:r>
      <w:r w:rsidR="000F35EB">
        <w:instrText xml:space="preserve"> ADDIN ZOTERO_ITEM CSL_CITATION {"citationID":"5WjUEDyD","properties":{"formattedCitation":"(Clement et al., 2005; Dayoub et al., 2015)","plainCitation":"(Clement et al., 2005; Dayoub et al., 2015)","noteIndex":0},"citationItems":[{"id":16799,"uris":["http://zotero.org/groups/2352922/items/UXYYKYMJ"],"itemData":{"id":16799,"type":"paper-conference","abstract":"Robust texture recognition in underwater image sequences\nfor marine pest population control such as Crown-Of-Thorns Starfish (COTS) is a relatively unexplored area of research. Typically, humans count COTS by laboriously processing individual images taken during surveys. Being able to autonomously collect and process images of reef\nhabitat and segment out the various marine biota holds the promise of allowing researchers to gain a greater understanding of the marine ecosystem and evaluate the impact of different environmental variables. This research applies and extends the use of Local Binary Patterns (LBP) as a method for texture-based identification of COTS from survey images. The performance and accuracy of the algorithms are evaluated on a image data set taken on the Great Barrier Reef.","container-title":"Proceedings of the 2005 Australasian Conference on Robotics and Automation","event-place":"Sydney","event-title":"Australasian Conference on Robotics &amp; Automation","ISBN":"978-0-9587583-7-6","language":"en","license":"Copyright 2005 [please consult the authors]","page":"1-8","publisher":"Australian Robotics and Automation Association Inc","publisher-place":"Sydney","source":"eprints.qut.edu.au","title":"Toward robust image detection of crown-of-thorns starfish for autonomous population monitoring","URL":"http://www.araa.asn.au/acra/acra2005/papers/clement.pdf","author":[{"family":"Clement","given":"Ryan"},{"family":"Dunbabin","given":"Matthew"},{"family":"Wyeth","given":"Gordon"}],"editor":[{"family":"Sammut","given":"Claude"}],"accessed":{"date-parts":[["2019",12,9]]},"issued":{"date-parts":[["2005"]]}}},{"id":16798,"uris":["http://zotero.org/groups/2352922/items/35WUEQ3G"],"itemData":{"id":16798,"type":"paper-conference","abstract":"This paper presents a novel vision-based underwater robotic system for the identification and control of Crown- Of-Thorns starfish (COTS) in coral reef environments. COTS have been identified as one of the most significant threats to Australia's Great Barrier Reef. These starfish literally eat coral, impacting large areas of reef and the marine ecosystem that depends on it. Evidence has suggested that land-based nutrient runoff has accelerated recent outbreaks of COTS requiring extensive use of divers to manually inject biological agents into the starfish in an attempt to control population numbers. Facilitating this control program using robotics is the goal of our research. In this paper we introduce a vision-based COTS detection and tracking system based on a Random Forest Classifier (RFC) trained on images from underwater footage. To track COTS with a moving camera, we embed the RFC in a particle filter detector and tracker where the predicted class probability of the RFC is used as an observation probability to weight the particles, and we use a sparse optical flow estimation for the prediction step of the filter. The system is experimentally evaluated in a realistic laboratory setup using a robotic arm that moves a camera at different speeds and heights over a range of real-size images of COTS in a reef environment.","container-title":"2015 IEEE/RSJ International Conference on Intelligent Robots and Systems (IROS)","DOI":"10.1109/IROS.2015.7353629","event-place":"United States of America","event-title":"2015 IEEE/RSJ International Conference on Intelligent Robots and Systems (IROS)","note":"ISSN: null","page":"1921-1928","publisher":"Institute of Electrical and Electronics Engineers (IEEE)","publisher-place":"United States of America","source":"IEEE Xplore","title":"Robotic detection and tracking of Crown-of-Thorns starfish","author":[{"family":"Dayoub","given":"Feras"},{"family":"Dunbabin","given":"Matthew"},{"family":"Corke","given":"Peter"}],"issued":{"date-parts":[["2015",9]]}}}],"schema":"https://github.com/citation-style-language/schema/raw/master/csl-citation.json"} </w:instrText>
      </w:r>
      <w:r w:rsidRPr="00837161">
        <w:fldChar w:fldCharType="separate"/>
      </w:r>
      <w:r w:rsidR="00271B78" w:rsidRPr="00271B78">
        <w:t>(Clement et al., 2005; Dayoub et al., 2015)</w:t>
      </w:r>
      <w:r w:rsidRPr="00837161">
        <w:fldChar w:fldCharType="end"/>
      </w:r>
      <w:r w:rsidR="003250A1" w:rsidRPr="00837161">
        <w:t xml:space="preserve"> and similar technology </w:t>
      </w:r>
      <w:r w:rsidR="005A32F5" w:rsidRPr="00837161">
        <w:t>is being a</w:t>
      </w:r>
      <w:r w:rsidR="003250A1" w:rsidRPr="00837161">
        <w:t xml:space="preserve">pplied to </w:t>
      </w:r>
      <w:r w:rsidR="005A32F5" w:rsidRPr="00837161">
        <w:t xml:space="preserve">address </w:t>
      </w:r>
      <w:r w:rsidR="003250A1" w:rsidRPr="00837161">
        <w:t>vessel in-water biofou</w:t>
      </w:r>
      <w:r w:rsidR="005A32F5" w:rsidRPr="00837161">
        <w:t xml:space="preserve">ling </w:t>
      </w:r>
      <w:r w:rsidR="006669DA" w:rsidRPr="00837161">
        <w:fldChar w:fldCharType="begin"/>
      </w:r>
      <w:r w:rsidR="000F35EB">
        <w:instrText xml:space="preserve"> ADDIN ZOTERO_ITEM CSL_CITATION {"citationID":"CSy0CbPE","properties":{"formattedCitation":"(Scianni &amp; Georgiades, 2019; Tamburri et al., 2020)","plainCitation":"(Scianni &amp; Georgiades, 2019; Tamburri et al., 2020)","noteIndex":0},"citationItems":[{"id":17467,"uris":["http://zotero.org/groups/2352922/items/Y4UH9DJR"],"itemData":{"id":17467,"type":"article-journal","abstract":"The accumulation of aquatic organisms on the wetted surfaces of vessels (i.e., vessel biofouling) negatively impacts world-wide shipping through reductions in vessel performance and fuel efﬁciency, and increases in emissions. Vessel biofouling is also a potent mechanism for the introduction and spread of marine non-indigenous species. Guidance and regulations from the International Maritime Organization, New Zealand, and California have recently been adopted to address biosecurity risks, primarily through preventive management. However, appropriate reactive management measures may be necessary for some vessels. Vessel in-water cleaning or treatment (VICT) has been identiﬁed as an important tool to improve operating efﬁciency and to reduce biosecurity risks. VICT can be applied proactively [i.e., to prevent the occurrence of, or to remove, microfouling (i.e., slime) or prevent the occurrence of macrofouling organisms –large, distinct multicellular organisms visible to the human eye], or reactively (i.e., to remove macrofouling organisms). However, unmanaged VICT includes its own set of biosecurity and water quality risks. Regulatory policies and technical advice from California and New Zealand have been developed to manage these risks, but there are still knowledge gaps related to the efﬁcacy of available technologies. Research efforts are underway to address these gaps in order to inform the regulatory and non-regulatory application of VICT.","container-title":"Frontiers in Marine Science","DOI":"10.3389/fmars.2019.00467","ISSN":"2296-7745","journalAbbreviation":"Front. Mar. Sci.","language":"en","page":"467","source":"DOI.org (Crossref)","title":"Vessel In-Water Cleaning or Treatment: Identification of Environmental Risks and Science Needs for Evidence-Based Decision Making","title-short":"Vessel In-Water Cleaning or Treatment","URL":"https://www.frontiersin.org/article/10.3389/fmars.2019.00467/full","volume":"6","author":[{"family":"Scianni","given":"Chris"},{"family":"Georgiades","given":"Eugene"}],"accessed":{"date-parts":[["2019",11,25]]},"issued":{"date-parts":[["2019",7,26]]}},"label":"page"},{"id":11556,"uris":["http://zotero.org/groups/2352922/items/GZENKAEX"],"itemData":{"id":11556,"type":"article-journal","abstract":"Biofouling is a long-standing challenge for ships because it can interfere with operations and increases vessel drag, fuel consumption and exhaust emissions. More recently, ship biofouling has also been recognized as a leading vector for global transfers and introductions of marine non-indigenous species. Ship in-water cleaning and capture (IWCC) systems, to remove and collect macrofouling organisms and associated antifouling coating compounds, are now becoming available as a possible solution to both problems. However, independent and rigorous evaluations of IWCC efﬁcacy and environmental safety are needed to facilitate technology maturation, support vessel operator biofouling management decisions, aid IWCC approvals and permitting, and inform future biosecurity regulations. We developed a formal protocol for evaluating an IWCC system, on two ships with varying biofouling levels and under different environmental conditions, to quantify biofouling removal and capture efﬁcacy as well as impacts on water quality. The IWCC system reduced hull biofouling by 82–94%. Concentrations of dissolved and particulate Cu and Zn in efﬂuent from the IWCC onshore processing varied by orders of magnitude between trials, in one case greatly exceeding water quality standards. Our results demonstrate that rigorous, quantitative assessments of IWCC system performance are possible, even under challenging conditions. This initial evaluation also identiﬁes the major factors that impact performance of in-water cleaning, and key needs for future research to consider in advancing standardized testing and independent evaluations needed for all in-water cleaning systems.","container-title":"Frontiers in Marine Science","DOI":"10.3389/fmars.2020.00437","ISSN":"2296-7745","journalAbbreviation":"Front. Mar. Sci.","language":"en","page":"437","source":"DOI.org (Crossref)","title":"In-Water Cleaning and Capture to Remove Ship Biofouling: An Initial Evaluation of Efficacy and Environmental Safety","title-short":"In-Water Cleaning and Capture to Remove Ship Biofouling","URL":"https://www.frontiersin.org/article/10.3389/fmars.2020.00437/full","volume":"7","author":[{"family":"Tamburri","given":"Mario N."},{"family":"Davidson","given":"Ian C."},{"family":"First","given":"Matthew R."},{"family":"Scianni","given":"Christopher"},{"family":"Newcomer","given":"Katherine"},{"family":"Inglis","given":"Graeme J."},{"family":"Georgiades","given":"Eugene T."},{"family":"Barnes","given":"Janet M."},{"family":"Ruiz","given":"Gregory M."}],"accessed":{"date-parts":[["2020",7,31]]},"issued":{"date-parts":[["2020",6,17]]}},"label":"page"}],"schema":"https://github.com/citation-style-language/schema/raw/master/csl-citation.json"} </w:instrText>
      </w:r>
      <w:r w:rsidR="006669DA" w:rsidRPr="00837161">
        <w:fldChar w:fldCharType="separate"/>
      </w:r>
      <w:r w:rsidR="00271B78" w:rsidRPr="00271B78">
        <w:t>(Scianni &amp; Georgiades, 2019; Tamburri et al., 2020)</w:t>
      </w:r>
      <w:r w:rsidR="006669DA" w:rsidRPr="00837161">
        <w:fldChar w:fldCharType="end"/>
      </w:r>
    </w:p>
    <w:p w14:paraId="2BF3C29E" w14:textId="55898EEF" w:rsidR="002D4D8B" w:rsidRPr="00837161" w:rsidRDefault="001B0409" w:rsidP="00C11DFA">
      <w:pPr>
        <w:spacing w:before="240" w:after="120" w:line="240" w:lineRule="auto"/>
      </w:pPr>
      <w:r w:rsidRPr="00837161">
        <w:t>The robotic control of unmanned vehicles can be customi</w:t>
      </w:r>
      <w:r w:rsidR="00814B7A" w:rsidRPr="00837161">
        <w:t>z</w:t>
      </w:r>
      <w:r w:rsidRPr="00837161">
        <w:t>ed to each new application, meaning that each functional system has a high level of invasive alien species target specificity. Systems exist that either recogni</w:t>
      </w:r>
      <w:r w:rsidR="00814B7A" w:rsidRPr="00837161">
        <w:t>z</w:t>
      </w:r>
      <w:r w:rsidRPr="00837161">
        <w:t xml:space="preserve">e the crop and treat all other green material or have learnt to identify specific invasive alien species </w:t>
      </w:r>
      <w:r w:rsidRPr="00837161">
        <w:fldChar w:fldCharType="begin"/>
      </w:r>
      <w:r w:rsidR="000F35EB">
        <w:instrText xml:space="preserve"> ADDIN ZOTERO_ITEM CSL_CITATION {"citationID":"fa333XnO","properties":{"formattedCitation":"(Bawden et al., 2017)","plainCitation":"(Bawden et al., 2017)","noteIndex":0},"citationItems":[{"id":10924,"uris":["http://zotero.org/groups/2352922/items/ZVCDRVZJ"],"itemData":{"id":10924,"type":"article-journal","container-title":"Journal of Field Robotics","DOI":"10.1002/rob.21727","ISSN":"15564959","issue":"6","journalAbbreviation":"J. Field Robotics","language":"en","page":"1179-1199","source":"DOI.org (Crossref)","title":"Robot for weed species plant-specific management","title-short":"Robot for weed species plant-specific management","URL":"http://doi.wiley.com/10.1002/rob.21727","volume":"34","author":[{"family":"Bawden","given":"Owen"},{"family":"Kulk","given":"Jason"},{"family":"Russell","given":"Ray"},{"family":"McCool","given":"Chris"},{"family":"English","given":"Andrew"},{"family":"Dayoub","given":"Feras"},{"family":"Lehnert","given":"Chris"},{"family":"Perez","given":"Tristan"}],"accessed":{"date-parts":[["2020",8,17]]},"issued":{"date-parts":[["2017",9]]}},"label":"page"}],"schema":"https://github.com/citation-style-language/schema/raw/master/csl-citation.json"} </w:instrText>
      </w:r>
      <w:r w:rsidRPr="00837161">
        <w:fldChar w:fldCharType="separate"/>
      </w:r>
      <w:r w:rsidR="00271B78" w:rsidRPr="00271B78">
        <w:t>(Bawden et al., 2017)</w:t>
      </w:r>
      <w:r w:rsidRPr="00837161">
        <w:fldChar w:fldCharType="end"/>
      </w:r>
      <w:r w:rsidRPr="00837161">
        <w:t xml:space="preserve">. For example, robotic technologies are </w:t>
      </w:r>
      <w:r w:rsidR="00DF6444" w:rsidRPr="00837161">
        <w:t>starting to be</w:t>
      </w:r>
      <w:r w:rsidRPr="00837161">
        <w:t xml:space="preserve"> used for weed treatments in crops, pastures and national parks</w:t>
      </w:r>
      <w:r w:rsidR="00EC7FC4" w:rsidRPr="00837161">
        <w:t xml:space="preserve"> </w:t>
      </w:r>
      <w:r w:rsidR="008F44BD" w:rsidRPr="00837161">
        <w:t>(</w:t>
      </w:r>
      <w:r w:rsidRPr="00837161">
        <w:fldChar w:fldCharType="begin"/>
      </w:r>
      <w:r w:rsidR="000F35EB">
        <w:instrText xml:space="preserve"> ADDIN ZOTERO_ITEM CSL_CITATION {"citationID":"JGCZ99uS","properties":{"formattedCitation":"(Olsen et al., 2019; Westwood et al., 2018)","plainCitation":"(Olsen et al., 2019; Westwood et al., 2018)","dontUpdate":true,"noteIndex":0},"citationItems":[{"id":31074,"uris":["http://zotero.org/groups/2352922/items/LYNYH4YB"],"itemData":{"id":31074,"type":"article-journal","abstract":"Robotic weed control has seen increased research of late with its potential for boosting productivity in agriculture. Majority of works focus on developing robotics for croplands, ignoring the weed management problems facing rangeland stock farmers. Perhaps the greatest obstacle to widespread uptake of robotic weed control is the robust classification of weed species in their natural environment. The unparalleled successes of deep learning make it an ideal candidate for recognising various weed species in the complex rangeland environment. This work contributes the first large, public, multiclass image dataset of weed species from the Australian rangelands; allowing for the development of robust classification methods to make robotic weed control viable. The DeepWeeds dataset consists of 17,509 labelled images of eight nationally significant weed species native to eight locations across northern Australia. This paper presents a baseline for classification performance on the dataset using the benchmark deep learning models, Inception-v3 and ResNet-50. These models achieved an average classification accuracy of 95.1% and 95.7%, respectively. We also demonstrate real time performance of the ResNet-50 architecture, with an average inference time of 53.4 ms per image. These strong results bode well for future field implementation of robotic weed control methods in the Australian rangelands.","container-title":"Scientific Reports","DOI":"10.1038/s41598-018-38343-3","ISSN":"2045-2322","issue":"1","journalAbbreviation":"Sci Rep","language":"en","license":"2019 The Author(s)","note":"Bandiera_abtest: a\nCc_license_type: cc_by\nCg_type: Nature Research Journals\nnumber: 1\nPrimary_atype: Research\npublisher: Nature Publishing Group\nSubject_term: Classification and taxonomy;Electrical and electronic engineering;Environmental impact;Image processing;Machine learning\nSubject_term_id: classification-and-taxonomy;electrical-and-electronic-engineering;environmental-impact;image-processing;machine-learning","page":"2058","source":"www.nature.com","title":"DeepWeeds: A Multiclass Weed Species Image Dataset for Deep Learning","title-short":"DeepWeeds","URL":"https://www.nature.com/articles/s41598-018-38343-3","volume":"9","author":[{"family":"Olsen","given":"Alex"},{"family":"Konovalov","given":"Dmitry A."},{"family":"Philippa","given":"Bronson"},{"family":"Ridd","given":"Peter"},{"family":"Wood","given":"Jake C."},{"family":"Johns","given":"Jamie"},{"family":"Banks","given":"Wesley"},{"family":"Girgenti","given":"Benjamin"},{"family":"Kenny","given":"Owen"},{"family":"Whinney","given":"James"},{"family":"Calvert","given":"Brendan"},{"family":"Azghadi","given":"Mostafa Rahimi"},{"family":"White","given":"Ronald D."}],"accessed":{"date-parts":[["2021",10,31]]},"issued":{"date-parts":[["2019",2,14]]}},"label":"page"},{"id":31075,"uris":["http://zotero.org/groups/2352922/items/IYNTGLAW"],"itemData":{"id":31075,"type":"article-journal","abstract":"The discipline of weed science is at a critical juncture. Decades of efficient chemical weed control have led to a rise in the number of herbicide-resistant weed populations, with few new herbicides with unique modes of action to counter this trend and often no economical alternatives to herbicides in large-acreage crops. At the same time, the world population is swelling, necessitating increased food production to feed an anticipated 9 billion people by the year 2050. Here, we consider these challenges along with emerging trends in technology and innovation that offer hope of providing sustainable weed management into the future. The emergence of natural product leads in discovery of new herbicides and biopesticides suggests that new modes of action can be discovered, while genetic engineering provides additional options for manipulating herbicide selectivity and creating entirely novel approaches to weed management. Advances in understanding plant pathogen interactions will contribute to developing new biological control agents, and insights into plant–plant interactions suggest that crops can be improved by manipulating their response to competition. Revolutions in computing power and automation have led to a nascent industry built on using machine vision and global positioning system information to distinguish weeds from crops and deliver precision weed control. These technologies open multiple possibilities for efficient weed management, whether through chemical or mechanical mechanisms. Information is also needed by growers to make good decisions, and will be delivered with unprecedented efficiency and specificity, potentially revolutionizing aspects of extension work. We consider that meeting the weed management needs of agriculture by 2050 and beyond is a challenge that requires commitment by funding agencies, researchers, and students to translate new technologies into durable weed management solutions. Integrating old and new weed management technologies into more diverse weed management systems based on a better understanding of weed biology and ecology can provide integrated weed management and resistance management strategies that will be more sustainable than the technologies that are now failing.","container-title":"Weed Science","DOI":"10.1017/wsc.2017.78","ISSN":"1550-2759","issue":"3","journalAbbreviation":"Weed Sci","language":"en","page":"275-285","source":"DOI.org (Crossref)","title":"Weed Management in 2050: Perspectives on the Future of Weed Science","title-short":"Weed Management in 2050","URL":"https://www.cambridge.org/core/product/identifier/S0043174517000789/type/journal_article","volume":"66","author":[{"family":"Westwood","given":"James H."},{"family":"Charudattan","given":"Raghavan"},{"family":"Duke","given":"Stephen O."},{"family":"Fennimore","given":"Steven A."},{"family":"Marrone","given":"Pam"},{"family":"Slaughter","given":"David C."},{"family":"Swanton","given":"Clarence"},{"family":"Zollinger","given":"Richard"}],"accessed":{"date-parts":[["2021",10,31]]},"issued":{"date-parts":[["2018",5]]}},"label":"page"}],"schema":"https://github.com/citation-style-language/schema/raw/master/csl-citation.json"} </w:instrText>
      </w:r>
      <w:r w:rsidRPr="00837161">
        <w:fldChar w:fldCharType="separate"/>
      </w:r>
      <w:r w:rsidR="006669DA" w:rsidRPr="00837161">
        <w:t>Olsen et al., 2019; Westwood et al., 2018)</w:t>
      </w:r>
      <w:r w:rsidRPr="00837161">
        <w:fldChar w:fldCharType="end"/>
      </w:r>
      <w:r w:rsidRPr="00837161">
        <w:t xml:space="preserve">. Robotic systems for weed management have also been applied against </w:t>
      </w:r>
      <w:r w:rsidR="00BF1F25" w:rsidRPr="00837161">
        <w:rPr>
          <w:i/>
          <w:iCs/>
        </w:rPr>
        <w:t>Vachellia nilotica</w:t>
      </w:r>
      <w:r w:rsidR="00BF1F25" w:rsidRPr="00837161">
        <w:t xml:space="preserve"> (gum arabic tree)</w:t>
      </w:r>
      <w:r w:rsidRPr="00837161">
        <w:t xml:space="preserve"> in savannas (</w:t>
      </w:r>
      <w:r w:rsidRPr="00F618D4">
        <w:rPr>
          <w:b/>
          <w:iCs/>
        </w:rPr>
        <w:t>B</w:t>
      </w:r>
      <w:r w:rsidR="002D4D8B" w:rsidRPr="00F618D4">
        <w:rPr>
          <w:b/>
          <w:iCs/>
        </w:rPr>
        <w:t>ox 5.12</w:t>
      </w:r>
      <w:r w:rsidRPr="00837161">
        <w:t>)</w:t>
      </w:r>
      <w:r w:rsidR="00444686" w:rsidRPr="00837161">
        <w:t xml:space="preserve"> and</w:t>
      </w:r>
      <w:r w:rsidRPr="00837161">
        <w:t xml:space="preserve"> alligator weed in rivers </w:t>
      </w:r>
      <w:r w:rsidRPr="00837161">
        <w:fldChar w:fldCharType="begin"/>
      </w:r>
      <w:r w:rsidR="000F35EB">
        <w:instrText xml:space="preserve"> ADDIN ZOTERO_ITEM CSL_CITATION {"citationID":"MGA4bl3E","properties":{"formattedCitation":"(G\\uc0\\u246{}kto\\uc0\\u487{}an et al., 2010)","plainCitation":"(Göktoǧan et al., 2010)","noteIndex":0},"citationItems":[{"id":11323,"uris":["http://zotero.org/groups/2352922/items/Y6CMD4FG"],"itemData":{"id":11323,"type":"article-journal","abstract":"This paper addresses the novel application of an autonomous rotary-wing unmanned air vehicle (RUAV) as a cost-effective tool for the surveillance and management of aquatic weeds. A conservative estimate of the annual loss of agricultural revenue to the Australian economy due to weeds is in the order of A$4 billion, hence the reason why weed control is of national significance. The presented system locates and identifies weeds in inaccessible locations. The RUAV is equipped with low-cost sensor suites and various weed detection algorithms. In order to provide the weed control operators with the capability of autonomous or remote control spraying and treatment of the aquatic weeds the RUAV is also fitted with a spray mechanism. The system has been demonstrated over inaccessible weed infested aquatic habitats.","container-title":"Journal of Intelligent and Robotic Systems","DOI":"10.1007/s10846-009-9371-5","ISSN":"1573-0409","issue":"1","journalAbbreviation":"J Intell Robot Syst","language":"en","page":"467–484","source":"Springer Link","title":"A Rotary-wing Unmanned Air Vehicle for Aquatic Weed Surveillance and Management","URL":"https://doi.org/10.1007/s10846-009-9371-5","volume":"57","author":[{"family":"Göktoǧan","given":"Ali Haydar"},{"family":"Sukkarieh","given":"Salah"},{"family":"Bryson","given":"Mitch"},{"family":"Randle","given":"Jeremy"},{"family":"Lupton","given":"Todd"},{"family":"Hung","given":"Calvin"}],"accessed":{"date-parts":[["2019",12,9]]},"issued":{"date-parts":[["2010"]]}},"label":"page"}],"schema":"https://github.com/citation-style-language/schema/raw/master/csl-citation.json"} </w:instrText>
      </w:r>
      <w:r w:rsidRPr="00837161">
        <w:fldChar w:fldCharType="separate"/>
      </w:r>
      <w:r w:rsidR="00271B78" w:rsidRPr="00271B78">
        <w:t>(Göktoǧan et al., 2010)</w:t>
      </w:r>
      <w:r w:rsidRPr="00837161">
        <w:fldChar w:fldCharType="end"/>
      </w:r>
      <w:r w:rsidR="00444686" w:rsidRPr="00837161">
        <w:t>.</w:t>
      </w:r>
    </w:p>
    <w:p w14:paraId="000002F4" w14:textId="08C7ECF4" w:rsidR="00A758FD" w:rsidRPr="00AC1F76" w:rsidRDefault="002D4D8B" w:rsidP="00AC1F76">
      <w:pPr>
        <w:keepNext/>
        <w:pBdr>
          <w:top w:val="single" w:sz="4" w:space="1" w:color="auto"/>
          <w:left w:val="single" w:sz="4" w:space="1" w:color="auto"/>
          <w:bottom w:val="single" w:sz="4" w:space="1" w:color="auto"/>
          <w:right w:val="single" w:sz="4" w:space="1" w:color="auto"/>
          <w:between w:val="nil"/>
        </w:pBdr>
        <w:shd w:val="clear" w:color="auto" w:fill="E7E6E6" w:themeFill="background2"/>
        <w:spacing w:before="240" w:after="120" w:line="240" w:lineRule="auto"/>
        <w:rPr>
          <w:color w:val="000000"/>
        </w:rPr>
      </w:pPr>
      <w:bookmarkStart w:id="387" w:name="_Toc80708186"/>
      <w:bookmarkStart w:id="388" w:name="_Toc87623072"/>
      <w:bookmarkStart w:id="389" w:name="_Toc147488947"/>
      <w:r w:rsidRPr="0079215C">
        <w:rPr>
          <w:b/>
          <w:bCs/>
        </w:rPr>
        <w:lastRenderedPageBreak/>
        <w:t>Box 5.</w:t>
      </w:r>
      <w:r w:rsidRPr="0079215C">
        <w:rPr>
          <w:b/>
          <w:bCs/>
        </w:rPr>
        <w:fldChar w:fldCharType="begin"/>
      </w:r>
      <w:r w:rsidRPr="0079215C">
        <w:rPr>
          <w:b/>
          <w:bCs/>
        </w:rPr>
        <w:instrText>SEQ Box_5. \* ARABIC</w:instrText>
      </w:r>
      <w:r w:rsidRPr="0079215C">
        <w:rPr>
          <w:b/>
          <w:bCs/>
        </w:rPr>
        <w:fldChar w:fldCharType="separate"/>
      </w:r>
      <w:r w:rsidR="00DC77F8" w:rsidRPr="0079215C">
        <w:rPr>
          <w:b/>
          <w:bCs/>
          <w:noProof/>
        </w:rPr>
        <w:t>12</w:t>
      </w:r>
      <w:r w:rsidRPr="0079215C">
        <w:rPr>
          <w:b/>
          <w:bCs/>
        </w:rPr>
        <w:fldChar w:fldCharType="end"/>
      </w:r>
      <w:r w:rsidR="006C18D2" w:rsidRPr="0079215C">
        <w:rPr>
          <w:b/>
          <w:bCs/>
        </w:rPr>
        <w:t>.</w:t>
      </w:r>
      <w:bookmarkStart w:id="390" w:name="_heading=h.2ce457m" w:colFirst="0" w:colLast="0"/>
      <w:bookmarkStart w:id="391" w:name="_heading=h.rjefff" w:colFirst="0" w:colLast="0"/>
      <w:bookmarkStart w:id="392" w:name="_heading=h.3bj1y38" w:colFirst="0" w:colLast="0"/>
      <w:bookmarkEnd w:id="390"/>
      <w:bookmarkEnd w:id="391"/>
      <w:bookmarkEnd w:id="392"/>
      <w:r w:rsidR="0079215C">
        <w:t xml:space="preserve"> </w:t>
      </w:r>
      <w:r w:rsidR="00C81287" w:rsidRPr="00AC1F76">
        <w:rPr>
          <w:b/>
          <w:color w:val="000000"/>
        </w:rPr>
        <w:t xml:space="preserve">Case study: Management of </w:t>
      </w:r>
      <w:r w:rsidR="00C81287" w:rsidRPr="00AC1F76">
        <w:rPr>
          <w:b/>
          <w:i/>
          <w:color w:val="000000"/>
        </w:rPr>
        <w:t>Vachellia nilotica</w:t>
      </w:r>
      <w:r w:rsidR="00C81287" w:rsidRPr="00AC1F76">
        <w:rPr>
          <w:b/>
          <w:color w:val="000000"/>
        </w:rPr>
        <w:t xml:space="preserve"> (gum arabic tree) with robotic technology in Australia</w:t>
      </w:r>
      <w:bookmarkEnd w:id="387"/>
      <w:bookmarkEnd w:id="388"/>
      <w:bookmarkEnd w:id="389"/>
    </w:p>
    <w:p w14:paraId="5DC4623B" w14:textId="1D47DC88" w:rsidR="00AD7421" w:rsidRPr="00837161" w:rsidRDefault="00C81287" w:rsidP="0079215C">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C0338D">
        <w:t xml:space="preserve">In management trials in Australia’s Desert Channels region of western Queensland, unmanned ground-based vehicles were deployed for low density infestations of </w:t>
      </w:r>
      <w:r w:rsidRPr="00C0338D">
        <w:rPr>
          <w:i/>
        </w:rPr>
        <w:t>Vachellia nilotica</w:t>
      </w:r>
      <w:r w:rsidRPr="00C0338D">
        <w:t xml:space="preserve"> (</w:t>
      </w:r>
      <w:r w:rsidR="00434FC0" w:rsidRPr="00434FC0">
        <w:rPr>
          <w:b/>
          <w:bCs/>
        </w:rPr>
        <w:t>Figure</w:t>
      </w:r>
      <w:r w:rsidRPr="00C0338D">
        <w:rPr>
          <w:b/>
        </w:rPr>
        <w:t xml:space="preserve"> 5.17</w:t>
      </w:r>
      <w:r w:rsidRPr="00C0338D">
        <w:t xml:space="preserve">) whereas for poor access infestations, autonomous unmanned aerial systems were deployed for both foliar and granular herbicide applications. Autonomous unmanned ground-based vehicles </w:t>
      </w:r>
      <w:r w:rsidR="001D58C7">
        <w:t>were</w:t>
      </w:r>
      <w:r w:rsidR="001D58C7" w:rsidRPr="00C0338D">
        <w:t xml:space="preserve"> </w:t>
      </w:r>
      <w:r w:rsidRPr="00C0338D">
        <w:t xml:space="preserve">used for spraying of low-density </w:t>
      </w:r>
      <w:r w:rsidRPr="00C0338D">
        <w:rPr>
          <w:i/>
        </w:rPr>
        <w:t xml:space="preserve">Vachellia nilotica </w:t>
      </w:r>
      <w:r w:rsidRPr="00C0338D">
        <w:t>infestations or configured specifically for spraying over dense stands in open habitats and desert channels. This can increase precision, especially for areas requiring flight beyond visual line-of-sight, reducing both the costs and amount of herbicide</w:t>
      </w:r>
      <w:r w:rsidR="00C16EEB">
        <w:t>, and</w:t>
      </w:r>
      <w:r w:rsidRPr="00C0338D">
        <w:t xml:space="preserve"> so the non-target impacts. </w:t>
      </w:r>
      <w:r w:rsidR="127C8D6D" w:rsidRPr="00837161">
        <w:t>S</w:t>
      </w:r>
      <w:r w:rsidR="127C8D6D" w:rsidRPr="00837161">
        <w:rPr>
          <w:rFonts w:eastAsia="Calibri"/>
        </w:rPr>
        <w:t xml:space="preserve">till the development costs are extremely high </w:t>
      </w:r>
      <w:r w:rsidR="001B0409" w:rsidRPr="00837161">
        <w:rPr>
          <w:rFonts w:eastAsia="Calibri"/>
          <w:color w:val="FF0000"/>
        </w:rPr>
        <w:fldChar w:fldCharType="begin"/>
      </w:r>
      <w:r w:rsidR="000F35EB">
        <w:rPr>
          <w:rFonts w:eastAsia="Calibri"/>
          <w:color w:val="FF0000"/>
        </w:rPr>
        <w:instrText xml:space="preserve"> ADDIN ZOTERO_ITEM CSL_CITATION {"citationID":"p1BB7pCF","properties":{"formattedCitation":"(Carwardine et al., 2016)","plainCitation":"(Carwardine et al., 2016)","noteIndex":0},"citationItems":[{"id":25149,"uris":["http://zotero.org/groups/2352922/items/RYRBY8U4"],"itemData":{"id":25149,"type":"report","event-place":"Canberra","language":"en","note":"csiro:EP164439","page":"26","publisher":"CSIRO","publisher-place":"Canberra","source":"Zotero","title":"Scoping study final report on the viability of robotics for the widespread management of prickly acacia","URL":"http://hdl.handle.net/102.100.100/90148?index=1","author":[{"family":"Carwardine","given":"Josie"},{"family":"Kottege","given":"Navinda"},{"family":"Borges","given":"Paulo"},{"family":"Nicol","given":"Sam"},{"family":"Merz","given":"Torsten"},{"family":"Bandyopadhyay","given":"Tirthankar"},{"family":"Sheppard","given":"Andy"}],"issued":{"date-parts":[["2016",6,30]]}},"label":"page"}],"schema":"https://github.com/citation-style-language/schema/raw/master/csl-citation.json"} </w:instrText>
      </w:r>
      <w:r w:rsidR="001B0409" w:rsidRPr="00837161">
        <w:rPr>
          <w:rFonts w:eastAsia="Calibri"/>
          <w:color w:val="FF0000"/>
        </w:rPr>
        <w:fldChar w:fldCharType="separate"/>
      </w:r>
      <w:r w:rsidR="00271B78" w:rsidRPr="00271B78">
        <w:t>(Carwardine et al., 2016)</w:t>
      </w:r>
      <w:r w:rsidR="001B0409" w:rsidRPr="00837161">
        <w:rPr>
          <w:rFonts w:eastAsia="Calibri"/>
          <w:color w:val="FF0000"/>
        </w:rPr>
        <w:fldChar w:fldCharType="end"/>
      </w:r>
      <w:r w:rsidR="127C8D6D" w:rsidRPr="00837161">
        <w:rPr>
          <w:rFonts w:eastAsia="Calibri"/>
        </w:rPr>
        <w:t>.</w:t>
      </w:r>
      <w:r w:rsidRPr="00C0338D">
        <w:t xml:space="preserve"> </w:t>
      </w:r>
    </w:p>
    <w:p w14:paraId="000002F6" w14:textId="77777777" w:rsidR="00A758FD" w:rsidRDefault="00C81287" w:rsidP="0079215C">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jc w:val="center"/>
      </w:pPr>
      <w:r>
        <w:rPr>
          <w:noProof/>
        </w:rPr>
        <w:drawing>
          <wp:inline distT="0" distB="0" distL="0" distR="0" wp14:anchorId="13DF4DB1" wp14:editId="78B441E9">
            <wp:extent cx="6115050" cy="3193415"/>
            <wp:effectExtent l="0" t="0" r="0" b="0"/>
            <wp:docPr id="1971555475" name="image20.png" descr="Close-up of a yellow flow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0.png" descr="Close-up of a yellow flower&#10;&#10;Description automatically generated"/>
                    <pic:cNvPicPr preferRelativeResize="0"/>
                  </pic:nvPicPr>
                  <pic:blipFill>
                    <a:blip r:embed="rId99"/>
                    <a:srcRect/>
                    <a:stretch>
                      <a:fillRect/>
                    </a:stretch>
                  </pic:blipFill>
                  <pic:spPr>
                    <a:xfrm>
                      <a:off x="0" y="0"/>
                      <a:ext cx="6115050" cy="3193415"/>
                    </a:xfrm>
                    <a:prstGeom prst="rect">
                      <a:avLst/>
                    </a:prstGeom>
                    <a:ln/>
                  </pic:spPr>
                </pic:pic>
              </a:graphicData>
            </a:graphic>
          </wp:inline>
        </w:drawing>
      </w:r>
    </w:p>
    <w:p w14:paraId="000002F7" w14:textId="68E6D893" w:rsidR="00A758FD" w:rsidRPr="0079215C" w:rsidRDefault="00C81287" w:rsidP="0079215C">
      <w:pPr>
        <w:pStyle w:val="Caption"/>
        <w:pBdr>
          <w:top w:val="single" w:sz="4" w:space="1" w:color="auto"/>
          <w:left w:val="single" w:sz="4" w:space="1" w:color="auto"/>
          <w:bottom w:val="single" w:sz="4" w:space="1" w:color="auto"/>
          <w:right w:val="single" w:sz="4" w:space="1" w:color="auto"/>
        </w:pBdr>
        <w:shd w:val="clear" w:color="auto" w:fill="E7E6E6" w:themeFill="background2"/>
        <w:rPr>
          <w:i/>
          <w:color w:val="000000"/>
        </w:rPr>
      </w:pPr>
      <w:bookmarkStart w:id="393" w:name="_heading=h.1qoc8b1" w:colFirst="0" w:colLast="0"/>
      <w:bookmarkStart w:id="394" w:name="_Ref112928898"/>
      <w:bookmarkStart w:id="395" w:name="_Ref131083694"/>
      <w:bookmarkStart w:id="396" w:name="_Toc147489370"/>
      <w:bookmarkEnd w:id="393"/>
      <w:r w:rsidRPr="0079215C">
        <w:rPr>
          <w:lang w:val="en-GB"/>
        </w:rPr>
        <w:t>Figure 5</w:t>
      </w:r>
      <w:r w:rsidR="000F7A21" w:rsidRPr="00837161">
        <w:rPr>
          <w:lang w:val="en-GB"/>
        </w:rPr>
        <w:t>.</w:t>
      </w:r>
      <w:r w:rsidR="000F7A21" w:rsidRPr="00837161">
        <w:rPr>
          <w:lang w:val="en-GB"/>
        </w:rPr>
        <w:fldChar w:fldCharType="begin"/>
      </w:r>
      <w:r w:rsidR="000F7A21" w:rsidRPr="00837161">
        <w:rPr>
          <w:lang w:val="en-GB"/>
        </w:rPr>
        <w:instrText xml:space="preserve"> SEQ Figure_5. \* ARABIC </w:instrText>
      </w:r>
      <w:r w:rsidR="000F7A21" w:rsidRPr="00837161">
        <w:rPr>
          <w:lang w:val="en-GB"/>
        </w:rPr>
        <w:fldChar w:fldCharType="separate"/>
      </w:r>
      <w:r w:rsidR="00DC77F8">
        <w:rPr>
          <w:noProof/>
          <w:lang w:val="en-GB"/>
        </w:rPr>
        <w:t>17</w:t>
      </w:r>
      <w:r w:rsidR="000F7A21" w:rsidRPr="00837161">
        <w:rPr>
          <w:lang w:val="en-GB"/>
        </w:rPr>
        <w:fldChar w:fldCharType="end"/>
      </w:r>
      <w:r w:rsidR="00F84FCF" w:rsidRPr="00837161">
        <w:rPr>
          <w:lang w:val="en-GB"/>
        </w:rPr>
        <w:t>.</w:t>
      </w:r>
      <w:r w:rsidRPr="0079215C">
        <w:rPr>
          <w:b w:val="0"/>
          <w:lang w:val="en-GB"/>
        </w:rPr>
        <w:t xml:space="preserve"> </w:t>
      </w:r>
      <w:r w:rsidRPr="0079215C">
        <w:rPr>
          <w:b w:val="0"/>
          <w:i/>
          <w:lang w:val="en-GB"/>
        </w:rPr>
        <w:t xml:space="preserve">Vachellia </w:t>
      </w:r>
      <w:r w:rsidRPr="0079215C">
        <w:rPr>
          <w:b w:val="0"/>
          <w:bCs w:val="0"/>
          <w:i/>
          <w:color w:val="000000"/>
        </w:rPr>
        <w:t>nilotica</w:t>
      </w:r>
      <w:r w:rsidRPr="0079215C">
        <w:rPr>
          <w:b w:val="0"/>
          <w:bCs w:val="0"/>
          <w:color w:val="000000"/>
        </w:rPr>
        <w:t xml:space="preserve"> (gum arabic tree)</w:t>
      </w:r>
      <w:bookmarkEnd w:id="394"/>
      <w:r w:rsidRPr="0079215C">
        <w:rPr>
          <w:b w:val="0"/>
          <w:bCs w:val="0"/>
          <w:color w:val="000000"/>
        </w:rPr>
        <w:t xml:space="preserve"> invading Australia’s desert channels region of north-eastern Australia.</w:t>
      </w:r>
      <w:bookmarkEnd w:id="395"/>
      <w:r w:rsidRPr="0079215C">
        <w:rPr>
          <w:b w:val="0"/>
          <w:bCs w:val="0"/>
          <w:color w:val="000000"/>
        </w:rPr>
        <w:t xml:space="preserve"> Photo credit: Sahil Ghosh, Adobe Stock – Copyright.</w:t>
      </w:r>
      <w:bookmarkEnd w:id="396"/>
    </w:p>
    <w:p w14:paraId="000002F8" w14:textId="68E41EC7" w:rsidR="00A758FD" w:rsidRPr="00C0338D" w:rsidRDefault="00C81287">
      <w:pPr>
        <w:spacing w:before="240" w:after="120" w:line="240" w:lineRule="auto"/>
      </w:pPr>
      <w:r w:rsidRPr="00C0338D">
        <w:t>Considering system complexity, development costs and sophistication, such technology can only become cost-beneficial and applicable above a certain land value threshold. In the field of marine pest control, the high cost of alternative approaches (including the deployment of divers) may increase the cost</w:t>
      </w:r>
      <w:r w:rsidR="005D7B59">
        <w:t>-</w:t>
      </w:r>
      <w:r w:rsidRPr="00C0338D">
        <w:t xml:space="preserve">effectiveness. The full costs for the development of an automated underwater vehicle with a robotic injection system for controlling the native crown-of-thorns starfish have not yet been accrued </w:t>
      </w:r>
      <w:r w:rsidR="001B0409" w:rsidRPr="00837161">
        <w:rPr>
          <w:lang w:eastAsia="ja-JP"/>
        </w:rPr>
        <w:fldChar w:fldCharType="begin"/>
      </w:r>
      <w:r w:rsidR="000F35EB">
        <w:rPr>
          <w:lang w:eastAsia="ja-JP"/>
        </w:rPr>
        <w:instrText xml:space="preserve"> ADDIN ZOTERO_ITEM CSL_CITATION {"citationID":"L4VU3lFA","properties":{"formattedCitation":"(Dayoub et al., 2015)","plainCitation":"(Dayoub et al., 2015)","noteIndex":0},"citationItems":[{"id":16798,"uris":["http://zotero.org/groups/2352922/items/35WUEQ3G"],"itemData":{"id":16798,"type":"paper-conference","abstract":"This paper presents a novel vision-based underwater robotic system for the identification and control of Crown- Of-Thorns starfish (COTS) in coral reef environments. COTS have been identified as one of the most significant threats to Australia's Great Barrier Reef. These starfish literally eat coral, impacting large areas of reef and the marine ecosystem that depends on it. Evidence has suggested that land-based nutrient runoff has accelerated recent outbreaks of COTS requiring extensive use of divers to manually inject biological agents into the starfish in an attempt to control population numbers. Facilitating this control program using robotics is the goal of our research. In this paper we introduce a vision-based COTS detection and tracking system based on a Random Forest Classifier (RFC) trained on images from underwater footage. To track COTS with a moving camera, we embed the RFC in a particle filter detector and tracker where the predicted class probability of the RFC is used as an observation probability to weight the particles, and we use a sparse optical flow estimation for the prediction step of the filter. The system is experimentally evaluated in a realistic laboratory setup using a robotic arm that moves a camera at different speeds and heights over a range of real-size images of COTS in a reef environment.","container-title":"2015 IEEE/RSJ International Conference on Intelligent Robots and Systems (IROS)","DOI":"10.1109/IROS.2015.7353629","event-place":"United States of America","event-title":"2015 IEEE/RSJ International Conference on Intelligent Robots and Systems (IROS)","note":"ISSN: null","page":"1921-1928","publisher":"Institute of Electrical and Electronics Engineers (IEEE)","publisher-place":"United States of America","source":"IEEE Xplore","title":"Robotic detection and tracking of Crown-of-Thorns starfish","author":[{"family":"Dayoub","given":"Feras"},{"family":"Dunbabin","given":"Matthew"},{"family":"Corke","given":"Peter"}],"issued":{"date-parts":[["2015",9]]}},"label":"page"}],"schema":"https://github.com/citation-style-language/schema/raw/master/csl-citation.json"} </w:instrText>
      </w:r>
      <w:r w:rsidR="001B0409" w:rsidRPr="00837161">
        <w:rPr>
          <w:lang w:eastAsia="ja-JP"/>
        </w:rPr>
        <w:fldChar w:fldCharType="separate"/>
      </w:r>
      <w:r w:rsidR="00271B78" w:rsidRPr="00271B78">
        <w:t>(Dayoub et al., 2015)</w:t>
      </w:r>
      <w:r w:rsidR="001B0409" w:rsidRPr="00837161">
        <w:rPr>
          <w:lang w:eastAsia="ja-JP"/>
        </w:rPr>
        <w:fldChar w:fldCharType="end"/>
      </w:r>
      <w:r w:rsidR="001B0409" w:rsidRPr="00837161">
        <w:rPr>
          <w:lang w:eastAsia="ja-JP"/>
        </w:rPr>
        <w:t>.</w:t>
      </w:r>
    </w:p>
    <w:p w14:paraId="7468A947" w14:textId="43F76B13" w:rsidR="001B0409" w:rsidRPr="00837161" w:rsidRDefault="001B0409" w:rsidP="00C11DFA">
      <w:pPr>
        <w:spacing w:before="240" w:after="120" w:line="240" w:lineRule="auto"/>
        <w:rPr>
          <w:lang w:eastAsia="ja-JP"/>
        </w:rPr>
      </w:pPr>
      <w:r w:rsidRPr="00837161">
        <w:rPr>
          <w:lang w:eastAsia="ja-JP"/>
        </w:rPr>
        <w:t xml:space="preserve">Robotics technology can now be bought off-the-shelf. </w:t>
      </w:r>
      <w:r w:rsidRPr="00837161">
        <w:t xml:space="preserve">While no full setup for particular invasive alien species applications is readily available, many could be adapted, as demonstrated by several proof-of-concept complexity-testing bespoke systems for invasive alien species management </w:t>
      </w:r>
      <w:r w:rsidRPr="00837161">
        <w:fldChar w:fldCharType="begin"/>
      </w:r>
      <w:r w:rsidR="000F35EB">
        <w:instrText xml:space="preserve"> ADDIN ZOTERO_ITEM CSL_CITATION {"citationID":"kjMWJKPS","properties":{"unsorted":true,"formattedCitation":"(Ball et al., 2015; Jurdak et al., 2015; Bawden et al., 2017)","plainCitation":"(Ball et al., 2015; Jurdak et al., 2015; Bawden et al., 2017)","noteIndex":0},"citationItems":[{"id":16800,"uris":["http://zotero.org/groups/2352922/items/9CES9JCC"],"itemData":{"id":16800,"type":"chapter","abstract":"This paper describes the development of small low-cost cooperative robots for sustainable broad-acre agriculture to increase broad-acre crop production and reduce environmental impact. The current focus of the project is to use robotics to deal with resistant weeds, a critical problem for Australian farmers. To keep the overall system affordable our robot uses low-cost cameras and positioning sensors to perform a large scale coverage task while also avoiding obstacles. A multi-robot coordinator assigns parts of a given field to individual robots. The paper describes the modification of an electric vehicle for autonomy and experimental results from one real robot and twelve simulated robots working in coordination for approximately two hours on a 55 hectare field in Emerald Australia. Over this time the real robot ‘sprayed’ 6 hectares missing 2.6% and overlapping 9.7% within its assigned field partition, and successfully avoided three obstacles.","collection-title":"Springer Tracts in Advanced Robotics","container-title":"Field and Service Robotics: Results of the 9th International Conference","event-place":"Cham","ISBN":"978-3-319-07488-7","language":"en","note":"DOI: 10.1007/978-3-319-07488-7_30","page":"439-453","publisher":"Springer International Publishing","publisher-place":"Cham","source":"Springer Link","title":"Robotics for Sustainable Broad-Acre Agriculture","URL":"https://doi.org/10.1007/978-3-319-07488-7_30","volume":"105","author":[{"family":"Ball","given":"David"},{"family":"Ross","given":"Patrick"},{"family":"English","given":"Andrew"},{"family":"Patten","given":"Tim"},{"family":"Upcroft","given":"Ben"},{"family":"Fitch","given":"Robert"},{"family":"Sukkarieh","given":"Salah"},{"family":"Wyeth","given":"Gordon"},{"family":"Corke","given":"Peter"}],"editor":[{"family":"Mejias","given":"Luis"},{"family":"Corke","given":"Peter"},{"family":"Roberts","given":"Jonathan"}],"accessed":{"date-parts":[["2019",12,9]]},"issued":{"date-parts":[["2015"]]}},"label":"page"},{"id":29769,"uris":["http://zotero.org/groups/2352922/items/6CJENS8D"],"itemData":{"id":29769,"type":"article-journal","abstract":"The global movement of people and goods has increased the risk of biosecurity threats and their potential to incur large economic, social, and environmental costs. Conventional manual biosecurity surveillance methods are limited by their scalability in space and time. This article focuses on autonomous surveillance systems, comprising sensor networks, robots, and intelligent algorithms, and their applicability to biosecurity threats. We discuss the spatial and temporal attributes of autonomous surveillance technologies and map them to three broad categories of biosecurity threat: (i) vector-borne diseases; (ii) plant pests; and (iii) aquatic pests. Our discussion reveals a broad range of opportunities to serve biosecurity needs through autonomous surveillance.","container-title":"Trends in Biotechnology","DOI":"10.1016/j.tibtech.2015.01.003","ISSN":"0167-7799","issue":"4","journalAbbreviation":"Trends in Biotechnology","language":"en","page":"201-207","source":"ScienceDirect","title":"Autonomous surveillance for biosecurity","URL":"http://www.sciencedirect.com/science/article/pii/S0167779915000190","volume":"33","author":[{"family":"Jurdak","given":"Raja"},{"family":"Elfes","given":"Alberto"},{"family":"Kusy","given":"Branislav"},{"family":"Tews","given":"Ashley"},{"family":"Hu","given":"Wen"},{"family":"Hernandez","given":"Emili"},{"family":"Kottege","given":"Navinda"},{"family":"Sikka","given":"Pavan"}],"accessed":{"date-parts":[["2019",12,9]]},"issued":{"date-parts":[["2015",4,1]]}},"label":"page"},{"id":10924,"uris":["http://zotero.org/groups/2352922/items/ZVCDRVZJ"],"itemData":{"id":10924,"type":"article-journal","container-title":"Journal of Field Robotics","DOI":"10.1002/rob.21727","ISSN":"15564959","issue":"6","journalAbbreviation":"J. Field Robotics","language":"en","page":"1179-1199","source":"DOI.org (Crossref)","title":"Robot for weed species plant-specific management","title-short":"Robot for weed species plant-specific management","URL":"http://doi.wiley.com/10.1002/rob.21727","volume":"34","author":[{"family":"Bawden","given":"Owen"},{"family":"Kulk","given":"Jason"},{"family":"Russell","given":"Ray"},{"family":"McCool","given":"Chris"},{"family":"English","given":"Andrew"},{"family":"Dayoub","given":"Feras"},{"family":"Lehnert","given":"Chris"},{"family":"Perez","given":"Tristan"}],"accessed":{"date-parts":[["2020",8,17]]},"issued":{"date-parts":[["2017",9]]}},"label":"page"}],"schema":"https://github.com/citation-style-language/schema/raw/master/csl-citation.json"} </w:instrText>
      </w:r>
      <w:r w:rsidRPr="00837161">
        <w:fldChar w:fldCharType="separate"/>
      </w:r>
      <w:r w:rsidR="00271B78" w:rsidRPr="00271B78">
        <w:t>(Ball et al., 2015; Jurdak et al., 2015; Bawden et al., 2017)</w:t>
      </w:r>
      <w:r w:rsidRPr="00837161">
        <w:fldChar w:fldCharType="end"/>
      </w:r>
      <w:r w:rsidRPr="00837161">
        <w:t xml:space="preserve">. Technical challenges remain in the field of autonomous on-ground navigation – in particular, using real-time perception and </w:t>
      </w:r>
      <w:r w:rsidR="005B7C20" w:rsidRPr="00837161">
        <w:t>decision-making</w:t>
      </w:r>
      <w:r w:rsidRPr="00837161">
        <w:t xml:space="preserve"> in harsh environments </w:t>
      </w:r>
      <w:r w:rsidRPr="00837161">
        <w:rPr>
          <w:rFonts w:eastAsia="Calibri"/>
          <w:color w:val="FF0000"/>
        </w:rPr>
        <w:fldChar w:fldCharType="begin"/>
      </w:r>
      <w:r w:rsidR="000F35EB">
        <w:rPr>
          <w:rFonts w:eastAsia="Calibri"/>
          <w:color w:val="FF0000"/>
        </w:rPr>
        <w:instrText xml:space="preserve"> ADDIN ZOTERO_ITEM CSL_CITATION {"citationID":"FMbx0ufM","properties":{"formattedCitation":"(Carwardine et al., 2016)","plainCitation":"(Carwardine et al., 2016)","noteIndex":0},"citationItems":[{"id":25149,"uris":["http://zotero.org/groups/2352922/items/RYRBY8U4"],"itemData":{"id":25149,"type":"report","event-place":"Canberra","language":"en","note":"csiro:EP164439","page":"26","publisher":"CSIRO","publisher-place":"Canberra","source":"Zotero","title":"Scoping study final report on the viability of robotics for the widespread management of prickly acacia","URL":"http://hdl.handle.net/102.100.100/90148?index=1","author":[{"family":"Carwardine","given":"Josie"},{"family":"Kottege","given":"Navinda"},{"family":"Borges","given":"Paulo"},{"family":"Nicol","given":"Sam"},{"family":"Merz","given":"Torsten"},{"family":"Bandyopadhyay","given":"Tirthankar"},{"family":"Sheppard","given":"Andy"}],"issued":{"date-parts":[["2016",6,30]]}},"label":"page"}],"schema":"https://github.com/citation-style-language/schema/raw/master/csl-citation.json"} </w:instrText>
      </w:r>
      <w:r w:rsidRPr="00837161">
        <w:rPr>
          <w:rFonts w:eastAsia="Calibri"/>
          <w:color w:val="FF0000"/>
        </w:rPr>
        <w:fldChar w:fldCharType="separate"/>
      </w:r>
      <w:r w:rsidR="00271B78" w:rsidRPr="00271B78">
        <w:t>(Carwardine et al., 2016)</w:t>
      </w:r>
      <w:r w:rsidRPr="00837161">
        <w:rPr>
          <w:rFonts w:eastAsia="Calibri"/>
          <w:color w:val="FF0000"/>
        </w:rPr>
        <w:fldChar w:fldCharType="end"/>
      </w:r>
      <w:r w:rsidRPr="00837161">
        <w:rPr>
          <w:rFonts w:eastAsia="Calibri"/>
        </w:rPr>
        <w:t xml:space="preserve">. Also, requirement of permissions </w:t>
      </w:r>
      <w:r w:rsidRPr="00837161">
        <w:rPr>
          <w:lang w:eastAsia="ja-JP"/>
        </w:rPr>
        <w:t>over private land</w:t>
      </w:r>
      <w:r w:rsidRPr="00837161">
        <w:rPr>
          <w:rFonts w:eastAsia="Calibri"/>
        </w:rPr>
        <w:t xml:space="preserve">, full control and the </w:t>
      </w:r>
      <w:r w:rsidR="00FD78E5" w:rsidRPr="00837161">
        <w:rPr>
          <w:rFonts w:eastAsia="Calibri"/>
        </w:rPr>
        <w:t>“</w:t>
      </w:r>
      <w:r w:rsidRPr="00837161">
        <w:rPr>
          <w:rFonts w:eastAsia="Calibri"/>
        </w:rPr>
        <w:t>Visual line of sight</w:t>
      </w:r>
      <w:r w:rsidR="00FD78E5" w:rsidRPr="00837161">
        <w:rPr>
          <w:rFonts w:eastAsia="Calibri"/>
        </w:rPr>
        <w:t>”</w:t>
      </w:r>
      <w:r w:rsidRPr="00837161">
        <w:rPr>
          <w:rFonts w:eastAsia="Calibri"/>
        </w:rPr>
        <w:t xml:space="preserve"> in many countries limits the use of unmanned particularly aerial systems. As computing power increases, sophisticated real-time data processing and </w:t>
      </w:r>
      <w:r w:rsidR="005B7C20" w:rsidRPr="00837161">
        <w:rPr>
          <w:rFonts w:eastAsia="Calibri"/>
        </w:rPr>
        <w:t>decision-making</w:t>
      </w:r>
      <w:r w:rsidRPr="00837161">
        <w:rPr>
          <w:rFonts w:eastAsia="Calibri"/>
        </w:rPr>
        <w:t xml:space="preserve"> using machine learning algorithms will enable a platform to be targeted at particular tasks </w:t>
      </w:r>
      <w:r w:rsidRPr="00837161">
        <w:rPr>
          <w:rFonts w:eastAsia="Calibri"/>
        </w:rPr>
        <w:fldChar w:fldCharType="begin"/>
      </w:r>
      <w:r w:rsidR="000F35EB">
        <w:rPr>
          <w:rFonts w:eastAsia="Calibri"/>
        </w:rPr>
        <w:instrText xml:space="preserve"> ADDIN ZOTERO_ITEM CSL_CITATION {"citationID":"IeSqpO6X","properties":{"formattedCitation":"(Devitt et al., 2017)","plainCitation":"(Devitt et al., 2017)","noteIndex":0},"citationItems":[{"id":16797,"uris":["http://zotero.org/groups/2352922/items/L487698F"],"itemData":{"id":16797,"type":"paper-conference","abstract":"Weed management is becoming more complex due to the rise of herbicide resistant weeds. Integrated weed management strategies are recommended to minimize herbicide resistance. However, weed management can be daunting and uncertain leading to biased, avoidant or suboptimal decisions. Existing weed management tools can be insensitive to user needs and changing contexts over time. This paper discusses a proof of concept cognitive tool for integrated weed management decisions.\n\nOur team has taken initial steps into the design of an interactive tool for cotton growers that allows them to explore the impact of individual priorities and strategy preferences (optimistic, pessimistic and risk related) on weed management decisions given uncertainty in temperature and rainfall. Our research tackles the challenge of engaging stakeholders in complex decision making in three ways: 1) recognizing individual cognitive priorities 2) visualising scientific weed management in an appealing mobile interface and 3) representing decision uncertainties and risk weighted against cognitive priorities. \n\nSpecifically, our tool communicates personalised barnyard grass weeding management strategies for pre-crop and in-crop cotton weeding decisions. We ranked a set of actions including applications of herbicides: glyphosate, paraquat (shielded and unshielded), group A, trifluralin, diuron, pendimethalin, s-metolachlor, fluometuron, glufosinate; and non-chemical methods such as soil disturbance at various times prior to planting, at planting and in crop. Each action was evaluated against personal priorities including: saving time/effort, health/safety, saving money, sustainability and effectiveness.\n\nThe adoption of decision support in AgTech is improved when users can represent the objective benefits of recommended actions proportionately to their own needs and measures of success. Our interactive decision tool provides individualised decision support and quantifies uncertainty about attributes relevant to decision-makers to optimise integrated weeding management. The framework, however, can be extended to other decision making context where user priorities and decision uncertainties need to be incorporated alongside scientific best-practice.","container-title":"Proceedings of the 7th Asian-Australasian Conference on Precision Agriculture","DOI":"10.5281/zenodo.895617","event-place":"Hamilton, New Zealand","event-title":"International Tri-Conference for Precision Agriculture 2017","language":"en","license":"2017 S. Kate Devitt, Tristan Perez, Debra Polson, Tamara Pearce, Ryan Quagliata, Wade Taylor, David Thornby, Jenine Beekhuyzen","page":"1-8","publisher-place":"Hamilton, New Zealand","source":"eprints.qut.edu.au","title":"A cognitive decision tool to optimise integrated weed management","URL":"https://eprints.qut.edu.au/110232/","author":[{"family":"Devitt","given":"S. Kate"},{"family":"Perez","given":"Tristan"},{"family":"Polson","given":"Debra"},{"family":"Pearce","given":"Tamara R."},{"family":"Quagliata","given":"Ryan"},{"family":"Taylor","given":"Wade"},{"family":"Thornby","given":"David"},{"family":"Beekhuyzen","given":"Jenine"}],"accessed":{"date-parts":[["2019",12,9]]},"issued":{"date-parts":[["2017",10,18]]}},"label":"page"}],"schema":"https://github.com/citation-style-language/schema/raw/master/csl-citation.json"} </w:instrText>
      </w:r>
      <w:r w:rsidRPr="00837161">
        <w:rPr>
          <w:rFonts w:eastAsia="Calibri"/>
        </w:rPr>
        <w:fldChar w:fldCharType="separate"/>
      </w:r>
      <w:r w:rsidR="00271B78" w:rsidRPr="00271B78">
        <w:t>(Devitt et al., 2017)</w:t>
      </w:r>
      <w:r w:rsidRPr="00837161">
        <w:rPr>
          <w:rFonts w:eastAsia="Calibri"/>
        </w:rPr>
        <w:fldChar w:fldCharType="end"/>
      </w:r>
      <w:r w:rsidRPr="00837161">
        <w:rPr>
          <w:rFonts w:eastAsia="Calibri"/>
        </w:rPr>
        <w:t xml:space="preserve">. Current bespoke systems are complex, whereas use cases are </w:t>
      </w:r>
      <w:r w:rsidRPr="00837161">
        <w:rPr>
          <w:rFonts w:eastAsia="Calibri"/>
        </w:rPr>
        <w:lastRenderedPageBreak/>
        <w:t>often quite simple tasks. Any current limitation for adaptable data processing systems is likely to be quickly resolved as the technology continues to mature</w:t>
      </w:r>
      <w:r w:rsidRPr="00837161">
        <w:t xml:space="preserve">. </w:t>
      </w:r>
    </w:p>
    <w:p w14:paraId="6E32EEC5" w14:textId="77777777" w:rsidR="001B0409" w:rsidRPr="00837161" w:rsidRDefault="27514EC9" w:rsidP="0079215C">
      <w:pPr>
        <w:pStyle w:val="Heading4"/>
      </w:pPr>
      <w:r w:rsidRPr="00837161">
        <w:t xml:space="preserve">Lethal control of invasive alien vertebrate pests </w:t>
      </w:r>
    </w:p>
    <w:p w14:paraId="32FEDDA6" w14:textId="4BED3252" w:rsidR="001B0409" w:rsidRPr="00837161" w:rsidRDefault="005D35EE" w:rsidP="00C11DFA">
      <w:pPr>
        <w:spacing w:before="240" w:after="120" w:line="240" w:lineRule="auto"/>
      </w:pPr>
      <w:r w:rsidRPr="00837161">
        <w:rPr>
          <w:lang w:eastAsia="ja-JP"/>
        </w:rPr>
        <w:t xml:space="preserve">Despite lethal control being the basis of </w:t>
      </w:r>
      <w:r w:rsidR="00355653" w:rsidRPr="00837161">
        <w:rPr>
          <w:lang w:eastAsia="ja-JP"/>
        </w:rPr>
        <w:t xml:space="preserve">nearly </w:t>
      </w:r>
      <w:r w:rsidR="00905139" w:rsidRPr="00837161">
        <w:rPr>
          <w:lang w:eastAsia="ja-JP"/>
        </w:rPr>
        <w:t xml:space="preserve">all successful </w:t>
      </w:r>
      <w:r w:rsidR="001F555C" w:rsidRPr="00837161">
        <w:rPr>
          <w:lang w:eastAsia="ja-JP"/>
        </w:rPr>
        <w:t xml:space="preserve">invasive alien </w:t>
      </w:r>
      <w:r w:rsidR="00C81904" w:rsidRPr="00837161">
        <w:rPr>
          <w:lang w:eastAsia="ja-JP"/>
        </w:rPr>
        <w:t xml:space="preserve">vertebrate population suppression </w:t>
      </w:r>
      <w:r w:rsidR="00DC3CAC">
        <w:rPr>
          <w:lang w:eastAsia="ja-JP"/>
        </w:rPr>
        <w:fldChar w:fldCharType="begin"/>
      </w:r>
      <w:r w:rsidR="000F35EB">
        <w:rPr>
          <w:lang w:eastAsia="ja-JP"/>
        </w:rPr>
        <w:instrText xml:space="preserve"> ADDIN ZOTERO_ITEM CSL_CITATION {"citationID":"VAHDpNs2","properties":{"formattedCitation":"(Robertson et al., 2017)","plainCitation":"(Robertson et al., 2017)","noteIndex":0},"citationItems":[{"id":28952,"uris":["http://zotero.org/groups/2352922/items/FT9DB7HI"],"itemData":{"id":28952,"type":"article-journal","abstract":"Numerous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M"},{"family":"Sutton-Croft","given":"Mike"}],"accessed":{"date-parts":[["2019",11,4]]},"issued":{"date-parts":[["2017",2]]}}}],"schema":"https://github.com/citation-style-language/schema/raw/master/csl-citation.json"} </w:instrText>
      </w:r>
      <w:r w:rsidR="00DC3CAC">
        <w:rPr>
          <w:lang w:eastAsia="ja-JP"/>
        </w:rPr>
        <w:fldChar w:fldCharType="separate"/>
      </w:r>
      <w:r w:rsidR="00271B78" w:rsidRPr="00271B78">
        <w:t>(Robertson et al., 2017)</w:t>
      </w:r>
      <w:r w:rsidR="00DC3CAC">
        <w:rPr>
          <w:lang w:eastAsia="ja-JP"/>
        </w:rPr>
        <w:fldChar w:fldCharType="end"/>
      </w:r>
      <w:r w:rsidR="00CD22D2" w:rsidRPr="00837161">
        <w:rPr>
          <w:lang w:eastAsia="ja-JP"/>
        </w:rPr>
        <w:t xml:space="preserve"> </w:t>
      </w:r>
      <w:r w:rsidR="00F8113F" w:rsidRPr="00837161">
        <w:rPr>
          <w:lang w:eastAsia="ja-JP"/>
        </w:rPr>
        <w:t xml:space="preserve">and eradication </w:t>
      </w:r>
      <w:r w:rsidR="00451716" w:rsidRPr="00837161">
        <w:rPr>
          <w:lang w:eastAsia="ja-JP"/>
        </w:rPr>
        <w:t xml:space="preserve">programmes </w:t>
      </w:r>
      <w:r w:rsidR="00FA1108">
        <w:rPr>
          <w:lang w:eastAsia="ja-JP"/>
        </w:rPr>
        <w:fldChar w:fldCharType="begin"/>
      </w:r>
      <w:r w:rsidR="000F35EB">
        <w:rPr>
          <w:lang w:eastAsia="ja-JP"/>
        </w:rPr>
        <w:instrText xml:space="preserve"> ADDIN ZOTERO_ITEM CSL_CITATION {"citationID":"x9g3dseT","properties":{"formattedCitation":"(Holmes et al., 2019)","plainCitation":"(Holmes et al., 2019)","noteIndex":0},"citationItems":[{"id":24249,"uris":["http://zotero.org/groups/2352922/items/FEQ4MY97"],"itemData":{"id":24249,"type":"article-journal","abstract":"Invasive alien species are a major threat to native insular species. Eradicating invasive mammals from islands is a feasible and proven approach to prevent biodiversity loss. We developed a conceptual framework to identify globally important islands for invasive mammal eradications to prevent imminent extinctions of highly threatened species using biogeographic and technical factors, plus a novel approach to consider socio-political feasibility. We applied this framework using a comprehensive dataset describing the distribution of 1,184 highly threatened native vertebrate species (i.e. those listed as Critically Endangered or Endangered on the IUCN Red List) and 184 non-native mammals on 1,279 islands worldwide. Based on extinction risk, irreplaceability, severity of impact from invasive species, and technical feasibility of eradication, we identified and ranked 292 of the most important islands where eradicating invasive mammals would benefit highly threatened vertebrates. When socio-political feasibility was considered, we identified 169 of these islands where eradication planning or operation could be initiated by 2020 or 2030 and would improve the survival prospects of 9.4% of the Earth’s most highly threatened terrestrial insular vertebrates (111 of 1,184 species). Of these, 107 islands were in 34 countries and territories and could have eradication projects initiated by 2020. Concentrating efforts to eradicate invasive mammals on these 107 islands would benefit 151 populations of 80 highly threatened vertebrates and make a major contribution towards achieving global conservation targets adopted by the world’s nations.","container-title":"PLoS ONE","DOI":"10.1371/journal.pone.0212128","ISSN":"1932-6203","issue":"3","journalAbbreviation":"PLOS ONE","language":"en","page":"e0212128","source":"PLoS Journals","title":"Globally important islands where eradicating invasive mammals will benefit highly threatened vertebrates","URL":"https://journals.plos.org/plosone/article?id=10.1371/journal.pone.0212128","volume":"14","author":[{"family":"Holmes","given":"Nick D."},{"family":"Spatz","given":"Dena R."},{"family":"Oppel","given":"Steffen"},{"family":"Tershy","given":"Bernie"},{"family":"Croll","given":"Donald A."},{"family":"Keitt","given":"Brad"},{"family":"Genovesi","given":"Piero"},{"family":"Burfield","given":"Ian J."},{"family":"Will","given":"David J."},{"family":"Bond","given":"Alexander L."},{"family":"Wegmann","given":"Alex"},{"family":"Aguirre-Muñoz","given":"Alfonso"},{"family":"Raine","given":"André F."},{"family":"Knapp","given":"Charles R."},{"family":"Hung","given":"Chung-Hang"},{"family":"Wingate","given":"David"},{"family":"Hagen","given":"Erin"},{"family":"Méndez-Sánchez","given":"Federico"},{"family":"Rocamora","given":"Gerard"},{"family":"Yuan","given":"Hsiao-Wei"},{"family":"Fric","given":"Jakob"},{"family":"Millett","given":"James"},{"family":"Russell","given":"James"},{"family":"Liske-Clark","given":"Jill"},{"family":"Vidal","given":"Eric"},{"family":"Jourdan","given":"Hervé"},{"family":"Campbell","given":"Karl"},{"family":"Springer","given":"Keith"},{"family":"Swinnerton","given":"Kirsty"},{"family":"Gibbons-Decherong","given":"Lolita"},{"family":"Langrand","given":"Olivier"},{"family":"Brooke","given":"M. de L."},{"family":"McMinn","given":"Miguel"},{"family":"Bunbury","given":"Nancy"},{"family":"Oliveira","given":"Nuno"},{"family":"Sposimo","given":"Paolo"},{"family":"Geraldes","given":"Pedro"},{"family":"McClelland","given":"Pete"},{"family":"Hodum","given":"Peter"},{"family":"Ryan","given":"Peter G."},{"family":"Borroto-Páez","given":"Rafael"},{"family":"Pierce","given":"Ray"},{"family":"Griffiths","given":"Richard"},{"family":"Fisher","given":"Robert N."},{"family":"Wanless","given":"Ross"},{"family":"Pasachnik","given":"Stesha A."},{"family":"Cranwell","given":"Steve"},{"family":"Micol","given":"Thierry"},{"family":"Butchart","given":"Stuart H. M."}],"accessed":{"date-parts":[["2019",10,12]]},"issued":{"date-parts":[["2019",3,27]]}}}],"schema":"https://github.com/citation-style-language/schema/raw/master/csl-citation.json"} </w:instrText>
      </w:r>
      <w:r w:rsidR="00FA1108">
        <w:rPr>
          <w:lang w:eastAsia="ja-JP"/>
        </w:rPr>
        <w:fldChar w:fldCharType="separate"/>
      </w:r>
      <w:r w:rsidR="00271B78" w:rsidRPr="00271B78">
        <w:t>(Holmes et al., 2019)</w:t>
      </w:r>
      <w:r w:rsidR="00FA1108">
        <w:rPr>
          <w:lang w:eastAsia="ja-JP"/>
        </w:rPr>
        <w:fldChar w:fldCharType="end"/>
      </w:r>
      <w:r w:rsidR="00CD22D2" w:rsidRPr="00837161">
        <w:rPr>
          <w:lang w:eastAsia="ja-JP"/>
        </w:rPr>
        <w:t xml:space="preserve"> </w:t>
      </w:r>
      <w:r w:rsidR="00355653" w:rsidRPr="00837161">
        <w:rPr>
          <w:lang w:eastAsia="ja-JP"/>
        </w:rPr>
        <w:t>and remain</w:t>
      </w:r>
      <w:r w:rsidR="0014587D" w:rsidRPr="00837161">
        <w:rPr>
          <w:lang w:eastAsia="ja-JP"/>
        </w:rPr>
        <w:t>ing</w:t>
      </w:r>
      <w:r w:rsidR="00355653" w:rsidRPr="00837161">
        <w:rPr>
          <w:lang w:eastAsia="ja-JP"/>
        </w:rPr>
        <w:t xml:space="preserve"> </w:t>
      </w:r>
      <w:r w:rsidR="00266607">
        <w:rPr>
          <w:lang w:eastAsia="ja-JP"/>
        </w:rPr>
        <w:t>an important</w:t>
      </w:r>
      <w:r w:rsidR="005509DE" w:rsidRPr="00837161">
        <w:rPr>
          <w:lang w:eastAsia="ja-JP"/>
        </w:rPr>
        <w:t xml:space="preserve"> </w:t>
      </w:r>
      <w:r w:rsidR="00216B86" w:rsidRPr="00837161">
        <w:rPr>
          <w:lang w:eastAsia="ja-JP"/>
        </w:rPr>
        <w:t>tool</w:t>
      </w:r>
      <w:r w:rsidR="00355653" w:rsidRPr="00837161">
        <w:rPr>
          <w:lang w:eastAsia="ja-JP"/>
        </w:rPr>
        <w:t xml:space="preserve"> f</w:t>
      </w:r>
      <w:r w:rsidR="00216B86" w:rsidRPr="00837161">
        <w:rPr>
          <w:lang w:eastAsia="ja-JP"/>
        </w:rPr>
        <w:t>or</w:t>
      </w:r>
      <w:r w:rsidR="00355653" w:rsidRPr="00837161">
        <w:rPr>
          <w:lang w:eastAsia="ja-JP"/>
        </w:rPr>
        <w:t xml:space="preserve"> </w:t>
      </w:r>
      <w:r w:rsidR="00494E71" w:rsidRPr="00837161">
        <w:rPr>
          <w:lang w:eastAsia="ja-JP"/>
        </w:rPr>
        <w:t>ma</w:t>
      </w:r>
      <w:r w:rsidR="00B7349C" w:rsidRPr="00837161">
        <w:rPr>
          <w:lang w:eastAsia="ja-JP"/>
        </w:rPr>
        <w:t>naging</w:t>
      </w:r>
      <w:r w:rsidR="003E3DB8" w:rsidRPr="00837161">
        <w:rPr>
          <w:lang w:eastAsia="ja-JP"/>
        </w:rPr>
        <w:t xml:space="preserve"> their</w:t>
      </w:r>
      <w:r w:rsidR="00B7349C" w:rsidRPr="00837161">
        <w:rPr>
          <w:lang w:eastAsia="ja-JP"/>
        </w:rPr>
        <w:t xml:space="preserve"> impacts on </w:t>
      </w:r>
      <w:r w:rsidR="00C24BA6" w:rsidRPr="00837161">
        <w:t xml:space="preserve">native vertebrates </w:t>
      </w:r>
      <w:r w:rsidR="00451716" w:rsidRPr="00837161">
        <w:rPr>
          <w:lang w:eastAsia="ja-JP"/>
        </w:rPr>
        <w:t xml:space="preserve">(see below), </w:t>
      </w:r>
      <w:r w:rsidR="00EC625A" w:rsidRPr="00837161">
        <w:rPr>
          <w:lang w:eastAsia="ja-JP"/>
        </w:rPr>
        <w:t>ethically</w:t>
      </w:r>
      <w:r w:rsidR="00E24CD5" w:rsidRPr="00837161">
        <w:rPr>
          <w:lang w:eastAsia="ja-JP"/>
        </w:rPr>
        <w:t>,</w:t>
      </w:r>
      <w:r w:rsidR="00EC625A" w:rsidRPr="00837161">
        <w:rPr>
          <w:lang w:eastAsia="ja-JP"/>
        </w:rPr>
        <w:t xml:space="preserve"> </w:t>
      </w:r>
      <w:r w:rsidR="00451716" w:rsidRPr="00837161">
        <w:rPr>
          <w:lang w:eastAsia="ja-JP"/>
        </w:rPr>
        <w:t xml:space="preserve">it </w:t>
      </w:r>
      <w:r w:rsidR="00A8025A" w:rsidRPr="00837161">
        <w:rPr>
          <w:lang w:eastAsia="ja-JP"/>
        </w:rPr>
        <w:t xml:space="preserve">is increasingly </w:t>
      </w:r>
      <w:r w:rsidR="001B0409" w:rsidRPr="00837161">
        <w:rPr>
          <w:lang w:eastAsia="ja-JP"/>
        </w:rPr>
        <w:t>controversial (</w:t>
      </w:r>
      <w:r w:rsidR="008935A3" w:rsidRPr="00837161">
        <w:rPr>
          <w:lang w:eastAsia="ja-JP"/>
        </w:rPr>
        <w:t>e.g.</w:t>
      </w:r>
      <w:r w:rsidR="00962F02" w:rsidRPr="00837161">
        <w:rPr>
          <w:lang w:eastAsia="ja-JP"/>
        </w:rPr>
        <w:t>,</w:t>
      </w:r>
      <w:r w:rsidR="008935A3" w:rsidRPr="00837161">
        <w:rPr>
          <w:lang w:eastAsia="ja-JP"/>
        </w:rPr>
        <w:t xml:space="preserve"> </w:t>
      </w:r>
      <w:r w:rsidR="00C726DF" w:rsidRPr="00837161">
        <w:rPr>
          <w:lang w:eastAsia="ja-JP"/>
        </w:rPr>
        <w:fldChar w:fldCharType="begin"/>
      </w:r>
      <w:r w:rsidR="007746C5">
        <w:rPr>
          <w:lang w:eastAsia="ja-JP"/>
        </w:rPr>
        <w:instrText xml:space="preserve"> ADDIN ZOTERO_ITEM CSL_CITATION {"citationID":"lMa5pLRA","properties":{"formattedCitation":"(van Eeden et al., 2020)","plainCitation":"(van Eeden et al., 2020)","dontUpdate":true,"noteIndex":0},"citationItems":[{"id":54300,"uris":["http://zotero.org/groups/2352922/items/M9RSHHXF","http://zotero.org/groups/2352922/items/WBXBFT9C"],"itemData":{"id":54300,"type":"article-journal","abstract":"Justification for lethal control in conservation is often presumed to be shaped by human attitudes toward different species and whether these species are regarded as native or introduced to a particular system. Conservation researchers and practitioners attitudes often differ in this regard, so different conservation frameworks have evolved such as traditional compositionalist conservation, ‘new’ functionalist conservation, and compassionate conservation. Yet, there is limited research on how the public perceives and values native versus introduced species and thus how public perceptions align with these different and somewhat conflicting definitions of conservation. We conducted an online public survey (N = 811) in Australia to explore how perceptions of species are related to each other and to the approval of lethal control. We focused on native kangaroos, the long-established dingo, and more recently introduced red foxes and wild horses. Perceptions of species' ‘nativeness’ varied and did not always align with policy definitions or reality, with 18.4% and 17.9% considering horses and foxes, respectively, to be native to Australia. The perception that a species was not native and was a pest were linked, and correlated positively with approval for lethal control. The results reveal the conflicting perceptions of conservation among conservationists, the public, and policy definitions. This highlights the difficulty of developing a set of agreed upon conservation goals which would help promote conservation practices supported by stakeholder values.","container-title":"Biological Conservation","DOI":"10.1016/j.biocon.2020.108416","ISSN":"0006-3207","journalAbbreviation":"Biological Conservation","language":"en","page":"108416","source":"ScienceDirect","title":"Diverse public perceptions of species' status and management align with conflicting conservation frameworks","URL":"https://www.sciencedirect.com/science/article/pii/S0006320719300357","volume":"242","author":[{"family":"Eeden","given":"Lily M.","non-dropping-particle":"van"},{"family":"Newsome","given":"Thomas M."},{"family":"Crowther","given":"Mathew S."},{"family":"Dickman","given":"Christopher R."},{"family":"Bruskotter","given":"Jeremy"}],"accessed":{"date-parts":[["2023",1,30]]},"issued":{"date-parts":[["2020",2,1]]}},"label":"page"}],"schema":"https://github.com/citation-style-language/schema/raw/master/csl-citation.json"} </w:instrText>
      </w:r>
      <w:r w:rsidR="00C726DF" w:rsidRPr="00837161">
        <w:rPr>
          <w:lang w:eastAsia="ja-JP"/>
        </w:rPr>
        <w:fldChar w:fldCharType="separate"/>
      </w:r>
      <w:r w:rsidR="00C726DF" w:rsidRPr="00837161">
        <w:t>van Eeden et al., 2020</w:t>
      </w:r>
      <w:r w:rsidR="00C726DF" w:rsidRPr="00837161">
        <w:rPr>
          <w:lang w:eastAsia="ja-JP"/>
        </w:rPr>
        <w:fldChar w:fldCharType="end"/>
      </w:r>
      <w:r w:rsidR="00C726DF" w:rsidRPr="00837161">
        <w:rPr>
          <w:lang w:eastAsia="ja-JP"/>
        </w:rPr>
        <w:t>;</w:t>
      </w:r>
      <w:r w:rsidR="003F4D4E" w:rsidRPr="00837161">
        <w:rPr>
          <w:lang w:eastAsia="ja-JP"/>
        </w:rPr>
        <w:t xml:space="preserve"> </w:t>
      </w:r>
      <w:r w:rsidR="00C33F92">
        <w:rPr>
          <w:b/>
          <w:iCs/>
          <w:lang w:eastAsia="ja-JP"/>
        </w:rPr>
        <w:t>C</w:t>
      </w:r>
      <w:r w:rsidR="00AE05BC" w:rsidRPr="00C33F92">
        <w:rPr>
          <w:b/>
          <w:iCs/>
          <w:lang w:eastAsia="ja-JP"/>
        </w:rPr>
        <w:t>hapter</w:t>
      </w:r>
      <w:r w:rsidR="001B0409" w:rsidRPr="00C33F92">
        <w:rPr>
          <w:b/>
          <w:iCs/>
          <w:lang w:eastAsia="ja-JP"/>
        </w:rPr>
        <w:t xml:space="preserve"> 1</w:t>
      </w:r>
      <w:r w:rsidR="00CC10F3" w:rsidRPr="00C33F92">
        <w:rPr>
          <w:iCs/>
          <w:lang w:eastAsia="ja-JP"/>
        </w:rPr>
        <w:t>,</w:t>
      </w:r>
      <w:r w:rsidR="00CC10F3" w:rsidRPr="00C33F92">
        <w:rPr>
          <w:b/>
          <w:iCs/>
          <w:lang w:eastAsia="ja-JP"/>
        </w:rPr>
        <w:t xml:space="preserve"> section 1.5.</w:t>
      </w:r>
      <w:r w:rsidR="0037291A" w:rsidRPr="00C33F92">
        <w:rPr>
          <w:b/>
          <w:iCs/>
          <w:lang w:eastAsia="ja-JP"/>
        </w:rPr>
        <w:t>3</w:t>
      </w:r>
      <w:r w:rsidR="001B0409" w:rsidRPr="00837161">
        <w:rPr>
          <w:lang w:eastAsia="ja-JP"/>
        </w:rPr>
        <w:t>)</w:t>
      </w:r>
      <w:r w:rsidR="001E7A82" w:rsidRPr="00837161">
        <w:rPr>
          <w:lang w:eastAsia="ja-JP"/>
        </w:rPr>
        <w:t xml:space="preserve">. </w:t>
      </w:r>
      <w:r w:rsidR="001B0409" w:rsidRPr="00837161">
        <w:t>Many countries have animal right</w:t>
      </w:r>
      <w:r w:rsidR="00C224EB" w:rsidRPr="00837161">
        <w:t>s</w:t>
      </w:r>
      <w:r w:rsidR="001B0409" w:rsidRPr="00837161">
        <w:t xml:space="preserve"> laws and </w:t>
      </w:r>
      <w:r w:rsidR="00F21F09" w:rsidRPr="00837161">
        <w:t xml:space="preserve">have banned or </w:t>
      </w:r>
      <w:r w:rsidR="001B0409" w:rsidRPr="00837161">
        <w:t>are banning lethal control options and deregistering key tox</w:t>
      </w:r>
      <w:r w:rsidR="00454BDB" w:rsidRPr="00837161">
        <w:t>icants</w:t>
      </w:r>
      <w:r w:rsidR="00287647" w:rsidRPr="00837161">
        <w:t xml:space="preserve"> </w:t>
      </w:r>
      <w:r w:rsidR="008A67E4" w:rsidRPr="00837161">
        <w:t xml:space="preserve">such as </w:t>
      </w:r>
      <w:r w:rsidR="009C5790" w:rsidRPr="00837161">
        <w:t>sodium fluoroacetate (</w:t>
      </w:r>
      <w:r w:rsidR="004956EA" w:rsidRPr="00837161">
        <w:t>1080</w:t>
      </w:r>
      <w:r w:rsidR="00287647" w:rsidRPr="00837161">
        <w:t>)</w:t>
      </w:r>
      <w:r w:rsidR="00D1788F" w:rsidRPr="00837161">
        <w:t xml:space="preserve"> and </w:t>
      </w:r>
      <w:r w:rsidR="00D1788F" w:rsidRPr="00837161">
        <w:rPr>
          <w:rStyle w:val="hgkelc"/>
        </w:rPr>
        <w:t>Rotenone</w:t>
      </w:r>
      <w:r w:rsidR="001B0409" w:rsidRPr="00837161">
        <w:t>.</w:t>
      </w:r>
      <w:r w:rsidR="00D55A6D">
        <w:t xml:space="preserve"> Engaging </w:t>
      </w:r>
      <w:r w:rsidR="00C926F5" w:rsidRPr="00C926F5">
        <w:t>stakeholders is important for decision-making</w:t>
      </w:r>
      <w:r w:rsidR="00C926F5">
        <w:t>,</w:t>
      </w:r>
      <w:r w:rsidR="00C926F5" w:rsidRPr="00C926F5">
        <w:t xml:space="preserve"> particularly assessing the acceptability of lethal control particularly for invasive alien species that cause</w:t>
      </w:r>
      <w:r w:rsidR="001B0409" w:rsidRPr="00837161">
        <w:t xml:space="preserve"> </w:t>
      </w:r>
      <w:r w:rsidR="00C926F5">
        <w:t>the</w:t>
      </w:r>
      <w:r w:rsidR="00C926F5" w:rsidRPr="00837161">
        <w:t xml:space="preserve"> </w:t>
      </w:r>
      <w:r w:rsidR="02308620" w:rsidRPr="00837161">
        <w:t>loss</w:t>
      </w:r>
      <w:r w:rsidR="00B62203" w:rsidRPr="00837161">
        <w:t xml:space="preserve"> </w:t>
      </w:r>
      <w:r w:rsidR="15600B98" w:rsidRPr="00837161">
        <w:t xml:space="preserve">of </w:t>
      </w:r>
      <w:r w:rsidR="00981CA1" w:rsidRPr="00837161">
        <w:t>threatened and endanger</w:t>
      </w:r>
      <w:r w:rsidR="7F59B495" w:rsidRPr="00837161">
        <w:t>ed</w:t>
      </w:r>
      <w:r w:rsidR="00981CA1" w:rsidRPr="00837161">
        <w:t xml:space="preserve"> </w:t>
      </w:r>
      <w:r w:rsidR="001B0409" w:rsidRPr="00837161">
        <w:t xml:space="preserve">native species </w:t>
      </w:r>
      <w:r w:rsidR="73F74464" w:rsidRPr="00837161">
        <w:t>and</w:t>
      </w:r>
      <w:r w:rsidR="00B62203" w:rsidRPr="00837161">
        <w:t xml:space="preserve"> </w:t>
      </w:r>
      <w:r w:rsidR="00C05E62" w:rsidRPr="00837161">
        <w:t xml:space="preserve">harmful </w:t>
      </w:r>
      <w:r w:rsidR="00595AAC" w:rsidRPr="00837161">
        <w:t xml:space="preserve">impacts on </w:t>
      </w:r>
      <w:r w:rsidR="009B21CB" w:rsidRPr="00837161">
        <w:t xml:space="preserve">economic livelihoods </w:t>
      </w:r>
      <w:r w:rsidR="00595AAC" w:rsidRPr="00837161">
        <w:t xml:space="preserve">of local communities </w:t>
      </w:r>
      <w:r w:rsidR="001B0409" w:rsidRPr="00837161">
        <w:fldChar w:fldCharType="begin"/>
      </w:r>
      <w:r w:rsidR="000F35EB">
        <w:instrText xml:space="preserve"> ADDIN ZOTERO_ITEM CSL_CITATION {"citationID":"SJHmd0dk","properties":{"formattedCitation":"(Deak et al., 2019; Sinclair et al., 2020)","plainCitation":"(Deak et al., 2019; Sinclair et al., 2020)","dontUpdate":true,"noteIndex":0},"citationItems":[{"id":31002,"uris":["http://zotero.org/groups/2352922/items/ZXQJD5ED"],"itemData":{"id":31002,"type":"article-journal","abstract":"This review examines the social aspects that inﬂuence feral cat management. In particular, it examines deﬁnitions and perceptions of feral cats as a species in diﬀerent countries and across cultures. Using case studies from around the world, we investigate the factors that can inﬂuence public perceptions and social acceptance of feral cats and management methods. The review then highlights the importance of social factors in management and suggests the best approach to use in the future to ease the process of gaining a social license for management campaigns. Implications of the inﬂuence of education and awareness on public perception and acceptance are further explained, and are suggested to be an essential tool in successfully engaging the community about management in the future.","container-title":"Animals","DOI":"10.3390/ani9090617","ISSN":"2076-2615","issue":"9","journalAbbreviation":"Animals","language":"en","page":"617","source":"DOI.org (Crossref)","title":"The Significance of Social Perceptions in Implementing Successful Feral Cat Management Strategies: A Global Review","title-short":"The Significance of Social Perceptions in Implementing Successful Feral Cat Management Strategies","URL":"https://www.mdpi.com/2076-2615/9/9/617","volume":"9","author":[{"family":"Deak","given":"Brooke P."},{"family":"Ostendorf","given":"Bertram"},{"family":"Taggart","given":"David A."},{"family":"Peacock","given":"David E."},{"family":"Bardsley","given":"Douglas K."}],"accessed":{"date-parts":[["2020",2,22]]},"issued":{"date-parts":[["2019",8,28]]}},"label":"page"},{"id":31073,"uris":["http://zotero.org/groups/2352922/items/AIJ3HS8A"],"itemData":{"id":31073,"type":"article-journal","abstract":"Total grazing pressure (TGP) is a key driver of productivity in livestock systems in the south-eastern rangelands of Australia. Sustainable grazing in these environments requires the management of grazing pressure from kangaroos, unmanaged goats and feral pigs, as well as livestock. Any practices used to control these species must be socially acceptable. Twenty-four semi-structured interviews with individuals drawn from key stakeholder groups were conducted to assess the acceptability of control practices for each of these species. Commercial shooting was the most acceptable control practice for kangaroos with a much lower acceptance of non-commercial shooting. A trap yard (at a water point) was the most acceptable practice for control of unmanaged goats with shooting least acceptable. Ground shooting, trapping and 1080 baiting were the most acceptable practices for control of feral pigs with dogging least acceptable. The two key criteria for social acceptance of control practices by stakeholder group interviewees were humaneness and effectiveness. Acceptance was also influenced by interviewees’ attitudes towards particular species. Interviewees typically distinguished between control of native wildlife and ‘feral’ animals, and between ‘resource’ animals and ‘pest’ animals. Importantly, support for control programs to manage TGP must be justifiable and employ practices that are socially acceptable.","container-title":"The Rangeland Journal","DOI":"10.1071/RJ19047","ISSN":"1834-7541, 1834-7541","issue":"6","journalAbbreviation":"Rangel. J.","language":"en","note":"publisher: CSIRO PUBLISHING","page":"485-496","source":"www.publish.csiro.au","title":"Stakeholder judgements of the social acceptability of control practices for kangaroos, unmanaged goats and feral pigs in the south-eastern rangelands of Australia","URL":"https://www.publish.csiro.au/rj/RJ19047","volume":"41","author":[{"family":"Sinclair","given":"K."},{"family":"Curtis","given":"A. L."},{"family":"Hacker","given":"R. B."},{"family":"Atkinson","given":"T."}],"accessed":{"date-parts":[["2021",10,31]]},"issued":{"date-parts":[["2020",3,24]]}},"label":"page"}],"schema":"https://github.com/citation-style-language/schema/raw/master/csl-citation.json"} </w:instrText>
      </w:r>
      <w:r w:rsidR="001B0409" w:rsidRPr="00837161">
        <w:fldChar w:fldCharType="separate"/>
      </w:r>
      <w:r w:rsidR="006669DA" w:rsidRPr="00837161">
        <w:t>(Deak et al., 2019; Sinclair et al., 2020</w:t>
      </w:r>
      <w:r w:rsidR="001B0409" w:rsidRPr="00837161">
        <w:fldChar w:fldCharType="end"/>
      </w:r>
      <w:r w:rsidR="00C42534" w:rsidRPr="00837161">
        <w:rPr>
          <w:lang w:eastAsia="ja-JP"/>
        </w:rPr>
        <w:t xml:space="preserve">, </w:t>
      </w:r>
      <w:r w:rsidR="00191A6E">
        <w:rPr>
          <w:b/>
          <w:bCs/>
        </w:rPr>
        <w:t>Box 5.13</w:t>
      </w:r>
      <w:r w:rsidR="0055368D" w:rsidRPr="00C33F92">
        <w:rPr>
          <w:bCs/>
          <w:iCs/>
        </w:rPr>
        <w:t>;</w:t>
      </w:r>
      <w:r w:rsidR="0055368D" w:rsidRPr="00C33F92">
        <w:rPr>
          <w:b/>
          <w:bCs/>
          <w:iCs/>
        </w:rPr>
        <w:t xml:space="preserve"> </w:t>
      </w:r>
      <w:r w:rsidR="00C33F92">
        <w:rPr>
          <w:b/>
          <w:bCs/>
          <w:iCs/>
        </w:rPr>
        <w:t>C</w:t>
      </w:r>
      <w:r w:rsidR="00C33F92" w:rsidRPr="00C33F92">
        <w:rPr>
          <w:b/>
          <w:bCs/>
          <w:iCs/>
        </w:rPr>
        <w:t xml:space="preserve">hapter </w:t>
      </w:r>
      <w:r w:rsidR="001A2D91" w:rsidRPr="00C33F92">
        <w:rPr>
          <w:b/>
          <w:bCs/>
          <w:iCs/>
        </w:rPr>
        <w:t>4</w:t>
      </w:r>
      <w:r w:rsidR="001A2D91" w:rsidRPr="00C33F92">
        <w:rPr>
          <w:bCs/>
          <w:iCs/>
        </w:rPr>
        <w:t>,</w:t>
      </w:r>
      <w:r w:rsidR="0055368D" w:rsidRPr="00C33F92">
        <w:rPr>
          <w:b/>
          <w:bCs/>
          <w:iCs/>
        </w:rPr>
        <w:t xml:space="preserve"> section 4.5</w:t>
      </w:r>
      <w:r w:rsidR="001B0409" w:rsidRPr="00837161">
        <w:t xml:space="preserve">). </w:t>
      </w:r>
      <w:r w:rsidR="00EC4DFA" w:rsidRPr="00837161">
        <w:t xml:space="preserve">Often politics </w:t>
      </w:r>
      <w:r w:rsidR="00A04B9F" w:rsidRPr="00837161">
        <w:t>controls</w:t>
      </w:r>
      <w:r w:rsidR="00F30BA3" w:rsidRPr="00837161">
        <w:t xml:space="preserve"> the </w:t>
      </w:r>
      <w:r w:rsidR="005B7C20" w:rsidRPr="00837161">
        <w:t>decision-making</w:t>
      </w:r>
      <w:r w:rsidR="003F108E" w:rsidRPr="00837161">
        <w:t>,</w:t>
      </w:r>
      <w:r w:rsidR="00F30BA3" w:rsidRPr="00837161">
        <w:t xml:space="preserve"> </w:t>
      </w:r>
      <w:r w:rsidR="00183625" w:rsidRPr="00837161">
        <w:t>as in</w:t>
      </w:r>
      <w:r w:rsidR="00B3527F" w:rsidRPr="00837161">
        <w:t xml:space="preserve"> the case for </w:t>
      </w:r>
      <w:r w:rsidR="00F80C22" w:rsidRPr="00837161">
        <w:t xml:space="preserve">management of </w:t>
      </w:r>
      <w:r w:rsidR="00C926F5">
        <w:t>alien</w:t>
      </w:r>
      <w:r w:rsidR="00C926F5" w:rsidRPr="00837161">
        <w:t xml:space="preserve"> </w:t>
      </w:r>
      <w:r w:rsidR="0079215C" w:rsidRPr="007D37E1">
        <w:rPr>
          <w:i/>
        </w:rPr>
        <w:t>Hippopotamus amphibious</w:t>
      </w:r>
      <w:r w:rsidR="0079215C">
        <w:rPr>
          <w:rFonts w:hint="eastAsia"/>
          <w:lang w:eastAsia="ja-JP"/>
        </w:rPr>
        <w:t xml:space="preserve"> </w:t>
      </w:r>
      <w:r w:rsidR="0079215C">
        <w:rPr>
          <w:lang w:eastAsia="ja-JP"/>
        </w:rPr>
        <w:t>(</w:t>
      </w:r>
      <w:r w:rsidR="0079215C">
        <w:t xml:space="preserve">hippopotamus) </w:t>
      </w:r>
      <w:r w:rsidR="0055047B" w:rsidRPr="00837161">
        <w:t xml:space="preserve">populations </w:t>
      </w:r>
      <w:r w:rsidR="00E906E5" w:rsidRPr="00837161">
        <w:t>in Colombia</w:t>
      </w:r>
      <w:r w:rsidR="002E7687" w:rsidRPr="00837161">
        <w:t>. Despite high densities there has been limited</w:t>
      </w:r>
      <w:r w:rsidR="003E0AF2" w:rsidRPr="00837161">
        <w:t xml:space="preserve"> political </w:t>
      </w:r>
      <w:r w:rsidR="00722977" w:rsidRPr="00837161">
        <w:t xml:space="preserve">will to </w:t>
      </w:r>
      <w:r w:rsidR="003E0AF2" w:rsidRPr="00837161">
        <w:t xml:space="preserve">cull </w:t>
      </w:r>
      <w:r w:rsidR="0089367E" w:rsidRPr="00837161">
        <w:t xml:space="preserve">this </w:t>
      </w:r>
      <w:r w:rsidR="00722977" w:rsidRPr="00837161">
        <w:t>charismatic species</w:t>
      </w:r>
      <w:r w:rsidR="00405899" w:rsidRPr="00837161">
        <w:t xml:space="preserve"> </w:t>
      </w:r>
      <w:r w:rsidR="001B0409" w:rsidRPr="00837161">
        <w:fldChar w:fldCharType="begin"/>
      </w:r>
      <w:r w:rsidR="000F35EB">
        <w:instrText xml:space="preserve"> ADDIN ZOTERO_ITEM CSL_CITATION {"citationID":"2b18qdfd","properties":{"formattedCitation":"(Castelblanco-Mart\\uc0\\u237{}nez et al., 2021)","plainCitation":"(Castelblanco-Martínez et al., 2021)","noteIndex":0},"citationItems":[{"id":31163,"uris":["http://zotero.org/groups/2352922/items/SXCBQURS"],"itemData":{"id":31163,"type":"article-journal","abstract":"Biological invasions are a big concern due to their potential to impact ecosystems, as well as local people. The hippo Hippopotamus amphibius, native to Africa, has invaded extensive areas of the Magdalena River basin (Colombia) over the past decades, and has been considered the largest invasive animal in the world. Here, we propose the use of two approaches of predictive modeling, in order to guide recommendations for the management of this biological invasion. First, we developed a population viability analysis (PVA) to simulate a hypothetical population growth under different management scenarios. Next, we explored the potential invasion area under future climate change scenarios throughout ecological niche modeling analyses. PVA models predicted that in the absence of an intense culling/hunting pressure, the population size will continue to steadily increase, which is consistent with the population growth observed during the last 20 years. Furthermore, our static and dynamic habitat suitability projections suggested that without dispersal limiting factors, potential colonization habitat for hippos may become very extensive across the landscape and can be favored by climate change in the future. Therefore, our findings show the urgent need of taking critical management decisions by the Colombian authorities, which should be focused on limiting the hippos' population growth and expansion. Ignoring cost-benefit considerations for the control of this invasive species may have unexpected and long-term social and ecological implications. However, the proposal of a course of action can become controversial when the species has a charismatic value for the society, regardless of its ecological or social impact.","container-title":"Biological Conservation","DOI":"10.1016/j.biocon.2020.108923","ISSN":"0006-3207","journalAbbreviation":"Biological Conservation","language":"en","page":"108923","source":"ScienceDirect","title":"A hippo in the room: Predicting the persistence and dispersion of an invasive mega-vertebrate in Colombia, South America","title-short":"A hippo in the room","URL":"https://www.sciencedirect.com/science/article/pii/S0006320720309812","volume":"253","author":[{"family":"Castelblanco-Martínez","given":"D. N."},{"family":"Moreno-Arias","given":"R. A."},{"family":"Velasco","given":"J. A."},{"family":"Moreno-Bernal","given":"J. W."},{"family":"Restrepo","given":"S."},{"family":"Noguera-Urbano","given":"E. A."},{"family":"Baptiste","given":"M. P."},{"family":"García-Loaiza","given":"L. M."},{"family":"Jiménez","given":"G."}],"accessed":{"date-parts":[["2021",9,15]]},"issued":{"date-parts":[["2021",1,1]]}},"label":"page"}],"schema":"https://github.com/citation-style-language/schema/raw/master/csl-citation.json"} </w:instrText>
      </w:r>
      <w:r w:rsidR="001B0409" w:rsidRPr="00837161">
        <w:fldChar w:fldCharType="separate"/>
      </w:r>
      <w:r w:rsidR="00271B78" w:rsidRPr="00271B78">
        <w:t>(Castelblanco-Martínez et al., 2021)</w:t>
      </w:r>
      <w:r w:rsidR="001B0409" w:rsidRPr="00837161">
        <w:fldChar w:fldCharType="end"/>
      </w:r>
      <w:r w:rsidR="78D86C8E" w:rsidRPr="00837161">
        <w:t>.</w:t>
      </w:r>
      <w:r w:rsidR="00F127BD" w:rsidRPr="00837161">
        <w:t xml:space="preserve"> </w:t>
      </w:r>
    </w:p>
    <w:p w14:paraId="000002FC" w14:textId="239CF3F1" w:rsidR="00A758FD" w:rsidRPr="0079215C" w:rsidRDefault="002D4D8B" w:rsidP="0079215C">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397" w:name="_Ref112928951"/>
      <w:bookmarkStart w:id="398" w:name="_Toc87623073"/>
      <w:bookmarkStart w:id="399" w:name="_Toc147488948"/>
      <w:r w:rsidRPr="0079215C">
        <w:rPr>
          <w:b/>
          <w:bCs/>
        </w:rPr>
        <w:t>Box 5.</w:t>
      </w:r>
      <w:r w:rsidRPr="0079215C">
        <w:rPr>
          <w:b/>
          <w:bCs/>
        </w:rPr>
        <w:fldChar w:fldCharType="begin"/>
      </w:r>
      <w:r w:rsidRPr="0079215C">
        <w:rPr>
          <w:b/>
          <w:bCs/>
        </w:rPr>
        <w:instrText>SEQ Box_5. \* ARABIC</w:instrText>
      </w:r>
      <w:r w:rsidRPr="0079215C">
        <w:rPr>
          <w:b/>
          <w:bCs/>
        </w:rPr>
        <w:fldChar w:fldCharType="separate"/>
      </w:r>
      <w:r w:rsidR="00DC77F8" w:rsidRPr="0079215C">
        <w:rPr>
          <w:b/>
          <w:bCs/>
          <w:noProof/>
        </w:rPr>
        <w:t>13</w:t>
      </w:r>
      <w:r w:rsidRPr="0079215C">
        <w:rPr>
          <w:b/>
          <w:bCs/>
        </w:rPr>
        <w:fldChar w:fldCharType="end"/>
      </w:r>
      <w:bookmarkEnd w:id="397"/>
      <w:r w:rsidR="007576CB" w:rsidRPr="0079215C">
        <w:rPr>
          <w:b/>
          <w:bCs/>
        </w:rPr>
        <w:t>.</w:t>
      </w:r>
      <w:bookmarkStart w:id="400" w:name="_heading=h.4anzqyu" w:colFirst="0" w:colLast="0"/>
      <w:bookmarkEnd w:id="400"/>
      <w:r w:rsidR="00C81287" w:rsidRPr="0079215C">
        <w:rPr>
          <w:b/>
          <w:color w:val="000000"/>
        </w:rPr>
        <w:t xml:space="preserve"> The conflicts of lethal control of invasive alien vertebrates’ case study: managing wild horses in the Australian Alps National Park</w:t>
      </w:r>
      <w:bookmarkEnd w:id="398"/>
      <w:bookmarkEnd w:id="399"/>
    </w:p>
    <w:p w14:paraId="150FAA1E" w14:textId="3DE2FF0D" w:rsidR="000F7A21" w:rsidRPr="00837161" w:rsidRDefault="00C81287" w:rsidP="0079215C">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r w:rsidRPr="00C0338D">
        <w:rPr>
          <w:i/>
        </w:rPr>
        <w:t>Equus caballus</w:t>
      </w:r>
      <w:r w:rsidRPr="00C0338D">
        <w:t xml:space="preserve"> (horse) is alien to alpine Australia, but wild horse (local name “Brumbies”) populations exist there since grazing properties were first allowed on these </w:t>
      </w:r>
      <w:r w:rsidR="001D58C7">
        <w:t>I</w:t>
      </w:r>
      <w:r w:rsidRPr="00C0338D">
        <w:t xml:space="preserve">ndigenous lands in the mid 1800 </w:t>
      </w:r>
      <w:r w:rsidR="008F44BD" w:rsidRPr="00837161">
        <w:t>(</w:t>
      </w:r>
      <w:r w:rsidR="00191A6E">
        <w:rPr>
          <w:b/>
          <w:iCs/>
        </w:rPr>
        <w:t>Figure 5.18</w:t>
      </w:r>
      <w:r w:rsidR="000232A3" w:rsidRPr="00837161">
        <w:t>)</w:t>
      </w:r>
      <w:r w:rsidR="493F515C" w:rsidRPr="00837161">
        <w:t>.</w:t>
      </w:r>
      <w:r w:rsidRPr="00C0338D">
        <w:t xml:space="preserve"> Since then, wild horses have been enshrined in classic Australian literature and, even after alpine cattle grazing was banned in the 1990s, horses were left unmanaged. Following this, the Indigenous Peoples and local communities and other communities have been in conflict over whether the horses should be cherished or removed. Culling programmes stopped in 2002 and in 2018 these horses were protected under heritage state legislation. Today numbers have increased seven-fold since 2002 clearly decimating the unique habitats of threatened native alpine species (</w:t>
      </w:r>
      <w:r w:rsidR="493F515C" w:rsidRPr="00837161">
        <w:t xml:space="preserve">broad-toothed rat, </w:t>
      </w:r>
      <w:r w:rsidR="0BD3A670" w:rsidRPr="00837161">
        <w:t>cor</w:t>
      </w:r>
      <w:r w:rsidR="66058872" w:rsidRPr="00837161">
        <w:t>r</w:t>
      </w:r>
      <w:r w:rsidR="0BD3A670" w:rsidRPr="00837161">
        <w:t>oboree</w:t>
      </w:r>
      <w:r w:rsidR="493F515C" w:rsidRPr="00837161">
        <w:t xml:space="preserve"> frog and she-oak skink) with horse rehoming (the only allowed management strategy) proving insufficient </w:t>
      </w:r>
      <w:r w:rsidR="00F8190B" w:rsidRPr="00837161">
        <w:fldChar w:fldCharType="begin"/>
      </w:r>
      <w:r w:rsidR="000F35EB">
        <w:instrText xml:space="preserve"> ADDIN ZOTERO_ITEM CSL_CITATION {"citationID":"ltu2HoHc","properties":{"formattedCitation":"(Driscoll et al., 2019)","plainCitation":"(Driscoll et al., 2019)","noteIndex":0},"citationItems":[{"id":30072,"uris":["http://zotero.org/groups/2352922/items/C6SQ9MVP"],"itemData":{"id":30072,"type":"article-journal","abstract":"New evidence of impacts by feral horses in Australia's alpine parks systems confirms they endanger threatened species and extensively damage critically endangered bog communities that could take millennia to recover. These impacts are not confounded by effects of deer and accumulate over time, even when only a small number of feral horses ( 100) are present. With protected areas representing only a small proportion of the area of the Australian states of New South Wales (9.3%) and Victoria (17%), allowing feral horses to degrade reserves is not a reasonable management compromise, is contrary to the purpose of the protected area system and conflicts with international obligations. Modelling and decades of management experience indicate that trapping alone does not control feral horse numbers. Trapping and fertility control can work in small populations, but not when there are several thousand horses in remote areas. Aerial culling is needed to cost-effectively and humanely control feral horse populations. The relatively small amount of suffering feral horses experience during a cull is outweighed by (i) avoiding suffering and death of horses from starvation and thirst, (ii) avoiding the suffering of native animals displaced by horses and (iii) avoiding the ethical concerns of driving threatened species towards extinction. Objections to aerial culling on welfare and cultural grounds are contradicted by evidence. Improving knowledge in the general community about what is at stake is long overdue because without this knowledge, small groups with vested interests and unfounded claims have been able to dominate debate and dictate management actions. As a result of ineffective management, horse populations are now expanding and causing well-documented damage to Australia's alpine parks, placing at risk almost $10M spent on restoration after livestock grazing ended. The costs of horse control and restoration escalate the longer large horse populations remain in the alpine parks. It is crucial that feral horse numbers are rapidly reduced to levels where ecosystems begin to recover. Aerial culling is needed as part of the toolbox to achieve that reduction.","container-title":"Ecological Management &amp; Restoration","DOI":"10.1111/emr.12357","ISSN":"1442-8903","issue":"1","language":"en","note":"_eprint: https://onlinelibrary.wiley.com/doi/pdf/10.1111/emr.12357","page":"63-72","source":"Wiley Online Library","title":"Impacts of feral horses in the Australian Alps and evidence-based solutions","URL":"https://onlinelibrary.wiley.com/doi/abs/10.1111/emr.12357","volume":"20","author":[{"family":"Driscoll","given":"Don A."},{"family":"Worboys","given":"Graeme L."},{"family":"Allan","given":"Hugh"},{"family":"Banks","given":"Sam C."},{"family":"Beeton","given":"Nicholas J."},{"family":"Cherubin","given":"Rebecca C."},{"family":"Doherty","given":"Tim S."},{"family":"Finlayson","given":"C. Max"},{"family":"Green","given":"Ken"},{"family":"Hartley","given":"Renée"},{"family":"Hope","given":"Geoffrey"},{"family":"Johnson","given":"Chris N."},{"family":"Lintermans","given":"Mark"},{"family":"Mackey","given":"Brendan"},{"family":"Paull","given":"David J."},{"family":"Pittock","given":"Jamie"},{"family":"Porfirio","given":"Luciana L."},{"family":"Ritchie","given":"Euan G."},{"family":"Sato","given":"Chloe F."},{"family":"Scheele","given":"Ben C."},{"family":"Slattery","given":"Deirdre A."},{"family":"Venn","given":"Susanna"},{"family":"Watson","given":"David"},{"family":"Watson","given":"Maggie"},{"family":"Williams","given":"Richard M."}],"accessed":{"date-parts":[["2021",8,21]]},"issued":{"date-parts":[["2019"]]}},"label":"page"}],"schema":"https://github.com/citation-style-language/schema/raw/master/csl-citation.json"} </w:instrText>
      </w:r>
      <w:r w:rsidR="00F8190B" w:rsidRPr="00837161">
        <w:fldChar w:fldCharType="separate"/>
      </w:r>
      <w:r w:rsidR="00271B78" w:rsidRPr="00271B78">
        <w:t>(Driscoll et al., 2019)</w:t>
      </w:r>
      <w:r w:rsidR="00F8190B" w:rsidRPr="00837161">
        <w:fldChar w:fldCharType="end"/>
      </w:r>
      <w:r w:rsidR="493F515C" w:rsidRPr="00837161">
        <w:t>.</w:t>
      </w:r>
      <w:r w:rsidRPr="00C0338D">
        <w:t xml:space="preserve"> Choice between native and charismatic alien species is always hard, but the Australian Royal Society for the Prevention of Cruelty to Animals </w:t>
      </w:r>
      <w:hyperlink r:id="rId100" w:history="1">
        <w:r w:rsidR="00C726DF" w:rsidRPr="00837161">
          <w:fldChar w:fldCharType="begin"/>
        </w:r>
        <w:r w:rsidR="000F35EB">
          <w:instrText xml:space="preserve"> ADDIN ZOTERO_ITEM CSL_CITATION {"citationID":"vhlXaULW","properties":{"formattedCitation":"(RSPCA, 2021)","plainCitation":"(RSPCA, 2021)","noteIndex":0},"citationItems":[{"id":54321,"uris":["http://zotero.org/groups/2352922/items/7A4XRDM9"],"itemData":{"id":54321,"type":"webpage","container-title":"Royal Society for the Prevention of Cruelty to Animals, Australia","language":"en","title":"About Us","URL":"https://www.rspca.org.au/about-us","author":[{"literal":"RSPCA"}],"accessed":{"date-parts":[["2021",12,20]]},"issued":{"date-parts":[["2021"]]}},"label":"page"}],"schema":"https://github.com/citation-style-language/schema/raw/master/csl-citation.json"} </w:instrText>
        </w:r>
        <w:r w:rsidR="00C726DF" w:rsidRPr="00837161">
          <w:fldChar w:fldCharType="separate"/>
        </w:r>
        <w:r w:rsidR="00271B78" w:rsidRPr="00271B78">
          <w:t>(RSPCA, 2021)</w:t>
        </w:r>
        <w:r w:rsidR="00C726DF" w:rsidRPr="00837161">
          <w:fldChar w:fldCharType="end"/>
        </w:r>
        <w:r w:rsidR="493F515C" w:rsidRPr="00837161">
          <w:t xml:space="preserve"> has decided to support an aerial culling program</w:t>
        </w:r>
      </w:hyperlink>
      <w:r w:rsidRPr="00C0338D">
        <w:t xml:space="preserve">me, much to the dismay of the horse lovers. </w:t>
      </w:r>
    </w:p>
    <w:p w14:paraId="000002FE" w14:textId="77777777" w:rsidR="00A758FD" w:rsidRDefault="00C8128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jc w:val="center"/>
      </w:pPr>
      <w:r>
        <w:rPr>
          <w:noProof/>
        </w:rPr>
        <w:drawing>
          <wp:inline distT="0" distB="0" distL="0" distR="0" wp14:anchorId="365173D8" wp14:editId="6DD5E408">
            <wp:extent cx="5341449" cy="2786095"/>
            <wp:effectExtent l="0" t="0" r="0" b="0"/>
            <wp:docPr id="1971555477" name="image22.png" descr="A group of horses grazing in a fiel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A group of horses grazing in a field&#10;&#10;Description automatically generated"/>
                    <pic:cNvPicPr preferRelativeResize="0"/>
                  </pic:nvPicPr>
                  <pic:blipFill>
                    <a:blip r:embed="rId101"/>
                    <a:srcRect/>
                    <a:stretch>
                      <a:fillRect/>
                    </a:stretch>
                  </pic:blipFill>
                  <pic:spPr>
                    <a:xfrm>
                      <a:off x="0" y="0"/>
                      <a:ext cx="5341449" cy="2786095"/>
                    </a:xfrm>
                    <a:prstGeom prst="rect">
                      <a:avLst/>
                    </a:prstGeom>
                    <a:ln/>
                  </pic:spPr>
                </pic:pic>
              </a:graphicData>
            </a:graphic>
          </wp:inline>
        </w:drawing>
      </w:r>
    </w:p>
    <w:p w14:paraId="000002FF" w14:textId="4196B01F" w:rsidR="00A758FD" w:rsidRPr="0079215C" w:rsidRDefault="00C81287" w:rsidP="0079215C">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rPr>
      </w:pPr>
      <w:bookmarkStart w:id="401" w:name="_heading=h.2pta16n" w:colFirst="0" w:colLast="0"/>
      <w:bookmarkStart w:id="402" w:name="_Ref112929048"/>
      <w:bookmarkStart w:id="403" w:name="_Ref131083774"/>
      <w:bookmarkStart w:id="404" w:name="_Toc147489371"/>
      <w:bookmarkEnd w:id="401"/>
      <w:r w:rsidRPr="0079215C">
        <w:rPr>
          <w:lang w:val="en-GB"/>
        </w:rPr>
        <w:lastRenderedPageBreak/>
        <w:t>Figure 5</w:t>
      </w:r>
      <w:r w:rsidR="000F7A21" w:rsidRPr="00837161">
        <w:rPr>
          <w:lang w:val="en-GB"/>
        </w:rPr>
        <w:t>.</w:t>
      </w:r>
      <w:r w:rsidR="000F7A21" w:rsidRPr="00837161">
        <w:rPr>
          <w:lang w:val="en-GB"/>
        </w:rPr>
        <w:fldChar w:fldCharType="begin"/>
      </w:r>
      <w:r w:rsidR="000F7A21" w:rsidRPr="00837161">
        <w:rPr>
          <w:lang w:val="en-GB"/>
        </w:rPr>
        <w:instrText xml:space="preserve"> SEQ Figure_5. \* ARABIC </w:instrText>
      </w:r>
      <w:r w:rsidR="000F7A21" w:rsidRPr="00837161">
        <w:rPr>
          <w:lang w:val="en-GB"/>
        </w:rPr>
        <w:fldChar w:fldCharType="separate"/>
      </w:r>
      <w:r w:rsidR="00DC77F8">
        <w:rPr>
          <w:noProof/>
          <w:lang w:val="en-GB"/>
        </w:rPr>
        <w:t>18</w:t>
      </w:r>
      <w:r w:rsidR="000F7A21" w:rsidRPr="00837161">
        <w:rPr>
          <w:lang w:val="en-GB"/>
        </w:rPr>
        <w:fldChar w:fldCharType="end"/>
      </w:r>
      <w:bookmarkEnd w:id="402"/>
      <w:r w:rsidR="007576CB" w:rsidRPr="00837161">
        <w:rPr>
          <w:lang w:val="en-GB"/>
        </w:rPr>
        <w:t>.</w:t>
      </w:r>
      <w:r w:rsidRPr="0079215C">
        <w:rPr>
          <w:b w:val="0"/>
          <w:lang w:val="en-GB"/>
        </w:rPr>
        <w:t xml:space="preserve"> </w:t>
      </w:r>
      <w:r w:rsidRPr="0079215C">
        <w:rPr>
          <w:b w:val="0"/>
          <w:i/>
          <w:lang w:val="en-GB"/>
        </w:rPr>
        <w:t xml:space="preserve">Equus </w:t>
      </w:r>
      <w:r w:rsidRPr="0079215C">
        <w:rPr>
          <w:b w:val="0"/>
          <w:bCs w:val="0"/>
          <w:i/>
          <w:color w:val="000000"/>
        </w:rPr>
        <w:t>caballus</w:t>
      </w:r>
      <w:r w:rsidRPr="0079215C">
        <w:rPr>
          <w:b w:val="0"/>
          <w:bCs w:val="0"/>
          <w:color w:val="000000"/>
        </w:rPr>
        <w:t xml:space="preserve"> (horse) invading the native alpine grasslands of the Snowy Mountains National Park in Australia.</w:t>
      </w:r>
      <w:bookmarkEnd w:id="403"/>
      <w:r w:rsidRPr="0079215C">
        <w:rPr>
          <w:b w:val="0"/>
          <w:bCs w:val="0"/>
          <w:color w:val="000000"/>
        </w:rPr>
        <w:t xml:space="preserve"> Photo credit: ms_pics_and_more, Shutterstock – Copyright.</w:t>
      </w:r>
      <w:bookmarkEnd w:id="404"/>
    </w:p>
    <w:p w14:paraId="00000300" w14:textId="77DD22B1" w:rsidR="00A758FD" w:rsidRPr="00C0338D" w:rsidRDefault="00C81287">
      <w:pPr>
        <w:spacing w:before="240" w:after="120" w:line="240" w:lineRule="auto"/>
      </w:pPr>
      <w:r w:rsidRPr="00C0338D">
        <w:t xml:space="preserve">Nonetheless, lethal control is still a conventional approach in countries where large populations of invasive alien vertebrates have massive ecological impacts and cause high native species extinction rates. Lethal control has been the main basis of highly successful vertebrate eradication programs on </w:t>
      </w:r>
      <w:r w:rsidR="00912848">
        <w:t>i</w:t>
      </w:r>
      <w:r w:rsidRPr="00C0338D">
        <w:t xml:space="preserve">slands around the world </w:t>
      </w:r>
      <w:r w:rsidR="00AD6252" w:rsidRPr="00837161">
        <w:rPr>
          <w:lang w:eastAsia="ja-JP"/>
        </w:rPr>
        <w:fldChar w:fldCharType="begin"/>
      </w:r>
      <w:r w:rsidR="000F35EB">
        <w:rPr>
          <w:lang w:eastAsia="ja-JP"/>
        </w:rPr>
        <w:instrText xml:space="preserve"> ADDIN ZOTERO_ITEM CSL_CITATION {"citationID":"Tp6UY4Oz","properties":{"formattedCitation":"(Holmes et al., 2019; B. A. Jones et al., 2016)","plainCitation":"(Holmes et al., 2019; B. A. Jones et al., 2016)","noteIndex":0},"citationItems":[{"id":24249,"uris":["http://zotero.org/groups/2352922/items/FEQ4MY97"],"itemData":{"id":24249,"type":"article-journal","abstract":"Invasive alien species are a major threat to native insular species. Eradicating invasive mammals from islands is a feasible and proven approach to prevent biodiversity loss. We developed a conceptual framework to identify globally important islands for invasive mammal eradications to prevent imminent extinctions of highly threatened species using biogeographic and technical factors, plus a novel approach to consider socio-political feasibility. We applied this framework using a comprehensive dataset describing the distribution of 1,184 highly threatened native vertebrate species (i.e. those listed as Critically Endangered or Endangered on the IUCN Red List) and 184 non-native mammals on 1,279 islands worldwide. Based on extinction risk, irreplaceability, severity of impact from invasive species, and technical feasibility of eradication, we identified and ranked 292 of the most important islands where eradicating invasive mammals would benefit highly threatened vertebrates. When socio-political feasibility was considered, we identified 169 of these islands where eradication planning or operation could be initiated by 2020 or 2030 and would improve the survival prospects of 9.4% of the Earth’s most highly threatened terrestrial insular vertebrates (111 of 1,184 species). Of these, 107 islands were in 34 countries and territories and could have eradication projects initiated by 2020. Concentrating efforts to eradicate invasive mammals on these 107 islands would benefit 151 populations of 80 highly threatened vertebrates and make a major contribution towards achieving global conservation targets adopted by the world’s nations.","container-title":"PLoS ONE","DOI":"10.1371/journal.pone.0212128","ISSN":"1932-6203","issue":"3","journalAbbreviation":"PLOS ONE","language":"en","page":"e0212128","source":"PLoS Journals","title":"Globally important islands where eradicating invasive mammals will benefit highly threatened vertebrates","URL":"https://journals.plos.org/plosone/article?id=10.1371/journal.pone.0212128","volume":"14","author":[{"family":"Holmes","given":"Nick D."},{"family":"Spatz","given":"Dena R."},{"family":"Oppel","given":"Steffen"},{"family":"Tershy","given":"Bernie"},{"family":"Croll","given":"Donald A."},{"family":"Keitt","given":"Brad"},{"family":"Genovesi","given":"Piero"},{"family":"Burfield","given":"Ian J."},{"family":"Will","given":"David J."},{"family":"Bond","given":"Alexander L."},{"family":"Wegmann","given":"Alex"},{"family":"Aguirre-Muñoz","given":"Alfonso"},{"family":"Raine","given":"André F."},{"family":"Knapp","given":"Charles R."},{"family":"Hung","given":"Chung-Hang"},{"family":"Wingate","given":"David"},{"family":"Hagen","given":"Erin"},{"family":"Méndez-Sánchez","given":"Federico"},{"family":"Rocamora","given":"Gerard"},{"family":"Yuan","given":"Hsiao-Wei"},{"family":"Fric","given":"Jakob"},{"family":"Millett","given":"James"},{"family":"Russell","given":"James"},{"family":"Liske-Clark","given":"Jill"},{"family":"Vidal","given":"Eric"},{"family":"Jourdan","given":"Hervé"},{"family":"Campbell","given":"Karl"},{"family":"Springer","given":"Keith"},{"family":"Swinnerton","given":"Kirsty"},{"family":"Gibbons-Decherong","given":"Lolita"},{"family":"Langrand","given":"Olivier"},{"family":"Brooke","given":"M. de L."},{"family":"McMinn","given":"Miguel"},{"family":"Bunbury","given":"Nancy"},{"family":"Oliveira","given":"Nuno"},{"family":"Sposimo","given":"Paolo"},{"family":"Geraldes","given":"Pedro"},{"family":"McClelland","given":"Pete"},{"family":"Hodum","given":"Peter"},{"family":"Ryan","given":"Peter G."},{"family":"Borroto-Páez","given":"Rafael"},{"family":"Pierce","given":"Ray"},{"family":"Griffiths","given":"Richard"},{"family":"Fisher","given":"Robert N."},{"family":"Wanless","given":"Ross"},{"family":"Pasachnik","given":"Stesha A."},{"family":"Cranwell","given":"Steve"},{"family":"Micol","given":"Thierry"},{"family":"Butchart","given":"Stuart H. M."}],"accessed":{"date-parts":[["2019",10,12]]},"issued":{"date-parts":[["2019",3,27]]}},"label":"page"},{"id":11675,"uris":["http://zotero.org/groups/2352922/items/Q3L8T6HV"],"itemData":{"id":11675,"type":"article-journal","abstract":"This paper examines invasive species management when invasive species impact health outcomes indirectly through changes to environmental quality. For example, the emerald ash borer (EAB) has destroyed millions of ash trees throughout North America and has the potential to impact rates of cardiorespiratory mortality and morbidity through ash trees’ ability to capture airborne pollutants. Optimal management inclusive of indirect health externalities may be different than status quo plans because the links between nature and health are complex, dynamic, and spatially heterogeneous. We produce a novel dynamic bioeconomic-health model to determine optimal EAB management in the face of such health effects. Our results show that including health increases net beneﬁts of management substantially and that a “one size ﬁts all” management approach is suboptimal given forest cover and demographic spatial heterogeneity. Net beneﬁts to society are 873% higher and air pollution related mortality incidence is 82% lower when health externalities are included in management proﬁles using insecticide treatments and non-ash tree preemptive plantings without removal. Additionally, constrained managers optimally substitute toward preemptive tree plantings and away from insecticide use in the presence of indirect health externalities as a way to minimize disruptions to air quality. This paper has policy implications for the optimal management of environmental amenities.","container-title":"Journal of Environmental Management","DOI":"10.1016/j.jenvman.2016.05.026","ISSN":"03014797","journalAbbreviation":"Journal of Environmental Management","language":"en","page":"538-550","source":"DOI.org (Crossref)","title":"PLAN or get SLAM’ed: Optimal management of invasive species in the presence of indirect health externalities","title-short":"PLAN or get SLAM’ed","URL":"https://linkinghub.elsevier.com/retrieve/pii/S0301479716302754","volume":"180","author":[{"family":"Jones","given":"Benjamin A."},{"family":"McDermott","given":"Shana M."},{"family":"Chermak","given":"Janie M."}],"accessed":{"date-parts":[["2020",6,19]]},"issued":{"date-parts":[["2016",9]]}},"label":"page"}],"schema":"https://github.com/citation-style-language/schema/raw/master/csl-citation.json"} </w:instrText>
      </w:r>
      <w:r w:rsidR="00AD6252" w:rsidRPr="00837161">
        <w:rPr>
          <w:lang w:eastAsia="ja-JP"/>
        </w:rPr>
        <w:fldChar w:fldCharType="separate"/>
      </w:r>
      <w:r w:rsidR="00271B78" w:rsidRPr="00271B78">
        <w:t>(Holmes et al., 2019; B. A. Jones et al., 2016)</w:t>
      </w:r>
      <w:r w:rsidR="00AD6252" w:rsidRPr="00837161">
        <w:rPr>
          <w:lang w:eastAsia="ja-JP"/>
        </w:rPr>
        <w:fldChar w:fldCharType="end"/>
      </w:r>
      <w:r w:rsidR="008800EF" w:rsidRPr="00837161">
        <w:rPr>
          <w:lang w:eastAsia="ja-JP"/>
        </w:rPr>
        <w:t xml:space="preserve">. </w:t>
      </w:r>
      <w:r w:rsidR="00A52198" w:rsidRPr="00837161">
        <w:rPr>
          <w:lang w:eastAsia="ja-JP"/>
        </w:rPr>
        <w:t>On large land masses</w:t>
      </w:r>
      <w:r w:rsidR="02169605" w:rsidRPr="00837161">
        <w:rPr>
          <w:lang w:eastAsia="ja-JP"/>
        </w:rPr>
        <w:t>,</w:t>
      </w:r>
      <w:r w:rsidR="00A52198" w:rsidRPr="00837161">
        <w:rPr>
          <w:lang w:eastAsia="ja-JP"/>
        </w:rPr>
        <w:t xml:space="preserve"> </w:t>
      </w:r>
      <w:r w:rsidR="00412FD4" w:rsidRPr="00837161">
        <w:rPr>
          <w:lang w:eastAsia="ja-JP"/>
        </w:rPr>
        <w:t xml:space="preserve">lethal control </w:t>
      </w:r>
      <w:r w:rsidR="00567079" w:rsidRPr="00837161">
        <w:rPr>
          <w:lang w:eastAsia="ja-JP"/>
        </w:rPr>
        <w:t xml:space="preserve">can </w:t>
      </w:r>
      <w:r w:rsidR="00412FD4" w:rsidRPr="00837161">
        <w:rPr>
          <w:lang w:eastAsia="ja-JP"/>
        </w:rPr>
        <w:t xml:space="preserve">also </w:t>
      </w:r>
      <w:r w:rsidR="00567079" w:rsidRPr="00837161">
        <w:rPr>
          <w:lang w:eastAsia="ja-JP"/>
        </w:rPr>
        <w:t xml:space="preserve">be </w:t>
      </w:r>
      <w:r w:rsidR="001B0409" w:rsidRPr="00837161">
        <w:rPr>
          <w:lang w:eastAsia="ja-JP"/>
        </w:rPr>
        <w:t>effective at reducing the impact of invasive alien vertebrates across short time frames (up to a few years) applied by hunting, poisoning or trapping. It has a long history to support its cost-effectiveness where expertly strategically planned and implemented</w:t>
      </w:r>
      <w:r w:rsidR="006107B4" w:rsidRPr="00837161">
        <w:rPr>
          <w:lang w:eastAsia="ja-JP"/>
        </w:rPr>
        <w:t xml:space="preserve"> </w:t>
      </w:r>
      <w:r w:rsidR="001B0409" w:rsidRPr="00837161">
        <w:fldChar w:fldCharType="begin"/>
      </w:r>
      <w:r w:rsidR="000F35EB">
        <w:instrText xml:space="preserve"> ADDIN ZOTERO_ITEM CSL_CITATION {"citationID":"2qsqNrhH","properties":{"formattedCitation":"(Burrows, 2018)","plainCitation":"(Burrows, 2018)","noteIndex":0},"citationItems":[{"id":32914,"uris":["http://zotero.org/groups/2352922/items/49WHDNXZ"],"itemData":{"id":32914,"type":"chapter","abstract":"For millions of years, Australia’s terrestrial fauna and flora, driven by climatic oscillations and geomorphological processes, co-evolved in isolation. The result was a rich diversity of unusual wildlife, high levels of endemism and, prior to the arrival of humans, a pristine wilderness existing in a dynamic equilibrium. Following the arrival of Aborigines some 40–60 ka, Australia ceased to exist as a wilderness. Largely through hunting and burning the vegetation, Aborigines changed the structure and composition of the biota (Roberts et al. 1995; Bowman 1998; Flannery 2002; Gammage 2011; Jurskis 2014). This was further exacerbated by the introduction of the first feral animal to the Australian continent, the dingo (Canis lupus dingo), some 3500–4000 years ago from neighbouring Indonesia or New Guinea (Gollan 1984; Clarkson et al. 2015). The dingo established across the entire mainland, including the arid zone, and asserted itself as a top-order predator (Glen and Dickman 2005; Moseby et al. 2012). It is thought to have caused the extinction of at least three vertebrates on the mainland: the thylacine (Thylacinus cynocephalus), the Tasmanian devil (Sarcophilus harrisii) and the Tasmanian native hen (Gallinula mortierii) (Corbett 1995; Johnson and Wroe 2003).","container-title":"On the Ecology of Australia’s Arid Zone","event-place":"Cham","ISBN":"978-3-319-93943-8","language":"en","note":"DOI: 10.1007/978-3-319-93943-8_13","page":"331-373","publisher":"Springer International Publishing","publisher-place":"Cham","source":"Springer Link","title":"Feral Animals in the Semi-arid and Arid Regions of Australia: Origins, Impacts and Control","title-short":"Feral Animals in the Semi-arid and Arid Regions of Australia","URL":"https://doi.org/10.1007/978-3-319-93943-8_13","author":[{"family":"Burrows","given":"Neil D."}],"editor":[{"family":"Lambers","given":"Hans"}],"accessed":{"date-parts":[["2021",10,31]]},"issued":{"date-parts":[["2018"]]}},"label":"page"}],"schema":"https://github.com/citation-style-language/schema/raw/master/csl-citation.json"} </w:instrText>
      </w:r>
      <w:r w:rsidR="001B0409" w:rsidRPr="00837161">
        <w:fldChar w:fldCharType="separate"/>
      </w:r>
      <w:r w:rsidR="00271B78" w:rsidRPr="00271B78">
        <w:t>(Burrows, 2018)</w:t>
      </w:r>
      <w:r w:rsidR="001B0409" w:rsidRPr="00837161">
        <w:fldChar w:fldCharType="end"/>
      </w:r>
      <w:r w:rsidR="00092C58" w:rsidRPr="00837161">
        <w:t xml:space="preserve">, </w:t>
      </w:r>
      <w:r w:rsidR="00EF252A" w:rsidRPr="00837161">
        <w:t xml:space="preserve">but this is rarely the case </w:t>
      </w:r>
      <w:r w:rsidR="008800EF" w:rsidRPr="00837161">
        <w:fldChar w:fldCharType="begin"/>
      </w:r>
      <w:r w:rsidR="000F35EB">
        <w:instrText xml:space="preserve"> ADDIN ZOTERO_ITEM CSL_CITATION {"citationID":"T14yJa91","properties":{"formattedCitation":"(Hone, 2007)","plainCitation":"(Hone, 2007)","noteIndex":0},"citationItems":[{"id":31353,"uris":["http://zotero.org/groups/2352922/items/9TPARZNH"],"itemData":{"id":31353,"type":"book","abstract":"Booktopia has Analysis of Vertebrate Pest Control, Cambridge Studies in Applied Ecology and Resource Management by Jim Hone. Buy a discounted Paperback of Analysis of Vertebrate Pest Control online from Australia's leading online bookstore.","ISBN":"978-0-521-03897-3","title":"Analysis of Vertebrate Pest Control, Cambridge Studies in Applied Ecology and Resource Management","URL":"https://www.booktopia.com.au/analysis-of-vertebrate-pest-control-jim-hone/book/9780521038973.html","author":[{"family":"Hone","given":"Jim"}],"accessed":{"date-parts":[["2021",11,18]]},"issued":{"date-parts":[["2007"]]}},"label":"page"}],"schema":"https://github.com/citation-style-language/schema/raw/master/csl-citation.json"} </w:instrText>
      </w:r>
      <w:r w:rsidR="008800EF" w:rsidRPr="00837161">
        <w:fldChar w:fldCharType="separate"/>
      </w:r>
      <w:r w:rsidR="00271B78" w:rsidRPr="00271B78">
        <w:t>(Hone, 2007)</w:t>
      </w:r>
      <w:r w:rsidR="008800EF" w:rsidRPr="00837161">
        <w:fldChar w:fldCharType="end"/>
      </w:r>
      <w:r w:rsidR="008800EF" w:rsidRPr="00837161">
        <w:t>.</w:t>
      </w:r>
      <w:r w:rsidR="00E04288">
        <w:t xml:space="preserve"> </w:t>
      </w:r>
      <w:r w:rsidR="00855097" w:rsidRPr="00837161">
        <w:rPr>
          <w:lang w:eastAsia="ja-JP"/>
        </w:rPr>
        <w:t>Where effective</w:t>
      </w:r>
      <w:r w:rsidR="4318A492" w:rsidRPr="00837161">
        <w:rPr>
          <w:lang w:eastAsia="ja-JP"/>
        </w:rPr>
        <w:t>,</w:t>
      </w:r>
      <w:r w:rsidR="00855097" w:rsidRPr="00837161">
        <w:rPr>
          <w:lang w:eastAsia="ja-JP"/>
        </w:rPr>
        <w:t xml:space="preserve"> t</w:t>
      </w:r>
      <w:r w:rsidR="001B0409" w:rsidRPr="00837161">
        <w:rPr>
          <w:lang w:eastAsia="ja-JP"/>
        </w:rPr>
        <w:t>he environmental benefits are well-recogni</w:t>
      </w:r>
      <w:r w:rsidR="00814B7A" w:rsidRPr="00837161">
        <w:rPr>
          <w:lang w:eastAsia="ja-JP"/>
        </w:rPr>
        <w:t>z</w:t>
      </w:r>
      <w:r w:rsidR="001B0409" w:rsidRPr="00837161">
        <w:rPr>
          <w:lang w:eastAsia="ja-JP"/>
        </w:rPr>
        <w:t>ed, even though benefit-cost analyses are rare and are subject to much uncertainty</w:t>
      </w:r>
      <w:r w:rsidR="00690815" w:rsidRPr="00837161">
        <w:rPr>
          <w:lang w:eastAsia="ja-JP"/>
        </w:rPr>
        <w:t xml:space="preserve"> </w:t>
      </w:r>
      <w:r w:rsidR="001B0409" w:rsidRPr="00837161">
        <w:fldChar w:fldCharType="begin"/>
      </w:r>
      <w:r w:rsidR="000F35EB">
        <w:instrText xml:space="preserve"> ADDIN ZOTERO_ITEM CSL_CITATION {"citationID":"vW4NGqCQ","properties":{"formattedCitation":"(Newsome et al., 2017)","plainCitation":"(Newsome et al., 2017)","noteIndex":0},"citationItems":[{"id":30922,"uris":["http://zotero.org/groups/2352922/items/BD2BNP3P"],"itemData":{"id":30922,"type":"article-journal","container-title":"Australasian Science","issue":"1","journalAbbreviation":"Australasian Science","page":"28-30","title":"Does Culling Work?","URL":"http://www.australasianscience.com.au/article/issue-janfeb-2017/does-culling-work.html","volume":"38","author":[{"family":"Newsome","given":"Thomas"},{"family":"Eeden","given":"Lily","non-dropping-particle":"van"},{"family":"Lazenby","given":"Billie"},{"family":"Dickman","given":"Christopher"}],"accessed":{"date-parts":[["2021",10,31]]},"issued":{"date-parts":[["2017"]]}},"label":"page"}],"schema":"https://github.com/citation-style-language/schema/raw/master/csl-citation.json"} </w:instrText>
      </w:r>
      <w:r w:rsidR="001B0409" w:rsidRPr="00837161">
        <w:fldChar w:fldCharType="separate"/>
      </w:r>
      <w:r w:rsidR="00271B78" w:rsidRPr="00271B78">
        <w:t>(Newsome et al., 2017)</w:t>
      </w:r>
      <w:r w:rsidR="001B0409" w:rsidRPr="00837161">
        <w:fldChar w:fldCharType="end"/>
      </w:r>
      <w:r w:rsidR="001B0409" w:rsidRPr="00837161">
        <w:rPr>
          <w:lang w:eastAsia="ja-JP"/>
        </w:rPr>
        <w:t>.</w:t>
      </w:r>
      <w:r w:rsidR="0024235C" w:rsidRPr="00837161">
        <w:rPr>
          <w:lang w:eastAsia="ja-JP"/>
        </w:rPr>
        <w:t xml:space="preserve"> Effective widespread control can be achieved with a g</w:t>
      </w:r>
      <w:r w:rsidR="001B0409" w:rsidRPr="00837161">
        <w:rPr>
          <w:lang w:eastAsia="ja-JP"/>
        </w:rPr>
        <w:t>ood understanding of the local distribution, abundance and population connectedness and planning management at an appropriate spatial scale</w:t>
      </w:r>
      <w:r w:rsidR="0024235C" w:rsidRPr="00837161">
        <w:rPr>
          <w:lang w:eastAsia="ja-JP"/>
        </w:rPr>
        <w:t xml:space="preserve">, </w:t>
      </w:r>
      <w:r w:rsidR="001B0409" w:rsidRPr="00837161">
        <w:rPr>
          <w:lang w:eastAsia="ja-JP"/>
        </w:rPr>
        <w:t xml:space="preserve">together with continual investment </w:t>
      </w:r>
      <w:r w:rsidR="001B0409" w:rsidRPr="00837161">
        <w:rPr>
          <w:lang w:eastAsia="ja-JP"/>
        </w:rPr>
        <w:fldChar w:fldCharType="begin"/>
      </w:r>
      <w:r w:rsidR="000F35EB">
        <w:rPr>
          <w:lang w:eastAsia="ja-JP"/>
        </w:rPr>
        <w:instrText xml:space="preserve"> ADDIN ZOTERO_ITEM CSL_CITATION {"citationID":"TEhu2IL9","properties":{"formattedCitation":"(Lurgi et al., 2016)","plainCitation":"(Lurgi et al., 2016)","noteIndex":0},"citationItems":[{"id":31584,"uris":["http://zotero.org/groups/2352922/items/3L643UN3"],"itemData":{"id":31584,"type":"article-journal","abstract":"Biological invasions are not only a major threat to biodiversity, they also have major impacts on local economies and agricultural production systems. Once established, the connection of local populations into metapopulation networks facilitates dispersal at landscape scales, generating spatial dynamics that can impact the outcome of pest-management actions. Much planning goes into landscape-scale invasive species management. However, effective management requires knowledge on the interplay between metapopulation network topology and management actions. We address this knowledge gap using simulation models to explore the effectiveness of two common management strategies, applied across different extents and according to different rules for selecting target localities in metapopulations with different network topologies. These management actions are: (i) general population reduction, and (ii) reduction of an obligate resource. The reduction of an obligate resource was generally more efficient than population reduction for depleting populations at landscape scales. However, the way in which local populations are selected for management is important when the topology of the metapopulation is heterogeneous in terms of the distribution of connections among local populations. We tested these broad findings using real-world scenarios of European rabbits (Oryctolagus cuniculus) infesting agricultural landscapes in Western Australia. Although management strategies targeting central populations were more effective in simulated heterogeneous metapopulation structures, no difference was observed in real-world metapopulation structures that are highly homogeneous. In large metapopulations with high proximity and connectivity of neighbouring populations, different spatial management strategies yield similar outcomes. Directly considering spatial attributes in pest-management actions will be most important for metapopulation networks with heterogeneously distributed links. Our modelling framework provides a simple approach for identifying the best possible management strategy for invasive species based on metapopulation structure and control capacity. This information can be used by managers trying to devise efficient landscape-oriented management strategies for invasive species and can also generate insights for conservation purposes.","container-title":"PLoS ONE","DOI":"10.1371/journal.pone.0160417","ISSN":"1932-6203","issue":"7","journalAbbreviation":"PLOS ONE","language":"en","note":"publisher: Public Library of Science","page":"e0160417","source":"PLoS Journals","title":"A Landscape Approach to Invasive Species Management","URL":"https://journals.plos.org/plosone/article?id=10.1371/journal.pone.0160417","volume":"11","author":[{"family":"Lurgi","given":"Miguel"},{"family":"Wells","given":"Konstans"},{"family":"Kennedy","given":"Malcolm"},{"family":"Campbell","given":"Susan"},{"family":"Fordham","given":"Damien A."}],"accessed":{"date-parts":[["2021",11,19]]},"issued":{"date-parts":[["2016",7,29]]}},"label":"page"}],"schema":"https://github.com/citation-style-language/schema/raw/master/csl-citation.json"} </w:instrText>
      </w:r>
      <w:r w:rsidR="001B0409" w:rsidRPr="00837161">
        <w:rPr>
          <w:lang w:eastAsia="ja-JP"/>
        </w:rPr>
        <w:fldChar w:fldCharType="separate"/>
      </w:r>
      <w:r w:rsidR="00271B78" w:rsidRPr="00271B78">
        <w:t>(Lurgi et al., 2016)</w:t>
      </w:r>
      <w:r w:rsidR="001B0409" w:rsidRPr="00837161">
        <w:rPr>
          <w:lang w:eastAsia="ja-JP"/>
        </w:rPr>
        <w:fldChar w:fldCharType="end"/>
      </w:r>
      <w:r w:rsidR="001B0409" w:rsidRPr="00837161">
        <w:rPr>
          <w:lang w:eastAsia="ja-JP"/>
        </w:rPr>
        <w:t>.</w:t>
      </w:r>
      <w:r w:rsidRPr="00C0338D">
        <w:t xml:space="preserve"> The niche created by removing one invasive alien vertebrate may be quickly filled by immigrants of the same species or by a different species. </w:t>
      </w:r>
    </w:p>
    <w:p w14:paraId="397F7E08" w14:textId="1431894D" w:rsidR="001B0409" w:rsidRPr="00837161" w:rsidRDefault="493F515C" w:rsidP="00C11DFA">
      <w:pPr>
        <w:spacing w:before="240" w:after="120" w:line="240" w:lineRule="auto"/>
        <w:rPr>
          <w:lang w:eastAsia="ja-JP"/>
        </w:rPr>
      </w:pPr>
      <w:r w:rsidRPr="00837161">
        <w:rPr>
          <w:lang w:eastAsia="ja-JP"/>
        </w:rPr>
        <w:t>Shooting carried out by trained professionals can be a highly-target-specific technique and can minimi</w:t>
      </w:r>
      <w:r w:rsidR="00814B7A" w:rsidRPr="00837161">
        <w:rPr>
          <w:lang w:eastAsia="ja-JP"/>
        </w:rPr>
        <w:t>z</w:t>
      </w:r>
      <w:r w:rsidRPr="00837161">
        <w:rPr>
          <w:lang w:eastAsia="ja-JP"/>
        </w:rPr>
        <w:t>e the number of animals that need to be culled. In the case of large herbivores or omnivores (including pigs, goats, donkeys, camels, cattle and horses), helicopter-based aerial shooting can achieve rapid population control over large areas. This is less effective where vegetation is dense and not so effective against forest dwelling species such a</w:t>
      </w:r>
      <w:r w:rsidR="527CAE8C" w:rsidRPr="00837161">
        <w:rPr>
          <w:lang w:eastAsia="ja-JP"/>
        </w:rPr>
        <w:t>s</w:t>
      </w:r>
      <w:r w:rsidRPr="00837161">
        <w:rPr>
          <w:lang w:eastAsia="ja-JP"/>
        </w:rPr>
        <w:t xml:space="preserve"> deer, where ground-based shooting by specialist hunters is more commonly used. Shooting campaigns often </w:t>
      </w:r>
      <w:r w:rsidR="00827C56" w:rsidRPr="00837161">
        <w:rPr>
          <w:lang w:eastAsia="ja-JP"/>
        </w:rPr>
        <w:t>involve</w:t>
      </w:r>
      <w:r w:rsidR="00B330FB" w:rsidRPr="00837161">
        <w:rPr>
          <w:lang w:eastAsia="ja-JP"/>
        </w:rPr>
        <w:t xml:space="preserve"> attaching a tracking device to </w:t>
      </w:r>
      <w:r w:rsidR="00827C56" w:rsidRPr="00837161">
        <w:rPr>
          <w:lang w:eastAsia="ja-JP"/>
        </w:rPr>
        <w:t>individual</w:t>
      </w:r>
      <w:r w:rsidR="00B330FB" w:rsidRPr="00837161">
        <w:rPr>
          <w:lang w:eastAsia="ja-JP"/>
        </w:rPr>
        <w:t xml:space="preserve"> often sterili</w:t>
      </w:r>
      <w:r w:rsidR="00814B7A" w:rsidRPr="00837161">
        <w:rPr>
          <w:lang w:eastAsia="ja-JP"/>
        </w:rPr>
        <w:t>z</w:t>
      </w:r>
      <w:r w:rsidR="00B330FB" w:rsidRPr="00837161">
        <w:rPr>
          <w:lang w:eastAsia="ja-JP"/>
        </w:rPr>
        <w:t>ed</w:t>
      </w:r>
      <w:r w:rsidRPr="00837161">
        <w:rPr>
          <w:lang w:eastAsia="ja-JP"/>
        </w:rPr>
        <w:t xml:space="preserve"> animals for social species. </w:t>
      </w:r>
      <w:r w:rsidR="0032186E" w:rsidRPr="00837161">
        <w:rPr>
          <w:lang w:eastAsia="ja-JP"/>
        </w:rPr>
        <w:t>M</w:t>
      </w:r>
      <w:r w:rsidRPr="00837161">
        <w:rPr>
          <w:lang w:eastAsia="ja-JP"/>
        </w:rPr>
        <w:t xml:space="preserve">aking use of their gregarious nature </w:t>
      </w:r>
      <w:r w:rsidR="009C6829" w:rsidRPr="00837161">
        <w:rPr>
          <w:lang w:eastAsia="ja-JP"/>
        </w:rPr>
        <w:t xml:space="preserve">the tagged animal </w:t>
      </w:r>
      <w:r w:rsidRPr="00837161">
        <w:rPr>
          <w:lang w:eastAsia="ja-JP"/>
        </w:rPr>
        <w:t>locate</w:t>
      </w:r>
      <w:r w:rsidR="00E20EBA" w:rsidRPr="00837161">
        <w:rPr>
          <w:lang w:eastAsia="ja-JP"/>
        </w:rPr>
        <w:t>s</w:t>
      </w:r>
      <w:r w:rsidRPr="00837161">
        <w:rPr>
          <w:lang w:eastAsia="ja-JP"/>
        </w:rPr>
        <w:t xml:space="preserve"> other conspecifics to improve cull efficiency especially at low density. Th</w:t>
      </w:r>
      <w:r w:rsidR="00E20EBA" w:rsidRPr="00837161">
        <w:rPr>
          <w:lang w:eastAsia="ja-JP"/>
        </w:rPr>
        <w:t>is</w:t>
      </w:r>
      <w:r w:rsidRPr="00837161">
        <w:rPr>
          <w:lang w:eastAsia="ja-JP"/>
        </w:rPr>
        <w:t xml:space="preserve"> technique </w:t>
      </w:r>
      <w:r w:rsidR="00E20EBA" w:rsidRPr="00837161">
        <w:rPr>
          <w:lang w:eastAsia="ja-JP"/>
        </w:rPr>
        <w:t>(controversially</w:t>
      </w:r>
      <w:r w:rsidR="006234E4" w:rsidRPr="00837161">
        <w:rPr>
          <w:lang w:eastAsia="ja-JP"/>
        </w:rPr>
        <w:t xml:space="preserve"> often termed as the </w:t>
      </w:r>
      <w:r w:rsidR="009C6829" w:rsidRPr="00837161">
        <w:rPr>
          <w:lang w:eastAsia="ja-JP"/>
        </w:rPr>
        <w:t>“</w:t>
      </w:r>
      <w:r w:rsidR="006234E4" w:rsidRPr="00837161">
        <w:rPr>
          <w:lang w:eastAsia="ja-JP"/>
        </w:rPr>
        <w:t>Judas</w:t>
      </w:r>
      <w:r w:rsidR="009C6829" w:rsidRPr="00837161">
        <w:rPr>
          <w:lang w:eastAsia="ja-JP"/>
        </w:rPr>
        <w:t>”</w:t>
      </w:r>
      <w:r w:rsidR="006234E4" w:rsidRPr="00837161">
        <w:rPr>
          <w:lang w:eastAsia="ja-JP"/>
        </w:rPr>
        <w:t xml:space="preserve"> approach) </w:t>
      </w:r>
      <w:r w:rsidRPr="00837161">
        <w:rPr>
          <w:lang w:eastAsia="ja-JP"/>
        </w:rPr>
        <w:t>has been demonstrated to be highly successful against invasive alien populations of</w:t>
      </w:r>
      <w:r w:rsidR="00991022" w:rsidRPr="00837161">
        <w:rPr>
          <w:lang w:eastAsia="ja-JP"/>
        </w:rPr>
        <w:t>, for instance,</w:t>
      </w:r>
      <w:r w:rsidRPr="00837161">
        <w:rPr>
          <w:lang w:eastAsia="ja-JP"/>
        </w:rPr>
        <w:t xml:space="preserve"> </w:t>
      </w:r>
      <w:r w:rsidR="00A37B41" w:rsidRPr="00837161">
        <w:rPr>
          <w:i/>
          <w:iCs/>
        </w:rPr>
        <w:t>Capra hircus</w:t>
      </w:r>
      <w:r w:rsidR="00A37B41" w:rsidRPr="00837161">
        <w:t xml:space="preserve"> (goats</w:t>
      </w:r>
      <w:r w:rsidRPr="00837161">
        <w:fldChar w:fldCharType="begin"/>
      </w:r>
      <w:r w:rsidR="000F35EB">
        <w:instrText xml:space="preserve"> ADDIN ZOTERO_ITEM CSL_CITATION {"citationID":"nWr2ar2L","properties":{"formattedCitation":"(K. Campbell &amp; Donlan, 2005)","plainCitation":"(K. Campbell &amp; Donlan, 2005)","dontUpdate":true,"noteIndex":0},"citationItems":[{"id":30191,"uris":["http://zotero.org/groups/2352922/items/Q8HURRPL"],"itemData":{"id":30191,"type":"article-journal","abstract":"Introduced mammals are major drivers of extinction. Feral goats (Capra hircus) are particularly devastating to island ecosystems, causing direct and indirect impacts through overgrazing, which often results in ecosystem degradation and biodiversity loss. Removing goat populations from islands is a powerful conservation tool to prevent extinctions and restore ecosystems. Goats have been eradicated successfully from 120 islands worldwide. With newly developed technology and techniques, island size is perhaps no longer a limiting factor in the successful removal of introduced goat populations. Furthermore, the use of global positioning systems, geographic information systems, aerial hunting by helicopter, specialized hunting dogs, and Judas goats has dramatically increased efficiency and significantly reduced the duration of eradication campaigns. Intensive monitoring programs are also critical for successful eradications. Because of the presence of humans with domestic goat populations on large islands, future island conservation actions will require eradication programs that involve local island inhabitants in a collaborative approach with biologists, sociologists, and educators. Given the clear biodiversity benefits, introduced goat populations should be routinely removed from islands.","container-title":"Conservation Biology","DOI":"10.1111/j.1523-1739.2005.00228.x","ISSN":"0888-8892, 1523-1739","issue":"5","journalAbbreviation":"Conservation Biology","language":"en","page":"1362-1374","source":"DOI.org (Crossref)","title":"Feral Goat Eradications on Islands","URL":"http://doi.wiley.com/10.1111/j.1523-1739.2005.00228.x","volume":"19","author":[{"family":"Campbell","given":"Karl"},{"family":"Donlan","given":"C. Josh"}],"accessed":{"date-parts":[["2019",11,21]]},"issued":{"date-parts":[["2005",10]]}},"label":"page"}],"schema":"https://github.com/citation-style-language/schema/raw/master/csl-citation.json"} </w:instrText>
      </w:r>
      <w:r w:rsidRPr="00837161">
        <w:fldChar w:fldCharType="separate"/>
      </w:r>
      <w:r w:rsidR="00A37B41" w:rsidRPr="00837161">
        <w:t xml:space="preserve">; </w:t>
      </w:r>
      <w:r w:rsidR="00DE390E" w:rsidRPr="00837161">
        <w:t>K. Campbell &amp; Donlan, 2005)</w:t>
      </w:r>
      <w:r w:rsidRPr="00837161">
        <w:fldChar w:fldCharType="end"/>
      </w:r>
      <w:r w:rsidRPr="00837161">
        <w:rPr>
          <w:lang w:eastAsia="ja-JP"/>
        </w:rPr>
        <w:t xml:space="preserve">, buffalo and feral cattle </w:t>
      </w:r>
      <w:r w:rsidRPr="00837161">
        <w:fldChar w:fldCharType="begin"/>
      </w:r>
      <w:r w:rsidR="000F35EB">
        <w:instrText xml:space="preserve"> ADDIN ZOTERO_ITEM CSL_CITATION {"citationID":"hRHCuMf8","properties":{"formattedCitation":"(More et al., 2015)","plainCitation":"(More et al., 2015)","noteIndex":0},"citationItems":[{"id":30108,"uris":["http://zotero.org/groups/2352922/items/KGE73I82"],"itemData":{"id":30108,"type":"article-journal","abstract":"There are very few international examples of the successful eradication of bovine tuberculosis (TB, caused by infection with Mycobacterium bovis) from a national cattle population. This paper presents a brief overview of the successful TB eradication programme in Australia from 1970, with primary emphasis on lessons of international relevance that were learned from the Australian experience. The national brucellosis and tuberculosis eradication campaign ran for 27 years from 1970 to 1997 and has been followed by ongoing abattoir surveillance. Rapid progress towards eradication was made in southern Australia, but proved much more challenging in extensive pastoral areas of northern Australia. Declaration of TB freedom was made on December 31, 1997. A range of factors were critical to this success, including a compelling rationale for eradication, an agreed final outcome, industry commitment and financial support, a business model for programme planning, implementation and review, consistent and transparent technical standards underpinned by a strict regulatory regime and applied research, the critical role of abattoir surveillance, effective elimination of residual infection and objective measures of programme progress. Although direct translation of some of these experiences may not be possible, many of the lessons learned from the Australian experience may be relevant to other countries.","container-title":"Veterinary Record","DOI":"10.1136/vr.103163","ISSN":"2042-7670","issue":"9","language":"en","note":"_eprint: https://bvajournals.onlinelibrary.wiley.com/doi/pdf/10.1136/vr.103163","page":"224-232","source":"Wiley Online Library","title":"Lessons learned during the successful eradication of bovine tuberculosis from Australia","URL":"https://bvajournals.onlinelibrary.wiley.com/doi/abs/10.1136/vr.103163","volume":"177","author":[{"family":"More","given":"S. J."},{"family":"Radunz","given":"B."},{"family":"Glanville","given":"R. J."}],"accessed":{"date-parts":[["2021",8,17]]},"issued":{"date-parts":[["2015"]]}},"label":"page"}],"schema":"https://github.com/citation-style-language/schema/raw/master/csl-citation.json"} </w:instrText>
      </w:r>
      <w:r w:rsidRPr="00837161">
        <w:fldChar w:fldCharType="separate"/>
      </w:r>
      <w:r w:rsidR="00271B78" w:rsidRPr="00271B78">
        <w:t>(More et al., 2015)</w:t>
      </w:r>
      <w:r w:rsidRPr="00837161">
        <w:fldChar w:fldCharType="end"/>
      </w:r>
      <w:r w:rsidRPr="00837161">
        <w:rPr>
          <w:lang w:eastAsia="ja-JP"/>
        </w:rPr>
        <w:t xml:space="preserve">, donkeys </w:t>
      </w:r>
      <w:r w:rsidRPr="00837161">
        <w:fldChar w:fldCharType="begin"/>
      </w:r>
      <w:r w:rsidR="000F35EB">
        <w:instrText xml:space="preserve"> ADDIN ZOTERO_ITEM CSL_CITATION {"citationID":"9Xv6K1n1","properties":{"formattedCitation":"(Woolnough et al., 2012)","plainCitation":"(Woolnough et al., 2012)","noteIndex":0},"citationItems":[{"id":30107,"uris":["http://zotero.org/groups/2352922/items/KTNS8MRX"],"itemData":{"id":30107,"type":"article-journal","abstract":"The Judas technique is a method used for landscape control of feral donkeys (Equus asinus) in northern Australia. Central to the success of any Judas program is the safe, efficient, and humane attachment of the telemetry device. For feral donkeys, this involves the use of field immobilization. We examine the replacement of the current chemical capture agent, succinylcholine, with contemporary immobilization agents to achieve positive animal welfare outcomes. A combination of medetomidine and ketamine delivered by remote injection from a helicopter was used to capture 14 free-ranging feral donkeys for the fitting of telemetry collars in Western Australia in November 2010. Dose rates of 0.14 mg/kg medetomidine and 4.1 mg/kg ketamine were appropriate to immobilize animals in 9 min (±SD=3). Mean recovery time (total time in recumbency) was 21 min (±14). All animals recovered uneventfully after being administered atipamezole, a specific antagonist of medetomidine, intramuscularly at 0.35 mg/kg. Physiologic parameters were recorded during recumbency, with environment-related hyperthermia being the only abnormality recognized. No significant complications were encountered, and this drug combination represents an efficient approach to capturing wild donkeys. This new method allows a rapid, safe, cost-effective approach to the immobilization of feral donkeys for use as Judas animals. This drug combination will replace the relatively inhumane succinylcholine for the field immobilization of feral donkeys.","container-title":"Journal of Wildlife Diseases","DOI":"10.7589/0090-3558-48.2.435","ISSN":"0090-3558","issue":"2","journalAbbreviation":"Journal of Wildlife Diseases","page":"435-443","source":"Silverchair","title":"Field Immobilization Of Feral ‘Judas’ Donkeys (&lt;i&gt;Equus asinus&lt;/i&gt;) By Remote Injection Of Medetomidine And Ketamine And Antagonism With Atipamezole","URL":"https://doi.org/10.7589/0090-3558-48.2.435","volume":"48","author":[{"family":"Woolnough","given":"Andrew P."},{"family":"Hampton","given":"Jordan O."},{"family":"Campbell","given":"Susan"},{"family":"Lethbridge","given":"Mark R."},{"family":"Boardman","given":"Wayne S. J."},{"family":"Sharp","given":"Trudy"},{"family":"Rose","given":"Ken"}],"accessed":{"date-parts":[["2021",8,17]]},"issued":{"date-parts":[["2012",4,1]]}},"label":"page"}],"schema":"https://github.com/citation-style-language/schema/raw/master/csl-citation.json"} </w:instrText>
      </w:r>
      <w:r w:rsidRPr="00837161">
        <w:fldChar w:fldCharType="separate"/>
      </w:r>
      <w:r w:rsidR="00271B78" w:rsidRPr="00271B78">
        <w:t>(Woolnough et al., 2012)</w:t>
      </w:r>
      <w:r w:rsidRPr="00837161">
        <w:fldChar w:fldCharType="end"/>
      </w:r>
      <w:r w:rsidRPr="00837161">
        <w:rPr>
          <w:lang w:eastAsia="ja-JP"/>
        </w:rPr>
        <w:t xml:space="preserve">, </w:t>
      </w:r>
      <w:r w:rsidR="00A37B41" w:rsidRPr="00837161">
        <w:rPr>
          <w:i/>
          <w:iCs/>
          <w:lang w:eastAsia="ja-JP"/>
        </w:rPr>
        <w:t xml:space="preserve">Camelus </w:t>
      </w:r>
      <w:r w:rsidR="00A37B41" w:rsidRPr="00837161">
        <w:rPr>
          <w:lang w:eastAsia="ja-JP"/>
        </w:rPr>
        <w:t>spp. (</w:t>
      </w:r>
      <w:r w:rsidRPr="00837161">
        <w:rPr>
          <w:lang w:eastAsia="ja-JP"/>
        </w:rPr>
        <w:t>camels</w:t>
      </w:r>
      <w:r w:rsidR="00A37B41" w:rsidRPr="00837161">
        <w:rPr>
          <w:lang w:eastAsia="ja-JP"/>
        </w:rPr>
        <w:t>;</w:t>
      </w:r>
      <w:r w:rsidRPr="00837161">
        <w:rPr>
          <w:lang w:eastAsia="ja-JP"/>
        </w:rPr>
        <w:t xml:space="preserve"> </w:t>
      </w:r>
      <w:r w:rsidRPr="00837161">
        <w:fldChar w:fldCharType="begin"/>
      </w:r>
      <w:r w:rsidR="000F35EB">
        <w:instrText xml:space="preserve"> ADDIN ZOTERO_ITEM CSL_CITATION {"citationID":"kc5k2696","properties":{"formattedCitation":"(Edwards et al., 2016)","plainCitation":"(Edwards et al., 2016)","dontUpdate":true,"noteIndex":0},"citationItems":[{"id":30106,"uris":["http://zotero.org/groups/2352922/items/5B5VLAFF"],"itemData":{"id":30106,"type":"article-journal","abstract":"This paper describes the application of aerial culling to the management of feral camels during the Australian Feral Camel Management Project. It covers the following: key challenges involved, guiding principles, enabling factors which facilitated the application of aerial culling, the planning and implementation of actual culling operations, feedback loops, and the key operational achievements of the aerial culling program. Animal welfare was a key consideration under the Australian Feral Camel Management Project. Accordingly, aerial culling was applied in accordance with endorsed jurisdictional Standard Operating Procedures and animal welfare outcomes were formally and independently assessed during the project. Aerial culling was undertaken over an area totalling ~685 000 km2 focusing on the environmental assets identified for the project. In total, 57 aerial culling operations were undertaken resulting in the removal of ~136 000 feral camels, which represented nearly 84% of the total number removed during the project.","container-title":"The Rangeland Journal","DOI":"10.1071/RJ15100","ISSN":"1834-7541, 1834-7541","issue":"2","journalAbbreviation":"Rangel. J.","language":"en","note":"publisher: CSIRO PUBLISHING","page":"153-162","source":"www.publish.csiro.au","title":"Planning and conducting aerial culling operations for feral camels","URL":"https://www.publish.csiro.au/rj/RJ15100","volume":"38","author":[{"family":"Edwards","given":"Glenn"},{"family":"Digby","given":"Donna"},{"family":"O’Leary","given":"Paul"},{"family":"Rafferty","given":"Dennis"},{"family":"Jensen","given":"Mac"},{"family":"Woolnough","given":"Andrew"},{"family":"Secomb","given":"Nick"},{"family":"Williams","given":"Mark"},{"family":"Schwartzkopff","given":"Kym"},{"family":"Bryan","given":"Ross"}],"accessed":{"date-parts":[["2021",8,17]]},"issued":{"date-parts":[["2016",4,22]]}},"label":"page"}],"schema":"https://github.com/citation-style-language/schema/raw/master/csl-citation.json"} </w:instrText>
      </w:r>
      <w:r w:rsidRPr="00837161">
        <w:fldChar w:fldCharType="separate"/>
      </w:r>
      <w:r w:rsidR="00DE390E" w:rsidRPr="00837161">
        <w:t>Edwards et al., 2016)</w:t>
      </w:r>
      <w:r w:rsidRPr="00837161">
        <w:fldChar w:fldCharType="end"/>
      </w:r>
      <w:r w:rsidRPr="00837161">
        <w:rPr>
          <w:lang w:eastAsia="ja-JP"/>
        </w:rPr>
        <w:t xml:space="preserve"> and less effective against pigs </w:t>
      </w:r>
      <w:r w:rsidRPr="00837161">
        <w:fldChar w:fldCharType="begin"/>
      </w:r>
      <w:r w:rsidR="000F35EB">
        <w:instrText xml:space="preserve"> ADDIN ZOTERO_ITEM CSL_CITATION {"citationID":"PqWXBi7m","properties":{"formattedCitation":"(Ramsey et al., 2009)","plainCitation":"(Ramsey et al., 2009)","noteIndex":0},"citationItems":[{"id":30442,"uris":["http://zotero.org/groups/2352922/items/XY4RM2T9"],"itemData":{"id":30442,"type":"article-journal","abstract":"Abstract: A major challenge facing pest-eradication efforts is determining when eradication has been achieved. When the pest can no longer be detected, managers have to decide whether the pest has actually been eliminated and hence to decide when to terminate the eradication program. For most eradication programs, this decision entails considerable risk and is the largest single issue facing managers of such programs. We addressed this issue for an eradication program of feral pigs (Sus scrofa) from Santa Cruz Island, California. Using a Bayesian approach, we estimated the degree of confidence in the success of the eradication program at the point when monitoring failed to detect any more pigs. Catch-effort modeling of the hunting effort required to dispatch pigs during the eradication program was used to determine the relationship between detection probability and searching effort for different hunting methods. We then used these relationships to estimate the amount of monitoring effort required to declare eradication successful with criteria that either set a threshold for the probability that pigs remained undetected (type I error) or minimized the net expected costs of the eradication program (cost of type I and II errors). For aerial and ground-based monitoring techniques, the amount of search effort required to declare eradication successful on the basis of either criterion was highly dependent on the prior belief in the success of the program unless monitoring intensities exceeded 30 km of searching effort per square kilometer of search area for aerial monitoring and, equivalently, 38 km for ground monitoring. Calculation of these criteria to gauge the success of eradication should form an essential component of any eradication program as it allows for a transparent assessment of the risks inherent in the decision to terminate the program.","container-title":"Conservation Biology","DOI":"10.1111/j.1523-1739.2008.01119.x","ISSN":"1523-1739","issue":"2","language":"en","license":"©2008 Society for Conservation Biology","page":"449-459","source":"Wiley Online Library","title":"Quantifying Eradication Success: the Removal of Feral Pigs from Santa Cruz Island, California","title-short":"Quantifying Eradication Success","URL":"https://conbio.onlinelibrary.wiley.com/doi/abs/10.1111/j.1523-1739.2008.01119.x","volume":"23","author":[{"family":"Ramsey","given":"David S. L."},{"family":"Parkes","given":"John"},{"family":"Morrison","given":"Scott A."}],"accessed":{"date-parts":[["2019",12,9]]},"issued":{"date-parts":[["2009"]]}},"label":"page"}],"schema":"https://github.com/citation-style-language/schema/raw/master/csl-citation.json"} </w:instrText>
      </w:r>
      <w:r w:rsidRPr="00837161">
        <w:fldChar w:fldCharType="separate"/>
      </w:r>
      <w:r w:rsidR="00271B78" w:rsidRPr="00271B78">
        <w:t>(Ramsey et al., 2009)</w:t>
      </w:r>
      <w:r w:rsidRPr="00837161">
        <w:fldChar w:fldCharType="end"/>
      </w:r>
      <w:r w:rsidRPr="00837161">
        <w:rPr>
          <w:lang w:eastAsia="ja-JP"/>
        </w:rPr>
        <w:t>.</w:t>
      </w:r>
      <w:r w:rsidR="00E060BC" w:rsidRPr="00837161">
        <w:rPr>
          <w:lang w:eastAsia="ja-JP"/>
        </w:rPr>
        <w:t xml:space="preserve"> It has </w:t>
      </w:r>
      <w:r w:rsidR="00EF0DE3" w:rsidRPr="00837161">
        <w:rPr>
          <w:lang w:eastAsia="ja-JP"/>
        </w:rPr>
        <w:t xml:space="preserve">also been used against invasive fish </w:t>
      </w:r>
      <w:r w:rsidR="000F7A21" w:rsidRPr="00837161">
        <w:rPr>
          <w:lang w:eastAsia="ja-JP"/>
        </w:rPr>
        <w:fldChar w:fldCharType="begin"/>
      </w:r>
      <w:r w:rsidR="000F35EB">
        <w:rPr>
          <w:lang w:eastAsia="ja-JP"/>
        </w:rPr>
        <w:instrText xml:space="preserve"> ADDIN ZOTERO_ITEM CSL_CITATION {"citationID":"phtu9Qz5","properties":{"formattedCitation":"(Bajer et al., 2011)","plainCitation":"(Bajer et al., 2011)","noteIndex":0},"citationItems":[{"id":52613,"uris":["http://zotero.org/groups/2352922/items/V3KBIC46"],"itemData":{"id":52613,"type":"article-journal","abstract":"Radio- and acoustic telemetry in three Midwestern lakes demonstrated that common carp, Cyprinus carpio L., aggregate as water temperatures descend below 10 °C. Particularly dense aggregations formed at temperatures &lt;5 °C, and once located, these aggregations could be removed with an eﬃciency of up to 94% using seine nets. Carp aggregated just below the surface of the ice (approximately 1.5 m) and rarely descended to warmer waters, which extended down to 10 m. Although aggregations consistently formed close to shore, their locations could not be explained by temperature or dissolved oxygen. The aggregations also moved frequently, making radio-tagged ﬁsh invaluable to locate them. Coldwater aggregations of carp may reﬂect a type of shoaling behaviour and can be exploited with the aid of radio-tagged (Judas) ﬁsh to control this invasive ﬁsh eﬀectively. Similar approaches might be developed for other gregarious invasive ﬁshes.","container-title":"Fisheries Management and Ecology","DOI":"10.1111/j.1365-2400.2011.00805.x","ISSN":"0969997X","issue":"6","language":"en","page":"497-505","source":"DOI.org (Crossref)","title":"Using the Judas technique to locate and remove wintertime aggregations of invasive common carp","title-short":"Using the Judas technique to locate and remove wintertime aggregations of invasive common carp","URL":"https://onlinelibrary.wiley.com/doi/10.1111/j.1365-2400.2011.00805.x","volume":"18","author":[{"family":"Bajer","given":"P. G."},{"family":"Chizinski","given":"C. J."},{"family":"Sorensen","given":"P. W."}],"accessed":{"date-parts":[["2022",7,25]]},"issued":{"date-parts":[["2011",12]]}},"label":"page"}],"schema":"https://github.com/citation-style-language/schema/raw/master/csl-citation.json"} </w:instrText>
      </w:r>
      <w:r w:rsidR="000F7A21" w:rsidRPr="00837161">
        <w:rPr>
          <w:lang w:eastAsia="ja-JP"/>
        </w:rPr>
        <w:fldChar w:fldCharType="separate"/>
      </w:r>
      <w:r w:rsidR="00271B78" w:rsidRPr="00271B78">
        <w:t>(Bajer et al., 2011)</w:t>
      </w:r>
      <w:r w:rsidR="000F7A21" w:rsidRPr="00837161">
        <w:rPr>
          <w:lang w:eastAsia="ja-JP"/>
        </w:rPr>
        <w:fldChar w:fldCharType="end"/>
      </w:r>
      <w:r w:rsidR="00707EBB" w:rsidRPr="00837161">
        <w:rPr>
          <w:lang w:eastAsia="ja-JP"/>
        </w:rPr>
        <w:t>.</w:t>
      </w:r>
      <w:r w:rsidR="00F26EC4" w:rsidRPr="00837161">
        <w:rPr>
          <w:lang w:eastAsia="ja-JP"/>
        </w:rPr>
        <w:t xml:space="preserve"> </w:t>
      </w:r>
    </w:p>
    <w:p w14:paraId="6B12BFA3" w14:textId="0C9CEE15" w:rsidR="001B0409" w:rsidRPr="00837161" w:rsidRDefault="001B0409" w:rsidP="00C11DFA">
      <w:pPr>
        <w:spacing w:before="240" w:after="120" w:line="240" w:lineRule="auto"/>
      </w:pPr>
      <w:r w:rsidRPr="00837161">
        <w:t>Culling can enhance fertility through earlier reproduction or select for phenotypes that make control more difficult</w:t>
      </w:r>
      <w:r w:rsidR="00750BBE" w:rsidRPr="00837161">
        <w:t xml:space="preserve"> </w:t>
      </w:r>
      <w:r w:rsidRPr="00837161">
        <w:fldChar w:fldCharType="begin"/>
      </w:r>
      <w:r w:rsidR="000F35EB">
        <w:instrText xml:space="preserve"> ADDIN ZOTERO_ITEM CSL_CITATION {"citationID":"1RCD4qaS","properties":{"formattedCitation":"(Newsome et al., 2017)","plainCitation":"(Newsome et al., 2017)","noteIndex":0},"citationItems":[{"id":30922,"uris":["http://zotero.org/groups/2352922/items/BD2BNP3P"],"itemData":{"id":30922,"type":"article-journal","container-title":"Australasian Science","issue":"1","journalAbbreviation":"Australasian Science","page":"28-30","title":"Does Culling Work?","URL":"http://www.australasianscience.com.au/article/issue-janfeb-2017/does-culling-work.html","volume":"38","author":[{"family":"Newsome","given":"Thomas"},{"family":"Eeden","given":"Lily","non-dropping-particle":"van"},{"family":"Lazenby","given":"Billie"},{"family":"Dickman","given":"Christopher"}],"accessed":{"date-parts":[["2021",10,31]]},"issued":{"date-parts":[["2017"]]}},"label":"page"}],"schema":"https://github.com/citation-style-language/schema/raw/master/csl-citation.json"} </w:instrText>
      </w:r>
      <w:r w:rsidRPr="00837161">
        <w:fldChar w:fldCharType="separate"/>
      </w:r>
      <w:r w:rsidR="00271B78" w:rsidRPr="00271B78">
        <w:t>(Newsome et al., 2017)</w:t>
      </w:r>
      <w:r w:rsidRPr="00837161">
        <w:fldChar w:fldCharType="end"/>
      </w:r>
      <w:r w:rsidR="00C31CBF" w:rsidRPr="00837161">
        <w:t>.</w:t>
      </w:r>
      <w:r w:rsidRPr="00837161">
        <w:t xml:space="preserve"> Having the public hunt invasive </w:t>
      </w:r>
      <w:r w:rsidR="002C3FAB" w:rsidRPr="00837161">
        <w:rPr>
          <w:rFonts w:eastAsia="Times New Roman"/>
        </w:rPr>
        <w:t xml:space="preserve">alien </w:t>
      </w:r>
      <w:r w:rsidRPr="00837161">
        <w:t xml:space="preserve">species through the sale of licenses or tags, while potentially cheap, generally leads to perverse trade-offs. Hunters generally reduce their effort as target numbers decline to perpetuate their benefits or there are conflicts of interest when targets are also a food source for the hunter community. Reintroductions into cleared areas are a common occurrence in such situations </w:t>
      </w:r>
      <w:r w:rsidRPr="00837161">
        <w:fldChar w:fldCharType="begin"/>
      </w:r>
      <w:r w:rsidR="000F35EB">
        <w:instrText xml:space="preserve"> ADDIN ZOTERO_ITEM CSL_CITATION {"citationID":"mi76NXPe","properties":{"formattedCitation":"(Rondeau, 2001)","plainCitation":"(Rondeau, 2001)","noteIndex":0},"citationItems":[{"id":22650,"uris":["http://zotero.org/groups/2352922/items/94WFJQAY"],"itemData":{"id":22650,"type":"article-journal","abstract":"An optimal control model of wildlife management is developed to analyze the transitory dynamics set forth by the reintroduction of animals that provide benefits but can also come into conflict with humans. The shadow price of these resources can be positive or negative, potentially creating a nonconvexity. The conditions under which reintroduction is not desirable are determined, and those characterizing the initiation of costly population control are investigated. An application to deer management illustrates the relevance of the nonconvexity and the magnitude of losses stemming from delays in implementing optimal management. The impact of distributional concerns on efficiency is discussed.","container-title":"Journal of Environmental Economics and Management","DOI":"10.1006/jeem.2000.1157","ISSN":"0095-0696","issue":"2","journalAbbreviation":"Journal of Environmental Economics and Management","language":"en","page":"156-182","source":"ScienceDirect","title":"Along the Way Back from the Brink","URL":"http://www.sciencedirect.com/science/article/pii/S0095069600911574","volume":"42","author":[{"family":"Rondeau","given":"Daniel"}],"accessed":{"date-parts":[["2020",6,14]]},"issued":{"date-parts":[["2001",9,1]]}},"label":"page"}],"schema":"https://github.com/citation-style-language/schema/raw/master/csl-citation.json"} </w:instrText>
      </w:r>
      <w:r w:rsidRPr="00837161">
        <w:fldChar w:fldCharType="separate"/>
      </w:r>
      <w:r w:rsidR="00271B78" w:rsidRPr="00271B78">
        <w:t>(Rondeau, 2001)</w:t>
      </w:r>
      <w:r w:rsidRPr="00837161">
        <w:fldChar w:fldCharType="end"/>
      </w:r>
      <w:r w:rsidRPr="00837161">
        <w:t xml:space="preserve">. For these reasons, without good collective understanding and planning the benefits of recreational ground-based hunting for invasive alien vertebrates will be largely unquantified and elusive </w:t>
      </w:r>
      <w:r w:rsidRPr="00837161">
        <w:fldChar w:fldCharType="begin"/>
      </w:r>
      <w:r w:rsidR="000F35EB">
        <w:instrText xml:space="preserve"> ADDIN ZOTERO_ITEM CSL_CITATION {"citationID":"pjn6UCxX","properties":{"formattedCitation":"(Bengsen &amp; Sparkes, 2016)","plainCitation":"(Bengsen &amp; Sparkes, 2016)","noteIndex":0},"citationItems":[{"id":16763,"uris":["http://zotero.org/groups/2352922/items/QXCE5TJQ"],"itemData":{"id":16763,"type":"article-journal","abstract":"Natural resource management agencies in many countries take advantage of recreational hunting to manage the impacts or abundance of mammal populations that damage biodiversity or environmental, economic, or social values. In Australia, public lands are increasingly being made available for recreational hunters to pursue introduced mammals that can cause substantial damage to important resources. There is fervent debate over the role that recreational hunting might play in controlling introduced mammals in Australia, and scant evidence to build management strategies upon. In this review, we combine information from Australia and elsewhere in a systematic examination of the potential for recreational hunting to contribute to the control of introduced mammals on public lands in Australia. We examine the traits of introduced mammal species and populations, geographical settings, hunters, and management agencies to propose situations where hunting might be most useful, and suggest how current practice could be improved. We find there is insufficient evidence to support or disprove arguments that contemporary recreational hunting programs are effective at controlling introduced mammal populations on public lands. Moreover, current hunting management programs offer little potential for clarifying the situation or optimizing the value of recreational hunting as a pest animal control tool. To resolve this problem, we outline a framework of competing models and diagnostic criteria for assessing the effects of recreational hunting on introduced mammal populations. We contend that hunting will continue to be an under-utilized and over-politicized resource until management strategy is informed by transparent monitoring based on rational strategic objectives that provide mutual benefits to hunters and public resource managers.","container-title":"Mammal Review","DOI":"10.1111/mam.12070","ISSN":"1365-2907","issue":"4","language":"en","license":"© 2016 The Mammal Society and John Wiley &amp; Sons Ltd","page":"297-310","source":"Wiley Online Library","title":"Can recreational hunting contribute to pest mammal control on public land in Australia?","URL":"https://onlinelibrary.wiley.com/doi/abs/10.1111/mam.12070","volume":"46","author":[{"family":"Bengsen","given":"Andrew J."},{"family":"Sparkes","given":"Jessica"}],"accessed":{"date-parts":[["2019",12,9]]},"issued":{"date-parts":[["2016"]]}},"label":"page"}],"schema":"https://github.com/citation-style-language/schema/raw/master/csl-citation.json"} </w:instrText>
      </w:r>
      <w:r w:rsidRPr="00837161">
        <w:fldChar w:fldCharType="separate"/>
      </w:r>
      <w:r w:rsidR="00271B78" w:rsidRPr="00271B78">
        <w:t>(Bengsen &amp; Sparkes, 2016)</w:t>
      </w:r>
      <w:r w:rsidRPr="00837161">
        <w:fldChar w:fldCharType="end"/>
      </w:r>
      <w:r w:rsidRPr="00837161">
        <w:t xml:space="preserve">. </w:t>
      </w:r>
    </w:p>
    <w:p w14:paraId="494EBC09" w14:textId="262C1CED" w:rsidR="001B0409" w:rsidRPr="00837161" w:rsidRDefault="493F515C" w:rsidP="00C11DFA">
      <w:pPr>
        <w:spacing w:before="240" w:after="120" w:line="240" w:lineRule="auto"/>
        <w:rPr>
          <w:lang w:eastAsia="ja-JP"/>
        </w:rPr>
      </w:pPr>
      <w:r w:rsidRPr="00837161">
        <w:rPr>
          <w:lang w:eastAsia="ja-JP"/>
        </w:rPr>
        <w:t xml:space="preserve">Lethal baiting is a key tool in New Zealand’s Predator Free 2050 campaign to remove rodents, possums and </w:t>
      </w:r>
      <w:r w:rsidRPr="00837161">
        <w:t>stoats</w:t>
      </w:r>
      <w:r w:rsidRPr="00837161">
        <w:rPr>
          <w:lang w:eastAsia="ja-JP"/>
        </w:rPr>
        <w:t xml:space="preserve"> </w:t>
      </w:r>
      <w:r w:rsidRPr="00837161">
        <w:rPr>
          <w:lang w:eastAsia="ja-JP"/>
        </w:rPr>
        <w:fldChar w:fldCharType="begin"/>
      </w:r>
      <w:r w:rsidR="000F35EB">
        <w:rPr>
          <w:lang w:eastAsia="ja-JP"/>
        </w:rPr>
        <w:instrText xml:space="preserve"> ADDIN ZOTERO_ITEM CSL_CITATION {"citationID":"pb46CU0N","properties":{"formattedCitation":"(Russell et al., 2015)","plainCitation":"(Russell et al., 2015)","noteIndex":0},"citationItems":[{"id":24169,"uris":["http://zotero.org/groups/2352922/items/2I55CJF7"],"itemData":{"id":24169,"type":"article-journal","abstract":"Abstract.  Eradications of invasive species from over 1000 small islands around the world have created conservation arks, but to truly address the threat of inv","container-title":"BioScience","DOI":"10.1093/biosci/biv012","ISSN":"0006-3568","issue":"5","journalAbbreviation":"BioScience","language":"en","page":"520-525","source":"academic.oup.com","title":"Predator-Free New Zealand: Conservation Country","title-short":"Predator-Free New Zealand","URL":"https://academic.oup.com/bioscience/article/65/5/520/323246","volume":"65","author":[{"family":"Russell","given":"James C."},{"family":"Innes","given":"John G."},{"family":"Brown","given":"Philip H."},{"family":"Byrom","given":"Andrea E."}],"accessed":{"date-parts":[["2020",6,19]]},"issued":{"date-parts":[["2015",5,1]]}},"label":"page"}],"schema":"https://github.com/citation-style-language/schema/raw/master/csl-citation.json"} </w:instrText>
      </w:r>
      <w:r w:rsidRPr="00837161">
        <w:rPr>
          <w:lang w:eastAsia="ja-JP"/>
        </w:rPr>
        <w:fldChar w:fldCharType="separate"/>
      </w:r>
      <w:r w:rsidR="00271B78" w:rsidRPr="00271B78">
        <w:t>(Russell et al., 2015)</w:t>
      </w:r>
      <w:r w:rsidRPr="00837161">
        <w:rPr>
          <w:lang w:eastAsia="ja-JP"/>
        </w:rPr>
        <w:fldChar w:fldCharType="end"/>
      </w:r>
      <w:r w:rsidRPr="00837161">
        <w:t xml:space="preserve">. </w:t>
      </w:r>
      <w:r w:rsidRPr="00837161">
        <w:rPr>
          <w:lang w:eastAsia="ja-JP"/>
        </w:rPr>
        <w:t>The combination of toxic bait an</w:t>
      </w:r>
      <w:r w:rsidR="1DC9288E" w:rsidRPr="00837161">
        <w:rPr>
          <w:lang w:eastAsia="ja-JP"/>
        </w:rPr>
        <w:t>d</w:t>
      </w:r>
      <w:r w:rsidRPr="00837161">
        <w:rPr>
          <w:lang w:eastAsia="ja-JP"/>
        </w:rPr>
        <w:t xml:space="preserve"> delivery system can provide very targeted and species-specific delivery. </w:t>
      </w:r>
      <w:r w:rsidRPr="00837161">
        <w:t xml:space="preserve">Available poisons include </w:t>
      </w:r>
      <w:r w:rsidRPr="00837161">
        <w:rPr>
          <w:lang w:eastAsia="ja-JP"/>
        </w:rPr>
        <w:t xml:space="preserve">acute </w:t>
      </w:r>
      <w:r w:rsidR="0087213E" w:rsidRPr="00837161">
        <w:t>toxicant</w:t>
      </w:r>
      <w:r w:rsidRPr="00837161">
        <w:rPr>
          <w:lang w:eastAsia="ja-JP"/>
        </w:rPr>
        <w:t>s (</w:t>
      </w:r>
      <w:r w:rsidR="00BA147F" w:rsidRPr="00837161">
        <w:rPr>
          <w:lang w:eastAsia="ja-JP"/>
        </w:rPr>
        <w:t xml:space="preserve">e.g., </w:t>
      </w:r>
      <w:r w:rsidRPr="00837161">
        <w:t>sodium fluoroacetate – or 1080</w:t>
      </w:r>
      <w:r w:rsidRPr="00837161">
        <w:rPr>
          <w:lang w:eastAsia="ja-JP"/>
        </w:rPr>
        <w:t xml:space="preserve">, sodium nitrite or zinc phosphide and para amino-propiophenone </w:t>
      </w:r>
      <w:r w:rsidR="00B47851" w:rsidRPr="00837161">
        <w:rPr>
          <w:lang w:eastAsia="ja-JP"/>
        </w:rPr>
        <w:t>(</w:t>
      </w:r>
      <w:r w:rsidRPr="00837161">
        <w:rPr>
          <w:lang w:eastAsia="ja-JP"/>
        </w:rPr>
        <w:t>PAPP)</w:t>
      </w:r>
      <w:r w:rsidR="00B47851" w:rsidRPr="00837161">
        <w:rPr>
          <w:lang w:eastAsia="ja-JP"/>
        </w:rPr>
        <w:t>)</w:t>
      </w:r>
      <w:r w:rsidRPr="00837161">
        <w:rPr>
          <w:lang w:eastAsia="ja-JP"/>
        </w:rPr>
        <w:t>, anticoagulants (</w:t>
      </w:r>
      <w:r w:rsidR="0015009D" w:rsidRPr="00837161">
        <w:rPr>
          <w:lang w:eastAsia="ja-JP"/>
        </w:rPr>
        <w:t>e.g.</w:t>
      </w:r>
      <w:r w:rsidRPr="00837161">
        <w:rPr>
          <w:lang w:eastAsia="ja-JP"/>
        </w:rPr>
        <w:t>, pindone and brodifacoum) or fumigants (</w:t>
      </w:r>
      <w:r w:rsidR="006C4DB5" w:rsidRPr="00837161">
        <w:rPr>
          <w:lang w:eastAsia="ja-JP"/>
        </w:rPr>
        <w:t>e.g.</w:t>
      </w:r>
      <w:r w:rsidRPr="00837161">
        <w:rPr>
          <w:lang w:eastAsia="ja-JP"/>
        </w:rPr>
        <w:t>, carbon monoxide and phosphine</w:t>
      </w:r>
      <w:r w:rsidR="006C4DB5" w:rsidRPr="00837161">
        <w:rPr>
          <w:lang w:eastAsia="ja-JP"/>
        </w:rPr>
        <w:t>;</w:t>
      </w:r>
      <w:r w:rsidR="04AA57FB" w:rsidRPr="00837161">
        <w:rPr>
          <w:lang w:eastAsia="ja-JP"/>
        </w:rPr>
        <w:t xml:space="preserve"> </w:t>
      </w:r>
      <w:r w:rsidRPr="00837161">
        <w:rPr>
          <w:color w:val="FF0000"/>
          <w:lang w:eastAsia="ja-JP"/>
        </w:rPr>
        <w:fldChar w:fldCharType="begin"/>
      </w:r>
      <w:r w:rsidR="000F35EB">
        <w:rPr>
          <w:color w:val="FF0000"/>
          <w:lang w:eastAsia="ja-JP"/>
        </w:rPr>
        <w:instrText xml:space="preserve"> ADDIN ZOTERO_ITEM CSL_CITATION {"citationID":"7MAPdp7S","properties":{"formattedCitation":"(L. McLeod &amp; Saunders, 2013)","plainCitation":"(L. McLeod &amp; Saunders, 2013)","dontUpdate":true,"noteIndex":0},"citationItems":[{"id":26508,"uris":["http://zotero.org/groups/2352922/items/9QYGR5R4"],"itemData":{"id":26508,"type":"book","ISBN":"978 1 74256 546 0","publisher":"NSW Department of Primary industries","source":"Google Scholar","title":"Pesticides used in the management of vertebrate pests in Australia: A review","title-short":"Pesticides used in the management of vertebrate pests in Australia","author":[{"family":"McLeod","given":"Lynette"},{"family":"Saunders","given":"Glen"}],"issued":{"date-parts":[["2013"]]}},"label":"page"}],"schema":"https://github.com/citation-style-language/schema/raw/master/csl-citation.json"} </w:instrText>
      </w:r>
      <w:r w:rsidRPr="00837161">
        <w:rPr>
          <w:color w:val="FF0000"/>
          <w:lang w:eastAsia="ja-JP"/>
        </w:rPr>
        <w:fldChar w:fldCharType="separate"/>
      </w:r>
      <w:r w:rsidR="00DE390E" w:rsidRPr="00837161">
        <w:t>L. McLeod &amp; Saunders, 2013)</w:t>
      </w:r>
      <w:r w:rsidRPr="00837161">
        <w:rPr>
          <w:color w:val="FF0000"/>
          <w:lang w:eastAsia="ja-JP"/>
        </w:rPr>
        <w:fldChar w:fldCharType="end"/>
      </w:r>
      <w:r w:rsidRPr="00837161">
        <w:rPr>
          <w:lang w:eastAsia="ja-JP"/>
        </w:rPr>
        <w:t xml:space="preserve">. Zinc phosphide baits are commercially supplied for broad-scale control of mouse plagues and remain an effective way of treating large areas in a relatively short period of time. Electrofishing and piscicide (an odourless, colourless, crystalline isoflavone) are the dominant means used to control invasive alien fish. Rotenone is being de-registered in some jurisdictions because of </w:t>
      </w:r>
      <w:r w:rsidR="00C43852" w:rsidRPr="00837161">
        <w:rPr>
          <w:lang w:eastAsia="ja-JP"/>
        </w:rPr>
        <w:t>non-target</w:t>
      </w:r>
      <w:r w:rsidRPr="00837161">
        <w:rPr>
          <w:lang w:eastAsia="ja-JP"/>
        </w:rPr>
        <w:t xml:space="preserve"> impacts </w:t>
      </w:r>
      <w:r w:rsidRPr="00837161">
        <w:rPr>
          <w:lang w:eastAsia="ja-JP"/>
        </w:rPr>
        <w:fldChar w:fldCharType="begin"/>
      </w:r>
      <w:r w:rsidR="00A4003D">
        <w:rPr>
          <w:lang w:eastAsia="ja-JP"/>
        </w:rPr>
        <w:instrText xml:space="preserve"> ADDIN ZOTERO_ITEM CSL_CITATION {"citationID":"KjSyIF5a","properties":{"formattedCitation":"(McLeod &amp; Saunders, 2013)","plainCitation":"(McLeod &amp; Saunders, 2013)","noteIndex":0},"citationItems":[{"id":26508,"uris":["http://zotero.org/groups/2352922/items/9QYGR5R4"],"itemData":{"id":26508,"type":"book","ISBN":"978 1 74256 546 0","publisher":"NSW Department of Primary industries","source":"Google Scholar","title":"Pesticides used in the management of vertebrate pests in Australia: A review","title-short":"Pesticides used in the management of vertebrate pests in Australia","author":[{"family":"McLeod","given":"Lynette"},{"family":"Saunders","given":"Glen"}],"issued":{"date-parts":[["2013"]]}},"label":"page"}],"schema":"https://github.com/citation-style-language/schema/raw/master/csl-citation.json"} </w:instrText>
      </w:r>
      <w:r w:rsidRPr="00837161">
        <w:rPr>
          <w:lang w:eastAsia="ja-JP"/>
        </w:rPr>
        <w:fldChar w:fldCharType="separate"/>
      </w:r>
      <w:r w:rsidR="00A4003D" w:rsidRPr="00A4003D">
        <w:t>(McLeod &amp; Saunders, 2013)</w:t>
      </w:r>
      <w:r w:rsidRPr="00837161">
        <w:rPr>
          <w:lang w:eastAsia="ja-JP"/>
        </w:rPr>
        <w:fldChar w:fldCharType="end"/>
      </w:r>
      <w:r w:rsidRPr="00837161">
        <w:rPr>
          <w:lang w:eastAsia="ja-JP"/>
        </w:rPr>
        <w:t xml:space="preserve">. Widespread and </w:t>
      </w:r>
      <w:r w:rsidR="0090215B" w:rsidRPr="00837161">
        <w:rPr>
          <w:lang w:eastAsia="ja-JP"/>
        </w:rPr>
        <w:t>high-density</w:t>
      </w:r>
      <w:r w:rsidRPr="00837161">
        <w:rPr>
          <w:lang w:eastAsia="ja-JP"/>
        </w:rPr>
        <w:t xml:space="preserve"> use of these </w:t>
      </w:r>
      <w:r w:rsidR="0087213E" w:rsidRPr="00837161">
        <w:t>toxicants</w:t>
      </w:r>
      <w:r w:rsidRPr="00837161">
        <w:rPr>
          <w:lang w:eastAsia="ja-JP"/>
        </w:rPr>
        <w:t xml:space="preserve"> remains controversial for a number of </w:t>
      </w:r>
      <w:r w:rsidR="007576CB" w:rsidRPr="00837161">
        <w:rPr>
          <w:lang w:eastAsia="ja-JP"/>
        </w:rPr>
        <w:t xml:space="preserve">reasons </w:t>
      </w:r>
      <w:r w:rsidR="007576CB" w:rsidRPr="00837161">
        <w:rPr>
          <w:lang w:eastAsia="ja-JP"/>
        </w:rPr>
        <w:lastRenderedPageBreak/>
        <w:t>but</w:t>
      </w:r>
      <w:r w:rsidRPr="00837161">
        <w:rPr>
          <w:lang w:eastAsia="ja-JP"/>
        </w:rPr>
        <w:t xml:space="preserve"> is generally highly regulated by jurisdictions to address concerns. Lethal control in a conservation context </w:t>
      </w:r>
      <w:r w:rsidR="62EEBE71" w:rsidRPr="00837161">
        <w:rPr>
          <w:lang w:eastAsia="ja-JP"/>
        </w:rPr>
        <w:t>has</w:t>
      </w:r>
      <w:r w:rsidRPr="00837161">
        <w:rPr>
          <w:lang w:eastAsia="ja-JP"/>
        </w:rPr>
        <w:t xml:space="preserve"> been very effective for rodent </w:t>
      </w:r>
      <w:r w:rsidR="00912848">
        <w:rPr>
          <w:lang w:eastAsia="ja-JP"/>
        </w:rPr>
        <w:t>and</w:t>
      </w:r>
      <w:r w:rsidRPr="00837161">
        <w:rPr>
          <w:lang w:eastAsia="ja-JP"/>
        </w:rPr>
        <w:t xml:space="preserve"> rabbit eradication program</w:t>
      </w:r>
      <w:r w:rsidR="00653156" w:rsidRPr="00837161">
        <w:t>me</w:t>
      </w:r>
      <w:r w:rsidRPr="00837161">
        <w:rPr>
          <w:lang w:eastAsia="ja-JP"/>
        </w:rPr>
        <w:t xml:space="preserve">s on islands </w:t>
      </w:r>
      <w:r w:rsidRPr="00837161">
        <w:rPr>
          <w:lang w:eastAsia="ja-JP"/>
        </w:rPr>
        <w:fldChar w:fldCharType="begin"/>
      </w:r>
      <w:r w:rsidR="000F35EB">
        <w:rPr>
          <w:lang w:eastAsia="ja-JP"/>
        </w:rPr>
        <w:instrText xml:space="preserve"> ADDIN ZOTERO_ITEM CSL_CITATION {"citationID":"ll5lprLQ","properties":{"formattedCitation":"(S. Gregory et al., 2014; Howald et al., 2007; Russell et al., 2015)","plainCitation":"(S. Gregory et al., 2014; Howald et al., 2007; Russell et al., 2015)","noteIndex":0},"citationItems":[{"id":23755,"uris":["http://zotero.org/groups/2352922/items/K5SQIDLS"],"itemData":{"id":23755,"type":"book","ISBN":"978-1-921777-72-1","publisher":"Canberra, Australia: Invasive Animals Cooperative Research Centre","source":"Google Scholar","title":"Eradications of vertebrate pests in Australia: A review and guidelines for future best practice","URL":"https://pestsmart.org.au/wp-content/uploads/sites/3/2020/06/AusEradications_2014.pdf","author":[{"family":"Gregory","given":"Stephen"},{"family":"Henderson","given":"Wendy"},{"family":"Smee","given":"Elizabeth"},{"family":"Cassey","given":"Phillip"}],"issued":{"date-parts":[["2014"]]}},"label":"page"},{"id":24119,"uris":["http://zotero.org/groups/2352922/items/ZKIYLW4K"],"itemData":{"id":24119,"type":"article-journal","abstract":"Abstract: Invasive mammals are the greatest threat to island biodiversity and invasive rodents are likely responsible for the greatest number of extinctions and ecosystem changes. Techniques for eradicating rodents from islands were developed over 2 decades ago. Since that time there has been a significant development and application of this conservation tool. We reviewed the literature on invasive rodent eradications to assess its current state and identify actions to make it more effective. Worldwide, 332 successful rodent eradications have been undertaken; we identified 35 failed eradications and 20 campaigns of unknown result. Invasive rodents have been eradicated from 284 islands (47,628 ha). With the exception of two small islands, rodenticides were used in all eradication campaigns. Brodifacoum was used in 71% of campaigns and 91% of the total area treated. The most frequent rodenticide distribution methods (from most to least) are bait stations, hand broadcasting, and aerial broadcasting. Nevertheless, campaigns using aerial broadcast made up 76% of the total area treated. Mortality of native vertebrates due to nontarget poisoning has been documented, but affected species quickly recover to pre-eradication population levels or higher. A variety of methods have been developed to mitigate nontarget impacts, and applied research can further aid in minimizing impacts. Land managers should routinely remove invasive rodents from islands &lt;100 ha that lack vertebrates susceptible to nontarget poisoning. For larger islands and those that require nontarget mitigation, expert consultation and greater planning effort are needed. With the exception of house mice (Mus musculus), island size may no longer be the limiting factor for rodent eradications; rather, social acceptance and funding may be the main challenges. To be successful, large-scale rodent campaigns should be integrated with programs to improve the livelihoods of residents, island biosecurity, and reinvasion response programs.","container-title":"Conservation Biology","DOI":"10.1111/j.1523-1739.2007.00755.x","ISSN":"1523-1739","issue":"5","language":"en","note":"_eprint: https://conbio.onlinelibrary.wiley.com/doi/pdf/10.1111/j.1523-1739.2007.00755.x","page":"1258-1268","source":"Wiley Online Library","title":"Invasive rodent eradication on islands","URL":"https://conbio.onlinelibrary.wiley.com/doi/abs/10.1111/j.1523-1739.2007.00755.x","volume":"21","author":[{"family":"Howald","given":"Gregg"},{"family":"Donlan","given":"C. Josh"},{"family":"Galván","given":"Juan Pablo"},{"family":"Russell","given":"James C."},{"family":"Parkes","given":"John"},{"family":"Samaniego","given":"Araceli"},{"family":"Wang","given":"Yiwei"},{"family":"Veitch","given":"Dick"},{"family":"Genovesi","given":"Piero"},{"family":"Pascal","given":"Michel"},{"family":"Saunders","given":"Alan"},{"family":"Tershy","given":"Bernie"}],"accessed":{"date-parts":[["2020",6,25]]},"issued":{"date-parts":[["2007"]]}},"label":"page"},{"id":24169,"uris":["http://zotero.org/groups/2352922/items/2I55CJF7"],"itemData":{"id":24169,"type":"article-journal","abstract":"Abstract.  Eradications of invasive species from over 1000 small islands around the world have created conservation arks, but to truly address the threat of inv","container-title":"BioScience","DOI":"10.1093/biosci/biv012","ISSN":"0006-3568","issue":"5","journalAbbreviation":"BioScience","language":"en","page":"520-525","source":"academic.oup.com","title":"Predator-Free New Zealand: Conservation Country","title-short":"Predator-Free New Zealand","URL":"https://academic.oup.com/bioscience/article/65/5/520/323246","volume":"65","author":[{"family":"Russell","given":"James C."},{"family":"Innes","given":"John G."},{"family":"Brown","given":"Philip H."},{"family":"Byrom","given":"Andrea E."}],"accessed":{"date-parts":[["2020",6,19]]},"issued":{"date-parts":[["2015",5,1]]}},"label":"page"}],"schema":"https://github.com/citation-style-language/schema/raw/master/csl-citation.json"} </w:instrText>
      </w:r>
      <w:r w:rsidRPr="00837161">
        <w:rPr>
          <w:lang w:eastAsia="ja-JP"/>
        </w:rPr>
        <w:fldChar w:fldCharType="separate"/>
      </w:r>
      <w:r w:rsidR="00271B78" w:rsidRPr="00271B78">
        <w:t>(S. Gregory et al., 2014; Howald et al., 2007; Russell et al., 2015)</w:t>
      </w:r>
      <w:r w:rsidRPr="00837161">
        <w:rPr>
          <w:lang w:eastAsia="ja-JP"/>
        </w:rPr>
        <w:fldChar w:fldCharType="end"/>
      </w:r>
      <w:r w:rsidRPr="00837161">
        <w:rPr>
          <w:lang w:eastAsia="ja-JP"/>
        </w:rPr>
        <w:t xml:space="preserve">. Island use has continued to be refined, with an increase in the size of island from which rodents can feasibly be eradicated </w:t>
      </w:r>
      <w:r w:rsidRPr="00837161">
        <w:rPr>
          <w:lang w:eastAsia="ja-JP"/>
        </w:rPr>
        <w:fldChar w:fldCharType="begin"/>
      </w:r>
      <w:r w:rsidR="000F35EB">
        <w:rPr>
          <w:lang w:eastAsia="ja-JP"/>
        </w:rPr>
        <w:instrText xml:space="preserve"> ADDIN ZOTERO_ITEM CSL_CITATION {"citationID":"V4mRGRNX","properties":{"formattedCitation":"(Howald et al., 2007; B. A. Jones et al., 2016)","plainCitation":"(Howald et al., 2007; B. A. Jones et al., 2016)","noteIndex":0},"citationItems":[{"id":24119,"uris":["http://zotero.org/groups/2352922/items/ZKIYLW4K"],"itemData":{"id":24119,"type":"article-journal","abstract":"Abstract: Invasive mammals are the greatest threat to island biodiversity and invasive rodents are likely responsible for the greatest number of extinctions and ecosystem changes. Techniques for eradicating rodents from islands were developed over 2 decades ago. Since that time there has been a significant development and application of this conservation tool. We reviewed the literature on invasive rodent eradications to assess its current state and identify actions to make it more effective. Worldwide, 332 successful rodent eradications have been undertaken; we identified 35 failed eradications and 20 campaigns of unknown result. Invasive rodents have been eradicated from 284 islands (47,628 ha). With the exception of two small islands, rodenticides were used in all eradication campaigns. Brodifacoum was used in 71% of campaigns and 91% of the total area treated. The most frequent rodenticide distribution methods (from most to least) are bait stations, hand broadcasting, and aerial broadcasting. Nevertheless, campaigns using aerial broadcast made up 76% of the total area treated. Mortality of native vertebrates due to nontarget poisoning has been documented, but affected species quickly recover to pre-eradication population levels or higher. A variety of methods have been developed to mitigate nontarget impacts, and applied research can further aid in minimizing impacts. Land managers should routinely remove invasive rodents from islands &lt;100 ha that lack vertebrates susceptible to nontarget poisoning. For larger islands and those that require nontarget mitigation, expert consultation and greater planning effort are needed. With the exception of house mice (Mus musculus), island size may no longer be the limiting factor for rodent eradications; rather, social acceptance and funding may be the main challenges. To be successful, large-scale rodent campaigns should be integrated with programs to improve the livelihoods of residents, island biosecurity, and reinvasion response programs.","container-title":"Conservation Biology","DOI":"10.1111/j.1523-1739.2007.00755.x","ISSN":"1523-1739","issue":"5","language":"en","note":"_eprint: https://conbio.onlinelibrary.wiley.com/doi/pdf/10.1111/j.1523-1739.2007.00755.x","page":"1258-1268","source":"Wiley Online Library","title":"Invasive rodent eradication on islands","URL":"https://conbio.onlinelibrary.wiley.com/doi/abs/10.1111/j.1523-1739.2007.00755.x","volume":"21","author":[{"family":"Howald","given":"Gregg"},{"family":"Donlan","given":"C. Josh"},{"family":"Galván","given":"Juan Pablo"},{"family":"Russell","given":"James C."},{"family":"Parkes","given":"John"},{"family":"Samaniego","given":"Araceli"},{"family":"Wang","given":"Yiwei"},{"family":"Veitch","given":"Dick"},{"family":"Genovesi","given":"Piero"},{"family":"Pascal","given":"Michel"},{"family":"Saunders","given":"Alan"},{"family":"Tershy","given":"Bernie"}],"accessed":{"date-parts":[["2020",6,25]]},"issued":{"date-parts":[["2007"]]}},"label":"page"},{"id":11675,"uris":["http://zotero.org/groups/2352922/items/Q3L8T6HV"],"itemData":{"id":11675,"type":"article-journal","abstract":"This paper examines invasive species management when invasive species impact health outcomes indirectly through changes to environmental quality. For example, the emerald ash borer (EAB) has destroyed millions of ash trees throughout North America and has the potential to impact rates of cardiorespiratory mortality and morbidity through ash trees’ ability to capture airborne pollutants. Optimal management inclusive of indirect health externalities may be different than status quo plans because the links between nature and health are complex, dynamic, and spatially heterogeneous. We produce a novel dynamic bioeconomic-health model to determine optimal EAB management in the face of such health effects. Our results show that including health increases net beneﬁts of management substantially and that a “one size ﬁts all” management approach is suboptimal given forest cover and demographic spatial heterogeneity. Net beneﬁts to society are 873% higher and air pollution related mortality incidence is 82% lower when health externalities are included in management proﬁles using insecticide treatments and non-ash tree preemptive plantings without removal. Additionally, constrained managers optimally substitute toward preemptive tree plantings and away from insecticide use in the presence of indirect health externalities as a way to minimize disruptions to air quality. This paper has policy implications for the optimal management of environmental amenities.","container-title":"Journal of Environmental Management","DOI":"10.1016/j.jenvman.2016.05.026","ISSN":"03014797","journalAbbreviation":"Journal of Environmental Management","language":"en","page":"538-550","source":"DOI.org (Crossref)","title":"PLAN or get SLAM’ed: Optimal management of invasive species in the presence of indirect health externalities","title-short":"PLAN or get SLAM’ed","URL":"https://linkinghub.elsevier.com/retrieve/pii/S0301479716302754","volume":"180","author":[{"family":"Jones","given":"Benjamin A."},{"family":"McDermott","given":"Shana M."},{"family":"Chermak","given":"Janie M."}],"accessed":{"date-parts":[["2020",6,19]]},"issued":{"date-parts":[["2016",9]]}},"label":"page"}],"schema":"https://github.com/citation-style-language/schema/raw/master/csl-citation.json"} </w:instrText>
      </w:r>
      <w:r w:rsidRPr="00837161">
        <w:rPr>
          <w:lang w:eastAsia="ja-JP"/>
        </w:rPr>
        <w:fldChar w:fldCharType="separate"/>
      </w:r>
      <w:r w:rsidR="00271B78" w:rsidRPr="00271B78">
        <w:t>(Howald et al., 2007; B. A. Jones et al., 2016)</w:t>
      </w:r>
      <w:r w:rsidRPr="00837161">
        <w:rPr>
          <w:lang w:eastAsia="ja-JP"/>
        </w:rPr>
        <w:fldChar w:fldCharType="end"/>
      </w:r>
      <w:r w:rsidRPr="00837161">
        <w:rPr>
          <w:lang w:eastAsia="ja-JP"/>
        </w:rPr>
        <w:t xml:space="preserve">. In most other settings the likelihood of total eradication of an invasive alien species is low. There are reviews of eradication success </w:t>
      </w:r>
      <w:r w:rsidRPr="00837161">
        <w:rPr>
          <w:lang w:eastAsia="ja-JP"/>
        </w:rPr>
        <w:fldChar w:fldCharType="begin"/>
      </w:r>
      <w:r w:rsidR="000F35EB">
        <w:rPr>
          <w:lang w:eastAsia="ja-JP"/>
        </w:rPr>
        <w:instrText xml:space="preserve"> ADDIN ZOTERO_ITEM CSL_CITATION {"citationID":"lMl6LUr3","properties":{"unsorted":true,"formattedCitation":"(Mill et al., 2020; H. P. Jones et al., 2016)","plainCitation":"(Mill et al., 2020; H. P. Jones et al., 2016)","noteIndex":0},"citationItems":[{"id":26693,"uris":["http://zotero.org/groups/2352922/items/UAFYX8YX"],"itemData":{"id":26693,"type":"article-journal","container-title":"Mammal Review","DOI":"10.1111/mam.12186","ISSN":"0305-1838, 1365-2907","issue":"2","journalAbbreviation":"Mam Rev","langu</w:instrText>
      </w:r>
      <w:r w:rsidR="000F35EB">
        <w:rPr>
          <w:rFonts w:hint="eastAsia"/>
          <w:lang w:eastAsia="ja-JP"/>
        </w:rPr>
        <w:instrText>age":"en","page":"136-146","source":"DOI.org (Crossref)","title":"The challenges of long</w:instrText>
      </w:r>
      <w:r w:rsidR="000F35EB">
        <w:rPr>
          <w:rFonts w:hint="eastAsia"/>
          <w:lang w:eastAsia="ja-JP"/>
        </w:rPr>
        <w:instrText>‐</w:instrText>
      </w:r>
      <w:r w:rsidR="000F35EB">
        <w:rPr>
          <w:rFonts w:hint="eastAsia"/>
          <w:lang w:eastAsia="ja-JP"/>
        </w:rPr>
        <w:instrText>term invasive mammal management: lessons from the UK","title-short":"The challenges of long</w:instrText>
      </w:r>
      <w:r w:rsidR="000F35EB">
        <w:rPr>
          <w:rFonts w:hint="eastAsia"/>
          <w:lang w:eastAsia="ja-JP"/>
        </w:rPr>
        <w:instrText>‐</w:instrText>
      </w:r>
      <w:r w:rsidR="000F35EB">
        <w:rPr>
          <w:rFonts w:hint="eastAsia"/>
          <w:lang w:eastAsia="ja-JP"/>
        </w:rPr>
        <w:instrText>term invasive mammal management","URL":"https://onlinelibrary.wiley.com/do</w:instrText>
      </w:r>
      <w:r w:rsidR="000F35EB">
        <w:rPr>
          <w:lang w:eastAsia="ja-JP"/>
        </w:rPr>
        <w:instrText xml:space="preserve">i/abs/10.1111/mam.12186","volume":"50","author":[{"family":"Mill","given":"Aileen C."},{"family":"Crowley","given":"Sarah L."},{"family":"Lambin","given":"Xavier"},{"family":"McKinney","given":"Conor"},{"family":"Maggs","given":"Gwen"},{"family":"Robertson","given":"Pete"},{"family":"Robinson","given":"Nikki J."},{"family":"Ward","given":"Alastair I."},{"family":"Marzano","given":"Mariella"}],"accessed":{"date-parts":[["2020",12,2]]},"issued":{"date-parts":[["2020",4]]}},"label":"page"},{"id":30455,"uris":["http://zotero.org/groups/2352922/items/M2IGIBMJ"],"itemData":{"id":30455,"type":"article-journal","abstract":"More than US$21 billion is spent annually on biodiversity conservation. Despite their importance for preventing or slowing extinctions and preserving biodiversity, conservation interventions are rarely assessed systematically for their global impact. Islands house a disproportionately higher amount of biodiversity compared with mainlands, much of which is highly threatened with extinction. Indeed, island species make up nearly two-thirds of recent extinctions. Islands therefore are critical targets of conservation. We used an extensive literature and database review paired with expert interviews to estimate the global benefits of an increasingly used conservation action to stem biodiversity loss: eradication of invasive mammals on islands. We found 236 native terrestrial insular faunal species (596 populations) that benefitted through positive demographic and/or distributional responses from 251 eradications of invasive mammals on 181 islands. Seven native species (eight populations) were negatively impacted by invasive mammal eradication. Four threatened species had their International Union for the Conservation of Nature (IUCN) Red List extinction-risk categories reduced as a direct result of invasive mammal eradication, and no species moved to a higher extinction-risk category. We predict that 107 highly threatened birds, mammals, and reptiles on the IUCN Red List—6% of all these highly threatened species—likely have benefitted from invasive mammal eradications on islands. Because monitoring of eradication outcomes is sporadic and limited, the impacts of global eradications are likely greater than we report here. Our results highlight the importance of invasive mammal eradication on islands for protecting the world's most imperiled fauna.","container-title":"Proceedings of the National Academy of Sciences","DOI":"10.1073/pnas.1521179113","ISSN":"0027-8424, 1091-6490","issue":"15","journalAbbreviation":"Proc Natl Acad Sci USA","language":"en","page":"4033-4038","source":"DOI.org (Crossref)","title":"Invasive mammal eradication on islands results in substantial conservation gains","URL":"http://www.pnas.org/lookup/doi/10.1073/pnas.1521179113","volume":"113","author":[{"family":"Jones","given":"Holly P."},{"family":"Holmes","given":"Nick D."},{"family":"Butchart","given":"Stuart H. M."},{"family":"Tershy","given":"Bernie R."},{"family":"Kappes","given":"Peter J."},{"family":"Corkery","given":"Ilse"},{"family":"Aguirre-Muñoz","given":"Alfonso"},{"family":"Armstrong","given":"Doug P."},{"family":"Bonnaud","given":"Elsa"},{"family":"Burbidge","given":"Andrew A."},{"family":"Campbell","given":"Karl"},{"family":"Courchamp","given":"Franck"},{"family":"Cowan","given":"Philip E."},{"family":"Cuthbert","given":"Richard J."},{"family":"Ebbert","given":"Steve"},{"family":"Genovesi","given":"Piero"},{"family":"Howald","given":"Gregg R."},{"family":"Keitt","given":"Bradford S."},{"family":"Kress","given":"Stephen W."},{"family":"Miskelly","given":"Colin M."},{"family":"Oppel","given":"Steffen"},{"family":"Poncet","given":"Sally"},{"family":"Rauzon","given":"Mark J."},{"family":"Rocamora","given":"Gérard"},{"family":"Russell","given":"James C."},{"family":"Samaniego-Herrera","given":"Araceli"},{"family":"Seddon","given":"Philip J."},{"family":"Spatz","given":"Dena R."},{"family":"Towns","given":"David R."},{"family":"Croll","given":"Donald A."}],"accessed":{"date-parts":[["2020",5,8]]},"issued":{"date-parts":[["2016",4,12]]}}}],"schema":"https://github.com/citation-style-language/schema/raw/master/csl-citation.json"} </w:instrText>
      </w:r>
      <w:r w:rsidRPr="00837161">
        <w:rPr>
          <w:lang w:eastAsia="ja-JP"/>
        </w:rPr>
        <w:fldChar w:fldCharType="separate"/>
      </w:r>
      <w:r w:rsidR="00271B78" w:rsidRPr="00271B78">
        <w:t>(Mill et al., 2020; H. P. Jones et al., 2016)</w:t>
      </w:r>
      <w:r w:rsidRPr="00837161">
        <w:rPr>
          <w:lang w:eastAsia="ja-JP"/>
        </w:rPr>
        <w:fldChar w:fldCharType="end"/>
      </w:r>
      <w:r w:rsidRPr="00837161">
        <w:rPr>
          <w:lang w:eastAsia="ja-JP"/>
        </w:rPr>
        <w:t xml:space="preserve"> and the European Union has guidelines for the eradication of invasive alien vertebrates </w:t>
      </w:r>
      <w:r w:rsidRPr="00837161">
        <w:rPr>
          <w:lang w:eastAsia="ja-JP"/>
        </w:rPr>
        <w:fldChar w:fldCharType="begin"/>
      </w:r>
      <w:r w:rsidR="000F35EB">
        <w:rPr>
          <w:lang w:eastAsia="ja-JP"/>
        </w:rPr>
        <w:instrText xml:space="preserve"> ADDIN ZOTERO_ITEM CSL_CITATION {"citationID":"PixnabSa","properties":{"formattedCitation":"(Genovesi, 2001)","plainCitation":"(Genovesi, 2001)","noteIndex":0},"citationItems":[{"id":24993,"uris":["http://zotero.org/groups/2352922/items/XBG9XHNN"],"itemData":{"id":24993,"type":"report","collection-title":"Other Publications in Wildlife Management","language":"en","page":"29","source":"Zotero","title":"Guidelines for Eradication of Terrestrial Vertebrates: a European Contribution to the Invasive Alien Species Issue","URL":"https://digitalcommons.unl.edu/cgi/viewcontent.cgi?referer=&amp;httpsredir=1&amp;article=1023&amp;context=icwdmother","author":[{"family":"Genovesi","given":"Piero"}],"issued":{"date-parts":[["2001"]]}},"label":"page"}],"schema":"https://github.com/citation-style-language/schema/raw/master/csl-citation.json"} </w:instrText>
      </w:r>
      <w:r w:rsidRPr="00837161">
        <w:rPr>
          <w:lang w:eastAsia="ja-JP"/>
        </w:rPr>
        <w:fldChar w:fldCharType="separate"/>
      </w:r>
      <w:r w:rsidR="00271B78" w:rsidRPr="00271B78">
        <w:t>(Genovesi, 2001)</w:t>
      </w:r>
      <w:r w:rsidRPr="00837161">
        <w:rPr>
          <w:lang w:eastAsia="ja-JP"/>
        </w:rPr>
        <w:fldChar w:fldCharType="end"/>
      </w:r>
      <w:r w:rsidRPr="00837161">
        <w:rPr>
          <w:lang w:eastAsia="ja-JP"/>
        </w:rPr>
        <w:t xml:space="preserve">. Prolonged use of a single </w:t>
      </w:r>
      <w:r w:rsidR="0087213E" w:rsidRPr="00837161">
        <w:t>toxicant</w:t>
      </w:r>
      <w:r w:rsidRPr="00837161">
        <w:rPr>
          <w:lang w:eastAsia="ja-JP"/>
        </w:rPr>
        <w:t xml:space="preserve"> leads to development of resistance </w:t>
      </w:r>
      <w:r w:rsidRPr="00837161">
        <w:rPr>
          <w:lang w:eastAsia="ja-JP"/>
        </w:rPr>
        <w:fldChar w:fldCharType="begin"/>
      </w:r>
      <w:r w:rsidR="000F35EB">
        <w:rPr>
          <w:lang w:eastAsia="ja-JP"/>
        </w:rPr>
        <w:instrText xml:space="preserve"> ADDIN ZOTERO_ITEM CSL_CITATION {"citationID":"kAb082pj","properties":{"formattedCitation":"(Twigg et al., 2002)","plainCitation":"(Twigg et al., 2002)","noteIndex":0},"citationItems":[{"id":16761,"uris":["http://zotero.org/groups/2352922/items/LTAIW84V"],"itemData":{"id":16761,"type":"article-journal","abstract":"1 Toxicant-resistance is a potential, or very real, problem with many pest-control programmes world-wide. However, apart from rodents, pesticide-resistance has not been well documented in vertebrates. We assessed the potential impact of developing resistance to 1080 in rabbit populations with differing levels of historical exposure to 1080-baiting programmes in south-western Australia. 2 The sensitivity to 1080 of three out of the four populations of rabbits Oryctolagus cuniculus examined had decreased significantly since Australian rabbits were last tested over 25 years ago. The lethal dose50 (LD50) values for these populations, as determined from formal toxicity trials, ranged from 0·744 to 1·019 mg pure 1080 kg−1, and were significantly greater (P &lt; 0·05) than the previously reported values for Australian rabbits (LD50 range 0·34–0·46 mg pure 1080 kg−1). The LD50 value for the fourth population (0·584 mg pure 1080 kg−1), which has had the least exposure to 1080, did not differ from that reported previously (P &gt; 0·05). 3 The lethal dose99 (LD99) values for the four rabbit populations tested ranged from 1·181 to 1·666 mg pure 1080 kg−1, and suggested that, theoretically, all rabbits should be killed during routine baiting campaigns provided that there is no loss of active ingredient from the bait. In reality, the efficacy of 1080 poison bait laid in trails for controlling free-ranging rabbits was reduced in those populations where rabbits had decreased sensitivity to 1080. Mean reductions in rabbit numbers 7–9 days after trail baiting of resistant and sensitive populations ranged from 51·2% to 65·2%, and from 76·4% to 76·5%, respectively. 4 These findings suggest that genetic resistance to 1080 is developing in at least some populations of Australian rabbits. This has world-wide implications for agricultural protection and wildlife conservation programmes that rely on a 1080-baiting strategy for reducing the impact of vertebrate pests.","container-title":"Journal of Applied Ecology","DOI":"10.1046/j.1365-2664.2002.00738.x","ISSN":"1365-2664","issue":"4","language":"en","page":"549-560","source":"Wiley Online Library","title":"Evidence of pesticide resistance in medium-sized mammalian pests: a case study with 1080 poison and Australian rabbits","title-short":"Evidence of pesticide resistance in medium-sized mammalian pests","URL":"https://besjournals.onlinelibrary.wiley.com/doi/abs/10.1046/j.1365-2664.2002.00738.x","volume":"39","author":[{"family":"Twigg","given":"Laurie E."},{"family":"Martin","given":"Gary R."},{"family":"Lowe","given":"Tim J."}],"accessed":{"date-parts":[["2019",12,9]]},"issued":{"date-parts":[["2002"]]}},"label":"page"}],"schema":"https://github.com/citation-style-language/schema/raw/master/csl-citation.json"} </w:instrText>
      </w:r>
      <w:r w:rsidRPr="00837161">
        <w:rPr>
          <w:lang w:eastAsia="ja-JP"/>
        </w:rPr>
        <w:fldChar w:fldCharType="separate"/>
      </w:r>
      <w:r w:rsidR="00271B78" w:rsidRPr="00271B78">
        <w:t>(Twigg et al., 2002)</w:t>
      </w:r>
      <w:r w:rsidRPr="00837161">
        <w:rPr>
          <w:lang w:eastAsia="ja-JP"/>
        </w:rPr>
        <w:fldChar w:fldCharType="end"/>
      </w:r>
      <w:r w:rsidRPr="00837161">
        <w:rPr>
          <w:lang w:eastAsia="ja-JP"/>
        </w:rPr>
        <w:t xml:space="preserve">. Registration of all </w:t>
      </w:r>
      <w:r w:rsidR="00746AC0" w:rsidRPr="00837161">
        <w:t>toxicants</w:t>
      </w:r>
      <w:r w:rsidR="00746AC0" w:rsidRPr="00837161">
        <w:rPr>
          <w:lang w:eastAsia="ja-JP"/>
        </w:rPr>
        <w:t xml:space="preserve"> </w:t>
      </w:r>
      <w:r w:rsidRPr="00837161">
        <w:rPr>
          <w:lang w:eastAsia="ja-JP"/>
        </w:rPr>
        <w:t xml:space="preserve">is required for each jurisdiction covering environmental safety, </w:t>
      </w:r>
      <w:r w:rsidR="007576CB" w:rsidRPr="00837161">
        <w:rPr>
          <w:lang w:eastAsia="ja-JP"/>
        </w:rPr>
        <w:t>efficacy</w:t>
      </w:r>
      <w:r w:rsidR="00CE7B20">
        <w:rPr>
          <w:lang w:eastAsia="ja-JP"/>
        </w:rPr>
        <w:t xml:space="preserve"> and</w:t>
      </w:r>
      <w:r w:rsidRPr="00837161">
        <w:rPr>
          <w:lang w:eastAsia="ja-JP"/>
        </w:rPr>
        <w:t xml:space="preserve"> relative humaneness with required label registration for use against each specific target. </w:t>
      </w:r>
      <w:r w:rsidR="00F7206D" w:rsidRPr="00837161">
        <w:rPr>
          <w:lang w:eastAsia="ja-JP"/>
        </w:rPr>
        <w:t>Nonetheless</w:t>
      </w:r>
      <w:r w:rsidR="00EE57FC" w:rsidRPr="00837161">
        <w:rPr>
          <w:lang w:eastAsia="ja-JP"/>
        </w:rPr>
        <w:t>,</w:t>
      </w:r>
      <w:r w:rsidR="00F7206D" w:rsidRPr="00837161">
        <w:rPr>
          <w:lang w:eastAsia="ja-JP"/>
        </w:rPr>
        <w:t xml:space="preserve"> </w:t>
      </w:r>
      <w:r w:rsidRPr="00837161">
        <w:rPr>
          <w:lang w:eastAsia="ja-JP"/>
        </w:rPr>
        <w:t xml:space="preserve">development of new </w:t>
      </w:r>
      <w:r w:rsidR="0087213E" w:rsidRPr="00837161">
        <w:t>toxicants</w:t>
      </w:r>
      <w:r w:rsidRPr="00837161">
        <w:rPr>
          <w:lang w:eastAsia="ja-JP"/>
        </w:rPr>
        <w:t xml:space="preserve"> </w:t>
      </w:r>
      <w:r w:rsidR="008A398A" w:rsidRPr="00837161">
        <w:rPr>
          <w:lang w:eastAsia="ja-JP"/>
        </w:rPr>
        <w:t xml:space="preserve">for vertebrate pest control continues in the </w:t>
      </w:r>
      <w:r w:rsidR="00306F4F" w:rsidRPr="00837161">
        <w:rPr>
          <w:lang w:eastAsia="ja-JP"/>
        </w:rPr>
        <w:t>U</w:t>
      </w:r>
      <w:r w:rsidR="005E5489" w:rsidRPr="00837161">
        <w:rPr>
          <w:lang w:eastAsia="ja-JP"/>
        </w:rPr>
        <w:t>nited States,</w:t>
      </w:r>
      <w:r w:rsidR="00306F4F" w:rsidRPr="00837161">
        <w:rPr>
          <w:lang w:eastAsia="ja-JP"/>
        </w:rPr>
        <w:t xml:space="preserve"> Australia, New Zealand</w:t>
      </w:r>
      <w:r w:rsidR="00C16EEB">
        <w:rPr>
          <w:lang w:eastAsia="ja-JP"/>
        </w:rPr>
        <w:t xml:space="preserve"> and</w:t>
      </w:r>
      <w:r w:rsidR="00306F4F" w:rsidRPr="00837161">
        <w:rPr>
          <w:lang w:eastAsia="ja-JP"/>
        </w:rPr>
        <w:t xml:space="preserve"> Europe along with</w:t>
      </w:r>
      <w:r w:rsidRPr="00837161">
        <w:rPr>
          <w:lang w:eastAsia="ja-JP"/>
        </w:rPr>
        <w:t xml:space="preserve"> baits and delivery methods specific to particular target species</w:t>
      </w:r>
      <w:r w:rsidR="003D3208" w:rsidRPr="00837161">
        <w:rPr>
          <w:lang w:eastAsia="ja-JP"/>
        </w:rPr>
        <w:t xml:space="preserve"> </w:t>
      </w:r>
      <w:r w:rsidR="00A340EE" w:rsidRPr="00837161">
        <w:rPr>
          <w:lang w:eastAsia="ja-JP"/>
        </w:rPr>
        <w:fldChar w:fldCharType="begin"/>
      </w:r>
      <w:r w:rsidR="000F35EB">
        <w:rPr>
          <w:lang w:eastAsia="ja-JP"/>
        </w:rPr>
        <w:instrText xml:space="preserve"> ADDIN ZOTERO_ITEM CSL_CITATION {"citationID":"udD5kw0q","properties":{"formattedCitation":"(Begley et al., 2021; T. A. Campbell et al., 2013; Eason et al., 2017; Robertson et al., 2017)","plainCitation":"(Begley et al., 2021; T. A. Campbell et al., 2013; Eason et al., 2017; Robertson et al., 2017)","noteIndex":0},"citationItems":[{"id":54672,"uris":["http://zotero.org/groups/2352922/items/XRNTIDRY"],"itemData":{"id":54672,"type":"document","publisher":"Spiegare Pty Limited. Published by the Centre for Invasive Species Solutions, Canberra, Australia.","title":"Feral Futures: Overview of technology opportunities for vertebrate pest management","URL":"https://invasives.com.au/wp-content/uploads/2021/05/Feral-Futures-Overview-of-Technology-Opportunities-web.pdf","author":[{"family":"Begley","given":"Cameron"},{"family":"Rainbow","given":"Rohan"},{"family":"Younus","given":"Faisal"}],"issued":{"date-parts":[["2021"]]}},"label":"page"},{"id":54674,"uris":["http://zotero.org/groups/2352922/items/QCTXZTMC"],"itemData":{"id":54674,"type":"article-journal","container-title":"International Journal of Pest Management","DOI":"10.1080/09670874.2013.815830","ISSN":"0967-0874, 1366-5863","issue":"3","journalAbbreviation":"International Journal of Pest Management","language":"en","page":"197-204","source":"DOI.org (Crossref)","title":"Effectiveness and target-specificity of a novel design of food dispenser to deliver a toxin to feral swine in the United States","URL":"http://www.tandfonline.com/doi/abs/10.1080/09670874.2013.815830","volume":"59","author":[{"family":"Campbell","given":"Tyler A."},{"family":"Foster","given":"Justin A."},{"family":"Bodenchuk","given":"Michael J."},{"family":"Eisemann","given":"John D."},{"family":"Staples","given":"Linton"},{"family":"Lapidge","given":"Steven J."}],"accessed":{"date-parts":[["2023",3,7]]},"issued":{"date-parts":[["2013",7]]}},"label":"page"},{"id":54667,"uris":["http://zotero.org/groups/2352922/items/7IS4TWE7"],"itemData":{"id":54667,"type":"article-journal","container-title":"New Zealand Journal of Zoology","DOI":"10.1080/03014223.2017.1337645","ISSN":"0301-4223, 1175-8821","issue":"4","journalAbbreviation":"New Zealand Journal of Zoology","language":"en","page":"267-304","source":"DOI.org (Crossref)","title":"Trends in the development of mammalian pest control technology in New Zealand","URL":"https://www.tandfonline.com/doi/full/10.1080/03014223.2017.1337645","volume":"44","author":[{"family":"Eason","given":"Charles T."},{"family":"Shapiro","given":"Lee"},{"family":"Ogilvie","given":"Shaun"},{"family":"King","given":"Carolyn"},{"family":"Clout","given":"Mick"}],"accessed":{"date-parts":[["2023",3,7]]},"issued":{"date-parts":[["2017",10,2]]}}},{"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M"},{"family":"Sutton-Croft","given":"Mike"}],"accessed":{"date-parts":[["2019",11,4]]},"issued":{"date-parts":[["2017",2]]}},"label":"page"}],"schema":"https://github.com/citation-style-language/schema/raw/master/csl-citation.json"} </w:instrText>
      </w:r>
      <w:r w:rsidR="00A340EE" w:rsidRPr="00837161">
        <w:rPr>
          <w:lang w:eastAsia="ja-JP"/>
        </w:rPr>
        <w:fldChar w:fldCharType="separate"/>
      </w:r>
      <w:r w:rsidR="00271B78" w:rsidRPr="00271B78">
        <w:t>(Begley et al., 2021; T. A. Campbell et al., 2013; Eason et al., 2017; Robertson et al., 2017)</w:t>
      </w:r>
      <w:r w:rsidR="00A340EE" w:rsidRPr="00837161">
        <w:rPr>
          <w:lang w:eastAsia="ja-JP"/>
        </w:rPr>
        <w:fldChar w:fldCharType="end"/>
      </w:r>
      <w:r w:rsidR="003D3208" w:rsidRPr="00837161">
        <w:rPr>
          <w:lang w:eastAsia="ja-JP"/>
        </w:rPr>
        <w:t>.</w:t>
      </w:r>
      <w:r w:rsidR="00892AA6" w:rsidRPr="00837161">
        <w:rPr>
          <w:lang w:eastAsia="ja-JP"/>
        </w:rPr>
        <w:t xml:space="preserve"> </w:t>
      </w:r>
      <w:r w:rsidR="00BC3761" w:rsidRPr="00837161">
        <w:rPr>
          <w:lang w:eastAsia="ja-JP"/>
        </w:rPr>
        <w:t>In t</w:t>
      </w:r>
      <w:r w:rsidRPr="00837161">
        <w:rPr>
          <w:lang w:eastAsia="ja-JP"/>
        </w:rPr>
        <w:t xml:space="preserve">he </w:t>
      </w:r>
      <w:r w:rsidRPr="00837161">
        <w:t>future</w:t>
      </w:r>
      <w:r w:rsidR="00BC3761" w:rsidRPr="00837161">
        <w:t xml:space="preserve">, </w:t>
      </w:r>
      <w:r w:rsidRPr="00837161">
        <w:t xml:space="preserve">the use of existing self-resetting traps </w:t>
      </w:r>
      <w:r w:rsidRPr="00837161">
        <w:fldChar w:fldCharType="begin"/>
      </w:r>
      <w:r w:rsidR="00A4003D">
        <w:instrText xml:space="preserve"> ADDIN ZOTERO_ITEM CSL_CITATION {"citationID":"vycWgC3X","properties":{"formattedCitation":"(Carter et al., 2016; Stanley, 2004)","plainCitation":"(Carter et al., 2016; Stanley, 2004)","noteIndex":0},"citationItems":[{"id":29760,"uris":["http://zotero.org/groups/2352922/items/9YNRBPEC"],"itemData":{"id":29760,"type":"article-journal","container-title":"Biological Invasions","DOI":"10.1007/s10530-016-1115-4","ISSN":"1387-3547, 1573-1464","issue":"6","journalAbbreviation":"Biol Invasions","language":"en","page":"1723-1736","source":"DOI.org (Crossref)","title":"Controlling sympatric pest mammal populations in New Zealand with self-resetting, toxicant-free traps: a promising tool for invasive species management","title-short":"Controlling sympatric pest mammal populations in New Zealand with self-resetting, toxicant-free traps","URL":"http://link.springer.com/10.1007/s10530-016-1115-4","volume":"18","author":[{"family":"Carter","given":"Anna"},{"family":"Barr","given":"Stu"},{"family":"Bond","given":"Craig"},{"family":"Paske","given":"Grace"},{"family":"Peters","given":"Darren"},{"family":"Dam","given":"Robert","non-dropping-particle":"van"}],"accessed":{"date-parts":[["2021",7,19]]},"issued":{"date-parts":[["2016",6]]}},"label":"page"},{"id":26762,"uris":["http://zotero.org/groups/2352922/items/ZJ4RWT38"],"itemData":{"id":26762,"type":"article-journal","abstract":"The success of responses to new incursions of invasive ants may be compromised in the absence of effective baits. As a first step to ensuring effective incursion response, Biosecurity New Zealand has commissioned Landcare Research to review international information on baits and toxins used for ant control. Information was obtained by searching the databases for relevant scientific papers, and technical reports; checking internet sites; cross-referencing; and and querying of international ant researchers. Hydramethylnon and fipronil are toxins that give effective control of ant populations for several different species. Amdro® (hydramethylnon) is very effective at controlling S. invicta and Wasmannia auropunctata. Presto® (fipronil) and Xstinguish® (fipronil) appear to be highly effective baits and the protein-based matrices of these baits make them highly attractive to several species. The Australian-manufactured insect growth regulator (IGR) baits developed for S. invicta control – Engage® (methoprene) and Distance® (pyriproxyfen) – appear to be the most effective IGR ant baits available. ERMA approval and registration should be sought for: Distance®; Engage®; Amdro® (high priority) and also Presto 01®; Advion®; Chipco Firestar® (lower priority). If these baits are registered, baiting strategies could be implemented rapidly for S. invicta, S. richteri, M. destructor, W. auropunctata and A. gracilipes. For S. geminata, the S invicta strategy may be applicable but this has not been tested. In an incursion event, Xstinguish® should be used on P. longicornis, T. melanocephalum, and A. gracilipes, but research is required to determine the most effective baits for incursion management.","container-title":"Landcare Research Contract Report: LC0405/044","language":"en","page":"74","source":"Zotero","title":"Review of the efficacy of baits used for ant control and eradication","URL":"https://littlefireants.com/wp-content/uploads/Stanley-2004_compressed.pdf","author":[{"family":"Stanley","given":"Margaret"}],"issued":{"date-parts":[["2004"]]}},"label":"page"}],"schema":"https://github.com/citation-style-language/schema/raw/master/csl-citation.json"} </w:instrText>
      </w:r>
      <w:r w:rsidRPr="00837161">
        <w:fldChar w:fldCharType="separate"/>
      </w:r>
      <w:r w:rsidR="00A4003D" w:rsidRPr="00A4003D">
        <w:t>(Carter et al., 2016; Stanley, 2004)</w:t>
      </w:r>
      <w:r w:rsidRPr="00837161">
        <w:fldChar w:fldCharType="end"/>
      </w:r>
      <w:r w:rsidRPr="00837161">
        <w:t xml:space="preserve">, </w:t>
      </w:r>
      <w:r w:rsidR="00D1540E" w:rsidRPr="00837161">
        <w:t>toxicant</w:t>
      </w:r>
      <w:r w:rsidR="3E3CB92A" w:rsidRPr="00837161">
        <w:t xml:space="preserve"> </w:t>
      </w:r>
      <w:r w:rsidRPr="00837161">
        <w:t xml:space="preserve">delivery systems, advanced lures and new </w:t>
      </w:r>
      <w:r w:rsidR="00D1540E" w:rsidRPr="00837161">
        <w:t xml:space="preserve">toxicants </w:t>
      </w:r>
      <w:r w:rsidRPr="00837161">
        <w:t>with lower residues</w:t>
      </w:r>
      <w:r w:rsidR="00BC3761" w:rsidRPr="00837161">
        <w:t xml:space="preserve"> could be improved</w:t>
      </w:r>
      <w:r w:rsidRPr="00837161">
        <w:t xml:space="preserve">. </w:t>
      </w:r>
      <w:r w:rsidRPr="00837161">
        <w:rPr>
          <w:lang w:eastAsia="ja-JP"/>
        </w:rPr>
        <w:t xml:space="preserve">Ongoing use of the same bait-based </w:t>
      </w:r>
      <w:r w:rsidR="00D1540E" w:rsidRPr="00837161">
        <w:t xml:space="preserve">toxicants </w:t>
      </w:r>
      <w:r w:rsidR="6C92E5D3" w:rsidRPr="00837161">
        <w:t>causes</w:t>
      </w:r>
      <w:r w:rsidRPr="00837161">
        <w:rPr>
          <w:lang w:eastAsia="ja-JP"/>
        </w:rPr>
        <w:t xml:space="preserve"> bait shyness (neophobia) in surviving populations</w:t>
      </w:r>
      <w:r w:rsidR="00B876FA" w:rsidRPr="00837161">
        <w:rPr>
          <w:lang w:eastAsia="ja-JP"/>
        </w:rPr>
        <w:t xml:space="preserve"> </w:t>
      </w:r>
      <w:r w:rsidR="00B876FA" w:rsidRPr="00837161">
        <w:rPr>
          <w:lang w:eastAsia="ja-JP"/>
        </w:rPr>
        <w:fldChar w:fldCharType="begin"/>
      </w:r>
      <w:r w:rsidR="000F35EB">
        <w:rPr>
          <w:lang w:eastAsia="ja-JP"/>
        </w:rPr>
        <w:instrText xml:space="preserve"> ADDIN ZOTERO_ITEM CSL_CITATION {"citationID":"0GwwesHR","properties":{"formattedCitation":"(Garvey et al., 2020)","plainCitation":"(Garvey et al., 2020)","noteIndex":0},"citationItems":[{"id":54678,"uris":["http://zotero.org/groups/2352922/items/IF5H2CSB"],"itemData":{"id":54678,"type":"article-journal","container-title":"Trends in Ecology &amp; Evolution","DOI":"10.1016/j.tree.2020.07.007","ISSN":"01695347","issue":"11","journalAbbreviation":"Trends in Ecology &amp; Evolution","language":"en","page":"990-1000","source":"DOI.org (Crossref)","title":"Leveraging Motivations, Personality, and Sensory Cues for Vertebrate Pest Management","URL":"https://linkinghub.elsevier.com/retrieve/pii/S0169534720301877","volume":"35","author":[{"family":"Garvey","given":"Patrick M."},{"family":"Banks","given":"Peter B."},{"family":"Suraci","given":"Justin P."},{"family":"Bodey","given":"Thomas W."},{"family":"Glen","given":"Alistair S."},{"family":"Jones","given":"Chris J."},{"family":"McArthur","given":"Clare"},{"family":"Norbury","given":"Grant L."},{"family":"Price","given":"Catherine J."},{"family":"Russell","given":"James C."},{"family":"Sih","given":"Andrew"}],"accessed":{"date-parts":[["2023",3,7]]},"issued":{"date-parts":[["2020",11]]}}}],"schema":"https://github.com/citation-style-language/schema/raw/master/csl-citation.json"} </w:instrText>
      </w:r>
      <w:r w:rsidR="00B876FA" w:rsidRPr="00837161">
        <w:rPr>
          <w:lang w:eastAsia="ja-JP"/>
        </w:rPr>
        <w:fldChar w:fldCharType="separate"/>
      </w:r>
      <w:r w:rsidR="00271B78" w:rsidRPr="00271B78">
        <w:t>(Garvey et al., 2020)</w:t>
      </w:r>
      <w:r w:rsidR="00B876FA" w:rsidRPr="00837161">
        <w:rPr>
          <w:lang w:eastAsia="ja-JP"/>
        </w:rPr>
        <w:fldChar w:fldCharType="end"/>
      </w:r>
      <w:r w:rsidRPr="00837161">
        <w:rPr>
          <w:lang w:eastAsia="ja-JP"/>
        </w:rPr>
        <w:t>. Effectiveness of baiting and trapping varies greatly with the target alien invasive vertebrate species. Cats, rats and to a lesser extent wild dogs are notoriously bait and trap shy and need to be tricked into bait taking</w:t>
      </w:r>
      <w:r w:rsidR="00B876FA" w:rsidRPr="00837161">
        <w:rPr>
          <w:lang w:eastAsia="ja-JP"/>
        </w:rPr>
        <w:t xml:space="preserve"> </w:t>
      </w:r>
      <w:r w:rsidR="00B876FA" w:rsidRPr="00837161">
        <w:rPr>
          <w:lang w:eastAsia="ja-JP"/>
        </w:rPr>
        <w:fldChar w:fldCharType="begin"/>
      </w:r>
      <w:r w:rsidR="000F35EB">
        <w:rPr>
          <w:lang w:eastAsia="ja-JP"/>
        </w:rPr>
        <w:instrText xml:space="preserve"> ADDIN ZOTERO_ITEM CSL_CITATION {"citationID":"81NGfYgX","properties":{"formattedCitation":"(Garvey et al., 2020)","plainCitation":"(Garvey et al., 2020)","noteIndex":0},"citationItems":[{"id":54678,"uris":["http://zotero.org/groups/2352922/items/IF5H2CSB"],"itemData":{"id":54678,"type":"article-journal","container-title":"Trends in Ecology &amp; Evolution","DOI":"10.1016/j.tree.2020.07.007","ISSN":"01695347","issue":"11","journalAbbreviation":"Trends in Ecology &amp; Evolution","language":"en","page":"990-1000","source":"DOI.org (Crossref)","title":"Leveraging Motivations, Personality, and Sensory Cues for Vertebrate Pest Management","URL":"https://linkinghub.elsevier.com/retrieve/pii/S0169534720301877","volume":"35","author":[{"family":"Garvey","given":"Patrick M."},{"family":"Banks","given":"Peter B."},{"family":"Suraci","given":"Justin P."},{"family":"Bodey","given":"Thomas W."},{"family":"Glen","given":"Alistair S."},{"family":"Jones","given":"Chris J."},{"family":"McArthur","given":"Clare"},{"family":"Norbury","given":"Grant L."},{"family":"Price","given":"Catherine J."},{"family":"Russell","given":"James C."},{"family":"Sih","given":"Andrew"}],"accessed":{"date-parts":[["2023",3,7]]},"issued":{"date-parts":[["2020",11]]}}}],"schema":"https://github.com/citation-style-language/schema/raw/master/csl-citation.json"} </w:instrText>
      </w:r>
      <w:r w:rsidR="00B876FA" w:rsidRPr="00837161">
        <w:rPr>
          <w:lang w:eastAsia="ja-JP"/>
        </w:rPr>
        <w:fldChar w:fldCharType="separate"/>
      </w:r>
      <w:r w:rsidR="00271B78" w:rsidRPr="00271B78">
        <w:t>(Garvey et al., 2020)</w:t>
      </w:r>
      <w:r w:rsidR="00B876FA" w:rsidRPr="00837161">
        <w:rPr>
          <w:lang w:eastAsia="ja-JP"/>
        </w:rPr>
        <w:fldChar w:fldCharType="end"/>
      </w:r>
      <w:r w:rsidRPr="00837161">
        <w:rPr>
          <w:lang w:eastAsia="ja-JP"/>
        </w:rPr>
        <w:t xml:space="preserve">. </w:t>
      </w:r>
    </w:p>
    <w:p w14:paraId="6C908DCB" w14:textId="5012AB2E" w:rsidR="001B0409" w:rsidRPr="00837161" w:rsidRDefault="001B0409" w:rsidP="00C11DFA">
      <w:pPr>
        <w:spacing w:before="240" w:after="120" w:line="240" w:lineRule="auto"/>
      </w:pPr>
      <w:r w:rsidRPr="00837161">
        <w:t>Camera trapping can be used to improve trapping outcomes</w:t>
      </w:r>
      <w:r w:rsidRPr="00837161">
        <w:rPr>
          <w:rFonts w:eastAsia="Calibri"/>
        </w:rPr>
        <w:t xml:space="preserve"> </w:t>
      </w:r>
      <w:r w:rsidRPr="00837161">
        <w:rPr>
          <w:rFonts w:eastAsia="Calibri"/>
        </w:rPr>
        <w:fldChar w:fldCharType="begin"/>
      </w:r>
      <w:r w:rsidR="000F35EB">
        <w:rPr>
          <w:rFonts w:eastAsia="Calibri"/>
        </w:rPr>
        <w:instrText xml:space="preserve"> ADDIN ZOTERO_ITEM CSL_CITATION {"citationID":"9n08DT4P","properties":{"formattedCitation":"(Fleming et al., 2014; Meek et al., 2015)","plainCitation":"(Fleming et al., 2014; Meek et al., 2015)","noteIndex":0},"citationItems":[{"id":25120,"uris":["http://zotero.org/groups/2352922/items/U44YRP47"],"itemData":{"id":25120,"type":"chapter","container-title":"Carnivores of Australia: Past, Present and Future","event-place":"Collinwood, Australia","ISBN":"978-0-643-10310-8","page":"105-149","publisher":"CSIRO","publisher-place":"Collinwood, Australia","title":"Management of wild canids in Australia: free-ranging dogs and red foxes","URL":"https://scholar.google.com.au/scholar?hl=en&amp;as_sdt=0%2C5&amp;q=Management+of+wild+canids+in+Australia%3A+free-ranging+dogs+and+red+foxes.&amp;btnG=","author":[{"family":"Fleming","given":"Peter J. S."},{"family":"Allen","given":"Ben L."},{"family":"Allen","given":"Lee R."},{"family":"Ballard","given":"Guy-Anthony"},{"family":"Bengsen","given":"Andrew"},{"family":"Gentle","given":"Matt N."},{"family":"McLeod","given":"Lynette J."},{"family":"Meek","given":"Paul D."},{"family":"Saunders","given":"Glen R."}],"editor":[{"family":"Glen","given":"A. S."},{"family":"Dickman","given":"C. R."}],"accessed":{"date-parts":[["2020",8,20]]},"issued":{"date-parts":[["2014"]]}},"label":"page"},{"id":16762,"uris":["http://zotero.org/groups/2352922/items/KBA6RJT3"],"itemData":{"id":16762,"type":"article-journal","abstract":"Camera trapping is a relatively new addition to the wildlife survey repertoire in Australia. Its rapid adoption has been unparalleled in ecological science, but objective evaluation of camera traps and their application has not kept pace. With the aim of motivating practitioners to think more about selection and deployment of camera trap models in relation to research goals, we reviewed Australian camera trapping studies to determine how camera traps have been used and how their technological constraints may have affected reported results and conclusions. In the 54 camera trapping articles published between 1991 and 2013, mammals (86%) were studied more than birds (10%) and reptiles (3%), with small to medium-sized mammals being most studied. Australian camera trapping studies, like those elsewhere, have changed from more qualitative to more complex quantitative investigations. However, we found that camera trap constraints and limitations were rarely acknowledged, and we identified eight key issues requiring consideration and further research. These are: camera model, camera detection system, camera placement and orientation, triggering and recovery, camera trap settings, temperature differentials, species identification and behavioural responses of the animals to the cameras. In particular, alterations to animal behaviour by camera traps potentially have enormous influence on data quality, reliability and interpretation. The key issues were not considered in most Australian camera trap papers and require further study to better understand the factors that influence the analysis and interpretation of camera trap data and improve experimental design.","container-title":"Australian Mammalogy","DOI":"10.1071/AM14023","ISSN":"1836-7402","issue":"1","journalAbbreviation":"Aust. Mammalogy","language":"en","page":"13-22","source":"www.publish.csiro.au","title":"The pitfalls of wildlife camera trapping as a survey tool in Australia","URL":"https://www.publish.csiro.au/am/AM14023","volume":"37","author":[{"family":"Meek","given":"Paul D."},{"family":"Ballard","given":"Guy-Anthony"},{"family":"Fleming","given":"Peter J. S."}],"accessed":{"date-parts":[["2019",12,9]]},"issued":{"date-parts":[["2015",4,10]]}},"label":"page"}],"schema":"https://github.com/citation-style-language/schema/raw/master/csl-citation.json"} </w:instrText>
      </w:r>
      <w:r w:rsidRPr="00837161">
        <w:rPr>
          <w:rFonts w:eastAsia="Calibri"/>
        </w:rPr>
        <w:fldChar w:fldCharType="separate"/>
      </w:r>
      <w:r w:rsidR="00271B78" w:rsidRPr="00271B78">
        <w:t>(Fleming et al., 2014; Meek et al., 2015)</w:t>
      </w:r>
      <w:r w:rsidRPr="00837161">
        <w:rPr>
          <w:rFonts w:eastAsia="Calibri"/>
        </w:rPr>
        <w:fldChar w:fldCharType="end"/>
      </w:r>
      <w:r w:rsidRPr="00837161">
        <w:rPr>
          <w:lang w:eastAsia="ja-JP"/>
        </w:rPr>
        <w:t xml:space="preserve"> and is advancing rapidly with increasingly complex algorithms allowing individual animal recognition either from patterns or facial features. </w:t>
      </w:r>
      <w:r w:rsidRPr="00837161">
        <w:t>Grooming traps (or sentinel automated spray devices) use shape recognition technology designed to recogni</w:t>
      </w:r>
      <w:r w:rsidR="00814B7A" w:rsidRPr="00837161">
        <w:t>z</w:t>
      </w:r>
      <w:r w:rsidRPr="00837161">
        <w:t>e species (</w:t>
      </w:r>
      <w:r w:rsidR="00BA147F" w:rsidRPr="00837161">
        <w:t xml:space="preserve">e.g., </w:t>
      </w:r>
      <w:r w:rsidRPr="00837161">
        <w:t xml:space="preserve">cats) and spray a lethal amount of a </w:t>
      </w:r>
      <w:r w:rsidR="00D1540E" w:rsidRPr="00837161">
        <w:t>toxicant</w:t>
      </w:r>
      <w:r w:rsidRPr="00837161">
        <w:t xml:space="preserve"> only on the target animal which is then ingested by grooming. Ejector technologies include direct delivery of a lethal </w:t>
      </w:r>
      <w:r w:rsidR="00D1540E" w:rsidRPr="00837161">
        <w:t xml:space="preserve">toxicant </w:t>
      </w:r>
      <w:r w:rsidRPr="00837161">
        <w:t>into the mouth of a predator by combining a spring-loaded mechanism with a carnivore lure, which is more likely to be activated by foxes and wild dogs, thereby increasing target specificity</w:t>
      </w:r>
      <w:r w:rsidR="00BB7BCF" w:rsidRPr="00837161">
        <w:t xml:space="preserve"> </w:t>
      </w:r>
      <w:r w:rsidRPr="00837161">
        <w:fldChar w:fldCharType="begin"/>
      </w:r>
      <w:r w:rsidR="000F35EB">
        <w:instrText xml:space="preserve"> ADDIN ZOTERO_ITEM CSL_CITATION {"citationID":"CTg19eiR","properties":{"formattedCitation":"(Fleming et al., 2006)","plainCitation":"(Fleming et al., 2006)","noteIndex":0},"citationItems":[{"id":31072,"uris":["http://zotero.org/groups/2352922/items/BIHB896K"],"itemData":{"id":31072,"type":"article-journal","abstract":"Wild canids (wild dogs and European red foxes) cause substantial losses to Australian livestock industries and environmental values. Both species are actively managed as pests to livestock production. Contemporaneously, the dingo proportion of the wild dog population, being considered native, is protected in areas designated for wildlife conservation. Wild dogs particularly affect sheep and goat production because of the behavioural responses of domestic sheep and goats to attack, and the flexible hunting tactics of wild dogs. Predation of calves, although less common, is now more economically important because of recent changes in commodity prices. Although sometimes affecting lambing and kidding rates, foxes cause fewer problems to livestock producers but have substantial impacts on environmental values, affecting the survival of small to medium-sized native fauna and affecting plant biodiversity by spreading weeds. Canid management in Australia relies heavily on the use of compound 1080-poisoned baits that can be applied aerially or by ground. Exclusion fencing, trapping, shooting, livestock-guarding animals and predator calling with shooting are also used. The new Invasive Animals Cooperative Research Centre has 40 partners representing private and public land managers, universities, and training, research and development organisations. One of the major objectives of the new IACRC is to apply a strategic approach in order to reduce the impacts of wild canids on agricultural and environmental values in Australia by 10%. In this paper, the impacts, ecology and management of wild canids in Australia are briefly reviewed and the first cooperative projects that will address IACRC objectives for improving wild dog management are outlined.","container-title":"Australian Journal of Experimental Agriculture","DOI":"10.1071/EA06009","ISSN":"1446-5574, 1446-5574","issue":"7","journalAbbreviation":"Aust. J. Exp. Agric.","language":"en","note":"publisher: CSIRO PUBLISHING","page":"753-762","source":"www.publish.csiro.au","title":"A strategic approach to mitigating the impacts of wild canids: proposed activities of the Invasive Animals Cooperative Research Centre","title-short":"A strategic approach to mitigating the impacts of wild canids","URL":"https://www.publish.csiro.au/ea/EA06009","volume":"46","author":[{"family":"Fleming","given":"Peter J. S."},{"family":"Allen","given":"L. R."},{"family":"Lapidge","given":"S. J."},{"family":"Robley","given":"A."},{"family":"Saunders","given":"G. R."},{"family":"Thomson","given":"P. C."}],"accessed":{"date-parts":[["2021",10,31]]},"issued":{"date-parts":[["2006",6,7]]}},"label":"page"}],"schema":"https://github.com/citation-style-language/schema/raw/master/csl-citation.json"} </w:instrText>
      </w:r>
      <w:r w:rsidRPr="00837161">
        <w:fldChar w:fldCharType="separate"/>
      </w:r>
      <w:r w:rsidR="00271B78" w:rsidRPr="00271B78">
        <w:t>(Fleming et al., 2006)</w:t>
      </w:r>
      <w:r w:rsidRPr="00837161">
        <w:fldChar w:fldCharType="end"/>
      </w:r>
      <w:r w:rsidR="00C31CBF" w:rsidRPr="00837161">
        <w:t>.</w:t>
      </w:r>
      <w:r w:rsidRPr="00837161">
        <w:t xml:space="preserve"> </w:t>
      </w:r>
      <w:r w:rsidRPr="00837161">
        <w:rPr>
          <w:lang w:eastAsia="ja-JP"/>
        </w:rPr>
        <w:t xml:space="preserve">Lethal control methods are also best used as part of an adaptive and integrated management </w:t>
      </w:r>
      <w:r w:rsidR="49E7A8EB" w:rsidRPr="00837161">
        <w:rPr>
          <w:lang w:eastAsia="ja-JP"/>
        </w:rPr>
        <w:t>approach</w:t>
      </w:r>
      <w:r w:rsidRPr="00837161">
        <w:rPr>
          <w:lang w:eastAsia="ja-JP"/>
        </w:rPr>
        <w:t xml:space="preserve"> that aim</w:t>
      </w:r>
      <w:r w:rsidR="00912848">
        <w:rPr>
          <w:lang w:eastAsia="ja-JP"/>
        </w:rPr>
        <w:t>s</w:t>
      </w:r>
      <w:r w:rsidRPr="00837161">
        <w:rPr>
          <w:lang w:eastAsia="ja-JP"/>
        </w:rPr>
        <w:t xml:space="preserve"> to reduce the overall </w:t>
      </w:r>
      <w:r w:rsidR="6DBF29CA" w:rsidRPr="00837161">
        <w:rPr>
          <w:lang w:eastAsia="ja-JP"/>
        </w:rPr>
        <w:t>quantity</w:t>
      </w:r>
      <w:r w:rsidRPr="00837161">
        <w:rPr>
          <w:lang w:eastAsia="ja-JP"/>
        </w:rPr>
        <w:t xml:space="preserve"> of </w:t>
      </w:r>
      <w:r w:rsidR="00D1540E" w:rsidRPr="00837161">
        <w:t xml:space="preserve">toxicants </w:t>
      </w:r>
      <w:r w:rsidRPr="00837161">
        <w:rPr>
          <w:lang w:eastAsia="ja-JP"/>
        </w:rPr>
        <w:t>entering the environment.</w:t>
      </w:r>
    </w:p>
    <w:p w14:paraId="009C8D80" w14:textId="77777777" w:rsidR="001B0409" w:rsidRPr="00837161" w:rsidRDefault="27514EC9" w:rsidP="0079215C">
      <w:pPr>
        <w:pStyle w:val="Heading4"/>
      </w:pPr>
      <w:r w:rsidRPr="00837161">
        <w:t>Fertility control for invasive alien vertebrate</w:t>
      </w:r>
      <w:r w:rsidR="070FF060" w:rsidRPr="00837161">
        <w:t>s</w:t>
      </w:r>
      <w:r w:rsidRPr="00837161">
        <w:t xml:space="preserve"> </w:t>
      </w:r>
    </w:p>
    <w:p w14:paraId="00000306" w14:textId="416DBCD9" w:rsidR="00A758FD" w:rsidRPr="00C0338D" w:rsidRDefault="1A8E1B24">
      <w:pPr>
        <w:spacing w:before="240" w:after="120" w:line="240" w:lineRule="auto"/>
      </w:pPr>
      <w:r w:rsidRPr="00837161">
        <w:rPr>
          <w:lang w:eastAsia="ja-JP"/>
        </w:rPr>
        <w:t>Fertility control tools aim to decrease or stab</w:t>
      </w:r>
      <w:r w:rsidR="0851249A" w:rsidRPr="00837161">
        <w:rPr>
          <w:lang w:eastAsia="ja-JP"/>
        </w:rPr>
        <w:t>i</w:t>
      </w:r>
      <w:r w:rsidRPr="00837161">
        <w:rPr>
          <w:lang w:eastAsia="ja-JP"/>
        </w:rPr>
        <w:t>li</w:t>
      </w:r>
      <w:r w:rsidR="660DF554" w:rsidRPr="00837161">
        <w:rPr>
          <w:lang w:eastAsia="ja-JP"/>
        </w:rPr>
        <w:t>z</w:t>
      </w:r>
      <w:r w:rsidRPr="00837161">
        <w:rPr>
          <w:lang w:eastAsia="ja-JP"/>
        </w:rPr>
        <w:t xml:space="preserve">e a pest animal population by reducing or halting reproduction. Modelling suggests that targeting females has the greatest chance of effective control at the population level </w:t>
      </w:r>
      <w:r w:rsidR="001B0409" w:rsidRPr="00837161">
        <w:rPr>
          <w:lang w:eastAsia="ja-JP"/>
        </w:rPr>
        <w:fldChar w:fldCharType="begin"/>
      </w:r>
      <w:r w:rsidR="000F35EB">
        <w:rPr>
          <w:lang w:eastAsia="ja-JP"/>
        </w:rPr>
        <w:instrText xml:space="preserve"> ADDIN ZOTERO_ITEM CSL_CITATION {"citationID":"kjUP7bdQ","properties":{"formattedCitation":"(Caughley et al., 1992)","plainCitation":"(Caughley et al., 1992)","noteIndex":0},"citationItems":[{"id":16751,"uris":["http://zotero.org/groups/2352922/items/PACB6QYR"],"itemData":{"id":16751,"type":"article-journal","abstract":"The effect of a sterilising agent upon the productivity of vertebrate pests, such as feral horses, feral dogs, wild rabbits or fruit-eating birds, depends upon the population's social structure and mating system. We investigated the theoretical effect on productivity of three forms of dominance, two effects of sterilisation on dominance, and four modes of transmission. Seventeen of the possible 24 combinations are feasible but lead to only four possible outcomes. Three of these result in lowered productivity. The fourth, where the breeding of a dominant female suppresses breeding in the subordinate females of her group, leads to a perverse outcome. Productivity increases with sterilisation unless the proportion of females sterilised exceeds (n–2)/(n–1) where n (&gt;2) is the number of females in the group. A knowledge of social structure and mating system is therefore highly desirable before population control by suppressing female fertility is attempted or even contemplated.","container-title":"Wildlife Research","DOI":"10.1071/wr9920623","ISSN":"1448-5494","issue":"6","journalAbbreviation":"Wildl. Res.","language":"en","page":"623-627","source":"www.publish.csiro.au","title":"Effect of fertility control on a population's productivity","URL":"https://www.publish.csiro.au/wr/wr9920623","volume":"19","author":[{"family":"Caughley","given":"G."},{"family":"Pech","given":"R."},{"family":"Grice","given":"D."}],"accessed":{"date-parts":[["2019",12,9]]},"issued":{"date-parts":[["1992"]]}},"label":"page"}],"schema":"https://github.com/citation-style-language/schema/raw/master/csl-citation.json"} </w:instrText>
      </w:r>
      <w:r w:rsidR="001B0409" w:rsidRPr="00837161">
        <w:rPr>
          <w:lang w:eastAsia="ja-JP"/>
        </w:rPr>
        <w:fldChar w:fldCharType="separate"/>
      </w:r>
      <w:r w:rsidR="00271B78" w:rsidRPr="00271B78">
        <w:t>(Caughley et al., 1992)</w:t>
      </w:r>
      <w:r w:rsidR="001B0409" w:rsidRPr="00837161">
        <w:rPr>
          <w:lang w:eastAsia="ja-JP"/>
        </w:rPr>
        <w:fldChar w:fldCharType="end"/>
      </w:r>
      <w:r w:rsidRPr="00837161">
        <w:rPr>
          <w:lang w:eastAsia="ja-JP"/>
        </w:rPr>
        <w:t>.</w:t>
      </w:r>
      <w:r w:rsidR="00C81287" w:rsidRPr="00C0338D">
        <w:t xml:space="preserve"> Successful fertility control reduces target population sizes unless flow-on effects (e.g., increased survival of adults and juveniles) exceed the effects of reduced fertility. Fertility is controlled through a) the disruption of key reproductive hormones, b) the use of chemicals to deplete follicles at various stages of development, or c) immune contraception approaches where an immune response is elicited to key reproductive antigens that subsequently interferes with fertilization and/or successful embryo implantation. Effective hormonal or immune contraception methods are available; however, they require the capture or restraint/sedation of the animal to apply the treatment either via injection or implant followed by release, or remote delivery via darts, which is generally at high cost. With growing public concern about lethal control methods, public acceptability for fertility control approaches is usually high, for high-profile, iconic species.</w:t>
      </w:r>
    </w:p>
    <w:p w14:paraId="00000307" w14:textId="7BD985B4" w:rsidR="00A758FD" w:rsidRPr="00C0338D" w:rsidRDefault="00C81287">
      <w:pPr>
        <w:spacing w:before="240" w:after="120" w:line="240" w:lineRule="auto"/>
      </w:pPr>
      <w:r w:rsidRPr="00C0338D">
        <w:t xml:space="preserve">Fertility control has been applied in the United Kingdom, United States, New Zealand and Australia in rodents, goats, horses, deer, kangaroos and canines </w:t>
      </w:r>
      <w:r w:rsidR="001B0409" w:rsidRPr="00837161">
        <w:rPr>
          <w:lang w:eastAsia="ja-JP"/>
        </w:rPr>
        <w:fldChar w:fldCharType="begin"/>
      </w:r>
      <w:r w:rsidR="000F35EB">
        <w:rPr>
          <w:lang w:eastAsia="ja-JP"/>
        </w:rPr>
        <w:instrText xml:space="preserve"> ADDIN ZOTERO_ITEM CSL_CITATION {"citationID":"dn3Dmezr","properties":{"formattedCitation":"(Asa &amp; Moresco, 2019; Cowan et al., 2020)","plainCitation":"(Asa &amp; Moresco, 2019; Cowan et al., 2020)","noteIndex":0},"citationItems":[{"id":10306,"uris":["http://zotero.org/groups/2352922/items/SZ24HFJL"],"itemData":{"id":10306,"type":"chapter","abstract":"Wildlife conservation requires varying degrees of management of endangered species as well as management of their potential predators and competitors. Conservation also depends on ameliorating human-wildlife conflict, especially where there is a threat to the safety of people and of their pets and livestock. In addition, sustainability of wildlife populations can be affected by feral domestic animals or invasive species, that require removal or control. With the increasing concern for animal welfare, non-lethal methods of limiting population size and distribution, such as fertility control, are gaining favor. Breeding programs in zoos depend on highly effective and selective contraception to manage sustainable insurance populations. This review covers fertility control methods currently in use, those that have not lived up to past promises, and others that are under development and present hope for addressing remaining challenges.","collection-title":"Advances in Experimental Medicine and Biology","container-title":"Reproductive Sciences in Animal Conservation","event-place":"Cham","ISBN":"978-3-030-23633-5","language":"en","note":"DOI: 10.1007/978-3-030-23633-5_17","page":"507-543","publisher":"Springer International Publishing","publisher-place":"Cham","source":"Springer Link","title":"Fertility Control in Wildlife: Review of Current Status, Including Novel and Future Technologies","title-short":"Fertility Control in Wildlife","URL":"https://doi.org/10.1007/978-3-030-23633-5_17","volume":"1200","author":[{"family":"Asa","given":"Cheryl"},{"family":"Moresco","given":"Anneke"}],"editor":[{"family":"Comizzoli","given":"Pierre"},{"family":"Brown","given":"Janine L."},{"family":"Holt","given":"William V."}],"accessed":{"date-parts":[["2020",8,21]]},"issued":{"date-parts":[["2019"]]}},"label":"page"},{"id":25151,"uris":["http://zotero.org/groups/2352922/items/YI5G6YAS"],"itemData":{"id":25151,"type":"article-journal","abstract":"We describe the first use of fertility control to manage a free-living mammal population in Europe. An immunocontraceptive vaccine (GonaCon) was used to reduce female fertility in an invasive feral goat Capra hircus population. Adaptive management was implemented to assess the feasibility of fertility control and to allow prediction of the required level of vaccination to limit goat numbers. The individual probability of breeding success decreased for two years following treatment. Understanding the population demographics alongside modelling of the individual and population-level responses to the vaccine is important for future management.","container-title":"Mammal Review","DOI":"https://doi.org/10.1111/mam.12176","ISSN":"1365-2907","issue":"2","language":"en","license":"Mammal Review (2020) © 2020 The Mammal Society and John Wiley &amp; Sons Ltd","note":"_eprint: https://onlinelibrary.wiley.com/doi/pdf/10.1111/mam.12176","page":"180-186","source":"Wiley Online Library","title":"Adaptive management of an iconic invasive goat &lt;i&gt;Capra hircus&lt;/i&gt; population","URL":"https://onlinelibrary.wiley.com/doi/abs/10.1111/mam.12176","volume":"50","author":[{"family":"Cowan","given":"Dave P."},{"family":"Waal","given":"Zelda","non-dropping-particle":"van der"},{"family":"Pidcock","given":"Sally"},{"family":"Gomm","given":"Matthew"},{"family":"Stephens","given":"Nathalie"},{"family":"Brash","given":"Matthew"},{"family":"White","given":"Piran C. L."},{"family":"Mair","given":"Louise"},{"family":"Mill","given":"Aileen C."}],"accessed":{"date-parts":[["2021",3,30]]},"issued":{"date-parts":[["2020"]]}},"label":"page"}],"schema":"https://github.com/citation-style-language/schema/raw/master/csl-citation.json"} </w:instrText>
      </w:r>
      <w:r w:rsidR="001B0409" w:rsidRPr="00837161">
        <w:rPr>
          <w:lang w:eastAsia="ja-JP"/>
        </w:rPr>
        <w:fldChar w:fldCharType="separate"/>
      </w:r>
      <w:r w:rsidR="00271B78" w:rsidRPr="00271B78">
        <w:t>(Asa &amp; Moresco, 2019; Cowan et al., 2020)</w:t>
      </w:r>
      <w:r w:rsidR="001B0409" w:rsidRPr="00837161">
        <w:rPr>
          <w:lang w:eastAsia="ja-JP"/>
        </w:rPr>
        <w:fldChar w:fldCharType="end"/>
      </w:r>
      <w:r w:rsidR="00D57A3F" w:rsidRPr="00837161">
        <w:rPr>
          <w:lang w:eastAsia="ja-JP"/>
        </w:rPr>
        <w:t xml:space="preserve"> but generally still at very locali</w:t>
      </w:r>
      <w:r w:rsidR="00A5330F" w:rsidRPr="00837161">
        <w:rPr>
          <w:lang w:eastAsia="ja-JP"/>
        </w:rPr>
        <w:t>z</w:t>
      </w:r>
      <w:r w:rsidR="00D57A3F" w:rsidRPr="00837161">
        <w:rPr>
          <w:lang w:eastAsia="ja-JP"/>
        </w:rPr>
        <w:t>ed scales</w:t>
      </w:r>
      <w:r w:rsidR="001B0409" w:rsidRPr="00837161">
        <w:rPr>
          <w:lang w:eastAsia="ja-JP"/>
        </w:rPr>
        <w:t xml:space="preserve">. </w:t>
      </w:r>
      <w:r w:rsidR="00331256" w:rsidRPr="00837161">
        <w:rPr>
          <w:lang w:eastAsia="ja-JP"/>
        </w:rPr>
        <w:t xml:space="preserve">There remain very few cases where fertility </w:t>
      </w:r>
      <w:r w:rsidR="00B71085" w:rsidRPr="00837161">
        <w:rPr>
          <w:lang w:eastAsia="ja-JP"/>
        </w:rPr>
        <w:t xml:space="preserve">control </w:t>
      </w:r>
      <w:r w:rsidR="00331256" w:rsidRPr="00837161">
        <w:rPr>
          <w:lang w:eastAsia="ja-JP"/>
        </w:rPr>
        <w:t>ha</w:t>
      </w:r>
      <w:r w:rsidR="00B71085" w:rsidRPr="00837161">
        <w:rPr>
          <w:lang w:eastAsia="ja-JP"/>
        </w:rPr>
        <w:t>s</w:t>
      </w:r>
      <w:r w:rsidR="00331256" w:rsidRPr="00837161">
        <w:rPr>
          <w:lang w:eastAsia="ja-JP"/>
        </w:rPr>
        <w:t xml:space="preserve"> been successfully used to control free-living populations or to achieve eradications</w:t>
      </w:r>
      <w:r w:rsidR="00B71085" w:rsidRPr="00837161">
        <w:rPr>
          <w:lang w:eastAsia="ja-JP"/>
        </w:rPr>
        <w:t>.</w:t>
      </w:r>
      <w:r w:rsidR="00331256" w:rsidRPr="00837161">
        <w:rPr>
          <w:lang w:eastAsia="ja-JP"/>
        </w:rPr>
        <w:t xml:space="preserve"> </w:t>
      </w:r>
      <w:r w:rsidR="00B71085" w:rsidRPr="00837161">
        <w:rPr>
          <w:lang w:eastAsia="ja-JP"/>
        </w:rPr>
        <w:t>Nonetheless</w:t>
      </w:r>
      <w:r w:rsidR="00C914CC" w:rsidRPr="00837161">
        <w:rPr>
          <w:lang w:eastAsia="ja-JP"/>
        </w:rPr>
        <w:t>,</w:t>
      </w:r>
      <w:r w:rsidR="00B71085" w:rsidRPr="00837161">
        <w:rPr>
          <w:lang w:eastAsia="ja-JP"/>
        </w:rPr>
        <w:t xml:space="preserve"> </w:t>
      </w:r>
      <w:r w:rsidR="250FCFE8" w:rsidRPr="00837161">
        <w:rPr>
          <w:lang w:eastAsia="ja-JP"/>
        </w:rPr>
        <w:t>t</w:t>
      </w:r>
      <w:r w:rsidR="001B0409" w:rsidRPr="00837161">
        <w:rPr>
          <w:lang w:eastAsia="ja-JP"/>
        </w:rPr>
        <w:t xml:space="preserve">his approach potentially has broad range of application in vertebrates, limited </w:t>
      </w:r>
      <w:r w:rsidR="009841B7" w:rsidRPr="00837161">
        <w:rPr>
          <w:lang w:eastAsia="ja-JP"/>
        </w:rPr>
        <w:t xml:space="preserve">primarily </w:t>
      </w:r>
      <w:r w:rsidR="001B0409" w:rsidRPr="00837161">
        <w:rPr>
          <w:lang w:eastAsia="ja-JP"/>
        </w:rPr>
        <w:t xml:space="preserve">by the lack </w:t>
      </w:r>
      <w:r w:rsidR="001B0409" w:rsidRPr="00837161">
        <w:rPr>
          <w:lang w:eastAsia="ja-JP"/>
        </w:rPr>
        <w:lastRenderedPageBreak/>
        <w:t>of effective bait delivery systems useful in the wild</w:t>
      </w:r>
      <w:r w:rsidR="00EB2C42" w:rsidRPr="00837161">
        <w:rPr>
          <w:lang w:eastAsia="ja-JP"/>
        </w:rPr>
        <w:t xml:space="preserve"> </w:t>
      </w:r>
      <w:r w:rsidR="00EB2C42" w:rsidRPr="00837161">
        <w:rPr>
          <w:lang w:eastAsia="ja-JP"/>
        </w:rPr>
        <w:fldChar w:fldCharType="begin"/>
      </w:r>
      <w:r w:rsidR="000F35EB">
        <w:rPr>
          <w:lang w:eastAsia="ja-JP"/>
        </w:rPr>
        <w:instrText xml:space="preserve"> ADDIN ZOTERO_ITEM CSL_CITATION {"citationID":"hn1lFcrm","properties":{"formattedCitation":"(T. A. Campbell et al., 2011)","plainCitation":"(T. A. Campbell et al., 2011)","noteIndex":0},"citationItems":[{"id":53319,"uris":["http://zotero.org/groups/2352922/items/S9NASJGR"],"itemData":{"id":53319,"type":"article-journal","abstract":"Feral swine (Sus scrofa) pose a significant disease threat to livestock and humans. Emerging technologies to reduce feral swine disease transmission risks include fertility control, vaccination, and toxicants. However, for these technologies to be appropriate for field application, a feral swine-specific oral delivery system is needed. We used two field trials to generate information related to appropriate field application of the Boar-Operated-System (BOS™), an oral delivery system designed to provide bait access only to feral swine. Our objectives were to determine whether pre-baiting BOS™ units increased bait removal and to evaluate the proportion of feral swine and non-target animals that ingest baits designed to deliver pharmaceuticals through the BOS™. During both trials we used baits housed within 10 BOS™ units. We monitored wildlife visitation, bait removal, and ingestion using motion sensing digital photography and baits containing the bait marker tetracycline hydrochloride (TH). During trial 1 we found three of five pre-baited BOS™ units were used by feral swine only. Additionally, we found the five BOS™ units that were not pre-baited were not used by feral swine or non-target wildlife. During trial 2 we determined bait removal from the BOS™ to be reduced by only 10% for feral swine when activated, whereas bait removal from the BOS™ by all other wildlife was reduced by 100% when activated. We captured 81 feral swine and 23 raccoons and found 90% and 13% to have TH-marked teeth, respectively. With minor modifications, the BOS™ should be considered a valuable tool to be used in feral swine disease management in conjunction with existing technologies.","container-title":"Preventive Veterinary Medicine","DOI":"10.1016/j.prevetmed.2010.11.018","ISSN":"1873-1716","issue":"4","journalAbbreviation":"Prev Vet Med","language":"eng","note":"PMID: 21176854","page":"243-249","source":"PubMed","title":"Efficacy of the Boar-Operated-System to deliver baits to feral swine","volume":"98","author":[{"family":"Campbell","given":"Tyler A."},{"family":"Long","given":"David B."},{"family":"Massei","given":"Giovanna"}],"issued":{"date-parts":[["2011",3,1]]}},"label":"page"}],"schema":"https://github.com/citation-style-language/schema/raw/master/csl-citation.json"} </w:instrText>
      </w:r>
      <w:r w:rsidR="00EB2C42" w:rsidRPr="00837161">
        <w:rPr>
          <w:lang w:eastAsia="ja-JP"/>
        </w:rPr>
        <w:fldChar w:fldCharType="separate"/>
      </w:r>
      <w:r w:rsidR="00271B78" w:rsidRPr="00271B78">
        <w:t>(T. A. Campbell et al., 2011)</w:t>
      </w:r>
      <w:r w:rsidR="00EB2C42" w:rsidRPr="00837161">
        <w:rPr>
          <w:lang w:eastAsia="ja-JP"/>
        </w:rPr>
        <w:fldChar w:fldCharType="end"/>
      </w:r>
      <w:r w:rsidR="001B0409" w:rsidRPr="00837161">
        <w:rPr>
          <w:lang w:eastAsia="ja-JP"/>
        </w:rPr>
        <w:t xml:space="preserve">. </w:t>
      </w:r>
      <w:r w:rsidR="00F373B5" w:rsidRPr="00837161">
        <w:rPr>
          <w:lang w:eastAsia="ja-JP"/>
        </w:rPr>
        <w:t>Other chall</w:t>
      </w:r>
      <w:r w:rsidR="00D82D7A" w:rsidRPr="00837161">
        <w:rPr>
          <w:lang w:eastAsia="ja-JP"/>
        </w:rPr>
        <w:t>enges include optimum dose levels, stakeholder opposition (</w:t>
      </w:r>
      <w:r w:rsidR="002B79BE" w:rsidRPr="00837161">
        <w:rPr>
          <w:lang w:eastAsia="ja-JP"/>
        </w:rPr>
        <w:t>e</w:t>
      </w:r>
      <w:r w:rsidR="00361FA9" w:rsidRPr="00837161">
        <w:rPr>
          <w:lang w:eastAsia="ja-JP"/>
        </w:rPr>
        <w:t>.</w:t>
      </w:r>
      <w:r w:rsidR="002B79BE" w:rsidRPr="00837161">
        <w:rPr>
          <w:lang w:eastAsia="ja-JP"/>
        </w:rPr>
        <w:t>g</w:t>
      </w:r>
      <w:r w:rsidR="00361FA9" w:rsidRPr="00837161">
        <w:rPr>
          <w:lang w:eastAsia="ja-JP"/>
        </w:rPr>
        <w:t>.</w:t>
      </w:r>
      <w:r w:rsidR="002B79BE" w:rsidRPr="00837161">
        <w:rPr>
          <w:lang w:eastAsia="ja-JP"/>
        </w:rPr>
        <w:t>,</w:t>
      </w:r>
      <w:r w:rsidR="00D82D7A" w:rsidRPr="00837161">
        <w:rPr>
          <w:lang w:eastAsia="ja-JP"/>
        </w:rPr>
        <w:t xml:space="preserve"> hunters)</w:t>
      </w:r>
      <w:r w:rsidR="430727B2" w:rsidRPr="00837161">
        <w:rPr>
          <w:lang w:eastAsia="ja-JP"/>
        </w:rPr>
        <w:t xml:space="preserve"> and</w:t>
      </w:r>
      <w:r w:rsidR="00D82D7A" w:rsidRPr="00837161">
        <w:rPr>
          <w:lang w:eastAsia="ja-JP"/>
        </w:rPr>
        <w:t xml:space="preserve"> sex specific welfare implications. </w:t>
      </w:r>
      <w:r w:rsidR="001B0409" w:rsidRPr="00837161">
        <w:rPr>
          <w:lang w:eastAsia="ja-JP"/>
        </w:rPr>
        <w:t xml:space="preserve">Applications requiring oral bait delivery or self-disseminating fertility control agents still await development. Applications to-date are principally in containment and control, although fertility control can also aid in eradication of small populations </w:t>
      </w:r>
      <w:r w:rsidR="001B0409" w:rsidRPr="00837161">
        <w:rPr>
          <w:lang w:eastAsia="ja-JP"/>
        </w:rPr>
        <w:fldChar w:fldCharType="begin"/>
      </w:r>
      <w:r w:rsidR="000F35EB">
        <w:rPr>
          <w:lang w:eastAsia="ja-JP"/>
        </w:rPr>
        <w:instrText xml:space="preserve"> ADDIN ZOTERO_ITEM CSL_CITATION {"citationID":"WBj4xSrq","properties":{"formattedCitation":"(Hobbs et al., 2000)","plainCitation":"(Hobbs et al., 2000)","noteIndex":0},"citationItems":[{"id":16748,"uris":["http://zotero.org/groups/2352922/items/25NQY3CB"],"itemData":{"id":16748,"type":"article-journal","abstract":"Regulating the abundance of ungulate populations using hunting can prevent populations from reaching levels that cause harm to natural and human dominated systems. However, there are an increasing number of cases where hunting is infeasible, and in such cases, fertility control has been widely advocated as an alternative means for controlling populations. Here, we develop simple analytical models offering general insight into the feasibility of using fertility control to regulate the abundance of ungulates. The models are structured in stages to represent variation in the duration of effect of fertility control agents. Analysis of these models offers several predictions, amenable to testing in field studies. (1) More than 50% of fertile females will need to be maintained infertile to achieve meaningful reductions in ungulate numbers even when fertility rates are low. (2) The relationship between the proportion of females maintained infertile and the steady state density is highly nonlinear. This means that small errors in estimating levels of infertility can lead to large errors in achieved density. It also means that managers should expect to see little change in steady-state density across a broad range of delivery rates. (3) The efficacy of fertility control as a management technique depends strongly on the persistence of the effect of the fertility control agent and the ability of managers to recognize previously treated animals. (4) Fertility control using long-lived agents can be more efficient than culling in regulating ungulate numbers. (5) Treating small populations with irreversible agents magnifies the likelihood of population extinction relative to treatment by culling. As with all techniques, managing population fertility must extend from a sound understanding of the influence of management actions on the state and dynamics of the population.","archive":"JSTOR","container-title":"The Journal of Wildlife Management","DOI":"10.2307/3803245","ISSN":"0022-541X","issue":"2","page":"473-491","source":"JSTOR","title":"Effects of Fertility Control on Populations of Ungulates: General, Stage-Structured Models","title-short":"Effects of Fertility Control on Populations of Ungulates","URL":"www.jstor.org/stable/3803245","volume":"64","author":[{"family":"Hobbs","given":"N. Thompson"},{"family":"Bowden","given":"David C."},{"family":"Baker","given":"Dan L."}],"accessed":{"date-parts":[["2019",12,9]]},"issued":{"date-parts":[["2000"]]}},"label":"page"}],"schema":"https://github.com/citation-style-language/schema/raw/master/csl-citation.json"} </w:instrText>
      </w:r>
      <w:r w:rsidR="001B0409" w:rsidRPr="00837161">
        <w:rPr>
          <w:lang w:eastAsia="ja-JP"/>
        </w:rPr>
        <w:fldChar w:fldCharType="separate"/>
      </w:r>
      <w:r w:rsidR="00271B78" w:rsidRPr="00271B78">
        <w:t>(Hobbs et al., 2000)</w:t>
      </w:r>
      <w:r w:rsidR="001B0409" w:rsidRPr="00837161">
        <w:rPr>
          <w:lang w:eastAsia="ja-JP"/>
        </w:rPr>
        <w:fldChar w:fldCharType="end"/>
      </w:r>
      <w:r w:rsidR="001B0409" w:rsidRPr="00837161">
        <w:rPr>
          <w:lang w:eastAsia="ja-JP"/>
        </w:rPr>
        <w:t>. Surgical sterili</w:t>
      </w:r>
      <w:r w:rsidR="006230FA" w:rsidRPr="00837161">
        <w:rPr>
          <w:lang w:eastAsia="ja-JP"/>
        </w:rPr>
        <w:t>z</w:t>
      </w:r>
      <w:r w:rsidR="001B0409" w:rsidRPr="00837161">
        <w:rPr>
          <w:lang w:eastAsia="ja-JP"/>
        </w:rPr>
        <w:t>ation has been used in the management of grey squirrels</w:t>
      </w:r>
      <w:r w:rsidR="00405899" w:rsidRPr="00837161">
        <w:rPr>
          <w:lang w:eastAsia="ja-JP"/>
        </w:rPr>
        <w:t xml:space="preserve"> </w:t>
      </w:r>
      <w:r w:rsidR="001B0409" w:rsidRPr="00837161">
        <w:fldChar w:fldCharType="begin"/>
      </w:r>
      <w:r w:rsidR="000F35EB">
        <w:instrText xml:space="preserve"> ADDIN ZOTERO_ITEM CSL_CITATION {"citationID":"LWc1w0mq","properties":{"formattedCitation":"(Scapin et al., 2019)","plainCitation":"(Scapin et al., 2019)","noteIndex":0},"citationItems":[{"id":25148,"uris":["http://zotero.org/groups/2352922/items/6VT7HN93"],"itemData":{"id":25148,"type":"article-journal","abstract":"We report a successful surgical sterilization procedure for population control of 324 male and female free-ranging grey squirrels (Sciurus carolinensis) in Genoa (Italy). We describe the clinical procedure from the trapping of the animals to their surgical sterilization and release in another part of the city. Live-trapped squirrels were transported to the veterinary clinic within 1–2 hr of capture and maintained in a hospitalization room reserved for them. The waiting period before surgery was kept below 12 hr. The developed procedure has resulted in a survival of 94% of trapped squirrels from surgery to animal release. Sterilized squirrels started to feed in a very short time (1.0–1.5 hr), and after 2–3 days, it was possible to release them in a new area. Amoxicillin was used as a long-acting postoperative antibiotic to reduce the period of captivity. The successful surgical procedure described here can provide an important additional tool for the management of introduced populations of squirrels. We showed that the surgical sterilization of some hundred squirrels is clinically possible and could be included in management strategies aimed at removing critical populations of these species. Moreover, the data allow dosages and operational times in order to provide economic viability assessment of future population control measures.","container-title":"Journal of Veterinary Medical Science","DOI":"10.1292/jvms.18-0319","source":"J-Stage","title":"Surgical sterilization of male and female grey squirrels (&lt;i&gt;Sciurus carolinensis&lt;/i&gt;) of an urban population introduced in Italy","volume":"advpub","author":[{"family":"Scapin","given":"Paola"},{"family":"Ulbano","given":"Massimo"},{"family":"Ruggiero","given":"Chiara"},{"family":"Balduzzi","given":"Andrea"},{"family":"Marsan","given":"Andrea"},{"family":"Ferrari","given":"Nicola"},{"family":"Bertolino","given":"Sandro"}],"issued":{"date-parts":[["2019"]]}},"label":"page"}],"schema":"https://github.com/citation-style-language/schema/raw/master/csl-citation.json"} </w:instrText>
      </w:r>
      <w:r w:rsidR="001B0409" w:rsidRPr="00837161">
        <w:fldChar w:fldCharType="separate"/>
      </w:r>
      <w:r w:rsidR="00271B78" w:rsidRPr="00271B78">
        <w:t>(Scapin et al., 2019)</w:t>
      </w:r>
      <w:r w:rsidR="001B0409" w:rsidRPr="00837161">
        <w:fldChar w:fldCharType="end"/>
      </w:r>
      <w:r w:rsidR="001B0409" w:rsidRPr="00837161">
        <w:rPr>
          <w:lang w:eastAsia="ja-JP"/>
        </w:rPr>
        <w:t xml:space="preserve"> and bullfrogs </w:t>
      </w:r>
      <w:r w:rsidR="001B0409" w:rsidRPr="00837161">
        <w:fldChar w:fldCharType="begin"/>
      </w:r>
      <w:r w:rsidR="000F35EB">
        <w:instrText xml:space="preserve"> ADDIN ZOTERO_ITEM CSL_CITATION {"citationID":"ItkCHg6M","properties":{"formattedCitation":"(Descamps &amp; De Vocht, 2017)","plainCitation":"(Descamps &amp; De Vocht, 2017)","noteIndex":0},"citationItems":[{"id":30087,"uris":["http://zotero.org/groups/2352922/items/2JNGS7EJ"],"itemData":{"id":30087,"type":"article-journal","abstract":"Widespread populations of the invasive species Lithobates catesbeianus (American bullfrog) are present in different parts of the world and are difficult to control. This study investigated the possibility to sterilize male individuals of this species in order to use the sterile male release technique in controlling these invasive populations. The technique can be adopted in aquaculture facilities as well to prevent new introductions by incidental releases or escapes. In order to produce sterile individuals a cold and pressure shock protocol were used on fertilized eggs to create triploid individuals. The cold shock did not result in triploid individuals while 54% triploids were obtained from pressure shock, the remaining individuals being aneuploid. The triploid and control larvae were reared for more than one year and the control larvae had a greater length after 7 and 9 months, their weight did not differ. At metamorphosis no difference in length and weight was found between the two groups. The subadult bullfrogs from both groups showed 9 months post metamorphosis a similar scaled body mass index but lower than individuals living in the wild. The pressure shock protocol needs further refinement in respect to the timing of the shock. Further research on the reproductive behavior of these sterile frogs is necessary to evaluate the possible use in the sterile male release technique.","container-title":"Management of Biological Invasions","DOI":"10.3391/mbi.2017.8.3.09","ISSN":"19898649","issue":"3","journalAbbreviation":"MBI","language":"en","page":"361-370","source":"DOI.org (Crossref)","title":"The sterile male release approach as a method to control invasive amphibian populations: a preliminary study on &lt;i&gt;Lithobates catesbeianus&lt;/i&gt;","title-short":"The sterile male release approach as a method to control invasive amphibian populations","URL":"http://www.reabic.net/journals/mbi/2017/Issue3.aspx","volume":"8","author":[{"family":"Descamps","given":"Sarah"},{"family":"De Vocht","given":"Alain"}],"accessed":{"date-parts":[["2021",8,17]]},"issued":{"date-parts":[["2017"]]}},"label":"page"}],"schema":"https://github.com/citation-style-language/schema/raw/master/csl-citation.json"} </w:instrText>
      </w:r>
      <w:r w:rsidR="001B0409" w:rsidRPr="00837161">
        <w:fldChar w:fldCharType="separate"/>
      </w:r>
      <w:r w:rsidR="00271B78" w:rsidRPr="00271B78">
        <w:t>(Descamps &amp; De Vocht, 2017)</w:t>
      </w:r>
      <w:r w:rsidR="001B0409" w:rsidRPr="00837161">
        <w:fldChar w:fldCharType="end"/>
      </w:r>
      <w:r w:rsidR="001B0409" w:rsidRPr="00837161">
        <w:rPr>
          <w:lang w:eastAsia="ja-JP"/>
        </w:rPr>
        <w:t xml:space="preserve"> in Europe.</w:t>
      </w:r>
      <w:r w:rsidRPr="00C0338D">
        <w:t xml:space="preserve"> For registration, commercially available fertility control vaccines must undertake delivery and effectiveness trials, which generally require a minimum three to five years. See </w:t>
      </w:r>
      <w:r w:rsidR="002F2F42">
        <w:rPr>
          <w:b/>
        </w:rPr>
        <w:t>S</w:t>
      </w:r>
      <w:r w:rsidRPr="00C0338D">
        <w:rPr>
          <w:b/>
        </w:rPr>
        <w:t>upplementary material 5.6</w:t>
      </w:r>
      <w:r w:rsidRPr="00C0338D">
        <w:t xml:space="preserve"> for further details. </w:t>
      </w:r>
    </w:p>
    <w:p w14:paraId="00000308" w14:textId="77777777" w:rsidR="00A758FD" w:rsidRPr="00C0338D" w:rsidRDefault="00C81287" w:rsidP="00604A0A">
      <w:pPr>
        <w:pStyle w:val="Heading4"/>
      </w:pPr>
      <w:r w:rsidRPr="00C0338D">
        <w:t xml:space="preserve"> Classical biological control of invasive alien plants and invertebrates </w:t>
      </w:r>
    </w:p>
    <w:p w14:paraId="74D8853A" w14:textId="38C375C1" w:rsidR="001B0409" w:rsidRPr="00837161" w:rsidRDefault="001B0409" w:rsidP="00C11DFA">
      <w:pPr>
        <w:spacing w:before="240" w:after="120" w:line="240" w:lineRule="auto"/>
        <w:rPr>
          <w:lang w:eastAsia="ja-JP"/>
        </w:rPr>
      </w:pPr>
      <w:r w:rsidRPr="00837161">
        <w:rPr>
          <w:lang w:eastAsia="ja-JP"/>
        </w:rPr>
        <w:t xml:space="preserve">Classical biological control has </w:t>
      </w:r>
      <w:r w:rsidR="00912848">
        <w:rPr>
          <w:lang w:eastAsia="ja-JP"/>
        </w:rPr>
        <w:t xml:space="preserve">an </w:t>
      </w:r>
      <w:r w:rsidR="0090215B" w:rsidRPr="00837161">
        <w:rPr>
          <w:lang w:eastAsia="ja-JP"/>
        </w:rPr>
        <w:t xml:space="preserve">over </w:t>
      </w:r>
      <w:r w:rsidR="00D85495" w:rsidRPr="00837161">
        <w:rPr>
          <w:lang w:eastAsia="ja-JP"/>
        </w:rPr>
        <w:t>100</w:t>
      </w:r>
      <w:r w:rsidR="352E08A7" w:rsidRPr="00837161">
        <w:rPr>
          <w:lang w:eastAsia="ja-JP"/>
        </w:rPr>
        <w:t>-</w:t>
      </w:r>
      <w:r w:rsidRPr="00837161">
        <w:rPr>
          <w:lang w:eastAsia="ja-JP"/>
        </w:rPr>
        <w:t xml:space="preserve"> year history and has been accepted as a long term and effective management tool for invasive alien species by both the </w:t>
      </w:r>
      <w:r w:rsidR="00E0085C" w:rsidRPr="00837161">
        <w:rPr>
          <w:lang w:eastAsia="ja-JP"/>
        </w:rPr>
        <w:t>IPPC</w:t>
      </w:r>
      <w:r w:rsidRPr="00837161">
        <w:rPr>
          <w:lang w:eastAsia="ja-JP"/>
        </w:rPr>
        <w:t xml:space="preserve"> </w:t>
      </w:r>
      <w:r w:rsidRPr="00837161">
        <w:rPr>
          <w:lang w:eastAsia="ja-JP"/>
        </w:rPr>
        <w:fldChar w:fldCharType="begin"/>
      </w:r>
      <w:r w:rsidR="000F35EB">
        <w:rPr>
          <w:lang w:eastAsia="ja-JP"/>
        </w:rPr>
        <w:instrText xml:space="preserve"> ADDIN ZOTERO_ITEM CSL_CITATION {"citationID":"iAHr1jY5","properties":{"formattedCitation":"(IPPC, 2017a)","plainCitation":"(IPPC, 2017a)","noteIndex":0},"citationItems":[{"id":23591,"uris":["http://zotero.org/groups/2352922/items/BMTAU8VW"],"itemData":{"id":23591,"type":"report","collection-title":"International standards for phytosanitary measures","number":"ISPM 3","publisher":"International Plant Protection Convention","title":"Guidelines for the export, shipment, import and release of biological control agents and other beneficial organisms","URL":"https://www.ippc.int/en/publications/guidelines-export-shipment-import-and-release-biological-control-agents-and-other/","author":[{"literal":"IPPC"}],"accessed":{"date-parts":[["2020",6,14]]},"issued":{"date-parts":[["2017"]]}},"label":"page"}],"schema":"https://github.com/citation-style-language/schema/raw/master/csl-citation.json"} </w:instrText>
      </w:r>
      <w:r w:rsidRPr="00837161">
        <w:rPr>
          <w:lang w:eastAsia="ja-JP"/>
        </w:rPr>
        <w:fldChar w:fldCharType="separate"/>
      </w:r>
      <w:r w:rsidR="00271B78" w:rsidRPr="00271B78">
        <w:t>(IPPC, 2017a)</w:t>
      </w:r>
      <w:r w:rsidRPr="00837161">
        <w:rPr>
          <w:lang w:eastAsia="ja-JP"/>
        </w:rPr>
        <w:fldChar w:fldCharType="end"/>
      </w:r>
      <w:r w:rsidRPr="00837161">
        <w:rPr>
          <w:lang w:eastAsia="ja-JP"/>
        </w:rPr>
        <w:t xml:space="preserve"> and the </w:t>
      </w:r>
      <w:r w:rsidR="00A0207D" w:rsidRPr="00837161">
        <w:rPr>
          <w:lang w:eastAsia="ja-JP"/>
        </w:rPr>
        <w:t>CBD</w:t>
      </w:r>
      <w:r w:rsidRPr="00837161">
        <w:rPr>
          <w:lang w:eastAsia="ja-JP"/>
        </w:rPr>
        <w:t xml:space="preserve"> </w:t>
      </w:r>
      <w:r w:rsidRPr="00837161">
        <w:rPr>
          <w:lang w:eastAsia="ja-JP"/>
        </w:rPr>
        <w:fldChar w:fldCharType="begin"/>
      </w:r>
      <w:r w:rsidR="000F35EB">
        <w:rPr>
          <w:lang w:eastAsia="ja-JP"/>
        </w:rPr>
        <w:instrText xml:space="preserve"> ADDIN ZOTERO_ITEM CSL_CITATION {"citationID":"8w8puvfq","properties":{"formattedCitation":"(ISSG, 2018)","plainCitation":"(ISSG, 2018)","noteIndex":0},"citationItems":[{"id":11237,"uris":["http://zotero.org/groups/2352922/items/4BBG3WCS"],"itemData":{"id":11237,"type":"paper-conference","collection-title":"CBD/COP/14/INF/9","container-title":"Technical Report for the CBD. IUCN SSC Invasive Species Specialist Group.","event-title":"Fourteenth meeting of Conference of the Parties to the Convention on Biological Diversity","language":"en","page":"96","source":"Zotero","title":"Invasive alien species: the application of classical biological control for the management of established invasive alien species causing environmental impacts","URL":"https://www.cbd.int/doc/c/0c6f/7a35/eb8815eff54c3bc4a02139fd/cop-14-inf-09-en.pdf","author":[{"literal":"ISSG"}],"editor":[{"family":"Sheppard","given":"Andy"},{"family":"Paynter","given":"Quentin"},{"family":"Mason","given":"Phillippa"},{"family":"Murphy","given":"S"},{"family":"Stoett","given":"P"},{"family":"Cowan","given":"P"},{"family":"Brodeur","given":"J"},{"family":"Warner","given":"K"},{"family":"Villegas","given":"C"},{"family":"Shaw","given":"R"},{"family":"Hinz","given":"H"},{"family":"Hill","given":"M"},{"family":"Genovesi","given":"P"}],"issued":{"date-parts":[["2018"]]}},"label":"page"}],"schema":"https://github.com/citation-style-language/schema/raw/master/csl-citation.json"} </w:instrText>
      </w:r>
      <w:r w:rsidRPr="00837161">
        <w:rPr>
          <w:lang w:eastAsia="ja-JP"/>
        </w:rPr>
        <w:fldChar w:fldCharType="separate"/>
      </w:r>
      <w:r w:rsidR="00271B78" w:rsidRPr="00271B78">
        <w:t>(ISSG, 2018)</w:t>
      </w:r>
      <w:r w:rsidRPr="00837161">
        <w:rPr>
          <w:lang w:eastAsia="ja-JP"/>
        </w:rPr>
        <w:fldChar w:fldCharType="end"/>
      </w:r>
      <w:r w:rsidRPr="00837161">
        <w:rPr>
          <w:lang w:eastAsia="ja-JP"/>
        </w:rPr>
        <w:t>, particularly for invasive alien plants and invertebrates</w:t>
      </w:r>
      <w:r w:rsidR="00CC10F3" w:rsidRPr="00837161">
        <w:rPr>
          <w:lang w:eastAsia="ja-JP"/>
        </w:rPr>
        <w:t xml:space="preserve"> </w:t>
      </w:r>
      <w:r w:rsidRPr="00837161">
        <w:rPr>
          <w:lang w:eastAsia="ja-JP"/>
        </w:rPr>
        <w:fldChar w:fldCharType="begin"/>
      </w:r>
      <w:r w:rsidR="000F35EB">
        <w:rPr>
          <w:lang w:eastAsia="ja-JP"/>
        </w:rPr>
        <w:instrText xml:space="preserve"> ADDIN ZOTERO_ITEM CSL_CITATION {"citationID":"1KtjlKJ5","properties":{"unsorted":true,"formattedCitation":"(ISSG, 2018; Julien &amp; White, 1997; Waterhouse &amp; Sands, 2001; Heimpel &amp; Mills, 2017)","plainCitation":"(ISSG, 2018; Julien &amp; White, 1997; Waterhouse &amp; Sands, 2001; Heimpel &amp; Mills, 2017)","noteIndex":0},"citationItems":[{"id":11237,"uris":["http://zotero.org/groups/2352922/items/4BBG3WCS"],"itemData":{"id":11237,"type":"paper-conference","collection-title":"CBD/COP/14/INF/9","container-title":"Technical Report for the CBD. IUCN SSC Invasive Species Specialist Group.","event-title":"Fourteenth meeting of Conference of the Parties to the Convention on Biological Diversity","language":"en","page":"96","source":"Zotero","title":"Invasive alien species: the application of classical biological control for the management of established invasive alien species causing environmental impacts","URL":"https://www.cbd.int/doc/c/0c6f/7a35/eb8815eff54c3bc4a02139fd/cop-14-inf-09-en.pdf","author":[{"literal":"ISSG"}],"editor":[{"family":"Sheppard","given":"Andy"},{"family":"Paynter","given":"Quentin"},{"family":"Mason","given":"Phillippa"},{"family":"Murphy","given":"S"},{"family":"Stoett","given":"P"},{"family":"Cowan","given":"P"},{"family":"Brodeur","given":"J"},{"family":"Warner","given":"K"},{"family":"Villegas","given":"C"},{"family":"Shaw","given":"R"},{"family":"Hinz","given":"H"},{"family":"Hill","given":"M"},{"family":"Genovesi","given":"P"}],"issued":{"date-parts":[["2018"]]}},"label":"page"},{"id":11235,"uris":["http://zotero.org/groups/2352922/items/3SCLFEGF"],"itemData":{"id":11235,"type":"report","collection-title":"ACIAR Monograph Series","number":"49","page":"192","publisher":"Australian Centre for International Agricultural Research","source":"Google Scholar","title":"Biological control of weeds: theory and practical application","title-short":"Biological control of weeds","URL":"https://www.aciar.gov.au/publication/biological-control-weeds-theory-and-practical-application","author":[{"family":"Julien","given":"M. H."},{"family":"White","given":"Graham"}],"issued":{"date-parts":[["1997"]]}},"label":"page"},{"id":30388,"uris":["http://zotero.org/groups/2352922/items/YBVWHESV"],"itemData":{"id":30388,"type":"report","event-place":"Canberra, Australia","publisher":"CSIRO Entomology, Australian Centre for International Agricultural Research","publisher-place":"Canberra, Australia","source":"Google Scholar","title":"Classical biological control of arthropods in Australia. ACIAR monograph No. 77","author":[{"family":"Waterhouse","given":"D. F."},{"family":"Sands","given":"D. P. A."}],"issued":{"date-parts":[["2001"]]}},"label":"page"},{"id":31065,"uris":["http://zotero.org/groups/2352922/items/G9FUIETJ"],"itemData":{"id":31065,"type":"book","abstract":"Biological control is the suppression of populations of pests and weeds by living organisms. These organisms can provide important protection from invasive species and protect our environment by reducing the need for pesticides. However, they also pose possible environmental risks, so biological control interventions must be undertaken with great care. This book enhances our understanding of biological control interactions by combining theory and practical application. Using a combination of historical analyses, theoretical models and case studies, with explicit links to invasion biology, the authors cover biological control of insects, weeds, plant pathogens and vertebrate animals. The book reflects increasing recognition of risks over the past 20 years, and incorporates the latest technological advances and theoretical developments. It is ideal for researchers and students of biological control and invasion biology.","ISBN":"978-0-521-84514-4","language":"en","note":"Google-Books-ID: 1VdEDgAAQBAJ","number-of-pages":"393","publisher":"Cambridge University Press","source":"Google Books","title":"Biological Control","author":[{"family":"Heimpel","given":"George E."},{"family":"Mills","given":"Nicholas J."}],"issued":{"date-parts":[["2017",4,3]]}},"label":"page"}],"schema":"https://github.com/citation-style-language/schema/raw/master/csl-citation.json"} </w:instrText>
      </w:r>
      <w:r w:rsidRPr="00837161">
        <w:rPr>
          <w:lang w:eastAsia="ja-JP"/>
        </w:rPr>
        <w:fldChar w:fldCharType="separate"/>
      </w:r>
      <w:r w:rsidR="00271B78" w:rsidRPr="00271B78">
        <w:t>(ISSG, 2018; Julien &amp; White, 1997; Waterhouse &amp; Sands, 2001; Heimpel &amp; Mills, 2017)</w:t>
      </w:r>
      <w:r w:rsidRPr="00837161">
        <w:rPr>
          <w:lang w:eastAsia="ja-JP"/>
        </w:rPr>
        <w:fldChar w:fldCharType="end"/>
      </w:r>
      <w:r w:rsidRPr="00837161">
        <w:rPr>
          <w:lang w:eastAsia="ja-JP"/>
        </w:rPr>
        <w:t xml:space="preserve"> in both agricultural and environmental settings </w:t>
      </w:r>
      <w:r w:rsidRPr="00837161">
        <w:rPr>
          <w:lang w:eastAsia="ja-JP"/>
        </w:rPr>
        <w:fldChar w:fldCharType="begin"/>
      </w:r>
      <w:r w:rsidR="000F35EB">
        <w:rPr>
          <w:lang w:eastAsia="ja-JP"/>
        </w:rPr>
        <w:instrText xml:space="preserve"> ADDIN ZOTERO_ITEM CSL_CITATION {"citationID":"DlPrjzuP","properties":{"formattedCitation":"(Van Driesche et al., 2010)","plainCitation":"(Van Driesche et al., 2010)","noteIndex":0},"citationItems":[{"id":11269,"uris":["http://zotero.org/groups/2352922/items/WDGAUXFA"],"itemData":{"id":11269,"type":"article-journal","abstract":"Of the 70 cases of classical biological control for the protection of nature found in our review, there were fewer projects against insect targets (21) than against invasive plants (49), in part, because many insect biological control projects were carried out against agricultural pests, while nearly all projects against plants targeted invasive plants in natural ecosystems. Of 21 insect projects, 81% (17) provided beneﬁts to protection of biodiversity, while 48% (10) protected products harvested from natural systems, and 5% (1) preserved ecosystem services, with many projects contributing to more than one goal. In contrast, of the 49 projects against invasive plants, 98% (48) provided beneﬁts to protection of biodiversity, while 47% (23) protected products, and 25% (12) preserved ecosystem services, again with many projects contributing to several goals. We classiﬁed projects into complete control (pest generally no longer important), partial control (control in some areas but not others), and ‘‘in progress,” for projects in development for which outcomes do not yet exist. For insects, of the 21 projects discussed, 62% (13) achieved complete control of the target pest, 19% (4) provided partial control, and 43% (9) are still in progress. By comparison, of the 49 invasive plant projects considered, 27% (13) achieved complete control, while 33% (16) provided partial control, and 49% (24) are still in progress. For both categories of pests, some projects’ success ratings were scored twice when results varied by region. We found approximately twice as many projects directed against invasive plants than insects and that protection of biodiversity was the most frequent beneﬁt of both insect and plant projects. Ecosystem service protection was provided in the fewest cases by either insect or plant biological control agents, but was more likely to be provided by projects directed against invasive plants, likely because of the strong effects plants exert on landscapes. Rates of complete success appeared to be higher for insect than plant targets (62% vs 27%), perhaps because most often herbivores gradually weaken, rather than outright kill, their hosts, which is not the case for natural enemies directed against pest insects. For both insect and plant biological control, nearly half of all projects reviewed were listed as currently in progress, suggesting that the use of biological control for the protection of wildlands is currently very active.","collection-title":"Classical Biological Control for the Protection of Natural Ecosystems","container-title":"Biological Control","DOI":"10.1016/j.biocontrol.2010.03.003","ISSN":"10499644","issue":"Supplement 1","journalAbbreviation":"Biological Control","language":"en","page":"S2-S33","source":"DOI.org (Crossref)","title":"Classical biological control for the protection of natural ecosystems","URL":"https://linkinghub.elsevier.com/retrieve/pii/S1049964410000599","volume":"54","author":[{"family":"Van Driesche","given":"R.G."},{"family":"Carruthers","given":"R.I."},{"family":"Center","given":"T."},{"family":"Hoddle","given":"M.S."},{"family":"Hough-Goldstein","given":"J."},{"family":"Morin","given":"L."},{"family":"Smith","given":"L."},{"family":"Wagner","given":"D.L."},{"family":"Blossey","given":"B."},{"family":"Brancatini","given":"V."},{"family":"Casagrande","given":"R."},{"family":"Causton","given":"C.E."},{"family":"Coetzee","given":"J.A."},{"family":"Cuda","given":"J."},{"family":"Ding","given":"J."},{"family":"Fowler","given":"S.V."},{"family":"Frank","given":"J.H."},{"family":"Fuester","given":"R."},{"family":"Goolsby","given":"J."},{"family":"Grodowitz","given":"M."},{"family":"Heard","given":"T.A."},{"family":"Hill","given":"M.P."},{"family":"Hoffmann","given":"J.H."},{"family":"Huber","given":"J."},{"family":"Julien","given":"M."},{"family":"Kairo","given":"M.T.K."},{"family":"Kenis","given":"M."},{"family":"Mason","given":"P."},{"family":"Medal","given":"J."},{"family":"Messing","given":"R."},{"family":"Miller","given":"R."},{"family":"Moore","given":"A."},{"family":"Neuenschwander","given":"P."},{"family":"Newman","given":"R."},{"family":"Norambuena","given":"H."},{"family":"Palmer","given":"W.A."},{"family":"Pemberton","given":"R."},{"family":"Perez Panduro","given":"A."},{"family":"Pratt","given":"P.D."},{"family":"Rayamajhi","given":"M."},{"family":"Salom","given":"S."},{"family":"Sands","given":"D."},{"family":"Schooler","given":"S."},{"family":"Schwarzländer","given":"M."},{"family":"Sheppard","given":"A."},{"family":"Shaw","given":"R."},{"family":"Tipping","given":"P.W."},{"family":"Klinken","given":"R.D.","non-dropping-particle":"van"}],"accessed":{"date-parts":[["2019",11,3]]},"issued":{"date-parts":[["2010",8]]}},"label":"page"}],"schema":"https://github.com/citation-style-language/schema/raw/master/csl-citation.json"} </w:instrText>
      </w:r>
      <w:r w:rsidRPr="00837161">
        <w:rPr>
          <w:lang w:eastAsia="ja-JP"/>
        </w:rPr>
        <w:fldChar w:fldCharType="separate"/>
      </w:r>
      <w:r w:rsidR="00271B78" w:rsidRPr="00271B78">
        <w:t>(Van Driesche et al., 2010)</w:t>
      </w:r>
      <w:r w:rsidRPr="00837161">
        <w:rPr>
          <w:lang w:eastAsia="ja-JP"/>
        </w:rPr>
        <w:fldChar w:fldCharType="end"/>
      </w:r>
      <w:r w:rsidRPr="00837161">
        <w:rPr>
          <w:lang w:eastAsia="ja-JP"/>
        </w:rPr>
        <w:t xml:space="preserve">. Classical biological control programmes aim to release host-specific natural enemies of an invasive alien species target, generally from the native range and suited to the recipient environment of the target </w:t>
      </w:r>
      <w:r w:rsidRPr="00837161">
        <w:rPr>
          <w:lang w:eastAsia="ja-JP"/>
        </w:rPr>
        <w:fldChar w:fldCharType="begin"/>
      </w:r>
      <w:r w:rsidR="000F35EB">
        <w:rPr>
          <w:lang w:eastAsia="ja-JP"/>
        </w:rPr>
        <w:instrText xml:space="preserve"> ADDIN ZOTERO_ITEM CSL_CITATION {"citationID":"Rete9tV9","properties":{"formattedCitation":"(Briese, 2000)","plainCitation":"(Briese, 2000)","noteIndex":0},"citationItems":[{"id":23988,"uris":["http://zotero.org/groups/2352922/items/Z4IL7RA9"],"itemData":{"id":23988,"type":"chapter","container-title":"Australian Weed Management Systems","event-place":"Australia","ISBN":"0-9587439-4-0","page":"161–192","publisher":"R.G. and F.J. Richardson","publisher-place":"Australia","source":"Google Scholar","title":"Classical biological control","URL":"https://www.cabdirect.org/cabdirect/abstract/20023012716","author":[{"family":"Briese","given":"David T."}],"editor":[{"family":"Sindel","given":"B. M."}],"issued":{"date-parts":[["2000"]]}},"label":"page"}],"schema":"https://github.com/citation-style-language/schema/raw/master/csl-citation.json"} </w:instrText>
      </w:r>
      <w:r w:rsidRPr="00837161">
        <w:rPr>
          <w:lang w:eastAsia="ja-JP"/>
        </w:rPr>
        <w:fldChar w:fldCharType="separate"/>
      </w:r>
      <w:r w:rsidR="00271B78" w:rsidRPr="00271B78">
        <w:t>(Briese, 2000)</w:t>
      </w:r>
      <w:r w:rsidRPr="00837161">
        <w:rPr>
          <w:lang w:eastAsia="ja-JP"/>
        </w:rPr>
        <w:fldChar w:fldCharType="end"/>
      </w:r>
      <w:r w:rsidRPr="00837161">
        <w:rPr>
          <w:lang w:eastAsia="ja-JP"/>
        </w:rPr>
        <w:t xml:space="preserve">. Classical biological control has not been developed for marine environments, because </w:t>
      </w:r>
      <w:r w:rsidR="00644B69" w:rsidRPr="00837161">
        <w:rPr>
          <w:lang w:eastAsia="ja-JP"/>
        </w:rPr>
        <w:t xml:space="preserve">of safety concerns </w:t>
      </w:r>
      <w:r w:rsidR="00923C56" w:rsidRPr="00837161">
        <w:rPr>
          <w:lang w:eastAsia="ja-JP"/>
        </w:rPr>
        <w:t xml:space="preserve">partly because </w:t>
      </w:r>
      <w:r w:rsidRPr="00837161">
        <w:rPr>
          <w:lang w:eastAsia="ja-JP"/>
        </w:rPr>
        <w:t>they are globally contiguous and in general less understood than terrestrial or freshwater ecosystem</w:t>
      </w:r>
      <w:r w:rsidR="00912848">
        <w:rPr>
          <w:lang w:eastAsia="ja-JP"/>
        </w:rPr>
        <w:t>s</w:t>
      </w:r>
      <w:r w:rsidR="005B3D30" w:rsidRPr="00837161">
        <w:rPr>
          <w:lang w:eastAsia="ja-JP"/>
        </w:rPr>
        <w:t xml:space="preserve"> </w:t>
      </w:r>
      <w:r w:rsidRPr="00837161">
        <w:fldChar w:fldCharType="begin"/>
      </w:r>
      <w:r w:rsidR="000F35EB">
        <w:instrText xml:space="preserve"> ADDIN ZOTERO_ITEM CSL_CITATION {"citationID":"MCHC3tSP","properties":{"unsorted":true,"formattedCitation":"(Lafferty &amp; Kuris, 1996; Thresher et al., 2000; Secord, 2003)","plainCitation":"(Lafferty &amp; Kuris, 1996; Thresher et al., 2000; Secord, 2003)","noteIndex":0},"citationItems":[{"id":31153,"uris":["http://zotero.org/groups/2352922/items/QCQPFXJT"],"itemData":{"id":31153,"type":"article-journal","abstract":"Biological control, as used in terrestrial systems, may hold promise for use against exotic marine species. We first review some marine pests, displaying their diversity, the damage they cause, and possible controls. We then contrast approaches for marine and terrestrial pest control, providing guidelines for adapting terrestrial controls to the marine environment. Although several of the same principles apply in terrestrial and marine environments, marine systems differ with respect to the types of control agents available, the degree of pest-population reduction needed for effective control, the spatial scale over which biological control must operate effectively, the practicality of implementation, and the nature and degree of concern over safety. As an example, we propose a strategy for developing a biological control program against the European green crab, Carcinus maenas, which has had substantial negative impacts where previously introduced (New England, Atlantic Canada, South Africa, south Australia) and which has recently been introduced to central California, and to Tasmania. We conclude that biological control may be possible for some marine pests, but that existing strategies and expectations will require modification. Key words: biological control; biocontrol agents, safety testing of; Carcinus maenas; green crab; host specificity; introduced species; marine pests, biological control of; natural enemies; parasitic castrator; recruitment, importance of; Rhizocephala.","container-title":"Ecology","DOI":"10.2307/2265695","ISSN":"00129658","issue":"7","language":"en","page":"1989-2000","source":"DOI.org (Crossref)","title":"Biological Control of Marine Pests","URL":"http://doi.wiley.com/10.2307/2265695","volume":"77","author":[{"family":"Lafferty","given":"Kevin D."},{"family":"Kuris","given":"Armand M."}],"accessed":{"date-parts":[["2021",10,31]]},"issued":{"date-parts":[["1996",10]]}},"label":"page"},{"id":30091,"uris":["http://zotero.org/groups/2352922/items/6J4LPL2G"],"itemData":{"id":30091,"type":"article-journal","abstract":"The impacts of introduced marine pests are becoming increasingly apparent, prompting interest in the possibility of their biological control. We undertook laboratory and field experiments on host selection of one potential control agent (the endoparasitic barnacle, Sacculina carcini) against its natural host (the widely invasive European shore crab, Carcinus maenas) and several confamilial and more distantly related crustaceans. For comparison, we also tested host specificity in a related parasitic barnacle, Heterosaccus lunatus. The results confirm indistinct behavioral host selection in S. carcini, indicate very different mechanisms for host selection by S. carcini and H. lunatus (which could be related to differences between the two species in attachment points), and suggest host specificity in S. carcini depends on interactions between the parasite and the host’s physiology. Development of convincing safety trials for marine parasites like S. carcini, in which the infective stage is a planktonic larva, will be more difficult than for many terrestrial parasites and will require detailed knowledge of the parasite’s behavior and physiological interaction with its hosts.","container-title":"Journal of Experimental Marine Biology and Ecology","DOI":"10.1016/S0022-0981(00)00260-4","ISSN":"0022-0981","issue":"1","journalAbbreviation":"Journal of Experimental Marine Biology and Ecology","language":"en","page":"37-51","source":"ScienceDirect","title":"Developing the options for managing marine pests: specificity trials on the parasitic castrator, &lt;i&gt;Sacculina carcini&lt;/i&gt;, against the European crab, &lt;i&gt;Carcinus maenas&lt;/i&gt;, and related species","title-short":"Developing the options for managing marine pests","URL":"https://www.sciencedirect.com/science/article/pii/S0022098100002604","volume":"254","author":[{"family":"Thresher","given":"Ronald E."},{"family":"Werner","given":"M"},{"family":"Høeg","given":"J. T"},{"family":"Svane","given":"I"},{"family":"Glenner","given":"H"},{"family":"Murphy","given":"N. E"},{"family":"Wittwer","given":"C"}],"accessed":{"date-parts":[["2021",8,17]]},"issued":{"date-parts":[["2000",11,1]]}},"label":"page"},{"id":30118,"uris":["http://zotero.org/groups/2352922/items/DNGLYD6N"],"itemData":{"id":30118,"type":"article-journal","container-title":"Biological Invasions","DOI":"10.1023/A:1024054909052","ISSN":"13873547","issue":"1/2","page":"117-131","source":"DOI.org (Crossref)","title":"Biological control of marine invasive species: cautionary tales and land-based lessons","URL":"http://link.springer.com/10.1023/A:1024054909052","volume":"5","author":[{"family":"Secord","given":"David"}],"accessed":{"date-parts":[["2021",7,21]]},"issued":{"date-parts":[["2003"]]}},"label":"page"}],"schema":"https://github.com/citation-style-language/schema/raw/master/csl-citation.json"} </w:instrText>
      </w:r>
      <w:r w:rsidRPr="00837161">
        <w:fldChar w:fldCharType="separate"/>
      </w:r>
      <w:r w:rsidR="00271B78" w:rsidRPr="00271B78">
        <w:t>(Lafferty &amp; Kuris, 1996; Thresher et al., 2000; Secord, 2003)</w:t>
      </w:r>
      <w:r w:rsidRPr="00837161">
        <w:fldChar w:fldCharType="end"/>
      </w:r>
      <w:r w:rsidR="00D10E43" w:rsidRPr="00837161">
        <w:t xml:space="preserve">. While some consider it remains an option worth considering </w:t>
      </w:r>
      <w:r w:rsidRPr="00837161">
        <w:fldChar w:fldCharType="begin"/>
      </w:r>
      <w:r w:rsidR="000F35EB">
        <w:instrText xml:space="preserve"> ADDIN ZOTERO_ITEM CSL_CITATION {"citationID":"kK11DgJP","properties":{"formattedCitation":"(Bax et al., 2003)","plainCitation":"(Bax et al., 2003)","noteIndex":0},"citationItems":[{"id":31789,"uris":["http://zotero.org/groups/2352922/items/ENITFXZD"],"itemData":{"id":31789,"type":"article-journal","container-title":"Marine Policy","DOI":"10.1016/S0308-597X(03)00041-1","ISSN":"0308597X","issue":"4","journalAbbreviation":"Marine Policy","language":"en","page":"313-323","source":"DOI.org (Crossref)","title":"Marine invasive alien species: a threat to global biodiversity","title-short":"Marine invasive alien species","URL":"https://linkinghub.elsevier.com/retrieve/pii/S0308597X03000411","volume":"27","author":[{"family":"Bax","given":"Nicholas  J."},{"family":"Williamson","given":"Angela"},{"family":"Aguero","given":"Max"},{"family":"Gonzalez","given":"Exequiel"},{"family":"Geeves","given":"Warren"}],"accessed":{"date-parts":[["2021",7,21]]},"issued":{"date-parts":[["2003",7]]}},"label":"page"}],"schema":"https://github.com/citation-style-language/schema/raw/master/csl-citation.json"} </w:instrText>
      </w:r>
      <w:r w:rsidRPr="00837161">
        <w:fldChar w:fldCharType="separate"/>
      </w:r>
      <w:r w:rsidR="00271B78" w:rsidRPr="00271B78">
        <w:t>(Bax et al., 2003)</w:t>
      </w:r>
      <w:r w:rsidRPr="00837161">
        <w:fldChar w:fldCharType="end"/>
      </w:r>
      <w:r w:rsidR="007B7402" w:rsidRPr="00837161">
        <w:t xml:space="preserve">, </w:t>
      </w:r>
      <w:r w:rsidR="00D10E43" w:rsidRPr="00837161">
        <w:t xml:space="preserve">others </w:t>
      </w:r>
      <w:r w:rsidR="007B7402" w:rsidRPr="00837161">
        <w:t xml:space="preserve">consider the use of </w:t>
      </w:r>
      <w:r w:rsidR="00C926F5">
        <w:t>alien</w:t>
      </w:r>
      <w:r w:rsidR="00C926F5" w:rsidRPr="00837161">
        <w:t xml:space="preserve"> </w:t>
      </w:r>
      <w:r w:rsidR="007B7402" w:rsidRPr="00837161">
        <w:t>biocontrol agents too risky</w:t>
      </w:r>
      <w:r w:rsidR="00A57CBF" w:rsidRPr="00837161">
        <w:t xml:space="preserve"> </w:t>
      </w:r>
      <w:r w:rsidR="00080D39" w:rsidRPr="00837161">
        <w:t xml:space="preserve">in marine systems </w:t>
      </w:r>
      <w:r w:rsidRPr="00837161">
        <w:fldChar w:fldCharType="begin"/>
      </w:r>
      <w:r w:rsidR="000F35EB">
        <w:instrText xml:space="preserve"> ADDIN ZOTERO_ITEM CSL_CITATION {"citationID":"sAOQqCHb","properties":{"formattedCitation":"(Atalah et al., 2015)","plainCitation":"(Atalah et al., 2015)","noteIndex":0},"citationItems":[{"id":31069,"uris":["http://zotero.org/groups/2352922/items/NAFLKW25"],"itemData":{"id":31069,"type":"article-journal","abstract":"The occurrence of problematic pest organisms is an increasing global phenomenon, adversely affecting a range of environments and associated values. In marine systems, the efficacy of pest control has to date been constrained by a lack of tools that are not only highly effective, but also applicable across broad spatial scales. Here we consider the extent to which biological control (biocontrol) has the potential to fulfil these needs. We describe different biocontrol approaches and potential ecological mechanisms (e.g. consumption, space competition, habitat modification) through which problematic species could be supressed. We also discuss the ideal traits of marine control agents within the context of the selection criteria commonly applied in terrestrial systems. Classical biocontrol based on the deliberate introduction of non-indigenous agents has a high risk of leading to adverse non-target effects in marine environments, and cannot be justified. By contrast, approaches that use indigenous species have a low risk of unacceptable non-target effects, and could be used as part of pest eradication, as a means of containing spread, or for the control of established pest populations to mitigate adverse effects. While biocontrol based on indigenous species can be highly effective for such purposes, it is unlikely that it could be feasibly applied at broad spatial scales, except in specific circumstances (e.g. in some types of aquaculture). There is clearly a need to develop new approaches to manage marine pests. Biocontrol when used in conjunction with traditional approaches can provide a valuable tool for pest eradication, containment and mitigation of adverse effects.","container-title":"Management of Biological Invasions","DOI":"10.3391/mbi.2015.6.1.01","ISSN":"19898649","issue":"1","journalAbbreviation":"MBI","language":"en","page":"1-12","source":"DOI.org (Crossref)","title":"Concepts for biocontrol in marine environments: is there a way forward?","title-short":"Concepts for biocontrol in marine environments","URL":"http://www.reabic.net/journals/mbi/2015/Issue1.aspx","volume":"6","author":[{"family":"Atalah","given":"Javier"},{"family":"Hopkins","given":"Grant A."},{"family":"Fletcher","given":"Lauren M."},{"family":"Castinel","given":"Aurelie"},{"family":"Forrest","given":"Barrie M."}],"accessed":{"date-parts":[["2021",10,31]]},"issued":{"date-parts":[["2015",3]]}},"label":"page"}],"schema":"https://github.com/citation-style-language/schema/raw/master/csl-citation.json"} </w:instrText>
      </w:r>
      <w:r w:rsidRPr="00837161">
        <w:fldChar w:fldCharType="separate"/>
      </w:r>
      <w:r w:rsidR="00271B78" w:rsidRPr="00271B78">
        <w:t>(Atalah et al., 2015)</w:t>
      </w:r>
      <w:r w:rsidRPr="00837161">
        <w:fldChar w:fldCharType="end"/>
      </w:r>
      <w:r w:rsidR="005B3D30" w:rsidRPr="00837161">
        <w:t>.</w:t>
      </w:r>
      <w:r w:rsidR="00C34408" w:rsidRPr="00837161">
        <w:t xml:space="preserve"> </w:t>
      </w:r>
    </w:p>
    <w:p w14:paraId="317BE5CD" w14:textId="1609EA58" w:rsidR="001B0409" w:rsidRPr="00837161" w:rsidRDefault="001B0409" w:rsidP="00C11DFA">
      <w:pPr>
        <w:spacing w:before="240" w:after="120" w:line="240" w:lineRule="auto"/>
      </w:pPr>
      <w:r w:rsidRPr="00837161">
        <w:rPr>
          <w:lang w:eastAsia="ja-JP"/>
        </w:rPr>
        <w:t xml:space="preserve">The application of biological control dates back to the uncontrolled use of generalist vertebrate predators as biocontrol agents from the 1700s to early 1900s prior to import restrictions on </w:t>
      </w:r>
      <w:r w:rsidR="00EC4F14" w:rsidRPr="00837161">
        <w:rPr>
          <w:lang w:eastAsia="ja-JP"/>
        </w:rPr>
        <w:t xml:space="preserve">alien </w:t>
      </w:r>
      <w:r w:rsidRPr="00837161">
        <w:rPr>
          <w:lang w:eastAsia="ja-JP"/>
        </w:rPr>
        <w:t xml:space="preserve">species or regulations built on robust risk assessment </w:t>
      </w:r>
      <w:r w:rsidRPr="00837161">
        <w:fldChar w:fldCharType="begin"/>
      </w:r>
      <w:r w:rsidR="000F35EB">
        <w:instrText xml:space="preserve"> ADDIN ZOTERO_ITEM CSL_CITATION {"citationID":"oL4uZTGt","properties":{"formattedCitation":"(Huffaker &amp; Messenger, 1976; Moran et al., 2013; Waterhouse &amp; Sands, 2001)","plainCitation":"(Huffaker &amp; Messenger, 1976; Moran et al., 2013; Waterhouse &amp; Sands, 2001)","noteIndex":0},"citationItems":[{"id":31067,"uris":["http://zotero.org/groups/2352922/items/V8I93YYW"],"itemData":{"id":31067,"type":"book","abstract":"The Theory and Practice of Biological Control covers conventional biological control achievement in the major crop types and in public health problems. Composed of five sections encompassing 28 chapters, this book discusses the basic information concerning developments in other biologically based alternatives to chemical pesticides. The first two sections discuss the philosophy, theory, scope, history, and the biological and ecological bases of biological control. These sections also deal with the impact of predators and the host relationships of parasitoids and pathogens. The following section presents the methodological aspects of biological control. Discussions on the variability of natural enemies as encountered in biological control work; the fitness of individuals and populations; the ways fitness is being or can be influenced by importation procedures; and the ability of imported natural enemies to adapt to the new environment are included. The fourth section outlines the accomplishments of conventional biological control in various types of crops, forests, and public health areas. Lastly, the various components of integrated pest control other than conventional biological control that forms the essential ways used in the integrated control approach are covered in the last section of the book. This book is an ideal source for plant pathologists and researchers, microbiologists, parasitologists, and public health professionals.","ISBN":"978-0-323-14244-1","language":"en","number-of-pages":"811","publisher":"Elsevier","source":"Google Books","title":"Theory and Practice of Biological Control","URL":"https://doi.org/10.1016/B978-0-12-360350-0.X5001-6","editor":[{"family":"Huffaker","given":"C. B."},{"family":"Messenger","given":"P. S."}],"issued":{"date-parts":[["1976"]]}},"label":"page"},{"id":30092,"uris":["http://zotero.org/groups/2352922/items/K8WBS93R"],"itemData":{"id":30092,"type":"article-journal","abstract":"On 26 June 1906, the fourth Parliamentary Select Committee on Agricultural Cooperation met in Cape Town to debate the apparently intractable scourge to agriculture, and the wider community, of dense infestations of sweet prickly pear (Opuntia ficus-indica) in the Eastern Cape and Karoo. Originating from Central America, this plant had been in South Africa since at least the 1750s, and by the 1890s had invaded an estimated 314 000 ha, which increased to about 1 million ha by the 1950s. Dr G.H. Maasdorp, a member of the Legislative Assembly of the Cape and a medical practitioner in Graaff-Reinet, which was literally in the thick of the prickly pear problem at the time, presented his perceptive views to the Committee.","container-title":"South African Journal of Science","DOI":"10.10520/EJC142072","issue":"9","note":"publisher: Academy of Science for South Africa (ASSAf)","page":"a0022","source":"journals.co.za (Atypon)","title":"100 years of biological control of invasive alien plants in South Africa : history, practice and achievements : news &amp; views","title-short":"100 years of biological control of invasive alien plants in South Africa","URL":"https://journals.co.za/doi/abs/10.10520/EJC142072","volume":"109","author":[{"family":"Moran","given":"V. Cliff"},{"family":"Hoffmann","given":"John H."},{"family":"Zimmermann","given":"Helmuth G."}],"accessed":{"date-parts":[["2021",8,17]]},"issued":{"date-parts":[["2013",9,1]]}},"label":"page"},{"id":30388,"uris":["http://zotero.org/groups/2352922/items/YBVWHESV"],"itemData":{"id":30388,"type":"report","event-place":"Canberra, Australia","publisher":"CSIRO Entomology, Australian Centre for International Agricultural Research","publisher-place":"Canberra, Australia","source":"Google Scholar","title":"Classical biological control of arthropods in Australia. ACIAR monograph No. 77","author":[{"family":"Waterhouse","given":"D. F."},{"family":"Sands","given":"D. P. A."}],"issued":{"date-parts":[["2001"]]}},"label":"page"}],"schema":"https://github.com/citation-style-language/schema/raw/master/csl-citation.json"} </w:instrText>
      </w:r>
      <w:r w:rsidRPr="00837161">
        <w:fldChar w:fldCharType="separate"/>
      </w:r>
      <w:r w:rsidR="00271B78" w:rsidRPr="00271B78">
        <w:t>(Huffaker &amp; Messenger, 1976; Moran et al., 2013; Waterhouse &amp; Sands, 2001)</w:t>
      </w:r>
      <w:r w:rsidRPr="00837161">
        <w:fldChar w:fldCharType="end"/>
      </w:r>
      <w:r w:rsidRPr="00837161">
        <w:rPr>
          <w:lang w:eastAsia="ja-JP"/>
        </w:rPr>
        <w:t>. This includes the release of cats to control rodents, mongoose to control snakes on islands and toads to control sugar cane pests. This gave biological control a bad name because many of these agents became pests in their own right</w:t>
      </w:r>
      <w:r w:rsidR="00972EF4" w:rsidRPr="00837161">
        <w:rPr>
          <w:lang w:eastAsia="ja-JP"/>
        </w:rPr>
        <w:t xml:space="preserve"> </w:t>
      </w:r>
      <w:r w:rsidR="008F44BD" w:rsidRPr="00837161">
        <w:rPr>
          <w:lang w:eastAsia="ja-JP"/>
        </w:rPr>
        <w:t>(</w:t>
      </w:r>
      <w:r w:rsidR="00C33F92">
        <w:rPr>
          <w:b/>
          <w:iCs/>
          <w:lang w:eastAsia="ja-JP"/>
        </w:rPr>
        <w:t>C</w:t>
      </w:r>
      <w:r w:rsidR="00972EF4" w:rsidRPr="00C33F92">
        <w:rPr>
          <w:b/>
          <w:iCs/>
          <w:lang w:eastAsia="ja-JP"/>
        </w:rPr>
        <w:t xml:space="preserve">hapter </w:t>
      </w:r>
      <w:r w:rsidR="00612897" w:rsidRPr="00C33F92">
        <w:rPr>
          <w:b/>
          <w:iCs/>
          <w:lang w:eastAsia="ja-JP"/>
        </w:rPr>
        <w:t>3</w:t>
      </w:r>
      <w:r w:rsidR="00612897" w:rsidRPr="00C33F92">
        <w:rPr>
          <w:iCs/>
          <w:lang w:eastAsia="ja-JP"/>
        </w:rPr>
        <w:t>,</w:t>
      </w:r>
      <w:r w:rsidR="00972EF4" w:rsidRPr="00C33F92">
        <w:rPr>
          <w:b/>
          <w:iCs/>
          <w:lang w:eastAsia="ja-JP"/>
        </w:rPr>
        <w:t xml:space="preserve"> section 3.3.5.2</w:t>
      </w:r>
      <w:r w:rsidR="00972EF4" w:rsidRPr="00837161">
        <w:rPr>
          <w:lang w:eastAsia="ja-JP"/>
        </w:rPr>
        <w:t>)</w:t>
      </w:r>
      <w:r w:rsidRPr="00837161">
        <w:rPr>
          <w:lang w:eastAsia="ja-JP"/>
        </w:rPr>
        <w:t xml:space="preserve">. These are not examples of classical biological control as these </w:t>
      </w:r>
      <w:r w:rsidR="00A81BC5" w:rsidRPr="00837161">
        <w:rPr>
          <w:lang w:eastAsia="ja-JP"/>
        </w:rPr>
        <w:t xml:space="preserve">“biocontrol agents” </w:t>
      </w:r>
      <w:r w:rsidRPr="00837161">
        <w:rPr>
          <w:lang w:eastAsia="ja-JP"/>
        </w:rPr>
        <w:t xml:space="preserve">were not selected based on specificity </w:t>
      </w:r>
      <w:r w:rsidR="006D776A" w:rsidRPr="00837161">
        <w:rPr>
          <w:lang w:eastAsia="ja-JP"/>
        </w:rPr>
        <w:t>(</w:t>
      </w:r>
      <w:r w:rsidR="00A81BC5" w:rsidRPr="00837161">
        <w:rPr>
          <w:lang w:eastAsia="ja-JP"/>
        </w:rPr>
        <w:t xml:space="preserve">some being </w:t>
      </w:r>
      <w:r w:rsidR="00E2263B" w:rsidRPr="00837161">
        <w:rPr>
          <w:lang w:eastAsia="ja-JP"/>
        </w:rPr>
        <w:t>generalist fish</w:t>
      </w:r>
      <w:r w:rsidR="006430AF" w:rsidRPr="00837161">
        <w:rPr>
          <w:lang w:eastAsia="ja-JP"/>
        </w:rPr>
        <w:t>;</w:t>
      </w:r>
      <w:r w:rsidR="00E2263B" w:rsidRPr="00837161">
        <w:rPr>
          <w:lang w:eastAsia="ja-JP"/>
        </w:rPr>
        <w:t xml:space="preserve"> </w:t>
      </w:r>
      <w:r w:rsidR="006D776A" w:rsidRPr="00837161">
        <w:rPr>
          <w:lang w:eastAsia="ja-JP"/>
        </w:rPr>
        <w:t>e</w:t>
      </w:r>
      <w:r w:rsidR="00447E8D" w:rsidRPr="00837161">
        <w:rPr>
          <w:lang w:eastAsia="ja-JP"/>
        </w:rPr>
        <w:t>.</w:t>
      </w:r>
      <w:r w:rsidR="006D776A" w:rsidRPr="00837161">
        <w:rPr>
          <w:lang w:eastAsia="ja-JP"/>
        </w:rPr>
        <w:t>g</w:t>
      </w:r>
      <w:r w:rsidR="00447E8D" w:rsidRPr="00837161">
        <w:rPr>
          <w:lang w:eastAsia="ja-JP"/>
        </w:rPr>
        <w:t>.,</w:t>
      </w:r>
      <w:r w:rsidR="006D776A" w:rsidRPr="00837161">
        <w:rPr>
          <w:lang w:eastAsia="ja-JP"/>
        </w:rPr>
        <w:t xml:space="preserve"> </w:t>
      </w:r>
      <w:r w:rsidRPr="00837161">
        <w:fldChar w:fldCharType="begin"/>
      </w:r>
      <w:r w:rsidR="000F35EB">
        <w:instrText xml:space="preserve"> ADDIN ZOTERO_ITEM CSL_CITATION {"citationID":"HfgAWCNa","properties":{"formattedCitation":"(Fenichel et al., 2010; Ip et al., 2014)","plainCitation":"(Fenichel et al., 2010; Ip et al., 2014)","dontUpdate":true,"noteIndex":0},"citationItems":[{"id":31064,"uris":["http://zotero.org/groups/2352922/items/INT32PL4"],"itemData":{"id":31064,"type":"article-journal","abstract":"Invasive species are typically viewed as an economic bad because they cause economic and ecological damages, and can be difficult to control. When direct management is limited, another option is indirect management via bio-controls. Here management is directed at the bio-control species population (e.g., supplementing this population through stocking) with the aim that, through ecological interactions, the bio-control species will control the invader. We focus on stocking salmon to control invasive alewives in Lake Michigan. Salmon are valuable to recreational anglers, and alewives are their primary food source in Lake Michigan. We illustrate how stocking salmon can be used to control alewife, while at the same time alewife can be turned from a net economic bad (having a negative shadow value) into a net economic good (having a positive shadow value) by providing valuable ecosystem services that support the recreational fishery. Using optimal control theory, we solve for a stocking program that maximizes social welfare. Optimal stocking results in cyclical dynamics. We link concepts of natural capital and indirect management, population dynamics, non-convexities, and multiple-use species and demonstrate that species interactions are critical to the values that humans derive from ecosystems. This research also provides insight into the management of salmon fisheries in the Great Lakes.","collection-title":"The Economics of Invasive Species Control and Management","container-title":"Resource and Energy Economics","DOI":"10.1016/j.reseneeco.2010.04.002","ISSN":"0928-7655","issue":"4","journalAbbreviation":"Resource and Energy Economics","language":"en","page":"500-518","source":"ScienceDirect","title":"Indirect management of invasive species through bio-controls: A bioeconomic model of salmon and alewife in Lake Michigan","title-short":"Indirect management of invasive species through bio-controls","URL":"https://www.sciencedirect.com/science/article/pii/S0928765510000229","volume":"32","author":[{"family":"Fenichel","given":"Eli P."},{"family":"Horan","given":"Richard D."},{"family":"Bence","given":"James R."}],"accessed":{"date-parts":[["2021",10,31]]},"issued":{"date-parts":[["2010",11,1]]}},"label":"page"},{"id":31068,"uris":["http://zotero.org/groups/2352922/items/ZH2NP3RE"],"itemData":{"id":31068,"type":"article-journal","abstract":"Molluscivorous fish, especially carp, have been adopted as bio-control agents of the invasive apple snail Pomacea canaliculata, but previous studies have focused on their effectiveness, with little attention paid to their undesirable effects on non-target plants and animals. We conducted an 8-week mesocosm study to compare the effectiveness of two indigenous fish, common carp (Cyprinus carpio) and black carp (Mylopharyngodon piceus), in removing P. canaliculata, and their potential side effects on macrophytes and non-target mollusks in a freshwater wetland. Three species of macrophytes and a community of mollusks in the wetland sediment were enclosed in 1×1×1m enclosures either with apple snails (AS), with apple snails and common carp (AS+CC), with apple snails and black carp (AS+BC), or without apple snails and fish. Both species of carp were effective predators of P. canaliculata, removing most of the individuals in the enclosures except a few that were too big to fit into their mouth. By reducing apple snail population, black carp reduced grazing of apple snail on macrophytes. In contrast, although common carp controlled apple snail population, it did not reduce overall loss in plant biomass as the fish might also fed on macrophytes. Both species of carp preyed on non-target mollusks. Application of bio-control agents in invasive species management needs to consider their effects on both the pest and non-target plants and animals. Adoption of common and/or black carp to control apple snail populations thus depends on the weight given to their effectiveness and subtle different effects on non-target organisms by wetland management authority.","container-title":"Biological Control","DOI":"10.1016/j.biocontrol.2013.12.009","ISSN":"1049-9644","journalAbbreviation":"Biological Control","language":"en","page":"16-22","source":"ScienceDirect","title":"Biological control of invasive apple snails by two species of carp: Effects on non-target species matter","title-short":"Biological control of invasive apple snails by two species of carp","URL":"https://www.sciencedirect.com/science/article/pii/S1049964414000036","volume":"71","author":[{"family":"Ip","given":"Kelvin K. L."},{"family":"Liang","given":"Yan"},{"family":"Lin","given":"Li"},{"family":"Wu","given":"Huixian"},{"family":"Xue","given":"Junzhen"},{"family":"Qiu","given":"Jian-Wen"}],"accessed":{"date-parts":[["2021",10,31]]},"issued":{"date-parts":[["2014",4,1]]}},"label":"page"}],"schema":"https://github.com/citation-style-language/schema/raw/master/csl-citation.json"} </w:instrText>
      </w:r>
      <w:r w:rsidRPr="00837161">
        <w:fldChar w:fldCharType="separate"/>
      </w:r>
      <w:r w:rsidR="00403460" w:rsidRPr="00837161">
        <w:t>Fenichel et al., 2010; Ip et al., 2014)</w:t>
      </w:r>
      <w:r w:rsidRPr="00837161">
        <w:fldChar w:fldCharType="end"/>
      </w:r>
      <w:r w:rsidR="00766B04" w:rsidRPr="00837161">
        <w:rPr>
          <w:lang w:eastAsia="ja-JP"/>
        </w:rPr>
        <w:t xml:space="preserve"> </w:t>
      </w:r>
      <w:r w:rsidRPr="00837161">
        <w:rPr>
          <w:lang w:eastAsia="ja-JP"/>
        </w:rPr>
        <w:t>or via a risk</w:t>
      </w:r>
      <w:r w:rsidR="006430AF" w:rsidRPr="00837161">
        <w:rPr>
          <w:lang w:eastAsia="ja-JP"/>
        </w:rPr>
        <w:t>-</w:t>
      </w:r>
      <w:r w:rsidRPr="00837161">
        <w:rPr>
          <w:lang w:eastAsia="ja-JP"/>
        </w:rPr>
        <w:t>assessment</w:t>
      </w:r>
      <w:r w:rsidR="006430AF" w:rsidRPr="00837161">
        <w:rPr>
          <w:lang w:eastAsia="ja-JP"/>
        </w:rPr>
        <w:t>-</w:t>
      </w:r>
      <w:r w:rsidR="00ED23A9" w:rsidRPr="00837161">
        <w:rPr>
          <w:lang w:eastAsia="ja-JP"/>
        </w:rPr>
        <w:t>based regu</w:t>
      </w:r>
      <w:r w:rsidR="00E2263B" w:rsidRPr="00837161">
        <w:rPr>
          <w:lang w:eastAsia="ja-JP"/>
        </w:rPr>
        <w:t>l</w:t>
      </w:r>
      <w:r w:rsidR="00ED23A9" w:rsidRPr="00837161">
        <w:rPr>
          <w:lang w:eastAsia="ja-JP"/>
        </w:rPr>
        <w:t xml:space="preserve">atory process </w:t>
      </w:r>
      <w:r w:rsidRPr="00837161">
        <w:rPr>
          <w:lang w:eastAsia="ja-JP"/>
        </w:rPr>
        <w:t xml:space="preserve">and often released against native pests. Classical biological control </w:t>
      </w:r>
      <w:r w:rsidR="001A7F76" w:rsidRPr="00837161">
        <w:rPr>
          <w:lang w:eastAsia="ja-JP"/>
        </w:rPr>
        <w:t xml:space="preserve">now </w:t>
      </w:r>
      <w:r w:rsidRPr="00837161">
        <w:rPr>
          <w:lang w:eastAsia="ja-JP"/>
        </w:rPr>
        <w:t xml:space="preserve">has mature regulatory processes for the identification of agents, and </w:t>
      </w:r>
      <w:r w:rsidR="00D74B53" w:rsidRPr="00837161">
        <w:rPr>
          <w:lang w:eastAsia="ja-JP"/>
        </w:rPr>
        <w:t xml:space="preserve">for </w:t>
      </w:r>
      <w:r w:rsidRPr="00837161">
        <w:rPr>
          <w:lang w:eastAsia="ja-JP"/>
        </w:rPr>
        <w:t>the importation, assessment</w:t>
      </w:r>
      <w:r w:rsidR="00C16EEB">
        <w:rPr>
          <w:lang w:eastAsia="ja-JP"/>
        </w:rPr>
        <w:t xml:space="preserve"> and</w:t>
      </w:r>
      <w:r w:rsidRPr="00837161">
        <w:rPr>
          <w:lang w:eastAsia="ja-JP"/>
        </w:rPr>
        <w:t xml:space="preserve"> release of agents in recipient countries </w:t>
      </w:r>
      <w:r w:rsidRPr="00837161">
        <w:rPr>
          <w:lang w:eastAsia="ja-JP"/>
        </w:rPr>
        <w:fldChar w:fldCharType="begin"/>
      </w:r>
      <w:r w:rsidR="007746C5">
        <w:rPr>
          <w:lang w:eastAsia="ja-JP"/>
        </w:rPr>
        <w:instrText xml:space="preserve"> ADDIN ZOTERO_ITEM CSL_CITATION {"citationID":"UviuJj2b","properties":{"unsorted":true,"formattedCitation":"(Sheppard et al., 2003; Day &amp; Witt, 2019; Barratt et al., 2021)","plainCitation":"(Sheppard et al., 2003; Day &amp; Witt, 2019; Barratt et al., 2021)","noteIndex":0},"citationItems":[{"id":30158,"uris":["http://zotero.org/groups/2352922/items/776C4S45"],"itemData":{"id":30158,"type":"article-journal","abstract":"The process of risk analysis used by regulatory bodies around the world to pre-judge biological control releases against weeds are reviewed. Based on comparative analysis, risk assessment, risk management, risk evaluation and risk communication, the manner by which the benefits and costs of biological control releases are evaluated in addition to the traditional analysis of the hazards are...","container-title":"Biocontrol News and Information","ISSN":"0143-1404","issue":"4","language":"English","page":"91N-108N","source":"www.cabdirect.org","title":"A global review of risk-benefit-cost analysis for the introduction of classical biological control agents against weeds: a crisis in the making?","title-short":"A global review of risk-benefit-cost analysis for the introduction of classical biological control agents against weeds","URL":"https://www.cabdirect.org/cabdirect/abstract/20043008816","volume":"24","author":[{"family":"Sheppard","given":"A. W."},{"family":"Hill","given":"R."},{"family":"DeClerck-Floate","given":"R. A."},{"family":"McClay","given":"A."},{"family":"Olckers","given":"T."},{"family":"Quimby","given":"P. C."},{"family":"Zimmermann","given":"H. G."}],"accessed":{"date-parts":[["2019",10,3]]},"issued":{"date-parts":[["2003"]]}},"label":"page"},{"id":11154,"uris":["http://zotero.org/groups/2352922/items/HD99ZY72"],"itemData":{"id":11154,"type":"article-journal","abstract":"Biological control of weeds has been conducted since 1902, resulting in over 500 biological control agents being intentionally released against nearly 200 weed species in over 90 countries. Collectively, 15 countries in Asia and 17 of the 22 countries and territories in the Pacific region have intentionally released over 80 biological control agents to help manage over 30 of their most invasive weeds. Many of these programmes, have been highly successful. In fact, globally, over a third of all weed biological control programmes have resulted in some form of control of the target weed, resulting in huge benefit: cost ratios of up to 4,000:1. In addition, there have been very few (&lt;1%) unpredicted, sustained non-target impacts on native or economic plants by weed biological control agents. This is because biological control agents have co-evolved with their host plants and are thoroughly tested, sometimes collectively across numerous countries, against up to 280 plant species, before being released. Moreover, many biological control agents that have proved to be successful in one country have now been released in over 30 countries, with no recorded non-target impacts.","container-title":"Weeds-Journal of the Asian-Pacific Weed Science Society","issue":"2","note":"publisher: Asian-Pacific Weed Science Society","page":"34–44","source":"Google Scholar","title":"Weed biological control: Challenges and opportunities","title-short":"Weed biological control","URL":"https://library.sprep.org/sites/default/files/2021-05/weed-biological-challenges-opportunities.pdf","volume":"1","author":[{"family":"Day","given":"Michael D."},{"family":"Witt","given":"Arne BR"}],"issued":{"date-parts":[["2019"]]}},"label":"page"},{"id":10095,"uris":["http://zotero.org/groups/2352922/items/L9MWHV6N"],"itemData":{"id":10095,"type":"chapter","container-title":"Biological Control: Global Impacts, Challenges and Future Directions of Pest Management","ISBN":"978-1-03-210927-5","page":"166-196","publisher":"CSIRO","title":"Regulatory challenges for biological control","URL":"https://ebooks.publish.csiro.au/content/biological-control","author":[{"family":"Barratt","given":"Barbara I P"},{"family":"Colmenarez","given":"Yelitza C."},{"family":"Day","given":"Michael D."},{"family":"Ivey","given":"Philip"},{"family":"Klapwijk","given":"Johannette N."},{"family":"Loomans","given":"Antoon J M"},{"family":"Mason","given":"Peter G."},{"family":"Palmer","given":"William A."},{"family":"Sankaran","given":"K. V."},{"family":"Zhang","given":"Feng"}],"editor":[{"family":"Mason","given":"P. G."}],"issued":{"date-parts":[["2021"]]}},"label":"page"}],"schema":"https://github.com/citation-style-language/schema/raw/master/csl-citation.json"} </w:instrText>
      </w:r>
      <w:r w:rsidRPr="00837161">
        <w:rPr>
          <w:lang w:eastAsia="ja-JP"/>
        </w:rPr>
        <w:fldChar w:fldCharType="separate"/>
      </w:r>
      <w:r w:rsidR="007746C5" w:rsidRPr="007746C5">
        <w:t>(Sheppard et al., 2003; Day &amp; Witt, 2019; Barratt et al., 2021)</w:t>
      </w:r>
      <w:r w:rsidRPr="00837161">
        <w:rPr>
          <w:lang w:eastAsia="ja-JP"/>
        </w:rPr>
        <w:fldChar w:fldCharType="end"/>
      </w:r>
      <w:r w:rsidR="00695746" w:rsidRPr="00837161">
        <w:rPr>
          <w:lang w:eastAsia="ja-JP"/>
        </w:rPr>
        <w:t xml:space="preserve"> </w:t>
      </w:r>
      <w:r w:rsidRPr="00837161">
        <w:rPr>
          <w:lang w:eastAsia="ja-JP"/>
        </w:rPr>
        <w:t xml:space="preserve">built on internationally agreed </w:t>
      </w:r>
      <w:r w:rsidRPr="00837161">
        <w:t xml:space="preserve">best practice </w:t>
      </w:r>
      <w:r w:rsidRPr="00837161">
        <w:rPr>
          <w:lang w:eastAsia="ja-JP"/>
        </w:rPr>
        <w:t>principles and guidelines (IPPC ISPM</w:t>
      </w:r>
      <w:r w:rsidR="0073448E" w:rsidRPr="00837161">
        <w:rPr>
          <w:lang w:eastAsia="ja-JP"/>
        </w:rPr>
        <w:t>-</w:t>
      </w:r>
      <w:r w:rsidRPr="00837161">
        <w:rPr>
          <w:lang w:eastAsia="ja-JP"/>
        </w:rPr>
        <w:t>3</w:t>
      </w:r>
      <w:r w:rsidR="004C2628" w:rsidRPr="00837161">
        <w:rPr>
          <w:lang w:eastAsia="ja-JP"/>
        </w:rPr>
        <w:t>;</w:t>
      </w:r>
      <w:r w:rsidR="00C83042" w:rsidRPr="00837161">
        <w:rPr>
          <w:lang w:eastAsia="ja-JP"/>
        </w:rPr>
        <w:t xml:space="preserve"> </w:t>
      </w:r>
      <w:r w:rsidRPr="00837161">
        <w:rPr>
          <w:lang w:eastAsia="ja-JP"/>
        </w:rPr>
        <w:fldChar w:fldCharType="begin"/>
      </w:r>
      <w:r w:rsidR="000F35EB">
        <w:rPr>
          <w:lang w:eastAsia="ja-JP"/>
        </w:rPr>
        <w:instrText xml:space="preserve"> ADDIN ZOTERO_ITEM CSL_CITATION {"citationID":"nmkoqIbv","properties":{"unsorted":true,"formattedCitation":"(Sheppard et al., 2003; M. Day &amp; Witt, 2019; Barratt et al., 2021)","plainCitation":"(Sheppard et al., 2003; M. Day &amp; Witt, 2019; Barratt et al., 2021)","dontUpdate":true,"noteIndex":0},"citationItems":[{"id":30158,"uris":["http://zotero.org/groups/2352922/items/776C4S45"],"itemData":{"id":30158,"type":"article-journal","abstract":"The process of risk analysis used by regulatory bodies around the world to pre-judge biological control releases against weeds are reviewed. Based on comparative analysis, risk assessment, risk management, risk evaluation and risk communication, the manner by which the benefits and costs of biological control releases are evaluated in addition to the traditional analysis of the hazards are...","container-title":"Biocontrol News and Information","ISSN":"0143-1404","issue":"4","language":"English","page":"91N-108N","source":"www.cabdirect.org","title":"A global review of risk-benefit-cost analysis for the introduction of classical biological control agents against weeds: a crisis in the making?","title-short":"A global review of risk-benefit-cost analysis for the introduction of classical biological control agents against weeds","URL":"https://www.cabdirect.org/cabdirect/abstract/20043008816","volume":"24","author":[{"family":"Sheppard","given":"A. W."},{"family":"Hill","given":"R."},{"family":"DeClerck-Floate","given":"R. A."},{"family":"McClay","given":"A."},{"family":"Olckers","given":"T."},{"family":"Quimby","given":"P. C."},{"family":"Zimmermann","given":"H. G."}],"accessed":{"date-parts":[["2019",10,3]]},"issued":{"date-parts":[["2003"]]}}},{"id":11154,"uris":["http://zotero.org/groups/2352922/items/HD99ZY72"],"itemData":{"id":11154,"type":"article-journal","abstract":"Biological control of weeds has been conducted since 1902, resulting in over 500 biological control agents being intentionally released against nearly 200 weed species in over 90 countries. Collectively, 15 countries in Asia and 17 of the 22 countries and territories in the Pacific region have intentionally released over 80 biological control agents to help manage over 30 of their most invasive weeds. Many of these programmes, have been highly successful. In fact, globally, over a third of all weed biological control programmes have resulted in some form of control of the target weed, resulting in huge benefit: cost ratios of up to 4,000:1. In addition, there have been very few (&lt;1%) unpredicted, sustained non-target impacts on native or economic plants by weed biological control agents. This is because biological control agents have co-evolved with their host plants and are thoroughly tested, sometimes collectively across numerous countries, against up to 280 plant species, before being released. Moreover, many biological control agents that have proved to be successful in one country have now been released in over 30 countries, with no recorded non-target impacts.","container-title":"Weeds-Journal of the Asian-Pacific Weed Science Society","issue":"2","note":"publisher: Asian-Pacific Weed Science Society","page":"34–44","source":"Google Scholar","title":"Weed biological control: Challenges and opportunities","title-short":"Weed biological control","URL":"https://library.sprep.org/sites/default/files/2021-05/weed-biological-challenges-opportunities.pdf","volume":"1","author":[{"family":"Day","given":"Michael D."},{"family":"Witt","given":"Arne BR"}],"issued":{"date-parts":[["2019"]]}}},{"id":10095,"uris":["http://zotero.org/groups/2352922/items/L9MWHV6N"],"itemData":{"id":10095,"type":"chapter","container-title":"Biological Control: Global Impacts, Challenges and Future Directions of Pest Management","ISBN":"978-1-03-210927-5","page":"166-196","publisher":"CSIRO","title":"Regulatory challenges for biological control","URL":"https://ebooks.publish.csiro.au/content/biological-control","author":[{"family":"Barratt","given":"Barbara I P"},{"family":"Colmenarez","given":"Yelitza C."},{"family":"Day","given":"Michael D."},{"family":"Ivey","given":"Philip"},{"family":"Klapwijk","given":"Johannette N."},{"family":"Loomans","given":"Antoon J M"},{"family":"Mason","given":"Peter G."},{"family":"Palmer","given":"William A."},{"family":"Sankaran","given":"K. V."},{"family":"Zhang","given":"Feng"}],"editor":[{"family":"Mason","given":"P. G."}],"issued":{"date-parts":[["2021"]]}}}],"schema":"https://github.com/citation-style-language/schema/raw/master/csl-citation.json"} </w:instrText>
      </w:r>
      <w:r w:rsidRPr="00837161">
        <w:rPr>
          <w:lang w:eastAsia="ja-JP"/>
        </w:rPr>
        <w:fldChar w:fldCharType="separate"/>
      </w:r>
      <w:r w:rsidR="00403460" w:rsidRPr="00837161">
        <w:t>Sheppard et al., 2003; M. Day &amp; Witt, 2019; Barratt et al., 2021)</w:t>
      </w:r>
      <w:r w:rsidRPr="00837161">
        <w:rPr>
          <w:lang w:eastAsia="ja-JP"/>
        </w:rPr>
        <w:fldChar w:fldCharType="end"/>
      </w:r>
      <w:r w:rsidRPr="00837161">
        <w:rPr>
          <w:lang w:eastAsia="ja-JP"/>
        </w:rPr>
        <w:t xml:space="preserve">. </w:t>
      </w:r>
      <w:r w:rsidR="00961530" w:rsidRPr="00837161">
        <w:rPr>
          <w:lang w:eastAsia="ja-JP"/>
        </w:rPr>
        <w:t xml:space="preserve">The risk of non-target </w:t>
      </w:r>
      <w:r w:rsidR="004D3402" w:rsidRPr="00837161">
        <w:rPr>
          <w:lang w:eastAsia="ja-JP"/>
        </w:rPr>
        <w:t xml:space="preserve">impacts has been given considerable attention </w:t>
      </w:r>
      <w:r w:rsidR="000A4CC8" w:rsidRPr="00837161">
        <w:rPr>
          <w:lang w:eastAsia="ja-JP"/>
        </w:rPr>
        <w:t>with some considering them to</w:t>
      </w:r>
      <w:r w:rsidR="4FFADF5B" w:rsidRPr="00837161">
        <w:rPr>
          <w:lang w:eastAsia="ja-JP"/>
        </w:rPr>
        <w:t>o</w:t>
      </w:r>
      <w:r w:rsidR="000A4CC8" w:rsidRPr="00837161">
        <w:rPr>
          <w:lang w:eastAsia="ja-JP"/>
        </w:rPr>
        <w:t xml:space="preserve"> high </w:t>
      </w:r>
      <w:r w:rsidR="004D3402" w:rsidRPr="00837161">
        <w:rPr>
          <w:lang w:eastAsia="ja-JP"/>
        </w:rPr>
        <w:t>(</w:t>
      </w:r>
      <w:r w:rsidR="00BA147F" w:rsidRPr="00837161">
        <w:rPr>
          <w:lang w:eastAsia="ja-JP"/>
        </w:rPr>
        <w:t xml:space="preserve">e.g., </w:t>
      </w:r>
      <w:r w:rsidRPr="00837161">
        <w:fldChar w:fldCharType="begin"/>
      </w:r>
      <w:r w:rsidR="000F35EB">
        <w:instrText xml:space="preserve"> ADDIN ZOTERO_ITEM CSL_CITATION {"citationID":"EQb7p2uJ","properties":{"formattedCitation":"(Simberloff &amp; Stiling, 1996)","plainCitation":"(Simberloff &amp; Stiling, 1996)","dontUpdate":true,"noteIndex":0},"citationItems":[{"id":25311,"uris":["http://zotero.org/groups/2352922/items/PPP7FMZL"],"itemData":{"id":25311,"type":"article-journal","abstract":"The potential harmful effects of non-indigenous species introduced for biological control remain an important unanswered question, which we addressed by undertaking a literature review. There are few documented instances of damage to non-target organisms or the environment from non-indigenous species released for biological pest control, relative to the number of such releases. However, this fact is not evidence that biological control is safe, because monitoring of non-target species is minimal, particularly in sites and habitats far from the point of release. In fact, the discovery of such impacts usually rests on a remarkable concatenation of events. In addition to trophic and competitive interactions between an individual introduced species and a native one, many effects of introduced species on ecosystems are possible, as are numerous types of indirect interactions. Predicting such impacts is no mean feat, and the difficulty is exacerbated by the fact that introduced species can disperse and evolve. Current regulation of introduced biological-control agents, particularly of entomophages, is insufficient. At the very least, strong consideration should be given to the likely impact of both the pest and its natural enemy on natural ecosystems and their species, and not only on potential costs to agriculture, silviculture, and species of immediate commercial value.","container-title":"Ecology","DOI":"10.2307/2265693","issue":"7","page":"1965–1974","title":"How risky is biological control?","volume":"77","author":[{"family":"Simberloff","given":"Daniel"},{"family":"Stiling","given":"P"}],"issued":{"date-parts":[["1996"]]}},"label":"page"}],"schema":"https://github.com/citation-style-language/schema/raw/master/csl-citation.json"} </w:instrText>
      </w:r>
      <w:r w:rsidRPr="00837161">
        <w:fldChar w:fldCharType="separate"/>
      </w:r>
      <w:r w:rsidR="00E5788C" w:rsidRPr="00837161">
        <w:t>Simberloff &amp; Stiling, 1996)</w:t>
      </w:r>
      <w:r w:rsidRPr="00837161">
        <w:fldChar w:fldCharType="end"/>
      </w:r>
      <w:r w:rsidR="00AE2889" w:rsidRPr="00837161">
        <w:rPr>
          <w:lang w:eastAsia="ja-JP"/>
        </w:rPr>
        <w:t xml:space="preserve">, </w:t>
      </w:r>
      <w:r w:rsidR="00D941A2" w:rsidRPr="00837161">
        <w:rPr>
          <w:lang w:eastAsia="ja-JP"/>
        </w:rPr>
        <w:t>a</w:t>
      </w:r>
      <w:r w:rsidR="00303D2C" w:rsidRPr="00837161">
        <w:rPr>
          <w:lang w:eastAsia="ja-JP"/>
        </w:rPr>
        <w:t xml:space="preserve"> lead critic has since recogni</w:t>
      </w:r>
      <w:r w:rsidR="00814B7A" w:rsidRPr="00837161">
        <w:rPr>
          <w:lang w:eastAsia="ja-JP"/>
        </w:rPr>
        <w:t>z</w:t>
      </w:r>
      <w:r w:rsidR="00303D2C" w:rsidRPr="00837161">
        <w:rPr>
          <w:lang w:eastAsia="ja-JP"/>
        </w:rPr>
        <w:t xml:space="preserve">ed </w:t>
      </w:r>
      <w:r w:rsidR="00912848">
        <w:rPr>
          <w:lang w:eastAsia="ja-JP"/>
        </w:rPr>
        <w:t xml:space="preserve">that </w:t>
      </w:r>
      <w:r w:rsidR="00303D2C" w:rsidRPr="00837161">
        <w:rPr>
          <w:lang w:eastAsia="ja-JP"/>
        </w:rPr>
        <w:t xml:space="preserve">the benefits </w:t>
      </w:r>
      <w:r w:rsidR="00980967" w:rsidRPr="00837161">
        <w:rPr>
          <w:lang w:eastAsia="ja-JP"/>
        </w:rPr>
        <w:t xml:space="preserve">merit careful ongoing use </w:t>
      </w:r>
      <w:r w:rsidRPr="00837161">
        <w:rPr>
          <w:lang w:eastAsia="ja-JP"/>
        </w:rPr>
        <w:fldChar w:fldCharType="begin"/>
      </w:r>
      <w:r w:rsidR="000F35EB">
        <w:rPr>
          <w:lang w:eastAsia="ja-JP"/>
        </w:rPr>
        <w:instrText xml:space="preserve"> ADDIN ZOTERO_ITEM CSL_CITATION {"citationID":"mHWPIUeC","properties":{"formattedCitation":"(Van Driesche et al., 2010)","plainCitation":"(Van Driesche et al., 2010)","noteIndex":0},"citationItems":[{"id":11269,"uris":["http://zotero.org/groups/2352922/items/WDGAUXFA"],"itemData":{"id":11269,"type":"article-journal","abstract":"Of the 70 cases of classical biological control for the protection of nature found in our review, there were fewer projects against insect targets (21) than against invasive plants (49), in part, because many insect biological control projects were carried out against agricultural pests, while nearly all projects against plants targeted invasive plants in natural ecosystems. Of 21 insect projects, 81% (17) provided beneﬁts to protection of biodiversity, while 48% (10) protected products harvested from natural systems, and 5% (1) preserved ecosystem services, with many projects contributing to more than one goal. In contrast, of the 49 projects against invasive plants, 98% (48) provided beneﬁts to protection of biodiversity, while 47% (23) protected products, and 25% (12) preserved ecosystem services, again with many projects contributing to several goals. We classiﬁed projects into complete control (pest generally no longer important), partial control (control in some areas but not others), and ‘‘in progress,” for projects in development for which outcomes do not yet exist. For insects, of the 21 projects discussed, 62% (13) achieved complete control of the target pest, 19% (4) provided partial control, and 43% (9) are still in progress. By comparison, of the 49 invasive plant projects considered, 27% (13) achieved complete control, while 33% (16) provided partial control, and 49% (24) are still in progress. For both categories of pests, some projects’ success ratings were scored twice when results varied by region. We found approximately twice as many projects directed against invasive plants than insects and that protection of biodiversity was the most frequent beneﬁt of both insect and plant projects. Ecosystem service protection was provided in the fewest cases by either insect or plant biological control agents, but was more likely to be provided by projects directed against invasive plants, likely because of the strong effects plants exert on landscapes. Rates of complete success appeared to be higher for insect than plant targets (62% vs 27%), perhaps because most often herbivores gradually weaken, rather than outright kill, their hosts, which is not the case for natural enemies directed against pest insects. For both insect and plant biological control, nearly half of all projects reviewed were listed as currently in progress, suggesting that the use of biological control for the protection of wildlands is currently very active.","collection-title":"Classical Biological Control for the Protection of Natural Ecosystems","container-title":"Biological Control","DOI":"10.1016/j.biocontrol.2010.03.003","ISSN":"10499644","issue":"Supplement 1","journalAbbreviation":"Biological Control","language":"en","page":"S2-S33","source":"DOI.org (Crossref)","title":"Classical biological control for the protection of natural ecosystems","URL":"https://linkinghub.elsevier.com/retrieve/pii/S1049964410000599","volume":"54","author":[{"family":"Van Driesche","given":"R.G."},{"family":"Carruthers","given":"R.I."},{"family":"Center","given":"T."},{"family":"Hoddle","given":"M.S."},{"family":"Hough-Goldstein","given":"J."},{"family":"Morin","given":"L."},{"family":"Smith","given":"L."},{"family":"Wagner","given":"D.L."},{"family":"Blossey","given":"B."},{"family":"Brancatini","given":"V."},{"family":"Casagrande","given":"R."},{"family":"Causton","given":"C.E."},{"family":"Coetzee","given":"J.A."},{"family":"Cuda","given":"J."},{"family":"Ding","given":"J."},{"family":"Fowler","given":"S.V."},{"family":"Frank","given":"J.H."},{"family":"Fuester","given":"R."},{"family":"Goolsby","given":"J."},{"family":"Grodowitz","given":"M."},{"family":"Heard","given":"T.A."},{"family":"Hill","given":"M.P."},{"family":"Hoffmann","given":"J.H."},{"family":"Huber","given":"J."},{"family":"Julien","given":"M."},{"family":"Kairo","given":"M.T.K."},{"family":"Kenis","given":"M."},{"family":"Mason","given":"P."},{"family":"Medal","given":"J."},{"family":"Messing","given":"R."},{"family":"Miller","given":"R."},{"family":"Moore","given":"A."},{"family":"Neuenschwander","given":"P."},{"family":"Newman","given":"R."},{"family":"Norambuena","given":"H."},{"family":"Palmer","given":"W.A."},{"family":"Pemberton","given":"R."},{"family":"Perez Panduro","given":"A."},{"family":"Pratt","given":"P.D."},{"family":"Rayamajhi","given":"M."},{"family":"Salom","given":"S."},{"family":"Sands","given":"D."},{"family":"Schooler","given":"S."},{"family":"Schwarzländer","given":"M."},{"family":"Sheppard","given":"A."},{"family":"Shaw","given":"R."},{"family":"Tipping","given":"P.W."},{"family":"Klinken","given":"R.D.","non-dropping-particle":"van"}],"accessed":{"date-parts":[["2019",11,3]]},"issued":{"date-parts":[["2010",8]]}},"label":"page"}],"schema":"https://github.com/citation-style-language/schema/raw/master/csl-citation.json"} </w:instrText>
      </w:r>
      <w:r w:rsidRPr="00837161">
        <w:rPr>
          <w:lang w:eastAsia="ja-JP"/>
        </w:rPr>
        <w:fldChar w:fldCharType="separate"/>
      </w:r>
      <w:r w:rsidR="00271B78" w:rsidRPr="00271B78">
        <w:t>(Van Driesche et al., 2010)</w:t>
      </w:r>
      <w:r w:rsidRPr="00837161">
        <w:rPr>
          <w:lang w:eastAsia="ja-JP"/>
        </w:rPr>
        <w:fldChar w:fldCharType="end"/>
      </w:r>
      <w:r w:rsidR="00D941A2" w:rsidRPr="00837161">
        <w:rPr>
          <w:lang w:eastAsia="ja-JP"/>
        </w:rPr>
        <w:t xml:space="preserve">. </w:t>
      </w:r>
      <w:r w:rsidRPr="00837161">
        <w:t>The specific and broad international benefits and undesirable non-target impacts of historical biological control program</w:t>
      </w:r>
      <w:r w:rsidR="00653156" w:rsidRPr="00837161">
        <w:t>me</w:t>
      </w:r>
      <w:r w:rsidRPr="00837161">
        <w:t xml:space="preserve">s are well documented and the benefits far outweigh the risks in the vast majority of programmes </w:t>
      </w:r>
      <w:r w:rsidRPr="00837161">
        <w:fldChar w:fldCharType="begin"/>
      </w:r>
      <w:r w:rsidR="000F35EB">
        <w:instrText xml:space="preserve"> ADDIN ZOTERO_ITEM CSL_CITATION {"citationID":"lD1WYVXW","properties":{"formattedCitation":"(CBD, 2018)","plainCitation":"(CBD, 2018)","noteIndex":0},"citationItems":[{"id":9998,"uris":["http://zotero.org/groups/2352922/items/97MHPTMS"],"itemData":{"id":9998,"type":"paper-conference","collection-title":"CBD/COP/14/INF/9","event-place":"Sharm El-Sheikh, Egypt","event-title":"Fourteenth meeting of Conference of the parties to the Convention on Biological Diversity","language":"en","publisher-place":"Sharm El-Sheikh, Egypt","source":"Zotero","title":"Invasive alien species: The application of classical biological control for the management of established invasive alien species causing environmental impacts","URL":"https://www.cbd.int/doc/c/0c6f/7a35/eb8815eff54c3bc4a02139fd/cop-14-inf-09-en.pdf","author":[{"literal":"CBD"}],"issued":{"date-parts":[["2018"]]}},"label":"page"}],"schema":"https://github.com/citation-style-language/schema/raw/master/csl-citation.json"} </w:instrText>
      </w:r>
      <w:r w:rsidRPr="00837161">
        <w:fldChar w:fldCharType="separate"/>
      </w:r>
      <w:r w:rsidR="00271B78" w:rsidRPr="00271B78">
        <w:t>(CBD, 2018)</w:t>
      </w:r>
      <w:r w:rsidRPr="00837161">
        <w:fldChar w:fldCharType="end"/>
      </w:r>
      <w:r w:rsidR="5FBA91CB" w:rsidRPr="00837161">
        <w:t xml:space="preserve">. </w:t>
      </w:r>
      <w:r w:rsidR="00A0207D" w:rsidRPr="00837161">
        <w:t>Under the CBD</w:t>
      </w:r>
      <w:r w:rsidR="00897207" w:rsidRPr="00837161">
        <w:t>, biological control activiti</w:t>
      </w:r>
      <w:r w:rsidR="00922714" w:rsidRPr="00837161">
        <w:t>es now need to take into account</w:t>
      </w:r>
      <w:r w:rsidR="00897207" w:rsidRPr="00837161">
        <w:t xml:space="preserve"> access and benefit sharing regulated under the Nagoya protocol, however as a discipline biological control has embraced this process and continues to operate </w:t>
      </w:r>
      <w:r w:rsidRPr="00837161">
        <w:fldChar w:fldCharType="begin"/>
      </w:r>
      <w:r w:rsidR="000F35EB">
        <w:instrText xml:space="preserve"> ADDIN ZOTERO_ITEM CSL_CITATION {"citationID":"D691hghK","properties":{"formattedCitation":"(P. G. Mason et al., 2021)","plainCitation":"(P. G. Mason et al., 2021)","noteIndex":0},"citationItems":[{"id":10092,"uris":["http://zotero.org/groups/2352922/items/5Q4RGULU"],"itemData":{"id":10092,"type":"chapter","container-title":"Biological Control: Global impacts, Challenges and Future","event-place":"Australia","ISBN":"978-1-03-210927-5","page":"258-288","publisher":"CSIRO Publishing","publisher-place":"Australia","title":"Access and benefit-sharing and biological control","URL":"https://www.routledge.com/Biological-Control-Global-Impacts-Challenges-and-Future-Directions-of/Mason/p/book/9781032109275","author":[{"family":"Mason","given":"P. G."},{"family":"Kllapwijk","given":"J. N."},{"family":"Smith","given":"D."}],"editor":[{"family":"Mason","given":"P. G."}],"issued":{"date-parts":[["2021"]]}},"label":"page"}],"schema":"https://github.com/citation-style-language/schema/raw/master/csl-citation.json"} </w:instrText>
      </w:r>
      <w:r w:rsidRPr="00837161">
        <w:fldChar w:fldCharType="separate"/>
      </w:r>
      <w:r w:rsidR="00271B78" w:rsidRPr="00271B78">
        <w:t>(P. G. Mason et al., 2021)</w:t>
      </w:r>
      <w:r w:rsidRPr="00837161">
        <w:fldChar w:fldCharType="end"/>
      </w:r>
      <w:r w:rsidR="00374B7D" w:rsidRPr="00837161">
        <w:t>.</w:t>
      </w:r>
    </w:p>
    <w:p w14:paraId="792BBA51" w14:textId="77777777" w:rsidR="001B0409" w:rsidRPr="00837161" w:rsidRDefault="001B0409" w:rsidP="00C11DFA">
      <w:pPr>
        <w:spacing w:before="240" w:after="120" w:line="240" w:lineRule="auto"/>
        <w:rPr>
          <w:lang w:eastAsia="ja-JP"/>
        </w:rPr>
      </w:pPr>
      <w:r w:rsidRPr="00837161">
        <w:rPr>
          <w:lang w:eastAsia="ja-JP"/>
        </w:rPr>
        <w:t>Successful classical bi</w:t>
      </w:r>
      <w:r w:rsidR="008634A8" w:rsidRPr="00837161">
        <w:rPr>
          <w:lang w:eastAsia="ja-JP"/>
        </w:rPr>
        <w:t>ocontrol agents have included</w:t>
      </w:r>
      <w:r w:rsidR="009663BE" w:rsidRPr="00837161">
        <w:rPr>
          <w:lang w:eastAsia="ja-JP"/>
        </w:rPr>
        <w:t xml:space="preserve"> the following</w:t>
      </w:r>
      <w:r w:rsidR="008634A8" w:rsidRPr="00837161">
        <w:rPr>
          <w:lang w:eastAsia="ja-JP"/>
        </w:rPr>
        <w:t>:</w:t>
      </w:r>
    </w:p>
    <w:p w14:paraId="1D97B542" w14:textId="7B29CBBF" w:rsidR="00DA6B3F" w:rsidRPr="00837161" w:rsidRDefault="4E2DEAF1" w:rsidP="00A9356F">
      <w:pPr>
        <w:pStyle w:val="ListParagraph"/>
        <w:numPr>
          <w:ilvl w:val="0"/>
          <w:numId w:val="42"/>
        </w:numPr>
        <w:spacing w:line="240" w:lineRule="auto"/>
        <w:contextualSpacing w:val="0"/>
      </w:pPr>
      <w:r w:rsidRPr="00837161">
        <w:t>Biotrophic fungi for plant targets (particularly rusts</w:t>
      </w:r>
      <w:r w:rsidR="6AB79F07" w:rsidRPr="00837161">
        <w:t>,</w:t>
      </w:r>
      <w:r w:rsidRPr="00837161">
        <w:t xml:space="preserve"> </w:t>
      </w:r>
      <w:r w:rsidR="643913B1" w:rsidRPr="00837161">
        <w:t xml:space="preserve">e.g., </w:t>
      </w:r>
      <w:r w:rsidRPr="00837161">
        <w:rPr>
          <w:i/>
          <w:iCs/>
        </w:rPr>
        <w:t>Puccinia</w:t>
      </w:r>
      <w:r w:rsidRPr="00837161">
        <w:t xml:space="preserve"> spp.) and arthropods (</w:t>
      </w:r>
      <w:r w:rsidRPr="00837161">
        <w:rPr>
          <w:i/>
          <w:iCs/>
        </w:rPr>
        <w:t>Beauveria</w:t>
      </w:r>
      <w:r w:rsidRPr="00837161">
        <w:t xml:space="preserve"> or </w:t>
      </w:r>
      <w:r w:rsidRPr="00837161">
        <w:rPr>
          <w:i/>
          <w:iCs/>
        </w:rPr>
        <w:t>Metarhizium</w:t>
      </w:r>
      <w:r w:rsidRPr="00837161">
        <w:t xml:space="preserve"> strains)</w:t>
      </w:r>
      <w:r w:rsidR="004C2628" w:rsidRPr="00837161">
        <w:t xml:space="preserve"> </w:t>
      </w:r>
      <w:r w:rsidRPr="00837161">
        <w:fldChar w:fldCharType="begin"/>
      </w:r>
      <w:r w:rsidR="000F35EB">
        <w:instrText xml:space="preserve"> ADDIN ZOTERO_ITEM CSL_CITATION {"citationID":"s9HnqKK0","properties":{"formattedCitation":"(Hershenhorn et al., 2016; Morin, 2020; Morin et al., 2006)","plainCitation":"(Hershenhorn et al., 2016; Morin, 2020; Morin et al., 2006)","noteIndex":0},"citationItems":[{"id":25139,"uris":["http://zotero.org/groups/2352922/items/LMT6UV3V"],"itemData":{"id":25139,"type":"article-journal","abstract":"The idea of using living organisms for weed control goes back over a century, and very encouraging results were obtained from the 1960s to the 1970s. It is foreseeable and desirable that in the near future, further reasons will support the development and financial sustainment of this research field. The authors describe past and present successes, and discuss possible approaches for improving future achievements.","container-title":"Biocontrol Science and Technology","DOI":"10.1080/09583157.2016.1209161","ISSN":"0958-3157","issue":"10","note":"publisher: Taylor &amp; Francis\n_eprint: https://doi.org/10.1080/09583157.2016.1209161","page":"1313-1328","source":"Taylor and Francis+NEJM","title":"Weed biocontrol with fungi: past, present and future","title-short":"Weed biocontrol with fungi","URL":"https://doi.org/10.1080/09583157.2016.1209161","volume":"26","author":[{"family":"Hershenhorn","given":"Joseph"},{"family":"Casella","given":"Francesca"},{"family":"Vurro","given":"Maurizio"}],"accessed":{"date-parts":[["2021",3,30]]},"issued":{"date-parts":[["2016",10,2]]}},"label":"page"},{"id":25140,"uris":["http://zotero.org/groups/2352922/items/MPW2YQQT"],"itemData":{"id":25140,"type":"article-journal","abstract":"Plant pathogens have played an important role in weed biological control since the 1970s. So far, 36 fungal pathogens have been authorized for introduction across 18 countries for the classical biological control of weeds. Their safety record has been excellent, but questions continue to be asked about the risk that they could transfer to other plants. Quantitative data documenting their impact on the weed populations are still limited. Of the 15 bioherbicides based on living microorganisms that have ever been registered, only two were commercially available at the time of this review. The development and commercialization of bioherbicides in affluent countries are still plagued by technological hurdles and limited market potential. Not-for-profit small-scale production and distribution systems for bioherbicides in low-income countries may have potential as an inexpensive approach to controlling pervasive weeds. The types of research underpinning biological control approaches and challenges encountered are highlighted using specific examples.","container-title":"Annual Review of Phytopathology","DOI":"10.1146/annurev-phyto-010820-012823","issue":"1","note":"_eprint: https://doi.org/10.1146/annurev-phyto-010820-012823\nPMID: 32384863","page":"201-223","source":"Annual Reviews","title":"Progress in Biological Control of Weeds with Plant Pathogens","URL":"https://doi.org/10.1146/annurev-phyto-010820-012823","volume":"58","author":[{"family":"Morin","given":"Louise"}],"accessed":{"date-parts":[["2021",3,30]]},"issued":{"date-parts":[["2020"]]}},"label":"page"},{"id":16758,"uris":["http://zotero.org/groups/2352922/items/GHVT9B3P"],"itemData":{"id":16758,"type":"article-journal","abstract":"Plant pathogens are playing an increasing role in classical biological control of weeds worldwide. This paper presents an explicit framework consisting of various interconnected steps to facilitate and streamline the selection process for pathogen agents. It also highlights and discusses critical issues associated with the various steps of the selection framework such as the climatic-matching approach to find well-adapted agents, host–pathogen matching and pathogen genetic structure. Processes and issues relating to the selection of pathogens are then contrasted with those usually adopted for arthropod selection in weed biological control. In both cases optimising the level of genetic diversity in introduced agents is seen as beneficial to biological control success. The difference in regulatory approach for multiple and genetically pure pathogen strains vs. genetically variable arthropod agents is highlighted for further scientific debate.","container-title":"Australian Journal of Entomology","DOI":"10.1111/j.1440-6055.2006.00562.x","ISSN":"1440-6055","issue":"4","language":"en","page":"349-365","source":"Wiley Online Library","title":"Selection of pathogen agents in weed biological control: critical issues and peculiarities in relation to arthropod agents","title-short":"Selection of pathogen agents in weed biological control","URL":"https://onlinelibrary.wiley.com/doi/abs/10.1111/j.1440-6055.2006.00562.x","volume":"45","author":[{"family":"Morin","given":"Louise"},{"family":"Evans","given":"Katherine J."},{"family":"Sheppard","given":"Andrew W."}],"accessed":{"date-parts":[["2019",12,9]]},"issued":{"date-parts":[["2006"]]}},"label":"page"}],"schema":"https://github.com/citation-style-language/schema/raw/master/csl-citation.json"} </w:instrText>
      </w:r>
      <w:r w:rsidRPr="00837161">
        <w:fldChar w:fldCharType="separate"/>
      </w:r>
      <w:r w:rsidR="00271B78" w:rsidRPr="00271B78">
        <w:t>(Hershenhorn et al., 2016; Morin, 2020; Morin et al., 2006)</w:t>
      </w:r>
      <w:r w:rsidRPr="00837161">
        <w:fldChar w:fldCharType="end"/>
      </w:r>
    </w:p>
    <w:p w14:paraId="601153F4" w14:textId="19569656" w:rsidR="00DA6B3F" w:rsidRPr="00837161" w:rsidRDefault="16EBE92C" w:rsidP="00A9356F">
      <w:pPr>
        <w:pStyle w:val="ListParagraph"/>
        <w:numPr>
          <w:ilvl w:val="0"/>
          <w:numId w:val="42"/>
        </w:numPr>
        <w:spacing w:line="240" w:lineRule="auto"/>
        <w:contextualSpacing w:val="0"/>
      </w:pPr>
      <w:r w:rsidRPr="00837161">
        <w:t xml:space="preserve">Invertebrate predators or parasites of invertebrate alien species such as parasitoid wasps and flies, entomopathogenic nematodes </w:t>
      </w:r>
      <w:r w:rsidR="58332D1D" w:rsidRPr="00837161">
        <w:fldChar w:fldCharType="begin"/>
      </w:r>
      <w:r w:rsidR="00E25D54">
        <w:instrText xml:space="preserve"> ADDIN ZOTERO_ITEM CSL_CITATION {"citationID":"rhv9r9a3","properties":{"formattedCitation":"(Hajek et al., 2007; P. G. Mason, 2021; Waterhouse &amp; Sands, 2001)","plainCitation":"(Hajek et al., 2007; P. G. Mason, 2021; Waterhouse &amp; Sands, 2001)","noteIndex":0},"citationItems":[{"id":22768,"uris":["http://zotero.org/groups/2352922/items/WHMLHQ4I"],"itemData":{"id":22768,"type":"article-journal","abstract":"Compared with parasitoids and predators, classical biological control programs targeting arthropod pests have used pathogens and nematodes very little. However, some pathogens and nematodes that have been introduced have become established and provided excellent control and have been introduced in increasing numbers of areas over decades, often after distributions of pests have increased. We summarize 131 introductions, the majority of which have occurred since 1950. The most commonly introduced microorganisms have been fungi, viruses and nematodes, although microsporidia, bacteria and oomycetes have also been introduced; among these groups, viruses were the most successful in establishing followed by nematodes, fungi and microsporidia. All major orders of insects and prostigmatid mites have been targeted and in 63.6% of the programs the pests being targeted were invasive species and not native. Pathogens and nematodes yielded excellent success in establishment against sawflies and wood wasps (100% of programs) and 40-48% establishment among other host orders. Classical biological control has been used for long-term control of arthropod pests on islands almost as much as in mainland areas. It has been used most frequently in perennial systems and highest rates of establishment of arthropod pathogens and insect parasitic nematodes were documented from forests (63.0%) and tree crops (66.7%). One explanation for the low number of releases of arthropod pathogens and insect parasitic nematodes has been confusing and difficult regulations but recent changes and institution of the FAO's Code of Conduct is expected to improve scientists' ability to introduce microbial natural enemies for classical biological control. © 2006 Elsevier Inc. All rights reserved.","container-title":"Biological Control","DOI":"10.1016/j.biocontrol.2006.11.003","ISSN":"1049-9644","issue":"1","journalAbbreviation":"Biological Control","language":"en","page":"1-13","title":"A review of introductions of pathogens and nematodes for classical biological control of insects and mites","URL":"https://www.scopus.com/inward/record.uri?eid=2-s2.0-33847638017&amp;doi=10.1016%2fj.biocontrol.2006.11.003&amp;partnerID=40&amp;md5=bfb28636773aa32de954192ce6f557ec","volume":"41","author":[{"family":"Hajek","given":"A.E."},{"family":"McManus","given":"M.L."},{"family":"Delalibera","given":"I."}],"issued":{"date-parts":[["2007",4,1]]}},"label":"page"},{"id":10091,"uris":["http://zotero.org/groups/2352922/items/GLA2B9NZ"],"itemData":{"id":10091,"type":"book","abstract":"Biological Control: Global Impacts, Challenges and Future Directions of Pest Management provides a historical summary of organisms and main strategies used in biological control, as well as the key challenges confronting biological control in the 21st century. Biological control has been implemented for millennia, initially practised by growers moving beneficial species from one local area to another. Today, biological control has evolved into a formal science that provides ecosystem services to protect the environment and the resources used by humanity. With contributions from dedicated scientists and practitioners from around the world, this comprehensive book highlights important successes, failures and challenges in biological control efforts. It advocates that biological control must be viewed as a global endeavour and provides suggestions to move practices forward in a changing world. Biological Control is an invaluable resource for conservation specialists, pest management practitioners and those who research invasive species, as well as students studying pest management science.","event-place":"Australia","ISBN":"978-1-4863-0936-8","language":"en","note":"Google-Books-ID: AFhFEAAAQBAJ","number-of-pages":"822","publisher":"Csiro Publishing","publisher-place":"Australia","source":"Google Books","title":"Biological Control: Global Impacts, Challenges and Future Directions of Pest Management","title-short":"Biological Control","editor":[{"family":"Mason","given":"P. G."}],"issued":{"date-parts":[["2021",10,1]]}},"label":"page"},{"id":30388,"uris":["http://zotero.org/groups/2352922/items/YBVWHESV"],"itemData":{"id":30388,"type":"report","event-place":"Canberra, Australia","publisher":"CSIRO Entomology, Australian Centre for International Agricultural Research","publisher-place":"Canberra, Australia","source":"Google Scholar","title":"Classical biological control of arthropods in Australia. ACIAR monograph No. 77","author":[{"family":"Waterhouse","given":"D. F."},{"family":"Sands","given":"D. P. A."}],"issued":{"date-parts":[["2001"]]}},"label":"page"}],"schema":"https://github.com/citation-style-language/schema/raw/master/csl-citation.json"} </w:instrText>
      </w:r>
      <w:r w:rsidR="58332D1D" w:rsidRPr="00837161">
        <w:fldChar w:fldCharType="separate"/>
      </w:r>
      <w:r w:rsidR="00271B78" w:rsidRPr="00271B78">
        <w:t>(Hajek et al., 2007; P. G. Mason, 2021; Waterhouse &amp; Sands, 2001)</w:t>
      </w:r>
      <w:r w:rsidR="58332D1D" w:rsidRPr="00837161">
        <w:fldChar w:fldCharType="end"/>
      </w:r>
      <w:r w:rsidRPr="00837161">
        <w:t xml:space="preserve"> </w:t>
      </w:r>
    </w:p>
    <w:p w14:paraId="13CEB393" w14:textId="149E2A58" w:rsidR="00943E69" w:rsidRPr="00837161" w:rsidRDefault="00943E69" w:rsidP="00A9356F">
      <w:pPr>
        <w:pStyle w:val="ListParagraph"/>
        <w:numPr>
          <w:ilvl w:val="0"/>
          <w:numId w:val="42"/>
        </w:numPr>
        <w:spacing w:line="240" w:lineRule="auto"/>
        <w:contextualSpacing w:val="0"/>
        <w:rPr>
          <w:lang w:eastAsia="ja-JP"/>
        </w:rPr>
      </w:pPr>
      <w:r w:rsidRPr="00837161">
        <w:lastRenderedPageBreak/>
        <w:t>Vir</w:t>
      </w:r>
      <w:r w:rsidR="008C7C8E" w:rsidRPr="00837161">
        <w:t>uses</w:t>
      </w:r>
      <w:r w:rsidRPr="00837161">
        <w:t xml:space="preserve"> to control certain invertebrates, such as </w:t>
      </w:r>
      <w:r w:rsidRPr="00837161">
        <w:rPr>
          <w:rStyle w:val="Emphasis"/>
        </w:rPr>
        <w:t>Oryctes rhinoceros</w:t>
      </w:r>
      <w:r w:rsidRPr="00837161">
        <w:t xml:space="preserve"> (coconut rhinoceros beetle) across the Pacific </w:t>
      </w:r>
      <w:r w:rsidR="00E12354">
        <w:fldChar w:fldCharType="begin"/>
      </w:r>
      <w:r w:rsidR="000F35EB">
        <w:instrText xml:space="preserve"> ADDIN ZOTERO_ITEM CSL_CITATION {"citationID":"f4ehkrhy","properties":{"formattedCitation":"(Paudel et al., 2021)","plainCitation":"(Paudel et al., 2021)","noteIndex":0},"citationItems":[{"id":54593,"uris":["http://zotero.org/groups/2352922/items/7YLIIPCB","http://zotero.org/groups/2352922/items/WCPTKXFM"],"itemData":{"id":54593,"type":"article-journal","abstract":"The coconut rhinoceros beetle (CRB: Oryctes rhinoceros Linnaeus) is one of the most damaging pests to coconut and oil palms in Asia and the Pacific Islands. Adults bore into the crown and damage developing fronds, which affects tree development and yield. The insect is native to South and Southeast Asia and was inadvertently introduced into the Pacific in 1909. It has since spread to several Pacific island nations and territories, causing significant economic impact on these important coconut and palm-growing regions. In the 1950s and 1960s, an international biological control effort was initiated to search for and release natural enemy species. Release of the Oryctes rhinoceros nudivirus Huger (OrNV) and the species complex of Metarhizium Sorokin (Hypocreales: Clavicipitaceae) was successful in controlling CRB in its invaded range. Recently a new biotype of the beetle, known as CRB-G, has spread into the Pacific Islands causing unprecedented levels of damage due to the failure of previously successful biological control agents (BCAs) to suppress this biotype. The re-emergence of CRB as a serious pest warrants a rigorous re-evaluation of potential BCAs and a new search for effective natural enemies if necessary. In this article, we review literature on CRB to 1) analyze past introductions of BCAs and their effectiveness; 2) identify potentially important natural enemies and their geographical origins; and 3) assess possible approaches for utilization of BCAs against the new wave of CRB invasion. Research gaps and directions deserving future attention are highlighted and a strategy for renovation of biological controls for CRB suggested.","container-title":"Annals of the Entomological Society of America","DOI":"10.1093/aesa/saaa057","ISSN":"0013-8746","issue":"2","journalAbbreviation":"Annals of the Entomological Society of America","page":"247-256","source":"Silverchair","title":"Can Biological Control Overcome the Threat From Newly Invasive Coconut Rhinoceros Beetle Populations (Coleoptera: Scarabaeidae)? A Review","title-short":"Can Biological Control Overcome the Threat From Newly Invasive Coconut Rhinoceros Beetle Populations (Coleoptera","URL":"https://doi.org/10.1093/aesa/saaa057","volume":"114","author":[{"family":"Paudel","given":"Sulav"},{"family":"Mansfield","given":"Sarah"},{"family":"Villamizar","given":"Laura F"},{"family":"Jackson","given":"Trevor A"},{"family":"Marshall","given":"Sean D G"}],"accessed":{"date-parts":[["2023",2,26]]},"issued":{"date-parts":[["2021",3,1]]}},"label":"page"}],"schema":"https://github.com/citation-style-language/schema/raw/master/csl-citation.json"} </w:instrText>
      </w:r>
      <w:r w:rsidR="00E12354">
        <w:fldChar w:fldCharType="separate"/>
      </w:r>
      <w:r w:rsidR="00271B78" w:rsidRPr="00271B78">
        <w:t>(Paudel et al., 2021)</w:t>
      </w:r>
      <w:r w:rsidR="00E12354">
        <w:fldChar w:fldCharType="end"/>
      </w:r>
      <w:r w:rsidR="00E12354">
        <w:t>.</w:t>
      </w:r>
    </w:p>
    <w:p w14:paraId="7BCBD282" w14:textId="2B510162" w:rsidR="001B0409" w:rsidRPr="00837161" w:rsidRDefault="3C552F3E" w:rsidP="00A9356F">
      <w:pPr>
        <w:pStyle w:val="ListParagraph"/>
        <w:numPr>
          <w:ilvl w:val="0"/>
          <w:numId w:val="42"/>
        </w:numPr>
        <w:spacing w:line="240" w:lineRule="auto"/>
        <w:contextualSpacing w:val="0"/>
        <w:rPr>
          <w:lang w:eastAsia="ja-JP"/>
        </w:rPr>
      </w:pPr>
      <w:r w:rsidRPr="00837161">
        <w:t xml:space="preserve">Herbivorous invertebrates from a broad range of groups for invasive alien plants </w:t>
      </w:r>
      <w:r w:rsidR="44C7A993" w:rsidRPr="00837161">
        <w:fldChar w:fldCharType="begin"/>
      </w:r>
      <w:r w:rsidR="000F35EB">
        <w:instrText xml:space="preserve"> ADDIN ZOTERO_ITEM CSL_CITATION {"citationID":"mTvZrqc0","properties":{"formattedCitation":"(Julien et al., 2012; McFadyen, 1998; Winston et al., 2014)","plainCitation":"(Julien et al., 2012; McFadyen, 1998; Winston et al., 2014)","noteIndex":0},"citationItems":[{"id":26180,"uris":["http://zotero.org/groups/2352922/items/R675IJBG"],"itemData":{"id":26180,"type":"book","abstract":"Biological control of weeds has been practised for over 100 years and Australia has been a leader in this weed management technique. The classical example of control of prickly pears in Australia by the cactus moth Cactoblastis cactorum, which was imported from the Americas, helped to set the future for biocontrol of weeds in many countries. Since then there have been many projects using Classical Biological Control to manage numerous weed species, many of which have been successful. Importantly, there have been no serious negative non-target impacts - the technique, when practised as it is in Australia, is safe and environmentally friendly. Economic assessments have shown that biocontrol of weeds in Australia has provided exceedingly high benefit-to-cost ratios. This book reviews biological control of weeds in Australia to 2011, covering over 90 weed species and a multitude of biological control agents and potential agents. Each chapter has been written by practising biological control of weeds researchers and provides details of the weed, the history of its biological control, exploration for agents, potential agents studied and agents released and the outcomes of those releases. Many weeds were successfully controlled, some were not, many projects are still underway, some have just begun, however all are reported in detail in this book. Biological Control of Weeds in Australia will provide invaluable information for biological control researchers in Australia and elsewhere. Agents used in Australia could be of immense value to other countries that suffer from the same weeds as Australia. The studies reported here provide direction to future research and provide examples and knowledge for researchers and students.","event-place":"Collingwood, Vic.","ISBN":"978-0-643-10420-4","language":"English","note":"OCLC: 758465418","publisher":"CSIRO Publishing","publisher-place":"Collingwood, Vic.","source":"Open WorldCat","title":"Biological control of weeds in Australia","URL":"http://public.eblib.com/choice/publicfullrecord.aspx?p=871257","editor":[{"family":"Julien","given":"M. H."},{"family":"McFadyen","given":"R. E"},{"family":"Cullen","given":"J. M"}],"accessed":{"date-parts":[["2019",12,9]]},"issued":{"date-parts":[["2012"]]}},"label":"page"},{"id":11283,"uris":["http://zotero.org/groups/2352922/items/5VUME27V"],"itemData":{"id":11283,"type":"article-journal","abstract":"Classical biological control, i.e. the introduction and release of exotic insects, mites, or pathogens to give permanent control, is the predominant method in weed biocontrol. Inundative releases of predators and integrated pest management are less widely used. The United States, Australia, South Africa, Canada, and New Zealand use biocontrol the most. Weeds in natural ecosystems are increasingly becoming targets for biocontrol. Discussion continues on agent selection, but host-specificity testing is well developed and reliable. Post-release evaluation of impact is increasing, both on the target weed and on non-target plants. Control of aquatic weeds has been a notable success. Alien plant problems are increasing worldwide, and biocontrol offers the only safe, economic, and environmentally sustainable solution.","container-title":"Annual Review of Entomology","DOI":"10.1146/annurev.ento.43.1.369","issue":"1","note":"_eprint: https://doi.org/10.1146/annurev.ento.43.1.369\nPMID: 15012395","page":"369-393","source":"Annual Reviews","title":"Biological Control of Weeds","URL":"https://doi.org/10.1146/annurev.ento.43.1.369","volume":"43","author":[{"family":"McFadyen","given":"Rachel E. Cruttwell"}],"accessed":{"date-parts":[["2020",6,14]]},"issued":{"date-parts":[["1998"]]}},"label":"page"},{"id":30117,"uris":["http://zotero.org/groups/2352922/items/2Y7P34NE"],"itemData":{"id":30117,"type":"document","publisher":"USDA Forest Service, Forest Health Technology Enterprise Team, Morgantown.","title":"Biological control of weeds: a world catalogue of agents and their target weeds, 5th edn.","URL":"https://www.ibiocontrol.org/catalog/about.pdf","editor":[{"family":"Winston","given":"R.L."},{"family":"Schwarzlander","given":"M."},{"family":"Hinz","given":"H.L."},{"family":"Day","given":"M.D."},{"family":"Cock","given":"M.J.W."},{"family":"Julien","given":"M.H."}],"accessed":{"date-parts":[["2019",12,3]]},"issued":{"date-parts":[["2014"]]}},"label":"page"}],"schema":"https://github.com/citation-style-language/schema/raw/master/csl-citation.json"} </w:instrText>
      </w:r>
      <w:r w:rsidR="44C7A993" w:rsidRPr="00837161">
        <w:fldChar w:fldCharType="separate"/>
      </w:r>
      <w:r w:rsidR="00271B78" w:rsidRPr="00271B78">
        <w:t>(Julien et al., 2012; McFadyen, 1998; Winston et al., 2014)</w:t>
      </w:r>
      <w:r w:rsidR="44C7A993" w:rsidRPr="00837161">
        <w:fldChar w:fldCharType="end"/>
      </w:r>
      <w:r w:rsidR="3BA02B4B" w:rsidRPr="00837161">
        <w:t>.</w:t>
      </w:r>
    </w:p>
    <w:p w14:paraId="00000310" w14:textId="038B708F" w:rsidR="00A758FD" w:rsidRPr="00C0338D" w:rsidRDefault="00C81287">
      <w:pPr>
        <w:spacing w:before="240" w:after="120" w:line="240" w:lineRule="auto"/>
      </w:pPr>
      <w:r w:rsidRPr="00C0338D">
        <w:t>Classical biological control programmes can only be initiated against a specific invasive alien plant or invertebrate if there is broad agreement across different stakeholder communities (scientists, conservation organizations, other land managers, policy makers</w:t>
      </w:r>
      <w:r w:rsidR="00C16EEB">
        <w:t xml:space="preserve"> and</w:t>
      </w:r>
      <w:r w:rsidRPr="00C0338D">
        <w:t xml:space="preserve"> the general public) and Indigenous Peoples and local communities of the harmful nature of the target. This process needs to consider social, economic</w:t>
      </w:r>
      <w:r w:rsidR="00C16EEB">
        <w:t xml:space="preserve"> and</w:t>
      </w:r>
      <w:r w:rsidRPr="00C0338D">
        <w:t xml:space="preserve"> environmental impacts and any conflicts of interest (</w:t>
      </w:r>
      <w:r w:rsidRPr="00C0338D">
        <w:rPr>
          <w:b/>
        </w:rPr>
        <w:t>section 5.2</w:t>
      </w:r>
      <w:r w:rsidRPr="00C0338D">
        <w:t>). Where the target has spread across multiple jurisdictions with contiguous borders, affected jurisdictions also need to agree about the target and the regulatory processes under which the biological control programme will operate. A precautionary approach may be adopted because classical biological control is invariably of high risk, biocontrol agent releases generally being without controls and self-perpetuating. As classical biological control programmes are not always successful, the public need to understand this. The regulatory process prior to any release decision being made needs to include effective risk communication between all stakeholder communities. The use of structured decision-making processes, supported by rigorous cost-benefit and risk analyses, not only provide a sound broadly accepted rational</w:t>
      </w:r>
      <w:r w:rsidR="00912848">
        <w:t>e</w:t>
      </w:r>
      <w:r w:rsidRPr="00C0338D">
        <w:t xml:space="preserve"> for investment in what is generally a long-term activity but also to contribute to the credibility and success of this approach </w:t>
      </w:r>
      <w:r w:rsidR="009B3EFD" w:rsidRPr="00837161">
        <w:fldChar w:fldCharType="begin"/>
      </w:r>
      <w:r w:rsidR="000F35EB">
        <w:instrText xml:space="preserve"> ADDIN ZOTERO_ITEM CSL_CITATION {"citationID":"tKfr8Cw8","properties":{"formattedCitation":"(S. Liu et al., 2011)","plainCitation":"(S. Liu et al., 2011)","noteIndex":0},"citationItems":[{"id":30560,"uris":["http://zotero.org/groups/2352922/items/QKXHQTGH"],"itemData":{"id":30560,"type":"article-journal","abstract":"The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J."},{"family":"Cook","given":"David"}],"accessed":{"date-parts":[["2019",9,11]]},"issued":{"date-parts":[["2011",8,9]]}},"label":"page"}],"schema":"https://github.com/citation-style-language/schema/raw/master/csl-citation.json"} </w:instrText>
      </w:r>
      <w:r w:rsidR="009B3EFD" w:rsidRPr="00837161">
        <w:fldChar w:fldCharType="separate"/>
      </w:r>
      <w:r w:rsidR="00271B78" w:rsidRPr="00271B78">
        <w:t>(S. Liu et al., 2011)</w:t>
      </w:r>
      <w:r w:rsidR="009B3EFD" w:rsidRPr="00837161">
        <w:fldChar w:fldCharType="end"/>
      </w:r>
      <w:r w:rsidR="00604EFF" w:rsidRPr="00837161">
        <w:t>.</w:t>
      </w:r>
    </w:p>
    <w:p w14:paraId="3B60DC19" w14:textId="5B68C8BA" w:rsidR="001B0409" w:rsidRPr="00837161" w:rsidRDefault="001B0409" w:rsidP="00C11DFA">
      <w:pPr>
        <w:spacing w:before="240" w:after="120" w:line="240" w:lineRule="auto"/>
      </w:pPr>
      <w:r w:rsidRPr="00837161">
        <w:rPr>
          <w:lang w:eastAsia="ja-JP"/>
        </w:rPr>
        <w:t>Classical biological control is generally not used for eradication, which is a very rare outcome even as part of integrated control (</w:t>
      </w:r>
      <w:r w:rsidR="00BA147F" w:rsidRPr="00837161">
        <w:rPr>
          <w:lang w:eastAsia="ja-JP"/>
        </w:rPr>
        <w:t xml:space="preserve">e.g., </w:t>
      </w:r>
      <w:r w:rsidR="00A67A7E" w:rsidRPr="00837161">
        <w:fldChar w:fldCharType="begin"/>
      </w:r>
      <w:r w:rsidR="000F35EB">
        <w:instrText xml:space="preserve"> ADDIN ZOTERO_ITEM CSL_CITATION {"citationID":"hICFJsTv","properties":{"formattedCitation":"(Morin et al., 2009)","plainCitation":"(Morin et al., 2009)","dontUpdate":true,"noteIndex":0},"citationItems":[{"id":31133,"uris":["http://zotero.org/groups/2352922/items/56W6AJAL"],"itemData":{"id":31133,"type":"article-journal","abstract":"We review key issues, available approaches and analyses to encourage and assist practitioners to develop sound plans to evaluate the effectiveness of weed biological control agents at various phases throughout a program. Assessing the effectiveness of prospective agents before release assists the selection process, while post-release evaluation aims to determine the extent that agents are alleviating the ecological, social and economic impacts of the weeds. Information gathered on weed impacts prior to the initiation of a biological control program is necessary to provide baseline data and devise performance targets against which the program can subsequently be evaluated. Detailed data on weed populations, associated plant communities and, in some instances ecosystem processes collected at representative sites in the introduced range several years before the release of agents can be compared with similar data collected later to assess agent effectiveness. Laboratory, glasshouse and field studies are typically used to assess agent effectiveness. While some approaches used for field studies may be influenced by confounding factors, manipulative experiments where agents are excluded (or included) using chemicals or cages are more robust but time-consuming and expensive to implement. Demographic modeling and benefit–cost analyses are increasingly being used to complement other studies. There is an obvious need for more investment in long-term post-release evaluation of agent effectiveness to rigorously document outcomes of biological control programs.","container-title":"Biological Control","DOI":"10.1016/j.biocontrol.2009.05.017","ISSN":"1049-9644","issue":"1","journalAbbreviation":"Biological Control","language":"en","page":"1-15","source":"ScienceDirect","title":"Review of approaches to evaluate the effectiveness of weed biological control agents","URL":"http://www.sciencedirect.com/science/article/pii/S104996440900142X","volume":"51","author":[{"family":"Morin","given":"Louise"},{"family":"Reid","given":"A. M."},{"family":"Sims-Chilton","given":"N. M."},{"family":"Buckley","given":"Y. M."},{"family":"Dhileepan","given":"K."},{"family":"Hastwell","given":"G. T."},{"family":"Nordblom","given":"T. L."},{"family":"Raghu","given":"S."}],"accessed":{"date-parts":[["2020",8,21]]},"issued":{"date-parts":[["2009",10,1]]}},"label":"page"}],"schema":"https://github.com/citation-style-language/schema/raw/master/csl-citation.json"} </w:instrText>
      </w:r>
      <w:r w:rsidR="00A67A7E" w:rsidRPr="00837161">
        <w:fldChar w:fldCharType="separate"/>
      </w:r>
      <w:r w:rsidR="00E5788C" w:rsidRPr="00837161">
        <w:t>Morin et al., 2009)</w:t>
      </w:r>
      <w:r w:rsidR="00A67A7E" w:rsidRPr="00837161">
        <w:fldChar w:fldCharType="end"/>
      </w:r>
      <w:r w:rsidRPr="00837161">
        <w:rPr>
          <w:lang w:eastAsia="ja-JP"/>
        </w:rPr>
        <w:t xml:space="preserve">. Only recently has classical biological control been developed pre-emptively for invasive alien species before establishing in a country and only when eradication is very unlikely following establishment </w:t>
      </w:r>
      <w:r w:rsidRPr="00837161">
        <w:rPr>
          <w:lang w:eastAsia="ja-JP"/>
        </w:rPr>
        <w:fldChar w:fldCharType="begin"/>
      </w:r>
      <w:r w:rsidR="000F35EB">
        <w:rPr>
          <w:lang w:eastAsia="ja-JP"/>
        </w:rPr>
        <w:instrText xml:space="preserve"> ADDIN ZOTERO_ITEM CSL_CITATION {"citationID":"rSKsyiDg","properties":{"formattedCitation":"(Charles et al., 2019)","plainCitation":"(Charles et al., 2019)","noteIndex":0},"citationItems":[{"id":23796,"uris":["http://zotero.org/groups/2352922/items/5YLRI5AW"],"itemData":{"id":23796,"type":"article-journal","abstract":"Despite numerous interceptions at the border, the brown marmorated stink bug (BMSB), Halyomorpha halys Stål (Hemiptera: Pentatomidae), is not yet established in New Zealand. Nevertheless, a classical biocontrol programme using the egg parasitoid Trissolcus japonicus Ashmead (Hymenoptera: Scelionidae) has been initiated in anticipation of its likely arrival. The potential host range of the parasitoid in New Zealand was investigated by importing parasitised BMSB eggs into quarantine from Newark, DE, USA. Egg masses of seven species of Pentatomidae, including one sub-species, were individually exposed to naïve mated female T. japonicus in no-choice laboratory experiments. The results showed that predatory Cermatulus nasalis nasalis, C. nasalis hudsoni and Oechalia schellenbergii, and the phytophagous Monteithiella humeralis, Dictyotus caenosus, Glaucias amyoti, and Cuspicona simplex are all within the physiological host range of T. japonicus, although not all appeared to be equally susceptible to parasitism. No development or emergence of T. japonicus from eggs of the cosmopolitan pentatomid plant pest Nezara viridula were observed. The likely ecological consequences of releasing T. japonicus in New Zealand are discussed, as is the subsequent decision of New Zealand’s Environmental Protection Authority to approve release of the parasitoid once BMSB arrives in New Zealand.","container-title":"BioControl","DOI":"10.1007/s10526-019-09949-x","ISSN":"1573-8248","issue":"4","journalAbbreviation":"BioControl","language":"en","page":"367-379","source":"Springer Link","title":"Experimental assessment of the biosafety of &lt;i&gt;Trissolcus japonicus&lt;/i&gt; in New Zealand, prior to the anticipated arrival of the invasive pest &lt;i&gt;Halyomorpha halys&lt;/i&gt;","URL":"https://doi.org/10.1007/s10526-019-09949-x","volume":"64","author":[{"family":"Charles","given":"J. G."},{"family":"Avila","given":"G. A."},{"family":"Hoelmer","given":"Kim A."},{"family":"Hunt","given":"Sophie"},{"family":"Gardner-Gee","given":"Robin"},{"family":"MacDonald","given":"Frances"},{"family":"Davis","given":"Vicky"}],"accessed":{"date-parts":[["2019",12,9]]},"issued":{"date-parts":[["2019",8,1]]}},"label":"page"}],"schema":"https://github.com/citation-style-language/schema/raw/master/csl-citation.json"} </w:instrText>
      </w:r>
      <w:r w:rsidRPr="00837161">
        <w:rPr>
          <w:lang w:eastAsia="ja-JP"/>
        </w:rPr>
        <w:fldChar w:fldCharType="separate"/>
      </w:r>
      <w:r w:rsidR="00271B78" w:rsidRPr="00271B78">
        <w:t>(Charles et al., 2019)</w:t>
      </w:r>
      <w:r w:rsidRPr="00837161">
        <w:rPr>
          <w:lang w:eastAsia="ja-JP"/>
        </w:rPr>
        <w:fldChar w:fldCharType="end"/>
      </w:r>
      <w:r w:rsidRPr="00837161">
        <w:rPr>
          <w:lang w:eastAsia="ja-JP"/>
        </w:rPr>
        <w:t xml:space="preserve">. </w:t>
      </w:r>
    </w:p>
    <w:p w14:paraId="00000312" w14:textId="4AEE73D7" w:rsidR="00A758FD" w:rsidRPr="00C0338D" w:rsidRDefault="127C8D6D">
      <w:pPr>
        <w:spacing w:before="240" w:after="120" w:line="240" w:lineRule="auto"/>
      </w:pPr>
      <w:r w:rsidRPr="00837161">
        <w:rPr>
          <w:lang w:eastAsia="ja-JP"/>
        </w:rPr>
        <w:t>Classical biological control program</w:t>
      </w:r>
      <w:r w:rsidR="394599E4" w:rsidRPr="00837161">
        <w:t>me</w:t>
      </w:r>
      <w:r w:rsidRPr="00837161">
        <w:rPr>
          <w:lang w:eastAsia="ja-JP"/>
        </w:rPr>
        <w:t>s generally have four phases: i) agent selection, ii) agent risk assessment, iii) agent release</w:t>
      </w:r>
      <w:r w:rsidR="00C16EEB">
        <w:rPr>
          <w:lang w:eastAsia="ja-JP"/>
        </w:rPr>
        <w:t xml:space="preserve"> and</w:t>
      </w:r>
      <w:r w:rsidRPr="00837161">
        <w:rPr>
          <w:lang w:eastAsia="ja-JP"/>
        </w:rPr>
        <w:t xml:space="preserve"> iv) post release evaluation</w:t>
      </w:r>
      <w:r w:rsidR="4A23593D" w:rsidRPr="00837161">
        <w:t xml:space="preserve"> </w:t>
      </w:r>
      <w:r w:rsidR="001B0409" w:rsidRPr="00837161">
        <w:fldChar w:fldCharType="begin"/>
      </w:r>
      <w:r w:rsidR="000F35EB">
        <w:instrText xml:space="preserve"> ADDIN ZOTERO_ITEM CSL_CITATION {"citationID":"iintIMXP","properties":{"formattedCitation":"(CBD, 2018; Heimpel &amp; Mills, 2017)","plainCitation":"(CBD, 2018; Heimpel &amp; Mills, 2017)","noteIndex":0},"citationItems":[{"id":9998,"uris":["http://zotero.org/groups/2352922/items/97MHPTMS"],"itemData":{"id":9998,"type":"paper-conference","collection-title":"CBD/COP/14/INF/9","event-place":"Sharm El-Sheikh, Egypt","event-title":"Fourteenth meeting of Conference of the parties to the Convention on Biological Diversity","language":"en","publisher-place":"Sharm El-Sheikh, Egypt","source":"Zotero","title":"Invasive alien species: The application of classical biological control for the management of established invasive alien species causing environmental impacts","URL":"https://www.cbd.int/doc/c/0c6f/7a35/eb8815eff54c3bc4a02139fd/cop-14-inf-09-en.pdf","author":[{"literal":"CBD"}],"issued":{"date-parts":[["2018"]]}},"label":"page"},{"id":31065,"uris":["http://zotero.org/groups/2352922/items/G9FUIETJ"],"itemData":{"id":31065,"type":"book","abstract":"Biological control is the suppression of populations of pests and weeds by living organisms. These organisms can provide important protection from invasive species and protect our environment by reducing the need for pesticides. However, they also pose possible environmental risks, so biological control interventions must be undertaken with great care. This book enhances our understanding of biological control interactions by combining theory and practical application. Using a combination of historical analyses, theoretical models and case studies, with explicit links to invasion biology, the authors cover biological control of insects, weeds, plant pathogens and vertebrate animals. The book reflects increasing recognition of risks over the past 20 years, and incorporates the latest technological advances and theoretical developments. It is ideal for researchers and students of biological control and invasion biology.","ISBN":"978-0-521-84514-4","language":"en","note":"Google-Books-ID: 1VdEDgAAQBAJ","number-of-pages":"393","publisher":"Cambridge University Press","source":"Google Books","title":"Biological Control","author":[{"family":"Heimpel","given":"George E."},{"family":"Mills","given":"Nicholas J."}],"issued":{"date-parts":[["2017",4,3]]}},"label":"page"}],"schema":"https://github.com/citation-style-language/schema/raw/master/csl-citation.json"} </w:instrText>
      </w:r>
      <w:r w:rsidR="001B0409" w:rsidRPr="00837161">
        <w:fldChar w:fldCharType="separate"/>
      </w:r>
      <w:r w:rsidR="00271B78" w:rsidRPr="00271B78">
        <w:t>(CBD, 2018; Heimpel &amp; Mills, 2017)</w:t>
      </w:r>
      <w:r w:rsidR="001B0409" w:rsidRPr="00837161">
        <w:fldChar w:fldCharType="end"/>
      </w:r>
      <w:r w:rsidRPr="00837161">
        <w:rPr>
          <w:lang w:eastAsia="ja-JP"/>
        </w:rPr>
        <w:t>.</w:t>
      </w:r>
      <w:r w:rsidR="00C81287" w:rsidRPr="00C0338D">
        <w:t xml:space="preserve"> Each phase may require two to five years. </w:t>
      </w:r>
    </w:p>
    <w:p w14:paraId="00000313" w14:textId="77777777" w:rsidR="00A758FD" w:rsidRPr="00C0338D" w:rsidRDefault="00C81287">
      <w:pPr>
        <w:spacing w:before="240" w:after="120" w:line="240" w:lineRule="auto"/>
      </w:pPr>
      <w:r w:rsidRPr="00C0338D">
        <w:t xml:space="preserve">Agent selection is sourcing a potentially suitable biocontrol agent in the native range of the invasive alien species target. Genetics, such as barcoding, has assisted this reducing the time required to identify and classify candidate classical biological control agents. </w:t>
      </w:r>
    </w:p>
    <w:p w14:paraId="00000314" w14:textId="78311107" w:rsidR="00A758FD" w:rsidRPr="00C0338D" w:rsidRDefault="00C81287">
      <w:pPr>
        <w:spacing w:before="240" w:after="120" w:line="240" w:lineRule="auto"/>
      </w:pPr>
      <w:r w:rsidRPr="00C0338D">
        <w:t xml:space="preserve">Risk assessments for biological control agents evaluate host-specificity of the agent using internationally accepted protocols </w:t>
      </w:r>
      <w:r w:rsidR="00695746" w:rsidRPr="00837161">
        <w:rPr>
          <w:lang w:eastAsia="ja-JP"/>
        </w:rPr>
        <w:fldChar w:fldCharType="begin"/>
      </w:r>
      <w:r w:rsidR="000F35EB">
        <w:rPr>
          <w:lang w:eastAsia="ja-JP"/>
        </w:rPr>
        <w:instrText xml:space="preserve"> ADDIN ZOTERO_ITEM CSL_CITATION {"citationID":"pkHlT0r6","properties":{"formattedCitation":"(Bigler et al., 2006; ISSG, 2018)","plainCitation":"(Bigler et al., 2006; ISSG, 2018)","noteIndex":0},"citationItems":[{"id":26544,"uris":["http://zotero.org/groups/2352922/items/B3J6PT2B"],"itemData":{"id":26544,"type":"book","abstract":"Classical biological control of insects, where exotic natural enemies are introduced to control exotic pests, has been applied for more than 120 years, and the release of more than 2000 species of natural enemies has resulted in the permanent reduction of at least 165 pest species worldwide. Augmentative biological control, where exotic or native natural enemies are periodically released, has been used for 90 years, and more than 150 species of natural enemy are available on demand for the control of about 100 pest species. The aim of this book is to compile the current knowledge of methodologies used for assessing environmental impacts of invertebrate biological control agents, to advise on how to perform science-based risk assessments and on how to use new technology and information.","ISBN":"978-1-84593-058-5","language":"en","note":"Google-Books-ID: ufBK8mLtT6YC","number-of-pages":"317","publisher":"CABI Publishing","source":"Google Books","title":"Environmental Impact of Invertebrates for Biological Control of Arthropods: Methods and Risk Assessment","title-short":"Environmental Impact of Invertebrates for Biological Control of Arthropods","URL":"http://sherekashmir.informaticspublishing.com/315/1/9780851990583.pdf","editor":[{"family":"Bigler","given":"Franz"},{"family":"Babendreier","given":"Dirk"},{"family":"Kuhlmann","given":"Ulrich"}],"issued":{"date-parts":[["2006"]]}},"label":"page"},{"id":11237,"uris":["http://zotero.org/groups/2352922/items/4BBG3WCS"],"itemData":{"id":11237,"type":"paper-conference","collection-title":"CBD/COP/14/INF/9","container-title":"Technical Report for the CBD. IUCN SSC Invasive Species Specialist Group.","event-title":"Fourteenth meeting of Conference of the Parties to the Convention on Biological Diversity","language":"en","page":"96","source":"Zotero","title":"Invasive alien species: the application of classical biological control for the management of established invasive alien species causing environmental impacts","URL":"https://www.cbd.int/doc/c/0c6f/7a35/eb8815eff54c3bc4a02139fd/cop-14-inf-09-en.pdf","author":[{"literal":"ISSG"}],"editor":[{"family":"Sheppard","given":"Andy"},{"family":"Paynter","given":"Quentin"},{"family":"Mason","given":"Phillippa"},{"family":"Murphy","given":"S"},{"family":"Stoett","given":"P"},{"family":"Cowan","given":"P"},{"family":"Brodeur","given":"J"},{"family":"Warner","given":"K"},{"family":"Villegas","given":"C"},{"family":"Shaw","given":"R"},{"family":"Hinz","given":"H"},{"family":"Hill","given":"M"},{"family":"Genovesi","given":"P"}],"issued":{"date-parts":[["2018"]]}},"label":"page"}],"schema":"https://github.com/citation-style-language/schema/raw/master/csl-citation.json"} </w:instrText>
      </w:r>
      <w:r w:rsidR="00695746" w:rsidRPr="00837161">
        <w:rPr>
          <w:lang w:eastAsia="ja-JP"/>
        </w:rPr>
        <w:fldChar w:fldCharType="separate"/>
      </w:r>
      <w:r w:rsidR="00271B78" w:rsidRPr="00271B78">
        <w:t>(Bigler et al., 2006; ISSG, 2018)</w:t>
      </w:r>
      <w:r w:rsidR="00695746" w:rsidRPr="00837161">
        <w:rPr>
          <w:lang w:eastAsia="ja-JP"/>
        </w:rPr>
        <w:fldChar w:fldCharType="end"/>
      </w:r>
      <w:r w:rsidR="005C6D5C" w:rsidRPr="00837161">
        <w:t xml:space="preserve">, </w:t>
      </w:r>
      <w:r w:rsidR="001B0409" w:rsidRPr="00837161">
        <w:rPr>
          <w:lang w:eastAsia="ja-JP"/>
        </w:rPr>
        <w:t>either in the nat</w:t>
      </w:r>
      <w:r w:rsidR="006B1EE3" w:rsidRPr="00837161">
        <w:rPr>
          <w:lang w:eastAsia="ja-JP"/>
        </w:rPr>
        <w:t>i</w:t>
      </w:r>
      <w:r w:rsidR="001B0409" w:rsidRPr="00837161">
        <w:rPr>
          <w:lang w:eastAsia="ja-JP"/>
        </w:rPr>
        <w:t xml:space="preserve">ve range or a post entry quarantine facility in the country of introduction that </w:t>
      </w:r>
      <w:r w:rsidR="001B0409" w:rsidRPr="00837161">
        <w:t>considers:</w:t>
      </w:r>
      <w:r w:rsidRPr="00C0338D">
        <w:t xml:space="preserve"> </w:t>
      </w:r>
    </w:p>
    <w:p w14:paraId="00000315"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direct impact of the biocontrol agent on non-target species;</w:t>
      </w:r>
    </w:p>
    <w:p w14:paraId="00000316"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potential for indirect impacts of the biocontrol agent, including effects on organisms that depend on the target pest and non-target species and competition with resident biocontrol agents and other natural enemies (not all practicing jurisdictions require this);</w:t>
      </w:r>
    </w:p>
    <w:p w14:paraId="00000317" w14:textId="51E47BCE"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possible direct or indirect impact on threatened and endangered species, ecosystems, agriculture</w:t>
      </w:r>
      <w:r w:rsidR="00C16EEB">
        <w:rPr>
          <w:color w:val="000000"/>
        </w:rPr>
        <w:t xml:space="preserve"> and</w:t>
      </w:r>
      <w:r w:rsidRPr="0079215C">
        <w:rPr>
          <w:color w:val="000000"/>
        </w:rPr>
        <w:t xml:space="preserve"> forestry, in the country of introduction; </w:t>
      </w:r>
    </w:p>
    <w:p w14:paraId="00000318" w14:textId="35D17D70"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impact of the biocontrol agent on humans (health, social and cultural), and impact of the biocontrol agent on the physical environment (e.g., water, soil</w:t>
      </w:r>
      <w:r w:rsidR="00C16EEB">
        <w:rPr>
          <w:color w:val="000000"/>
        </w:rPr>
        <w:t xml:space="preserve"> and</w:t>
      </w:r>
      <w:r w:rsidRPr="0079215C">
        <w:rPr>
          <w:color w:val="000000"/>
        </w:rPr>
        <w:t xml:space="preserve"> air).</w:t>
      </w:r>
    </w:p>
    <w:p w14:paraId="00000319" w14:textId="77777777" w:rsidR="00A758FD" w:rsidRPr="00C0338D" w:rsidRDefault="00C81287">
      <w:pPr>
        <w:spacing w:before="240" w:after="120" w:line="240" w:lineRule="auto"/>
      </w:pPr>
      <w:r w:rsidRPr="00C0338D">
        <w:t xml:space="preserve">Risk assessment is generally less onerous for secondary jurisdictions if a biological control agent has been widely tested and established safely in numerous countries. </w:t>
      </w:r>
    </w:p>
    <w:p w14:paraId="0000031A" w14:textId="77777777" w:rsidR="00A758FD" w:rsidRPr="00C0338D" w:rsidRDefault="00C81287">
      <w:pPr>
        <w:spacing w:before="240" w:after="120" w:line="240" w:lineRule="auto"/>
      </w:pPr>
      <w:r w:rsidRPr="00C0338D">
        <w:t xml:space="preserve">Agent release can only happen following application for and approval of a release permit by an independent regulatory body based on the risk assessment. Release submissions generally require public comment, scientific peer review and consultation with neighbouring countries before making </w:t>
      </w:r>
      <w:r w:rsidRPr="00C0338D">
        <w:lastRenderedPageBreak/>
        <w:t xml:space="preserve">a decision. The decision assumes that the agent will have unlimited uncontained spread across the target population. Releases may require modification of the recipient environment (e.g., initial cages or nutrient levels) to improve the control agent’s establishment and spread. </w:t>
      </w:r>
    </w:p>
    <w:p w14:paraId="0000031B" w14:textId="36AD6A8A" w:rsidR="00A758FD" w:rsidRPr="00C0338D" w:rsidRDefault="00C81287">
      <w:pPr>
        <w:spacing w:before="240" w:after="120" w:line="240" w:lineRule="auto"/>
      </w:pPr>
      <w:r w:rsidRPr="00C0338D">
        <w:t xml:space="preserve">Post release evaluation is critically important to measure both positive and negative impacts of the biological control agent. Such impacts may appear within two years, but full effectiveness may also take a further 10 or more than 20 years. The best measure of success likelihood is if agents have already been successful in other jurisdictions against the same target. </w:t>
      </w:r>
      <w:r w:rsidR="001B0409" w:rsidRPr="00837161">
        <w:rPr>
          <w:lang w:eastAsia="ja-JP"/>
        </w:rPr>
        <w:t>Generally</w:t>
      </w:r>
      <w:r w:rsidR="647FF4E1" w:rsidRPr="00837161">
        <w:rPr>
          <w:lang w:eastAsia="ja-JP"/>
        </w:rPr>
        <w:t>,</w:t>
      </w:r>
      <w:r w:rsidR="00282EAB" w:rsidRPr="00837161">
        <w:rPr>
          <w:lang w:eastAsia="ja-JP"/>
        </w:rPr>
        <w:t xml:space="preserve"> </w:t>
      </w:r>
      <w:r w:rsidR="001B0409" w:rsidRPr="00837161">
        <w:rPr>
          <w:lang w:eastAsia="ja-JP"/>
        </w:rPr>
        <w:t>more than 50</w:t>
      </w:r>
      <w:r w:rsidR="006215F0" w:rsidRPr="00837161">
        <w:t xml:space="preserve"> per cent</w:t>
      </w:r>
      <w:r w:rsidR="001B0409" w:rsidRPr="00837161">
        <w:rPr>
          <w:lang w:eastAsia="ja-JP"/>
        </w:rPr>
        <w:t xml:space="preserve"> of classical biological control programmes deliver some level of success and benefit cost ratios of total jurisdictional investments in this approach are generally above 20:1 </w:t>
      </w:r>
      <w:r w:rsidR="00695746" w:rsidRPr="00837161">
        <w:rPr>
          <w:lang w:eastAsia="ja-JP"/>
        </w:rPr>
        <w:fldChar w:fldCharType="begin"/>
      </w:r>
      <w:r w:rsidR="000F35EB">
        <w:rPr>
          <w:lang w:eastAsia="ja-JP"/>
        </w:rPr>
        <w:instrText xml:space="preserve"> ADDIN ZOTERO_ITEM CSL_CITATION {"citationID":"WLN0bqhT","properties":{"formattedCitation":"(ISSG, 2018)","plainCitation":"(ISSG, 2018)","noteIndex":0},"citationItems":[{"id":11237,"uris":["http://zotero.org/groups/2352922/items/4BBG3WCS"],"itemData":{"id":11237,"type":"paper-conference","collection-title":"CBD/COP/14/INF/9","container-title":"Technical Report for the CBD. IUCN SSC Invasive Species Specialist Group.","event-title":"Fourteenth meeting of Conference of the Parties to the Convention on Biological Diversity","language":"en","page":"96","source":"Zotero","title":"Invasive alien species: the application of classical biological control for the management of established invasive alien species causing environmental impacts","URL":"https://www.cbd.int/doc/c/0c6f/7a35/eb8815eff54c3bc4a02139fd/cop-14-inf-09-en.pdf","author":[{"literal":"ISSG"}],"editor":[{"family":"Sheppard","given":"Andy"},{"family":"Paynter","given":"Quentin"},{"family":"Mason","given":"Phillippa"},{"family":"Murphy","given":"S"},{"family":"Stoett","given":"P"},{"family":"Cowan","given":"P"},{"family":"Brodeur","given":"J"},{"family":"Warner","given":"K"},{"family":"Villegas","given":"C"},{"family":"Shaw","given":"R"},{"family":"Hinz","given":"H"},{"family":"Hill","given":"M"},{"family":"Genovesi","given":"P"}],"issued":{"date-parts":[["2018"]]}},"label":"page"}],"schema":"https://github.com/citation-style-language/schema/raw/master/csl-citation.json"} </w:instrText>
      </w:r>
      <w:r w:rsidR="00695746" w:rsidRPr="00837161">
        <w:rPr>
          <w:lang w:eastAsia="ja-JP"/>
        </w:rPr>
        <w:fldChar w:fldCharType="separate"/>
      </w:r>
      <w:r w:rsidR="00271B78" w:rsidRPr="00271B78">
        <w:t>(ISSG, 2018)</w:t>
      </w:r>
      <w:r w:rsidR="00695746" w:rsidRPr="00837161">
        <w:rPr>
          <w:lang w:eastAsia="ja-JP"/>
        </w:rPr>
        <w:fldChar w:fldCharType="end"/>
      </w:r>
      <w:r w:rsidR="00695746" w:rsidRPr="00837161">
        <w:rPr>
          <w:lang w:eastAsia="ja-JP"/>
        </w:rPr>
        <w:t>.</w:t>
      </w:r>
    </w:p>
    <w:p w14:paraId="0000031C" w14:textId="06032AC2" w:rsidR="00A758FD" w:rsidRPr="00C0338D" w:rsidRDefault="00C81287">
      <w:pPr>
        <w:spacing w:before="240" w:after="120" w:line="240" w:lineRule="auto"/>
      </w:pPr>
      <w:r w:rsidRPr="00C0338D">
        <w:t>Advantages of classical biological control include its relative cost-effectiveness and broad-scale, long-term, non-chemical and target-specific application. The initial implementation costs are generally high compared to, for example, manual adaptive management approaches, but not compared to new pesticide registration</w:t>
      </w:r>
      <w:r w:rsidR="00C16EEB">
        <w:t xml:space="preserve"> and</w:t>
      </w:r>
      <w:r w:rsidRPr="00C0338D">
        <w:t xml:space="preserve"> control when it occurs is generally widespread and enduring. </w:t>
      </w:r>
    </w:p>
    <w:p w14:paraId="0000031D" w14:textId="77777777" w:rsidR="00A758FD" w:rsidRPr="00C0338D" w:rsidRDefault="00C81287">
      <w:pPr>
        <w:spacing w:before="240" w:after="120" w:line="240" w:lineRule="auto"/>
      </w:pPr>
      <w:r w:rsidRPr="00C0338D">
        <w:t>International collaboration is critically important in classical biological control programmes for the following reasons:</w:t>
      </w:r>
    </w:p>
    <w:p w14:paraId="0000031E"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To respect the Nagoya Protocol, as biocontrol agents are generally sourced from the native ranges (in other countries) of invasive alien plants and invertebrates;</w:t>
      </w:r>
    </w:p>
    <w:p w14:paraId="0000031F"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To avoid released biocontrol agents spreading across international borders;</w:t>
      </w:r>
    </w:p>
    <w:p w14:paraId="00000320"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To share experience and approaches in classical biological control between experienced and inexperienced countries;</w:t>
      </w:r>
    </w:p>
    <w:p w14:paraId="00000321"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To save considerable time and costs in controlling savings based on sharing of research, control agents, risk assessments and funding for control programmes against shared invasive alien species.</w:t>
      </w:r>
    </w:p>
    <w:p w14:paraId="00000322" w14:textId="77777777" w:rsidR="00A758FD" w:rsidRPr="00C0338D" w:rsidRDefault="00C81287">
      <w:pPr>
        <w:spacing w:before="240" w:after="120" w:line="240" w:lineRule="auto"/>
      </w:pPr>
      <w:r w:rsidRPr="00C0338D">
        <w:t xml:space="preserve">Classical biological control for invasive alien species management is not a profit-making activity and so, outside of agriculture, is usually funded by public or not-for-profit agencies with responsibilities in environmental management. Countries in North America have also worked together under the North American Plant Protection Organization (NAPPO) to take a regional (continental) approach to collectively manage biological control release activities that affect multiple jurisdictions. </w:t>
      </w:r>
    </w:p>
    <w:p w14:paraId="00000323" w14:textId="6D9A14FE" w:rsidR="00A758FD" w:rsidRPr="00C0338D" w:rsidRDefault="00C81287">
      <w:pPr>
        <w:spacing w:before="240" w:after="120" w:line="240" w:lineRule="auto"/>
      </w:pPr>
      <w:r w:rsidRPr="00C0338D">
        <w:t xml:space="preserve">The public acceptance of classical biological control globally still remains mixed, despite a high success rate in countries such as Australia, New Zealand, South Africa, Canada and the United States and an extensive history across many countries </w:t>
      </w:r>
      <w:r w:rsidR="001B0409" w:rsidRPr="00837161">
        <w:rPr>
          <w:lang w:eastAsia="ja-JP"/>
        </w:rPr>
        <w:fldChar w:fldCharType="begin"/>
      </w:r>
      <w:r w:rsidR="000F35EB">
        <w:rPr>
          <w:lang w:eastAsia="ja-JP"/>
        </w:rPr>
        <w:instrText xml:space="preserve"> ADDIN ZOTERO_ITEM CSL_CITATION {"citationID":"w1woR7M4","properties":{"unsorted":true,"formattedCitation":"(Winston et al., 2014; Cock et al., 2016; P. G. Mason, 2021)","plainCitation":"(Winston et al., 2014; Cock et al., 2016; P. G. Mason, 2021)","noteIndex":0},"citationItems":[{"id":30117,"uris":["http://zotero.org/groups/2352922/items/2Y7P34NE"],"itemData":{"id":30117,"type":"document","publisher":"USDA Forest Service, Forest Health Technology Enterprise Team, Morgantown.","title":"Biological control of weeds: a world catalogue of agents and their target weeds, 5th edn.","URL":"https://www.ibiocontrol.org/catalog/about.pdf","editor":[{"family":"Winston","given":"R.L."},{"family":"Schwarzlander","given":"M."},{"family":"Hinz","given":"H.L."},{"family":"Day","given":"M.D."},{"family":"Cock","given":"M.J.W."},{"family":"Julien","given":"M.H."}],"accessed":{"date-parts":[["2019",12,3]]},"issued":{"date-parts":[["2014"]]}},"label":"page"},{"id":23979,"uris":["http://zotero.org/groups/2352922/items/UE8PG9CQ"],"itemData":{"id":23979,"type":"article-journal","abstract":"The BIOCAT database of introductions of insect biological control agents for the control of insect pests was updated to the end of 2010 to include 6158 introductions, using 2384 different insect biological control agents against 588 pest species in 148 countries. Of the introductions, 2007 (32.6 %) led to establishment, and 620 (10.1 %) resulted in satisfactory control being reported against 172 (29.3 %) different pest species. The number of introductions has decreased each decade since the 1970s, but in the same period a higher proportion of introductions became established and contributed to successful control of target pests, and the number of countries implementing classical biological control increased. These positive trends reflect the greater research effort now made to optimize the chances of successful outcomes and increased confidence in classical biological control as a viable pest management strategy against a backdrop of a risk-averse culture that has developed in some key countries in recent years.","container-title":"BioControl","DOI":"10.1007/s10526-016-9726-3","ISSN":"1573-8248","issue":"4","journalAbbreviation":"BioControl","language":"en","page":"349-363","source":"Springer Link","title":"Trends in the classical biological control of insect pests by insects: an update of the BIOCAT database","title-short":"Trends in the classical biological control of insect pests by insects","URL":"https://doi.org/10.1007/s10526-016-9726-3","volume":"61","author":[{"family":"Cock","given":"Matthew J. W."},{"family":"Murphy","given":"Sean T."},{"family":"Kairo","given":"Moses T. K."},{"family":"Thompson","given":"Emma"},{"family":"Murphy","given":"Rebecca J."},{"family":"Francis","given":"Antonio W."}],"accessed":{"date-parts":[["2019",3,12]]},"issued":{"date-parts":[["2016",8,1]]}},"label":"page"},{"id":10091,"uris":["http://zotero.org/groups/2352922/items/GLA2B9NZ"],"itemData":{"id":10091,"type":"book","abstract":"Biological Control: Global Impacts, Challenges and Future Directions of Pest Management provides a historical summary of organisms and main strategies used in biological control, as well as the key challenges confronting biological control in the 21st century. Biological control has been implemented for millennia, initially practised by growers moving beneficial species from one local area to another. Today, biological control has evolved into a formal science that provides ecosystem services to protect the environment and the resources used by humanity. With contributions from dedicated scientists and practitioners from around the world, this comprehensive book highlights important successes, failures and challenges in biological control efforts. It advocates that biological control must be viewed as a global endeavour and provides suggestions to move practices forward in a changing world. Biological Control is an invaluable resource for conservation specialists, pest management practitioners and those who research invasive species, as well as students studying pest management science.","event-place":"Australia","ISBN":"978-1-4863-0936-8","language":"en","note":"Google-Books-ID: AFhFEAAAQBAJ","number-of-pages":"822","publisher":"Csiro Publishing","publisher-place":"Australia","source":"Google Books","title":"Biological Control: Global Impacts, Challenges and Future Directions of Pest Management","title-short":"Biological Control","editor":[{"family":"Mason","given":"P. G."}],"issued":{"date-parts":[["2021",10,1]]}},"label":"page"}],"schema":"https://github.com/citation-style-language/schema/raw/master/csl-citation.json"} </w:instrText>
      </w:r>
      <w:r w:rsidR="001B0409" w:rsidRPr="00837161">
        <w:rPr>
          <w:lang w:eastAsia="ja-JP"/>
        </w:rPr>
        <w:fldChar w:fldCharType="separate"/>
      </w:r>
      <w:r w:rsidR="00271B78" w:rsidRPr="00271B78">
        <w:t>(Winston et al., 2014; Cock et al., 2016; P. G. Mason, 2021)</w:t>
      </w:r>
      <w:r w:rsidR="001B0409" w:rsidRPr="00837161">
        <w:rPr>
          <w:lang w:eastAsia="ja-JP"/>
        </w:rPr>
        <w:fldChar w:fldCharType="end"/>
      </w:r>
      <w:r w:rsidR="001B0409" w:rsidRPr="00837161">
        <w:rPr>
          <w:lang w:eastAsia="ja-JP"/>
        </w:rPr>
        <w:t xml:space="preserve">. Some countries have high public and regulatory perceptions of risk around the use of pathogens as biological control agents (for example, United States) even though forty years of evidence elsewhere suggests otherwise </w:t>
      </w:r>
      <w:r w:rsidR="001B0409" w:rsidRPr="00837161">
        <w:rPr>
          <w:lang w:eastAsia="ja-JP"/>
        </w:rPr>
        <w:fldChar w:fldCharType="begin"/>
      </w:r>
      <w:r w:rsidR="000F35EB">
        <w:rPr>
          <w:lang w:eastAsia="ja-JP"/>
        </w:rPr>
        <w:instrText xml:space="preserve"> ADDIN ZOTERO_ITEM CSL_CITATION {"citationID":"1c9PiHZT","properties":{"formattedCitation":"(ISSG, 2018)","plainCitation":"(ISSG, 2018)","noteIndex":0},"citationItems":[{"id":11237,"uris":["http://zotero.org/groups/2352922/items/4BBG3WCS"],"itemData":{"id":11237,"type":"paper-conference","collection-title":"CBD/COP/14/INF/9","container-title":"Technical Report for the CBD. IUCN SSC Invasive Species Specialist Group.","event-title":"Fourteenth meeting of Conference of the Parties to the Convention on Biological Diversity","language":"en","page":"96","source":"Zotero","title":"Invasive alien species: the application of classical biological control for the management of established invasive alien species causing environmental impacts","URL":"https://www.cbd.int/doc/c/0c6f/7a35/eb8815eff54c3bc4a02139fd/cop-14-inf-09-en.pdf","author":[{"literal":"ISSG"}],"editor":[{"family":"Sheppard","given":"Andy"},{"family":"Paynter","given":"Quentin"},{"family":"Mason","given":"Phillippa"},{"family":"Murphy","given":"S"},{"family":"Stoett","given":"P"},{"family":"Cowan","given":"P"},{"family":"Brodeur","given":"J"},{"family":"Warner","given":"K"},{"family":"Villegas","given":"C"},{"family":"Shaw","given":"R"},{"family":"Hinz","given":"H"},{"family":"Hill","given":"M"},{"family":"Genovesi","given":"P"}],"issued":{"date-parts":[["2018"]]}}}],"schema":"https://github.com/citation-style-language/schema/raw/master/csl-citation.json"} </w:instrText>
      </w:r>
      <w:r w:rsidR="001B0409" w:rsidRPr="00837161">
        <w:rPr>
          <w:lang w:eastAsia="ja-JP"/>
        </w:rPr>
        <w:fldChar w:fldCharType="separate"/>
      </w:r>
      <w:r w:rsidR="00271B78" w:rsidRPr="00271B78">
        <w:t>(ISSG, 2018)</w:t>
      </w:r>
      <w:r w:rsidR="001B0409" w:rsidRPr="00837161">
        <w:rPr>
          <w:lang w:eastAsia="ja-JP"/>
        </w:rPr>
        <w:fldChar w:fldCharType="end"/>
      </w:r>
      <w:r w:rsidR="001B0409" w:rsidRPr="00837161">
        <w:rPr>
          <w:lang w:eastAsia="ja-JP"/>
        </w:rPr>
        <w:t xml:space="preserve">. Some classical biological control agents have been released even in the recent past without the application of a rigorous risk based precautionary approach and have led to significant non-target impacts that were avoidable (for example, </w:t>
      </w:r>
      <w:r w:rsidR="001B0409" w:rsidRPr="00837161">
        <w:rPr>
          <w:i/>
          <w:iCs/>
          <w:lang w:eastAsia="ja-JP"/>
        </w:rPr>
        <w:t xml:space="preserve">Harmonia </w:t>
      </w:r>
      <w:r w:rsidR="00282EAB" w:rsidRPr="00837161">
        <w:rPr>
          <w:i/>
          <w:iCs/>
          <w:lang w:eastAsia="ja-JP"/>
        </w:rPr>
        <w:t>axyridis</w:t>
      </w:r>
      <w:r w:rsidR="00282EAB" w:rsidRPr="00837161">
        <w:rPr>
          <w:lang w:eastAsia="ja-JP"/>
        </w:rPr>
        <w:t xml:space="preserve"> (harlequin </w:t>
      </w:r>
      <w:r w:rsidR="001B0409" w:rsidRPr="00837161">
        <w:rPr>
          <w:lang w:eastAsia="ja-JP"/>
        </w:rPr>
        <w:t>ladybird</w:t>
      </w:r>
      <w:r w:rsidR="00282EAB" w:rsidRPr="00837161">
        <w:rPr>
          <w:lang w:eastAsia="ja-JP"/>
        </w:rPr>
        <w:t>)</w:t>
      </w:r>
      <w:r w:rsidR="001B0409" w:rsidRPr="00837161">
        <w:rPr>
          <w:lang w:eastAsia="ja-JP"/>
        </w:rPr>
        <w:t xml:space="preserve"> in Europe; </w:t>
      </w:r>
      <w:r w:rsidR="001B0409" w:rsidRPr="00837161">
        <w:rPr>
          <w:lang w:eastAsia="ja-JP"/>
        </w:rPr>
        <w:fldChar w:fldCharType="begin"/>
      </w:r>
      <w:r w:rsidR="007746C5">
        <w:rPr>
          <w:lang w:eastAsia="ja-JP"/>
        </w:rPr>
        <w:instrText xml:space="preserve"> ADDIN ZOTERO_ITEM CSL_CITATION {"citationID":"tsuHRfth","properties":{"formattedCitation":"(H. E. Roy et al., 2016)","plainCitation":"(H. E. Roy et al., 2016)","dontUpdate":true,"noteIndex":0},"citationItems":[{"id":12354,"uris":["http://zotero.org/groups/2352922/items/MXBBDT27","http://zotero.org/groups/2352922/items/TUMNKVY2"],"itemData":{"id":12354,"type":"article-journal","container-title":"Biological Invasions","DOI":"10.1007/s10530-016-1077-6","ISSN":"1387-3547, 1573-1464","issue":"4","journalAbbreviation":"Biol Invasions","language":"en","page":"997-1044","source":"DOI.org (Crossref)","title":"The harlequin ladybird, Harmonia axyridis: global perspectives on invasion history and ecology","title-short":"The harlequin ladybird, Harmonia axyridis","URL":"http://link.springer.com/10.1007/s10530-016-1077-6","volume":"18","author":[{"family":"Roy","given":"Helen E."},{"family":"Brown","given":"Peter M. J."},{"family":"Adriaens","given":"Tim"},{"family":"Berkvens","given":"Nick"},{"family":"Borges","given":"Isabel"},{"family":"Clusella-Trullas","given":"Susana"},{"family":"Comont","given":"Richard F."},{"family":"De Clercq","given":"Patrick"},{"family":"Eschen","given":"Rene"},{"family":"Estoup","given":"Arnaud"},{"family":"Evans","given":"Edward W."},{"family":"Facon","given":"Benoit"},{"family":"Gardiner","given":"Mary M."},{"family":"Gil","given":"Artur"},{"family":"Grez","given":"Audrey A."},{"family":"Guillemaud","given":"Thomas"},{"family":"Haelewaters","given":"Danny"},{"family":"Herz","given":"Annette"},{"family":"Honek","given":"Alois"},{"family":"Howe","given":"Andy G."},{"family":"Hui","given":"Cang"},{"family":"Hutchison","given":"William D."},{"family":"Kenis","given":"Marc"},{"family":"Koch","given":"Robert L."},{"family":"Kulfan","given":"Jan"},{"family":"Lawson Handley","given":"Lori"},{"family":"Lombaert","given":"Eric"},{"family":"Loomans","given":"Antoon"},{"family":"Losey","given":"John"},{"family":"Lukashuk","given":"Alexander O."},{"family":"Maes","given":"Dirk"},{"family":"Magro","given":"Alexandra"},{"family":"Murray","given":"Katie M."},{"family":"Martin","given":"Gilles San"},{"family":"Martinkova","given":"Zdenka"},{"family":"Minnaar","given":"Ingrid A."},{"family":"Nedved","given":"Oldřich"},{"family":"Orlova-Bienkowskaja","given":"Marina J."},{"family":"Osawa","given":"Naoya"},{"family":"Rabitsch","given":"Wolfgang"},{"family":"Ravn","given":"Hans Peter"},{"family":"Rondoni","given":"Gabriele"},{"family":"Rorke","given":"Steph L."},{"family":"Ryndevich","given":"Sergey K."},{"family":"Saethre","given":"May-Guri"},{"family":"Sloggett","given":"John J."},{"family":"Soares","given":"Antonio Onofre"},{"family":"Stals","given":"Riaan"},{"family":"Tinsley","given":"Matthew C."},{"family":"Vandereycken","given":"Axel"},{"family":"Wielink","given":"Paul","non-dropping-particle":"van"},{"family":"Viglášová","given":"Sandra"},{"family":"Zach","given":"Peter"},{"family":"Zakharov","given":"Ilya A."},{"family":"Zaviezo","given":"Tania"},{"family":"Zhao","given":"Zihua"}],"accessed":{"date-parts":[["2019",12,6]]},"issued":{"date-parts":[["2016",4]]}},"label":"page"}],"schema":"https://github.com/citation-style-language/schema/raw/master/csl-citation.json"} </w:instrText>
      </w:r>
      <w:r w:rsidR="001B0409" w:rsidRPr="00837161">
        <w:rPr>
          <w:lang w:eastAsia="ja-JP"/>
        </w:rPr>
        <w:fldChar w:fldCharType="separate"/>
      </w:r>
      <w:r w:rsidR="00934967" w:rsidRPr="00934967">
        <w:t>H. E. Roy et al., 2016)</w:t>
      </w:r>
      <w:r w:rsidR="001B0409" w:rsidRPr="00837161">
        <w:rPr>
          <w:lang w:eastAsia="ja-JP"/>
        </w:rPr>
        <w:fldChar w:fldCharType="end"/>
      </w:r>
      <w:r w:rsidR="001B0409" w:rsidRPr="00837161">
        <w:t xml:space="preserve">. </w:t>
      </w:r>
      <w:r w:rsidR="49E7A8EB" w:rsidRPr="00837161">
        <w:t>Persist</w:t>
      </w:r>
      <w:r w:rsidR="0B202BE1" w:rsidRPr="00837161">
        <w:t>e</w:t>
      </w:r>
      <w:r w:rsidR="49E7A8EB" w:rsidRPr="00837161">
        <w:t>nt</w:t>
      </w:r>
      <w:r w:rsidR="001B0409" w:rsidRPr="00837161">
        <w:t xml:space="preserve"> </w:t>
      </w:r>
      <w:r w:rsidR="001B0409" w:rsidRPr="00837161">
        <w:rPr>
          <w:lang w:eastAsia="ja-JP"/>
        </w:rPr>
        <w:t>concerns about non-target impacts continue to be addressed through l</w:t>
      </w:r>
      <w:r w:rsidR="001B0409" w:rsidRPr="00837161">
        <w:t xml:space="preserve">earnings from past practices </w:t>
      </w:r>
      <w:r w:rsidR="001B0409" w:rsidRPr="00837161">
        <w:fldChar w:fldCharType="begin"/>
      </w:r>
      <w:r w:rsidR="00E25D54">
        <w:instrText xml:space="preserve"> ADDIN ZOTERO_ITEM CSL_CITATION {"citationID":"TfcwJq1x","properties":{"formattedCitation":"(Follett &amp; Duan, 2000; Louda et al., 2003)","plainCitation":"(Follett &amp; Duan, 2000; Louda et al., 2003)","noteIndex":0},"citationItems":[{"id":23754,"uris":["http://zotero.org/groups/2352922/items/Z8FRVFG9"],"itemData":{"id":23754,"type":"book","event-place":"Boston, MA","ISBN":"978-1-4613-7067-3","publisher":"Springer Science+Business Media New York","publisher-place":"Boston, MA","title":"Nontarget effects of biological control","URL":"https://doi.org/10.1007/978-1-4615-4577-4","editor":[{"family":"Follett","given":"Peter A."},{"family":"Duan","given":"Jian J."}],"accessed":{"date-parts":[["2020",8,20]]},"issued":{"date-parts":[["2000"]]}},"label":"page"},{"id":11229,"uris":["http://zotero.org/groups/2352922/items/5ZPUQL2J"],"itemData":{"id":11229,"type":"book","abstract":"Controversy exists over ecological risks in classical biological control. We reviewed 10 projects with quantitative data on nontarget effects. Ten patterns emerged: (a) Relatives of the pest are most likely to be attacked; (b) host-specificity testing defines physiological host range, but not ecological range; (c) prediction of ecological consequences requires population data; (d) level of impact varied, often in relation to environmental conditions; (e) information on magnitude of nontarget impact is sparse; (f) attack on rare native species can accelerate their decline; (g) nontarget effects can be indirect; (h) agents disperse from agroecosystems; (i) whole assemblages of species can be perturbed; and (j) no evidence on adaptation is available in these cases. The review leads to six recommendations: Avoid using generalists or adventive species; expand host-specificity testing; incorporate more ecological information; consider ecological risk in target selection; prioritize agents; and pursue genetic data on adaptation. We conclude that retrospective analyses suggest clear ways to further increase future safety of biocontrol.","collection-title":"Annual Review of Entomology","note":"DOI: 10.1146/annurev.ento.48.060402.102800","number-of-pages":"365-396","publisher":"Annual Review of Entomology","title":"Nontarget effects - the Achilles' heel of biological control? Retrospective analyses to reduce risk associated with biocontrol introductions","URL":"https://www.scopus.com/inward/record.uri?eid=2-s2.0-0037209072&amp;doi=10.1146%2fannurev.ento.48.060402.102800&amp;partnerID=40&amp;md5=49efb2a0e34aedc3c085cf668abcfef4","volume":"48","author":[{"family":"Louda","given":"S.M."},{"family":"Pemberton","given":"R.W."},{"family":"Johnson","given":"M.T."},{"family":"Follett","given":"P.A."}],"issued":{"date-parts":[["2003"]]}},"label":"page"}],"schema":"https://github.com/citation-style-language/schema/raw/master/csl-citation.json"} </w:instrText>
      </w:r>
      <w:r w:rsidR="001B0409" w:rsidRPr="00837161">
        <w:fldChar w:fldCharType="separate"/>
      </w:r>
      <w:r w:rsidR="00271B78" w:rsidRPr="00271B78">
        <w:t>(Follett &amp; Duan, 2000; Louda et al., 2003)</w:t>
      </w:r>
      <w:r w:rsidR="001B0409" w:rsidRPr="00837161">
        <w:fldChar w:fldCharType="end"/>
      </w:r>
      <w:r w:rsidR="001B0409" w:rsidRPr="00837161">
        <w:t xml:space="preserve"> and t</w:t>
      </w:r>
      <w:r w:rsidR="001B0409" w:rsidRPr="00837161">
        <w:rPr>
          <w:lang w:eastAsia="ja-JP"/>
        </w:rPr>
        <w:t xml:space="preserve">hrough rigorous risk assessment </w:t>
      </w:r>
      <w:r w:rsidR="001B0409" w:rsidRPr="00837161">
        <w:rPr>
          <w:lang w:eastAsia="ja-JP"/>
        </w:rPr>
        <w:fldChar w:fldCharType="begin"/>
      </w:r>
      <w:r w:rsidR="000F35EB">
        <w:rPr>
          <w:lang w:eastAsia="ja-JP"/>
        </w:rPr>
        <w:instrText xml:space="preserve"> ADDIN ZOTERO_ITEM CSL_CITATION {"citationID":"QP0SB5Mg","properties":{"formattedCitation":"(ISSG, 2018; P. G. Mason, 2021)","plainCitation":"(ISSG, 2018; P. G. Mason, 2021)","noteIndex":0},"citationItems":[{"id":11237,"uris":["http://zotero.org/groups/2352922/items/4BBG3WCS"],"itemData":{"id":11237,"type":"paper-conference","collection-title":"CBD/COP/14/INF/9","container-title":"Technical Report for the CBD. IUCN SSC Invasive Species Specialist Group.","event-title":"Fourteenth meeting of Conference of the Parties to the Convention on Biological Diversity","language":"en","page":"96","source":"Zotero","title":"Invasive alien species: the application of classical biological control for the management of established invasive alien species causing environmental impacts","URL":"https://www.cbd.int/doc/c/0c6f/7a35/eb8815eff54c3bc4a02139fd/cop-14-inf-09-en.pdf","author":[{"literal":"ISSG"}],"editor":[{"family":"Sheppard","given":"Andy"},{"family":"Paynter","given":"Quentin"},{"family":"Mason","given":"Phillippa"},{"family":"Murphy","given":"S"},{"family":"Stoett","given":"P"},{"family":"Cowan","given":"P"},{"family":"Brodeur","given":"J"},{"family":"Warner","given":"K"},{"family":"Villegas","given":"C"},{"family":"Shaw","given":"R"},{"family":"Hinz","given":"H"},{"family":"Hill","given":"M"},{"family":"Genovesi","given":"P"}],"issued":{"date-parts":[["2018"]]}}},{"id":10091,"uris":["http://zotero.org/groups/2352922/items/GLA2B9NZ"],"itemData":{"id":10091,"type":"book","abstract":"Biological Control: Global Impacts, Challenges and Future Directions of Pest Management provides a historical summary of organisms and main strategies used in biological control, as well as the key challenges confronting biological control in the 21st century. Biological control has been implemented for millennia, initially practised by growers moving beneficial species from one local area to another. Today, biological control has evolved into a formal science that provides ecosystem services to protect the environment and the resources used by humanity. With contributions from dedicated scientists and practitioners from around the world, this comprehensive book highlights important successes, failures and challenges in biological control efforts. It advocates that biological control must be viewed as a global endeavour and provides suggestions to move practices forward in a changing world. Biological Control is an invaluable resource for conservation specialists, pest management practitioners and those who research invasive species, as well as students studying pest management science.","event-place":"Australia","ISBN":"978-1-4863-0936-8","language":"en","note":"Google-Books-ID: AFhFEAAAQBAJ","number-of-pages":"822","publisher":"Csiro Publishing","publisher-place":"Australia","source":"Google Books","title":"Biological Control: Global Impacts, Challenges and Future Directions of Pest Management","title-short":"Biological Control","editor":[{"family":"Mason","given":"P. G."}],"issued":{"date-parts":[["2021",10,1]]}}}],"schema":"https://github.com/citation-style-language/schema/raw/master/csl-citation.json"} </w:instrText>
      </w:r>
      <w:r w:rsidR="001B0409" w:rsidRPr="00837161">
        <w:rPr>
          <w:lang w:eastAsia="ja-JP"/>
        </w:rPr>
        <w:fldChar w:fldCharType="separate"/>
      </w:r>
      <w:r w:rsidR="00271B78" w:rsidRPr="00271B78">
        <w:t>(ISSG, 2018; P. G. Mason, 2021)</w:t>
      </w:r>
      <w:r w:rsidR="001B0409" w:rsidRPr="00837161">
        <w:rPr>
          <w:lang w:eastAsia="ja-JP"/>
        </w:rPr>
        <w:fldChar w:fldCharType="end"/>
      </w:r>
      <w:r w:rsidR="001B0409" w:rsidRPr="00837161">
        <w:t>.</w:t>
      </w:r>
      <w:r w:rsidR="003666A4">
        <w:t xml:space="preserve">     </w:t>
      </w:r>
      <w:r w:rsidRPr="00C0338D">
        <w:t xml:space="preserve"> </w:t>
      </w:r>
    </w:p>
    <w:p w14:paraId="00000324" w14:textId="77777777" w:rsidR="00A758FD" w:rsidRPr="00C0338D" w:rsidRDefault="00C81287" w:rsidP="00604A0A">
      <w:pPr>
        <w:pStyle w:val="Heading4"/>
      </w:pPr>
      <w:r w:rsidRPr="00C0338D">
        <w:t xml:space="preserve">Sterile insect technique and other relevant invasive alien invertebrate augmentative approaches </w:t>
      </w:r>
      <w:bookmarkStart w:id="405" w:name="_Hlk21851273"/>
    </w:p>
    <w:p w14:paraId="1F8ACE15" w14:textId="69FC151A" w:rsidR="001B0409" w:rsidRPr="00837161" w:rsidRDefault="2838CBDC" w:rsidP="00C11DFA">
      <w:pPr>
        <w:spacing w:before="240" w:after="120" w:line="240" w:lineRule="auto"/>
      </w:pPr>
      <w:r w:rsidRPr="00837161">
        <w:t xml:space="preserve">Sterile Insect Technique is based on mass releases of </w:t>
      </w:r>
      <w:r w:rsidRPr="00837161">
        <w:rPr>
          <w:lang w:eastAsia="ja-JP"/>
        </w:rPr>
        <w:t xml:space="preserve">irradiated </w:t>
      </w:r>
      <w:r w:rsidRPr="00837161">
        <w:t xml:space="preserve">infertile males and is a mature technology based on conventional approaches that have proven to be effective for 65 years </w:t>
      </w:r>
      <w:r w:rsidRPr="00837161">
        <w:fldChar w:fldCharType="begin"/>
      </w:r>
      <w:r w:rsidR="000F35EB">
        <w:instrText xml:space="preserve"> ADDIN ZOTERO_ITEM CSL_CITATION {"citationID":"SXFnhQD9","properties":{"formattedCitation":"(Dunn &amp; Follett, 2017)","plainCitation":"(Dunn &amp; Follett, 2017)","noteIndex":0},"citationItems":[{"id":30184,"uris":["http://zotero.org/groups/2352922/items/JBUPIVCG"],"itemData":{"id":30184,"type":"article-journal","container-title":"Entomologia Experimentalis et Applicata","DOI":"https://doi.org/10.1111/eea.12619","issue":"3","page":"151-154","title":"The sterile insect technique (SIT)-an introduction","volume":"164","author":[{"family":"Dunn","given":"Derek W."},{"family":"Follett","given":"Peter A."}],"issued":{"date-parts":[["2017"]]}},"label":"page"}],"schema":"https://github.com/citation-style-language/schema/raw/master/csl-citation.json"} </w:instrText>
      </w:r>
      <w:r w:rsidRPr="00837161">
        <w:fldChar w:fldCharType="separate"/>
      </w:r>
      <w:r w:rsidR="00271B78" w:rsidRPr="00271B78">
        <w:t xml:space="preserve">(Dunn &amp; </w:t>
      </w:r>
      <w:r w:rsidR="00271B78" w:rsidRPr="00271B78">
        <w:lastRenderedPageBreak/>
        <w:t>Follett, 2017)</w:t>
      </w:r>
      <w:r w:rsidRPr="00837161">
        <w:fldChar w:fldCharType="end"/>
      </w:r>
      <w:r w:rsidRPr="00837161">
        <w:t xml:space="preserve">. The infertile males compete with wild males to breed with wild females, and this leads to a reduction in offspring and a decline in population numbers. Eventual local pest population extinction is possible. Sterile insect technique is primarily used for agricultural pest management but also has a history of </w:t>
      </w:r>
      <w:r w:rsidR="53DA01E8" w:rsidRPr="00837161">
        <w:t>succes</w:t>
      </w:r>
      <w:r w:rsidR="61555D83" w:rsidRPr="00837161">
        <w:t>s</w:t>
      </w:r>
      <w:r w:rsidRPr="00837161">
        <w:t xml:space="preserve"> for managing invas</w:t>
      </w:r>
      <w:r w:rsidR="2BE4EEC8" w:rsidRPr="00837161">
        <w:t>i</w:t>
      </w:r>
      <w:r w:rsidRPr="00837161">
        <w:t>ve alien disease vectors</w:t>
      </w:r>
      <w:r w:rsidR="3AC666C2" w:rsidRPr="00837161">
        <w:t xml:space="preserve"> </w:t>
      </w:r>
      <w:r w:rsidR="00DA6B3F" w:rsidRPr="00837161">
        <w:fldChar w:fldCharType="begin"/>
      </w:r>
      <w:r w:rsidR="000F35EB">
        <w:instrText xml:space="preserve"> ADDIN ZOTERO_ITEM CSL_CITATION {"citationID":"eczNx6Yl","properties":{"formattedCitation":"(FAO &amp; AEG, 2016)","plainCitation":"(FAO &amp; AEG, 2016)","noteIndex":0},"citationItems":[{"id":53117,"uris":["http://zotero.org/groups/2352922/items/DB26W6XI"],"itemData":{"id":53117,"type":"document","language":"en","publisher":"Food and Agriculture Organization and Atomic Energy Agency","source":"Zotero","title":"Integrated Pest Management Using the Sterile Insect Technique","URL":"https://www.iaea.org/sites/default/files/sit-brochure.pdf","author":[{"literal":"FAO"},{"literal":"AEG"}],"issued":{"date-parts":[["2016"]]}},"label":"page"}],"schema":"https://github.com/citation-style-language/schema/raw/master/csl-citation.json"} </w:instrText>
      </w:r>
      <w:r w:rsidR="00DA6B3F" w:rsidRPr="00837161">
        <w:fldChar w:fldCharType="separate"/>
      </w:r>
      <w:r w:rsidR="00271B78" w:rsidRPr="00271B78">
        <w:t>(FAO &amp; AEG, 2016)</w:t>
      </w:r>
      <w:r w:rsidR="00DA6B3F" w:rsidRPr="00837161">
        <w:fldChar w:fldCharType="end"/>
      </w:r>
      <w:r w:rsidRPr="00837161">
        <w:t xml:space="preserve">. </w:t>
      </w:r>
      <w:r w:rsidRPr="00837161">
        <w:rPr>
          <w:lang w:eastAsia="ja-JP"/>
        </w:rPr>
        <w:t xml:space="preserve">The approach was first used in the 1940s to control </w:t>
      </w:r>
      <w:r w:rsidR="06AF8C2A" w:rsidRPr="00837161">
        <w:rPr>
          <w:i/>
          <w:iCs/>
          <w:lang w:eastAsia="en-US"/>
        </w:rPr>
        <w:t>Cochliomyia hominivorax</w:t>
      </w:r>
      <w:r w:rsidR="06AF8C2A" w:rsidRPr="00837161">
        <w:rPr>
          <w:lang w:eastAsia="ja-JP"/>
        </w:rPr>
        <w:t xml:space="preserve"> (New World </w:t>
      </w:r>
      <w:r w:rsidRPr="00837161">
        <w:rPr>
          <w:lang w:eastAsia="ja-JP"/>
        </w:rPr>
        <w:t>screwworm</w:t>
      </w:r>
      <w:r w:rsidRPr="00837161">
        <w:rPr>
          <w:lang w:eastAsia="en-US"/>
        </w:rPr>
        <w:t>)</w:t>
      </w:r>
      <w:r w:rsidRPr="00837161">
        <w:rPr>
          <w:lang w:eastAsia="ja-JP"/>
        </w:rPr>
        <w:t xml:space="preserve"> and subsequently </w:t>
      </w:r>
      <w:r w:rsidR="13D0B089" w:rsidRPr="00837161">
        <w:rPr>
          <w:i/>
          <w:iCs/>
          <w:lang w:eastAsia="en-US"/>
        </w:rPr>
        <w:t>Glossina</w:t>
      </w:r>
      <w:r w:rsidR="13D0B089" w:rsidRPr="00837161">
        <w:rPr>
          <w:lang w:eastAsia="en-US"/>
        </w:rPr>
        <w:t xml:space="preserve"> spp. </w:t>
      </w:r>
      <w:r w:rsidR="4D2F5C7D" w:rsidRPr="00837161">
        <w:rPr>
          <w:lang w:eastAsia="en-US"/>
        </w:rPr>
        <w:t>(</w:t>
      </w:r>
      <w:r w:rsidRPr="00837161">
        <w:rPr>
          <w:lang w:eastAsia="en-US"/>
        </w:rPr>
        <w:t xml:space="preserve">tsetse fly), </w:t>
      </w:r>
      <w:r w:rsidR="5697341C" w:rsidRPr="00837161">
        <w:rPr>
          <w:i/>
          <w:iCs/>
          <w:lang w:eastAsia="en-US"/>
        </w:rPr>
        <w:t>Pectinophora gossypiella</w:t>
      </w:r>
      <w:r w:rsidR="5697341C" w:rsidRPr="00837161">
        <w:rPr>
          <w:lang w:eastAsia="en-US"/>
        </w:rPr>
        <w:t xml:space="preserve"> (</w:t>
      </w:r>
      <w:r w:rsidRPr="00837161">
        <w:rPr>
          <w:lang w:eastAsia="en-US"/>
        </w:rPr>
        <w:t xml:space="preserve">pink bollworm), </w:t>
      </w:r>
      <w:r w:rsidR="45E8BFD4" w:rsidRPr="00837161">
        <w:rPr>
          <w:i/>
          <w:iCs/>
          <w:lang w:eastAsia="en-US"/>
        </w:rPr>
        <w:t>Cydia pomonella</w:t>
      </w:r>
      <w:r w:rsidR="45E8BFD4" w:rsidRPr="00837161">
        <w:rPr>
          <w:lang w:eastAsia="en-US"/>
        </w:rPr>
        <w:t xml:space="preserve"> (</w:t>
      </w:r>
      <w:r w:rsidRPr="00837161">
        <w:rPr>
          <w:lang w:eastAsia="en-US"/>
        </w:rPr>
        <w:t xml:space="preserve">codling moth) and </w:t>
      </w:r>
      <w:r w:rsidR="4D3015D3" w:rsidRPr="00837161">
        <w:rPr>
          <w:i/>
          <w:iCs/>
          <w:lang w:eastAsia="en-US"/>
        </w:rPr>
        <w:t>Delia antiqua</w:t>
      </w:r>
      <w:r w:rsidR="4D3015D3" w:rsidRPr="00837161">
        <w:rPr>
          <w:lang w:eastAsia="en-US"/>
        </w:rPr>
        <w:t xml:space="preserve"> (</w:t>
      </w:r>
      <w:r w:rsidRPr="00837161">
        <w:rPr>
          <w:lang w:eastAsia="en-US"/>
        </w:rPr>
        <w:t xml:space="preserve">onion fly), with recent applications against </w:t>
      </w:r>
      <w:r w:rsidRPr="00837161">
        <w:rPr>
          <w:lang w:eastAsia="ja-JP"/>
        </w:rPr>
        <w:t>mosquitos (</w:t>
      </w:r>
      <w:r w:rsidR="1693A85B" w:rsidRPr="00837161">
        <w:rPr>
          <w:lang w:eastAsia="ja-JP"/>
        </w:rPr>
        <w:t xml:space="preserve">e.g., </w:t>
      </w:r>
      <w:r w:rsidRPr="00837161">
        <w:rPr>
          <w:i/>
          <w:iCs/>
        </w:rPr>
        <w:t>Aedes aegypti</w:t>
      </w:r>
      <w:r w:rsidR="00DF12F3" w:rsidRPr="00837161">
        <w:rPr>
          <w:i/>
          <w:iCs/>
        </w:rPr>
        <w:t xml:space="preserve"> </w:t>
      </w:r>
      <w:r w:rsidR="00DF12F3" w:rsidRPr="00837161">
        <w:t>(yellow fever mosquito)</w:t>
      </w:r>
      <w:r w:rsidRPr="00837161">
        <w:t xml:space="preserve">, </w:t>
      </w:r>
      <w:r w:rsidRPr="00837161">
        <w:rPr>
          <w:i/>
          <w:iCs/>
        </w:rPr>
        <w:t>Aedes albopictus</w:t>
      </w:r>
      <w:r w:rsidR="58069EF8" w:rsidRPr="00837161">
        <w:rPr>
          <w:i/>
          <w:iCs/>
        </w:rPr>
        <w:t xml:space="preserve"> </w:t>
      </w:r>
      <w:r w:rsidR="009F1FD8" w:rsidRPr="00837161">
        <w:t>(</w:t>
      </w:r>
      <w:r w:rsidR="58069EF8" w:rsidRPr="00837161">
        <w:t>Asian tiger mosquito</w:t>
      </w:r>
      <w:r w:rsidR="009F1FD8" w:rsidRPr="00837161">
        <w:t>)</w:t>
      </w:r>
      <w:r w:rsidRPr="00837161">
        <w:t xml:space="preserve">) as vectors of arbovirus diseases </w:t>
      </w:r>
      <w:r w:rsidR="00F65CFF">
        <w:t xml:space="preserve">(e.g., </w:t>
      </w:r>
      <w:r w:rsidRPr="00837161">
        <w:t>Dengue fever</w:t>
      </w:r>
      <w:r w:rsidR="005A02D3">
        <w:t>)</w:t>
      </w:r>
      <w:r w:rsidRPr="00837161">
        <w:rPr>
          <w:lang w:eastAsia="ja-JP"/>
        </w:rPr>
        <w:t xml:space="preserve"> </w:t>
      </w:r>
      <w:r w:rsidRPr="00837161">
        <w:rPr>
          <w:lang w:eastAsia="ja-JP"/>
        </w:rPr>
        <w:fldChar w:fldCharType="begin"/>
      </w:r>
      <w:r w:rsidR="00672B59">
        <w:rPr>
          <w:lang w:eastAsia="ja-JP"/>
        </w:rPr>
        <w:instrText xml:space="preserve"> ADDIN ZOTERO_ITEM CSL_CITATION {"citationID":"AIyMmSud","properties":{"formattedCitation":"(Dyck et al., 2005; Poncio et al., 2019)","plainCitation":"(Dyck et al., 2005; Poncio et al., 2019)","noteIndex":0},"citationItems":[{"id":24335,"uris":["http://zotero.org/groups/2352922/items/XEERHG4S"],"itemData":{"id":24335,"type":"book","call-number":"SB933.6 .S74 2005","edition":"1","event-place":"Dordrecht, Netherlands","ISBN":"978-1-4020-4050-4","language":"en","note":"DOI: 10.1007/1-4020-4051-2\nOCLC: ocm64228463","number-of-pages":"787","publisher":"Springer","publisher-place":"Dordrecht, Netherlands","source":"Library of Congress ISBN","title":"Sterile insect technique: principles and practice in area-wide integrated pest management","title-short":"Sterile insect technique","editor":[{"family":"Dyck","given":"Victor Arnold"},{"family":"Hendrichs","given":"J."},{"family":"Robinson","given":"A. S."}],"issued":{"date-parts":[["2005"]]}},"label":"page"},{"id":60401,"uris":["http://zotero.org/groups/2352922/items/MR9CTRUQ","http://zotero.org/groups/2352922/items/3RTU47DJ"],"itemData":{"id":60401,"type":"article","abstract":"Background Despite extensive efforts to prevent recurrent Aedes-borne arbovirus epidemics, there is a steady rise in their global incidence. Vaccines/treatments show very limited efficacy and together with the emergence of mosquito resistance to insecticides, it has become urgent to develop alternative solutions for efficient, sustainable and environmentally benign mosquito vector control. Here we present a new Sterile Insect Technology (SIT)-based program that uses large-scale releases of sterile male mosquitoes produced by a highly effective, safe and environmentally benign method.\nMethods and findings To test the efficacy of this approach, a field trial was conducted in a Brazilian city (Jacarezinho), which presented a history of 3 epidemics of dengue in the past decade. Sterile male mosquitoes were produced from a locally acquired Aedes aegypti colony, and releases were carried out on a weekly basis for seven months in a predefined area. This treated area was matched to a control area, in terms of size, layout, historic mosquito infestation index, socioeconomic patterns and comparable prevalence of dengue cases in past outbreaks. Releases of sterile male mosquitoes resulted in up to 91.4% reduction of live progeny of field Ae. aegypti mosquitoes recorded over time. The reduction in the mosquito population was corroborated by the standard monitoring system (LIRAa index) as determined by the local municipality, which found that our treated neighborhoods were almost free of Ae. aegypti mosquitoes after 5 months of release, whereas neighborhoods adjacent to the treated area and the control neighborhoods were highly infested. Importantly, when a dengue outbreak started in Jacarezinho in March 2019, the effective mosquito population suppression was shown to be associated with a far lower incidence of dengue in the treated area (16 cases corresponding to 264 cases per 100,000 inhabitants) almost 16 times lower than the dengue incidence in the control area (198 cases corresponding to 4,360 dengue cases per 100,000 inhabitants).\nConclusions Our data present the first demonstration that a SIT-based intervention has the potential to prevent the spread of dengue, opening exciting new opportunities for preventing mosquito-borne disease.","DOI":"10.1101/19010678","language":"en","license":"© 2019, Posted by Cold Spring Harbor Laboratory. This pre-print is available under a Creative Commons License (Attribution-NonCommercial-NoDerivs 4.0 International), CC BY-NC-ND 4.0, as described at http://creativecommons.org/licenses/by-nc-nd/4.0/","note":"page: 19010678","publisher":"medRxiv","source":"medRxiv","title":"Successful suppression of a field population of &lt;i&gt;Ae. aegypti&lt;/i&gt; mosquitoes using a novel biological vector control strategy is associated with significantly lower incidence of dengue","URL":"https://www.medrxiv.org/content/10.1101/19010678v1","author":[{"family":"Poncio","given":"Lisiane C."},{"family":"Anjos","given":"Filipe A.","dropping-particle":"dos"},{"family":"Oliveira","given":"Deborah A.","dropping-particle":"de"},{"family":"Rebechi","given":"Débora"},{"family":"Oliveira","given":"Rodrigo N.","dropping-particle":"de"},{"family":"Chitolina","given":"Rodrigo F."},{"family":"Fermino","given":"Marise L."},{"family":"Bernardes","given":"Luciano G."},{"family":"Guimarães","given":"Danton"},{"family":"Lemos","given":"Pedro A."},{"family":"Silva","given":"Marcelo N. E."},{"family":"Silvestre","given":"Rodrigo G. M."},{"family":"Bernardes","given":"Emerson S."},{"family":"Paldi","given":"Nitzan"}],"accessed":{"date-parts":[["2023",10,19]]},"issued":{"date-parts":[["2019",11,6]]}},"label":"page"}],"schema":"https://github.com/citation-style-language/schema/raw/master/csl-citation.json"} </w:instrText>
      </w:r>
      <w:r w:rsidRPr="00837161">
        <w:rPr>
          <w:lang w:eastAsia="ja-JP"/>
        </w:rPr>
        <w:fldChar w:fldCharType="separate"/>
      </w:r>
      <w:r w:rsidR="00672B59" w:rsidRPr="00672B59">
        <w:t>(Dyck et al., 2005; Poncio et al., 2019)</w:t>
      </w:r>
      <w:r w:rsidRPr="00837161">
        <w:rPr>
          <w:lang w:eastAsia="ja-JP"/>
        </w:rPr>
        <w:fldChar w:fldCharType="end"/>
      </w:r>
      <w:r w:rsidRPr="00837161">
        <w:rPr>
          <w:lang w:eastAsia="ja-JP"/>
        </w:rPr>
        <w:t xml:space="preserve">. The technique has also been applied to crayfish </w:t>
      </w:r>
      <w:r w:rsidRPr="00837161">
        <w:rPr>
          <w:lang w:eastAsia="ja-JP"/>
        </w:rPr>
        <w:fldChar w:fldCharType="begin"/>
      </w:r>
      <w:r w:rsidR="000F35EB">
        <w:rPr>
          <w:lang w:eastAsia="ja-JP"/>
        </w:rPr>
        <w:instrText xml:space="preserve"> ADDIN ZOTERO_ITEM CSL_CITATION {"citationID":"0he0WAG6","properties":{"formattedCitation":"(Aquiloni et al., 2009)","plainCitation":"(Aquiloni et al., 2009)","noteIndex":0},"citationItems":[{"id":30185,"uris":["http://zotero.org/groups/2352922/items/S7XIVDGH"],"itemData":{"id":30185,"type":"article-journal","container-title":"Freshwater Biology","DOI":"https://doi.org/10.1111/j.1365-2427.2009.02169.x","issue":"7","note":"ISBN: 0046-5070\npublisher: Wiley Online Library","page":"1510-1519","title":"Managi</w:instrText>
      </w:r>
      <w:r w:rsidR="000F35EB">
        <w:rPr>
          <w:rFonts w:hint="eastAsia"/>
          <w:lang w:eastAsia="ja-JP"/>
        </w:rPr>
        <w:instrText>ng invasive crayfish: use of X</w:instrText>
      </w:r>
      <w:r w:rsidR="000F35EB">
        <w:rPr>
          <w:rFonts w:hint="eastAsia"/>
          <w:lang w:eastAsia="ja-JP"/>
        </w:rPr>
        <w:instrText>‐</w:instrText>
      </w:r>
      <w:r w:rsidR="000F35EB">
        <w:rPr>
          <w:rFonts w:hint="eastAsia"/>
          <w:lang w:eastAsia="ja-JP"/>
        </w:rPr>
        <w:instrText>ray sterilisation of males","volume":"54","author":[{"family":"Aquiloni","given":"Laura"},{"family":"Becciolini","given":"Aldo"},{"family":"Berti","given":"Roberto"},{"family":"Porciani","given":"Sauro"},{"family":"Trunfio",</w:instrText>
      </w:r>
      <w:r w:rsidR="000F35EB">
        <w:rPr>
          <w:lang w:eastAsia="ja-JP"/>
        </w:rPr>
        <w:instrText xml:space="preserve">"given":"Carmen"},{"family":"Gherardi","given":"Francesca"}],"issued":{"date-parts":[["2009"]]}},"label":"page"}],"schema":"https://github.com/citation-style-language/schema/raw/master/csl-citation.json"} </w:instrText>
      </w:r>
      <w:r w:rsidRPr="00837161">
        <w:rPr>
          <w:lang w:eastAsia="ja-JP"/>
        </w:rPr>
        <w:fldChar w:fldCharType="separate"/>
      </w:r>
      <w:r w:rsidR="00271B78" w:rsidRPr="00271B78">
        <w:t>(Aquiloni et al., 2009)</w:t>
      </w:r>
      <w:r w:rsidRPr="00837161">
        <w:rPr>
          <w:lang w:eastAsia="ja-JP"/>
        </w:rPr>
        <w:fldChar w:fldCharType="end"/>
      </w:r>
      <w:r w:rsidRPr="00837161">
        <w:rPr>
          <w:lang w:eastAsia="ja-JP"/>
        </w:rPr>
        <w:t xml:space="preserve">. </w:t>
      </w:r>
      <w:r w:rsidRPr="00837161">
        <w:t>The technique requires the production and release of enough sterile males to achieve at least 50</w:t>
      </w:r>
      <w:r w:rsidR="006215F0" w:rsidRPr="00837161">
        <w:t xml:space="preserve"> per cent</w:t>
      </w:r>
      <w:r w:rsidRPr="00837161">
        <w:t xml:space="preserve"> of all matings by wild females and to compensate for loss of fitness caused by the irradiation treatment </w:t>
      </w:r>
      <w:r w:rsidRPr="00837161">
        <w:fldChar w:fldCharType="begin"/>
      </w:r>
      <w:r w:rsidR="000F35EB">
        <w:instrText xml:space="preserve"> ADDIN ZOTERO_ITEM CSL_CITATION {"citationID":"iYaiJMOf","properties":{"formattedCitation":"(Helinski &amp; Knols, 2008; Holbrook &amp; Fujimoto, 1970; Mayer et al., 1998)","plainCitation":"(Helinski &amp; Knols, 2008; Holbrook &amp; Fujimoto, 1970; Mayer et al., 1998)","noteIndex":0},"citationItems":[{"id":24419,"uris":["http://zotero.org/groups/2352922/items/MZ57C782"],"itemData":{"id":24419,"type":"article-journal","abstract":"Abstract.  Male mating competitiveness is a crucial parameter in many genetic control programs including the sterile insect technique (SIT). We evaluated compet","container-title":"Journal of Medical Entomology","DOI":"10.1093/jmedent/45.4.698","ISSN":"0022-2585","issue":"4","journalAbbreviation":"J Med Entomol","language":"en","note":"publisher: Oxford Academic","page":"698-705","source":"academic.oup.com","title":"Mating Competitiveness of Male &lt;i&gt;Anopheles arabiensis&lt;/i&gt; Mosquitoes Irradiated with a Partially or Fully Sterilizing Dose in Small and Large Laboratory Cages","URL":"https://academic.oup.com/jme/article/45/4/698/883355","volume":"45","author":[{"family":"Helinski","given":"M. E. H."},{"family":"Knols","given":"B. G. J."}],"accessed":{"date-parts":[["2020",8,17]]},"issued":{"date-parts":[["2008",7,1]]}},"label":"page"},{"id":16754,"uris":["http://zotero.org/groups/2352922/items/ATB59KAV"],"itemData":{"id":16754,"type":"article-journal","abstract":"Abstract.  In tests in Hawaii in 1968, the mating competitiveness of male Ceratitis capitata (Wiedemann), reared in the laboratory and treated with 10,000 rad g","container-title":"Journal of Economic Entomology","DOI":"10.1093/jee/63.4.1175","ISSN":"0022-0493","issue":"4","journalAbbreviation":"J Econ Entomol","language":"en","page":"1175-1176","source":"academic.oup.com","title":"Mating Competitiveness of Unirradiated and Irradiated Mediterranean Fruit Flies","URL":"https://academic.oup.com/jee/article/63/4/1175/2209777","volume":"63","author":[{"family":"Holbrook","given":"F. R."},{"family":"Fujimoto","given":"M. S."}],"accessed":{"date-parts":[["2019",12,9]]},"issued":{"date-parts":[["1970",8,1]]}},"label":"page"},{"id":24448,"uris":["http://zotero.org/groups/2352922/items/CNLRSS3S"],"itemData":{"id":24448,"type":"article-journal","abstract":"Should the screwworm fly invade Australia, the sterile insect technique (as used successfully overseas) is currently the only feasible method of eradication. Used in conjunction with chemical control methods, it relies on large numbers of factory-reared, sterilized males competing successfully with wild males for the wild females. However, laboratory and field studies have shown that the processes of mass rearing, irradiation and distribution seriously impair the competitiveness of the sterilized flies. This study collates and analyses the relatively sparse information on the relative mating competitiveness of sterilized screwworm flies, from both controlled experiments and large-scale field studies. A population dynamics example then demonstrates that competitiveness will be a key parameter in the effectiveness and economic feasibility of any future eradication campaign.","container-title":"Preventive Veterinary Medicine","DOI":"10.1016/S0167-5877(98)00078-6","ISSN":"0167-5877","issue":"1","journalAbbreviation":"Preventive Veterinary Medicine","language":"en","page":"1-9","source":"ScienceDirect","title":"Mating competitiveness of irradiated flies for screwworm fly eradication campaigns","URL":"http://www.sciencedirect.com/science/article/pii/S0167587798000786","volume":"36","author":[{"family":"Mayer","given":"David G."},{"family":"Atzeni","given":"Michael G."},{"family":"Stuart","given":"Megan A."},{"family":"Anaman","given":"Kwabena A."},{"family":"Butler","given":"David G."}],"accessed":{"date-parts":[["2019",12,9]]},"issued":{"date-parts":[["1998",7,17]]}},"label":"page"}],"schema":"https://github.com/citation-style-language/schema/raw/master/csl-citation.json"} </w:instrText>
      </w:r>
      <w:r w:rsidRPr="00837161">
        <w:fldChar w:fldCharType="separate"/>
      </w:r>
      <w:r w:rsidR="00271B78" w:rsidRPr="00271B78">
        <w:t>(Helinski &amp; Knols, 2008; Holbrook &amp; Fujimoto, 1970; Mayer et al., 1998)</w:t>
      </w:r>
      <w:r w:rsidRPr="00837161">
        <w:fldChar w:fldCharType="end"/>
      </w:r>
      <w:r w:rsidRPr="00837161">
        <w:t xml:space="preserve"> and is also considered more effective if females are not released </w:t>
      </w:r>
      <w:r w:rsidRPr="00837161">
        <w:fldChar w:fldCharType="begin"/>
      </w:r>
      <w:r w:rsidR="00E25D54">
        <w:instrText xml:space="preserve"> ADDIN ZOTERO_ITEM CSL_CITATION {"citationID":"cMz4HDC5","properties":{"formattedCitation":"(Dyck et al., 2005; A. S. Robinson, 2002)","plainCitation":"(Dyck et al., 2005; A. S. Robinson, 2002)","noteIndex":0},"citationItems":[{"id":24335,"uris":["http://zotero.org/groups/2352922/items/XEERHG4S"],"itemData":{"id":24335,"type":"book","call-number":"SB933.6 .S74 2005","edition":"1","event-place":"Dordrecht, Netherlands","ISBN":"978-1-4020-4050-4","language":"en","note":"DOI: 10.1007/1-4020-4051-2\nOCLC: ocm64228463","number-of-pages":"787","publisher":"Springer","publisher-place":"Dordrecht, Netherlands","source":"Library of Congress ISBN","title":"Sterile insect technique: principles and practice in area-wide integrated pest management","title-short":"Sterile insect technique","editor":[{"family":"Dyck","given":"Victor Arnold"},{"family":"Hendrichs","given":"J."},{"family":"Robinson","given":"A. S."}],"issued":{"date-parts":[["2005"]]}},"label":"page"},{"id":16753,"uris":["http://zotero.org/groups/2352922/items/2JIWXVHP"],"itemData":{"id":16753,"type":"article-journal","abstract":"The introduction of genetic sexing strains (GSS) into medfly, Ceratitis capitata(Wiedemann), sterile insect technique (SIT) programmes started in 1994 and it was accompanied by extensive evaluation of the strains both in field cages and in open field situations. Two male-linked translocation systems, one based on pupal colour, wp, and the other based on temperature sensitivity, tsl, have been used in medfly SIT programmes and they have quite different impacts on mass rearing strategy. In strains based on tsl, female zygotes are killed using high temperature and for wpstrains, female and male pupae are separated based on their colour. In all these systems the colony females are homozygous for the mutation requiring that the mutation is not too deleterious and the males are also semi-sterile due to the presence of a male-linked translocation. Managing strain stability during large-scale mass rearing has presented some problems that have been essentially solved by selecting particular translocations for GSS and by the introduction of a filter rearing system (FRS). The FRS operates by removing from the colony any recombinant individuals that threaten the integrity of the strain. The use of GSS opens up the possibility of using the SIT for suppression as opposed to eradication and different radiation strategies can be considered. Some of the many field trials of the strains that were carried out before the strains were introduced into operational programmes are reviewed and an overview is given of their current use.","container-title":"Genetica","DOI":"10.1023/A:1020951407069","ISSN":"1573-6857","issue":"1","journalAbbreviation":"Genetica","language":"en","page":"5-13","source":"Springer Link","title":"Genetic Sexing Strains in Medfly, &lt;i&gt;Ceratitis capitata&lt;/i&gt;, Sterile Insect Technique Programmes","URL":"https://doi.org/10.1023/A:1020951407069","volume":"116","author":[{"family":"Robinson","given":"A.S."}],"accessed":{"date-parts":[["2019",12,9]]},"issued":{"date-parts":[["2002",9,1]]}},"label":"page"}],"schema":"https://github.com/citation-style-language/schema/raw/master/csl-citation.json"} </w:instrText>
      </w:r>
      <w:r w:rsidRPr="00837161">
        <w:fldChar w:fldCharType="separate"/>
      </w:r>
      <w:r w:rsidR="00271B78" w:rsidRPr="00271B78">
        <w:t>(Dyck et al., 2005; A. S. Robinson, 2002)</w:t>
      </w:r>
      <w:r w:rsidRPr="00837161">
        <w:fldChar w:fldCharType="end"/>
      </w:r>
      <w:r w:rsidRPr="00837161">
        <w:t xml:space="preserve">. With the advent of modern genetics of fertility novel approaches could broaden out Sterile Insect Technique to a range of other invasive alien invertebrate targets </w:t>
      </w:r>
      <w:r w:rsidRPr="00837161">
        <w:rPr>
          <w:color w:val="44546A" w:themeColor="text2"/>
        </w:rPr>
        <w:fldChar w:fldCharType="begin"/>
      </w:r>
      <w:r w:rsidR="000F35EB">
        <w:rPr>
          <w:color w:val="44546A" w:themeColor="text2"/>
        </w:rPr>
        <w:instrText xml:space="preserve"> ADDIN ZOTERO_ITEM CSL_CITATION {"citationID":"gqTDn2DN","properties":{"formattedCitation":"(Choo et al., 2018)","plainCitation":"(Choo et al., 2018)","noteIndex":0},"citationItems":[{"id":23748,"uris":["http://zotero.org/groups/2352922/items/BQFGB5FV"],"itemData":{"id":23748,"type":"article-journal","abstract":"The Queensland fruit fly, Bactrocera tryoni (Froggatt), is a polyphagous horticultural pest in Australia that is capable of causing significant damage to more than 100 different host fruits and vegetables. Chemical applications and ecological control strategies, such as the sterile insect technique (SIT), are commonly used to suppress established populations and eradicate invasive outbreaks following migration. The recently published B. tryoni draft genome provides new opportunities to identify candidate genes for targeted genome modification in order to generate advanced genetic strains for management using sterile insect strategies. Here, we demonstrate CRISPR/Cas-mediated mutagenesis in B. tryoni through generating a series of frame-shift mutations in the ATP-dependent binding cassette transporter, white, causing a classic white-eye phenotype. This work establishes methods for CRISPR/Cas genome editing in tephritids and demonstrates its potential for developing genetic sexing strains which could be used for SIT-based pest control.","container-title":"Journal of Applied Entomology","DOI":"10.1111/jen.12411","ISSN":"1439-0418","issue":"1-2","language":"en","license":"© 2017 Blackwell Verlag GmbH","note":"_eprint: https://onlinelibrary.wiley.com/doi/pdf/10.1111/jen.12411","page":"52-58","source":"Wiley Online Library","title":"CRISPR/Cas9-mediated mutagenesis of the &lt;i&gt;white&lt;/i&gt; gene in the tephritid pest &lt;i&gt;Bactrocera tryoni&lt;/i&gt;","URL":"https://onlinelibrary.wiley.com/doi/abs/10.1111/jen.12411","volume":"142","author":[{"family":"Choo","given":"A."},{"family":"Crisp","given":"P."},{"family":"Saint","given":"R."},{"family":"O'Keefe","given":"L. V."},{"family":"Baxter","given":"S. W."}],"accessed":{"date-parts":[["2020",8,20]]},"issued":{"date-parts":[["2018"]]}},"label":"page"}],"schema":"https://github.com/citation-style-language/schema/raw/master/csl-citation.json"} </w:instrText>
      </w:r>
      <w:r w:rsidRPr="00837161">
        <w:rPr>
          <w:color w:val="44546A" w:themeColor="text2"/>
        </w:rPr>
        <w:fldChar w:fldCharType="separate"/>
      </w:r>
      <w:r w:rsidR="00271B78" w:rsidRPr="00271B78">
        <w:t>(Choo et al., 2018)</w:t>
      </w:r>
      <w:r w:rsidRPr="00837161">
        <w:rPr>
          <w:color w:val="44546A" w:themeColor="text2"/>
        </w:rPr>
        <w:fldChar w:fldCharType="end"/>
      </w:r>
      <w:r w:rsidRPr="00837161">
        <w:t>. Sterile insect technique is frequently used as part of integrated pest management strategy, in combination with insecticides and baiting strategies.</w:t>
      </w:r>
      <w:r w:rsidR="036E8E5F" w:rsidRPr="00837161">
        <w:t xml:space="preserve"> See </w:t>
      </w:r>
      <w:r w:rsidR="002F2F42">
        <w:rPr>
          <w:b/>
          <w:iCs/>
        </w:rPr>
        <w:t>S</w:t>
      </w:r>
      <w:r w:rsidR="036E8E5F" w:rsidRPr="00C33F92">
        <w:rPr>
          <w:b/>
          <w:iCs/>
        </w:rPr>
        <w:t>upplementary material 5.</w:t>
      </w:r>
      <w:r w:rsidR="07CA5060" w:rsidRPr="00C33F92">
        <w:rPr>
          <w:b/>
          <w:iCs/>
        </w:rPr>
        <w:t>7</w:t>
      </w:r>
      <w:r w:rsidR="036E8E5F" w:rsidRPr="00837161">
        <w:t xml:space="preserve"> for further details. </w:t>
      </w:r>
    </w:p>
    <w:p w14:paraId="2B10C882" w14:textId="77777777" w:rsidR="001B0409" w:rsidRPr="00837161" w:rsidRDefault="27514EC9" w:rsidP="0079215C">
      <w:pPr>
        <w:pStyle w:val="Heading4"/>
      </w:pPr>
      <w:r w:rsidRPr="00837161">
        <w:t xml:space="preserve">Viral biological control of invasive alien vertebrates </w:t>
      </w:r>
    </w:p>
    <w:bookmarkEnd w:id="405"/>
    <w:p w14:paraId="3DE8FBA4" w14:textId="05BB8CAA" w:rsidR="007C770C" w:rsidRPr="00837161" w:rsidRDefault="127C8D6D" w:rsidP="00C11DFA">
      <w:pPr>
        <w:spacing w:before="240" w:after="120" w:line="240" w:lineRule="auto"/>
      </w:pPr>
      <w:r w:rsidRPr="00837161">
        <w:t>Viral biological control is a special case of classical biological control where the classical biological control agent is a taxon</w:t>
      </w:r>
      <w:r w:rsidR="7208E663" w:rsidRPr="00837161">
        <w:t>-</w:t>
      </w:r>
      <w:r w:rsidRPr="00837161">
        <w:t xml:space="preserve">specific virus </w:t>
      </w:r>
      <w:r w:rsidR="1BA8AEC7" w:rsidRPr="00837161">
        <w:t>(critical</w:t>
      </w:r>
      <w:r w:rsidR="00C74BED" w:rsidRPr="00837161">
        <w:t>),</w:t>
      </w:r>
      <w:r w:rsidR="1BA8AEC7" w:rsidRPr="00837161">
        <w:t xml:space="preserve"> </w:t>
      </w:r>
      <w:r w:rsidRPr="00837161">
        <w:t xml:space="preserve">and the target invasive </w:t>
      </w:r>
      <w:r w:rsidR="6302283A" w:rsidRPr="00837161">
        <w:rPr>
          <w:rFonts w:eastAsia="Times New Roman"/>
        </w:rPr>
        <w:t xml:space="preserve">alien </w:t>
      </w:r>
      <w:r w:rsidRPr="00837161">
        <w:t xml:space="preserve">species is (in general) an invasive alien vertebrate. </w:t>
      </w:r>
      <w:r w:rsidR="29B92AE1" w:rsidRPr="00837161">
        <w:rPr>
          <w:lang w:eastAsia="ja-JP"/>
        </w:rPr>
        <w:t xml:space="preserve">Viral biological control is predicated on the discovery of a suitable </w:t>
      </w:r>
      <w:r w:rsidR="7208E663" w:rsidRPr="00837161">
        <w:rPr>
          <w:lang w:eastAsia="ja-JP"/>
        </w:rPr>
        <w:t xml:space="preserve">viral </w:t>
      </w:r>
      <w:r w:rsidR="29B92AE1" w:rsidRPr="00837161">
        <w:rPr>
          <w:lang w:eastAsia="ja-JP"/>
        </w:rPr>
        <w:t>agent</w:t>
      </w:r>
      <w:r w:rsidR="7208E663" w:rsidRPr="00837161">
        <w:rPr>
          <w:lang w:eastAsia="ja-JP"/>
        </w:rPr>
        <w:t xml:space="preserve"> and </w:t>
      </w:r>
      <w:r w:rsidR="1E8E5E89" w:rsidRPr="00837161">
        <w:t xml:space="preserve">is generally most effective when the invasive vertebrate target is </w:t>
      </w:r>
      <w:r w:rsidR="2FA823FC" w:rsidRPr="00837161">
        <w:t>an</w:t>
      </w:r>
      <w:r w:rsidR="1E8E5E89" w:rsidRPr="00837161">
        <w:t xml:space="preserve"> animal population naïve to the pathogen. </w:t>
      </w:r>
      <w:r w:rsidR="288A760B" w:rsidRPr="00837161">
        <w:t xml:space="preserve">Such pathogens also require high virulence, transmissibility and relative humaneness in the method and speed of kill (when compared to other approved control methods). </w:t>
      </w:r>
      <w:r w:rsidR="1E8E5E89" w:rsidRPr="00837161">
        <w:t xml:space="preserve">Over time resistance builds up to an equilibrium of lower viral pathogenicity or virulence as individual and </w:t>
      </w:r>
      <w:r w:rsidR="00FD78E5" w:rsidRPr="00837161">
        <w:t>“</w:t>
      </w:r>
      <w:r w:rsidR="1E8E5E89" w:rsidRPr="00837161">
        <w:t>herd</w:t>
      </w:r>
      <w:r w:rsidR="00FD78E5" w:rsidRPr="00837161">
        <w:t>”</w:t>
      </w:r>
      <w:r w:rsidR="1E8E5E89" w:rsidRPr="00837161">
        <w:t xml:space="preserve"> (population-level) immunity develops. Therefore</w:t>
      </w:r>
      <w:r w:rsidR="74CC7A3C" w:rsidRPr="00837161">
        <w:t>,</w:t>
      </w:r>
      <w:r w:rsidR="1E8E5E89" w:rsidRPr="00837161">
        <w:t xml:space="preserve"> viral biological control program</w:t>
      </w:r>
      <w:r w:rsidR="394599E4" w:rsidRPr="00837161">
        <w:t>me</w:t>
      </w:r>
      <w:r w:rsidR="1E8E5E89" w:rsidRPr="00837161">
        <w:t xml:space="preserve">s need a long-term strategy to find new more virulent viral strains for re-release to resuppress target population </w:t>
      </w:r>
      <w:r w:rsidR="001B0409" w:rsidRPr="00837161">
        <w:fldChar w:fldCharType="begin"/>
      </w:r>
      <w:r w:rsidR="000F35EB">
        <w:instrText xml:space="preserve"> ADDIN ZOTERO_ITEM CSL_CITATION {"citationID":"HzIgHzOr","properties":{"formattedCitation":"(Cox et al., 2013; McColl et al., 2016)","plainCitation":"(Cox et al., 2013; McColl et al., 2016)","noteIndex":0},"citationItems":[{"id":23745,"uris":["http://zotero.org/groups/2352922/items/7PBVES8U"],"itemData":{"id":23745,"type":"book","event-place":"Canberra, Australia","ISBN":"978-1-921777-64-6","language":"en","note":"OCLC: 895069980","publisher":"Invasive Animals Cooperative Research Centre","publisher-place":"Canberra, Australia","source":"Open WorldCat","title":"Benefits of Rabbit biocontrol in Australia","URL":"https://www.pestsmart.org.au/wp-content/uploads/2014/03/RabbitBiocontrol.pdf","author":[{"family":"Cox","given":"Tarnya"},{"family":"Strive","given":"Tanja"},{"family":"Mutze","given":"Greg"},{"family":"West","given":"Peter"},{"family":"Saunders","given":"G"}],"issued":{"date-parts":[["2013"]]}},"label":"page"},{"id":30368,"uris":["http://zotero.org/groups/2352922/items/GTZ5GNCX"],"itemData":{"id":30368,"type":"article-journal","container-title":"Virology Journal","DOI":"10.1186/s12985-016-0666-4","ISSN":"1743-422X","issue":"1","journalAbbreviation":"Virol J","language":"en","page":"206","source":"DOI.org (Crossref)","title":"Cyprinid herpesvirus 3 and its evolutionary future as a biological control agent for carp in Australia","URL":"http://virologyj.biomedcentral.com/articles/10.1186/s12985-016-0666-4","volume":"13","author":[{"family":"McColl","given":"Kenneth A."},{"family":"Sunarto","given":"Agus"},{"family":"Holmes","given":"Edward C."}],"accessed":{"date-parts":[["2020",8,17]]},"issued":{"date-parts":[["2016",12]]}},"label":"page"}],"schema":"https://github.com/citation-style-language/schema/raw/master/csl-citation.json"} </w:instrText>
      </w:r>
      <w:r w:rsidR="001B0409" w:rsidRPr="00837161">
        <w:fldChar w:fldCharType="separate"/>
      </w:r>
      <w:r w:rsidR="00271B78" w:rsidRPr="00271B78">
        <w:t>(Cox et al., 2013; McColl et al., 2016)</w:t>
      </w:r>
      <w:r w:rsidR="001B0409" w:rsidRPr="00837161">
        <w:fldChar w:fldCharType="end"/>
      </w:r>
      <w:r w:rsidR="1E8E5E89" w:rsidRPr="00837161">
        <w:t>. As with classical biological control</w:t>
      </w:r>
      <w:r w:rsidR="786D1D86" w:rsidRPr="00837161">
        <w:t>,</w:t>
      </w:r>
      <w:r w:rsidR="1E8E5E89" w:rsidRPr="00837161">
        <w:t xml:space="preserve"> viral-based approaches rarely eradicate a widely established target population. The best results will be obtained when viral biological control is one component of an integrated pest-management strategy that includes other (conventional or novel) approaches.</w:t>
      </w:r>
      <w:r w:rsidR="1AA23629" w:rsidRPr="00837161">
        <w:t xml:space="preserve"> Viral biolog</w:t>
      </w:r>
      <w:r w:rsidR="5BCA5887" w:rsidRPr="00837161">
        <w:t>i</w:t>
      </w:r>
      <w:r w:rsidR="1AA23629" w:rsidRPr="00837161">
        <w:t xml:space="preserve">cal control </w:t>
      </w:r>
      <w:r w:rsidR="005E6672" w:rsidRPr="00837161">
        <w:t>depends on</w:t>
      </w:r>
      <w:r w:rsidR="1AA23629" w:rsidRPr="00837161">
        <w:t xml:space="preserve"> strong </w:t>
      </w:r>
      <w:r w:rsidR="005E6672" w:rsidRPr="00837161">
        <w:t xml:space="preserve">public </w:t>
      </w:r>
      <w:r w:rsidR="01BC4908" w:rsidRPr="00837161">
        <w:t>sup</w:t>
      </w:r>
      <w:r w:rsidR="7523BD1F" w:rsidRPr="00837161">
        <w:t>p</w:t>
      </w:r>
      <w:r w:rsidR="01BC4908" w:rsidRPr="00837161">
        <w:t>ort and a</w:t>
      </w:r>
      <w:r w:rsidR="2C36AEE2" w:rsidRPr="00837161">
        <w:t xml:space="preserve"> bespoke </w:t>
      </w:r>
      <w:r w:rsidR="20CFF463" w:rsidRPr="00837161">
        <w:t>n</w:t>
      </w:r>
      <w:r w:rsidR="01BC4908" w:rsidRPr="00837161">
        <w:t xml:space="preserve">ational </w:t>
      </w:r>
      <w:r w:rsidR="1AA23629" w:rsidRPr="00837161">
        <w:t xml:space="preserve">regulatory </w:t>
      </w:r>
      <w:r w:rsidR="01BC4908" w:rsidRPr="00837161">
        <w:t xml:space="preserve">system </w:t>
      </w:r>
      <w:r w:rsidR="2C36AEE2" w:rsidRPr="00837161">
        <w:t>to vet the non-target and any other environmental risks or international concerns</w:t>
      </w:r>
      <w:r w:rsidR="6CC79920" w:rsidRPr="00837161">
        <w:t xml:space="preserve"> </w:t>
      </w:r>
      <w:r w:rsidR="001B0409" w:rsidRPr="00837161">
        <w:fldChar w:fldCharType="begin"/>
      </w:r>
      <w:r w:rsidR="000F35EB">
        <w:instrText xml:space="preserve"> ADDIN ZOTERO_ITEM CSL_CITATION {"citationID":"EaQEbSFi","properties":{"formattedCitation":"(Cooke &amp; Fenner, 2002)","plainCitation":"(Cooke &amp; Fenner, 2002)","noteIndex":0},"citationItems":[{"id":30986,"uris":["http://zotero.org/groups/2352922/items/DFPFIM5A"],"itemData":{"id":30986,"type":"article-journal","abstract":"This review considers the history of the discovery of the rabbit haemorrhagic disease virus (RHDV) and its spread throughout the world in domestic and wild rabbits, which led eventually to its deliberate release into Australia and New Zealand for the control of a major pest, the introduced wild rabbit. The physical and genetic structure of RHDV is now well understood, and its pathogenic effects are also well known. The epidemiology of rabbit haemorrhagic disease (RHD) has been clearly documented in the field in European countries, Australia and New Zealand. Since its initial spread through largely naïve populations of wild rabbits it has established a pattern of mainly annual epizootics in most areas. The timing of epizootics is dependent on climatic variables that determine when rabbits reproduce and the appearance of new, susceptible rabbits in the population. The activity of RHDV is also influenced by climatic extremes that presumably affect its persistence and the behaviour of insect vectors, and evidence is growing that pre-existing RHDV-like viruses in some parts of Australia may interact with RHDV, reducing its effectiveness. The timing of epizootics is further modified by the resistance to RHD shown by young rabbits below 5 weeks of age and the presence of protective maternal antibodies that also protect against fatal RHD. RHD has reduced rabbit abundance, particularly in dry regions, but rabbits in cooler, high-rainfall areas have been able to maintain their populations. In Australia and New Zealand, RHD has raised the prospects for managing rabbits in low rainfall areas and brought substantial economic and environmental benefits.","container-title":"Wildlife Research","DOI":"10.1071/wr02010","ISSN":"1448-5494","issue":"6","journalAbbreviation":"Wildl. Res.","language":"en","note":"publisher: CSIRO PUBLISHING","page":"689-706","source":"www.publish.csiro.au","title":"Rabbit haemorrhagic disease and the biological control of wild rabbits, &lt;i&gt;Oryctolagus cuniculus&lt;/i&gt;, in Australia and New Zealand","URL":"https://www.publish.csiro.au/wr/wr02010","volume":"29","author":[{"family":"Cooke","given":"Brian Douglas"},{"family":"Fenner","given":"F."}],"accessed":{"date-parts":[["2021",11,8]]},"issued":{"date-parts":[["2002"]]}},"label":"page"}],"schema":"https://github.com/citation-style-language/schema/raw/master/csl-citation.json"} </w:instrText>
      </w:r>
      <w:r w:rsidR="001B0409" w:rsidRPr="00837161">
        <w:fldChar w:fldCharType="separate"/>
      </w:r>
      <w:r w:rsidR="00271B78" w:rsidRPr="00271B78">
        <w:t>(Cooke &amp; Fenner, 2002)</w:t>
      </w:r>
      <w:r w:rsidR="001B0409" w:rsidRPr="00837161">
        <w:fldChar w:fldCharType="end"/>
      </w:r>
      <w:r w:rsidR="20CFF463" w:rsidRPr="00837161">
        <w:t>.</w:t>
      </w:r>
    </w:p>
    <w:p w14:paraId="2E0AA94E" w14:textId="56BF306D" w:rsidR="001B0409" w:rsidRPr="00837161" w:rsidRDefault="001B0409" w:rsidP="00C11DFA">
      <w:pPr>
        <w:spacing w:before="240" w:after="120" w:line="240" w:lineRule="auto"/>
      </w:pPr>
      <w:r w:rsidRPr="00837161">
        <w:t>This approach has only ever been applied</w:t>
      </w:r>
      <w:r w:rsidR="00DF12F3" w:rsidRPr="00837161">
        <w:t xml:space="preserve"> for alien vertebrates</w:t>
      </w:r>
      <w:r w:rsidRPr="00837161">
        <w:t xml:space="preserve"> in Australia and then carried to New Zealand through the release and natural </w:t>
      </w:r>
      <w:r w:rsidRPr="00837161">
        <w:rPr>
          <w:lang w:eastAsia="ja-JP"/>
        </w:rPr>
        <w:t xml:space="preserve">dissemination </w:t>
      </w:r>
      <w:r w:rsidRPr="00837161">
        <w:t xml:space="preserve">of the myxoma virus (MYXv) </w:t>
      </w:r>
      <w:r w:rsidR="00FF4B78" w:rsidRPr="00837161">
        <w:t>i</w:t>
      </w:r>
      <w:r w:rsidRPr="00837161">
        <w:t xml:space="preserve">n the 1950s and rabbit haemorrhagic disease virus (RHDv) in the 1990s for the viral biological control of </w:t>
      </w:r>
      <w:r w:rsidR="000E3A20" w:rsidRPr="00837161">
        <w:rPr>
          <w:i/>
        </w:rPr>
        <w:t>Oryctolagus cuniculus</w:t>
      </w:r>
      <w:r w:rsidR="000E3A20" w:rsidRPr="00837161">
        <w:t xml:space="preserve"> (</w:t>
      </w:r>
      <w:r w:rsidRPr="00837161">
        <w:t>rabbits</w:t>
      </w:r>
      <w:r w:rsidR="000E3A20" w:rsidRPr="00837161">
        <w:t>;</w:t>
      </w:r>
      <w:r w:rsidRPr="00837161">
        <w:t xml:space="preserve"> </w:t>
      </w:r>
      <w:r w:rsidRPr="00837161">
        <w:rPr>
          <w:lang w:eastAsia="ja-JP"/>
        </w:rPr>
        <w:fldChar w:fldCharType="begin"/>
      </w:r>
      <w:r w:rsidR="00E25D54">
        <w:rPr>
          <w:lang w:eastAsia="ja-JP"/>
        </w:rPr>
        <w:instrText xml:space="preserve"> ADDIN ZOTERO_ITEM CSL_CITATION {"citationID":"79zgCvW0","properties":{"formattedCitation":"(Cooke et al., 2013; Saunders et al., 2010)","plainCitation":"(Cooke et al., 2013; Saunders et al., 2010)","dontUpdate":true,"noteIndex":0},"citationItems":[{"id":23955,"uris":["http://zotero.org/groups/2352922/items/I8HUQ5WC"],"itemData":{"id":23955,"type":"article-journal","abstract":"Wild European rabbits are serious agricultural and environmental pests in Australia; myxoma virus and rabbit haemorrhagic disease virus have been used as biocontrol agents to reduce impacts. We review the literature on changes in rabbit numbers together with associated reports on the economic benefits from controlling rabbits on agricultural production. By using loss–expenditure frontier models in with and without biocontrol scenarios, it is conservatively estimated that biological control of rabbits produced a benefit of A$70 billion (2011 A$ terms) for agricultural industries over the last 60 years. The consequences for ongoing rabbit control and research investment are discussed.","container-title":"Australian Economic History Review","DOI":"10.1111/aehr.12000","ISSN":"1467-8446","issue":"1","language":"en","license":"© 2013 The Authors. Australian Economic History Review © 2013 Wiley Publishing Asia Pty Ltd and the Economic History Society of Australia and New Zealand","page":"91-107","source":"Wiley Online Library","title":"The Economic Benefits of the Biological Control of Rabbits in Australia, 1950–2011","URL":"https://onlinelibrary.wiley.com/doi/abs/10.1111/aehr.12000","volume":"53","author":[{"family":"Cooke","given":"Brian Douglas"},{"family":"Chudleigh","given":"Peter"},{"family":"Simpson","given":"Sarah"},{"family":"Saunders","given":"Glen"}],"accessed":{"date-parts":[["2019",12,9]]},"issued":{"date-parts":[["2013"]]}},"label":"page"},{"id":24151,"uris":["http://zotero.org/groups/2352922/items/J63EGLJX"],"itemData":{"id":24151,"type":"article-journal","abstract":"Vertebrate pests cost Australia at least $1 billion annually in lost agricultural production and environmental damage. The spectacular success of myxomatosis in the 1950s and more recently, rabbit hemorrhagic disease, in the biological control of European rabbits has led to ongoing research into similar solutions for other vertebrate pests. There are significant barriers to the successful employment of biological control options including the obvious technological ones, such as host-specificity, as well as the investment required, public concerns and regulatory requirements. The role of biological control in vertebrate pest management and the attempts to develop such strategies in Australia is reviewed with emphasis on species specific case studies for rabbits, cane toads and carp, and the generic approaches of immunocontraception and daughterless genes.","collection-title":"Australia and New Zealand Biocontrol Conference","container-title":"Biological Control","DOI":"10.1016/j.biocontrol.2009.06.014","ISSN":"1049-9644","issue":"3","note":"publisher: Elsevier","page":"288–295","source":"Google Scholar","title":"Modern approaches for the biological control of vertebrate pests: an Australian perspective","title-short":"Modern approaches for the biological control of vertebrate pests","URL":"http://www.sciencedirect.com/science/article/pii/S1049964409001753","volume":"52","author":[{"family":"Saunders","given":"Glen"},{"family":"Cooke","given":"Brian"},{"family":"McColl","given":"Ken"},{"family":"Shine","given":"Richard"},{"family":"Peacock","given":"Tony"}],"issued":{"date-parts":[["2010"]]}},"label":"page"}],"schema":"https://github.com/citation-style-language/schema/raw/master/csl-citation.json"} </w:instrText>
      </w:r>
      <w:r w:rsidRPr="00837161">
        <w:rPr>
          <w:lang w:eastAsia="ja-JP"/>
        </w:rPr>
        <w:fldChar w:fldCharType="separate"/>
      </w:r>
      <w:r w:rsidR="00E25D54" w:rsidRPr="00E25D54">
        <w:t>Cooke et al., 2013; Saunders et al., 2010)</w:t>
      </w:r>
      <w:r w:rsidRPr="00837161">
        <w:rPr>
          <w:lang w:eastAsia="ja-JP"/>
        </w:rPr>
        <w:fldChar w:fldCharType="end"/>
      </w:r>
      <w:r w:rsidRPr="00837161">
        <w:t xml:space="preserve">. </w:t>
      </w:r>
      <w:r w:rsidR="00161720" w:rsidRPr="00837161">
        <w:rPr>
          <w:lang w:eastAsia="ja-JP"/>
        </w:rPr>
        <w:t>T</w:t>
      </w:r>
      <w:r w:rsidRPr="00837161">
        <w:rPr>
          <w:lang w:eastAsia="ja-JP"/>
        </w:rPr>
        <w:t xml:space="preserve">hat Australia and New Zealand are islands reduces the risk of the pathogen spreading </w:t>
      </w:r>
      <w:r w:rsidRPr="00837161">
        <w:t xml:space="preserve">back to the native range of European rabbits, although the viruses released in Australia were already present in the native range from where they were largely sourced. </w:t>
      </w:r>
      <w:r w:rsidR="00BE5925" w:rsidRPr="00837161">
        <w:t>T</w:t>
      </w:r>
      <w:r w:rsidRPr="00837161">
        <w:t xml:space="preserve">his approach is not </w:t>
      </w:r>
      <w:r w:rsidR="000D5E1F" w:rsidRPr="00837161">
        <w:t xml:space="preserve">appropriate </w:t>
      </w:r>
      <w:r w:rsidRPr="00837161">
        <w:t xml:space="preserve">where contiguous land masses or water bodies can allow epidemic spread between targeted invasive and native populations. A contemporary example is the ongoing evaluation of cyprinid herpesvirus 3 (Cy-HV3, carp virus) as a viral biological control agent for European carp in Australian waterways. Despite extensive searches, a species specific lethal natural pathogen of </w:t>
      </w:r>
      <w:r w:rsidR="000E3A20" w:rsidRPr="00837161">
        <w:rPr>
          <w:i/>
        </w:rPr>
        <w:t>Rhinella marina</w:t>
      </w:r>
      <w:r w:rsidR="000E3A20" w:rsidRPr="00837161">
        <w:t xml:space="preserve"> (</w:t>
      </w:r>
      <w:r w:rsidRPr="00837161">
        <w:t>cane toad</w:t>
      </w:r>
      <w:r w:rsidR="000E3A20" w:rsidRPr="00837161">
        <w:t>)</w:t>
      </w:r>
      <w:r w:rsidRPr="00837161">
        <w:t xml:space="preserve"> has not yet been identified </w:t>
      </w:r>
      <w:r w:rsidRPr="00837161">
        <w:fldChar w:fldCharType="begin"/>
      </w:r>
      <w:r w:rsidR="000F35EB">
        <w:instrText xml:space="preserve"> ADDIN ZOTERO_ITEM CSL_CITATION {"citationID":"vb6CUN98","properties":{"formattedCitation":"(Shanmuganathan et al., 2010)","plainCitation":"(Shanmuganathan et al., 2010)","noteIndex":0},"citationItems":[{"id":30176,"uris":["http://zotero.org/groups/2352922/items/262MFKHP"],"itemData":{"id":30176,"type":"article-journal","abstract":"The marine toad Bufo marinus is native to northern South America, parts of Central America and Southern Texas. It was deliberately introduced into Australia’s tropical north-east in 1935 in an unsuccessful attempt to control the cane beetle, a damaging insect pest of sugarcane crops. The toads quickly established in the new environment and began to spread. Today, they inhabit most of the Australian tropics and sub-tropics and have reached Western Australia. Models predict that global warming will enable the toads to extend their range further south. They cause severe environmental impacts, as all life stages of B. marinus contain bufadienolides, alkaloid substances toxic to vertebrates, resulting in death of the predators ingesting it. The continental scale of this biological invasion in combination with the remoteness of the areas affected, poses a speciﬁc set of challenges to potential control approaches for cane toads. This review covers different biocontrol strategies pursued over the past 8 years, with particular focus on an immunological approach aiming at the disruption of toad metamorphosis. So far, research efforts have failed to produce a tool for large-scale reduction of toad populations. Considerations of future research priorities and efforts are also discussed.","container-title":"Animal Conservation","DOI":"10.1111/j.1469-1795.2009.00319.x","ISSN":"13679430","issue":"s1","language":"en","page":"16-23","source":"DOI.org (Crossref)","title":"Biological control of the cane toad in Australia: a review","title-short":"Biological control of the cane toad in Australia","URL":"http://doi.wiley.com/10.1111/j.1469-1795.2009.00319.x","volume":"13","author":[{"family":"Shanmuganathan","given":"T."},{"family":"Pallister","given":"J."},{"family":"Doody","given":"S."},{"family":"McCallum","given":"H."},{"family":"Robinson","given":"T."},{"family":"Sheppard","given":"A."},{"family":"Hardy","given":"C."},{"family":"Halliday","given":"D."},{"family":"Venables","given":"D."},{"family":"Voysey","given":"R."},{"family":"Strive","given":"T."},{"family":"Hinds","given":"L."},{"family":"Hyatt","given":"A."}],"accessed":{"date-parts":[["2020",8,9]]},"issued":{"date-parts":[["2010",12]]}},"label":"page"}],"schema":"https://github.com/citation-style-language/schema/raw/master/csl-citation.json"} </w:instrText>
      </w:r>
      <w:r w:rsidRPr="00837161">
        <w:fldChar w:fldCharType="separate"/>
      </w:r>
      <w:r w:rsidR="00271B78" w:rsidRPr="00271B78">
        <w:t>(Shanmuganathan et al., 2010)</w:t>
      </w:r>
      <w:r w:rsidRPr="00837161">
        <w:fldChar w:fldCharType="end"/>
      </w:r>
      <w:r w:rsidR="00F88B3B" w:rsidRPr="00837161">
        <w:t>,</w:t>
      </w:r>
      <w:r w:rsidRPr="00837161">
        <w:t xml:space="preserve"> demonstrating a key limitation in this approach. Similarly viral biological control of feral cats has been used to aid the eradication of cats from sub-Antarctic Marion Island </w:t>
      </w:r>
      <w:r w:rsidRPr="00837161">
        <w:fldChar w:fldCharType="begin"/>
      </w:r>
      <w:r w:rsidR="000F35EB">
        <w:instrText xml:space="preserve"> ADDIN ZOTERO_ITEM CSL_CITATION {"citationID":"jfLJX3Iy","properties":{"formattedCitation":"(Bester et al., 2002)","plainCitation":"(Bester et al., 2002)","noteIndex":0},"citationItems":[{"id":16752,"uris":["http://zotero.org/groups/2352922/items/VG2YY826"],"itemData":{"id":16752,"type":"article-journal","abstract":"This paper reviews the history of the feral cat eradication programme on sub-Antarctic Marion Island based on unpublished minutes of meetings, reports, letters, theses and published scientific papers; and reflects on the outcome of the eradication campaign. the 19-year programme comprised seven phases, commencing with a description of the effect of the cats on the Marion Island ecosystem, the characteristics of the cat population and the formulation of a management policy (phase 1: 1974-1976). Methods for control were selected and preparations were made for the implementation of the primary control measure, biological control with the feline panleucopaenia virus (phase 2: 1976/77). the virus was released in 1977 (phase 3: 1977), followed by the determination of its effects (phase 4:1977-1980). Monitoring of the effects of the virus continued, and the secondary control measure of hunting at night was tested (phase 5: 1981-1983). Full-scale implementation of hunting and continued monitoring of the effects of both the disease and hunting followed (phase 6: 1986-1989). the inclusion of intensive trapping and poisoning as tertiary control measures culminated in the final eradication of cats from Marion Island in 1991 (phase 7:1989-1993).","container-title":"South African Journal of Wildlife Research - 24-month delayed open access","ISSN":"2410-7220, 2410-8200","issue":"1","language":"en","page":"65-73","source":"journals.co.za","title":"A review of the successful eradication of feral cats from sub-Antarctic Marion Island, Southern Indian Ocean","URL":"https://journals.co.za/content/wild/32/1/EJC117137","volume":"32","author":[{"family":"Bester","given":"M. N."},{"family":"Bloomer","given":"J. P."},{"family":"Van Aarde","given":"R. J."},{"family":"Erasmus","given":"B. H."},{"family":"Van Rensburg","given":"P. J. J."},{"family":"Skinner","given":"J. D."},{"family":"Howell","given":"P. G."},{"family":"Naude","given":"T. W."}],"accessed":{"date-parts":[["2019",12,9]]},"issued":{"date-parts":[["2002",4,1]]}},"label":"page"}],"schema":"https://github.com/citation-style-language/schema/raw/master/csl-citation.json"} </w:instrText>
      </w:r>
      <w:r w:rsidRPr="00837161">
        <w:fldChar w:fldCharType="separate"/>
      </w:r>
      <w:r w:rsidR="00271B78" w:rsidRPr="00271B78">
        <w:t>(Bester et al., 2002)</w:t>
      </w:r>
      <w:r w:rsidRPr="00837161">
        <w:fldChar w:fldCharType="end"/>
      </w:r>
      <w:r w:rsidRPr="00837161">
        <w:t xml:space="preserve">, but has little practical use elsewhere as this virus is endemic in most cat populations globally so resistance will be widespread and no others are currently considered suitable </w:t>
      </w:r>
      <w:r w:rsidRPr="00837161">
        <w:fldChar w:fldCharType="begin"/>
      </w:r>
      <w:r w:rsidR="000F35EB">
        <w:instrText xml:space="preserve"> ADDIN ZOTERO_ITEM CSL_CITATION {"citationID":"tg8l9IB3","properties":{"formattedCitation":"(Tracey et al., 2015)","plainCitation":"(Tracey et al., 2015)","noteIndex":0},"citationItems":[{"id":11203,"uris":["http://zotero.org/groups/2352922/items/D8QD9SQ8"],"itemData":{"id":11203,"type":"document","language":"en","note":"978-1-921777-99-8","publisher":"Invasive Animals Cooperative Research Centre","source":"Zotero","title":"2015 National Feral Cat Management Workshop Proceedings","URL":"https://www.pestsmart.org.au/wp-content/uploads/2015/09/2015CatWorkshop_Proceedings_FINAL.pdf","author":[{"family":"Tracey","given":"J"},{"family":"Lane","given":"C"},{"family":"Fleming","given":"P"},{"family":"Dickman","given":"C"},{"family":"Quinn","given":"J"},{"family":"Buckmaster","given":"T"},{"family":"McMahon","given":"S"}],"issued":{"date-parts":[["2015"]]}},"label":"page"}],"schema":"https://github.com/citation-style-language/schema/raw/master/csl-citation.json"} </w:instrText>
      </w:r>
      <w:r w:rsidRPr="00837161">
        <w:fldChar w:fldCharType="separate"/>
      </w:r>
      <w:r w:rsidR="00271B78" w:rsidRPr="00271B78">
        <w:t>(Tracey et al., 2015)</w:t>
      </w:r>
      <w:r w:rsidRPr="00837161">
        <w:fldChar w:fldCharType="end"/>
      </w:r>
      <w:r w:rsidRPr="00837161">
        <w:t>.</w:t>
      </w:r>
    </w:p>
    <w:p w14:paraId="00000329" w14:textId="305E974F" w:rsidR="00A758FD" w:rsidRPr="00C0338D" w:rsidRDefault="00C81287">
      <w:pPr>
        <w:spacing w:before="240" w:after="120" w:line="240" w:lineRule="auto"/>
      </w:pPr>
      <w:r w:rsidRPr="00C0338D">
        <w:lastRenderedPageBreak/>
        <w:t xml:space="preserve">Public acceptance of releasing viruses to control invasive alien species </w:t>
      </w:r>
      <w:r w:rsidR="00912848">
        <w:t>may differ</w:t>
      </w:r>
      <w:r w:rsidRPr="00C0338D">
        <w:t xml:space="preserve"> depending on differing socio-political perspectives. Lethal biological control methods for sentient lifeforms such as vertebrate pests continue to raise animal welfare concerns particularly in targets also kept as pets or farm animals. Values are changing. From a humanness perspective myxoma virus (MYXv) would unlikely be approved for release in Australia today, and RHDv was considered more humane than other approved rabbit control methods due to its extremely fast disease progression </w:t>
      </w:r>
      <w:r w:rsidR="00AA04F1" w:rsidRPr="00837161">
        <w:fldChar w:fldCharType="begin"/>
      </w:r>
      <w:r w:rsidR="000F35EB">
        <w:instrText xml:space="preserve"> ADDIN ZOTERO_ITEM CSL_CITATION {"citationID":"e7eQE1Pm","properties":{"formattedCitation":"(Sharp &amp; Saunders, 2011)","plainCitation":"(Sharp &amp; Saunders, 2011)","noteIndex":0},"citationItems":[{"id":23746,"uris":["http://zotero.org/groups/2352922/items/YCPC4KRU"],"itemData":{"id":23746,"type":"book","edition":"Second","publisher":"Australian Government Department of Agriculture, Fisheries and Forestry, Canberra, ACT","source":"Google Scholar","title":"A model for assessing the relative humaneness of pest animal control methods","author":[{"family":"Sharp","given":"Trudy"},{"family":"Saunders","given":"Glen"}],"issued":{"date-parts":[["2011"]]}},"label":"page"}],"schema":"https://github.com/citation-style-language/schema/raw/master/csl-citation.json"} </w:instrText>
      </w:r>
      <w:r w:rsidR="00AA04F1" w:rsidRPr="00837161">
        <w:fldChar w:fldCharType="separate"/>
      </w:r>
      <w:r w:rsidR="00271B78" w:rsidRPr="00271B78">
        <w:t>(Sharp &amp; Saunders, 2011)</w:t>
      </w:r>
      <w:r w:rsidR="00AA04F1" w:rsidRPr="00837161">
        <w:fldChar w:fldCharType="end"/>
      </w:r>
      <w:r w:rsidR="493F515C" w:rsidRPr="00837161">
        <w:t>.</w:t>
      </w:r>
      <w:r w:rsidRPr="00C0338D">
        <w:t xml:space="preserve"> Continued use of RHDv nonetheless still encounters resistance, but mainly from outside Australasia. </w:t>
      </w:r>
      <w:r w:rsidR="00800F2E" w:rsidRPr="00837161">
        <w:t xml:space="preserve">In Australia </w:t>
      </w:r>
      <w:r w:rsidR="00BD463A" w:rsidRPr="00837161">
        <w:t>the approach</w:t>
      </w:r>
      <w:r w:rsidR="00D149A1" w:rsidRPr="00837161">
        <w:t xml:space="preserve"> is supported by the </w:t>
      </w:r>
      <w:r w:rsidR="00F633CD" w:rsidRPr="00837161">
        <w:t xml:space="preserve">local </w:t>
      </w:r>
      <w:r w:rsidR="00D149A1" w:rsidRPr="00837161">
        <w:t>R</w:t>
      </w:r>
      <w:r w:rsidR="00F633CD" w:rsidRPr="00837161">
        <w:t xml:space="preserve">oyal </w:t>
      </w:r>
      <w:r w:rsidR="00D149A1" w:rsidRPr="00837161">
        <w:t>S</w:t>
      </w:r>
      <w:r w:rsidR="00F633CD" w:rsidRPr="00837161">
        <w:t xml:space="preserve">ociety for the </w:t>
      </w:r>
      <w:r w:rsidR="00D149A1" w:rsidRPr="00837161">
        <w:t>P</w:t>
      </w:r>
      <w:r w:rsidR="00F633CD" w:rsidRPr="00837161">
        <w:t xml:space="preserve">revention of </w:t>
      </w:r>
      <w:r w:rsidR="00D149A1" w:rsidRPr="00837161">
        <w:t>C</w:t>
      </w:r>
      <w:r w:rsidR="00F633CD" w:rsidRPr="00837161">
        <w:t xml:space="preserve">ruelty to </w:t>
      </w:r>
      <w:r w:rsidR="00D149A1" w:rsidRPr="00837161">
        <w:t>A</w:t>
      </w:r>
      <w:r w:rsidR="00F633CD" w:rsidRPr="00837161">
        <w:t>nimals</w:t>
      </w:r>
      <w:r w:rsidR="00EE262B" w:rsidRPr="00837161">
        <w:t xml:space="preserve"> </w:t>
      </w:r>
      <w:r w:rsidR="00C679DF" w:rsidRPr="00837161">
        <w:fldChar w:fldCharType="begin"/>
      </w:r>
      <w:r w:rsidR="000F35EB">
        <w:instrText xml:space="preserve"> ADDIN ZOTERO_ITEM CSL_CITATION {"citationID":"ZW3z6U0o","properties":{"formattedCitation":"(RSPCA, 2019)","plainCitation":"(RSPCA, 2019)","noteIndex":0},"citationItems":[{"id":53119,"uris":["http://zotero.org/groups/2352922/items/6UDHZT3F"],"itemData":{"id":53119,"type":"post-weblog","container-title":"RSPCA Knowledgebase","genre":"Royal Society for the Prevention of Cruelty to Animals, Australia","language":"en-AU","title":"What is rabbit calicivirus and how do I protect my rabbit from rabbit haemorrhagic disease? – RSPCA Knowledgebase","title-short":"What is rabbit calicivirus and how do I protect my rabbit from rabbit haemorrhagic disease?","URL":"https://kb.rspca.org.au/knowledge-base/what-is-rabbit-calicivirus-and-how-do-i-protect-my-rabbit-from-rabbit-haemorrhagic-disease/","author":[{"literal":"RSPCA"}],"accessed":{"date-parts":[["2022",9,1]]},"issued":{"date-parts":[["2019"]]}},"label":"page"}],"schema":"https://github.com/citation-style-language/schema/raw/master/csl-citation.json"} </w:instrText>
      </w:r>
      <w:r w:rsidR="00C679DF" w:rsidRPr="00837161">
        <w:fldChar w:fldCharType="separate"/>
      </w:r>
      <w:r w:rsidR="00271B78" w:rsidRPr="00271B78">
        <w:t>(RSPCA, 2019)</w:t>
      </w:r>
      <w:r w:rsidR="00C679DF" w:rsidRPr="00837161">
        <w:fldChar w:fldCharType="end"/>
      </w:r>
      <w:r w:rsidR="493F515C" w:rsidRPr="00837161">
        <w:t>.</w:t>
      </w:r>
      <w:r w:rsidRPr="00C0338D">
        <w:t xml:space="preserve"> Many animal diseases (e.g., Cy-HV3, carp virus) are notifiable under the WOAH presenting another challenge, although the WOAH also assesses levels of specificity for all notifiable pathogens. Risks can be managed if animal and animal product movement can be controlled and developing a vaccine to protect non-target individuals (i.e., pets) may be prudent </w:t>
      </w:r>
      <w:r w:rsidR="00C679DF" w:rsidRPr="00837161">
        <w:fldChar w:fldCharType="begin"/>
      </w:r>
      <w:r w:rsidR="000F35EB">
        <w:instrText xml:space="preserve"> ADDIN ZOTERO_ITEM CSL_CITATION {"citationID":"rkMqbadZ","properties":{"formattedCitation":"(Schirrmeier et al., 1999)","plainCitation":"(Schirrmeier et al., 1999)","noteIndex":0},"citationItems":[{"id":53120,"uris":["http://zotero.org/groups/2352922/items/24A8ZSHX"],"itemData":{"id":53120,"type":"article-journal","container-title":"Archives of virology","DOI":"10.1007/s007050050538","issue":"4","note":"ISBN: 1432-8798\npublisher: Springer","page":"719-735","title":"Pathogenic, antigenic and molecular properties of rabbit haemorrhagic disease virus (RHDV) isolated from vaccinated rabbits: detection and characterization of antigenic variants","volume":"144","author":[{"family":"Schirrmeier","given":"H."},{"family":"Reimann","given":"I."},{"family":"Köllner","given":"B."},{"family":"Granzow","given":"H."}],"issued":{"date-parts":[["1999"]]}},"label":"page"}],"schema":"https://github.com/citation-style-language/schema/raw/master/csl-citation.json"} </w:instrText>
      </w:r>
      <w:r w:rsidR="00C679DF" w:rsidRPr="00837161">
        <w:fldChar w:fldCharType="separate"/>
      </w:r>
      <w:r w:rsidR="00271B78" w:rsidRPr="00271B78">
        <w:t>(Schirrmeier et al., 1999)</w:t>
      </w:r>
      <w:r w:rsidR="00C679DF" w:rsidRPr="00837161">
        <w:fldChar w:fldCharType="end"/>
      </w:r>
      <w:r w:rsidR="493F515C" w:rsidRPr="00837161">
        <w:t xml:space="preserve">. See </w:t>
      </w:r>
      <w:r w:rsidR="0079215C">
        <w:rPr>
          <w:b/>
          <w:iCs/>
        </w:rPr>
        <w:t>S</w:t>
      </w:r>
      <w:r w:rsidR="00C33F92" w:rsidRPr="00C33F92">
        <w:rPr>
          <w:b/>
          <w:iCs/>
        </w:rPr>
        <w:t>upplementary material 5.</w:t>
      </w:r>
      <w:r w:rsidR="0079215C">
        <w:rPr>
          <w:b/>
          <w:iCs/>
        </w:rPr>
        <w:t>6</w:t>
      </w:r>
      <w:r w:rsidR="493F515C" w:rsidRPr="00837161">
        <w:rPr>
          <w:i/>
          <w:iCs/>
        </w:rPr>
        <w:t xml:space="preserve"> </w:t>
      </w:r>
      <w:r w:rsidR="493F515C" w:rsidRPr="00837161">
        <w:t xml:space="preserve">for </w:t>
      </w:r>
      <w:r w:rsidR="00CC1F9B" w:rsidRPr="00837161">
        <w:t>further details</w:t>
      </w:r>
      <w:r w:rsidR="00D149A1" w:rsidRPr="00837161">
        <w:t>.</w:t>
      </w:r>
      <w:r w:rsidR="003666A4">
        <w:t xml:space="preserve">     </w:t>
      </w:r>
      <w:r w:rsidRPr="00C0338D">
        <w:t xml:space="preserve"> </w:t>
      </w:r>
    </w:p>
    <w:p w14:paraId="0000032A" w14:textId="77777777" w:rsidR="00A758FD" w:rsidRPr="00C0338D" w:rsidRDefault="00C81287" w:rsidP="00604A0A">
      <w:pPr>
        <w:pStyle w:val="Heading4"/>
      </w:pPr>
      <w:r w:rsidRPr="00C0338D">
        <w:t xml:space="preserve"> RNA Interference </w:t>
      </w:r>
    </w:p>
    <w:p w14:paraId="0000032B" w14:textId="61CCD4CC" w:rsidR="00A758FD" w:rsidRPr="00C0338D" w:rsidRDefault="00C81287">
      <w:pPr>
        <w:spacing w:before="240" w:after="120" w:line="240" w:lineRule="auto"/>
      </w:pPr>
      <w:r w:rsidRPr="00C0338D">
        <w:t xml:space="preserve">RNA interference </w:t>
      </w:r>
      <w:r w:rsidR="00912848" w:rsidRPr="00837161">
        <w:t>(RNAi)</w:t>
      </w:r>
      <w:r w:rsidR="00912848">
        <w:t xml:space="preserve"> </w:t>
      </w:r>
      <w:r w:rsidRPr="00C0338D">
        <w:t xml:space="preserve">describes the process whereby a mirror image double-stranded RNA (dsRNA) molecule of the target gene is created, applied, and once it has entered a cell, will silence or modify target gene expression without genetic modification. </w:t>
      </w:r>
      <w:r w:rsidR="00912848">
        <w:t xml:space="preserve">RNAi </w:t>
      </w:r>
      <w:r w:rsidRPr="00C0338D">
        <w:t xml:space="preserve">is a widely used molecular technique for selectively inactivating genes without the need to create a special strain or modify the genome of the target organism </w:t>
      </w:r>
      <w:r w:rsidR="001B0409" w:rsidRPr="00837161">
        <w:t>(</w:t>
      </w:r>
      <w:r w:rsidR="00191A6E">
        <w:rPr>
          <w:b/>
          <w:iCs/>
        </w:rPr>
        <w:t>Table 5.5</w:t>
      </w:r>
      <w:r w:rsidR="001B0409" w:rsidRPr="00837161">
        <w:t>). Delivering dsRNA molecules to virtually all eukaryotes induce</w:t>
      </w:r>
      <w:r w:rsidR="00912848">
        <w:t>s</w:t>
      </w:r>
      <w:r w:rsidR="001B0409" w:rsidRPr="00837161">
        <w:t xml:space="preserve"> the </w:t>
      </w:r>
      <w:r w:rsidR="00912848">
        <w:t>RNAi</w:t>
      </w:r>
      <w:r w:rsidR="001B0409" w:rsidRPr="00837161">
        <w:t xml:space="preserve"> silencing process, whereby the dsRNA molecules mediate a highly-specific destruction of any messenger RNA with a complementary sequence, resulting in suppression of a targeted gene’s expression </w:t>
      </w:r>
      <w:r w:rsidR="001B0409" w:rsidRPr="00837161">
        <w:fldChar w:fldCharType="begin"/>
      </w:r>
      <w:r w:rsidR="000F35EB">
        <w:instrText xml:space="preserve"> ADDIN ZOTERO_ITEM CSL_CITATION {"citationID":"RCjDHId1","properties":{"formattedCitation":"(D. H. Kim &amp; Rossi, 2008)","plainCitation":"(D. H. Kim &amp; Rossi, 2008)","noteIndex":0},"citationItems":[{"id":10845,"uris":["http://zotero.org/groups/2352922/items/U3ZKIT5P"],"itemData":{"id":10845,"type":"article-journal","container-title":"BioTechniques","DOI":"10.2144/000112792","ISSN":"0736-6205, 1940-9818","issue":"5","journalAbbreviation":"BioTechniques","language":"en","page":"613-616","source":"DOI.org (Crossref)","title":"RNAi mechanisms and applications","URL":"https://www.future-science.com/doi/10.2144/000112792","volume":"44","author":[{"family":"Kim","given":"Daniel H."},{"family":"Rossi","given":"John J."}],"accessed":{"date-parts":[["2020",8,17]]},"issued":{"date-parts":[["2008",4]]}},"label":"page"}],"schema":"https://github.com/citation-style-language/schema/raw/master/csl-citation.json"} </w:instrText>
      </w:r>
      <w:r w:rsidR="001B0409" w:rsidRPr="00837161">
        <w:fldChar w:fldCharType="separate"/>
      </w:r>
      <w:r w:rsidR="00271B78" w:rsidRPr="00271B78">
        <w:t>(D. H. Kim &amp; Rossi, 2008)</w:t>
      </w:r>
      <w:r w:rsidR="001B0409" w:rsidRPr="00837161">
        <w:fldChar w:fldCharType="end"/>
      </w:r>
      <w:r w:rsidR="001B0409" w:rsidRPr="00837161">
        <w:t xml:space="preserve">. Due to </w:t>
      </w:r>
      <w:r w:rsidR="00912848">
        <w:t>RNAi</w:t>
      </w:r>
      <w:r w:rsidR="001B0409" w:rsidRPr="00837161">
        <w:t xml:space="preserve">’s sequence-specificity, dsRNA molecules can be designed to be highly species-specific </w:t>
      </w:r>
      <w:r w:rsidR="001B0409" w:rsidRPr="00837161">
        <w:fldChar w:fldCharType="begin"/>
      </w:r>
      <w:r w:rsidR="000F35EB">
        <w:instrText xml:space="preserve"> ADDIN ZOTERO_ITEM CSL_CITATION {"citationID":"wvBq4olY","properties":{"formattedCitation":"(Baum et al., 2007; Pan et al., 2016; Whyard et al., 2015)","plainCitation":"(Baum et al., 2007; Pan et al., 2016; Whyard et al., 2015)","noteIndex":0},"citationItems":[{"id":30370,"uris":["http://zotero.org/groups/2352922/items/YR3AFI2I"],"itemData":{"id":30370,"type":"article-journal","abstract":"Commercial biotechnology solutions for controlling lepidopteran and coleopteran insect pests on crops depend on the expression of Bacillus thuringiensis insecticidal proteins1,2, most of which permeabilize the membranes of gut epithelial cells of susceptible insects3. However, insect control strategies involving a different mode of action would be valuable for managing the emergence of insect resistance. Toward this end, we demonstrate that ingestion of double-stranded (ds)RNAs supplied in an artificial diet triggers RNA interference in several coleopteran species, most notably the western corn rootworm (WCR) Diabrotica virgifera virgifera LeConte. This may result in larval stunting and mortality. Transgenic corn plants engineered to express WCR dsRNAs show a significant reduction in WCR feeding damage in a growth chamber assay, suggesting that the RNAi pathway can be exploited to control insect pests via in planta expression of a dsRNA.","container-title":"Nature Biotechnology","DOI":"10.1038/nbt1359","ISSN":"1546-1696","issue":"11","language":"en","license":"2007 Nature Publishing Group","note":"number: 11\npublisher: Nature Publishing Group","page":"1322-1326","source":"www.nature.com","title":"Control of coleopteran insect pests through RNA interference","URL":"https://www.nature.com/articles/nbt1359","volume":"25","author":[{"family":"Baum","given":"James A."},{"family":"Bogaert","given":"Thierry"},{"family":"Clinton","given":"William"},{"family":"Heck","given":"Gregory R."},{"family":"Feldmann","given":"Pascale"},{"family":"Ilagan","given":"Oliver"},{"family":"Johnson","given":"Scott"},{"family":"Plaetinck","given":"Geert"},{"family":"Munyikwa","given":"Tichafa"},{"family":"Pleau","given":"Michael"},{"family":"Vaughn","given":"Ty"},{"family":"Roberts","given":"James"}],"accessed":{"date-parts":[["2020",8,17]]},"issued":{"date-parts":[["2007",11]]}},"label":"page"},{"id":10294,"uris":["http://zotero.org/groups/2352922/items/254JPZ37"],"itemData":{"id":10294,"type":"article-journal","abstract":"RNAi-based genetically engineered (GE) crops for the management of insect pests are likely to be commercialized by the end of this decade. Without a workable framework for conducting the ecological risk assessment (ERA) and a standardized ERA protocol, however, the utility of RNAi transgenic crops in pest management remains uncertain. The overall goal of this study is to assess the risks of RNAi-based GE crops on a non-target soil micro-arthropod, Sinella curviseta, which could be exposed to plant-protected dsRNAs deposited in crop residues. Based on the preliminary research, we hypothesized that insecticidal dsRNAs targeting at the western corn rootworm, Diabrotica virgifera virgifera, a billion-dollar insect pest, has no adverse impacts on S. curviseta, a soil decomposer. Following a tiered approach, we tested this risk hypothesis using a well-designed dietary RNAi toxicity assay. To create the worst-case scenario, the full-length cDNA of v-ATPase subunit A from S. curviseta were cloned and a 400 bp fragment representing the highest sequence similarity between target pest and non-target arthropods was selected as the template to synthesize insecticidal dsRNAs. Specifically, 10-days-old S. curviseta larvae were subjected to artificial diets containing v-ATPase A dsRNAs from both D. v. virgifera (dsDVV) and S. curviseta (dsSC), respectively, a dsRNA control, β-glucuronidase, from plant (dsGUS), and a vehicle control, H2O. The endpoint measurements included gene expression profiles, survival, and life history traits, such as developmental time, fecundity, hatching rate, and body length. Although, S. curviseta larvae developed significantly faster under the treatments of dsDVV and dsSC than the vehicle control, the combined results from both temporal RNAi effect study and dietary RNAi toxicity assay support the risk hypothesis, suggesting that the impacts of ingested arthropod-active dsRNAs on this representative soil decomposer are negligible.","container-title":"Frontiers in Plant Science","DOI":"10.3389/fpls.2016.01028","ISSN":"1664-462X","page":"1028","source":"Frontiers","title":"Assessment of Potential Risks of Dietary RNAi to a Soil Micro-arthropod, &lt;i&gt;Sinella curviseta&lt;/i&gt; Brook (Collembola: Entomobryidae)","title-short":"Assessment of Potential Risks of Dietary RNAi to a Soil Micro-arthropod, Sinella curviseta Brook (Collembola","URL":"https://www.frontiersin.org/article/10.3389/fpls.2016.01028","volume":"7","author":[{"family":"Pan","given":"Huipeng"},{"family":"Xu","given":"Linghua"},{"family":"Noland","given":"Jeffrey E."},{"family":"Li","given":"Hu"},{"family":"Siegfried","given":"Blair D."},{"family":"Zhou","given":"Xuguo"}],"accessed":{"date-parts":[["2021",10,7]]},"issued":{"date-parts":[["2016"]]}},"label":"page"},{"id":10927,"uris":["http://zotero.org/groups/2352922/items/CEGSHC2Q"],"itemData":{"id":10927,"type":"article-journal","abstract":"Mosquito-borne diseases threaten over half the world’s human population, making the need for environmentally-safe mosquito population control tools critical. The sterile insect technique (SIT) is a biological control method that can reduce pest insect populations by releasing a large number of sterile males to compete with wild males for female mates to reduce the number of progeny produced. Typically, males are sterilized using radiation, but such methods can reduce their mating competitiveness. The method is also most effective if only males are produced, but this requires the development of effective sex-sorting methods. Recent efforts to use transgenic methods to produce sterile male mosquitoes have increased interest in using SIT to control some of our most serious disease vectors, but the release of genetically modified mosquitoes will undoubtedly encounter considerable delays as regulatory agencies deal with safety issues and public concerns.","container-title":"Parasites &amp; Vectors","DOI":"10.1186/s13071-015-0716-6","ISSN":"1756-3305","issue":"1","journalAbbreviation":"Parasites &amp; Vectors","page":"96","source":"BioMed Central","title":"Silencing the buzz: a new approach to population suppression of mosquitoes by feeding larvae double-stranded RNAs","title-short":"Silencing the buzz","URL":"https://doi.org/10.1186/s13071-015-0716-6","volume":"8","author":[{"family":"Whyard","given":"Steve"},{"family":"Erdelyan","given":"Cassidy NG"},{"family":"Partridge","given":"Alison L."},{"family":"Singh","given":"Aditi D."},{"family":"Beebe","given":"Nigel W."},{"family":"Capina","given":"Rupert"}],"accessed":{"date-parts":[["2020",8,17]]},"issued":{"date-parts":[["2015",2,12]]}},"label":"page"}],"schema":"https://github.com/citation-style-language/schema/raw/master/csl-citation.json"} </w:instrText>
      </w:r>
      <w:r w:rsidR="001B0409" w:rsidRPr="00837161">
        <w:fldChar w:fldCharType="separate"/>
      </w:r>
      <w:r w:rsidR="00271B78" w:rsidRPr="00271B78">
        <w:t>(Baum et al., 2007; Pan et al., 2016; Whyard et al., 2015)</w:t>
      </w:r>
      <w:r w:rsidR="001B0409" w:rsidRPr="00837161">
        <w:fldChar w:fldCharType="end"/>
      </w:r>
      <w:r w:rsidR="001B0409" w:rsidRPr="00837161">
        <w:t>.</w:t>
      </w:r>
    </w:p>
    <w:p w14:paraId="27C5A0D9" w14:textId="275AB90D" w:rsidR="005E3FF1" w:rsidRPr="00837161" w:rsidRDefault="001B0409" w:rsidP="00C11DFA">
      <w:pPr>
        <w:spacing w:before="240" w:after="120" w:line="240" w:lineRule="auto"/>
      </w:pPr>
      <w:r w:rsidRPr="00837161">
        <w:t xml:space="preserve">The </w:t>
      </w:r>
      <w:r w:rsidR="00912848">
        <w:t>RNAi</w:t>
      </w:r>
      <w:r w:rsidRPr="00837161">
        <w:t xml:space="preserve"> approach has been proposed as a novel means by which to control plant pathogens, including viruses </w:t>
      </w:r>
      <w:r w:rsidRPr="00837161">
        <w:fldChar w:fldCharType="begin"/>
      </w:r>
      <w:r w:rsidR="000F35EB">
        <w:instrText xml:space="preserve"> ADDIN ZOTERO_ITEM CSL_CITATION {"citationID":"QAupIefQ","properties":{"unsorted":true,"formattedCitation":"(Tenllado &amp; D\\uc0\\u305{}\\uc0\\u769{}az-Ru\\uc0\\u305{}\\uc0\\u769{}z, 2001; Mitter et al., 2017)","plainCitation":"(Tenllado &amp; Dı́az-Ruı́z, 2001; Mitter et al., 2017)","noteIndex":0},"citationItems":[{"id":16741,"uris":["http://zotero.org/groups/2352922/items/4E8MXFSH"],"itemData":{"id":16741,"type":"article-journal","abstract":"Double-stranded RNA (dsRNA) has been shown to play a key role as an inducer of different interference phenomena occurring in both the plant and animal kingdoms. Here, we show that dsRNA derived from viral sequences can interfere with virus infection in a sequence-specific manner by directly delivering dsRNA to leaf cells either by mechanical inoculation or via an Agrobacterium-mediated transient-expression assay. We have successfully interfered with the infection of plants by three viruses belonging to the tobamovirus, potyvirus, and alfamovirus groups, demonstrating the reliability of the approach. We suggest that the effect mediated by dsRNA in plant virus infection resembles the analogous phenomenon of RNA interference observed in animals. The interference observed is sequence specific, is dose dependent, and is triggered by dsRNA but not single-stranded RNA. Our results support the view that a dsRNA intermediate in virus replication acts as efficient initiator of posttranscriptional gene silencing (PTGS) in natural virus infections, triggering the initiation step of PTGS that targets viral RNA for degradation.","container-title":"Journal of Virology","DOI":"10.1128/JVI.75.24.12288-12297.2001","ISSN":"0022-538X, 1098-5514","issue":"24","language":"en","license":"Copyright © 2001 American Society for Microbiology","note":"PMID: 11711619","page":"12288-12297","source":"jvi.asm.org","title":"Double-Stranded RNA-Mediated Interference with Plant Virus Infection","URL":"https://jvi.asm.org/content/75/24/12288","volume":"75","author":[{"family":"Tenllado","given":"F."},{"family":"Dı́az-Ruı́z","given":"J. R."}],"accessed":{"date-parts":[["2019",12,9]]},"issued":{"date-parts":[["2001",12,15]]}},"label":"page"},{"id":16742,"uris":["http://zotero.org/groups/2352922/items/XNAQKJQL"],"itemData":{"id":16742,"type":"article-journal","abstract":"Exogenous application of double-stranded RNA (dsRNA) for virus resistance in plants represents a very attractive alternative to virus resistant transgenic crops or pesticides targeting virus vectors. However, the instability of dsRNA sprayed onto plants is a major challenge as spraying naked dsRNA onto plants provides protection against homologous viruses for only 5 days. Innovative approaches, such as the use of nanoparticles as carriers of dsRNA for improved stability and sustained release, are emerging as key disruptive technologies. Knowledge is still limited about the mechanism of entry, transport and processing of exogenously applied dsRNA in plants. Cost of dsRNA and regulatory framework will be key influencers towards practical adoption of this technology.","collection-title":"Engineering for viral resistance • Viruses and Cancer","container-title":"Current Opinion in Virology","DOI":"10.1016/j.coviro.2017.07.009","ISSN":"1879-6257","journalAbbreviation":"Current Opinion in Virology","language":"en","page":"49-55","source":"ScienceDirect","title":"Induction of virus resistance by exogenous application of double-stranded RNA","URL":"http://www.sciencedirect.com/science/article/pii/S1879625717300573","volume":"26","author":[{"family":"Mitter","given":"Neena"},{"family":"Worrall","given":"Elizabeth A"},{"family":"Robinson","given":"Karl E"},{"family":"Xu","given":"Zhi Ping"},{"family":"Carroll","given":"Bernard J"}],"accessed":{"date-parts":[["2019",12,9]]},"issued":{"date-parts":[["2017",10,1]]}},"label":"page"}],"schema":"https://github.com/citation-style-language/schema/raw/master/csl-citation.json"} </w:instrText>
      </w:r>
      <w:r w:rsidRPr="00837161">
        <w:fldChar w:fldCharType="separate"/>
      </w:r>
      <w:r w:rsidR="00271B78" w:rsidRPr="00271B78">
        <w:t>(Tenllado &amp; Dı́az-Ruı́z, 2001; Mitter et al., 2017)</w:t>
      </w:r>
      <w:r w:rsidRPr="00837161">
        <w:fldChar w:fldCharType="end"/>
      </w:r>
      <w:r w:rsidRPr="00837161">
        <w:t xml:space="preserve"> and the fungus </w:t>
      </w:r>
      <w:r w:rsidRPr="00837161">
        <w:rPr>
          <w:i/>
          <w:iCs/>
        </w:rPr>
        <w:t>Fusarium</w:t>
      </w:r>
      <w:r w:rsidRPr="00837161">
        <w:t xml:space="preserve"> </w:t>
      </w:r>
      <w:r w:rsidRPr="00837161">
        <w:fldChar w:fldCharType="begin"/>
      </w:r>
      <w:r w:rsidR="00E25D54">
        <w:instrText xml:space="preserve"> ADDIN ZOTERO_ITEM CSL_CITATION {"citationID":"66auqloc","properties":{"formattedCitation":"(Koch et al., 2017; Machado et al., 2018; Weiberg et al., 2013)","plainCitation":"(Koch et al., 2017; Machado et al., 2018; Weiberg et al., 2013)","noteIndex":0},"citationItems":[{"id":22354,"uris":["http://zotero.org/groups/2352922/items/KN6ZSKF3"],"itemData":{"id":22354,"type":"article-journal","abstract":"Antibiotic-resistant pathogens increasingly threaten human health. Widespread application of antibiotics to animal populations raised for food, including chickens, cattle, and pigs, selects for resistance and contributes to the evolution of those pathogens. Despite a half century of research establishing the mechanisms and pathways by which antibiotic-resistant bacteria spread from food animals to people, scientists lack the appropriate data and models to estimate the public health burden of antibiotic-resistant human infections attributable to antibiotic use in food-animal production. Genomic technologies are enabling researchers to track the bidirectional transmissions of specific bacterial strains from livestock to people – and from people to livestock – that can amplify resistance traits. Concepts in ecology, which were developed to understand resource subsidies, metapopulations, and biological invasions, provide insight into the epidemiology of antibiotic resistance from genomic data. By applying ecological principles to highly resolved phylogenetic data, researchers can improve strategies for controlling antibiotic resistance. © The Ecological Society of America","container-title":"Frontiers in Ecology and the Environment","DOI":"10.1002/fee.1505","issue":"6","page":"309-318","title":"Food-animal production and the spread of antibiotic resistance: the role of ecology","URL":"https://www.scopus.com/inward/record.uri?eid=2-s2.0-85021314103&amp;doi=10.1002%2ffee.1505&amp;partnerID=40&amp;md5=f447d597288d79852630a59b254b3b31","volume":"15","author":[{"family":"Koch","given":"B.J."},{"family":"Hungate","given":"B.A."},{"family":"Price","given":"L.B."}],"issued":{"date-parts":[["2017"]]}},"label":"page"},{"id":16743,"uris":["http://zotero.org/groups/2352922/items/2RMF8VLQ"],"itemData":{"id":16743,"type":"article-journal","abstract":"Fusarium Head Blight is a major fungal disease of cereals which contaminates the grain with harmful mycotoxins. Here we discuss the developments, advantages and concerns of RNAi for disease control.","container-title":"Pest Management Science","DOI":"10.1002/ps.4748","ISSN":"1526-4998","issue":"4","language":"en","license":"© 2017 The Authors. Pest Management Science published by John Wiley &amp; Sons Ltd on behalf of Society of Chemical Industry.","page":"790-799","source":"Wiley Online Library","title":"RNAi as an emerging approach to control Fusarium head blight disease and mycotoxin contamination in cereals","URL":"https://onlinelibrary.wiley.com/doi/abs/10.1002/ps.4748","volume":"74","author":[{"family":"Machado","given":"Ana Karla"},{"family":"Brown","given":"Neil A."},{"family":"Urban","give</w:instrText>
      </w:r>
      <w:r w:rsidR="00E25D54">
        <w:rPr>
          <w:rFonts w:hint="eastAsia"/>
        </w:rPr>
        <w:instrText>n":"Martin"},{"family":"Kanyuka","given":"Kostya"},{"family":"Hammond</w:instrText>
      </w:r>
      <w:r w:rsidR="00E25D54">
        <w:rPr>
          <w:rFonts w:hint="eastAsia"/>
        </w:rPr>
        <w:instrText>‐</w:instrText>
      </w:r>
      <w:r w:rsidR="00E25D54">
        <w:rPr>
          <w:rFonts w:hint="eastAsia"/>
        </w:rPr>
        <w:instrText>Kosack","given":"Kim E."}],"accessed":{"date-parts":[["2019",12,9]]},"issued":{"date-parts":[["2018"]]}},"label":"page"},{"id":10290,"uris":["http://zotero.org/groups/2352922/items/HPKW</w:instrText>
      </w:r>
      <w:r w:rsidR="00E25D54">
        <w:instrText xml:space="preserve">YWTC"],"itemData":{"id":10290,"type":"article-journal","abstract":"RNA on the Attack\nPlant microbial pathogens often work through protein effectors that are delivered into the plant cells to disrupt critical cellular functions. Weiberg et al. (p. 118; see the Perspective by Baulcombe) have now found that small RNAs (sRNAs) of the fungus Botrytis cinerea can play a similar role. After fungal infection of tomato or Arabidopsis leaves, the plant cells contained a suite of fungal-derived sRNAs. Three sRNAs were found to bind to the plant's own Argonaute protein, thereby silencing the plant's fungal defense genes.\nBotrytis cinerea, the causative agent of gray mold disease, is an aggressive fungal pathogen that infects more than 200 plant species. Here, we show that some B. cinerea small RNAs (Bc-sRNAs) can silence Arabidopsis and tomato genes involved in immunity. These Bc-sRNAs hijack the host RNA interference (RNAi) machinery by binding to Arabidopsis Argonaute 1 (AGO1) and selectively silencing host immunity genes. The Arabidopsis ago1 mutant exhibits reduced susceptibility to B. cinerea, and the B. cinerea dcl1 dcl2 double mutant that can no longer produce these Bc-sRNAs displays reduced pathogenicity on Arabidopsis and tomato. Thus, this fungal pathogen transfers “virulent” sRNA effectors into host plant cells to suppress host immunity and achieve infection, which demonstrates a naturally occurring cross-kingdom RNAi as an advanced virulence mechanism.\nA pathogenic fungus delivers small RNA molecules to disable gene regulatory systems in the target plant. [Also see Perspective by Baulcombe]\nA pathogenic fungus delivers small RNA molecules to disable gene regulatory systems in the target plant. [Also see Perspective by Baulcombe]","container-title":"Science","DOI":"10.1126/science.1239705","ISSN":"0036-8075, 1095-9203","issue":"6154","language":"en","license":"Copyright © 2013, American Association for the Advancement of Science","note":"publisher: American Association for the Advancement of Science\nsection: Report\nPMID: 24092744","page":"118-123","source":"science.sciencemag.org","title":"Fungal Small RNAs Suppress Plant Immunity by Hijacking Host RNA Interference Pathways","URL":"https://science.sciencemag.org/content/342/6154/118","volume":"342","author":[{"family":"Weiberg","given":"Arne"},{"family":"Wang","given":"Ming"},{"family":"Lin","given":"Feng-Mao"},{"family":"Zhao","given":"Hongwei"},{"family":"Zhang","given":"Zhihong"},{"family":"Kaloshian","given":"Isgouhi"},{"family":"Huang","given":"Hsien-Da"},{"family":"Jin","given":"Hailing"}],"accessed":{"date-parts":[["2020",8,17]]},"issued":{"date-parts":[["2013",10,4]]}},"label":"page"}],"schema":"https://github.com/citation-style-language/schema/raw/master/csl-citation.json"} </w:instrText>
      </w:r>
      <w:r w:rsidRPr="00837161">
        <w:fldChar w:fldCharType="separate"/>
      </w:r>
      <w:r w:rsidR="00271B78" w:rsidRPr="00271B78">
        <w:t>(Koch et al., 2017; Machado et al., 2018; Weiberg et al., 2013)</w:t>
      </w:r>
      <w:r w:rsidRPr="00837161">
        <w:fldChar w:fldCharType="end"/>
      </w:r>
      <w:r w:rsidRPr="00837161">
        <w:t xml:space="preserve">, invasive alien plants such as </w:t>
      </w:r>
      <w:r w:rsidRPr="00837161">
        <w:rPr>
          <w:i/>
          <w:iCs/>
        </w:rPr>
        <w:t>Phragmites</w:t>
      </w:r>
      <w:r w:rsidR="005267E7" w:rsidRPr="00837161">
        <w:rPr>
          <w:i/>
          <w:iCs/>
        </w:rPr>
        <w:t xml:space="preserve"> </w:t>
      </w:r>
      <w:r w:rsidR="005267E7" w:rsidRPr="00837161">
        <w:rPr>
          <w:iCs/>
        </w:rPr>
        <w:t>(reed</w:t>
      </w:r>
      <w:r w:rsidR="007A1A39" w:rsidRPr="00837161">
        <w:rPr>
          <w:iCs/>
        </w:rPr>
        <w:t>;</w:t>
      </w:r>
      <w:r w:rsidRPr="00837161">
        <w:t xml:space="preserve"> </w:t>
      </w:r>
      <w:r w:rsidR="005E3FF1" w:rsidRPr="00837161">
        <w:fldChar w:fldCharType="begin"/>
      </w:r>
      <w:r w:rsidR="000F35EB">
        <w:instrText xml:space="preserve"> ADDIN ZOTERO_ITEM CSL_CITATION {"citationID":"3XrbbPLd","properties":{"formattedCitation":"(Hazelton et al., 2014)","plainCitation":"(Hazelton et al., 2014)","dontUpdate":true,"noteIndex":0},"citationItems":[{"id":11455,"uris":["http://zotero.org/groups/2352922/items/FD6ALDPF"],"itemData":{"id":11455,"type":"article-journal","container-title":"AoB PLANTS","DOI":"10.1093/aobpla/plu001","ISSN":"2041-2851","language":"en","page":"plu001","source":"DOI.org (Crossref)","title":"&lt;i&gt;Phragmites australis&lt;/i&gt; management in the United States: 40 years of methods and outcomes","title-short":"Phragmites australis management in the United States","URL":"https://academic.oup.com/aobpla/article/doi/10.1093/aobpla/plu001/155942","volume":"6","author":[{"family":"Hazelton","given":"Eric L. G."},{"family":"Mozdzer","given":"Thomas J."},{"family":"Burdick","given":"David M."},{"family":"Kettenring","given":"Karin M."},{"family":"Whigham","given":"Dennis F."}],"accessed":{"date-parts":[["2020",7,17]]},"issued":{"date-parts":[["2014",1,1]]}},"label":"page"}],"schema":"https://github.com/citation-style-language/schema/raw/master/csl-citation.json"} </w:instrText>
      </w:r>
      <w:r w:rsidR="005E3FF1" w:rsidRPr="00837161">
        <w:fldChar w:fldCharType="separate"/>
      </w:r>
      <w:r w:rsidR="004D0DA7" w:rsidRPr="00837161">
        <w:t>Hazelton et al., 2014)</w:t>
      </w:r>
      <w:r w:rsidR="005E3FF1" w:rsidRPr="00837161">
        <w:fldChar w:fldCharType="end"/>
      </w:r>
      <w:r w:rsidR="00C16EEB">
        <w:t xml:space="preserve"> and</w:t>
      </w:r>
      <w:r w:rsidRPr="00837161">
        <w:t xml:space="preserve"> invasive alien ants </w:t>
      </w:r>
      <w:r w:rsidRPr="00837161">
        <w:fldChar w:fldCharType="begin"/>
      </w:r>
      <w:r w:rsidR="000F35EB">
        <w:instrText xml:space="preserve"> ADDIN ZOTERO_ITEM CSL_CITATION {"citationID":"GOfThznr","properties":{"formattedCitation":"(Gruber et al., 2017)","plainCitation":"(Gruber et al., 2017)","noteIndex":0},"citationItems":[{"id":16745,"uris":["http://zotero.org/groups/2352922/items/JJGQXCZF"],"itemData":{"id":16745,"type":"article-journal","abstract":"Social insects host a diversity of viruses. We examined New Zealand populations of the globally widely distributed invasive Argentine ant (Linepithema humile) for RNA viruses. We used metatranscriptomic analysis, which identified six potential novel viruses in the Dicistroviridae family. Of these, three contigs were confirmed by Sanger sequencing as Linepithema humile virus-1 (LHUV-1), a novel strain of Kashmir bee virus (KBV) and Black queen cell virus (BQCV), while the others were chimeric or misassembled sequences. We extended the known sequence of LHUV-1 to confirm its placement in the Dicistroviridae and categorised its relationship to closest relatives, which were all viruses infecting Hymenoptera. We examined further for known viruses by mapping our metatranscriptomic sequences to all viral genomes, and confirmed KBV, BQCV, LHUV-1 and Deformed wing virus (DWV) presence using qRT-PCR. Viral replication was confirmed for DWV, KBV and LHUV-1. Viral titers in ants were higher in the presence of honey bee hives. Argentine ants appear to host a range of’ honey bee’ pathogens in addition to a virus currently described only from this invasive ant. The role of these viruses in the population dynamics of the ant remain to be determined, but offer potential targets for biocontrol approaches.","container-title":"Scientific Reports","DOI":"10.1038/s41598-017-03508-z","ISSN":"2045-2322","issue":"1","journalAbbreviation":"Sci Rep","language":"en","license":"2017 The Author(s)","page":"3304","source":"www.nature.com","title":"Single-stranded RNA viruses infecting the invasive Argentine ant, &lt;i&gt;Linepithema humile&lt;/i&gt;","URL":"https://www.nature.com/articles/s41598-017-03508-z","volume":"7","author":[{"family":"Gruber","given":"M. A. M."},{"family":"Cooling","given":"Meghan"},{"family":"Baty","given":"James W."},{"family":"Buckley","given":"Kevin"},{"family":"Friedlander","given":"Anna"},{"family":"Quinn","given":"Oliver"},{"family":"Russell","given":"Jessica F. E. J."},{"family":"Sébastien","given":"Alexandra"},{"family":"Lester","given":"Philip J."}],"accessed":{"date-parts":[["2019",12,9]]},"issued":{"date-parts":[["2017",6,12]]}},"label":"page"}],"schema":"https://github.com/citation-style-language/schema/raw/master/csl-citation.json"} </w:instrText>
      </w:r>
      <w:r w:rsidRPr="00837161">
        <w:fldChar w:fldCharType="separate"/>
      </w:r>
      <w:r w:rsidR="00271B78" w:rsidRPr="00271B78">
        <w:t>(Gruber et al., 2017)</w:t>
      </w:r>
      <w:r w:rsidRPr="00837161">
        <w:fldChar w:fldCharType="end"/>
      </w:r>
      <w:r w:rsidRPr="00837161">
        <w:t>, moths (</w:t>
      </w:r>
      <w:r w:rsidR="00D46208" w:rsidRPr="00837161">
        <w:t>e.g.</w:t>
      </w:r>
      <w:r w:rsidRPr="00837161">
        <w:t xml:space="preserve">, </w:t>
      </w:r>
      <w:r w:rsidRPr="00837161">
        <w:rPr>
          <w:i/>
        </w:rPr>
        <w:t>Helicoverpa armigera</w:t>
      </w:r>
      <w:r w:rsidR="0003339C" w:rsidRPr="00837161">
        <w:t xml:space="preserve"> </w:t>
      </w:r>
      <w:r w:rsidR="009F0C4C" w:rsidRPr="00837161">
        <w:t>(</w:t>
      </w:r>
      <w:r w:rsidR="0003339C" w:rsidRPr="00837161">
        <w:t>cotton bollworm</w:t>
      </w:r>
      <w:r w:rsidR="009F0C4C" w:rsidRPr="00837161">
        <w:t>)</w:t>
      </w:r>
      <w:r w:rsidRPr="00837161">
        <w:t xml:space="preserve">; </w:t>
      </w:r>
      <w:r w:rsidRPr="00837161">
        <w:fldChar w:fldCharType="begin"/>
      </w:r>
      <w:r w:rsidR="000F35EB">
        <w:instrText xml:space="preserve"> ADDIN ZOTERO_ITEM CSL_CITATION {"citationID":"3M1n8CqD","properties":{"formattedCitation":"(Z. X. Lim et al., 2016)","plainCitation":"(Z. X. Lim et al., 2016)","dontUpdate":true,"noteIndex":0},"citationItems":[{"id":16744,"uris":["http://zotero.org/groups/2352922/items/6G6KYUV9"],"itemData":{"id":16744,"type":"article-journal","abstract":"Helicoverpa armigera (the cotton bollworm) is a significant agricultural pest endemic to Afro-Eurasia and Oceania. Gene suppression via RNA interference (RNAi) presents a potential avenue for management of the pest, which is highly resistant to traditional insecticide sprays. This article reviews current understanding on the fate of ingested double-stranded RNA in H. armigera. Existing in vivo studies on diet-delivered RNAi and their effects are summarized and followed by a discussion on the factors and hurdles affecting the efficacy of diet-delivered RNAi in H. armigera.","container-title":"Journal of Insect Physiology","DOI":"10.1016/j.jinsphys.2015.11.005","ISSN":"0022-1910","journalAbbreviation":"Journal of Insect Physiology","language":"en","page":"86-93","source":"ScienceDirect","title":"Diet-delivered RNAi in &lt;i&gt;Helicoverpa armigera&lt;/i&gt; – Progresses and challenges","URL":"http://www.sciencedirect.com/science/article/pii/S0022191015002152","volume":"85","author":[{"family":"Lim","given":"Zhi Xian"},{"family":"Robinson","given":"Karl E."},{"family":"Jain","given":"Ritesh G."},{"family":"Sharath Chandra","given":"G."},{"family":"Asokan","given":"R."},{"family":"Asgari","given":"Sassan"},{"family":"Mitter","given":"Neena"}],"accessed":{"date-parts":[["2019",12,9]]},"issued":{"date-parts":[["2016",2,1]]}},"label":"page"}],"schema":"https://github.com/citation-style-language/schema/raw/master/csl-citation.json"} </w:instrText>
      </w:r>
      <w:r w:rsidRPr="00837161">
        <w:fldChar w:fldCharType="separate"/>
      </w:r>
      <w:r w:rsidR="004D0DA7" w:rsidRPr="00837161">
        <w:t>Z. X. Lim et al., 2016)</w:t>
      </w:r>
      <w:r w:rsidRPr="00837161">
        <w:fldChar w:fldCharType="end"/>
      </w:r>
      <w:r w:rsidRPr="00837161">
        <w:t xml:space="preserve"> and </w:t>
      </w:r>
      <w:r w:rsidR="00BA3092" w:rsidRPr="00837161">
        <w:rPr>
          <w:i/>
        </w:rPr>
        <w:t>Aedes aegypti</w:t>
      </w:r>
      <w:r w:rsidR="00BA3092" w:rsidRPr="00837161">
        <w:t xml:space="preserve"> </w:t>
      </w:r>
      <w:r w:rsidRPr="00837161">
        <w:t>(</w:t>
      </w:r>
      <w:r w:rsidR="00BA3092" w:rsidRPr="00837161">
        <w:rPr>
          <w:iCs/>
        </w:rPr>
        <w:t>yellow fever mosquito</w:t>
      </w:r>
      <w:r w:rsidRPr="00837161">
        <w:t xml:space="preserve">; </w:t>
      </w:r>
      <w:r w:rsidRPr="00837161">
        <w:fldChar w:fldCharType="begin"/>
      </w:r>
      <w:r w:rsidR="000F35EB">
        <w:instrText xml:space="preserve"> ADDIN ZOTERO_ITEM CSL_CITATION {"citationID":"8JAvBmy9","properties":{"formattedCitation":"(Whyard et al., 2015)","plainCitation":"(Whyard et al., 2015)","dontUpdate":true,"noteIndex":0},"citationItems":[{"id":10927,"uris":["http://zotero.org/groups/2352922/items/CEGSHC2Q"],"itemData":{"id":10927,"type":"article-journal","abstract":"Mosquito-borne diseases threaten over half the world’s human population, making the need for environmentally-safe mosquito population control tools critical. The sterile insect technique (SIT) is a biological control method that can reduce pest insect populations by releasing a large number of sterile males to compete with wild males for female mates to reduce the number of progeny produced. Typically, males are sterilized using radiation, but such methods can reduce their mating competitiveness. The method is also most effective if only males are produced, but this requires the development of effective sex-sorting methods. Recent efforts to use transgenic methods to produce sterile male mosquitoes have increased interest in using SIT to control some of our most serious disease vectors, but the release of genetically modified mosquitoes will undoubtedly encounter considerable delays as regulatory agencies deal with safety issues and public concerns.","container-title":"Parasites &amp; Vectors","DOI":"10.1186/s13071-015-0716-6","ISSN":"1756-3305","issue":"1","journalAbbreviation":"Parasites &amp; Vectors","page":"96","source":"BioMed Central","title":"Silencing the buzz: a new approach to population suppression of mosquitoes by feeding larvae double-stranded RNAs","title-short":"Silencing the buzz","URL":"https://doi.org/10.1186/s13071-015-0716-6","volume":"8","author":[{"family":"Whyard","given":"Steve"},{"family":"Erdelyan","given":"Cassidy NG"},{"family":"Partridge","given":"Alison L."},{"family":"Singh","given":"Aditi D."},{"family":"Beebe","given":"Nigel W."},{"family":"Capina","given":"Rupert"}],"accessed":{"date-parts":[["2020",8,17]]},"issued":{"date-parts":[["2015",2,12]]}},"label":"page"}],"schema":"https://github.com/citation-style-language/schema/raw/master/csl-citation.json"} </w:instrText>
      </w:r>
      <w:r w:rsidRPr="00837161">
        <w:fldChar w:fldCharType="separate"/>
      </w:r>
      <w:r w:rsidR="004D0DA7" w:rsidRPr="00837161">
        <w:t>Whyard et al., 2015)</w:t>
      </w:r>
      <w:r w:rsidRPr="00837161">
        <w:fldChar w:fldCharType="end"/>
      </w:r>
      <w:r w:rsidRPr="00837161">
        <w:t xml:space="preserve">. </w:t>
      </w:r>
      <w:r w:rsidR="00912848">
        <w:t>RNAi</w:t>
      </w:r>
      <w:r w:rsidRPr="00837161">
        <w:t xml:space="preserve"> is also applicable to animal, zoonotic and human diseases. Linke et al. </w:t>
      </w:r>
      <w:r w:rsidRPr="00837161">
        <w:fldChar w:fldCharType="begin"/>
      </w:r>
      <w:r w:rsidR="000F35EB">
        <w:instrText xml:space="preserve"> ADDIN ZOTERO_ITEM CSL_CITATION {"citationID":"uyEzMk67","properties":{"formattedCitation":"(2016)","plainCitation":"(2016)","noteIndex":0},"citationItems":[{"id":30540,"uris":["http://zotero.org/groups/2352922/items/EQSTKZC5"],"itemData":{"id":30540,"type":"article-journal","container-title":"AMB Express","DOI":"10.1186/s13568-016-0187-y","ISSN":"2191-0855","issue":"1","journalAbbreviation":"AMB Expr","language":"en","page":"16","source":"DOI.org (Crossref)","title":"Inhibiting avian influenza virus shedding using a novel RNAi antiviral vector technology: proof of concept in an avian cell model","title-short":"Inhibiting avian influenza virus shedding using a novel RNAi antiviral vector technology","URL":"http://www.amb-express.com/content/6/1/16","volume":"6","author":[{"family":"Linke","given":"Lyndsey M."},{"family":"Wilusz","given":"Jeffrey"},{"family":"Pabilonia","given":"Kristy L."},{"family":"Fruehauf","given":"Johannes"},{"family":"Magnuson","given":"Roberta"},{"family":"Olea-Popelka","given":"Francisco"},{"family":"Triantis","given":"Joni"},{"family":"Landolt","given":"Gabriele"},{"family":"Salman","given":"Mo"}],"accessed":{"date-parts":[["2020",8,17]]},"issued":{"date-parts":[["2016",12]]}},"label":"page","suppress-author":true}],"schema":"https://github.com/citation-style-language/schema/raw/master/csl-citation.json"} </w:instrText>
      </w:r>
      <w:r w:rsidRPr="00837161">
        <w:fldChar w:fldCharType="separate"/>
      </w:r>
      <w:r w:rsidR="00271B78" w:rsidRPr="00271B78">
        <w:t>(2016)</w:t>
      </w:r>
      <w:r w:rsidRPr="00837161">
        <w:fldChar w:fldCharType="end"/>
      </w:r>
      <w:r w:rsidRPr="00837161">
        <w:t xml:space="preserve"> used bacterial vectors that targeted avian mucosal epithelial cells to deliver </w:t>
      </w:r>
      <w:r w:rsidR="00912848">
        <w:t>RNAi</w:t>
      </w:r>
      <w:r w:rsidRPr="00837161">
        <w:t xml:space="preserve"> against two avian influenza genes. In this application, </w:t>
      </w:r>
      <w:r w:rsidR="00912848">
        <w:t>RNAi</w:t>
      </w:r>
      <w:r w:rsidRPr="00837161">
        <w:t xml:space="preserve"> is injected into the tail of wild-caught female prawns. The offspring of these females can then be introduced into farm ponds with a reduced risk of introducing the diseases circulating within wild prawns – including the devastating disease, white spot. Advantages and disadvantages of </w:t>
      </w:r>
      <w:r w:rsidR="00912848">
        <w:t>RNAi</w:t>
      </w:r>
      <w:r w:rsidRPr="00837161">
        <w:t xml:space="preserve"> are given in </w:t>
      </w:r>
      <w:r w:rsidR="00191A6E">
        <w:rPr>
          <w:b/>
          <w:iCs/>
        </w:rPr>
        <w:t>Table 5.5</w:t>
      </w:r>
      <w:r w:rsidRPr="00837161">
        <w:t>.</w:t>
      </w:r>
    </w:p>
    <w:p w14:paraId="0000032D" w14:textId="4007B66E" w:rsidR="00A758FD" w:rsidRPr="00AC1F76" w:rsidRDefault="005E3FF1" w:rsidP="00AC1F76">
      <w:pPr>
        <w:keepNext/>
        <w:pBdr>
          <w:top w:val="nil"/>
          <w:left w:val="nil"/>
          <w:bottom w:val="nil"/>
          <w:right w:val="nil"/>
          <w:between w:val="nil"/>
        </w:pBdr>
        <w:spacing w:before="240" w:after="120" w:line="240" w:lineRule="auto"/>
        <w:rPr>
          <w:color w:val="000000"/>
        </w:rPr>
      </w:pPr>
      <w:bookmarkStart w:id="406" w:name="_Ref104971646"/>
      <w:bookmarkStart w:id="407" w:name="_Toc87553787"/>
      <w:bookmarkStart w:id="408" w:name="_Toc87623086"/>
      <w:bookmarkStart w:id="409" w:name="_Toc147489082"/>
      <w:r w:rsidRPr="0079215C">
        <w:rPr>
          <w:b/>
          <w:bCs/>
        </w:rPr>
        <w:t xml:space="preserve">Table </w:t>
      </w:r>
      <w:bookmarkStart w:id="410" w:name="_heading=h.3oy7u29" w:colFirst="0" w:colLast="0"/>
      <w:bookmarkEnd w:id="410"/>
      <w:r w:rsidR="00C81287" w:rsidRPr="0079215C">
        <w:rPr>
          <w:b/>
          <w:bCs/>
          <w:color w:val="000000" w:themeColor="text1"/>
        </w:rPr>
        <w:t>5</w:t>
      </w:r>
      <w:r w:rsidR="004F319D" w:rsidRPr="0079215C">
        <w:rPr>
          <w:b/>
          <w:bCs/>
        </w:rPr>
        <w:t>.</w:t>
      </w:r>
      <w:r w:rsidR="00975896" w:rsidRPr="0079215C">
        <w:rPr>
          <w:b/>
          <w:bCs/>
        </w:rPr>
        <w:fldChar w:fldCharType="begin"/>
      </w:r>
      <w:r w:rsidR="00975896" w:rsidRPr="0079215C">
        <w:rPr>
          <w:b/>
          <w:bCs/>
        </w:rPr>
        <w:instrText xml:space="preserve"> SEQ Table_5. \* ARABIC </w:instrText>
      </w:r>
      <w:r w:rsidR="00975896" w:rsidRPr="0079215C">
        <w:rPr>
          <w:b/>
          <w:bCs/>
        </w:rPr>
        <w:fldChar w:fldCharType="separate"/>
      </w:r>
      <w:r w:rsidR="00DC77F8" w:rsidRPr="0079215C">
        <w:rPr>
          <w:b/>
          <w:bCs/>
          <w:noProof/>
        </w:rPr>
        <w:t>5</w:t>
      </w:r>
      <w:r w:rsidR="00975896" w:rsidRPr="0079215C">
        <w:rPr>
          <w:b/>
          <w:bCs/>
        </w:rPr>
        <w:fldChar w:fldCharType="end"/>
      </w:r>
      <w:bookmarkEnd w:id="406"/>
      <w:r w:rsidR="000467CA" w:rsidRPr="0079215C">
        <w:rPr>
          <w:b/>
          <w:bCs/>
        </w:rPr>
        <w:t>.</w:t>
      </w:r>
      <w:r w:rsidR="00C81287" w:rsidRPr="0079215C">
        <w:rPr>
          <w:b/>
          <w:color w:val="000000" w:themeColor="text1"/>
        </w:rPr>
        <w:t xml:space="preserve"> </w:t>
      </w:r>
      <w:bookmarkEnd w:id="407"/>
      <w:bookmarkEnd w:id="408"/>
      <w:r w:rsidR="00C81287" w:rsidRPr="0079215C">
        <w:rPr>
          <w:color w:val="000000" w:themeColor="text1"/>
        </w:rPr>
        <w:t xml:space="preserve">The advantages (left column) and disadvantages (right column) of RNA interference in the context of </w:t>
      </w:r>
      <w:r w:rsidR="1FA911CB" w:rsidRPr="40428A01">
        <w:rPr>
          <w:rFonts w:eastAsia="Times New Roman"/>
          <w:color w:val="000000" w:themeColor="text1"/>
        </w:rPr>
        <w:t xml:space="preserve">controlling </w:t>
      </w:r>
      <w:r w:rsidR="1FA911CB">
        <w:t>invasive alien species</w:t>
      </w:r>
      <w:bookmarkEnd w:id="409"/>
      <w:r w:rsidR="1FA911CB" w:rsidRPr="00AC1F76">
        <w:rPr>
          <w:color w:val="000000" w:themeColor="text1"/>
        </w:rPr>
        <w:t xml:space="preserve"> </w:t>
      </w:r>
    </w:p>
    <w:p w14:paraId="0000032E" w14:textId="110564D4" w:rsidR="00A758FD" w:rsidRPr="00C0338D" w:rsidRDefault="00C81287">
      <w:r w:rsidRPr="00C0338D">
        <w:t xml:space="preserve">Summarized from information in </w:t>
      </w:r>
      <w:r w:rsidR="000467CA" w:rsidRPr="00837161">
        <w:fldChar w:fldCharType="begin"/>
      </w:r>
      <w:r w:rsidR="000F35EB">
        <w:instrText xml:space="preserve"> ADDIN ZOTERO_ITEM CSL_CITATION {"citationID":"YA2q55lB","properties":{"formattedCitation":"(Vogel et al., 2019)","plainCitation":"(Vogel et al., 2019)","dontUpdate":true,"noteIndex":0},"citationItems":[{"id":54173,"uris":["http://zotero.org/groups/2352922/items/YI3HQQ4X"],"itemData":{"id":54173,"type":"article-journal","abstract":"Insects constitute the largest and most diverse group of animals on Earth with an equally diverse virome. The main antiviral immune system of these animals is the post-transcriptional gene-silencing mechanism known as RNA(i) interference. Furthermore, this process can be artificially triggered via delivery of gene-specific double-stranded RNA molecules, leading to specific endogenous gene silencing. This is called RNAi technology and has important applications in several fields. In this paper, we review RNAi mechanisms in insects as well as the potential of RNAi technology to contribute to species-specific insecticidal strategies. Regarding this aspect, we cover the range of strategies considered and investigated so far, as well as their limitations and the most promising approaches to overcome them. Additionally, we discuss patterns of viral infection, specifically persistent and acute insect viral infections. In the latter case, we focus on infections affecting economically relevant species. Within this scope, we review the use of insect-specific viruses as bio-insecticides. Last, we discuss RNAi-based strategies to protect beneficial insects from harmful viral infections and their potential practical application. As a whole, this manuscript stresses the impact of insect viruses and RNAi technology in human life, highlighting clear lines of investigation within an exciting and promising field of research.","container-title":"Frontiers in Physiology","ISSN":"1664-042X","source":"Frontiers","title":"RNA Interference in Insects: Protecting Beneficials and Controlling Pests","title-short":"RNA Interference in Insects","URL":"https://www.frontiersin.org/articles/10.3389/fphys.2018.01912","volume":"9","author":[{"family":"Vogel","given":"Elise"},{"family":"Santos","given":"Dulce"},{"family":"Mingels","given":"Lina"},{"family":"Verdonckt","given":"Thomas-Wolf"},{"family":"Broeck","given":"Jozef Vanden"}],"accessed":{"date-parts":[["2023",1,24]]},"issued":{"date-parts":[["2019"]]}},"label":"page"}],"schema":"https://github.com/citation-style-language/schema/raw/master/csl-citation.json"} </w:instrText>
      </w:r>
      <w:r w:rsidR="000467CA" w:rsidRPr="00837161">
        <w:fldChar w:fldCharType="separate"/>
      </w:r>
      <w:r w:rsidR="000467CA" w:rsidRPr="00837161">
        <w:t>Vogel et al. (2019)</w:t>
      </w:r>
      <w:r w:rsidR="000467CA" w:rsidRPr="00837161">
        <w:fldChar w:fldCharType="end"/>
      </w:r>
    </w:p>
    <w:tbl>
      <w:tblPr>
        <w:tblW w:w="935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A0" w:firstRow="1" w:lastRow="0" w:firstColumn="1" w:lastColumn="0" w:noHBand="0" w:noVBand="1"/>
      </w:tblPr>
      <w:tblGrid>
        <w:gridCol w:w="4675"/>
        <w:gridCol w:w="4675"/>
      </w:tblGrid>
      <w:tr w:rsidR="00A758FD" w14:paraId="1EAF0A7D" w14:textId="77777777" w:rsidTr="0079215C">
        <w:tc>
          <w:tcPr>
            <w:tcW w:w="4675" w:type="dxa"/>
          </w:tcPr>
          <w:p w14:paraId="0000032F" w14:textId="77777777" w:rsidR="00A758FD" w:rsidRPr="00C0338D" w:rsidRDefault="00C81287">
            <w:r w:rsidRPr="00C0338D">
              <w:t>Advantages</w:t>
            </w:r>
          </w:p>
        </w:tc>
        <w:tc>
          <w:tcPr>
            <w:tcW w:w="4675" w:type="dxa"/>
          </w:tcPr>
          <w:p w14:paraId="00000330" w14:textId="77777777" w:rsidR="00A758FD" w:rsidRPr="00C0338D" w:rsidRDefault="00C81287">
            <w:r w:rsidRPr="00C0338D">
              <w:t>Disadvantages</w:t>
            </w:r>
          </w:p>
        </w:tc>
      </w:tr>
      <w:tr w:rsidR="00A758FD" w14:paraId="3C321E39" w14:textId="77777777" w:rsidTr="0079215C">
        <w:tc>
          <w:tcPr>
            <w:tcW w:w="4675" w:type="dxa"/>
          </w:tcPr>
          <w:p w14:paraId="00000331" w14:textId="77777777" w:rsidR="00A758FD" w:rsidRPr="00C0338D" w:rsidRDefault="00C81287">
            <w:r w:rsidRPr="00C0338D">
              <w:t>Exogenous RNA interference does not use a genetically modified technology (free of genetically modified regulatory requirements in most jurisdictions)</w:t>
            </w:r>
          </w:p>
          <w:p w14:paraId="00000332" w14:textId="77777777" w:rsidR="00A758FD" w:rsidRPr="00C0338D" w:rsidRDefault="00A758FD"/>
        </w:tc>
        <w:tc>
          <w:tcPr>
            <w:tcW w:w="4675" w:type="dxa"/>
          </w:tcPr>
          <w:p w14:paraId="00000333" w14:textId="77777777" w:rsidR="00A758FD" w:rsidRPr="00C0338D" w:rsidRDefault="00C81287">
            <w:r w:rsidRPr="00C0338D">
              <w:t>Endogenous RNA interference use required genetically modified targets (Subject to genetically modified regulations); exogenous RNA interference may require regulatory review in some jurisdictions</w:t>
            </w:r>
          </w:p>
        </w:tc>
      </w:tr>
      <w:tr w:rsidR="00A758FD" w14:paraId="69BE4F1D" w14:textId="77777777" w:rsidTr="0079215C">
        <w:tc>
          <w:tcPr>
            <w:tcW w:w="4675" w:type="dxa"/>
          </w:tcPr>
          <w:p w14:paraId="00000334" w14:textId="77777777" w:rsidR="00A758FD" w:rsidRPr="00C0338D" w:rsidRDefault="00C81287">
            <w:r w:rsidRPr="00C0338D">
              <w:t>Highly- specific and yet adaptable to many species</w:t>
            </w:r>
          </w:p>
        </w:tc>
        <w:tc>
          <w:tcPr>
            <w:tcW w:w="4675" w:type="dxa"/>
          </w:tcPr>
          <w:p w14:paraId="00000335" w14:textId="77777777" w:rsidR="00A758FD" w:rsidRPr="00C0338D" w:rsidRDefault="00C81287">
            <w:r w:rsidRPr="00C0338D">
              <w:t>Limited to one target invasive alien species for each application</w:t>
            </w:r>
          </w:p>
        </w:tc>
      </w:tr>
      <w:tr w:rsidR="00A758FD" w14:paraId="44EE06A4" w14:textId="77777777" w:rsidTr="0079215C">
        <w:tc>
          <w:tcPr>
            <w:tcW w:w="4675" w:type="dxa"/>
          </w:tcPr>
          <w:p w14:paraId="00000336" w14:textId="77777777" w:rsidR="00A758FD" w:rsidRPr="00C0338D" w:rsidRDefault="00C81287">
            <w:r w:rsidRPr="00C0338D">
              <w:lastRenderedPageBreak/>
              <w:t xml:space="preserve">Wide range of potential target genes could be targeted </w:t>
            </w:r>
          </w:p>
        </w:tc>
        <w:tc>
          <w:tcPr>
            <w:tcW w:w="4675" w:type="dxa"/>
          </w:tcPr>
          <w:p w14:paraId="00000337" w14:textId="77777777" w:rsidR="00A758FD" w:rsidRPr="00C0338D" w:rsidRDefault="00C81287">
            <w:r w:rsidRPr="00C0338D">
              <w:t xml:space="preserve">Requires an annotated genome of target for gene selection </w:t>
            </w:r>
          </w:p>
        </w:tc>
      </w:tr>
      <w:tr w:rsidR="00A758FD" w14:paraId="7A81AC1F" w14:textId="77777777" w:rsidTr="0079215C">
        <w:tc>
          <w:tcPr>
            <w:tcW w:w="4675" w:type="dxa"/>
          </w:tcPr>
          <w:p w14:paraId="00000338" w14:textId="77777777" w:rsidR="00A758FD" w:rsidRPr="00C0338D" w:rsidRDefault="00C81287">
            <w:r w:rsidRPr="00C0338D">
              <w:t xml:space="preserve">Non-chemical (biological) and hence negligible impact on the environment </w:t>
            </w:r>
          </w:p>
        </w:tc>
        <w:tc>
          <w:tcPr>
            <w:tcW w:w="4675" w:type="dxa"/>
          </w:tcPr>
          <w:p w14:paraId="00000339" w14:textId="77777777" w:rsidR="00A758FD" w:rsidRPr="00C0338D" w:rsidRDefault="00C81287">
            <w:r w:rsidRPr="00C0338D">
              <w:t xml:space="preserve">Poorly stable in the environment so requires an effective encapsulation and delivery mechanism </w:t>
            </w:r>
          </w:p>
        </w:tc>
      </w:tr>
      <w:tr w:rsidR="00A758FD" w14:paraId="5BB52CB4" w14:textId="77777777" w:rsidTr="0079215C">
        <w:tc>
          <w:tcPr>
            <w:tcW w:w="4675" w:type="dxa"/>
          </w:tcPr>
          <w:p w14:paraId="0000033A" w14:textId="77777777" w:rsidR="00A758FD" w:rsidRPr="00C0338D" w:rsidRDefault="00C81287">
            <w:r w:rsidRPr="00C0338D">
              <w:t>Likely social and has market acceptability</w:t>
            </w:r>
          </w:p>
        </w:tc>
        <w:tc>
          <w:tcPr>
            <w:tcW w:w="4675" w:type="dxa"/>
          </w:tcPr>
          <w:p w14:paraId="0000033B" w14:textId="77777777" w:rsidR="00A758FD" w:rsidRPr="00C0338D" w:rsidRDefault="00C81287">
            <w:r w:rsidRPr="00C0338D">
              <w:t>Likely to be expensive until biotech develops low-cost production systems</w:t>
            </w:r>
          </w:p>
        </w:tc>
      </w:tr>
      <w:tr w:rsidR="00A758FD" w14:paraId="5080D094" w14:textId="77777777" w:rsidTr="0079215C">
        <w:tc>
          <w:tcPr>
            <w:tcW w:w="4675" w:type="dxa"/>
          </w:tcPr>
          <w:p w14:paraId="0000033C" w14:textId="77777777" w:rsidR="00A758FD" w:rsidRPr="00C0338D" w:rsidRDefault="00C81287">
            <w:r w:rsidRPr="00C0338D">
              <w:t xml:space="preserve">Target resistance development can be quickly countered through realigning RNA interference sequence to the resistance gene </w:t>
            </w:r>
          </w:p>
        </w:tc>
        <w:tc>
          <w:tcPr>
            <w:tcW w:w="4675" w:type="dxa"/>
          </w:tcPr>
          <w:p w14:paraId="0000033D" w14:textId="77777777" w:rsidR="00A758FD" w:rsidRPr="00C0338D" w:rsidRDefault="00C81287">
            <w:r w:rsidRPr="00C0338D">
              <w:t xml:space="preserve">Sequence homology in other species, </w:t>
            </w:r>
          </w:p>
        </w:tc>
      </w:tr>
      <w:tr w:rsidR="00A758FD" w14:paraId="78CE99C6" w14:textId="77777777" w:rsidTr="0079215C">
        <w:tc>
          <w:tcPr>
            <w:tcW w:w="4675" w:type="dxa"/>
          </w:tcPr>
          <w:p w14:paraId="0000033E" w14:textId="77777777" w:rsidR="00A758FD" w:rsidRPr="00C0338D" w:rsidRDefault="00C81287">
            <w:r w:rsidRPr="00C0338D">
              <w:t>Can improve, facilitate or supplement existing strategies when used in the context of an integrated pest management strategy</w:t>
            </w:r>
          </w:p>
        </w:tc>
        <w:tc>
          <w:tcPr>
            <w:tcW w:w="4675" w:type="dxa"/>
          </w:tcPr>
          <w:p w14:paraId="0000033F" w14:textId="77777777" w:rsidR="00A758FD" w:rsidRPr="00C0338D" w:rsidRDefault="00C81287">
            <w:r w:rsidRPr="00C0338D">
              <w:t>Lack of uptake by some species</w:t>
            </w:r>
          </w:p>
        </w:tc>
      </w:tr>
    </w:tbl>
    <w:p w14:paraId="00000340" w14:textId="11618B33" w:rsidR="00A758FD" w:rsidRPr="00C0338D" w:rsidRDefault="00927243">
      <w:pPr>
        <w:spacing w:before="240" w:after="120" w:line="240" w:lineRule="auto"/>
      </w:pPr>
      <w:bookmarkStart w:id="411" w:name="_heading=h.243i4a2" w:colFirst="0" w:colLast="0"/>
      <w:bookmarkStart w:id="412" w:name="_Hlk112931400"/>
      <w:bookmarkEnd w:id="411"/>
      <w:r w:rsidRPr="00837161">
        <w:t xml:space="preserve">Mutations in the RNAi machinery of the target organism might </w:t>
      </w:r>
      <w:r w:rsidR="00293AA1" w:rsidRPr="00837161">
        <w:t>compromise</w:t>
      </w:r>
      <w:r w:rsidRPr="00837161">
        <w:t xml:space="preserve"> RNAi effective</w:t>
      </w:r>
      <w:r w:rsidR="00293AA1" w:rsidRPr="00837161">
        <w:t xml:space="preserve">ness </w:t>
      </w:r>
      <w:r w:rsidR="00F77EE7" w:rsidRPr="00837161">
        <w:fldChar w:fldCharType="begin"/>
      </w:r>
      <w:r w:rsidR="000F35EB">
        <w:instrText xml:space="preserve"> ADDIN ZOTERO_ITEM CSL_CITATION {"citationID":"531bIFVb","properties":{"formattedCitation":"(Khajuria et al., 2018)","plainCitation":"(Khajuria et al., 2018)","noteIndex":0},"citationItems":[{"id":53138,"uris":["http://zotero.org/groups/2352922/items/FZEBL4AL"],"itemData":{"id":53138,"type":"article-journal","abstract":"The use of dsRNA to control insect pests via the RNA interference (RNAi) pathway is being explored by researchers globally. However, with every new class of insect control compounds, the evolution of insect resistance needs to be considered, and understanding resistance mechanisms is essential in designing durable technologies and effective resistance management strategies. To gain insight into insect resistance to dsRNA, a field screen with subsequent laboratory selection was used to establish a population of DvSnf7 dsRNA-resistant western corn rootworm, Diabrotica virgifera virgifera, a major maize insect pest. WCR resistant to ingested DvSnf7 dsRNA had impaired luminal uptake and resistance was not DvSnf7 dsRNA-specific, as indicated by cross resistance to all other dsRNAs tested. No resistance to the Bacillus thuringiensis Cry3Bb1 protein was observed. DvSnf7 dsRNA resistance was inherited recessively, located on a single locus, and autosomal. Together these findings will provide insights for dsRNA deployment for insect pest control.","container-title":"PLoS ONE","DOI":"10.1371/journal.pone.0197059","ISSN":"1932-6203","issue":"5","journalAbbreviation":"PLOS ONE","language":"en","note":"publisher: Public Library of Science","page":"e0197059","source":"PLoS Journals","title":"Development and characterization of the first dsRNA-resistant insect population from western corn rootworm, &lt;i&gt;Diabrotica virgifera virgifera&lt;/i&gt; LeConte","URL":"https://journals.plos.org/plosone/article?id=10.1371/journal.pone.0197059","volume":"13","author":[{"family":"Khajuria","given":"Chitvan"},{"family":"Ivashuta","given":"Sergey"},{"family":"Wiggins","given":"Elizabeth"},{"family":"Flagel","given":"Lex"},{"family":"Moar","given":"William"},{"family":"Pleau","given":"Michael"},{"family":"Miller","given":"Kaylee"},{"family":"Zhang","given":"Yuanji"},{"family":"Ramaseshadri","given":"Parthasarathy"},{"family":"Jiang","given":"Changjian"},{"family":"Hodge","given":"Tracey"},{"family":"Jensen","given":"Peter"},{"family":"Chen","given":"Mao"},{"family":"Gowda","given":"Anilkumar"},{"family":"McNulty","given":"Brian"},{"family":"Vazquez","given":"Cara"},{"family":"Bolognesi","given":"Renata"},{"family":"Haas","given":"Jeffrey"},{"family":"Head","given":"Graham"},{"family":"Clark","given":"Thomas"}],"accessed":{"date-parts":[["2022",9,1]]},"issued":{"date-parts":[["2018",5,14]]}},"label":"page"}],"schema":"https://github.com/citation-style-language/schema/raw/master/csl-citation.json"} </w:instrText>
      </w:r>
      <w:r w:rsidR="00F77EE7" w:rsidRPr="00837161">
        <w:fldChar w:fldCharType="separate"/>
      </w:r>
      <w:r w:rsidR="00271B78" w:rsidRPr="00271B78">
        <w:t>(Khajuria et al., 2018)</w:t>
      </w:r>
      <w:r w:rsidR="00F77EE7" w:rsidRPr="00837161">
        <w:fldChar w:fldCharType="end"/>
      </w:r>
      <w:r w:rsidR="005B03B3" w:rsidRPr="00837161">
        <w:t>.</w:t>
      </w:r>
      <w:r w:rsidR="00C81287" w:rsidRPr="00C0338D">
        <w:t xml:space="preserve"> </w:t>
      </w:r>
      <w:bookmarkEnd w:id="412"/>
      <w:r w:rsidR="00C81287" w:rsidRPr="00C0338D">
        <w:t xml:space="preserve">Should a target evolve resistance, the dsRNA molecules can be quickly redesigned to circumvent the resistance gene mutations. In plant pathogens such as viruses, where any treatment is difficult, or for fungal pathogens where increasingly virulent strains emerge, or fungicide resistance is developing, </w:t>
      </w:r>
      <w:r w:rsidR="00912848">
        <w:t>RNAi</w:t>
      </w:r>
      <w:r w:rsidR="00C81287" w:rsidRPr="00C0338D">
        <w:t xml:space="preserve"> provides strong new potential opportunities. The key challenge in the development of an </w:t>
      </w:r>
      <w:r w:rsidR="00912848">
        <w:t>RNAi</w:t>
      </w:r>
      <w:r w:rsidR="00C81287" w:rsidRPr="00C0338D">
        <w:t xml:space="preserve"> application lies in formulating the product to deliver the dsRNA effectively to the target animals and the relevant target cells. </w:t>
      </w:r>
    </w:p>
    <w:p w14:paraId="00000341" w14:textId="6625D8CD" w:rsidR="00A758FD" w:rsidRPr="00C0338D" w:rsidRDefault="00C81287">
      <w:pPr>
        <w:spacing w:before="240" w:after="120" w:line="240" w:lineRule="auto"/>
      </w:pPr>
      <w:r w:rsidRPr="00C0338D">
        <w:t xml:space="preserve">The exogenous use of this approach is generally considered safe and does not require regulation in some countries. The only material concerns seem to be persistence of the formulated delivery systems, but new stable formulations are being developed. If nanotechnology is used, then separate concerns may arise from this. It is anticipated that the technology will gain reasonable community acceptance. </w:t>
      </w:r>
      <w:r w:rsidR="009446CF" w:rsidRPr="00837161">
        <w:t xml:space="preserve">As this approach is still relatively new with technical challenges still to be addressed there remain very few cases </w:t>
      </w:r>
      <w:r w:rsidR="54E28DCE" w:rsidRPr="00837161">
        <w:t>w</w:t>
      </w:r>
      <w:r w:rsidR="6D8E2282" w:rsidRPr="00837161">
        <w:t>h</w:t>
      </w:r>
      <w:r w:rsidR="54E28DCE" w:rsidRPr="00837161">
        <w:t>ere</w:t>
      </w:r>
      <w:r w:rsidR="009446CF" w:rsidRPr="00837161">
        <w:t xml:space="preserve"> </w:t>
      </w:r>
      <w:r w:rsidR="00912848">
        <w:t>RNAi</w:t>
      </w:r>
      <w:r w:rsidR="009446CF" w:rsidRPr="00837161">
        <w:t xml:space="preserve"> as a topical application has provided effective invasive alien species management </w:t>
      </w:r>
      <w:r w:rsidR="00AF3410" w:rsidRPr="00837161">
        <w:fldChar w:fldCharType="begin"/>
      </w:r>
      <w:r w:rsidR="000F35EB">
        <w:instrText xml:space="preserve"> ADDIN ZOTERO_ITEM CSL_CITATION {"citationID":"2Bzi5oAo","properties":{"formattedCitation":"(Das &amp; Sherif, 2020)","plainCitation":"(Das &amp; Sherif, 2020)","noteIndex":0},"citationItems":[{"id":30964,"uris":["http://zotero.org/groups/2352922/items/PFNTW7BI"],"itemData":{"id":30964,"type":"article-journal","abstract":"In recent years, RNA interference (RNAi) machinery has widely been explored by plant biologists for its potential applications in disease management, plant development, and germplasm improvement. RNAi-based technologies have mainly been applied in the form of transgenic plant generation and host-induced-gene-silencing (HIGS). However, the approval of RNAi-based transgenic plants has always been challenging due to the proclaimed concerns surrounding their impacts on human health and the environment. Lately, exogenous applications of double-stranded RNAs (dsRNAs), short interfering RNAs (siRNAs), and hairpin RNAs (hpRNAs) has emerged as another technology that could be regarded as more eco-friendly, sustainable, and publicly acceptable than genetic transformation. Inside the plant cell, dsRNAs can undergo several steps of processing, which not only triggers RNAi machinery but may also involve transitive and systemic silencing, as well as epigenetic modifications. Therefore, along with the considerations of proper exogenous applications of dsRNAs, defining their final destination into plant cells is highly relevant. In this review, we highlighted the significance of several factors that affect dsRNA-induced gene silencing, the fate of exogenous dsRNAs in the plant cell, and the challenges surrounding production technologies, cost-effectiveness, and dsRNAs stability under open-field conditions. This review also provided insights into the potential applications of exogenous dsRNAs in plant protection and crop improvement.","container-title":"Frontiers in Plant Science","DOI":"10.3389/fpls.2020.00946","ISSN":"1664-462X","page":"946","source":"Frontiers","title":"Application of Exogenous dsRNAs-induced RNAi in Agriculture: Challenges and Triumphs","title-short":"Application of Exogenous dsRNAs-induced RNAi in Agriculture","URL":"https://www.frontiersin.org/article/10.3389/fpls.2020.00946","volume":"11","author":[{"family":"Das","given":"Protiva Rani"},{"family":"Sherif","given":"Sherif M."}],"accessed":{"date-parts":[["2021",11,8]]},"issued":{"date-parts":[["2020"]]}},"label":"page"}],"schema":"https://github.com/citation-style-language/schema/raw/master/csl-citation.json"} </w:instrText>
      </w:r>
      <w:r w:rsidR="00AF3410" w:rsidRPr="00837161">
        <w:fldChar w:fldCharType="separate"/>
      </w:r>
      <w:r w:rsidR="00271B78" w:rsidRPr="00271B78">
        <w:t>(Das &amp; Sherif, 2020)</w:t>
      </w:r>
      <w:r w:rsidR="00AF3410" w:rsidRPr="00837161">
        <w:fldChar w:fldCharType="end"/>
      </w:r>
      <w:r w:rsidR="009446CF" w:rsidRPr="00837161">
        <w:t>.</w:t>
      </w:r>
      <w:r w:rsidRPr="00C0338D">
        <w:t xml:space="preserve"> The method could become the next generation of pesticides or may improve the cost-effectiveness by replacing irradiation for the sterile insect technique (</w:t>
      </w:r>
      <w:r w:rsidRPr="00C0338D">
        <w:rPr>
          <w:b/>
        </w:rPr>
        <w:t>section 5.4.4.2.g</w:t>
      </w:r>
      <w:r w:rsidRPr="00C0338D">
        <w:t xml:space="preserve">). See </w:t>
      </w:r>
      <w:r w:rsidR="002F2F42">
        <w:rPr>
          <w:b/>
        </w:rPr>
        <w:t>S</w:t>
      </w:r>
      <w:r w:rsidRPr="00C0338D">
        <w:rPr>
          <w:b/>
        </w:rPr>
        <w:t>upplementary material 5.6</w:t>
      </w:r>
      <w:r w:rsidRPr="00C0338D">
        <w:t xml:space="preserve"> for further information.</w:t>
      </w:r>
    </w:p>
    <w:p w14:paraId="00000342" w14:textId="77777777" w:rsidR="00A758FD" w:rsidRPr="00C0338D" w:rsidRDefault="00C81287" w:rsidP="00604A0A">
      <w:pPr>
        <w:pStyle w:val="Heading4"/>
      </w:pPr>
      <w:r w:rsidRPr="00C0338D">
        <w:t xml:space="preserve"> Genetic-control approaches (including gene-drive)</w:t>
      </w:r>
    </w:p>
    <w:p w14:paraId="00000343" w14:textId="7626A791" w:rsidR="00A758FD" w:rsidRPr="00C0338D" w:rsidRDefault="00C81287">
      <w:pPr>
        <w:spacing w:before="240" w:after="120" w:line="240" w:lineRule="auto"/>
      </w:pPr>
      <w:r w:rsidRPr="00C0338D">
        <w:t xml:space="preserve">The objective of genetic-control approaches is to reduce the fitness or success of an invasive alien species in its invaded environment. The aim is generally to force the population towards one sex (generally male biased) which, if complete, will lead to extinction </w:t>
      </w:r>
      <w:r w:rsidR="00CF4108" w:rsidRPr="00837161">
        <w:rPr>
          <w:lang w:eastAsia="ja-JP"/>
        </w:rPr>
        <w:fldChar w:fldCharType="begin"/>
      </w:r>
      <w:r w:rsidR="000F35EB">
        <w:rPr>
          <w:lang w:eastAsia="ja-JP"/>
        </w:rPr>
        <w:instrText xml:space="preserve"> ADDIN ZOTERO_ITEM CSL_CITATION {"citationID":"01XIWoZN","properties":{"formattedCitation":"(Teem et al., 2020)","plainCitation":"(Teem et al., 2020)","noteIndex":0},"citationItems":[{"id":30464,"uris":["http://zotero.org/groups/2352922/items/BTTT7VFF"],"itemData":{"id":30464,"type":"article-journal","container-title":"Frontiers in Bioengineering and Biotechnology","DOI":"10.3389/fbioe.2020.00452","ISSN":"2296-4185","journalAbbreviation":"Front. Bioeng. Biotechnol.","page":"452","source":"DOI.org (Crossref)","title":"Genetic Biocontrol for Invasive Species","URL":"https://www.frontiersin.org/article/10.3389/fbioe.2020.00452/full","volume":"8","author":[{"family":"Teem","given":"John L."},{"family":"Alphey","given":"Luke"},{"family":"Descamps","given":"Sarah"},{"family":"Edgington","given":"Matt P."},{"family":"Edwards","given":"Owain"},{"family":"Gemmell","given":"Neil"},{"family":"Harvey-Samuel","given":"Tim"},{"family":"Melnick","given":"Rachel L."},{"family":"Oh","given":"Kevin P."},{"family":"Piaggio","given":"Antoinette J."},{"family":"Saah","given":"J. Royden"},{"family":"Schill","given":"Dan"},{"family":"Thomas","given":"Paul"},{"family":"Smith","given":"Trevor"},{"family":"Roberts","given":"Andrew"}],"accessed":{"date-parts":[["2020",8,13]]},"issued":{"date-parts":[["2020",5,25]]}},"label":"page"}],"schema":"https://github.com/citation-style-language/schema/raw/master/csl-citation.json"} </w:instrText>
      </w:r>
      <w:r w:rsidR="00CF4108" w:rsidRPr="00837161">
        <w:rPr>
          <w:lang w:eastAsia="ja-JP"/>
        </w:rPr>
        <w:fldChar w:fldCharType="separate"/>
      </w:r>
      <w:r w:rsidR="00271B78" w:rsidRPr="00271B78">
        <w:t>(Teem et al., 2020)</w:t>
      </w:r>
      <w:r w:rsidR="00CF4108" w:rsidRPr="00837161">
        <w:rPr>
          <w:lang w:eastAsia="ja-JP"/>
        </w:rPr>
        <w:fldChar w:fldCharType="end"/>
      </w:r>
      <w:r w:rsidR="001B0409" w:rsidRPr="00837161">
        <w:rPr>
          <w:lang w:eastAsia="ja-JP"/>
        </w:rPr>
        <w:t xml:space="preserve">. Research into these methods, particularly for invasive alien animals, has </w:t>
      </w:r>
      <w:r w:rsidR="005E6E24" w:rsidRPr="00837161">
        <w:rPr>
          <w:lang w:eastAsia="ja-JP"/>
        </w:rPr>
        <w:t>made</w:t>
      </w:r>
      <w:r w:rsidR="001B0409" w:rsidRPr="00837161">
        <w:rPr>
          <w:lang w:eastAsia="ja-JP"/>
        </w:rPr>
        <w:t xml:space="preserve"> significant advances towards appli</w:t>
      </w:r>
      <w:r w:rsidR="00DC28AF" w:rsidRPr="00837161">
        <w:rPr>
          <w:lang w:eastAsia="ja-JP"/>
        </w:rPr>
        <w:t xml:space="preserve">cation </w:t>
      </w:r>
      <w:r w:rsidR="00CF4108" w:rsidRPr="00837161">
        <w:rPr>
          <w:lang w:eastAsia="ja-JP"/>
        </w:rPr>
        <w:fldChar w:fldCharType="begin"/>
      </w:r>
      <w:r w:rsidR="000F35EB">
        <w:rPr>
          <w:lang w:eastAsia="ja-JP"/>
        </w:rPr>
        <w:instrText xml:space="preserve"> ADDIN ZOTERO_ITEM CSL_CITATION {"citationID":"maCzBww5","properties":{"formattedCitation":"(Bax &amp; Thresher, 2009; Gierus et al., 2022; Thresher, van de Kamp, et al., 2014)","plainCitation":"(Bax &amp; Thresher, 2009; Gierus et al., 2022; Thresher, van de Kamp, et al., 2014)","noteIndex":0},"citationItems":[{"id":16740,"uris":["http://zotero.org/groups/2352922/items/TA9IRPPZ"],"itemData":{"id":16740,"type":"article-journal","abstract":"Invasive species are a major threat to biodiversity, cost the world economy billions of dollars annually, and are often difficult, if not impossible, to control using current approaches. Recombinant technologies could revolutionize management of such pests but would be subject to a range of genetic, behavioral, and ecological factors that could limit their efficacy or applicability. We use a realistically parameterized combined population dynamics/genetics model to assess the potential of, and constraints on, a suite of recombinant approaches that have been suggested for pest control. We show that, of the options suggested to date, a genetic construct that distorts operational sex ratios by sterilizing, killing, or sex-changing one gender and being inherited through the other, is not only potentially the most effective means of pest control, but also one that remains effective over the widest range of ecological and behavioral conditions. All methods, however, are sensitive in particular to the degree of density dependence in the pest population and to operational issues such as maximum copy number and stocking levels, which affect introgression rates. Optimal investment strategies for an integrated pest management program that includes the nonlinear interactions of recombinant strategies and complementary management options can be assessed through the sensitivity analyses. The subtle effects of even minor variability in some parameters, such as extra mortality due to the presence of the construct, further suggest that genetic techniques be applied in an active adaptive management framework, so that strategies can be regularly optimized as the impacts of a release program are assessed.","container-title":"Ecological Applications","DOI":"10.1890/07-1588.1","ISSN":"1939-5582","issue":"4","language":"en","license":"© 2009 by the Ecological Society of America","page":"873-888","source":"Wiley Online Library","title":"Ecological, behavioral, and genetic factors influencing the recombinant control of invasive pests","URL":"https://esajournals.onlinelibrary.wiley.com/doi/abs/10.1890/07-1588.1","volume":"19","author":[{"family":"Bax","given":"Nicholas J."},{"family":"Thresher","given":"Ronald E."}],"accessed":{"date-parts":[["2019",12,9]]},"issued":{"date-parts":[["2009"]]}},"label":"page"},{"id":52736,"uris":["http://zotero.org/groups/2352922/items/2X4EJCIU"],"itemData":{"id":52736,"type":"article-journal","abstract":"Invasive rodents, including house mice, are a major cause of environmental damage and biodiversity loss, particularly in island ecosystems. Eradication can be achieved through the distribution of rodenticide, but this approach is expensive to apply at scale, can have negative impacts (e.g. on non-target species, or through contamination), has animal ethics concerns, and has restrictions on where it can be used. Gene drives, which exhibit biased inheritance, have been proposed as a next generation strategy to control invasive alien pests and disease vectors. However, synthetic gene drives including CRISPR homing drives have proven to be technically challenging to develop in mice. The t haplotype is a naturally-occurring segregation distortion locus with highly biased transmission from heterozygous males. Here we propose a novel gene drive strategy for population suppression, tCRISPR, that leverages t haplotype bias and an embedded SpCas9/gRNA transgene to spread inactivating mutations in a haplosufficient female fertility gene. Using spatially explicit individual-based in silico modelling, we show that polyandry, sperm competition, dispersal, and transmission bias are critical factors for tCRISPR- mediated population suppression. Modelling of realistic parameter values indicates that tCRISPR can eradicate an island population of 200,000 mice while the unmodified t haplotype fails under the same conditions. We also demonstrate feasibility of this approach by engineering tCRISPR mice in a safe split drive format. tCRISPR mice exhibit high transmission of the modified t haplotype, and efficient generation and transmission of inactivating mutations in a recessive female fertility gene, crucially, at levels for which the modelling predicts that population eradication can occur. This is the first example of a feasible gene drive system for invasive alien rodent population control.","container-title":"Proceedings of the National Academy of Sciences","DOI":"10.1073/pnas.2213308119","issue":"46","language":"en","license":"© 2022, Posted by Cold Spring Harbor Laboratory. This pre-print is available under a Creative Commons License (Attribution-NonCommercial-NoDerivs 4.0 International), CC BY-NC-ND 4.0, as described at http://creativecommons.org/licenses/by-nc-nd/4.0/","page":"e2213308119","source":"bioRxiv","title":"Leveraging a natural murine meiotic drive to suppress invasive populations","URL":"https://doi.org/10.1073/pnas.2213308119","volume":"119","author":[{"family":"Gierus","given":"Luke"},{"family":"Birand","given":"Aysegul"},{"family":"Bunting","given":"Mark D."},{"family":"Godahewa","given":"Gelshan I."},{"family":"Piltz","given":"Sandra G."},{"family":"Oh","given":"Kevin P."},{"family":"Piaggio","given":"Antoinette J."},{"family":"Threadgill","given":"David W."},{"family":"Godwin","given":"John"},{"family":"Edwards","given":"Owain"},{"family":"Cassey","given":"Phillip"},{"family":"Ross","given":"Joshua V."},{"family":"Prowse","given":"Thomas A. A."},{"family":"Thomas","given":"Paul Q."}],"accessed":{"date-parts":[["2022",7,27]]},"issued":{"date-parts":[["2022"]]}},"label":"page"},{"id":10930,"uris":["http://zotero.org/groups/2352922/items/C3L5HCPJ"],"itemData":{"id":10930,"type":"article-journal","container-title":"Nature Biotechnology","DOI":"10.1038/nbt.2903","ISSN":"1546-1696","issue":"5","language":"en","license":"2014 Nature Publishing Group, a division of Macmillan Publishers Limited. All Rights Reserved.","note":"number: 5\npublisher: Nature Publishing Group","page":"424-427","source":"www.nature.com","title":"Sex-ratio-biasing constructs for the control of invasive lower vertebrates","URL":"https://www.nature.com/articles/nbt.2903","volume":"32","author":[{"family":"Thresher","given":"Ronald E."},{"family":"Kamp","given":"Jodie","non-dropping-particle":"van de"},{"family":"Campbell","given":"Giles"},{"family":"Grewe","given":"Peter"},{"family":"Canning","given":"Miles"},{"family":"Barney","given":"Megan"},{"family":"Bax","given":"Nicholas J."},{"family":"Dunham","given":"Rex"},{"family":"Su","given":"Baofeng"},{"family":"Fulton","given":"Wayne"}],"accessed":{"date-parts":[["2020",8,17]]},"issued":{"date-parts":[["2014",5]]}},"label":"page"}],"schema":"https://github.com/citation-style-language/schema/raw/master/csl-citation.json"} </w:instrText>
      </w:r>
      <w:r w:rsidR="00CF4108" w:rsidRPr="00837161">
        <w:rPr>
          <w:lang w:eastAsia="ja-JP"/>
        </w:rPr>
        <w:fldChar w:fldCharType="separate"/>
      </w:r>
      <w:r w:rsidR="00271B78" w:rsidRPr="00271B78">
        <w:t>(Bax &amp; Thresher, 2009; Gierus et al., 2022; Thresher, van de Kamp, et al., 2014)</w:t>
      </w:r>
      <w:r w:rsidR="00CF4108" w:rsidRPr="00837161">
        <w:rPr>
          <w:lang w:eastAsia="ja-JP"/>
        </w:rPr>
        <w:fldChar w:fldCharType="end"/>
      </w:r>
      <w:r w:rsidR="001B0409" w:rsidRPr="00FC199D">
        <w:rPr>
          <w:lang w:val="de-DE" w:eastAsia="ja-JP"/>
        </w:rPr>
        <w:t xml:space="preserve">. </w:t>
      </w:r>
      <w:r w:rsidR="001B0409" w:rsidRPr="00837161">
        <w:rPr>
          <w:lang w:eastAsia="ja-JP"/>
        </w:rPr>
        <w:t xml:space="preserve">There are two general approaches to genetic control: (a) exploiting natural genetic variants that lead to sex bias in progeny, such as the </w:t>
      </w:r>
      <w:r w:rsidR="001B0409" w:rsidRPr="00837161">
        <w:t xml:space="preserve">Trojan Y-Chromosome strategy </w:t>
      </w:r>
      <w:r w:rsidR="00CF4108" w:rsidRPr="00837161">
        <w:fldChar w:fldCharType="begin"/>
      </w:r>
      <w:r w:rsidR="000F35EB">
        <w:instrText xml:space="preserve"> ADDIN ZOTERO_ITEM CSL_CITATION {"citationID":"KkpGBzfU","properties":{"formattedCitation":"(Gutierrez &amp; Teem, 2006)","plainCitation":"(Gutierrez &amp; Teem, 2006)","noteIndex":0},"citationItems":[{"id":23566,"uris":["http://zotero.org/groups/2352922/items/G8AE66NL"],"itemData":{"id":23566,"type":"article-journal","abstract":"A novel means of inducing extinction of an exotic fish population is proposed using a genetic approach to shift the ratio of male to females within a population. In the proposed strategy, sex-reversed fish containing two Y chromosomes are introduced into a normal fish population. These YY fish result in the production of a disproportionate number of male fish in subsequent generations. Mathematical modeling of the system following introduction of YY fish at a constant rate reveals that female fish decline in numbers over time, leading to eventual extinction of the population.","container-title":"Journal of Theoretical Biology","DOI":"10.1016/j.jtbi.2005.11.032","ISSN":"0022-5193","issue":"2","journalAbbreviation":"Journal of Theoretical Biology","language":"en","page":"333-341","source":"ScienceDirect","title":"A model describing the effect of sex-reversed YY fish in an established wild population: The use of a Trojan Y chromosome to cause extinction of an introduced exotic species","title-short":"A model describing the effect of sex-reversed YY fish in an established wild population","URL":"http://www.sciencedirect.com/science/article/pii/S0022519305005242","volume":"241","author":[{"family":"Gutierrez","given":"Juan B."},{"family":"Teem","given":"John L."}],"accessed":{"date-parts":[["2019",12,9]]},"issued":{"date-parts":[["2006",7,21]]}},"label":"page"}],"schema":"https://github.com/citation-style-language/schema/raw/master/csl-citation.json"} </w:instrText>
      </w:r>
      <w:r w:rsidR="00CF4108" w:rsidRPr="00837161">
        <w:fldChar w:fldCharType="separate"/>
      </w:r>
      <w:r w:rsidR="00271B78" w:rsidRPr="00271B78">
        <w:t>(Gutierrez &amp; Teem, 2006)</w:t>
      </w:r>
      <w:r w:rsidR="00CF4108" w:rsidRPr="00837161">
        <w:fldChar w:fldCharType="end"/>
      </w:r>
      <w:r w:rsidR="001B0409" w:rsidRPr="00837161">
        <w:t xml:space="preserve">; or (b) </w:t>
      </w:r>
      <w:r w:rsidR="001B0409" w:rsidRPr="00837161">
        <w:rPr>
          <w:lang w:eastAsia="ja-JP"/>
        </w:rPr>
        <w:t xml:space="preserve">genetic modifications that lead to sex biases or induce population fitness reductions in other ways. A few </w:t>
      </w:r>
      <w:r w:rsidR="00010C74" w:rsidRPr="00837161">
        <w:rPr>
          <w:lang w:eastAsia="ja-JP"/>
        </w:rPr>
        <w:t xml:space="preserve">are being explored </w:t>
      </w:r>
      <w:r w:rsidR="001B0409" w:rsidRPr="00837161">
        <w:rPr>
          <w:lang w:eastAsia="ja-JP"/>
        </w:rPr>
        <w:t>(</w:t>
      </w:r>
      <w:r w:rsidR="00BA147F" w:rsidRPr="00837161">
        <w:rPr>
          <w:lang w:eastAsia="ja-JP"/>
        </w:rPr>
        <w:t xml:space="preserve">e.g., </w:t>
      </w:r>
      <w:r w:rsidR="00DF12F3" w:rsidRPr="00837161">
        <w:rPr>
          <w:i/>
          <w:iCs/>
          <w:lang w:eastAsia="ja-JP"/>
        </w:rPr>
        <w:t>Limnoperna fortunei</w:t>
      </w:r>
      <w:r w:rsidR="00DF12F3" w:rsidRPr="00837161">
        <w:rPr>
          <w:lang w:eastAsia="ja-JP"/>
        </w:rPr>
        <w:t xml:space="preserve"> (</w:t>
      </w:r>
      <w:r w:rsidR="001B0409" w:rsidRPr="00837161">
        <w:rPr>
          <w:lang w:eastAsia="ja-JP"/>
        </w:rPr>
        <w:t>golden mussel</w:t>
      </w:r>
      <w:r w:rsidR="00DF12F3" w:rsidRPr="00837161">
        <w:rPr>
          <w:lang w:eastAsia="ja-JP"/>
        </w:rPr>
        <w:t>)</w:t>
      </w:r>
      <w:r w:rsidR="001B0409" w:rsidRPr="00837161">
        <w:rPr>
          <w:lang w:eastAsia="ja-JP"/>
        </w:rPr>
        <w:t xml:space="preserve">; </w:t>
      </w:r>
      <w:r w:rsidR="00CF4108" w:rsidRPr="00837161">
        <w:rPr>
          <w:lang w:eastAsia="ja-JP"/>
        </w:rPr>
        <w:fldChar w:fldCharType="begin"/>
      </w:r>
      <w:r w:rsidR="000F35EB">
        <w:rPr>
          <w:lang w:eastAsia="ja-JP"/>
        </w:rPr>
        <w:instrText xml:space="preserve"> ADDIN ZOTERO_ITEM CSL_CITATION {"citationID":"NRuKDlcN","properties":{"formattedCitation":"(Rebelo et al., 2018)","plainCitation":"(Rebelo et al., 2018)","dontUpdate":true,"noteIndex":0},"citationItems":[{"id":30497,"uris":["http://zotero.org/groups/2352922/items/SBXWM5Q5"],"itemData":{"id":30497,"type":"article-journal","abstract":"The recent development of the CRISPR-Cas9-based gene drive has created the conditions to seriously consider this technology to solve one of the major environmental challenges in biodiversity conservation i.e. the control of invasive species. There is no efficient control method for golden mussel infestation available so far. Here we discuss the technical and economic feasibility of using a synthetic biology based approach to fight and control the invasive mussel\n            Limnoperna fortunei\n            in South American rivers and reservoirs.","container-title":"PeerJ Preprints","DOI":"10.7287/peerj.preprints.27164v3","language":"en","page":"e27164v3","source":"DOI.org (Crossref)","title":"A sustainable synthetic biology approach for the control of the invasive golden mussel (&lt;i&gt;Limnoperna fortunei&lt;/i&gt;)","URL":"https://peerj.com/preprints/27164v3","volume":"6","author":[{"family":"Rebelo","given":"Mauro F"},{"family":"Afonso","given":"Luana F"},{"family":"Americo","given":"Juliana A"},{"family":"Silva","given":"Lucas","non-dropping-particle":"da"},{"family":"Neto","given":"José L B"},{"family":"Dondero","given":"Francesco"},{"family":"Zhang","given":"Qiaoying"}],"accessed":{"date-parts":[["2020",8,17]]},"issued":{"date-parts":[["2018",9,12]]}},"label":"page"}],"schema":"https://github.com/citation-style-language/schema/raw/master/csl-citation.json"} </w:instrText>
      </w:r>
      <w:r w:rsidR="00CF4108" w:rsidRPr="00837161">
        <w:rPr>
          <w:lang w:eastAsia="ja-JP"/>
        </w:rPr>
        <w:fldChar w:fldCharType="separate"/>
      </w:r>
      <w:r w:rsidR="00B60CB4" w:rsidRPr="00837161">
        <w:t>Rebelo et al., 2018)</w:t>
      </w:r>
      <w:r w:rsidR="00CF4108" w:rsidRPr="00837161">
        <w:rPr>
          <w:lang w:eastAsia="ja-JP"/>
        </w:rPr>
        <w:fldChar w:fldCharType="end"/>
      </w:r>
      <w:r w:rsidR="001B0409" w:rsidRPr="00837161">
        <w:rPr>
          <w:lang w:eastAsia="ja-JP"/>
        </w:rPr>
        <w:t>, but no off-the-shelf genetic-control tools are currently available.</w:t>
      </w:r>
      <w:r w:rsidRPr="00C0338D">
        <w:t xml:space="preserve"> Genetic control could be applicable to most sexually reproducing invasive alien species and, for environmental applications, could address currently uncontrollable widespread established invasive alien species in contained settings (e.g., invasive alien fish in closed river systems or invasive rodents on islands). </w:t>
      </w:r>
    </w:p>
    <w:p w14:paraId="00000344" w14:textId="77777777" w:rsidR="00A758FD" w:rsidRPr="00C0338D" w:rsidRDefault="00C81287">
      <w:pPr>
        <w:spacing w:before="240" w:after="120" w:line="240" w:lineRule="auto"/>
      </w:pPr>
      <w:r w:rsidRPr="00C0338D">
        <w:t>Genetic-control approaches have a number of significant advantages:</w:t>
      </w:r>
    </w:p>
    <w:p w14:paraId="00000345"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 xml:space="preserve">Locked in and spread only within sexual reproducing populations i.e., strict species specificity (except possibly in some fungi which exhibit asexual gene transfer). </w:t>
      </w:r>
    </w:p>
    <w:p w14:paraId="00000346"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lastRenderedPageBreak/>
        <w:t>Dissemination of control is mediated by the invasive alien species itself.</w:t>
      </w:r>
    </w:p>
    <w:p w14:paraId="00000347"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No environmental residues where successful eradication is the outcome. Genetic modification is of only a few genes which are naturally broken down on death.</w:t>
      </w:r>
    </w:p>
    <w:p w14:paraId="00000348" w14:textId="77777777" w:rsidR="00A758FD" w:rsidRPr="0079215C" w:rsidRDefault="00C81287" w:rsidP="00AC1F76">
      <w:pPr>
        <w:numPr>
          <w:ilvl w:val="0"/>
          <w:numId w:val="7"/>
        </w:numPr>
        <w:pBdr>
          <w:top w:val="nil"/>
          <w:left w:val="nil"/>
          <w:bottom w:val="nil"/>
          <w:right w:val="nil"/>
          <w:between w:val="nil"/>
        </w:pBdr>
        <w:spacing w:line="240" w:lineRule="auto"/>
        <w:rPr>
          <w:color w:val="000000"/>
        </w:rPr>
      </w:pPr>
      <w:r w:rsidRPr="0079215C">
        <w:rPr>
          <w:color w:val="000000"/>
        </w:rPr>
        <w:t xml:space="preserve">Potentially effective over large geographic areas (depending on gene flow in pest population). </w:t>
      </w:r>
    </w:p>
    <w:p w14:paraId="27683FFA" w14:textId="6F788F1D" w:rsidR="001B0409" w:rsidRPr="00837161" w:rsidRDefault="16EBE92C" w:rsidP="00A9356F">
      <w:pPr>
        <w:pStyle w:val="ListParagraph"/>
        <w:numPr>
          <w:ilvl w:val="0"/>
          <w:numId w:val="42"/>
        </w:numPr>
        <w:spacing w:line="240" w:lineRule="auto"/>
        <w:contextualSpacing w:val="0"/>
      </w:pPr>
      <w:r w:rsidRPr="00837161">
        <w:t xml:space="preserve">Humaneness – </w:t>
      </w:r>
      <w:r w:rsidR="36824BA3" w:rsidRPr="00837161">
        <w:t xml:space="preserve">these technologies </w:t>
      </w:r>
      <w:r w:rsidR="609C8A1F" w:rsidRPr="00837161">
        <w:t xml:space="preserve">are not lethal </w:t>
      </w:r>
      <w:r w:rsidRPr="00837161">
        <w:t xml:space="preserve">if </w:t>
      </w:r>
      <w:r w:rsidR="3293648E" w:rsidRPr="00837161">
        <w:t xml:space="preserve">reducing </w:t>
      </w:r>
      <w:r w:rsidRPr="00837161">
        <w:t>re</w:t>
      </w:r>
      <w:r w:rsidR="56A94C0E" w:rsidRPr="00837161">
        <w:t xml:space="preserve">production </w:t>
      </w:r>
      <w:r w:rsidRPr="00837161">
        <w:t>is targeted</w:t>
      </w:r>
      <w:r w:rsidR="41C4400C" w:rsidRPr="00837161">
        <w:t xml:space="preserve"> </w:t>
      </w:r>
      <w:r w:rsidR="58332D1D" w:rsidRPr="00837161">
        <w:fldChar w:fldCharType="begin"/>
      </w:r>
      <w:r w:rsidR="000F35EB">
        <w:instrText xml:space="preserve"> ADDIN ZOTERO_ITEM CSL_CITATION {"citationID":"QzVkyZjY","properties":{"formattedCitation":"(Teem et al., 2020)","plainCitation":"(Teem et al., 2020)","noteIndex":0},"citationItems":[{"id":30464,"uris":["http://zotero.org/groups/2352922/items/BTTT7VFF"],"itemData":{"id":30464,"type":"article-journal","container-title":"Frontiers in Bioengineering and Biotechnology","DOI":"10.3389/fbioe.2020.00452","ISSN":"2296-4185","journalAbbreviation":"Front. Bioeng. Biotechnol.","page":"452","source":"DOI.org (Crossref)","title":"Genetic Biocontrol for Invasive Species","URL":"https://www.frontiersin.org/article/10.3389/fbioe.2020.00452/full","volume":"8","author":[{"family":"Teem","given":"John L."},{"family":"Alphey","given":"Luke"},{"family":"Descamps","given":"Sarah"},{"family":"Edgington","given":"Matt P."},{"family":"Edwards","given":"Owain"},{"family":"Gemmell","given":"Neil"},{"family":"Harvey-Samuel","given":"Tim"},{"family":"Melnick","given":"Rachel L."},{"family":"Oh","given":"Kevin P."},{"family":"Piaggio","given":"Antoinette J."},{"family":"Saah","given":"J. Royden"},{"family":"Schill","given":"Dan"},{"family":"Thomas","given":"Paul"},{"family":"Smith","given":"Trevor"},{"family":"Roberts","given":"Andrew"}],"accessed":{"date-parts":[["2020",8,13]]},"issued":{"date-parts":[["2020",5,25]]}},"label":"page"}],"schema":"https://github.com/citation-style-language/schema/raw/master/csl-citation.json"} </w:instrText>
      </w:r>
      <w:r w:rsidR="58332D1D" w:rsidRPr="00837161">
        <w:fldChar w:fldCharType="separate"/>
      </w:r>
      <w:r w:rsidR="00271B78" w:rsidRPr="00271B78">
        <w:t>(Teem et al., 2020)</w:t>
      </w:r>
      <w:r w:rsidR="58332D1D" w:rsidRPr="00837161">
        <w:fldChar w:fldCharType="end"/>
      </w:r>
      <w:r w:rsidR="004D4F06">
        <w:t>, though s</w:t>
      </w:r>
      <w:r w:rsidR="55AF2A3A" w:rsidRPr="00837161">
        <w:t>trongly sex</w:t>
      </w:r>
      <w:r w:rsidR="3293648E" w:rsidRPr="00837161">
        <w:t>-</w:t>
      </w:r>
      <w:r w:rsidR="55AF2A3A" w:rsidRPr="00837161">
        <w:t>biased populations</w:t>
      </w:r>
      <w:r w:rsidR="398DE8EA" w:rsidRPr="00837161">
        <w:t xml:space="preserve"> may</w:t>
      </w:r>
      <w:r w:rsidR="55AF2A3A" w:rsidRPr="00837161">
        <w:t xml:space="preserve"> </w:t>
      </w:r>
      <w:r w:rsidR="2A0C58F1" w:rsidRPr="00837161">
        <w:t>result in</w:t>
      </w:r>
      <w:r w:rsidR="398DE8EA" w:rsidRPr="00837161">
        <w:t xml:space="preserve"> </w:t>
      </w:r>
      <w:r w:rsidR="56A94C0E" w:rsidRPr="00837161">
        <w:t>behavioural stress</w:t>
      </w:r>
      <w:r w:rsidR="07C31DAE" w:rsidRPr="00837161">
        <w:t>.</w:t>
      </w:r>
    </w:p>
    <w:p w14:paraId="0000034A" w14:textId="7B1D21D5" w:rsidR="00A758FD" w:rsidRPr="00C0338D" w:rsidRDefault="00C81287">
      <w:pPr>
        <w:spacing w:before="240" w:after="120" w:line="240" w:lineRule="auto"/>
      </w:pPr>
      <w:r w:rsidRPr="00C0338D">
        <w:t xml:space="preserve">The Trojan Y-chromosome strategy in fish (currently under development for carp and tilapia) naturally alters the sex determination chromosomes XX♀ and XY♂ to create sex-reversed super-males (YY♀) which, if continuously released into invasive alien species populations in the field, generate only male or super-male progeny through standard Mendelian inheritance (traits in 50 per cent of progeny) </w:t>
      </w:r>
      <w:r w:rsidR="00B60CB4" w:rsidRPr="00837161">
        <w:fldChar w:fldCharType="begin"/>
      </w:r>
      <w:r w:rsidR="000F35EB">
        <w:instrText xml:space="preserve"> ADDIN ZOTERO_ITEM CSL_CITATION {"citationID":"zxHSVicU","properties":{"formattedCitation":"(Teem et al., 2020)","plainCitation":"(Teem et al., 2020)","noteIndex":0},"citationItems":[{"id":30464,"uris":["http://zotero.org/groups/2352922/items/BTTT7VFF"],"itemData":{"id":30464,"type":"article-journal","container-title":"Frontiers in Bioengineering and Biotechnology","DOI":"10.3389/fbioe.2020.00452","ISSN":"2296-4185","journalAbbreviation":"Front. Bioeng. Biotechnol.","page":"452","source":"DOI.org (Crossref)","title":"Genetic Biocontrol for Invasive Species","URL":"https://www.frontiersin.org/article/10.3389/fbioe.2020.00452/full","volume":"8","author":[{"family":"Teem","given":"John L."},{"family":"Alphey","given":"Luke"},{"family":"Descamps","given":"Sarah"},{"family":"Edgington","given":"Matt P."},{"family":"Edwards","given":"Owain"},{"family":"Gemmell","given":"Neil"},{"family":"Harvey-Samuel","given":"Tim"},{"family":"Melnick","given":"Rachel L."},{"family":"Oh","given":"Kevin P."},{"family":"Piaggio","given":"Antoinette J."},{"family":"Saah","given":"J. Royden"},{"family":"Schill","given":"Dan"},{"family":"Thomas","given":"Paul"},{"family":"Smith","given":"Trevor"},{"family":"Roberts","given":"Andrew"}],"accessed":{"date-parts":[["2020",8,13]]},"issued":{"date-parts":[["2020",5,25]]}},"label":"page"}],"schema":"https://github.com/citation-style-language/schema/raw/master/csl-citation.json"} </w:instrText>
      </w:r>
      <w:r w:rsidR="00B60CB4" w:rsidRPr="00837161">
        <w:fldChar w:fldCharType="separate"/>
      </w:r>
      <w:r w:rsidR="00271B78" w:rsidRPr="00271B78">
        <w:t>(Teem et al., 2020)</w:t>
      </w:r>
      <w:r w:rsidR="00B60CB4" w:rsidRPr="00837161">
        <w:fldChar w:fldCharType="end"/>
      </w:r>
      <w:r w:rsidR="00695746" w:rsidRPr="00837161">
        <w:t>.</w:t>
      </w:r>
      <w:r w:rsidRPr="00C0338D">
        <w:t xml:space="preserve"> The resulting male-biased population could ultimately collapse leading to extinction. Broader application of this approach to other target species will depend on whether they have appropriate sex determination systems. </w:t>
      </w:r>
    </w:p>
    <w:p w14:paraId="0000034B" w14:textId="4C63DDB4" w:rsidR="00A758FD" w:rsidRPr="00C0338D" w:rsidRDefault="00C81287">
      <w:pPr>
        <w:spacing w:before="240" w:after="120" w:line="240" w:lineRule="auto"/>
      </w:pPr>
      <w:r w:rsidRPr="00C0338D">
        <w:t xml:space="preserve">Synthetic genetic modification allows increased opportunities for sex manipulation. </w:t>
      </w:r>
      <w:r w:rsidR="001B0409" w:rsidRPr="00837161">
        <w:rPr>
          <w:lang w:eastAsia="ja-JP"/>
        </w:rPr>
        <w:t xml:space="preserve">An approach for </w:t>
      </w:r>
      <w:r w:rsidR="000275B4" w:rsidRPr="00837161">
        <w:rPr>
          <w:lang w:eastAsia="ja-JP"/>
        </w:rPr>
        <w:t>“</w:t>
      </w:r>
      <w:r w:rsidR="001B0409" w:rsidRPr="00837161">
        <w:rPr>
          <w:lang w:eastAsia="ja-JP"/>
        </w:rPr>
        <w:t>daughterless</w:t>
      </w:r>
      <w:r w:rsidR="000275B4" w:rsidRPr="00837161">
        <w:rPr>
          <w:lang w:eastAsia="ja-JP"/>
        </w:rPr>
        <w:t>”</w:t>
      </w:r>
      <w:r w:rsidR="001B0409" w:rsidRPr="00837161">
        <w:rPr>
          <w:lang w:eastAsia="ja-JP"/>
        </w:rPr>
        <w:t xml:space="preserve"> carp </w:t>
      </w:r>
      <w:r w:rsidR="000275B4" w:rsidRPr="00837161">
        <w:rPr>
          <w:lang w:eastAsia="ja-JP"/>
        </w:rPr>
        <w:t>for example has made it to</w:t>
      </w:r>
      <w:r w:rsidR="001B0409" w:rsidRPr="00837161">
        <w:rPr>
          <w:lang w:eastAsia="ja-JP"/>
        </w:rPr>
        <w:t xml:space="preserve"> the proof-of-concept stage </w:t>
      </w:r>
      <w:r w:rsidR="00E215FA" w:rsidRPr="00837161">
        <w:rPr>
          <w:lang w:eastAsia="ja-JP"/>
        </w:rPr>
        <w:fldChar w:fldCharType="begin"/>
      </w:r>
      <w:r w:rsidR="000F35EB">
        <w:rPr>
          <w:lang w:eastAsia="ja-JP"/>
        </w:rPr>
        <w:instrText xml:space="preserve"> ADDIN ZOTERO_ITEM CSL_CITATION {"citationID":"5tpBDQKb","properties":{"formattedCitation":"(Thresher, van de Kamp, et al., 2014)","plainCitation":"(Thresher, van de Kamp, et al., 2014)","noteIndex":0},"citationItems":[{"id":10930,"uris":["http://zotero.org/groups/2352922/items/C3L5HCPJ"],"itemData":{"id":10930,"type":"article-journal","container-title":"Nature Biotechnology","DOI":"10.1038/nbt.2903","ISSN":"1546-1696","issue":"5","language":"en","license":"2014 Nature Publishing Group, a division of Macmillan Publishers Limited. All Rights Reserved.","note":"number: 5\npublisher: Nature Publishing Group","page":"424-427","source":"www.nature.com","title":"Sex-ratio-biasing constructs for the control of invasive lower vertebrates","URL":"https://www.nature.com/articles/nbt.2903","volume":"32","author":[{"family":"Thresher","given":"Ronald E."},{"family":"Kamp","given":"Jodie","non-dropping-particle":"van de"},{"family":"Campbell","given":"Giles"},{"family":"Grewe","given":"Peter"},{"family":"Canning","given":"Miles"},{"family":"Barney","given":"Megan"},{"family":"Bax","given":"Nicholas J."},{"family":"Dunham","given":"Rex"},{"family":"Su","given":"Baofeng"},{"family":"Fulton","given":"Wayne"}],"accessed":{"date-parts":[["2020",8,17]]},"issued":{"date-parts":[["2014",5]]}},"label":"page"}],"schema":"https://github.com/citation-style-language/schema/raw/master/csl-citation.json"} </w:instrText>
      </w:r>
      <w:r w:rsidR="00E215FA" w:rsidRPr="00837161">
        <w:rPr>
          <w:lang w:eastAsia="ja-JP"/>
        </w:rPr>
        <w:fldChar w:fldCharType="separate"/>
      </w:r>
      <w:r w:rsidR="00271B78" w:rsidRPr="00271B78">
        <w:t>(Thresher, van de Kamp, et al., 2014)</w:t>
      </w:r>
      <w:r w:rsidR="00E215FA" w:rsidRPr="00837161">
        <w:rPr>
          <w:lang w:eastAsia="ja-JP"/>
        </w:rPr>
        <w:fldChar w:fldCharType="end"/>
      </w:r>
      <w:r w:rsidR="001B0409" w:rsidRPr="00837161">
        <w:rPr>
          <w:lang w:eastAsia="ja-JP"/>
        </w:rPr>
        <w:t>.</w:t>
      </w:r>
      <w:r w:rsidRPr="00C0338D">
        <w:t xml:space="preserve"> Here sex-biasing gene constructs are implanted in the genome of candidate fish. Their fertile offspring, if released and make up a high enough proportion of the population should, through natural inheritance (a reproductive event where a wild-type passes the gene construct on to 50 percent of offspring), drive populations male-biased. This requires large single or multiple releases of these genetically modified invasive alien species genotypes. Large initial invasive alien species population size increases the cost of application (numbers of modified individuals that need to be bred up and released) and time to control. An expert assessment of genetic options for the management of sea lampreys in the United States prioritized such a Mendelian “sex-ratio drive” approach </w:t>
      </w:r>
      <w:r w:rsidR="00E215FA" w:rsidRPr="00837161">
        <w:rPr>
          <w:lang w:eastAsia="ja-JP"/>
        </w:rPr>
        <w:fldChar w:fldCharType="begin"/>
      </w:r>
      <w:r w:rsidR="000F35EB">
        <w:rPr>
          <w:lang w:eastAsia="ja-JP"/>
        </w:rPr>
        <w:instrText xml:space="preserve"> ADDIN ZOTERO_ITEM CSL_CITATION {"citationID":"HKSuu0eI","properties":{"formattedCitation":"(Thresher et al., 2019)","plainCitation":"(Thresher et al., 2019)","noteIndex":0},"citationItems":[{"id":11204,"uris":["http://zotero.org/groups/2352922/items/5DWLJQQH"],"itemData":{"id":11204,"type":"article-journal","abstract":"For more than two decades the Great Lakes Fishery Commission has sought tactics to complement, and potentially replace, the use of barriers and lampricides to control sea lamprey (Petromyzon marinus) in the Great Lakes, but thus far without success. This paper examines the potential of modern genetic technology to suppress these invasive populations. We identified six recombinant options that appeared to be moderately to highly feasible, most of which were judged by an expert panel as extremely low or low risk, and for which research and development was broadly supported by stakeholders. The two options judged to overall best combine high efficacy and low risks were a Mendelian “sex ratio drive” and genetically modifying a prey species combined with killing or sterilizing sea lamprey that fed on it. Core issues regarding use of genetic biocontrol in the Great Lakes include technical problems associated with maintaining a sea lamprey brood line, information gaps for most options, the extent of broader public support, and the extent and nature of national and international consultation required in making decisions about control options.","container-title":"Canadian Journal of Fisheries and Aquatic Sciences","DOI":"10.1139/cjfas-2018-0153","ISSN":"0706-652X, 1205-7533","issue":"7","journalAbbreviation":"Can. J. Fish. Aquat. Sci.","language":"en","page":"1186-1202","source":"DOI.org (Crossref)","title":"Evaluating active genetic options for the control of sea lamprey (&lt;i&gt;Petromyzon marinus&lt;/i&gt;) in the Laurentian Great Lakes","URL":"http://www.nrcresearchpress.com/doi/10.1139/cjfas-2018-0153","volume":"76","author":[{"family":"Thresher","given":"Ronald E."},{"family":"Jones","given":"Michael"},{"family":"Drake","given":"D. Andrew R."}],"accessed":{"date-parts":[["2020",8,17]]},"issued":{"date-parts":[["2019",7]]}},"label":"page"}],"schema":"https://github.com/citation-style-language/schema/raw/master/csl-citation.json"} </w:instrText>
      </w:r>
      <w:r w:rsidR="00E215FA" w:rsidRPr="00837161">
        <w:rPr>
          <w:lang w:eastAsia="ja-JP"/>
        </w:rPr>
        <w:fldChar w:fldCharType="separate"/>
      </w:r>
      <w:r w:rsidR="00271B78" w:rsidRPr="00271B78">
        <w:t>(Thresher et al., 2019)</w:t>
      </w:r>
      <w:r w:rsidR="00E215FA" w:rsidRPr="00837161">
        <w:rPr>
          <w:lang w:eastAsia="ja-JP"/>
        </w:rPr>
        <w:fldChar w:fldCharType="end"/>
      </w:r>
      <w:r w:rsidR="001B0409" w:rsidRPr="00837161">
        <w:rPr>
          <w:lang w:eastAsia="ja-JP"/>
        </w:rPr>
        <w:t xml:space="preserve">. In theory, this </w:t>
      </w:r>
      <w:r w:rsidR="00357F59" w:rsidRPr="00837161">
        <w:rPr>
          <w:lang w:eastAsia="ja-JP"/>
        </w:rPr>
        <w:t>approach</w:t>
      </w:r>
      <w:r w:rsidR="001B0409" w:rsidRPr="00837161">
        <w:rPr>
          <w:lang w:eastAsia="ja-JP"/>
        </w:rPr>
        <w:t xml:space="preserve"> is applicable to other invasive alien species </w:t>
      </w:r>
      <w:r w:rsidR="00E215FA" w:rsidRPr="00837161">
        <w:rPr>
          <w:lang w:eastAsia="ja-JP"/>
        </w:rPr>
        <w:fldChar w:fldCharType="begin"/>
      </w:r>
      <w:r w:rsidR="000F35EB">
        <w:rPr>
          <w:lang w:eastAsia="ja-JP"/>
        </w:rPr>
        <w:instrText xml:space="preserve"> ADDIN ZOTERO_ITEM CSL_CITATION {"citationID":"z9g6KneY","properties":{"formattedCitation":"(Thresher, van de Kamp, et al., 2014)","plainCitation":"(Thresher, van de Kamp, et al., 2014)","noteIndex":0},"citationItems":[{"id":10930,"uris":["http://zotero.org/groups/2352922/items/C3L5HCPJ"],"itemData":{"id":10930,"type":"article-journal","container-title":"Nature Biotechnology","DOI":"10.1038/nbt.2903","ISSN":"1546-1696","issue":"5","language":"en","license":"2014 Nature Publishing Group, a division of Macmillan Publishers Limited. All Rights Reserved.","note":"number: 5\npublisher: Nature Publishing Group","page":"424-427","source":"www.nature.com","title":"Sex-ratio-biasing constructs for the control of invasive lower vertebrates","URL":"https://www.nature.com/articles/nbt.2903","volume":"32","author":[{"family":"Thresher","given":"Ronald E."},{"family":"Kamp","given":"Jodie","non-dropping-particle":"van de"},{"family":"Campbell","given":"Giles"},{"family":"Grewe","given":"Peter"},{"family":"Canning","given":"Miles"},{"family":"Barney","given":"Megan"},{"family":"Bax","given":"Nicholas J."},{"family":"Dunham","given":"Rex"},{"family":"Su","given":"Baofeng"},{"family":"Fulton","given":"Wayne"}],"accessed":{"date-parts":[["2020",8,17]]},"issued":{"date-parts":[["2014",5]]}},"label":"page"}],"schema":"https://github.com/citation-style-language/schema/raw/master/csl-citation.json"} </w:instrText>
      </w:r>
      <w:r w:rsidR="00E215FA" w:rsidRPr="00837161">
        <w:rPr>
          <w:lang w:eastAsia="ja-JP"/>
        </w:rPr>
        <w:fldChar w:fldCharType="separate"/>
      </w:r>
      <w:r w:rsidR="00271B78" w:rsidRPr="00271B78">
        <w:t>(Thresher, van de Kamp, et al., 2014)</w:t>
      </w:r>
      <w:r w:rsidR="00E215FA" w:rsidRPr="00837161">
        <w:rPr>
          <w:lang w:eastAsia="ja-JP"/>
        </w:rPr>
        <w:fldChar w:fldCharType="end"/>
      </w:r>
      <w:r w:rsidR="001B0409" w:rsidRPr="00837161">
        <w:rPr>
          <w:lang w:eastAsia="ja-JP"/>
        </w:rPr>
        <w:t>.</w:t>
      </w:r>
      <w:r w:rsidRPr="00C0338D">
        <w:t xml:space="preserve"> If this type of control fails (or succeeds) the associated genetically modified organisms will be bred out of the population.</w:t>
      </w:r>
    </w:p>
    <w:p w14:paraId="0000034C" w14:textId="24B13F15" w:rsidR="00A758FD" w:rsidRPr="00C0338D" w:rsidRDefault="00C81287">
      <w:pPr>
        <w:spacing w:before="240" w:after="120" w:line="240" w:lineRule="auto"/>
      </w:pPr>
      <w:r w:rsidRPr="00C0338D">
        <w:t xml:space="preserve">A meiotic “gene-drive” mechanism is one in which inheritance of such genetically modified deleterious gene constructs would be much higher than 50 per cent. This could deliver a step-change in population suppression or eradication rates. Natural gene-drive mechanisms exist. The t-allele is a natural, lethal when homozygous, mutant in mice that is inherited by greater than 50 per cent of progeny of heterozygous male carriers. </w:t>
      </w:r>
      <w:r w:rsidR="001B0409" w:rsidRPr="00837161">
        <w:rPr>
          <w:lang w:eastAsia="ja-JP"/>
        </w:rPr>
        <w:t xml:space="preserve">Genetically linking the t-allele to the male Y sex chromosome (called T-Sry) could also mean a far greater proportion of progeny are male </w:t>
      </w:r>
      <w:r w:rsidR="001B0409" w:rsidRPr="00837161">
        <w:rPr>
          <w:lang w:eastAsia="ja-JP"/>
        </w:rPr>
        <w:fldChar w:fldCharType="begin"/>
      </w:r>
      <w:r w:rsidR="000F35EB">
        <w:rPr>
          <w:lang w:eastAsia="ja-JP"/>
        </w:rPr>
        <w:instrText xml:space="preserve"> ADDIN ZOTERO_ITEM CSL_CITATION {"citationID":"ZIPxSyBf","properties":{"formattedCitation":"(Kanavy &amp; Serr, 2017)","plainCitation":"(Kanavy &amp; Serr, 2017)","noteIndex":0},"citationItems":[{"id":16737,"uris":["http://zotero.org/groups/2352922/items/897ALY3S"],"itemData":{"id":16737,"type":"article-journal","container-title":"Trends in ecology &amp; evolution","DOI":"https://doi.org/10.1016/j.tree.2017.03.006","issue":"5","page":"315–316","source":"Google Scholar","title":"&lt;i&gt;Sry&lt;/i&gt; gene drive for rodent control: Reply to Gemmell and Tompkins","title-short":"Sry gene drive for rodent control","volume":"32","author":[{"family":"Kanavy","given":"Dona"},{"family":"Serr","given":"Megan"}],"issued":{"date-parts":[["2017"]]}},"label":"page"}],"schema":"https://github.com/citation-style-language/schema/raw/master/csl-citation.json"} </w:instrText>
      </w:r>
      <w:r w:rsidR="001B0409" w:rsidRPr="00837161">
        <w:rPr>
          <w:lang w:eastAsia="ja-JP"/>
        </w:rPr>
        <w:fldChar w:fldCharType="separate"/>
      </w:r>
      <w:r w:rsidR="00271B78" w:rsidRPr="00271B78">
        <w:t>(Kanavy &amp; Serr, 2017)</w:t>
      </w:r>
      <w:r w:rsidR="001B0409" w:rsidRPr="00837161">
        <w:rPr>
          <w:lang w:eastAsia="ja-JP"/>
        </w:rPr>
        <w:fldChar w:fldCharType="end"/>
      </w:r>
      <w:r w:rsidR="001B0409" w:rsidRPr="00837161">
        <w:rPr>
          <w:lang w:eastAsia="ja-JP"/>
        </w:rPr>
        <w:t xml:space="preserve">. </w:t>
      </w:r>
      <w:r w:rsidR="00FE1CF7" w:rsidRPr="00837161">
        <w:rPr>
          <w:lang w:eastAsia="ja-JP"/>
        </w:rPr>
        <w:t>A synthetic</w:t>
      </w:r>
      <w:r w:rsidR="001B0409" w:rsidRPr="00837161">
        <w:rPr>
          <w:lang w:eastAsia="ja-JP"/>
        </w:rPr>
        <w:t xml:space="preserve"> T-Sry approach for mice is </w:t>
      </w:r>
      <w:r w:rsidR="00FE1CF7" w:rsidRPr="00837161">
        <w:rPr>
          <w:lang w:eastAsia="ja-JP"/>
        </w:rPr>
        <w:t>now</w:t>
      </w:r>
      <w:r w:rsidR="001B0409" w:rsidRPr="00837161">
        <w:rPr>
          <w:lang w:eastAsia="ja-JP"/>
        </w:rPr>
        <w:t xml:space="preserve"> at the </w:t>
      </w:r>
      <w:r w:rsidR="00776DB4" w:rsidRPr="00837161">
        <w:rPr>
          <w:lang w:eastAsia="ja-JP"/>
        </w:rPr>
        <w:t>pro</w:t>
      </w:r>
      <w:r w:rsidR="00FE1CF7" w:rsidRPr="00837161">
        <w:rPr>
          <w:lang w:eastAsia="ja-JP"/>
        </w:rPr>
        <w:t>o</w:t>
      </w:r>
      <w:r w:rsidR="00776DB4" w:rsidRPr="00837161">
        <w:rPr>
          <w:lang w:eastAsia="ja-JP"/>
        </w:rPr>
        <w:t xml:space="preserve">f of concept </w:t>
      </w:r>
      <w:r w:rsidR="001B0409" w:rsidRPr="00837161">
        <w:rPr>
          <w:lang w:eastAsia="ja-JP"/>
        </w:rPr>
        <w:t>stage</w:t>
      </w:r>
      <w:r w:rsidR="00776DB4" w:rsidRPr="00837161">
        <w:rPr>
          <w:lang w:eastAsia="ja-JP"/>
        </w:rPr>
        <w:t xml:space="preserve"> </w:t>
      </w:r>
      <w:r w:rsidR="002524D3" w:rsidRPr="00837161">
        <w:rPr>
          <w:lang w:eastAsia="ja-JP"/>
        </w:rPr>
        <w:fldChar w:fldCharType="begin"/>
      </w:r>
      <w:r w:rsidR="000F35EB">
        <w:rPr>
          <w:lang w:eastAsia="ja-JP"/>
        </w:rPr>
        <w:instrText xml:space="preserve"> ADDIN ZOTERO_ITEM CSL_CITATION {"citationID":"EcYPk3x3","properties":{"formattedCitation":"(Gierus et al., 2022)","plainCitation":"(Gierus et al., 2022)","noteIndex":0},"citationItems":[{"id":52736,"uris":["http://zotero.org/groups/2352922/items/2X4EJCIU"],"itemData":{"id":52736,"type":"article-journal","abstract":"Invasive rodents, including house mice, are a major cause of environmental damage and biodiversity loss, particularly in island ecosystems. Eradication can be achieved through the distribution of rodenticide, but this approach is expensive to apply at scale, can have negative impacts (e.g. on non-target species, or through contamination), has animal ethics concerns, and has restrictions on where it can be used. Gene drives, which exhibit biased inheritance, have been proposed as a next generation strategy to control invasive alien pests and disease vectors. However, synthetic gene drives including CRISPR homing drives have proven to be technically challenging to develop in mice. The t haplotype is a naturally-occurring segregation distortion locus with highly biased transmission from heterozygous males. Here we propose a novel gene drive strategy for population suppression, tCRISPR, that leverages t haplotype bias and an embedded SpCas9/gRNA transgene to spread inactivating mutations in a haplosufficient female fertility gene. Using spatially explicit individual-based in silico modelling, we show that polyandry, sperm competition, dispersal, and transmission bias are critical factors for tCRISPR- mediated population suppression. Modelling of realistic parameter values indicates that tCRISPR can eradicate an island population of 200,000 mice while the unmodified t haplotype fails under the same conditions. We also demonstrate feasibility of this approach by engineering tCRISPR mice in a safe split drive format. tCRISPR mice exhibit high transmission of the modified t haplotype, and efficient generation and transmission of inactivating mutations in a recessive female fertility gene, crucially, at levels for which the modelling predicts that population eradication can occur. This is the first example of a feasible gene drive system for invasive alien rodent population control.","container-title":"Proceedings of the National Academy of Sciences","DOI":"10.1073/pnas.2213308119","issue":"46","language":"en","license":"© 2022, Posted by Cold Spring Harbor Laboratory. This pre-print is available under a Creative Commons License (Attribution-NonCommercial-NoDerivs 4.0 International), CC BY-NC-ND 4.0, as described at http://creativecommons.org/licenses/by-nc-nd/4.0/","page":"e2213308119","source":"bioRxiv","title":"Leveraging a natural murine meiotic drive to suppress invasive populations","URL":"https://doi.org/10.1073/pnas.2213308119","volume":"119","author":[{"family":"Gierus","given":"Luke"},{"family":"Birand","given":"Aysegul"},{"family":"Bunting","given":"Mark D."},{"family":"Godahewa","given":"Gelshan I."},{"family":"Piltz","given":"Sandra G."},{"family":"Oh","given":"Kevin P."},{"family":"Piaggio","given":"Antoinette J."},{"family":"Threadgill","given":"David W."},{"family":"Godwin","given":"John"},{"family":"Edwards","given":"Owain"},{"family":"Cassey","given":"Phillip"},{"family":"Ross","given":"Joshua V."},{"family":"Prowse","given":"Thomas A. A."},{"family":"Thomas","given":"Paul Q."}],"accessed":{"date-parts":[["2022",7,27]]},"issued":{"date-parts":[["2022"]]}},"label":"page"}],"schema":"https://github.com/citation-style-language/schema/raw/master/csl-citation.json"} </w:instrText>
      </w:r>
      <w:r w:rsidR="002524D3" w:rsidRPr="00837161">
        <w:rPr>
          <w:lang w:eastAsia="ja-JP"/>
        </w:rPr>
        <w:fldChar w:fldCharType="separate"/>
      </w:r>
      <w:r w:rsidR="00271B78" w:rsidRPr="00271B78">
        <w:t>(Gierus et al., 2022)</w:t>
      </w:r>
      <w:r w:rsidR="002524D3" w:rsidRPr="00837161">
        <w:rPr>
          <w:lang w:eastAsia="ja-JP"/>
        </w:rPr>
        <w:fldChar w:fldCharType="end"/>
      </w:r>
      <w:r w:rsidR="00207186" w:rsidRPr="00837161">
        <w:t xml:space="preserve">. </w:t>
      </w:r>
      <w:r w:rsidR="001B0409" w:rsidRPr="00837161">
        <w:rPr>
          <w:lang w:eastAsia="ja-JP"/>
        </w:rPr>
        <w:t xml:space="preserve">There are several other naturally occurring selfish genetic elements in wild populations of most organism types (so called natural gene-drives) that could potentially be modified into self-sustaining meiotic gene-drive systems without the need for </w:t>
      </w:r>
      <w:r w:rsidR="00D2309E" w:rsidRPr="00837161">
        <w:rPr>
          <w:lang w:eastAsia="ja-JP"/>
        </w:rPr>
        <w:t xml:space="preserve">synthetic genetic modification </w:t>
      </w:r>
      <w:r w:rsidR="001B0409" w:rsidRPr="00837161">
        <w:rPr>
          <w:lang w:eastAsia="ja-JP"/>
        </w:rPr>
        <w:fldChar w:fldCharType="begin"/>
      </w:r>
      <w:r w:rsidR="000F35EB">
        <w:rPr>
          <w:lang w:eastAsia="ja-JP"/>
        </w:rPr>
        <w:instrText xml:space="preserve"> ADDIN ZOTERO_ITEM CSL_CITATION {"citationID":"ct7nIe8n","properties":{"formattedCitation":"(\\uc0\\u197{}gren &amp; Clark, 2018; Wang et al., 2014)","plainCitation":"(Ågren &amp; Clark, 2018; Wang et al., 2014)","noteIndex":0},"citationItems":[{"id":23738,"uris":["http://zotero.org/groups/2352922/items/CQ8PUCCR"],"itemData":{"id":23738,"type":"article-journal","abstract":"Selfish genetic elements (historically also referred to as selfish genes, ultra-selfish genes, selfish DNA, parasitic DNA, genomic outlaws) are genetic segments that can enhance their own transmission at the expense of other genes in the genome, even if this has no or a negative effect on organismal fitness. [1–6] Genomes have traditionally been viewed as cohesive units, with genes acting together to improve the fitness of the organism. However, when genes have some control over their own transmission, the rules can change, and so just like all social groups, genomes are vulnerable to selfish behaviour by their parts. Early observations of selfish genetic elements were made almost a century ago, but the topic did not get widespread attention until several decades later. Inspired by the gene-centred views of evolution popularized by George Williams[7] and Richard Dawkins,[8] two papers were published back-to-back in Nature in 1980—by Leslie Orgel and Francis Crick[9] and Ford Doolittle and Carmen Sapienza[10] respectively—introducing the concept of selfish genetic elements (at the time called “selfish DNA”) to the wider scientific community. Both papers emphasized that genes can spread in a population regardless of their effect on organismal fitness as long as they have a transmission advantage. Selfish genetic elements have now been described in most groups of organisms, and they demonstrate a remarkable diversity in the ways by which they promote their own transmission.[11] Though long dismissed as genetic curiosities, with little relevance for evolution, they are now recognized to affect a wide swath of biological processes, ranging from genome size and architecture to speciation.[12]","container-title":"PLOS Genetics","DOI":"10.1371/journal.pgen.1007700","ISSN":"1553-7404","issue":"11","journalAbbreviation":"PLOS Genetics","language":"en","note":"publisher: Public Library of Science","page":"e1007700","source":"PLoS Journals","title":"Selfish genetic elements","URL":"https://journals.plos.org/plosgenetics/article?id=10.1371/journal.pgen.1007700","volume":"14","author":[{"family":"Ågren","given":"J. Arvid"},{"family":"Clark","given":"Andrew G."}],"accessed":{"date-parts":[["2020",8,21]]},"issued":{"date-parts":[["2018",11,15]]}},"label":"page"},{"id":30131,"uris":["http://zotero.org/groups/2352922/items/C46H6Q39"],"itemData":{"id":30131,"type":"article-journal","abstract":"The Trojan Y-Chromosome (TYC) strategy, an autocidal genetic biocontrol method, has been proposed to eliminate invasive alien species. In this work, we analyze the dynamical system model of the TYC strategy, with the aim of studying the viability of the TYC eradication and control strategy of an invasive species. In particular, because the constant introduction of sex-reversed trojan females for all time is not possible in practice, there arises the question: What happens if this injection is stopped after some time? Can the invasive species recover? To answer that question, we perform a rigorous bifurcation analysis and study the basin of attraction of the recovery state and the extinction state in both the full model and a certain reduced model. In particular, we find a theoretical condition for the eradication strategy to work. Additionally, the consideration of an Allee effect and the possibility of a Turing instability are also studied in this work. Our results show that: (1) with the inclusion of an Allee effect, the number of the invasive females is not required to be very low when the introduction of the sex-reversed trojan females is stopped, and the remaining Trojan Y-Chromosome population is sufficient to induce extinction of the invasive females; (2) incorporating diffusive spatial spread does not produce a Turing instability, which would have suggested that the TYC eradication strategy might be only partially effective, leaving a patchy distribution of the invasive species.","container-title":"Journal of Mathematical Biology","DOI":"10.1007/s00285-013-0687-1","ISSN":"0303-6812, 1432-1416","issue":"7","journalAbbreviation":"J. Math. Biol.","language":"en","page":"1731-1756","source":"DOI.org (Crossref)","title":"Analysis of the &lt;i&gt;Trojan Y-Chromosome&lt;/i&gt; eradication strategy for an invasive species","URL":"http://link.springer.com/10.1007/s00285-013-0687-1","volume":"68","author":[{"family":"Wang","given":"Xueying"},{"family":"Walton","given":"Jay R."},{"family":"Parshad","given":"Rana D."},{"family":"Storey","given":"Katie"},{"family":"Boggess","given":"May"}],"accessed":{"date-parts":[["2020",8,17]]},"issued":{"date-parts":[["2014",6,1]]}},"label":"page"}],"schema":"https://github.com/citation-style-language/schema/raw/master/csl-citation.json"} </w:instrText>
      </w:r>
      <w:r w:rsidR="001B0409" w:rsidRPr="00837161">
        <w:rPr>
          <w:lang w:eastAsia="ja-JP"/>
        </w:rPr>
        <w:fldChar w:fldCharType="separate"/>
      </w:r>
      <w:r w:rsidR="00271B78" w:rsidRPr="00271B78">
        <w:t>(Ågren &amp; Clark, 2018; Wang et al., 2014)</w:t>
      </w:r>
      <w:r w:rsidR="001B0409" w:rsidRPr="00837161">
        <w:rPr>
          <w:lang w:eastAsia="ja-JP"/>
        </w:rPr>
        <w:fldChar w:fldCharType="end"/>
      </w:r>
      <w:r w:rsidR="001B0409" w:rsidRPr="00837161">
        <w:rPr>
          <w:rFonts w:eastAsia="Times New Roman"/>
          <w:lang w:eastAsia="ja-JP"/>
        </w:rPr>
        <w:t>.</w:t>
      </w:r>
      <w:r w:rsidRPr="00C0338D">
        <w:t xml:space="preserve"> </w:t>
      </w:r>
    </w:p>
    <w:p w14:paraId="37D75EAB" w14:textId="077364B6" w:rsidR="001B0409" w:rsidRPr="00837161" w:rsidRDefault="0085671D" w:rsidP="00C11DFA">
      <w:pPr>
        <w:spacing w:before="240" w:after="120" w:line="240" w:lineRule="auto"/>
        <w:rPr>
          <w:lang w:eastAsia="ja-JP"/>
        </w:rPr>
      </w:pPr>
      <w:r w:rsidRPr="00837161">
        <w:rPr>
          <w:lang w:eastAsia="ja-JP"/>
        </w:rPr>
        <w:t xml:space="preserve">Synthetic </w:t>
      </w:r>
      <w:r w:rsidR="009A71F6" w:rsidRPr="00837161">
        <w:rPr>
          <w:lang w:eastAsia="ja-JP"/>
        </w:rPr>
        <w:t xml:space="preserve">genetically modified </w:t>
      </w:r>
      <w:r w:rsidRPr="00837161">
        <w:rPr>
          <w:lang w:eastAsia="ja-JP"/>
        </w:rPr>
        <w:t>g</w:t>
      </w:r>
      <w:r w:rsidR="001B0409" w:rsidRPr="00837161">
        <w:rPr>
          <w:lang w:eastAsia="ja-JP"/>
        </w:rPr>
        <w:t>ene-drive mechanisms ha</w:t>
      </w:r>
      <w:r w:rsidR="009A71F6" w:rsidRPr="00837161">
        <w:rPr>
          <w:lang w:eastAsia="ja-JP"/>
        </w:rPr>
        <w:t xml:space="preserve">ve now </w:t>
      </w:r>
      <w:r w:rsidR="001B0409" w:rsidRPr="00837161">
        <w:rPr>
          <w:lang w:eastAsia="ja-JP"/>
        </w:rPr>
        <w:t>been demonstrated in mosquitoes</w:t>
      </w:r>
      <w:r w:rsidR="00DB1CB1" w:rsidRPr="00837161">
        <w:rPr>
          <w:lang w:eastAsia="ja-JP"/>
        </w:rPr>
        <w:t xml:space="preserve"> </w:t>
      </w:r>
      <w:r w:rsidRPr="00837161">
        <w:fldChar w:fldCharType="begin"/>
      </w:r>
      <w:r w:rsidR="00271B78">
        <w:instrText xml:space="preserve"> ADDIN ZOTERO_ITEM CSL_CITATION {"citationID":"iBcRHFj5","properties":{"formattedCitation":"(Adolfi et al., 2020)","plainCitation":"(Adolfi et al., 2020)","noteIndex":0},"citationItems":[{"id":31062,"uris":["http://zotero.org/groups/2352922/items/VYZHKZVB"],"itemData":{"id":31062,"type":"article-journal","abstract":"Cas9/gRNA-mediated gene-drive systems have advanced development of genetic technologies for controlling vector-borne pathogen transmission. These technologies include population suppression approaches, genetic analogs of insecticidal techniques that reduce the number of insect vectors, and population modification (replacement/alteration) approaches, which interfere with competence to transmit pathogens. Here, we develop a recoded gene-drive rescue system for population modification of the malaria vector, Anopheles stephensi, that relieves the load in females caused by integration of the drive into the kynurenine hydroxylase gene by rescuing its function. Non-functional resistant alleles are eliminated via a dominantly-acting maternal effect combined with slower-acting standard negative selection, and rare functional resistant alleles do not prevent drive invasion. Small cage trials show that single releases of gene-drive males robustly result in efficient population modification with ≥95% of mosquitoes carrying the drive within 5-11 generations over a range of initial release ratios.","container-title":"Nature Communications","DOI":"10.1038/s41467-020-19426-0","ISSN":"2041-1723","issue":"1","journalAbbreviation":"Nat Commun","language":"en","license":"2020 The Author(s)","note":"Bandiera_abtest: a\nCc_license_type: cc_by\nCg_type: Nature Research Journals\nnumber: 1\nPrimary_atype: Research\npublisher: Nature Publishing Group\nSubject_term: Animal biotechnology;CRISPR-Cas9 genome editing;Malaria;Synthetic biology\nSubject_term_id: animal-biotechnology;cas9-endonuclease;malaria;synthetic-biology","page":"5553","source":"www.nature.com","title":"Efficient population modification gene-drive rescue system in the malaria mosquito &lt;i&gt;Anopheles stephensi&lt;/i&gt;","URL":"https://www.nature.com/articles/s41467-020-19426-0","volume":"11","author":[{"family":"Adolfi","given":"Adriana"},{"family":"Gantz","given":"Valentino M."},{"family":"Jasinskiene","given":"Nijole"},{"family":"Lee","given":"Hsu-Feng"},{"family":"Hwang","given":"Kristy"},{"family":"Terradas","given":"Gerard"},{"family":"Bulger","given":"Emily A."},{"family":"Ramaiah","given":"Arunachalam"},{"family":"Bennett","given":"Jared B."},{"family":"Emerson","given":"J. J."},{"family":"Marshall","given":"John M."},{"family":"Bier","given":"Ethan"},{"family":"James","given":"Anthony A."}],"accessed":{"date-parts":[["2021",10,31]]},"issued":{"date-parts":[["2020",11,3]]}},"label":"page"}],"schema":"https://github.com/citation-style-language/schema/raw/master/csl-citation.json"} </w:instrText>
      </w:r>
      <w:r w:rsidRPr="00837161">
        <w:fldChar w:fldCharType="separate"/>
      </w:r>
      <w:r w:rsidR="00271B78" w:rsidRPr="00271B78">
        <w:t>(Adolfi et al., 2020)</w:t>
      </w:r>
      <w:r w:rsidRPr="00837161">
        <w:fldChar w:fldCharType="end"/>
      </w:r>
      <w:r w:rsidR="009A71F6" w:rsidRPr="00837161">
        <w:t xml:space="preserve"> and rodents </w:t>
      </w:r>
      <w:r w:rsidR="00BC4813" w:rsidRPr="00837161">
        <w:fldChar w:fldCharType="begin"/>
      </w:r>
      <w:r w:rsidR="000F35EB">
        <w:instrText xml:space="preserve"> ADDIN ZOTERO_ITEM CSL_CITATION {"citationID":"vQG3L3Lh","properties":{"formattedCitation":"(Gierus et al., 2022)","plainCitation":"(Gierus et al., 2022)","noteIndex":0},"citationItems":[{"id":52736,"uris":["http://zotero.org/groups/2352922/items/2X4EJCIU"],"itemData":{"id":52736,"type":"article-journal","abstract":"Invasive rodents, including house mice, are a major cause of environmental damage and biodiversity loss, particularly in island ecosystems. Eradication can be achieved through the distribution of rodenticide, but this approach is expensive to apply at scale, can have negative impacts (e.g. on non-target species, or through contamination), has animal ethics concerns, and has restrictions on where it can be used. Gene drives, which exhibit biased inheritance, have been proposed as a next generation strategy to control invasive alien pests and disease vectors. However, synthetic gene drives including CRISPR homing drives have proven to be technically challenging to develop in mice. The t haplotype is a naturally-occurring segregation distortion locus with highly biased transmission from heterozygous males. Here we propose a novel gene drive strategy for population suppression, tCRISPR, that leverages t haplotype bias and an embedded SpCas9/gRNA transgene to spread inactivating mutations in a haplosufficient female fertility gene. Using spatially explicit individual-based in silico modelling, we show that polyandry, sperm competition, dispersal, and transmission bias are critical factors for tCRISPR- mediated population suppression. Modelling of realistic parameter values indicates that tCRISPR can eradicate an island population of 200,000 mice while the unmodified t haplotype fails under the same conditions. We also demonstrate feasibility of this approach by engineering tCRISPR mice in a safe split drive format. tCRISPR mice exhibit high transmission of the modified t haplotype, and efficient generation and transmission of inactivating mutations in a recessive female fertility gene, crucially, at levels for which the modelling predicts that population eradication can occur. This is the first example of a feasible gene drive system for invasive alien rodent population control.","container-title":"Proceedings of the National Academy of Sciences","DOI":"10.1073/pnas.2213308119","issue":"46","language":"en","license":"© 2022, Posted by Cold Spring Harbor Laboratory. This pre-print is available under a Creative Commons License (Attribution-NonCommercial-NoDerivs 4.0 International), CC BY-NC-ND 4.0, as described at http://creativecommons.org/licenses/by-nc-nd/4.0/","page":"e2213308119","source":"bioRxiv","title":"Leveraging a natural murine meiotic drive to suppress invasive populations","URL":"https://doi.org/10.1073/pnas.2213308119","volume":"119","author":[{"family":"Gierus","given":"Luke"},{"family":"Birand","given":"Aysegul"},{"family":"Bunting","given":"Mark D."},{"family":"Godahewa","given":"Gelshan I."},{"family":"Piltz","given":"Sandra G."},{"family":"Oh","given":"Kevin P."},{"family":"Piaggio","given":"Antoinette J."},{"family":"Threadgill","given":"David W."},{"family":"Godwin","given":"John"},{"family":"Edwards","given":"Owain"},{"family":"Cassey","given":"Phillip"},{"family":"Ross","given":"Joshua V."},{"family":"Prowse","given":"Thomas A. A."},{"family":"Thomas","given":"Paul Q."}],"accessed":{"date-parts":[["2022",7,27]]},"issued":{"date-parts":[["2022"]]}},"label":"page"}],"schema":"https://github.com/citation-style-language/schema/raw/master/csl-citation.json"} </w:instrText>
      </w:r>
      <w:r w:rsidR="00BC4813" w:rsidRPr="00837161">
        <w:fldChar w:fldCharType="separate"/>
      </w:r>
      <w:r w:rsidR="00271B78" w:rsidRPr="00271B78">
        <w:t>(Gierus et al., 2022)</w:t>
      </w:r>
      <w:r w:rsidR="00BC4813" w:rsidRPr="00837161">
        <w:fldChar w:fldCharType="end"/>
      </w:r>
      <w:r w:rsidR="00BC4813" w:rsidRPr="00837161">
        <w:t xml:space="preserve">. </w:t>
      </w:r>
      <w:r w:rsidR="001B0409" w:rsidRPr="00837161">
        <w:rPr>
          <w:lang w:eastAsia="ja-JP"/>
        </w:rPr>
        <w:t xml:space="preserve">New CRISPR-based gene-editing tools have provided a step-change for this technology development. </w:t>
      </w:r>
      <w:r w:rsidR="004910FF" w:rsidRPr="00837161">
        <w:rPr>
          <w:lang w:eastAsia="ja-JP"/>
        </w:rPr>
        <w:t>S</w:t>
      </w:r>
      <w:r w:rsidR="001B0409" w:rsidRPr="00837161">
        <w:rPr>
          <w:lang w:eastAsia="ja-JP"/>
        </w:rPr>
        <w:t>ynthetic gene-drive system</w:t>
      </w:r>
      <w:r w:rsidR="00720B71" w:rsidRPr="00837161">
        <w:rPr>
          <w:lang w:eastAsia="ja-JP"/>
        </w:rPr>
        <w:t>s</w:t>
      </w:r>
      <w:r w:rsidR="001B0409" w:rsidRPr="00837161">
        <w:rPr>
          <w:lang w:eastAsia="ja-JP"/>
        </w:rPr>
        <w:t xml:space="preserve"> </w:t>
      </w:r>
      <w:r w:rsidR="00664EF7" w:rsidRPr="00837161">
        <w:rPr>
          <w:lang w:eastAsia="ja-JP"/>
        </w:rPr>
        <w:t>could</w:t>
      </w:r>
      <w:r w:rsidR="004910FF" w:rsidRPr="00837161">
        <w:rPr>
          <w:lang w:eastAsia="ja-JP"/>
        </w:rPr>
        <w:t xml:space="preserve"> </w:t>
      </w:r>
      <w:r w:rsidR="001B0409" w:rsidRPr="00837161">
        <w:rPr>
          <w:lang w:eastAsia="ja-JP"/>
        </w:rPr>
        <w:t>drive any potentially deleterious gene into the population</w:t>
      </w:r>
      <w:r w:rsidR="004910FF" w:rsidRPr="00837161">
        <w:rPr>
          <w:lang w:eastAsia="ja-JP"/>
        </w:rPr>
        <w:t xml:space="preserve">. </w:t>
      </w:r>
      <w:r w:rsidR="00670F77" w:rsidRPr="00837161">
        <w:rPr>
          <w:lang w:eastAsia="ja-JP"/>
        </w:rPr>
        <w:t>The highest</w:t>
      </w:r>
      <w:r w:rsidR="00CB511D" w:rsidRPr="00837161">
        <w:rPr>
          <w:lang w:eastAsia="ja-JP"/>
        </w:rPr>
        <w:t xml:space="preserve"> precision genetic engineering tool</w:t>
      </w:r>
      <w:r w:rsidR="00670F77" w:rsidRPr="00837161">
        <w:rPr>
          <w:lang w:eastAsia="ja-JP"/>
        </w:rPr>
        <w:t xml:space="preserve"> </w:t>
      </w:r>
      <w:r w:rsidR="00664EF7" w:rsidRPr="00837161">
        <w:rPr>
          <w:lang w:eastAsia="ja-JP"/>
        </w:rPr>
        <w:t xml:space="preserve">so far is </w:t>
      </w:r>
      <w:r w:rsidR="00670F77" w:rsidRPr="00837161">
        <w:rPr>
          <w:lang w:eastAsia="ja-JP"/>
        </w:rPr>
        <w:t xml:space="preserve">a </w:t>
      </w:r>
      <w:r w:rsidR="00CB511D" w:rsidRPr="00837161">
        <w:rPr>
          <w:lang w:eastAsia="ja-JP"/>
        </w:rPr>
        <w:t xml:space="preserve">new class of </w:t>
      </w:r>
      <w:r w:rsidR="00FD78E5" w:rsidRPr="00837161">
        <w:rPr>
          <w:lang w:eastAsia="ja-JP"/>
        </w:rPr>
        <w:t>“</w:t>
      </w:r>
      <w:r w:rsidR="00CB511D" w:rsidRPr="00837161">
        <w:rPr>
          <w:lang w:eastAsia="ja-JP"/>
        </w:rPr>
        <w:t>base editors</w:t>
      </w:r>
      <w:r w:rsidR="00FD78E5" w:rsidRPr="00837161">
        <w:rPr>
          <w:lang w:eastAsia="ja-JP"/>
        </w:rPr>
        <w:t>”</w:t>
      </w:r>
      <w:r w:rsidR="00CB511D" w:rsidRPr="00837161">
        <w:rPr>
          <w:lang w:eastAsia="ja-JP"/>
        </w:rPr>
        <w:t xml:space="preserve"> (programmable protein machines) </w:t>
      </w:r>
      <w:r w:rsidR="007868FE" w:rsidRPr="00837161">
        <w:rPr>
          <w:lang w:eastAsia="ja-JP"/>
        </w:rPr>
        <w:t xml:space="preserve">that </w:t>
      </w:r>
      <w:r w:rsidR="00CB511D" w:rsidRPr="00837161">
        <w:rPr>
          <w:lang w:eastAsia="ja-JP"/>
        </w:rPr>
        <w:t xml:space="preserve">can individually replace all four nucleotides of DNA selectively and efficiently, without the need for double-stranded DNA breaks </w:t>
      </w:r>
      <w:r w:rsidRPr="00837161">
        <w:rPr>
          <w:lang w:eastAsia="ja-JP"/>
        </w:rPr>
        <w:fldChar w:fldCharType="begin"/>
      </w:r>
      <w:r w:rsidR="000F35EB">
        <w:rPr>
          <w:lang w:eastAsia="ja-JP"/>
        </w:rPr>
        <w:instrText xml:space="preserve"> ADDIN ZOTERO_ITEM CSL_CITATION {"citationID":"Bzds1b5l","properties":{"formattedCitation":"(Gaudelli et al., 2017)","plainCitation":"(Gaudelli et al., 2017)","noteIndex":0},"citationItems":[{"id":16738,"uris":["http://zotero.org/groups/2352922/items/AEMML4QU"],"itemData":{"id":16738,"type":"article-journal","abstract":"In 2016, David Liu and colleagues developed a DNA 'base editor'—a system that would make it possible to change C•G base pairs to T•A base pairs within DNA without introducing double-stranded breaks. This approach involves tethering of a cytidine deaminase to an inactive RNA-guided Cas9 complex that enables site selectivity. However, this system was unable to correct about half of the single nucleotide polymorphisms that are known to be pathogenic. Now, David Liu and collaborators describe the next step in genomic base editing technology, designed to tackle the conversion of A•T base pairs to G•C base pairs. Beginning with a bacterial adenosine deaminase that acts on RNA, they used seven rounds of selection and refinement to produce ABE7.10. This enzyme, again tethered to an inactive RNA-guided Cas9 complex, uses DNA as a substrate and resulted in an average correction efficiency of 53% across multiple sites and contexts in the genome, with a very low mutagenic background. Importantly, the system can be used both to correct disease-associated single nucleotide polymorphisms and to introduce disease-suppressing ones.","container-title":"Nature","DOI":"10.1038/nature24644","ISSN":"1476-4687","issue":"7681","journalAbbreviation":"Nature","language":"en","license":"2017 Macmillan Publishers Limited, part of Springer Nature. All rights reserved.","page":"464-471","source":"www.nature.com","title":"Programmable base editing of A•T to G•C in genomic DNA without DNA cleavage","URL":"https://www.nature.com/articles/nature24644","volume":"551","author":[{"family":"Gaudelli","given":"Nicole M."},{"family":"Komor","given":"Alexis C."},{"family":"Rees","given":"Holly A."},{"family":"Packer","given":"Michael S."},{"family":"Badran","given":"Ahmed H."},{"family":"Bryson","given":"David I."},{"family":"Liu","given":"David R."}],"accessed":{"date-parts":[["2019",12,9]]},"issued":{"date-parts":[["2017",11]]}},"label":"page"}],"schema":"https://github.com/citation-style-language/schema/raw/master/csl-citation.json"} </w:instrText>
      </w:r>
      <w:r w:rsidRPr="00837161">
        <w:rPr>
          <w:lang w:eastAsia="ja-JP"/>
        </w:rPr>
        <w:fldChar w:fldCharType="separate"/>
      </w:r>
      <w:r w:rsidR="00271B78" w:rsidRPr="00271B78">
        <w:t>(Gaudelli et al., 2017)</w:t>
      </w:r>
      <w:r w:rsidRPr="00837161">
        <w:rPr>
          <w:lang w:eastAsia="ja-JP"/>
        </w:rPr>
        <w:fldChar w:fldCharType="end"/>
      </w:r>
      <w:r w:rsidR="00CB511D" w:rsidRPr="00837161">
        <w:rPr>
          <w:lang w:eastAsia="ja-JP"/>
        </w:rPr>
        <w:t>. These have the potential to make single nucleotide alterations</w:t>
      </w:r>
      <w:r w:rsidR="002F23BC" w:rsidRPr="00837161">
        <w:rPr>
          <w:lang w:eastAsia="ja-JP"/>
        </w:rPr>
        <w:t>;</w:t>
      </w:r>
      <w:r w:rsidR="00CB511D" w:rsidRPr="00837161">
        <w:rPr>
          <w:lang w:eastAsia="ja-JP"/>
        </w:rPr>
        <w:t xml:space="preserve"> the smallest and most precise way to make deleterious modifications to genes for invasive </w:t>
      </w:r>
      <w:r w:rsidR="002C3FAB" w:rsidRPr="00837161">
        <w:rPr>
          <w:rFonts w:eastAsia="Times New Roman"/>
        </w:rPr>
        <w:t xml:space="preserve">alien </w:t>
      </w:r>
      <w:r w:rsidR="00CB511D" w:rsidRPr="00837161">
        <w:rPr>
          <w:lang w:eastAsia="ja-JP"/>
        </w:rPr>
        <w:t xml:space="preserve">species control. </w:t>
      </w:r>
      <w:r w:rsidR="004910FF" w:rsidRPr="00837161">
        <w:rPr>
          <w:lang w:eastAsia="ja-JP"/>
        </w:rPr>
        <w:t>Th</w:t>
      </w:r>
      <w:r w:rsidR="002F23BC" w:rsidRPr="00837161">
        <w:rPr>
          <w:lang w:eastAsia="ja-JP"/>
        </w:rPr>
        <w:t>is</w:t>
      </w:r>
      <w:r w:rsidR="004910FF" w:rsidRPr="00837161">
        <w:rPr>
          <w:lang w:eastAsia="ja-JP"/>
        </w:rPr>
        <w:t xml:space="preserve"> may b</w:t>
      </w:r>
      <w:r w:rsidR="002F23BC" w:rsidRPr="00837161">
        <w:rPr>
          <w:lang w:eastAsia="ja-JP"/>
        </w:rPr>
        <w:t>ring</w:t>
      </w:r>
      <w:r w:rsidR="004910FF" w:rsidRPr="00837161">
        <w:rPr>
          <w:lang w:eastAsia="ja-JP"/>
        </w:rPr>
        <w:t xml:space="preserve"> </w:t>
      </w:r>
      <w:r w:rsidR="001B0409" w:rsidRPr="00837161">
        <w:rPr>
          <w:lang w:eastAsia="ja-JP"/>
        </w:rPr>
        <w:t>broade</w:t>
      </w:r>
      <w:r w:rsidR="004910FF" w:rsidRPr="00837161">
        <w:rPr>
          <w:lang w:eastAsia="ja-JP"/>
        </w:rPr>
        <w:t xml:space="preserve">r </w:t>
      </w:r>
      <w:r w:rsidR="00BD50E1" w:rsidRPr="00837161">
        <w:rPr>
          <w:lang w:eastAsia="ja-JP"/>
        </w:rPr>
        <w:t xml:space="preserve">applications beyond </w:t>
      </w:r>
      <w:r w:rsidR="001B0409" w:rsidRPr="00837161">
        <w:rPr>
          <w:lang w:eastAsia="ja-JP"/>
        </w:rPr>
        <w:t>sex-biasing, for example, altered disease resilience</w:t>
      </w:r>
      <w:r w:rsidR="00BD50E1" w:rsidRPr="00837161">
        <w:rPr>
          <w:lang w:eastAsia="ja-JP"/>
        </w:rPr>
        <w:t xml:space="preserve"> or</w:t>
      </w:r>
      <w:r w:rsidR="001B0409" w:rsidRPr="00837161">
        <w:rPr>
          <w:lang w:eastAsia="ja-JP"/>
        </w:rPr>
        <w:t xml:space="preserve"> su</w:t>
      </w:r>
      <w:r w:rsidR="00933775" w:rsidRPr="00837161">
        <w:rPr>
          <w:lang w:eastAsia="ja-JP"/>
        </w:rPr>
        <w:t>s</w:t>
      </w:r>
      <w:r w:rsidR="001B0409" w:rsidRPr="00837161">
        <w:rPr>
          <w:lang w:eastAsia="ja-JP"/>
        </w:rPr>
        <w:t>cept</w:t>
      </w:r>
      <w:r w:rsidR="006E6F9A" w:rsidRPr="00837161">
        <w:rPr>
          <w:lang w:eastAsia="ja-JP"/>
        </w:rPr>
        <w:t>i</w:t>
      </w:r>
      <w:r w:rsidR="001B0409" w:rsidRPr="00837161">
        <w:rPr>
          <w:lang w:eastAsia="ja-JP"/>
        </w:rPr>
        <w:t>b</w:t>
      </w:r>
      <w:r w:rsidR="00F643B9" w:rsidRPr="00837161">
        <w:rPr>
          <w:lang w:eastAsia="ja-JP"/>
        </w:rPr>
        <w:t>i</w:t>
      </w:r>
      <w:r w:rsidR="001B0409" w:rsidRPr="00837161">
        <w:rPr>
          <w:lang w:eastAsia="ja-JP"/>
        </w:rPr>
        <w:t>lity to othe</w:t>
      </w:r>
      <w:r w:rsidR="00922714" w:rsidRPr="00837161">
        <w:rPr>
          <w:lang w:eastAsia="ja-JP"/>
        </w:rPr>
        <w:t>r</w:t>
      </w:r>
      <w:r w:rsidR="001B0409" w:rsidRPr="00837161">
        <w:rPr>
          <w:lang w:eastAsia="ja-JP"/>
        </w:rPr>
        <w:t xml:space="preserve">wise </w:t>
      </w:r>
      <w:r w:rsidR="3ED07471" w:rsidRPr="00837161">
        <w:rPr>
          <w:lang w:eastAsia="ja-JP"/>
        </w:rPr>
        <w:t>innocuous</w:t>
      </w:r>
      <w:r w:rsidR="001B0409" w:rsidRPr="00837161">
        <w:rPr>
          <w:lang w:eastAsia="ja-JP"/>
        </w:rPr>
        <w:t xml:space="preserve"> chem</w:t>
      </w:r>
      <w:r w:rsidR="00922714" w:rsidRPr="00837161">
        <w:rPr>
          <w:lang w:eastAsia="ja-JP"/>
        </w:rPr>
        <w:t>i</w:t>
      </w:r>
      <w:r w:rsidR="001B0409" w:rsidRPr="00837161">
        <w:rPr>
          <w:lang w:eastAsia="ja-JP"/>
        </w:rPr>
        <w:t>cal agent etc</w:t>
      </w:r>
      <w:r w:rsidR="003776A7" w:rsidRPr="00837161">
        <w:rPr>
          <w:lang w:eastAsia="ja-JP"/>
        </w:rPr>
        <w:t xml:space="preserve"> </w:t>
      </w:r>
      <w:r w:rsidRPr="00837161">
        <w:fldChar w:fldCharType="begin"/>
      </w:r>
      <w:r w:rsidR="000F35EB">
        <w:instrText xml:space="preserve"> ADDIN ZOTERO_ITEM CSL_CITATION {"citationID":"zhPCq2h7","properties":{"formattedCitation":"(Legros et al., 2021)","plainCitation":"(Legros et al., 2021)","noteIndex":0},"citationItems":[{"id":31061,"uris":["http://zotero.org/groups/2352922/items/KC8TWT72"],"itemData":{"id":31061,"type":"article-journal","abstract":"Recent advances in gene-­editing technologies have opened new avenues for genetic pest control strategies, in particular around the use of gene drives to suppress or modify pest populations. Significant uncertainty, however, surrounds the applicability of these strategies to novel target species, their efficacy in natural populations and their eventual safety and acceptability as control methods. In this article, we identify issues associated with the potential use of gene drives in agricultural systems, to control pests and diseases that impose a significant cost to agriculture around the world. We first review the need for innovative approaches and provide an overview of the most relevant biological and ecological traits of agricultural pests that could impact the outcome of gene drive approaches. We then describe the specific challenges associated with using gene drives in agricultural systems, as well as the opportunities that these environments may offer, focusing in particular on the advantages of high-­ threshold gene drives. Overall, we aim to provide a comprehensive view of the potential opportunities and the remaining uncertainties around the use of gene drives in agricultural systems.","container-title":"Evolutionary Applications","DOI":"10.1111/eva.13285","ISSN":"1752-4571, 1752-4571","issue":"9","journalAbbreviation":"Evol Appl","language":"en","page":"2162-2178","source":"DOI.org (Crossref)","title":"Gene drive strategies of pest control in agricultural systems: Challenges and opportunities","title-short":"Gene drive strategies of pest control in agricultural systems","URL":"https://onlinelibrary.wiley.com/doi/10.1111/eva.13285","volume":"14","author":[{"family":"Legros","given":"Mathieu"},{"family":"Marshall","given":"John M."},{"family":"Macfadyen","given":"Sarina"},{"family":"Hayes","given":"Keith R."},{"family":"Sheppard","given":"Andy"},{"family":"Barrett","given":"Luke G."}],"accessed":{"date-parts":[["2021",10,31]]},"issued":{"date-parts":[["2021",9]]}},"label":"page"}],"schema":"https://github.com/citation-style-language/schema/raw/master/csl-citation.json"} </w:instrText>
      </w:r>
      <w:r w:rsidRPr="00837161">
        <w:fldChar w:fldCharType="separate"/>
      </w:r>
      <w:r w:rsidR="00271B78" w:rsidRPr="00271B78">
        <w:t>(Legros et al., 2021)</w:t>
      </w:r>
      <w:r w:rsidRPr="00837161">
        <w:fldChar w:fldCharType="end"/>
      </w:r>
      <w:r w:rsidR="001B0409" w:rsidRPr="00837161">
        <w:rPr>
          <w:lang w:eastAsia="ja-JP"/>
        </w:rPr>
        <w:t>. Once constructed, the modified organism need</w:t>
      </w:r>
      <w:r w:rsidR="00FE7C1A" w:rsidRPr="00837161">
        <w:rPr>
          <w:lang w:eastAsia="ja-JP"/>
        </w:rPr>
        <w:t>s</w:t>
      </w:r>
      <w:r w:rsidR="001B0409" w:rsidRPr="00837161">
        <w:rPr>
          <w:lang w:eastAsia="ja-JP"/>
        </w:rPr>
        <w:t xml:space="preserve"> to be assessed for efficacy and the </w:t>
      </w:r>
      <w:r w:rsidR="008044C5" w:rsidRPr="00837161">
        <w:rPr>
          <w:lang w:eastAsia="ja-JP"/>
        </w:rPr>
        <w:t xml:space="preserve">heritability </w:t>
      </w:r>
      <w:r w:rsidR="00F736DA" w:rsidRPr="00837161">
        <w:rPr>
          <w:lang w:eastAsia="ja-JP"/>
        </w:rPr>
        <w:t xml:space="preserve">of the deleterious gene into </w:t>
      </w:r>
      <w:r w:rsidR="00E61FB8" w:rsidRPr="00837161">
        <w:rPr>
          <w:lang w:eastAsia="ja-JP"/>
        </w:rPr>
        <w:t>the</w:t>
      </w:r>
      <w:r w:rsidR="001B0409" w:rsidRPr="00837161">
        <w:rPr>
          <w:lang w:eastAsia="ja-JP"/>
        </w:rPr>
        <w:t xml:space="preserve"> invasive population</w:t>
      </w:r>
      <w:r w:rsidR="009A0A05" w:rsidRPr="00837161">
        <w:rPr>
          <w:lang w:eastAsia="ja-JP"/>
        </w:rPr>
        <w:t xml:space="preserve"> prior to regulatory approval</w:t>
      </w:r>
      <w:r w:rsidR="001B0409" w:rsidRPr="00837161">
        <w:rPr>
          <w:lang w:eastAsia="ja-JP"/>
        </w:rPr>
        <w:t>.</w:t>
      </w:r>
      <w:r w:rsidR="00E61FB8" w:rsidRPr="00837161">
        <w:rPr>
          <w:lang w:eastAsia="ja-JP"/>
        </w:rPr>
        <w:t xml:space="preserve"> </w:t>
      </w:r>
      <w:r w:rsidR="00571548" w:rsidRPr="00837161">
        <w:rPr>
          <w:lang w:eastAsia="ja-JP"/>
        </w:rPr>
        <w:lastRenderedPageBreak/>
        <w:t>E</w:t>
      </w:r>
      <w:r w:rsidR="00C1301B" w:rsidRPr="00837161">
        <w:rPr>
          <w:lang w:eastAsia="ja-JP"/>
        </w:rPr>
        <w:t>ffective</w:t>
      </w:r>
      <w:r w:rsidR="00571548" w:rsidRPr="00837161">
        <w:rPr>
          <w:lang w:eastAsia="ja-JP"/>
        </w:rPr>
        <w:t xml:space="preserve">ness will be slower for </w:t>
      </w:r>
      <w:r w:rsidR="001B0409" w:rsidRPr="00837161">
        <w:rPr>
          <w:lang w:eastAsia="ja-JP"/>
        </w:rPr>
        <w:t xml:space="preserve">target species that </w:t>
      </w:r>
      <w:r w:rsidR="00032297" w:rsidRPr="00837161">
        <w:rPr>
          <w:lang w:eastAsia="ja-JP"/>
        </w:rPr>
        <w:t>have lower reproductive rates</w:t>
      </w:r>
      <w:r w:rsidR="007A617C" w:rsidRPr="00837161">
        <w:rPr>
          <w:lang w:eastAsia="ja-JP"/>
        </w:rPr>
        <w:t>, although r</w:t>
      </w:r>
      <w:r w:rsidR="00E529EC" w:rsidRPr="00837161">
        <w:rPr>
          <w:lang w:eastAsia="ja-JP"/>
        </w:rPr>
        <w:t xml:space="preserve">eleasing more modified individuals </w:t>
      </w:r>
      <w:r w:rsidR="007A617C" w:rsidRPr="00837161">
        <w:rPr>
          <w:lang w:eastAsia="ja-JP"/>
        </w:rPr>
        <w:t>may</w:t>
      </w:r>
      <w:r w:rsidR="00E529EC" w:rsidRPr="00837161">
        <w:rPr>
          <w:lang w:eastAsia="ja-JP"/>
        </w:rPr>
        <w:t xml:space="preserve"> speed up time to effectiveness.</w:t>
      </w:r>
    </w:p>
    <w:p w14:paraId="5C578E33" w14:textId="42117F55" w:rsidR="6C39A242" w:rsidRPr="00837161" w:rsidRDefault="00B0716F" w:rsidP="00C11DFA">
      <w:pPr>
        <w:spacing w:before="240" w:after="120" w:line="240" w:lineRule="auto"/>
        <w:rPr>
          <w:lang w:eastAsia="ja-JP"/>
        </w:rPr>
      </w:pPr>
      <w:r w:rsidRPr="00837161">
        <w:rPr>
          <w:lang w:eastAsia="ja-JP"/>
        </w:rPr>
        <w:t>Addressing public acceptability for genetic control tools in their various forms has become an independent research focus</w:t>
      </w:r>
      <w:r w:rsidR="002524D3" w:rsidRPr="00837161">
        <w:rPr>
          <w:lang w:eastAsia="ja-JP"/>
        </w:rPr>
        <w:t xml:space="preserve"> </w:t>
      </w:r>
      <w:r w:rsidR="002524D3" w:rsidRPr="00837161">
        <w:rPr>
          <w:lang w:eastAsia="ja-JP"/>
        </w:rPr>
        <w:fldChar w:fldCharType="begin"/>
      </w:r>
      <w:r w:rsidR="00E25D54">
        <w:rPr>
          <w:lang w:eastAsia="ja-JP"/>
        </w:rPr>
        <w:instrText xml:space="preserve"> ADDIN ZOTERO_ITEM CSL_CITATION {"citationID":"W9Q4hrd7","properties":{"formattedCitation":"(Kirk et al., 2019; MacDonald et al., 2020; Mankad et al., 2022; Simon et al., 2018)","plainCitation":"(Kirk et al., 2019; MacDonald et al., 2020; Mankad et al., 2022; Simon et al., 2018)","noteIndex":0},"citationItems":[{"id":52734,"uris":["http://zotero.org/groups/2352922/items/XQ7WTLT7"],"itemData":{"id":52734,"type":"article-journal","abstract":"Invasive animal species threaten global biodiversity. In New Zealand invasive species threaten iconic native species, and scientists are seeking approval to research new technologies that might be capable of eradicating these invasive species. The aim of this research was to understand what New Zealanders with an interest in pest control consider to be the main risks and benefits of introducing new technologies to manage invasive species. We invited key informants to participate in the focus groups, selecting people with knowledge and experience of pest control issues in New Zealand. Data were collected from seven focus groups held in three locations across New Zealand. A thematic analysis of the data was then conducted in which three key themes emerged: concern about the risk of unintended consequences, the benefits of landscape-scale technologies, and New Zealand being an early adopter of new technologies. The focus groups articulated a variety of benefits from introducing new technologies – such as replacing dangerous poisons with non-toxic alternatives – but it was the risks of the new technologies that dominated the discussions. Given these results, we recommend an education and communication strategy focussed on social learning, in conjunction with a codesigned decision-making process, to help establish social licence for the application of potentially controversial technologies.","container-title":"Pacific Conservation Biology","DOI":"10.1071/PC18080","ISSN":"2204-4604, 2204-4604","issue":"1","journalAbbreviation":"Pac. Conserv. Biol.","language":"en","note":"publisher: CSIRO PUBLISHING","page":"35-44","source":"www.publish.csiro.au","title":"Understanding attitudes on new technologies to manage invasive species","URL":"https://www.publish.csiro.au/pc/PC18080","volume":"26","author":[{"family":"Kirk","given":"Nick"},{"family":"Kannemeyer","given":"Robyn"},{"family":"Greenaway","given":"Alison"},{"family":"MacDonald","given":"Edy"},{"family":"Stronge","given":"Dean"}],"accessed":{"date-parts":[["2022",7,27]]},"issued":{"date-parts":[["2019",6,13]]}},"label":"page"},{"id":21884,"uris":["http://zotero.org/groups/2352922/items/EZST9YLD"],"itemData":{"id":21884,"type":"article-journal","abstract":"Synthetic gene drive approaches are nascent technologies with potential applicability for pest control for conservation purposes. Responsible science mandates that society be engaged in a dialogue over new technology, particularly where there exist global ramifications as with gene drive. We hypothesize that public attitudes towards gene drive are not formed on scientific knowledge or demographics alone, but are heavily influenced by underlying worldviews, which encapsulate a broad and interactive system of attitudes, beliefs, and values. To test this, we conducted a national survey in New Zealand (n = 8199) and found that respondents clustered into four distinct segments with underlying worldviews, better able to explain attitudes toward gene drive than either the participants' scientific knowledge or other explanatory factors such demographics, political ideology or religiosity. We found that the use of gene drive for biodiversity conservation currently has moderate (32%) levels of support in New Zealand but that varied substantially across the four segments. Should gene drive become a technically viable approach for pest control, understanding the worldviews that shape public decision-making can guide a more empathetic engagement process and empower society to participate in informed decision-making about if and how gene drive should be used for conservation purposes. © 2020, © 2020 The Author(s). Published by Informa UK Limited, trading as Taylor &amp; Francis Group.","container-title":"Environmental Communication","DOI":"10.1080/17524032.2019.1702568","issue":"7","page":"904-918","title":"Public Opinion Towards Gene Drive as a Pest Control Approach for Biodiversity Conservation and the Association of Underlying Worldviews","URL":"https://www.scopus.com/inward/record.uri?eid=2-s2.0-85078437848&amp;doi=10.1080%2f17524032.2019.1702568&amp;partnerID=40&amp;md5=65c786909fd26dd6768fbf871ca8ed59","volume":"14","author":[{"family":"MacDonald","given":"E.A."},{"family":"Balanovic","given":"J."},{"family":"Edwards","given":"E.D."},{"family":"Abrahamse","given":"W."},{"family":"Frame","given":"B."},{"family":"Greenaway","given":"A."},{"family":"Kannemeyer","given":"R."},{"family":"Kirk","given":"N."},{"family":"Medvecky","given":"F."},{"family":"Milfont","given":"T.L."},{"family":"Russell","given":"J.C."},{"family":"Tompkins","given":"D.M."}],"issued":{"date-parts":[["2020"]]}},"label":"page"},{"id":52733,"uris":["http://zotero.org/groups/2352922/items/94UCPDDE"],"itemData":{"id":52733,"type":"book","abstract":"This report explores Australian publics' perspectives towards using gene drive for invasive species management in Australia.","event-place":"Australia","ISBN":"978-1-4863-1743-1","publisher":"CSIRO","publisher-place":"Australia","source":"ResearchGate","title":"Public perspectives towards using gene drive for invasive species management in Australia","URL":"https://publications.csiro.au/rpr/ws/v1/download?pid=csiro:EP2022-1931&amp;dsid=DS1","author":[{"family":"Mankad","given":"Aditi"},{"family":"Hobman","given":"Elizabeth V."},{"family":"Carter","given":"Lucy"}],"issued":{"date-parts":[["2022",6,30]]}},"label":"page"},{"id":25154,"uris":["http://zotero.org/groups/2352922/items/ZLTW7XGR"],"itemData":{"id":25154,"type":"article-journal","abstract":"Gene drive organisms differ from “classical” genetically modified organisms in several crucial aspects. It would require new approaches for risk assessment to gauge their potential impact on the environment.","container-title":"EMBO Reports","DOI":"10.15252/embr.201845760","ISSN":"1469-221X","issue":"5","journalAbbreviation":"EMBO Rep","note":"PMID: 29650530\nPMCID: PMC5934763","page":"e45760","source":"PubMed Central","title":"Synthetic gene drive: between continuity and novelty","title-short":"Synthetic gene drive","URL":"https://www.ncbi.nlm.nih.gov/pmc/articles/PMC5934763/","volume":"19","author":[{"family":"Simon","given":"Samson"},{"family":"Otto","given":"Mathias"},{"family":"Engelhard","given":"Margret"}],"accessed":{"date-parts":[["2021",3,30]]},"issued":{"date-parts":[["2018",5]]}},"label":"page"}],"schema":"https://github.com/citation-style-language/schema/raw/master/csl-citation.json"} </w:instrText>
      </w:r>
      <w:r w:rsidR="002524D3" w:rsidRPr="00837161">
        <w:rPr>
          <w:lang w:eastAsia="ja-JP"/>
        </w:rPr>
        <w:fldChar w:fldCharType="separate"/>
      </w:r>
      <w:r w:rsidR="00271B78" w:rsidRPr="00271B78">
        <w:t>(Kirk et al., 2019; MacDonald et al., 2020; Mankad et al., 2022; Simon et al., 2018)</w:t>
      </w:r>
      <w:r w:rsidR="002524D3" w:rsidRPr="00837161">
        <w:rPr>
          <w:lang w:eastAsia="ja-JP"/>
        </w:rPr>
        <w:fldChar w:fldCharType="end"/>
      </w:r>
      <w:r w:rsidRPr="00767086">
        <w:rPr>
          <w:lang w:val="es-ES" w:eastAsia="ja-JP"/>
        </w:rPr>
        <w:t xml:space="preserve">. </w:t>
      </w:r>
      <w:r w:rsidRPr="00837161">
        <w:rPr>
          <w:lang w:eastAsia="ja-JP"/>
        </w:rPr>
        <w:t xml:space="preserve">To progress this there are several open online networks and forums, open and transparent research principles and codes of ethics that the key research agencies have signed up for both the research and field trials. Risk analysis </w:t>
      </w:r>
      <w:r w:rsidR="008A7E1C" w:rsidRPr="00837161">
        <w:rPr>
          <w:lang w:eastAsia="ja-JP"/>
        </w:rPr>
        <w:t xml:space="preserve">and addressing public concerns </w:t>
      </w:r>
      <w:r w:rsidRPr="00837161">
        <w:rPr>
          <w:lang w:eastAsia="ja-JP"/>
        </w:rPr>
        <w:t xml:space="preserve">of such approaches is therefore critical for seeking and obtaining approvals and supporting prior and informed consent with </w:t>
      </w:r>
      <w:r w:rsidR="00875C95" w:rsidRPr="00837161">
        <w:rPr>
          <w:lang w:eastAsia="ja-JP"/>
        </w:rPr>
        <w:t>Indigenous Peoples</w:t>
      </w:r>
      <w:r w:rsidRPr="00837161">
        <w:rPr>
          <w:lang w:eastAsia="ja-JP"/>
        </w:rPr>
        <w:t xml:space="preserve"> and local communities in areas where this technology is being considered for deployment </w:t>
      </w:r>
      <w:r w:rsidRPr="00837161">
        <w:rPr>
          <w:lang w:eastAsia="ja-JP"/>
        </w:rPr>
        <w:fldChar w:fldCharType="begin"/>
      </w:r>
      <w:r w:rsidR="000F35EB">
        <w:rPr>
          <w:lang w:eastAsia="ja-JP"/>
        </w:rPr>
        <w:instrText xml:space="preserve"> ADDIN ZOTERO_ITEM CSL_CITATION {"citationID":"KrioJV34","properties":{"formattedCitation":"(Taitingfong, 2019)","plainCitation":"(Taitingfong, 2019)","noteIndex":0},"citationItems":[{"id":24557,"uris":["http://zotero.org/groups/2352922/items/WNGCSQHH"],"itemData":{"id":24557,"type":"article-journal","abstract":"This article argues that the genetic engineering technology known as gene drive must be evaluated in the context of the historic and ongoing impacts of settler colonialism and military experimentation on indigenous lands and peoples. After defĳining gene drive and previewing some of the key ethical issues related to its use, the author compares the language used to justify Cold War–era nuclear testing in the Pacifĳic with contemporary scholarship framing islands as ideal test sites for gene drive–modifĳied organisms. In both cases, perceptions of islands as remote and isolated are mobilized to warrant their treatment as sites of experimentation for emerging technologies. Though gene drive may offfer valuable interventions into issues afffecting island communities (e.g., vector-borne disease and invasive species management), proposals to conduct the fĳirst open trials of gene drive on islands are complicit in a long history of injustice that has treated islands (and their residents) as dispensable to the risks and unintended consequences associated with experimentation. This article contends that ethical gene drive research cannot be achieved without the inclusion of indigenous peoples as key stakeholders and provides three recommendations to guide community engagement involving indigenous communities: centering indigenous self-determination, replacing the defĳicit model of engagement with a truly participatory model, and integrating indigenous knowledge and values in the research and decision-making processes related to gene drive.","container-title":"Human Biology","DOI":"10.13110/humanbiology.91.3.01","ISSN":"00187143","issue":"3","journalAbbreviation":"Human Biology","language":"en","page":"179-188","source":"DOI.org (Crossref)","title":"Islands as Laboratories: Indigenous Knowledge and Gene Drives in the Pacific","title-short":"Islands as Laboratories","URL":"https://www.jstor.org/stable/10.13110/humanbiology.91.3.01","volume":"91","author":[{"family":"Taitingfong","given":"Riley I."}],"accessed":{"date-parts":[["2021",2,27]]},"issued":{"date-parts":[["2019"]]}},"label":"page"}],"schema":"https://github.com/citation-style-language/schema/raw/master/csl-citation.json"} </w:instrText>
      </w:r>
      <w:r w:rsidRPr="00837161">
        <w:rPr>
          <w:lang w:eastAsia="ja-JP"/>
        </w:rPr>
        <w:fldChar w:fldCharType="separate"/>
      </w:r>
      <w:r w:rsidR="00271B78" w:rsidRPr="00271B78">
        <w:t>(Taitingfong, 2019)</w:t>
      </w:r>
      <w:r w:rsidRPr="00837161">
        <w:rPr>
          <w:lang w:eastAsia="ja-JP"/>
        </w:rPr>
        <w:fldChar w:fldCharType="end"/>
      </w:r>
      <w:r w:rsidRPr="00837161">
        <w:rPr>
          <w:lang w:eastAsia="ja-JP"/>
        </w:rPr>
        <w:t xml:space="preserve">. </w:t>
      </w:r>
      <w:r w:rsidR="0079215C">
        <w:t>As with all invasive alien species control programme</w:t>
      </w:r>
      <w:r w:rsidR="00E87F41">
        <w:t>s</w:t>
      </w:r>
      <w:r w:rsidR="0079215C">
        <w:t>, ecological and genetic modelling studies are also critically important for pre-evaluating effectiveness and likely impacts for any given invasive alien species</w:t>
      </w:r>
      <w:r w:rsidRPr="00837161">
        <w:rPr>
          <w:lang w:eastAsia="ja-JP"/>
        </w:rPr>
        <w:t xml:space="preserve"> (e.g.</w:t>
      </w:r>
      <w:r w:rsidR="00962F02" w:rsidRPr="00837161">
        <w:rPr>
          <w:lang w:eastAsia="ja-JP"/>
        </w:rPr>
        <w:t>,</w:t>
      </w:r>
      <w:r w:rsidRPr="00837161">
        <w:rPr>
          <w:lang w:eastAsia="ja-JP"/>
        </w:rPr>
        <w:t xml:space="preserve"> </w:t>
      </w:r>
      <w:r w:rsidR="002524D3" w:rsidRPr="00837161">
        <w:rPr>
          <w:lang w:eastAsia="ja-JP"/>
        </w:rPr>
        <w:fldChar w:fldCharType="begin"/>
      </w:r>
      <w:r w:rsidR="00E25D54">
        <w:rPr>
          <w:lang w:eastAsia="ja-JP"/>
        </w:rPr>
        <w:instrText xml:space="preserve"> ADDIN ZOTERO_ITEM CSL_CITATION {"citationID":"14etwtKD","properties":{"formattedCitation":"(Birand et al., 2022; Thresher, Hayes, et al., 2014)","plainCitation":"(Birand et al., 2022; Thresher, Hayes, et al., 2014)","dontUpdate":true,"noteIndex":0},"citationItems":[{"id":53122,"uris":["http://zotero.org/groups/2352922/items/4LVR4GFK"],"itemData":{"id":53122,"type":"article-journal","container-title":"Molecular Ecology","DOI":"10.1111/mec.16361","ISSN":"0962-1083, 1365-294X","issue":"6","journalAbbreviation":"Molecular Ecology","language":"en","page":"1907-1923","source":"DOI.org (Crossref)","title":"Gene drives for vertebrate pest control: Realistic spatial modelling of eradication probabilities and times for island mouse populations","title-short":"Gene drives for vertebrate pest control","URL":"https://onlinelibrary.wiley.com/doi/10.1111/mec.16361","volume":"31","author":[{"family":"Birand","given":"Aysegul"},{"family":"Cassey","given":"Phillip"},{"family":"Ross","given":"Joshua V."},{"family":"Russell","given":"James C."},{"family":"Thomas","given":"Paul"},{"family":"Prowse","given":"Thomas A. A."}],"accessed":{"date-parts":[["2022",9,1]]},"issued":{"date-parts":[["2022",3]]}},"label":"page"},{"id":21419,"uris":["http://zotero.org/groups/2352922/items/SUKCI99P"],"itemData":{"id":21419,"type":"article-journal","abstract":"Genetic options for the control of invasive fishes were recently reviewed and synthesized at a 2010 international symposium, held in Minneapolis/St. Paul, MN, USA. The only option currently available “off-the-shelf” is triploidy, which can be used to produce sterile males for a release program analogous to those widely and successfully used for biological control of insect pests. However, the Trojan Y and several recombinant options that heritably distort pest population sex ratios are technologically feasible, are at or are close to proof-of-concept stage and are potentially much more effective than sterile male release programs. All genetic options at this stage require prolonged stocking programs to be effective, though gene drive systems are a potential for recombinant approaches. They are also likely to differ in their current degree of social acceptability, with chromosomal approaches (triploidy and Trojan Y) likely to be the most readily acceptable to the public and least likely to require changes in legislative or policy settings to be implemented. Modelling also suggests that the efficacy of any of these genetic techniques is enhanced by, and in turn non-additively enhance, conventional methods of pest fish control.","container-title":"Biological Invasions","DOI":"10.1007/s10530-013-0477-0","ISSN":"1573-1464","issue":"6","journalAbbreviation":"Biol Invasions","language":"en","page":"1201-1216","source":"Springer Link","title":"Genetic control of invasive fish: technological options and its role in integrated pest management","title-short":"Genetic control of invasive fish","URL":"https://doi.org/10.1007/s10530-013-0477-0","volume":"16","author":[{"family":"Thresher","given":"Ronald E."},{"family":"Hayes","given":"Keith"},{"family":"Bax","given":"Nicholas J."},{"family":"Teem","given":"John"},{"family":"Benfey","given":"Tillmann J."},{"family":"Gould","given":"Fred"}],"accessed":{"date-parts":[["2019",7,20]]},"issued":{"date-parts":[["2014",6,1]]}},"label":"page"}],"schema":"https://github.com/citation-style-language/schema/raw/master/csl-citation.json"} </w:instrText>
      </w:r>
      <w:r w:rsidR="002524D3" w:rsidRPr="00837161">
        <w:rPr>
          <w:lang w:eastAsia="ja-JP"/>
        </w:rPr>
        <w:fldChar w:fldCharType="separate"/>
      </w:r>
      <w:r w:rsidR="00E25D54" w:rsidRPr="00E25D54">
        <w:t>Birand et al., 2022; Thresher, Hayes, et al., 2014</w:t>
      </w:r>
      <w:r w:rsidR="002524D3" w:rsidRPr="00837161">
        <w:rPr>
          <w:lang w:eastAsia="ja-JP"/>
        </w:rPr>
        <w:fldChar w:fldCharType="end"/>
      </w:r>
      <w:r w:rsidR="002524D3" w:rsidRPr="00837161">
        <w:t xml:space="preserve">; </w:t>
      </w:r>
      <w:r w:rsidR="002524D3" w:rsidRPr="00C33F92">
        <w:rPr>
          <w:b/>
          <w:iCs/>
          <w:lang w:eastAsia="ja-JP"/>
        </w:rPr>
        <w:t>s</w:t>
      </w:r>
      <w:r w:rsidRPr="00C33F92">
        <w:rPr>
          <w:b/>
          <w:iCs/>
          <w:lang w:eastAsia="ja-JP"/>
        </w:rPr>
        <w:t>ection 5.6.</w:t>
      </w:r>
      <w:r w:rsidR="009F0C4C" w:rsidRPr="00C33F92">
        <w:rPr>
          <w:b/>
          <w:iCs/>
          <w:lang w:eastAsia="ja-JP"/>
        </w:rPr>
        <w:t>3</w:t>
      </w:r>
      <w:r w:rsidRPr="00C33F92">
        <w:rPr>
          <w:b/>
          <w:iCs/>
          <w:lang w:eastAsia="ja-JP"/>
        </w:rPr>
        <w:t>.2</w:t>
      </w:r>
      <w:r w:rsidRPr="00837161">
        <w:rPr>
          <w:lang w:eastAsia="ja-JP"/>
        </w:rPr>
        <w:t xml:space="preserve">). Regulatory acceptance and approval </w:t>
      </w:r>
      <w:r w:rsidR="52F8944D" w:rsidRPr="00837161">
        <w:rPr>
          <w:lang w:eastAsia="ja-JP"/>
        </w:rPr>
        <w:t>are</w:t>
      </w:r>
      <w:r w:rsidRPr="00837161">
        <w:rPr>
          <w:lang w:eastAsia="ja-JP"/>
        </w:rPr>
        <w:t xml:space="preserve"> also mandatory so </w:t>
      </w:r>
      <w:r w:rsidR="189EC3BD" w:rsidRPr="00837161">
        <w:rPr>
          <w:lang w:eastAsia="ja-JP"/>
        </w:rPr>
        <w:t xml:space="preserve">as to </w:t>
      </w:r>
      <w:r w:rsidRPr="00837161">
        <w:rPr>
          <w:lang w:eastAsia="ja-JP"/>
        </w:rPr>
        <w:t>ensur</w:t>
      </w:r>
      <w:r w:rsidR="77F77C01" w:rsidRPr="00837161">
        <w:rPr>
          <w:lang w:eastAsia="ja-JP"/>
        </w:rPr>
        <w:t>e r</w:t>
      </w:r>
      <w:r w:rsidRPr="00837161">
        <w:rPr>
          <w:lang w:eastAsia="ja-JP"/>
        </w:rPr>
        <w:t>esearchers work closely with regulators from the start to ensure common understanding of the risks and the concerns</w:t>
      </w:r>
      <w:r w:rsidR="70425226" w:rsidRPr="00837161">
        <w:rPr>
          <w:lang w:eastAsia="ja-JP"/>
        </w:rPr>
        <w:t>.</w:t>
      </w:r>
      <w:r w:rsidRPr="00837161">
        <w:rPr>
          <w:lang w:eastAsia="ja-JP"/>
        </w:rPr>
        <w:t xml:space="preserve"> </w:t>
      </w:r>
    </w:p>
    <w:p w14:paraId="25F730B1" w14:textId="16368F04" w:rsidR="001B0409" w:rsidRPr="00837161" w:rsidRDefault="001B0409" w:rsidP="00C11DFA">
      <w:pPr>
        <w:spacing w:before="240" w:after="120" w:line="240" w:lineRule="auto"/>
      </w:pPr>
      <w:r w:rsidRPr="00837161">
        <w:rPr>
          <w:lang w:eastAsia="ja-JP"/>
        </w:rPr>
        <w:t xml:space="preserve">Gene-drives </w:t>
      </w:r>
      <w:r w:rsidR="00DF12F3" w:rsidRPr="00837161">
        <w:rPr>
          <w:lang w:eastAsia="ja-JP"/>
        </w:rPr>
        <w:t xml:space="preserve">that </w:t>
      </w:r>
      <w:r w:rsidR="00881F89" w:rsidRPr="00837161">
        <w:rPr>
          <w:lang w:eastAsia="ja-JP"/>
        </w:rPr>
        <w:t>could</w:t>
      </w:r>
      <w:r w:rsidR="00DF12F3" w:rsidRPr="00837161">
        <w:rPr>
          <w:lang w:eastAsia="ja-JP"/>
        </w:rPr>
        <w:t xml:space="preserve"> spread </w:t>
      </w:r>
      <w:r w:rsidRPr="00837161">
        <w:rPr>
          <w:lang w:eastAsia="ja-JP"/>
        </w:rPr>
        <w:t xml:space="preserve">“uncontrolled” within a species are </w:t>
      </w:r>
      <w:r w:rsidR="00881F89" w:rsidRPr="00837161">
        <w:rPr>
          <w:lang w:eastAsia="ja-JP"/>
        </w:rPr>
        <w:t xml:space="preserve">highly </w:t>
      </w:r>
      <w:r w:rsidRPr="00837161">
        <w:rPr>
          <w:lang w:eastAsia="ja-JP"/>
        </w:rPr>
        <w:t xml:space="preserve">unlikely to be acceptable. There is always a risk </w:t>
      </w:r>
      <w:r w:rsidR="00491C1F" w:rsidRPr="00837161">
        <w:rPr>
          <w:lang w:eastAsia="ja-JP"/>
        </w:rPr>
        <w:t>o</w:t>
      </w:r>
      <w:r w:rsidRPr="00837161">
        <w:rPr>
          <w:lang w:eastAsia="ja-JP"/>
        </w:rPr>
        <w:t xml:space="preserve">f gene transfer into </w:t>
      </w:r>
      <w:r w:rsidR="00491C1F" w:rsidRPr="00837161">
        <w:rPr>
          <w:lang w:eastAsia="ja-JP"/>
        </w:rPr>
        <w:t xml:space="preserve">desirable </w:t>
      </w:r>
      <w:r w:rsidRPr="00837161">
        <w:rPr>
          <w:lang w:eastAsia="ja-JP"/>
        </w:rPr>
        <w:t>native populations of the same species.</w:t>
      </w:r>
      <w:r w:rsidR="00DD7A39" w:rsidRPr="00837161">
        <w:rPr>
          <w:lang w:eastAsia="ja-JP"/>
        </w:rPr>
        <w:t xml:space="preserve"> </w:t>
      </w:r>
      <w:r w:rsidR="007631EC" w:rsidRPr="00837161">
        <w:rPr>
          <w:lang w:eastAsia="ja-JP"/>
        </w:rPr>
        <w:t>Risk management could</w:t>
      </w:r>
      <w:r w:rsidR="00DD7A39" w:rsidRPr="00837161">
        <w:rPr>
          <w:lang w:eastAsia="ja-JP"/>
        </w:rPr>
        <w:t xml:space="preserve"> be through </w:t>
      </w:r>
      <w:r w:rsidRPr="00837161">
        <w:rPr>
          <w:lang w:eastAsia="ja-JP"/>
        </w:rPr>
        <w:t xml:space="preserve">developing </w:t>
      </w:r>
      <w:r w:rsidR="00C12BC4" w:rsidRPr="00837161">
        <w:rPr>
          <w:lang w:eastAsia="ja-JP"/>
        </w:rPr>
        <w:t xml:space="preserve">and including a genetic </w:t>
      </w:r>
      <w:r w:rsidRPr="00837161">
        <w:rPr>
          <w:lang w:eastAsia="ja-JP"/>
        </w:rPr>
        <w:t>mechanism to stop the unlimited spread of</w:t>
      </w:r>
      <w:r w:rsidR="00235DD8" w:rsidRPr="00837161">
        <w:rPr>
          <w:lang w:eastAsia="ja-JP"/>
        </w:rPr>
        <w:t xml:space="preserve"> </w:t>
      </w:r>
      <w:r w:rsidR="00E50396" w:rsidRPr="00837161">
        <w:rPr>
          <w:lang w:eastAsia="ja-JP"/>
        </w:rPr>
        <w:t>synthetic gene-drive carrying individuals</w:t>
      </w:r>
      <w:r w:rsidR="004F6FA8" w:rsidRPr="00837161">
        <w:rPr>
          <w:lang w:eastAsia="ja-JP"/>
        </w:rPr>
        <w:t>. This is</w:t>
      </w:r>
      <w:r w:rsidRPr="00837161">
        <w:rPr>
          <w:lang w:eastAsia="ja-JP"/>
        </w:rPr>
        <w:t xml:space="preserve"> a</w:t>
      </w:r>
      <w:r w:rsidR="00C12BC4" w:rsidRPr="00837161">
        <w:rPr>
          <w:lang w:eastAsia="ja-JP"/>
        </w:rPr>
        <w:t xml:space="preserve"> focus of </w:t>
      </w:r>
      <w:r w:rsidRPr="00837161">
        <w:rPr>
          <w:lang w:eastAsia="ja-JP"/>
        </w:rPr>
        <w:t>current research</w:t>
      </w:r>
      <w:r w:rsidR="004F6FA8" w:rsidRPr="00837161">
        <w:rPr>
          <w:lang w:eastAsia="ja-JP"/>
        </w:rPr>
        <w:t xml:space="preserve"> and a</w:t>
      </w:r>
      <w:r w:rsidR="0061319D" w:rsidRPr="00837161">
        <w:rPr>
          <w:lang w:eastAsia="ja-JP"/>
        </w:rPr>
        <w:t xml:space="preserve"> </w:t>
      </w:r>
      <w:r w:rsidR="004E4903" w:rsidRPr="00837161">
        <w:rPr>
          <w:lang w:eastAsia="ja-JP"/>
        </w:rPr>
        <w:t xml:space="preserve">process of </w:t>
      </w:r>
      <w:r w:rsidR="00EC056D" w:rsidRPr="00837161">
        <w:rPr>
          <w:lang w:eastAsia="ja-JP"/>
        </w:rPr>
        <w:t xml:space="preserve">risk analysis </w:t>
      </w:r>
      <w:r w:rsidR="004E4903" w:rsidRPr="00837161">
        <w:rPr>
          <w:lang w:eastAsia="ja-JP"/>
        </w:rPr>
        <w:t xml:space="preserve">has been developed to assess this in detail </w:t>
      </w:r>
      <w:r w:rsidR="002524D3" w:rsidRPr="00837161">
        <w:rPr>
          <w:lang w:eastAsia="ja-JP"/>
        </w:rPr>
        <w:fldChar w:fldCharType="begin"/>
      </w:r>
      <w:r w:rsidR="000F35EB">
        <w:rPr>
          <w:lang w:eastAsia="ja-JP"/>
        </w:rPr>
        <w:instrText xml:space="preserve"> ADDIN ZOTERO_ITEM CSL_CITATION {"citationID":"UMl4JKiZ","properties":{"formattedCitation":"(K. R. Hayes, Hosack, Ickowicz, et al., 2018)","plainCitation":"(K. R. Hayes, Hosack, Ickowicz, et al., 2018)","noteIndex":0},"citationItems":[{"id":22579,"uris":["http://zotero.org/groups/2352922/items/NHGKZKH2"],"itemData":{"id":22579,"type":"report","publisher":"CSIRO","source":"Google Scholar","title":"Risk Assessment for Controlling Mosquito Vectors with Engineered Nucleases: Contained field release for Sterile Male Construct Risk assessment final report","title-short":"Risk assessment for controlling mosquito vectors with engineered nucleases","URL":"https://doi.org/10.25919/v424-4k80","author":[{"family":"Hayes","given":"Keith R."},{"family":"Hosack","given":"Geoffrey R."},{"family":"Ickowicz","given":"Adrien"},{"family":"Foster","given":"Scott"},{"family":"Peel","given":"David"},{"family":"Ford","given":"Jessica"},{"family":"Thresher","given":"Ronald"}],"issued":{"date-parts":[["2018"]]}},"label":"page"}],"schema":"https://github.com/citation-style-language/schema/raw/master/csl-citation.json"} </w:instrText>
      </w:r>
      <w:r w:rsidR="002524D3" w:rsidRPr="00837161">
        <w:rPr>
          <w:lang w:eastAsia="ja-JP"/>
        </w:rPr>
        <w:fldChar w:fldCharType="separate"/>
      </w:r>
      <w:r w:rsidR="00271B78" w:rsidRPr="00271B78">
        <w:t>(K. R. Hayes, Hosack, Ickowicz, et al., 2018)</w:t>
      </w:r>
      <w:r w:rsidR="002524D3" w:rsidRPr="00837161">
        <w:rPr>
          <w:lang w:eastAsia="ja-JP"/>
        </w:rPr>
        <w:fldChar w:fldCharType="end"/>
      </w:r>
      <w:r w:rsidR="6EC65FB2" w:rsidRPr="00837161">
        <w:rPr>
          <w:lang w:eastAsia="ja-JP"/>
        </w:rPr>
        <w:t xml:space="preserve">. </w:t>
      </w:r>
      <w:r w:rsidRPr="00837161">
        <w:rPr>
          <w:lang w:eastAsia="ja-JP"/>
        </w:rPr>
        <w:t xml:space="preserve">As no successful gene-drive system has been developed and </w:t>
      </w:r>
      <w:r w:rsidR="006F1CE1" w:rsidRPr="00837161">
        <w:rPr>
          <w:lang w:eastAsia="ja-JP"/>
        </w:rPr>
        <w:t>applied</w:t>
      </w:r>
      <w:r w:rsidRPr="00837161">
        <w:rPr>
          <w:lang w:eastAsia="ja-JP"/>
        </w:rPr>
        <w:t xml:space="preserve">, it is too early to consider that uncontrolled gene-drive systems are the only option </w:t>
      </w:r>
      <w:r w:rsidRPr="00837161">
        <w:rPr>
          <w:lang w:eastAsia="ja-JP"/>
        </w:rPr>
        <w:fldChar w:fldCharType="begin"/>
      </w:r>
      <w:r w:rsidR="000F35EB">
        <w:rPr>
          <w:lang w:eastAsia="ja-JP"/>
        </w:rPr>
        <w:instrText xml:space="preserve"> ADDIN ZOTERO_ITEM CSL_CITATION {"citationID":"54izchVt","properties":{"formattedCitation":"(Esvelt &amp; Gemmell, 2017)","plainCitation":"(Esvelt &amp; Gemmell, 2017)","noteIndex":0},"citationItems":[{"id":25153,"uris":["http://zotero.org/groups/2352922/items/IKXG9TEK"],"itemData":{"id":25153,"type":"article-journal","abstract":"Interest in developing gene drive systems to control invasive species is growing, with New Zealand reportedly considering the nascent technology as a way to locally eliminate the mammalian pests that threaten its unique flora and fauna. If gene drives successfully eradicated these invasive populations, many would rejoice, but what are the possible consequences? Here, we explore the risk of accidental spread posed by self-propagating gene drive technologies, highlight new gene drive designs that might achieve better outcomes, and explain why we need open and international discussions concerning a technology that could have global ramifications.","container-title":"PLOS Biology","DOI":"10.1371/journal.pbio.2003850","ISSN":"1545-7885","issue":"11","journalAbbreviation":"PLOS Biology","language":"en","note":"publisher: Public Library of Science","page":"e2003850","source":"PLoS Journals","title":"Conservation demands safe gene drive","URL":"https://journals.plos.org/plosbiology/article?id=10.1371/journal.pbio.2003850","volume":"15","author":[{"family":"Esvelt","given":"Kevin M."},{"family":"Gemmell","given":"Neil J."}],"accessed":{"date-parts":[["2021",3,30]]},"issued":{"date-parts":[["2017",11,16]]}},"label":"page"}],"schema":"https://github.com/citation-style-language/schema/raw/master/csl-citation.json"} </w:instrText>
      </w:r>
      <w:r w:rsidRPr="00837161">
        <w:rPr>
          <w:lang w:eastAsia="ja-JP"/>
        </w:rPr>
        <w:fldChar w:fldCharType="separate"/>
      </w:r>
      <w:r w:rsidR="00271B78" w:rsidRPr="00271B78">
        <w:t>(Esvelt &amp; Gemmell, 2017)</w:t>
      </w:r>
      <w:r w:rsidRPr="00837161">
        <w:rPr>
          <w:lang w:eastAsia="ja-JP"/>
        </w:rPr>
        <w:fldChar w:fldCharType="end"/>
      </w:r>
      <w:r w:rsidRPr="00837161">
        <w:rPr>
          <w:lang w:eastAsia="ja-JP"/>
        </w:rPr>
        <w:t xml:space="preserve">. </w:t>
      </w:r>
      <w:r w:rsidR="00B17BAF" w:rsidRPr="00837161">
        <w:rPr>
          <w:lang w:eastAsia="ja-JP"/>
        </w:rPr>
        <w:t xml:space="preserve">If gene-drives </w:t>
      </w:r>
      <w:r w:rsidR="00EE3E3E" w:rsidRPr="00837161">
        <w:rPr>
          <w:lang w:eastAsia="ja-JP"/>
        </w:rPr>
        <w:t xml:space="preserve">fail to eradicate the target or </w:t>
      </w:r>
      <w:r w:rsidR="009B16A8" w:rsidRPr="00837161">
        <w:rPr>
          <w:lang w:eastAsia="ja-JP"/>
        </w:rPr>
        <w:t xml:space="preserve">only </w:t>
      </w:r>
      <w:r w:rsidR="00B17BAF" w:rsidRPr="00837161">
        <w:rPr>
          <w:lang w:eastAsia="ja-JP"/>
        </w:rPr>
        <w:t>suppress</w:t>
      </w:r>
      <w:r w:rsidR="00EE3E3E" w:rsidRPr="00837161">
        <w:rPr>
          <w:lang w:eastAsia="ja-JP"/>
        </w:rPr>
        <w:t xml:space="preserve"> targ</w:t>
      </w:r>
      <w:r w:rsidR="009B16A8" w:rsidRPr="00837161">
        <w:rPr>
          <w:lang w:eastAsia="ja-JP"/>
        </w:rPr>
        <w:t>e</w:t>
      </w:r>
      <w:r w:rsidR="00EE3E3E" w:rsidRPr="00837161">
        <w:rPr>
          <w:lang w:eastAsia="ja-JP"/>
        </w:rPr>
        <w:t>t populations</w:t>
      </w:r>
      <w:r w:rsidR="00325D24" w:rsidRPr="00837161">
        <w:rPr>
          <w:lang w:eastAsia="ja-JP"/>
        </w:rPr>
        <w:t>.</w:t>
      </w:r>
      <w:r w:rsidR="00EE3E3E" w:rsidRPr="00837161">
        <w:rPr>
          <w:lang w:eastAsia="ja-JP"/>
        </w:rPr>
        <w:t xml:space="preserve"> </w:t>
      </w:r>
      <w:r w:rsidR="002D4E1A" w:rsidRPr="00837161">
        <w:rPr>
          <w:lang w:eastAsia="ja-JP"/>
        </w:rPr>
        <w:t xml:space="preserve">synthetic </w:t>
      </w:r>
      <w:r w:rsidR="00325D24" w:rsidRPr="00837161">
        <w:rPr>
          <w:lang w:eastAsia="ja-JP"/>
        </w:rPr>
        <w:t xml:space="preserve">gene-drive carrying individuals </w:t>
      </w:r>
      <w:r w:rsidR="00946800" w:rsidRPr="00837161">
        <w:rPr>
          <w:lang w:eastAsia="ja-JP"/>
        </w:rPr>
        <w:t xml:space="preserve">could </w:t>
      </w:r>
      <w:r w:rsidR="00325D24" w:rsidRPr="00837161">
        <w:rPr>
          <w:lang w:eastAsia="ja-JP"/>
        </w:rPr>
        <w:t xml:space="preserve">also </w:t>
      </w:r>
      <w:r w:rsidR="00946800" w:rsidRPr="00837161">
        <w:rPr>
          <w:lang w:eastAsia="ja-JP"/>
        </w:rPr>
        <w:t xml:space="preserve">theoretically </w:t>
      </w:r>
      <w:r w:rsidR="003A5E6D" w:rsidRPr="00837161">
        <w:rPr>
          <w:lang w:eastAsia="ja-JP"/>
        </w:rPr>
        <w:t>persist</w:t>
      </w:r>
      <w:r w:rsidR="00946800" w:rsidRPr="00837161">
        <w:rPr>
          <w:lang w:eastAsia="ja-JP"/>
        </w:rPr>
        <w:t xml:space="preserve"> in </w:t>
      </w:r>
      <w:r w:rsidR="009B16A8" w:rsidRPr="00837161">
        <w:rPr>
          <w:lang w:eastAsia="ja-JP"/>
        </w:rPr>
        <w:t>the environment</w:t>
      </w:r>
      <w:r w:rsidR="002524D3" w:rsidRPr="00837161">
        <w:rPr>
          <w:lang w:eastAsia="ja-JP"/>
        </w:rPr>
        <w:t xml:space="preserve"> </w:t>
      </w:r>
      <w:r w:rsidR="002524D3" w:rsidRPr="00837161">
        <w:rPr>
          <w:lang w:eastAsia="ja-JP"/>
        </w:rPr>
        <w:fldChar w:fldCharType="begin"/>
      </w:r>
      <w:r w:rsidR="000F35EB">
        <w:rPr>
          <w:lang w:eastAsia="ja-JP"/>
        </w:rPr>
        <w:instrText xml:space="preserve"> ADDIN ZOTERO_ITEM CSL_CITATION {"citationID":"sYBJD5Vd","properties":{"formattedCitation":"(Champer et al., 2021)","plainCitation":"(Champer et al., 2021)","noteIndex":0},"citationItems":[{"id":25152,"uris":["http://zotero.org/groups/2352922/items/TL2B76K7"],"itemData":{"id":25152,"type":"article-journal","abstract":"Rapid evolutionary processes can produce drastically different outcomes when studied in panmictic population models vs. spatial models. One such process is gene drive, which describes the spread of “selfish” genetic elements through a population. Engineered gene drives are being considered for the suppression of disease vectors or invasive species. While laboratory experiments and modelling in panmictic populations have shown that such drives can rapidly eliminate a population, it remains unclear if these results translate to natural environments where individuals inhabit a continuous landscape. Using spatially explicit simulations, we show that the release of a suppression drive can result in what we term “chasing” dynamics, in which wild-type individuals recolonize areas where the drive has locally eliminated the population. Despite the drive subsequently reconquering these areas, complete population suppression often fails to occur or is substantially delayed. This increases the likelihood that the drive is lost or that resistance evolves. We analyse how chasing dynamics are influenced by the type of drive, its efficiency, fitness costs, and ecological factors such as the maximal growth rate of the population and levels of dispersal and inbreeding. We find that chasing is more common for lower efficiency drives when dispersal is low and that some drive mechanisms are substantially more prone to chasing behaviour than others. Our results demonstrate that the population dynamics of suppression gene drives are determined by a complex interplay of genetic and ecological factors, highlighting the need for realistic spatial modelling to predict the outcome of drive releases in natural populations.","container-title":"Molecular Ecology","DOI":"https://doi.org/10.1111/mec.15788","ISSN":"1365-294X","issue":"4","language":"en","license":"© 2021 John Wiley &amp; Sons Ltd","note":"_eprint: https://onlinelibrary.wiley.com/doi/pdf/10.1111/mec.15788","page":"1086-1101","source":"Wiley Online Library","title":"Suppression gene drive in continuous space can result in unstable persistence of both drive and wild-type alleles","URL":"https://onlinelibrary.wiley.com/doi/abs/10.1111/mec.15788","volume":"30","author":[{"family":"Champer","given":"Jackson"},{"family":"Kim","given":"Isabel K."},{"family":"Champer","given":"Samuel E."},{"family":"Clark","given":"Andrew G."},{"family":"Messer","given":"Philipp W."}],"accessed":{"date-parts":[["2021",3,30]]},"issued":{"date-parts":[["2021"]]}},"label":"page"}],"schema":"https://github.com/citation-style-language/schema/raw/master/csl-citation.json"} </w:instrText>
      </w:r>
      <w:r w:rsidR="002524D3" w:rsidRPr="00837161">
        <w:rPr>
          <w:lang w:eastAsia="ja-JP"/>
        </w:rPr>
        <w:fldChar w:fldCharType="separate"/>
      </w:r>
      <w:r w:rsidR="00271B78" w:rsidRPr="00271B78">
        <w:t>(Champer et al., 2021)</w:t>
      </w:r>
      <w:r w:rsidR="002524D3" w:rsidRPr="00837161">
        <w:rPr>
          <w:lang w:eastAsia="ja-JP"/>
        </w:rPr>
        <w:fldChar w:fldCharType="end"/>
      </w:r>
      <w:r w:rsidR="009B16A8" w:rsidRPr="00837161">
        <w:rPr>
          <w:lang w:eastAsia="ja-JP"/>
        </w:rPr>
        <w:t xml:space="preserve">. </w:t>
      </w:r>
      <w:r w:rsidR="66FDFF2A" w:rsidRPr="00837161">
        <w:rPr>
          <w:lang w:eastAsia="ja-JP"/>
        </w:rPr>
        <w:t>Persist</w:t>
      </w:r>
      <w:r w:rsidR="3D19DECD" w:rsidRPr="00837161">
        <w:rPr>
          <w:lang w:eastAsia="ja-JP"/>
        </w:rPr>
        <w:t>e</w:t>
      </w:r>
      <w:r w:rsidR="66FDFF2A" w:rsidRPr="00837161">
        <w:rPr>
          <w:lang w:eastAsia="ja-JP"/>
        </w:rPr>
        <w:t>nce</w:t>
      </w:r>
      <w:r w:rsidR="00F04D5B" w:rsidRPr="00837161">
        <w:rPr>
          <w:lang w:eastAsia="ja-JP"/>
        </w:rPr>
        <w:t xml:space="preserve"> in any form may not</w:t>
      </w:r>
      <w:r w:rsidR="00282B6B" w:rsidRPr="00837161">
        <w:rPr>
          <w:lang w:eastAsia="ja-JP"/>
        </w:rPr>
        <w:t xml:space="preserve"> be acceptable</w:t>
      </w:r>
      <w:r w:rsidRPr="00837161">
        <w:rPr>
          <w:lang w:eastAsia="ja-JP"/>
        </w:rPr>
        <w:t xml:space="preserve"> </w:t>
      </w:r>
      <w:r w:rsidRPr="00837161">
        <w:fldChar w:fldCharType="begin"/>
      </w:r>
      <w:r w:rsidR="000F35EB">
        <w:instrText xml:space="preserve"> ADDIN ZOTERO_ITEM CSL_CITATION {"citationID":"a6BqYXw9","properties":{"formattedCitation":"(Legros et al., 2021)","plainCitation":"(Legros et al., 2021)","noteIndex":0},"citationItems":[{"id":31061,"uris":["http://zotero.org/groups/2352922/items/KC8TWT72"],"itemData":{"id":31061,"type":"article-journal","abstract":"Recent advances in gene-­editing technologies have opened new avenues for genetic pest control strategies, in particular around the use of gene drives to suppress or modify pest populations. Significant uncertainty, however, surrounds the applicability of these strategies to novel target species, their efficacy in natural populations and their eventual safety and acceptability as control methods. In this article, we identify issues associated with the potential use of gene drives in agricultural systems, to control pests and diseases that impose a significant cost to agriculture around the world. We first review the need for innovative approaches and provide an overview of the most relevant biological and ecological traits of agricultural pests that could impact the outcome of gene drive approaches. We then describe the specific challenges associated with using gene drives in agricultural systems, as well as the opportunities that these environments may offer, focusing in particular on the advantages of high-­ threshold gene drives. Overall, we aim to provide a comprehensive view of the potential opportunities and the remaining uncertainties around the use of gene drives in agricultural systems.","container-title":"Evolutionary Applications","DOI":"10.1111/eva.13285","ISSN":"1752-4571, 1752-4571","issue":"9","journalAbbreviation":"Evol Appl","language":"en","page":"2162-2178","source":"DOI.org (Crossref)","title":"Gene drive strategies of pest control in agricultural systems: Challenges and opportunities","title-short":"Gene drive strategies of pest control in agricultural systems","URL":"https://onlinelibrary.wiley.com/doi/10.1111/eva.13285","volume":"14","author":[{"family":"Legros","given":"Mathieu"},{"family":"Marshall","given":"John M."},{"family":"Macfadyen","given":"Sarina"},{"family":"Hayes","given":"Keith R."},{"family":"Sheppard","given":"Andy"},{"family":"Barrett","given":"Luke G."}],"accessed":{"date-parts":[["2021",10,31]]},"issued":{"date-parts":[["2021",9]]}},"label":"page"}],"schema":"https://github.com/citation-style-language/schema/raw/master/csl-citation.json"} </w:instrText>
      </w:r>
      <w:r w:rsidRPr="00837161">
        <w:fldChar w:fldCharType="separate"/>
      </w:r>
      <w:r w:rsidR="00271B78" w:rsidRPr="00271B78">
        <w:t>(Legros et al., 2021)</w:t>
      </w:r>
      <w:r w:rsidRPr="00837161">
        <w:fldChar w:fldCharType="end"/>
      </w:r>
      <w:r w:rsidR="00AF3410" w:rsidRPr="00837161">
        <w:t>.</w:t>
      </w:r>
    </w:p>
    <w:p w14:paraId="00000350" w14:textId="0F28DA5A" w:rsidR="00A758FD" w:rsidRPr="00C0338D" w:rsidRDefault="00C81287">
      <w:pPr>
        <w:spacing w:before="240" w:after="120" w:line="240" w:lineRule="auto"/>
        <w:ind w:right="240"/>
      </w:pPr>
      <w:r w:rsidRPr="00C0338D">
        <w:t xml:space="preserve">The United States National Academy of Science Engineering and Medicine has released its landmark discussion paper, Gene-Drives on the Horizon </w:t>
      </w:r>
      <w:r w:rsidR="493F515C" w:rsidRPr="00837161">
        <w:fldChar w:fldCharType="begin"/>
      </w:r>
      <w:r w:rsidR="000F35EB">
        <w:instrText xml:space="preserve"> ADDIN ZOTERO_ITEM CSL_CITATION {"citationID":"u98Sdjwx","properties":{"formattedCitation":"(National Academies of Sciences, Engineering, and Medicine, 2016)","plainCitation":"(National Academies of Sciences, Engineering, and Medicine, 2016)","noteIndex":0},"citationItems":[{"id":10284,"uris":["http://zotero.org/groups/2352922/items/78ZH23JN"],"itemData":{"id":10284,"type":"book","abstract":"Download a PDF of \"Gene Drives on the Horizon\" by the National Academies of Sciences, Engineering, and Medicine for free.","event-place":"Washington, D.C.","ISBN":"978-0-309-43787-5","language":"en","note":"DOI: 10.17226/23405","publisher":"National Academies Press","publisher-place":"Washington, D.C.","source":"DOI.org (Crossref)","title":"Gene Drives on the Horizon: Advancing Science, Navigating Uncertainty, and Aligning Research with Public Values","title-short":"Gene Drives on the Horizon","URL":"http://www.nap.edu/catalog/23405","author":[{"literal":"National Academies of Sciences, Engineering, and Medicine"}],"accessed":{"date-parts":[["2019",11,3]]},"issued":{"date-parts":[["2016",7,28]]}},"label":"page"}],"schema":"https://github.com/citation-style-language/schema/raw/master/csl-citation.json"} </w:instrText>
      </w:r>
      <w:r w:rsidR="493F515C" w:rsidRPr="00837161">
        <w:fldChar w:fldCharType="separate"/>
      </w:r>
      <w:r w:rsidR="00271B78" w:rsidRPr="00271B78">
        <w:t>(National Academies of Sciences, Engineering, and Medicine, 2016)</w:t>
      </w:r>
      <w:r w:rsidR="493F515C" w:rsidRPr="00837161">
        <w:fldChar w:fldCharType="end"/>
      </w:r>
      <w:r w:rsidR="136D184E" w:rsidRPr="00837161">
        <w:t>.</w:t>
      </w:r>
      <w:r w:rsidRPr="00C0338D">
        <w:t xml:space="preserve"> A shorter discussion paper was also released by the Australian Academy of Science and Technology, titled Synthetic Gene-Drives in Australia </w:t>
      </w:r>
      <w:r w:rsidR="493F515C" w:rsidRPr="00837161">
        <w:fldChar w:fldCharType="begin"/>
      </w:r>
      <w:r w:rsidR="000F35EB">
        <w:instrText xml:space="preserve"> ADDIN ZOTERO_ITEM CSL_CITATION {"citationID":"FPiEeg2U","properties":{"formattedCitation":"(Australian Academy of Science, 2017)","plainCitation":"(Australian Academy of Science, 2017)","noteIndex":0},"citationItems":[{"id":25157,"uris":["http://zotero.org/groups/2352922/items/VWTAE93K"],"itemData":{"id":25157,"type":"webpage","abstract":"This discussion paper by the Australian Academy of Science considers synthetic gene drives in a specifically Australian context and highlights the potential benefits and hazards of possible applications, emphasising the need to eventually consider these within a risk assessment framework.","language":"en","note":"ber","title":"Synthetic gene drives in Australia: implications of emerging technologies","title-short":"Synthetic gene drives in Australia","URL":"https://www.science.org.au/support/analysis/reports/synthetic-gene-drives-australia-implications-emerging-technologies","author":[{"literal":"Australian Academy of Science"}],"accessed":{"date-parts":[["2020",8,21]]},"issued":{"date-parts":[["2017"]]}},"label":"page"}],"schema":"https://github.com/citation-style-language/schema/raw/master/csl-citation.json"} </w:instrText>
      </w:r>
      <w:r w:rsidR="493F515C" w:rsidRPr="00837161">
        <w:fldChar w:fldCharType="separate"/>
      </w:r>
      <w:r w:rsidR="00271B78" w:rsidRPr="00271B78">
        <w:t>(Australian Academy of Science, 2017)</w:t>
      </w:r>
      <w:r w:rsidR="493F515C" w:rsidRPr="00837161">
        <w:fldChar w:fldCharType="end"/>
      </w:r>
      <w:r w:rsidR="136D184E" w:rsidRPr="00837161">
        <w:t>.</w:t>
      </w:r>
      <w:r w:rsidRPr="00C0338D">
        <w:t xml:space="preserve"> Both reports discuss the practicalities and risks of the science and its application and make recommendations in relation to physical containment. The IUCN has also recently released a report entitled “Genetic frontiers for conservation: an assessment of synthetic biology and biodiversity conservation” reviewing the risks and potential of these technologies </w:t>
      </w:r>
      <w:r w:rsidR="493F515C" w:rsidRPr="00837161">
        <w:fldChar w:fldCharType="begin"/>
      </w:r>
      <w:r w:rsidR="000F35EB">
        <w:instrText xml:space="preserve"> ADDIN ZOTERO_ITEM CSL_CITATION {"citationID":"XFRztqRA","properties":{"formattedCitation":"(Redford et al., 2019)","plainCitation":"(Redford et al., 2019)","noteIndex":0},"citationItems":[{"id":56576,"uris":["http://zotero.org/groups/2352922/items/GIL9DGD4","http://zotero.org/groups/2352922/items/PRUWDTZT"],"itemData":{"id":56576,"type":"book","ISBN":"978-2-8317-1973-3","note":"DOI: 10.2305/IUCN.CH.2019.05.en","publisher":"IUCN, International Union for Conservation of Nature","source":"DOI.org (Crossref)","title":"Genetic frontiers for conservation: an assessment of synthetic biology and biodiversity conservation: technical assessment","title-short":"Genetic frontiers for conservation","URL":"https://portals.iucn.org/library/node/48408","editor":[{"family":"Redford","given":"Kent H."},{"family":"Brooks","given":"Thomas M."},{"family":"Macfarlane","given":"Nicholas B.W."},{"family":"Adams","given":"Jonathan S."}],"accessed":{"date-parts":[["2023",6,8]]},"issued":{"date-parts":[["2019",5,6]]}},"label":"page"}],"schema":"https://github.com/citation-style-language/schema/raw/master/csl-citation.json"} </w:instrText>
      </w:r>
      <w:r w:rsidR="493F515C" w:rsidRPr="00837161">
        <w:fldChar w:fldCharType="separate"/>
      </w:r>
      <w:r w:rsidR="00271B78" w:rsidRPr="00271B78">
        <w:t>(Redford et al., 2019)</w:t>
      </w:r>
      <w:r w:rsidR="493F515C" w:rsidRPr="00837161">
        <w:fldChar w:fldCharType="end"/>
      </w:r>
      <w:r w:rsidR="38A9213A" w:rsidRPr="00837161">
        <w:t>,</w:t>
      </w:r>
      <w:r w:rsidRPr="00C0338D">
        <w:t xml:space="preserve"> as has the National Invasive Species Council in the United States </w:t>
      </w:r>
      <w:r w:rsidR="493F515C" w:rsidRPr="00837161">
        <w:fldChar w:fldCharType="begin"/>
      </w:r>
      <w:r w:rsidR="000F35EB">
        <w:instrText xml:space="preserve"> ADDIN ZOTERO_ITEM CSL_CITATION {"citationID":"ylWDqCvt","properties":{"formattedCitation":"(ISAC, 2017)","plainCitation":"(ISAC, 2017)","noteIndex":0},"citationItems":[{"id":11238,"uris":["http://zotero.org/groups/2352922/items/IULKMLCB"],"itemData":{"id":11238,"type":"report","publisher":"Invasive Species Advisory Committee","title":"Advanced Biotechnology Tools for Invasive Species Management","URL":"https://www.glc.org/wp-content/uploads/isac_advanced_biotechnology_white_paper.pdf","author":[{"literal":"ISAC"}],"issued":{"date-parts":[["2017"]]}},"label":"page"}],"schema":"https://github.com/citation-style-language/schema/raw/master/csl-citation.json"} </w:instrText>
      </w:r>
      <w:r w:rsidR="493F515C" w:rsidRPr="00837161">
        <w:fldChar w:fldCharType="separate"/>
      </w:r>
      <w:r w:rsidR="00271B78" w:rsidRPr="00271B78">
        <w:t>(ISAC, 2017)</w:t>
      </w:r>
      <w:r w:rsidR="493F515C" w:rsidRPr="00837161">
        <w:fldChar w:fldCharType="end"/>
      </w:r>
      <w:r w:rsidR="136D184E" w:rsidRPr="00837161">
        <w:t>.</w:t>
      </w:r>
      <w:r w:rsidRPr="00C0338D">
        <w:t xml:space="preserve"> This report includes a number of case studies and chapters on governance. Some more recent relevant reports include: a) Synthetic gene drive: between continuity and novelty </w:t>
      </w:r>
      <w:r w:rsidR="493F515C" w:rsidRPr="00837161">
        <w:fldChar w:fldCharType="begin"/>
      </w:r>
      <w:r w:rsidR="000F35EB">
        <w:instrText xml:space="preserve"> ADDIN ZOTERO_ITEM CSL_CITATION {"citationID":"H8xAutAr","properties":{"formattedCitation":"(Simon et al., 2018)","plainCitation":"(Simon et al., 2018)","noteIndex":0},"citationItems":[{"id":25154,"uris":["http://zotero.org/groups/2352922/items/ZLTW7XGR"],"itemData":{"id":25154,"type":"article-journal","abstract":"Gene drive organisms differ from “classical” genetically modified organisms in several crucial aspects. It would require new approaches for risk assessment to gauge their potential impact on the environment.","container-title":"EMBO Reports","DOI":"10.15252/embr.201845760","ISSN":"1469-221X","issue":"5","journalAbbreviation":"EMBO Rep","note":"PMID: 29650530\nPMCID: PMC5934763","page":"e45760","source":"PubMed Central","title":"Synthetic gene drive: between continuity and novelty","title-short":"Synthetic gene drive","URL":"https://www.ncbi.nlm.nih.gov/pmc/articles/PMC5934763/","volume":"19","author":[{"family":"Simon","given":"Samson"},{"family":"Otto","given":"Mathias"},{"family":"Engelhard","given":"Margret"}],"accessed":{"date-parts":[["2021",3,30]]},"issued":{"date-parts":[["2018",5]]}},"label":"page"}],"schema":"https://github.com/citation-style-language/schema/raw/master/csl-citation.json"} </w:instrText>
      </w:r>
      <w:r w:rsidR="493F515C" w:rsidRPr="00837161">
        <w:fldChar w:fldCharType="separate"/>
      </w:r>
      <w:r w:rsidR="00271B78" w:rsidRPr="00271B78">
        <w:t>(Simon et al., 2018)</w:t>
      </w:r>
      <w:r w:rsidR="493F515C" w:rsidRPr="00837161">
        <w:fldChar w:fldCharType="end"/>
      </w:r>
      <w:r w:rsidR="136D184E" w:rsidRPr="00837161">
        <w:t>,</w:t>
      </w:r>
      <w:r w:rsidRPr="00C0338D">
        <w:t xml:space="preserve"> b) Gene Drive Organisms: Implications for the Environment and Nature Conservation </w:t>
      </w:r>
      <w:r w:rsidR="493F515C" w:rsidRPr="00837161">
        <w:fldChar w:fldCharType="begin"/>
      </w:r>
      <w:r w:rsidR="000F35EB">
        <w:instrText xml:space="preserve"> ADDIN ZOTERO_ITEM CSL_CITATION {"citationID":"i5ioCv5R","properties":{"formattedCitation":"(Dolezel, Simon, et al., 2020)","plainCitation":"(Dolezel, Simon, et al., 2020)","noteIndex":0},"citationItems":[{"id":24994,"uris":["http://zotero.org/groups/2352922/items/CPFHQ4F5"],"itemData":{"id":24994,"type":"report","abstract":"The present report 'Gene Drive Organisms - Implications for the Environment and Nature Conservation' has been initated and guided by the Joint EPA/ENCA Interest Group on Genetically Modified Organisms (IG GMO). \n\nThe IG GMO (https://www.bafu.admin.ch/bafu/en/home/topics/biotechnology/info-specialists/ig-gmo.html)\npromotes the exchange of information and experience on environmental risk assessment and monitoring of genetically modified organisms (GMO) between the Network of the Heads of Environmental Protection Agencies* (EPA) and The European Nature Conservation Agency Heads Network** (ENCA). The overall aim of the IG GMO mandate is to develop joint and consolidated views and positions of the EPA and ENCA networks in order to add additional emphasis to environmental aspects in the course of GMO approval procedures, environmental risk assessment (ERA) and environmental monitoring programmes.\n\nThe report has been endorsed by eight European environmental agencies.","collection-title":"A joint technical report of the EPA/ENCA Interest Group on Risk Assessment and Monitoring of GMOs","event-place":"Vienna","number":"REP-0705","publisher":"Swiss Federal Office for the Environment (FOEN), Soil and  Biotechnology Division, Biotechnology Section","publisher-place":"Vienna","source":"ResearchGate","title":"Gene Drive Organisms: Implications for the Environment and Nature Conservation","title-short":"Gene Drive Organisms","URL":"http://www.umweltbundesamt.at","author":[{"family":"Dolezel","given":"Marion"},{"family":"Simon","given":"Samson"},{"family":"Otto","given":"Mathias"},{"family":"Engelhard","given":"Margret"},{"family":"Züghart","given":"Wiebke"}],"issued":{"date-parts":[["2020",3,1]]}},"label":"page"}],"schema":"https://github.com/citation-style-language/schema/raw/master/csl-citation.json"} </w:instrText>
      </w:r>
      <w:r w:rsidR="493F515C" w:rsidRPr="00837161">
        <w:fldChar w:fldCharType="separate"/>
      </w:r>
      <w:r w:rsidR="00271B78" w:rsidRPr="00271B78">
        <w:t>(Dolezel, Simon, et al., 2020)</w:t>
      </w:r>
      <w:r w:rsidR="493F515C" w:rsidRPr="00837161">
        <w:fldChar w:fldCharType="end"/>
      </w:r>
      <w:r w:rsidR="00C16EEB">
        <w:t xml:space="preserve"> and</w:t>
      </w:r>
      <w:r w:rsidRPr="00C0338D">
        <w:t xml:space="preserve"> c) Beyond limits – the pitfalls of global gene drives for environmental risk assessment in the European Union </w:t>
      </w:r>
      <w:r w:rsidR="493F515C" w:rsidRPr="00837161">
        <w:fldChar w:fldCharType="begin"/>
      </w:r>
      <w:r w:rsidR="000F35EB">
        <w:instrText xml:space="preserve"> ADDIN ZOTERO_ITEM CSL_CITATION {"citationID":"NxPpv37B","properties":{"formattedCitation":"(Dolezel, L\\uc0\\u252{}thi, et al., 2020)","plainCitation":"(Dolezel, Lüthi, et al., 2020)","noteIndex":0},"citationItems":[{"id":24996,"uris":["http://zotero.org/groups/2352922/items/2X26LBE8"],"itemData":{"id":24996,"type":"article-journal","abstract":"Gene drive organisms (GDOs) have been suggested as approaches to combat some of the most pressing environmental and public health issues. No such organisms have so far been released into the environment, but it remains unclear whether the relevant regulatory provisions will be fit for purpose to cover their potential environmental, human and animal health risks if environmental releases of GDOs are envisaged. We evaluate the novel features of GDOs and outline the resulting challenges for the environmental risk assessment. These are related to the definition of the receiving environment, the use of the comparative approach, the definition of potential harm, the stepwise testing approach, the assessment of long-term and large-scale risks at population and ecosystem level and the post-release monitoring of adverse effects. Fundamental adaptations as well as the development of adequate risk assessment methodologies are needed in order to enable an operational risk assessment for globally spreading GDOs before these organisms are released into environments in the EU.","container-title":"BioRisk","DOI":"10.3897/biorisk.15.49297","ISSN":"1313-2652","language":"en","license":"2021 Marion Dolezel, Christoph Lüthi, Helmut Gaugitsch","note":"publisher: Pensoft Publishers","page":"1-29","source":"biorisk.pensoft.net","title":"Beyond limits – the pitfalls of global gene drives for environmental risk assessment in the European Union","URL":"https://biorisk.pensoft.net/article/49297/","volume":"15","author":[{"family":"Dolezel","given":"Marion"},{"family":"Lüthi","given":"Christoph"},{"family":"Gaugitsch","given":"Helmut"}],"accessed":{"date-parts":[["2021",2,14]]},"issued":{"date-parts":[["2020",4,5]]}},"label":"page"}],"schema":"https://github.com/citation-style-language/schema/raw/master/csl-citation.json"} </w:instrText>
      </w:r>
      <w:r w:rsidR="493F515C" w:rsidRPr="00837161">
        <w:fldChar w:fldCharType="separate"/>
      </w:r>
      <w:r w:rsidR="00271B78" w:rsidRPr="00271B78">
        <w:t>(Dolezel, Lüthi, et al., 2020)</w:t>
      </w:r>
      <w:r w:rsidR="493F515C" w:rsidRPr="00837161">
        <w:fldChar w:fldCharType="end"/>
      </w:r>
      <w:r w:rsidR="136D184E" w:rsidRPr="00837161">
        <w:t>.</w:t>
      </w:r>
      <w:r w:rsidRPr="00C0338D">
        <w:t xml:space="preserve"> See </w:t>
      </w:r>
      <w:r w:rsidR="0079215C">
        <w:rPr>
          <w:b/>
        </w:rPr>
        <w:t>S</w:t>
      </w:r>
      <w:r w:rsidRPr="00C0338D">
        <w:rPr>
          <w:b/>
        </w:rPr>
        <w:t xml:space="preserve">upplementary material 5.6 </w:t>
      </w:r>
      <w:r w:rsidRPr="00C0338D">
        <w:t>for further information.</w:t>
      </w:r>
    </w:p>
    <w:p w14:paraId="00000351" w14:textId="77777777" w:rsidR="00A758FD" w:rsidRPr="00AC1F76" w:rsidRDefault="00C81287" w:rsidP="002F2F42">
      <w:pPr>
        <w:pStyle w:val="Heading3"/>
      </w:pPr>
      <w:bookmarkStart w:id="413" w:name="_heading=h.j8sehv" w:colFirst="0" w:colLast="0"/>
      <w:bookmarkStart w:id="414" w:name="_Toc87623152"/>
      <w:bookmarkStart w:id="415" w:name="_Toc131681652"/>
      <w:bookmarkEnd w:id="413"/>
      <w:r w:rsidRPr="00AC1F76">
        <w:t>Site-based management approaches</w:t>
      </w:r>
      <w:bookmarkEnd w:id="414"/>
      <w:bookmarkEnd w:id="415"/>
    </w:p>
    <w:p w14:paraId="00000352" w14:textId="77777777" w:rsidR="00A758FD" w:rsidRPr="00C0338D" w:rsidRDefault="00C81287" w:rsidP="00AC1F76">
      <w:pPr>
        <w:spacing w:before="240" w:after="120" w:line="240" w:lineRule="auto"/>
      </w:pPr>
      <w:r w:rsidRPr="00C0338D">
        <w:t xml:space="preserve">Site-based management and ecosystem-based management strategies as discussed in </w:t>
      </w:r>
      <w:r w:rsidRPr="00C0338D">
        <w:rPr>
          <w:b/>
        </w:rPr>
        <w:t>sections 5.1</w:t>
      </w:r>
      <w:r w:rsidRPr="00C0338D">
        <w:rPr>
          <w:i/>
        </w:rPr>
        <w:t xml:space="preserve">, </w:t>
      </w:r>
      <w:r w:rsidRPr="00C0338D">
        <w:rPr>
          <w:b/>
        </w:rPr>
        <w:t>5.2</w:t>
      </w:r>
      <w:r w:rsidRPr="00C0338D">
        <w:rPr>
          <w:i/>
        </w:rPr>
        <w:t xml:space="preserve"> </w:t>
      </w:r>
      <w:r w:rsidRPr="00C0338D">
        <w:t>and</w:t>
      </w:r>
      <w:r w:rsidRPr="00C0338D">
        <w:rPr>
          <w:b/>
        </w:rPr>
        <w:t xml:space="preserve"> 5.3</w:t>
      </w:r>
      <w:r w:rsidRPr="00C0338D">
        <w:t>, aim to suppress the long-term impacts of invasive alien species on biodiversity and ecological assets at that location or in that ecosystem. These approaches tend to integrate invasive alien species suppression and site/ecosystem restoration. This section briefly covers integrated invasive alien species management and the incorporation of restoration science mainly in terrestrial ecosystems. Restoration in marine environments is currently considered to be largely ineffective once invasive alien species are established and spread.</w:t>
      </w:r>
    </w:p>
    <w:p w14:paraId="00000353" w14:textId="77777777" w:rsidR="00A758FD" w:rsidRPr="00C0338D" w:rsidRDefault="00C81287" w:rsidP="0079215C">
      <w:pPr>
        <w:pStyle w:val="Heading4"/>
        <w:numPr>
          <w:ilvl w:val="0"/>
          <w:numId w:val="33"/>
        </w:numPr>
      </w:pPr>
      <w:bookmarkStart w:id="416" w:name="_heading=h.338fx5o" w:colFirst="0" w:colLast="0"/>
      <w:bookmarkStart w:id="417" w:name="_Toc69314015"/>
      <w:bookmarkStart w:id="418" w:name="_Toc43218456"/>
      <w:bookmarkEnd w:id="416"/>
      <w:r w:rsidRPr="00C0338D">
        <w:lastRenderedPageBreak/>
        <w:t>Adaptive integrated management strategies</w:t>
      </w:r>
      <w:bookmarkEnd w:id="417"/>
      <w:r w:rsidRPr="00C0338D">
        <w:t xml:space="preserve"> </w:t>
      </w:r>
      <w:bookmarkEnd w:id="418"/>
    </w:p>
    <w:p w14:paraId="44B8E1DC" w14:textId="2A523AB9" w:rsidR="000032F1" w:rsidRPr="00837161" w:rsidRDefault="001B0409" w:rsidP="00AC1F76">
      <w:pPr>
        <w:spacing w:before="240" w:after="120" w:line="240" w:lineRule="auto"/>
      </w:pPr>
      <w:r w:rsidRPr="00837161">
        <w:t>Integrated management of invasive alien species is the equivalent of integrated pest and weed (</w:t>
      </w:r>
      <w:r w:rsidR="008C2E3A" w:rsidRPr="00837161">
        <w:fldChar w:fldCharType="begin"/>
      </w:r>
      <w:r w:rsidR="000F35EB">
        <w:instrText xml:space="preserve"> ADDIN ZOTERO_ITEM CSL_CITATION {"citationID":"URL0gTQ6","properties":{"formattedCitation":"(Hatcher &amp; Melander, 2003)","plainCitation":"(Hatcher &amp; Melander, 2003)","dontUpdate":true,"noteIndex":0},"citationItems":[{"id":30103,"uris":["http://zotero.org/groups/2352922/items/8954INH8"],"itemData":{"id":30103,"type":"article-journal","abstract":"Physical, cultural and biological methods for weed control have developed largely independently and are often concerned with weed control in different systems: physical and cultural control in annual crops and biocontrol in extensive grasslands. We discuss the strengths and limitations of four physical and cultural methods for weed control: mechanical, thermal, cutting, and intercropping, and the advantages and disadvantages of combining biological control with them. These physical and cultural control methods may increase soil nitrogen levels and alter microclimate at soil level; this may be of benefit to biocontrol agents, although physical disturbance to the soil and plant damage may be detrimental. Some weeds escape control by these methods; we suggest that these weeds may be controlled by biocontrol agents. It will be easiest to combine biological control with fire and cutting in grasslands; within arable systems it would be most promising to combine biological control (especially using seed predators and foliar pathogens) with cover-cropping, and mechanical weeding combined with foliar bacterial and possibly foliar fungal pathogens. We stress the need to consider the timing of application of combined control methods in order to cause least damage to the biocontrol agent, along with maximum damage to the weed and to consider the wider implications of these different weed control methods.","container-title":"Weed Research","DOI":"10.1046/j.1365-3180.2003.00352.x","ISSN":"1365-3180","issue":"5","language":"en","note":"_eprint: https://onlinelibrary.wiley.com/doi/pdf/10.1046/j.1365-3180.2003.00352.x","page":"303-322","source":"Wiley Online Library","title":"Combining physical, cultural and biological methods: prospects for integrated non-chemical weed management strategies","title-short":"Combining physical, cultural and biological methods","URL":"https://onlinelibrary.wiley.com/doi/abs/10.1046/j.1365-3180.2003.00352.x","volume":"43","author":[{"family":"Hatcher","given":"P. E."},{"family":"Melander","given":"B."}],"accessed":{"date-parts":[["2021",8,17]]},"issued":{"date-parts":[["2003"]]}},"label":"page"}],"schema":"https://github.com/citation-style-language/schema/raw/master/csl-citation.json"} </w:instrText>
      </w:r>
      <w:r w:rsidR="008C2E3A" w:rsidRPr="00837161">
        <w:fldChar w:fldCharType="separate"/>
      </w:r>
      <w:r w:rsidR="005E0968" w:rsidRPr="00837161">
        <w:t>Hatcher &amp; Melander, 2003)</w:t>
      </w:r>
      <w:r w:rsidR="008C2E3A" w:rsidRPr="00837161">
        <w:fldChar w:fldCharType="end"/>
      </w:r>
      <w:r w:rsidRPr="00837161">
        <w:t xml:space="preserve"> management strategies in an agricultural context. Integrated strategies are where more than one approach is used in combination either in sequence or parallel. This could be a combination of approaches (</w:t>
      </w:r>
      <w:r w:rsidR="00BA147F" w:rsidRPr="00837161">
        <w:t xml:space="preserve">e.g., </w:t>
      </w:r>
      <w:r w:rsidRPr="00837161">
        <w:t>chemical and biological) to manage one or more invasive alien species at a given location, or it could mean the integration of invasive alien species management with site/ecosystem restoration or both. What is very important in integrated strategies as for sites or ecosystems</w:t>
      </w:r>
      <w:r w:rsidR="7BCBD858" w:rsidRPr="00837161">
        <w:t xml:space="preserve"> is that </w:t>
      </w:r>
      <w:r w:rsidRPr="00837161">
        <w:t>they are very context dependent. As such they need to be treated as an experiment from the start and developed and extended using an adaptive management approach. Fire is also often used as part of integrated invasive alien plant management in grasslands, s</w:t>
      </w:r>
      <w:r w:rsidR="00AD1D5D" w:rsidRPr="00837161">
        <w:t>a</w:t>
      </w:r>
      <w:r w:rsidRPr="00837161">
        <w:t xml:space="preserve">vannas and rangelands, but needs to be used with caution </w:t>
      </w:r>
      <w:r w:rsidR="00AF3410" w:rsidRPr="00837161">
        <w:fldChar w:fldCharType="begin"/>
      </w:r>
      <w:r w:rsidR="000F35EB">
        <w:instrText xml:space="preserve"> ADDIN ZOTERO_ITEM CSL_CITATION {"citationID":"0ITgIis3","properties":{"formattedCitation":"(L. Provencher et al., 2007; Weidlich et al., 2020)","plainCitation":"(L. Provencher et al., 2007; Weidlich et al., 2020)","noteIndex":0},"citationItems":[{"id":30102,"uris":["http://zotero.org/groups/2352922/items/WI9MIQWY"],"itemData":{"id":30102,"type":"article-journal","abstract":"Modeling can be used to resolve controversies generated by differing opinions about the effects of livestock grazing, fire management, and herbicide application on western public lands. We used spatial simulations of 10 potential vegetation types to compare 6 management scenarios over 20 years in a 141,853ha landscape in eastern Nevada. Scenarios were compared by incrementally varying one factor at a time and were based on the Bureau of Land Management's (BLM's) potential restoration plans. The following factors were varied: managed fire, livestock grazing, mechanical and chemical treatment of vegetation, and restoration budgets. After 20 years the differences in vegetative composition between scenarios were small. BLM's level of funding was too low to improve ecological condition because the landscape was too degraded, however, current funding could maintain communities that retained native perennial understories. In general, the effects of livestock grazing were minor and undesirable compared to benefits gained from the use of mechanical and chemical methods followed by seeding. Mechanical methods and herbicide application in addition to current fire management had more desirable effects than without fire management.","container-title":"Ecological Modelling","DOI":"10.1016/j.ecolmodel.2007.06.030","ISSN":"0304-3800","issue":"2","journalAbbreviation":"Ecological Modelling","language":"en","page":"249-263","source":"ScienceDirect","title":"Comparing alternative management strategies of fire, grazing, and weed control using spatial modeling","URL":"https://www.sciencedirect.com/science/article/pii/S0304380007003432","volume":"209","author":[{"family":"Provencher","given":"Louis"},{"family":"Forbis","given":"Tara A."},{"family":"Frid","given":"Leonardo"},{"family":"Medlyn","given":"Gary"}],"accessed":{"date-parts":[["2021",8,17]]},"issued":{"date-parts":[["2007",12,16]]}},"label":"page"},{"id":10020,"uris":["http://zotero.org/groups/2352922/items/TEK4CKP6"],"itemData":{"id":10020,"type":"article-journal","container-title":"Journal of Applied Ecology","DOI":"10.1111/1365-2664.13656","ISSN":"0021-8901, 1365-2664","issue":"9","journalAbbreviation":"J Appl Ecol","language":"en","page":"1806-1817","source":"DOI.org (Crossref)","title":"Controlling invasive plant species in ecological restoration: A global review","title-short":"Controlling invasive plant species in ecological restoration","URL":"https://onlinelibrary.wiley.com/doi/10.1111/1365-2664.13656","volume":"57","author":[{"family":"Weidlich","given":"Emanuela W. A."},{"family":"Flórido","given":"Flávia G."},{"family":"Sorrini","given":"Taísi B."},{"family":"Brancalion","given":"Pedro H. S."}],"editor":[{"family":"Peralta","given":"Guadalupe"}],"accessed":{"date-parts":[["2021",11,11]]},"issued":{"date-parts":[["2020",9]]}},"label":"page"}],"schema":"https://github.com/citation-style-language/schema/raw/master/csl-citation.json"} </w:instrText>
      </w:r>
      <w:r w:rsidR="00AF3410" w:rsidRPr="00837161">
        <w:fldChar w:fldCharType="separate"/>
      </w:r>
      <w:r w:rsidR="00271B78" w:rsidRPr="00271B78">
        <w:t>(L. Provencher et al., 2007; Weidlich et al., 2020)</w:t>
      </w:r>
      <w:r w:rsidR="00AF3410" w:rsidRPr="00837161">
        <w:fldChar w:fldCharType="end"/>
      </w:r>
      <w:r w:rsidR="000032F1" w:rsidRPr="00837161">
        <w:t xml:space="preserve">. </w:t>
      </w:r>
      <w:r w:rsidR="000032F1" w:rsidRPr="00837161">
        <w:rPr>
          <w:color w:val="000000" w:themeColor="text1"/>
        </w:rPr>
        <w:t xml:space="preserve">The </w:t>
      </w:r>
      <w:r w:rsidR="00BE514E" w:rsidRPr="00837161">
        <w:rPr>
          <w:color w:val="000000" w:themeColor="text1"/>
        </w:rPr>
        <w:t xml:space="preserve">African </w:t>
      </w:r>
      <w:r w:rsidR="000032F1" w:rsidRPr="00837161">
        <w:rPr>
          <w:color w:val="000000" w:themeColor="text1"/>
        </w:rPr>
        <w:t xml:space="preserve">invasive alien plant </w:t>
      </w:r>
      <w:r w:rsidR="000032F1" w:rsidRPr="00837161">
        <w:rPr>
          <w:i/>
          <w:iCs/>
          <w:color w:val="000000" w:themeColor="text1"/>
        </w:rPr>
        <w:t>Vachellia nilotica</w:t>
      </w:r>
      <w:r w:rsidR="001634B0" w:rsidRPr="00837161">
        <w:rPr>
          <w:color w:val="000000" w:themeColor="text1"/>
        </w:rPr>
        <w:t xml:space="preserve"> </w:t>
      </w:r>
      <w:r w:rsidR="000032F1" w:rsidRPr="00837161">
        <w:rPr>
          <w:color w:val="000000" w:themeColor="text1"/>
        </w:rPr>
        <w:t>(</w:t>
      </w:r>
      <w:r w:rsidR="001634B0" w:rsidRPr="00837161">
        <w:rPr>
          <w:color w:val="000000" w:themeColor="text1"/>
        </w:rPr>
        <w:t>gum arabic tree</w:t>
      </w:r>
      <w:r w:rsidR="000032F1" w:rsidRPr="00837161">
        <w:rPr>
          <w:color w:val="000000" w:themeColor="text1"/>
        </w:rPr>
        <w:t xml:space="preserve">) has become a major savanna </w:t>
      </w:r>
      <w:r w:rsidR="005A71EB" w:rsidRPr="00837161">
        <w:rPr>
          <w:color w:val="000000" w:themeColor="text1"/>
        </w:rPr>
        <w:t>invasive alien species</w:t>
      </w:r>
      <w:r w:rsidR="000032F1" w:rsidRPr="00837161">
        <w:rPr>
          <w:color w:val="000000" w:themeColor="text1"/>
        </w:rPr>
        <w:t xml:space="preserve"> in As</w:t>
      </w:r>
      <w:r w:rsidR="00BE514E" w:rsidRPr="00837161">
        <w:rPr>
          <w:color w:val="000000" w:themeColor="text1"/>
        </w:rPr>
        <w:t>i</w:t>
      </w:r>
      <w:r w:rsidR="000032F1" w:rsidRPr="00837161">
        <w:rPr>
          <w:color w:val="000000" w:themeColor="text1"/>
        </w:rPr>
        <w:t>a and Australia. In Indonesia a management program</w:t>
      </w:r>
      <w:r w:rsidR="00653156" w:rsidRPr="00837161">
        <w:t>me</w:t>
      </w:r>
      <w:r w:rsidR="000032F1" w:rsidRPr="00837161">
        <w:rPr>
          <w:color w:val="000000" w:themeColor="text1"/>
        </w:rPr>
        <w:t xml:space="preserve"> has been supported by the </w:t>
      </w:r>
      <w:r w:rsidR="00BE514E" w:rsidRPr="00837161">
        <w:rPr>
          <w:color w:val="000000" w:themeColor="text1"/>
        </w:rPr>
        <w:t xml:space="preserve">United Nations </w:t>
      </w:r>
      <w:r w:rsidR="000032F1" w:rsidRPr="00837161">
        <w:rPr>
          <w:color w:val="000000" w:themeColor="text1"/>
        </w:rPr>
        <w:t xml:space="preserve">Global Environment Fund in the </w:t>
      </w:r>
      <w:r w:rsidR="000032F1" w:rsidRPr="00837161">
        <w:t xml:space="preserve">Baluran National Park in east Java since 2016 </w:t>
      </w:r>
      <w:r w:rsidR="00695746" w:rsidRPr="00837161">
        <w:fldChar w:fldCharType="begin"/>
      </w:r>
      <w:r w:rsidR="000F35EB">
        <w:instrText xml:space="preserve"> ADDIN ZOTERO_ITEM CSL_CITATION {"citationID":"G56kj27T","properties":{"formattedCitation":"(Zahra et al., 2020)","plainCitation":"(Zahra et al., 2020)","noteIndex":0},"citationItems":[{"id":10043,"uris":["http://zotero.org/groups/2352922/items/BRNDTXT6"],"itemData":{"id":10043,"type":"article-journal","abstract":"Abstract. Zahra S, Hofstetter RW, Waring KM, Gehring C. 2020. Review: The invasion of Acacia nilotica in Baluran National Park, Indonesia, and potential future control strategies. Biodiversitas 21: 104-116. Acacia nilotica, commonly called prickly acacia, is infamous for its ability to invade various ecosystems, especially savannah. The tree was introduced to Baluran National Park (BNP), Indonesia in 1969 and nowadays has invaded more than 50% of BNP savannah habitat. Its presence has had significant negative impacts on local flora and fauna of the park. Physical and chemical eradication efforts of this plant have been conducted in the park but these have failed. Little is known about the tree invasion in Indonesia and no control suggestions have previously been proposed. Here, we review the causes and history of the invasion of this tree, describe previous attempts to eradicate the tree, and provide possible containment and control strategies. We describe 12 strategies based on successes and failures to control this tree in Indonesia and other countries and divide the methods into four categories: (i) physical: girdling the trunk, uprooting with winch, manual seedling uprooting, defloration, and restoration with fire; (ii) chemical: using biochar or herbicides; (iii) biological: using native plant competitors (grasses, shade trees), predators (insect) and pathogens (fungi) or microorganisms; (iv) social: centralized tree utilization, education outreach, and stakeholder collaboration. We summarize the relative effectiveness and efficiency of each method and explain how to integrate the aforementioned methods to help authorities choose the most appropriate strategies for their resources, needs and goals.","container-title":"Biodiversitas Journal of Biological Diversity","DOI":"10.13057/biodiv/d210115","ISSN":"2085-4722","issue":"1","language":"en","license":"Copyright (c) 2019 Biodiversitas Journal of Biological Diversity","note":"number: 1","page":"104-116","source":"smujo.id","title":"Review: The invasion of &lt;i&gt;Acacia nilotica&lt;/i&gt; in Baluran National Park, Indonesia, and potential future control strategies","title-short":"Review","URL":"https://doi.org/10.13057/biodiv/d210115","volume":"21","author":[{"family":"Zahra","given":"Shafia"},{"family":"Hofstetter","given":"Richard W."},{"family":"Waring","given":"Kristen M."},{"family":"Gehring","given":"Catherine"}],"accessed":{"date-parts":[["2021",11,14]]},"issued":{"date-parts":[["2020"]]}},"label":"page"}],"schema":"https://github.com/citation-style-language/schema/raw/master/csl-citation.json"} </w:instrText>
      </w:r>
      <w:r w:rsidR="00695746" w:rsidRPr="00837161">
        <w:fldChar w:fldCharType="separate"/>
      </w:r>
      <w:r w:rsidR="00271B78" w:rsidRPr="00271B78">
        <w:t>(Zahra et al., 2020)</w:t>
      </w:r>
      <w:r w:rsidR="00695746" w:rsidRPr="00837161">
        <w:fldChar w:fldCharType="end"/>
      </w:r>
      <w:r w:rsidR="000032F1" w:rsidRPr="00837161">
        <w:t>. Multiple man</w:t>
      </w:r>
      <w:r w:rsidR="003B1215" w:rsidRPr="00837161">
        <w:t>a</w:t>
      </w:r>
      <w:r w:rsidR="000032F1" w:rsidRPr="00837161">
        <w:t>gement options of physical action (4 options), fire, biochar, biological (competitors and antagonists) and social (education and adaptation</w:t>
      </w:r>
      <w:r w:rsidR="00AD3405" w:rsidRPr="00837161">
        <w:t>)</w:t>
      </w:r>
      <w:r w:rsidR="000032F1" w:rsidRPr="00837161">
        <w:t xml:space="preserve"> are being integrated through an adaptive management approach</w:t>
      </w:r>
      <w:r w:rsidR="00AF73E7" w:rsidRPr="00837161">
        <w:t xml:space="preserve"> </w:t>
      </w:r>
      <w:r w:rsidR="07139F19" w:rsidRPr="00837161">
        <w:t>in this ecosystem (</w:t>
      </w:r>
      <w:r w:rsidR="00191A6E">
        <w:rPr>
          <w:b/>
          <w:iCs/>
        </w:rPr>
        <w:t>Figure 5.19</w:t>
      </w:r>
      <w:r w:rsidR="00966426" w:rsidRPr="00837161">
        <w:rPr>
          <w:bCs/>
        </w:rPr>
        <w:t>).</w:t>
      </w:r>
      <w:r w:rsidR="000032F1" w:rsidRPr="00837161">
        <w:rPr>
          <w:bCs/>
        </w:rPr>
        <w:t xml:space="preserve"> </w:t>
      </w:r>
    </w:p>
    <w:p w14:paraId="03BD8819" w14:textId="5BDDBB2F" w:rsidR="000032F1" w:rsidRPr="00837161" w:rsidRDefault="0079215C" w:rsidP="00373995">
      <w:pPr>
        <w:jc w:val="center"/>
      </w:pPr>
      <w:r>
        <w:rPr>
          <w:noProof/>
        </w:rPr>
        <w:drawing>
          <wp:inline distT="0" distB="0" distL="0" distR="0" wp14:anchorId="6462EF09" wp14:editId="791D8705">
            <wp:extent cx="6115050" cy="3524250"/>
            <wp:effectExtent l="0" t="0" r="6350" b="6350"/>
            <wp:docPr id="1971555478" name="image17.png" descr="A diagram of a tre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A diagram of a tree&#10;&#10;Description automatically generated"/>
                    <pic:cNvPicPr preferRelativeResize="0"/>
                  </pic:nvPicPr>
                  <pic:blipFill>
                    <a:blip r:embed="rId102"/>
                    <a:srcRect/>
                    <a:stretch>
                      <a:fillRect/>
                    </a:stretch>
                  </pic:blipFill>
                  <pic:spPr>
                    <a:xfrm>
                      <a:off x="0" y="0"/>
                      <a:ext cx="6115050" cy="3524250"/>
                    </a:xfrm>
                    <a:prstGeom prst="rect">
                      <a:avLst/>
                    </a:prstGeom>
                    <a:ln/>
                  </pic:spPr>
                </pic:pic>
              </a:graphicData>
            </a:graphic>
          </wp:inline>
        </w:drawing>
      </w:r>
    </w:p>
    <w:p w14:paraId="00000356" w14:textId="22BE2179" w:rsidR="00A758FD" w:rsidRPr="0079215C" w:rsidRDefault="00966426" w:rsidP="00AC1F76">
      <w:pPr>
        <w:keepNext/>
        <w:pBdr>
          <w:top w:val="nil"/>
          <w:left w:val="nil"/>
          <w:bottom w:val="nil"/>
          <w:right w:val="nil"/>
          <w:between w:val="nil"/>
        </w:pBdr>
        <w:spacing w:before="240" w:after="120" w:line="240" w:lineRule="auto"/>
      </w:pPr>
      <w:bookmarkStart w:id="419" w:name="_Ref104970827"/>
      <w:bookmarkStart w:id="420" w:name="_Toc147489372"/>
      <w:r w:rsidRPr="0079215C">
        <w:rPr>
          <w:b/>
          <w:bCs/>
        </w:rPr>
        <w:t>Figure 5.</w:t>
      </w:r>
      <w:r w:rsidRPr="0079215C">
        <w:rPr>
          <w:b/>
          <w:bCs/>
        </w:rPr>
        <w:fldChar w:fldCharType="begin"/>
      </w:r>
      <w:r w:rsidRPr="0079215C">
        <w:rPr>
          <w:b/>
          <w:bCs/>
        </w:rPr>
        <w:instrText xml:space="preserve"> SEQ Figure_5. \* ARABIC </w:instrText>
      </w:r>
      <w:r w:rsidRPr="0079215C">
        <w:rPr>
          <w:b/>
          <w:bCs/>
        </w:rPr>
        <w:fldChar w:fldCharType="separate"/>
      </w:r>
      <w:r w:rsidR="00DC77F8" w:rsidRPr="0079215C">
        <w:rPr>
          <w:b/>
          <w:bCs/>
          <w:noProof/>
        </w:rPr>
        <w:t>19</w:t>
      </w:r>
      <w:r w:rsidRPr="0079215C">
        <w:rPr>
          <w:b/>
          <w:bCs/>
        </w:rPr>
        <w:fldChar w:fldCharType="end"/>
      </w:r>
      <w:bookmarkEnd w:id="419"/>
      <w:r w:rsidR="006C18D2" w:rsidRPr="0079215C">
        <w:rPr>
          <w:b/>
          <w:bCs/>
        </w:rPr>
        <w:t>.</w:t>
      </w:r>
      <w:bookmarkStart w:id="421" w:name="_heading=h.1idq7dh" w:colFirst="0" w:colLast="0"/>
      <w:bookmarkEnd w:id="421"/>
      <w:r w:rsidR="00C81287" w:rsidRPr="00AC1F76">
        <w:rPr>
          <w:b/>
          <w:color w:val="000000"/>
        </w:rPr>
        <w:t xml:space="preserve"> </w:t>
      </w:r>
      <w:r w:rsidR="00C81287" w:rsidRPr="0079215C">
        <w:t xml:space="preserve">Plan for integration of stakeholder engagement and management strategies for </w:t>
      </w:r>
      <w:r w:rsidR="00C81287" w:rsidRPr="0079215C">
        <w:rPr>
          <w:i/>
        </w:rPr>
        <w:t>Vachellia nilotica</w:t>
      </w:r>
      <w:r w:rsidR="00C81287" w:rsidRPr="0079215C">
        <w:t xml:space="preserve"> (gum arabic tree) management in Baluran National Park, Indonesia. This figure shows the suggested optimum method integration of control strategies of </w:t>
      </w:r>
      <w:r w:rsidR="00C81287" w:rsidRPr="0079215C">
        <w:rPr>
          <w:i/>
        </w:rPr>
        <w:t>Vachellia nilotica</w:t>
      </w:r>
      <w:r w:rsidR="00C81287" w:rsidRPr="0079215C">
        <w:t xml:space="preserve">. Source: Zahra et al. </w:t>
      </w:r>
      <w:r w:rsidR="009F0C4C" w:rsidRPr="00837161">
        <w:rPr>
          <w:b/>
          <w:bCs/>
          <w:iCs/>
        </w:rPr>
        <w:fldChar w:fldCharType="begin"/>
      </w:r>
      <w:r w:rsidR="000F35EB">
        <w:rPr>
          <w:iCs/>
        </w:rPr>
        <w:instrText xml:space="preserve"> ADDIN ZOTERO_ITEM CSL_CITATION {"citationID":"4eu9kBmx","properties":{"formattedCitation":"(2020)","plainCitation":"(2020)","noteIndex":0},"citationItems":[{"id":10043,"uris":["http://zotero.org/groups/2352922/items/BRNDTXT6"],"itemData":{"id":10043,"type":"article-journal","abstract":"Abstract. Zahra S, Hofstetter RW, Waring KM, Gehring C. 2020. Review: The invasion of Acacia nilotica in Baluran National Park, Indonesia, and potential future control strategies. Biodiversitas 21: 104-116. Acacia nilotica, commonly called prickly acacia, is infamous for its ability to invade various ecosystems, especially savannah. The tree was introduced to Baluran National Park (BNP), Indonesia in 1969 and nowadays has invaded more than 50% of BNP savannah habitat. Its presence has had significant negative impacts on local flora and fauna of the park. Physical and chemical eradication efforts of this plant have been conducted in the park but these have failed. Little is known about the tree invasion in Indonesia and no control suggestions have previously been proposed. Here, we review the causes and history of the invasion of this tree, describe previous attempts to eradicate the tree, and provide possible containment and control strategies. We describe 12 strategies based on successes and failures to control this tree in Indonesia and other countries and divide the methods into four categories: (i) physical: girdling the trunk, uprooting with winch, manual seedling uprooting, defloration, and restoration with fire; (ii) chemical: using biochar or herbicides; (iii) biological: using native plant competitors (grasses, shade trees), predators (insect) and pathogens (fungi) or microorganisms; (iv) social: centralized tree utilization, education outreach, and stakeholder collaboration. We summarize the relative effectiveness and efficiency of each method and explain how to integrate the aforementioned methods to help authorities choose the most appropriate strategies for their resources, needs and goals.","container-title":"Biodiversitas Journal of Biological Diversity","DOI":"10.13057/biodiv/d210115","ISSN":"2085-4722","issue":"1","language":"en","license":"Copyright (c) 2019 Biodiversitas Journal of Biological Diversity","note":"number: 1","page":"104-116","source":"smujo.id","title":"Review: The invasion of &lt;i&gt;Acacia nilotica&lt;/i&gt; in Baluran National Park, Indonesia, and potential future control strategies","title-short":"Review","URL":"https://doi.org/10.13057/biodiv/d210115","volume":"21","author":[{"family":"Zahra","given":"Shafia"},{"family":"Hofstetter","given":"Richard W."},{"family":"Waring","given":"Kristen M."},{"family":"Gehring","given":"Catherine"}],"accessed":{"date-parts":[["2021",11,14]]},"issued":{"date-parts":[["2020"]]}},"label":"page","suppress-author":true}],"schema":"https://github.com/citation-style-language/schema/raw/master/csl-citation.json"} </w:instrText>
      </w:r>
      <w:r w:rsidR="009F0C4C" w:rsidRPr="00837161">
        <w:rPr>
          <w:b/>
          <w:bCs/>
          <w:iCs/>
        </w:rPr>
        <w:fldChar w:fldCharType="separate"/>
      </w:r>
      <w:r w:rsidR="00271B78" w:rsidRPr="00271B78">
        <w:t>(2020)</w:t>
      </w:r>
      <w:r w:rsidR="009F0C4C" w:rsidRPr="00837161">
        <w:rPr>
          <w:b/>
          <w:bCs/>
          <w:iCs/>
        </w:rPr>
        <w:fldChar w:fldCharType="end"/>
      </w:r>
      <w:r w:rsidR="007456A9">
        <w:rPr>
          <w:iCs/>
        </w:rPr>
        <w:t>,</w:t>
      </w:r>
      <w:r w:rsidR="00C81287" w:rsidRPr="0079215C">
        <w:t xml:space="preserve"> </w:t>
      </w:r>
      <w:hyperlink r:id="rId103" w:history="1">
        <w:r w:rsidR="007456A9" w:rsidRPr="006A0CE1">
          <w:rPr>
            <w:rStyle w:val="Hyperlink"/>
            <w:iCs/>
          </w:rPr>
          <w:t>https://doi.org/10.13057/biodiv/d210115</w:t>
        </w:r>
      </w:hyperlink>
      <w:r w:rsidR="00C81287" w:rsidRPr="0079215C">
        <w:t>, under license CC-BY-NC-SA 4.0.</w:t>
      </w:r>
      <w:bookmarkEnd w:id="420"/>
      <w:r w:rsidR="00C81287" w:rsidRPr="0079215C">
        <w:t xml:space="preserve"> </w:t>
      </w:r>
    </w:p>
    <w:p w14:paraId="00000357" w14:textId="33CEB13B" w:rsidR="00A758FD" w:rsidRPr="00C0338D" w:rsidRDefault="00C81287" w:rsidP="00AC1F76">
      <w:pPr>
        <w:spacing w:before="240" w:after="120" w:line="240" w:lineRule="auto"/>
        <w:rPr>
          <w:color w:val="000000"/>
        </w:rPr>
      </w:pPr>
      <w:r w:rsidRPr="00C0338D">
        <w:t>While the number of invasive alien species exceeds the capacity for management, not all species pose the same risk to the nature, nature’s contributions to people and good quality of life (</w:t>
      </w:r>
      <w:r w:rsidRPr="00C0338D">
        <w:rPr>
          <w:b/>
        </w:rPr>
        <w:t>Chapter 4</w:t>
      </w:r>
      <w:r w:rsidRPr="00C0338D">
        <w:t>,</w:t>
      </w:r>
      <w:r w:rsidRPr="00C0338D">
        <w:rPr>
          <w:b/>
        </w:rPr>
        <w:t xml:space="preserve"> sections 4.3</w:t>
      </w:r>
      <w:r w:rsidRPr="00C0338D">
        <w:t>,</w:t>
      </w:r>
      <w:r w:rsidRPr="00C0338D">
        <w:rPr>
          <w:b/>
        </w:rPr>
        <w:t xml:space="preserve"> 4.4</w:t>
      </w:r>
      <w:r w:rsidRPr="00C0338D">
        <w:t xml:space="preserve">, </w:t>
      </w:r>
      <w:r w:rsidRPr="00C0338D">
        <w:rPr>
          <w:b/>
        </w:rPr>
        <w:t>4.5</w:t>
      </w:r>
      <w:r w:rsidRPr="00C0338D">
        <w:t xml:space="preserve">, </w:t>
      </w:r>
      <w:r w:rsidRPr="00C0338D">
        <w:rPr>
          <w:b/>
        </w:rPr>
        <w:t>4.6</w:t>
      </w:r>
      <w:r w:rsidRPr="00C0338D">
        <w:t xml:space="preserve">). Thus, it becomes critical to evaluate the feasibility of applying different management strategies, taking into consideration the cost and benefits of each. </w:t>
      </w:r>
      <w:r w:rsidR="008A3439" w:rsidRPr="00837161">
        <w:rPr>
          <w:lang w:eastAsia="en-ZA"/>
        </w:rPr>
        <w:t>Unsuccessful program</w:t>
      </w:r>
      <w:r w:rsidR="00653156" w:rsidRPr="00837161">
        <w:t>me</w:t>
      </w:r>
      <w:r w:rsidR="008A3439" w:rsidRPr="00837161">
        <w:rPr>
          <w:lang w:eastAsia="en-ZA"/>
        </w:rPr>
        <w:t xml:space="preserve">s do not encourage public and stakeholder support for future actions </w:t>
      </w:r>
      <w:r w:rsidR="008A3439" w:rsidRPr="00837161">
        <w:rPr>
          <w:lang w:eastAsia="en-ZA"/>
        </w:rPr>
        <w:fldChar w:fldCharType="begin"/>
      </w:r>
      <w:r w:rsidR="000F35EB">
        <w:rPr>
          <w:lang w:eastAsia="en-ZA"/>
        </w:rPr>
        <w:instrText xml:space="preserve"> ADDIN ZOTERO_ITEM CSL_CITATION {"citationID":"rRXszM7f","properties":{"formattedCitation":"(Zimmerman et al., 2011)","plainCitation":"(Zimmerman et al., 2011)","noteIndex":0},"citationItems":[{"id":15609,"uris":["http://zotero.org/groups/2352922/items/3ZRYVBRG"],"itemData":{"id":15609,"type":"report","event-place":"Arlington, Virginia","language":"en","number":"Version 1.1","publisher":"The Nature Conservancy","publisher-place":"Arlington, Virginia","source":"Zotero","title":"An Invasive Plant Management Decision Analysis Tool","URL":"https://cipwg.uconn.edu/wp-content/uploads/sites/244/2013/12/IPMDAT.pdf","author":[{"family":"Zimmerman","given":"Chris"},{"family":"Jordan","given":"Marilyn"},{"family":"Sargis","given":"Gregg"},{"family":"Smith","given":"Hilary"},{"family":"Schwager","given":"Kathy"}],"accessed":{"date-parts":[["2019",10,23]]},"issued":{"date-parts":[["2011"]]}},"label":"page"}],"schema":"https://github.com/citation-style-language/schema/raw/master/csl-citation.json"} </w:instrText>
      </w:r>
      <w:r w:rsidR="008A3439" w:rsidRPr="00837161">
        <w:rPr>
          <w:lang w:eastAsia="en-ZA"/>
        </w:rPr>
        <w:fldChar w:fldCharType="separate"/>
      </w:r>
      <w:r w:rsidR="00271B78" w:rsidRPr="00271B78">
        <w:t>(Zimmerman et al., 2011)</w:t>
      </w:r>
      <w:r w:rsidR="008A3439" w:rsidRPr="00837161">
        <w:rPr>
          <w:lang w:eastAsia="en-ZA"/>
        </w:rPr>
        <w:fldChar w:fldCharType="end"/>
      </w:r>
      <w:r w:rsidR="008A3439" w:rsidRPr="00837161">
        <w:rPr>
          <w:lang w:eastAsia="en-ZA"/>
        </w:rPr>
        <w:t>, so management decision-making processes (</w:t>
      </w:r>
      <w:r w:rsidR="008A3439" w:rsidRPr="00C33F92">
        <w:rPr>
          <w:b/>
          <w:iCs/>
          <w:lang w:eastAsia="en-ZA"/>
        </w:rPr>
        <w:t xml:space="preserve">section </w:t>
      </w:r>
      <w:r w:rsidR="00C71A2B" w:rsidRPr="00C33F92">
        <w:rPr>
          <w:b/>
          <w:iCs/>
          <w:lang w:eastAsia="en-ZA"/>
        </w:rPr>
        <w:t>5.</w:t>
      </w:r>
      <w:r w:rsidR="008A3439" w:rsidRPr="00C33F92">
        <w:rPr>
          <w:b/>
          <w:iCs/>
          <w:lang w:eastAsia="en-ZA"/>
        </w:rPr>
        <w:t>2</w:t>
      </w:r>
      <w:r w:rsidR="008A3439" w:rsidRPr="00837161">
        <w:rPr>
          <w:lang w:eastAsia="en-ZA"/>
        </w:rPr>
        <w:t xml:space="preserve">) bear the responsibility of first assessing the likelihood of success of any management action </w:t>
      </w:r>
      <w:r w:rsidR="008F44BD" w:rsidRPr="00837161">
        <w:rPr>
          <w:lang w:eastAsia="en-ZA"/>
        </w:rPr>
        <w:t>(</w:t>
      </w:r>
      <w:r w:rsidR="00191A6E">
        <w:rPr>
          <w:b/>
          <w:iCs/>
        </w:rPr>
        <w:t>Figure 5.1</w:t>
      </w:r>
      <w:r w:rsidR="008A3439" w:rsidRPr="00837161">
        <w:rPr>
          <w:lang w:eastAsia="en-ZA"/>
        </w:rPr>
        <w:t xml:space="preserve">). </w:t>
      </w:r>
      <w:r w:rsidR="008A3439" w:rsidRPr="00837161">
        <w:rPr>
          <w:lang w:eastAsia="en-ZA"/>
        </w:rPr>
        <w:lastRenderedPageBreak/>
        <w:t>Management program</w:t>
      </w:r>
      <w:r w:rsidR="00653156" w:rsidRPr="00837161">
        <w:t>me</w:t>
      </w:r>
      <w:r w:rsidR="008A3439" w:rsidRPr="00837161">
        <w:rPr>
          <w:lang w:eastAsia="en-ZA"/>
        </w:rPr>
        <w:t>s are dynamic in time and</w:t>
      </w:r>
      <w:r w:rsidR="008A3439" w:rsidRPr="00837161">
        <w:rPr>
          <w:color w:val="000000"/>
          <w:lang w:eastAsia="en-ZA"/>
        </w:rPr>
        <w:t xml:space="preserve"> space and operate at different temporal scales </w:t>
      </w:r>
      <w:r w:rsidR="008A3439" w:rsidRPr="00837161">
        <w:rPr>
          <w:color w:val="000000"/>
          <w:lang w:eastAsia="en-ZA"/>
        </w:rPr>
        <w:fldChar w:fldCharType="begin"/>
      </w:r>
      <w:r w:rsidR="000F35EB">
        <w:rPr>
          <w:color w:val="000000"/>
          <w:lang w:eastAsia="en-ZA"/>
        </w:rPr>
        <w:instrText xml:space="preserve"> ADDIN ZOTERO_ITEM CSL_CITATION {"citationID":"RMtN9JtE","properties":{"formattedCitation":"(Kueffer et al., 2013)","plainCitation":"(Kueffer et al., 2013)","noteIndex":0},"citationItems":[{"id":31010,"uris":["http://zotero.org/groups/2352922/items/N55TVR8R"],"itemData":{"id":31010,"type":"chapter","abstract":"Mountains are of great significance for people and biodiversity. Although often considered to be at low risk from alien plants, recent studies suggest that mountain ecosystems are not inherently more resistant to invasion than other types of ecosystems. Future invasion risks are likely to increase greatly, in particular due to climate warming and increased human land use (e.g. intensification of human activities, human population growth, and expansion of tourism). However, these risks can be reduced by minimising anthropogenic disturbance in and around protected areas, and by preventing the introduction of potentially invasive alien plants into these areas, particularly at high elevations. Sharing information and experiences gained in different mountainous areas is important for devising effective management strategies. We review current knowledge about plant invasions into mountains, assembling evidence from all continents and across different climate zones, and describe experiences at local to global scales in preventing and managing plant invasions into mountain protected areas. Our findings and recommendations are also relevant for managing native species that expand to higher elevations.","collection-title":"Invading Nature - Springer Series in Invasion Ecology","container-title":"Plant Invasions in Protected Areas: Patterns, Problems and Challenges","event-place":"Dordrecht","ISBN":"978-94-007-7750-7","language":"en","note":"DOI: 10.1007/978-94-007-7750-7_6","page":"89-113","publisher":"Springer Netherlands","publisher-place":"Dordrecht","source":"Springer Link","title":"Plant Invasions into Mountain Protected Areas: Assessment, Prevention and Control at Multiple Spatial Scales","title-short":"Plant Invasions into Mountain Protected Areas","URL":"https://doi.org/10.1007/978-94-007-7750-7_6","volume":"7","author":[{"family":"Kueffer","given":"Christoph"},{"family":"McDougall","given":"Keith"},{"family":"Alexander","given":"Jake"},{"family":"Daehler","given":"Curt"},{"family":"Edwards","given":"Peter"},{"family":"Haider","given":"Sylvia"},{"family":"Milbau","given":"Ann"},{"family":"Parks","given":"Catherine"},{"family":"Pauchard","given":"Aníbal"},{"family":"Reshi","given":"Zafar A."},{"family":"Rew","given":"Lisa J."},{"family":"Schroder","given":"Mellesa"},{"family":"Seipel","given":"Tim"}],"editor":[{"family":"Foxcroft","given":"Llewellyn C."},{"family":"Pyšek","given":"Petr"},{"family":"Richardson","given":"David M."},{"family":"Genovesi","given":"Piero"}],"accessed":{"date-parts":[["2020",8,4]]},"issued":{"date-parts":[["2013"]]}},"label":"page"}],"schema":"https://github.com/citation-style-language/schema/raw/master/csl-citation.json"} </w:instrText>
      </w:r>
      <w:r w:rsidR="008A3439" w:rsidRPr="00837161">
        <w:rPr>
          <w:color w:val="000000"/>
          <w:lang w:eastAsia="en-ZA"/>
        </w:rPr>
        <w:fldChar w:fldCharType="separate"/>
      </w:r>
      <w:r w:rsidR="00271B78" w:rsidRPr="00271B78">
        <w:t>(Kueffer et al., 2013)</w:t>
      </w:r>
      <w:r w:rsidR="008A3439" w:rsidRPr="00837161">
        <w:rPr>
          <w:color w:val="000000"/>
          <w:lang w:eastAsia="en-ZA"/>
        </w:rPr>
        <w:fldChar w:fldCharType="end"/>
      </w:r>
      <w:r w:rsidR="008A3439" w:rsidRPr="00837161">
        <w:rPr>
          <w:color w:val="000000"/>
          <w:shd w:val="clear" w:color="auto" w:fill="FFFFFF"/>
          <w:lang w:eastAsia="en-ZA"/>
        </w:rPr>
        <w:t xml:space="preserve"> as they</w:t>
      </w:r>
      <w:r w:rsidR="008A3439" w:rsidRPr="00837161">
        <w:rPr>
          <w:color w:val="000000"/>
          <w:lang w:eastAsia="en-ZA"/>
        </w:rPr>
        <w:t xml:space="preserve"> must change with the </w:t>
      </w:r>
      <w:r w:rsidR="008A3439" w:rsidRPr="00837161">
        <w:rPr>
          <w:lang w:eastAsia="en-ZA"/>
        </w:rPr>
        <w:t xml:space="preserve">invasion status of the target species </w:t>
      </w:r>
      <w:r w:rsidR="008A3439" w:rsidRPr="00837161">
        <w:rPr>
          <w:color w:val="000000"/>
          <w:lang w:eastAsia="en-ZA"/>
        </w:rPr>
        <w:t>(</w:t>
      </w:r>
      <w:r w:rsidR="00BA147F" w:rsidRPr="00837161">
        <w:rPr>
          <w:color w:val="000000"/>
          <w:lang w:eastAsia="en-ZA"/>
        </w:rPr>
        <w:t xml:space="preserve">e.g., </w:t>
      </w:r>
      <w:r w:rsidR="008A3439" w:rsidRPr="00837161">
        <w:rPr>
          <w:color w:val="000000"/>
          <w:lang w:eastAsia="en-ZA"/>
        </w:rPr>
        <w:t>a species’ distribution, position on the invasion curve, abundance or impact)</w:t>
      </w:r>
      <w:r w:rsidR="008A3439" w:rsidRPr="00837161">
        <w:rPr>
          <w:lang w:eastAsia="en-ZA"/>
        </w:rPr>
        <w:t xml:space="preserve">, and as scientific knowledge and societal perceptions change </w:t>
      </w:r>
      <w:r w:rsidR="008A3439" w:rsidRPr="00837161">
        <w:rPr>
          <w:color w:val="000000"/>
          <w:lang w:eastAsia="en-ZA"/>
        </w:rPr>
        <w:t>(</w:t>
      </w:r>
      <w:r w:rsidR="00BA147F" w:rsidRPr="00837161">
        <w:rPr>
          <w:color w:val="000000"/>
          <w:lang w:eastAsia="en-ZA"/>
        </w:rPr>
        <w:t xml:space="preserve">e.g., </w:t>
      </w:r>
      <w:r w:rsidR="008A3439" w:rsidRPr="00837161">
        <w:rPr>
          <w:color w:val="000000"/>
          <w:lang w:eastAsia="en-ZA"/>
        </w:rPr>
        <w:fldChar w:fldCharType="begin"/>
      </w:r>
      <w:r w:rsidR="000F35EB">
        <w:rPr>
          <w:color w:val="000000"/>
          <w:lang w:eastAsia="en-ZA"/>
        </w:rPr>
        <w:instrText xml:space="preserve"> ADDIN ZOTERO_ITEM CSL_CITATION {"citationID":"2YJ2M6Gu","properties":{"formattedCitation":"(Davies et al., 2020)","plainCitation":"(Davies et al., 2020)","dontUpdate":true,"noteIndex":0},"citationItems":[{"id":29630,"uris":["http://zotero.org/groups/2352922/items/BFD4R2QA"],"itemData":{"id":29630,"type":"chapter","abstract":"South Africa has a rich history of managing invasive alien animal populations. This chapter explores examples of animal control projects, their resourcing and degree of success or failure. Out of 1023 alien animal species present in South Africa, 80 are designated for compulsory control or eradication in national legislation, and 24 are currently being controlled with the aim of eradication or containment. Only two species have been successfully eradicated from mainland SA and its near-shore islands: Otala punctata (the Freckled Edible Snail) and Trogoderma granarium (the Khapra Beetle). These two projects took place in the late 1980s and early 1990s, and were rapid responses by small groups of role players to small infestations. In contrast, most current projects are larger, involving complex stakeholder management and considerable technical complexity. Three further invertebrate species are currently controlled through integrated pest management (Bactrocera dorsalis, the Oriental Fruit Fly) or nest removal (Vespula germanica, the German Wasp and Polistes dominula, the European Paper Wasp). No marine species are currently subject to control. Among vertebrates, 12 freshwater fish species have been controlled in localised areas, according to their specific listing in legislation and protected area management priorities; two amphibian, two bird and five mammal species are currently subject to control using a wide variety of techniques. Inter-institutional working groups have played a significant role in promoting the success of invasive alien species management in South Africa. Three working groups are actively addressing new and existing invasions, and promoting awareness and cooperation among a wide range of organisations, as well as recording the experience and learning of these groups.","collection-title":"Invading Nature - Springer Series in Invasion Ecology","container-title":"Biological Invasions in South Africa","event-place":"Cham","ISBN":"978-3-030-32394-3","language":"en","note":"DOI: 10.1007/978-3-030-32394-3_22","page":"629-663","publisher":"Springer International Publishing","publisher-place":"Cham","source":"Springer Link","title":"Experience and Lessons from Alien and Invasive Animal Control Projects in South Africa","URL":"https://doi.org/10.1007/978-3-030-32394-3_22","author":[{"family":"Davies","given":"Sarah J."},{"family":"Jordaan","given":"Martine S."},{"family":"Karsten","given":"Minette"},{"family":"Terblanche","given":"John S."},{"family":"Turner","given":"Andrew A."},{"family":"Wilgen","given":"Nicola J.","non-dropping-particle":"van"},{"family":"Veldtman","given":"Ruan"},{"family":"Zengeya","given":"Tsungai A."},{"family":"Measey","given":"John"}],"editor":[{"family":"Wilgen","given":"Brian W.","non-dropping-particle":"van"},{"family":"Measey","given":"John"},{"family":"Richardson","given":"David M."},{"family":"Wilson","given":"John R."},{"family":"Zengeya","given":"Tsungai A."}],"accessed":{"date-parts":[["2021",8,16]]},"issued":{"date-parts":[["2020"]]}},"label":"page"}],"schema":"https://github.com/citation-style-language/schema/raw/master/csl-citation.json"} </w:instrText>
      </w:r>
      <w:r w:rsidR="008A3439" w:rsidRPr="00837161">
        <w:rPr>
          <w:color w:val="000000"/>
          <w:lang w:eastAsia="en-ZA"/>
        </w:rPr>
        <w:fldChar w:fldCharType="separate"/>
      </w:r>
      <w:r w:rsidR="005E0968" w:rsidRPr="00837161">
        <w:t>Davies et al., 2020)</w:t>
      </w:r>
      <w:r w:rsidR="008A3439" w:rsidRPr="00837161">
        <w:rPr>
          <w:color w:val="000000"/>
          <w:lang w:eastAsia="en-ZA"/>
        </w:rPr>
        <w:fldChar w:fldCharType="end"/>
      </w:r>
      <w:r w:rsidR="008A3439" w:rsidRPr="00837161">
        <w:rPr>
          <w:lang w:eastAsia="en-ZA"/>
        </w:rPr>
        <w:t>. M</w:t>
      </w:r>
      <w:r w:rsidR="008A3439" w:rsidRPr="00837161">
        <w:rPr>
          <w:color w:val="000000"/>
          <w:lang w:eastAsia="en-ZA"/>
        </w:rPr>
        <w:t xml:space="preserve">anagement is implemented within unpredictable, complex </w:t>
      </w:r>
      <w:r w:rsidR="00E90B81" w:rsidRPr="00837161">
        <w:rPr>
          <w:color w:val="000000"/>
          <w:lang w:eastAsia="en-ZA"/>
        </w:rPr>
        <w:t>socioe</w:t>
      </w:r>
      <w:r w:rsidR="008A3439" w:rsidRPr="00837161">
        <w:rPr>
          <w:color w:val="000000"/>
          <w:lang w:eastAsia="en-ZA"/>
        </w:rPr>
        <w:t xml:space="preserve">cological systems </w:t>
      </w:r>
      <w:r w:rsidR="008A3439" w:rsidRPr="00837161">
        <w:rPr>
          <w:color w:val="000000"/>
          <w:lang w:eastAsia="en-ZA"/>
        </w:rPr>
        <w:fldChar w:fldCharType="begin"/>
      </w:r>
      <w:r w:rsidR="000F35EB">
        <w:rPr>
          <w:color w:val="000000"/>
          <w:lang w:eastAsia="en-ZA"/>
        </w:rPr>
        <w:instrText xml:space="preserve"> ADDIN ZOTERO_ITEM CSL_CITATION {"citationID":"7ipuT9Rd","properties":{"formattedCitation":"(Py\\uc0\\u353{}ek et al., 2020; R. T. Shackleton, Larson, et al., 2019)","plainCitation":"(Pyšek et al., 2020; R. T. Shackleton, Larson, et al., 2019)","noteIndex":0},"citationItems":[{"id":33050,"uris":["http://zotero.org/groups/2352922/items/84CFHG9A"],"itemData":{"id":33050,"type":"article-journal","container-title":"Biological Reviews","DOI":"10.1111/brv.12627","ISSN":"1464-7931, 1469-185X","issue":"6","journalAbbreviation":"Biol Rev","language":"en","page":"1511-1534","source":"DOI.org (Crossref)","title":"Scientists' warning on invasive alien species","URL":"https://onlinelibrary.wiley.com/doi/10.1111/brv.12627","volume":"95","author":[{"family":"Pyšek","given":"Petr"},{"family":"Hulme","given":"Philip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accessed":{"date-parts":[["2021",7,7]]},"issued":{"date-parts":[["2020",12]]}},"label":"page"},{"id":56686,"uris":["http://zotero.org/groups/2352922/items/LN5TJKE6","http://zotero.org/groups/2352922/items/E3NGYTY4"],"itemData":{"id":56686,"type":"article-journal","container-title":"Journal of Environmental Management","DOI":"10.1016/j.jenvman.2018.08.041","ISSN":"03014797","journalAbbreviation":"Journal of Environmental Management","language":"en","page":"1-9","source":"DOI.org (Crossref)","title":"The human and social dimensions of invasion science and management","URL":"https://linkinghub.elsevier.com/retrieve/pii/S0301479718309125","volume":"229","author":[{"family":"Shackleton","given":"Ross T."},{"family":"Larson","given":"Brendon M.H."},{"family":"Novoa","given":"Ana"},{"family":"Richardson","given":"David M."},{"family":"Kull","given":"Christian A."}],"accessed":{"date-parts":[["2023",6,8]]},"issued":{"date-parts":[["2019",1]]}},"label":"page"}],"schema":"https://github.com/citation-style-language/schema/raw/master/csl-citation.json"} </w:instrText>
      </w:r>
      <w:r w:rsidR="008A3439" w:rsidRPr="00837161">
        <w:rPr>
          <w:color w:val="000000"/>
          <w:lang w:eastAsia="en-ZA"/>
        </w:rPr>
        <w:fldChar w:fldCharType="separate"/>
      </w:r>
      <w:r w:rsidR="00271B78" w:rsidRPr="00271B78">
        <w:t>(Pyšek et al., 2020; R. T. Shackleton, Larson, et al., 2019)</w:t>
      </w:r>
      <w:r w:rsidR="008A3439" w:rsidRPr="00837161">
        <w:rPr>
          <w:color w:val="000000"/>
          <w:lang w:eastAsia="en-ZA"/>
        </w:rPr>
        <w:fldChar w:fldCharType="end"/>
      </w:r>
      <w:r w:rsidR="008A3439" w:rsidRPr="00837161">
        <w:rPr>
          <w:color w:val="000000"/>
          <w:lang w:eastAsia="en-ZA"/>
        </w:rPr>
        <w:t xml:space="preserve">. </w:t>
      </w:r>
      <w:r w:rsidR="008A3439" w:rsidRPr="00837161">
        <w:rPr>
          <w:lang w:eastAsia="en-ZA"/>
        </w:rPr>
        <w:t xml:space="preserve">This adaptive management approach is fundamental to all </w:t>
      </w:r>
      <w:r w:rsidR="008A3439" w:rsidRPr="00837161">
        <w:rPr>
          <w:color w:val="000000"/>
          <w:lang w:eastAsia="en-ZA"/>
        </w:rPr>
        <w:t xml:space="preserve">effective natural resource management and has two components: (1) to learn and adapt and (2) to do so purposefully with relevant partners </w:t>
      </w:r>
      <w:r w:rsidR="008F44BD" w:rsidRPr="00837161">
        <w:rPr>
          <w:color w:val="000000"/>
          <w:lang w:eastAsia="en-ZA"/>
        </w:rPr>
        <w:t>(</w:t>
      </w:r>
      <w:r w:rsidR="008A3439" w:rsidRPr="00837161">
        <w:rPr>
          <w:color w:val="000000"/>
          <w:lang w:eastAsia="en-ZA"/>
        </w:rPr>
        <w:fldChar w:fldCharType="begin"/>
      </w:r>
      <w:r w:rsidR="000F35EB">
        <w:rPr>
          <w:color w:val="000000"/>
          <w:lang w:eastAsia="en-ZA"/>
        </w:rPr>
        <w:instrText xml:space="preserve"> ADDIN ZOTERO_ITEM CSL_CITATION {"citationID":"TwA9gOEo","properties":{"formattedCitation":"(Latombe et al., 2019; Roux et al., 2011)","plainCitation":"(Latombe et al., 2019; Roux et al., 2011)","dontUpdate":true,"noteIndex":0},"citationItems":[{"id":11700,"uris":["http://zotero.org/groups/2352922/items/YH5QKCTG"],"itemData":{"id":11700,"type":"article-journal","abstract":"Although uncertainty is an integral part of any science, it raises doubts in public perception about scientiﬁc evidence, is exploited by denialists, and therefore potentially hinders the implementation of management actions. As a relatively young ﬁeld of study, invasion science contains many uncertainties. This may explain why, despite international policies aimed at mitigating biological invasions, the implementation of national- and regional-scale measures to prevent or control alien species has done little to slow the increase in extent of invasions and the magnitude of impacts. Uncertainty is therefore a critical aspect of invasion science that should be addressed to enable the ﬁeld to progress further. To improve how uncertainties in invasion science are captured and characterized, we propose a framework, which is also applicable to other applied research ﬁelds such as climate and conservation science, divided into four components: the need (1) to clearly circumscribe the phenomenon, (2) to measure and provide evidence for the phenomenon (i.e., conﬁrmation), (3) to understand the mechanisms that cause the phenomenon, and (4) to understand the mechanisms through which the phenomenon results in consequences. We link these issues to three major types of uncertainty: linguistic, psychological, and epistemic. The application of this framework shows that the four components tend to be characterized by different types of uncertainty in invasion science. We explain how these uncertainties can be detrimental to the implementation of management measures and propose ways to reduce them. Since biological invasions are increasingly tightly embedded in complex socio-ecological systems, many problems associated with these uncertainties have convoluted solutions. They demand the consensus of many stakeholders to deﬁne and frame the dimensions of the phenomenon, and to decide on appropriate actions. While many of the uncertainties cannot be eliminated completely, we believe that using this framework to explicitly identify and communicate them will help to improve collaboration between researchers and managers, increase scientiﬁc, political, and public support for invasion research, and provide a stronger foundation for sustainable management strategies.","container-title":"Ecosphere","DOI":"10.1002/ecs2.2669","ISSN":"2150-8925, 2150-8925","issue":"4","journalAbbreviation":"Ecosphere","language":"en</w:instrText>
      </w:r>
      <w:r w:rsidR="000F35EB">
        <w:rPr>
          <w:rFonts w:hint="eastAsia"/>
          <w:color w:val="000000"/>
          <w:lang w:eastAsia="en-ZA"/>
        </w:rPr>
        <w:instrText>","page":"e02669","source":"DOI.org (Crossref)","title":"A four</w:instrText>
      </w:r>
      <w:r w:rsidR="000F35EB">
        <w:rPr>
          <w:rFonts w:hint="eastAsia"/>
          <w:color w:val="000000"/>
          <w:lang w:eastAsia="en-ZA"/>
        </w:rPr>
        <w:instrText>‐</w:instrText>
      </w:r>
      <w:r w:rsidR="000F35EB">
        <w:rPr>
          <w:rFonts w:hint="eastAsia"/>
          <w:color w:val="000000"/>
          <w:lang w:eastAsia="en-ZA"/>
        </w:rPr>
        <w:instrText>component classification of uncertainties in biological invasions: implications for management","title-short":"A four</w:instrText>
      </w:r>
      <w:r w:rsidR="000F35EB">
        <w:rPr>
          <w:rFonts w:hint="eastAsia"/>
          <w:color w:val="000000"/>
          <w:lang w:eastAsia="en-ZA"/>
        </w:rPr>
        <w:instrText>‐</w:instrText>
      </w:r>
      <w:r w:rsidR="000F35EB">
        <w:rPr>
          <w:rFonts w:hint="eastAsia"/>
          <w:color w:val="000000"/>
          <w:lang w:eastAsia="en-ZA"/>
        </w:rPr>
        <w:instrText>component classification of uncertainties in biological invasions","URL":</w:instrText>
      </w:r>
      <w:r w:rsidR="000F35EB">
        <w:rPr>
          <w:color w:val="000000"/>
          <w:lang w:eastAsia="en-ZA"/>
        </w:rPr>
        <w:instrText>"https://onlinelibrary.wiley.com/doi/abs/10.1002/ecs2.2669","volume":"10","author":[{"family":"Latombe","given":"G."},{"family":"Canavan","given":"S."},{"family":"Hirsch","given":"H."},{"family":"Hui","given":"C."},{"family":"Kumschick","given":"S."},{"fa</w:instrText>
      </w:r>
      <w:r w:rsidR="000F35EB">
        <w:rPr>
          <w:rFonts w:hint="eastAsia"/>
          <w:color w:val="000000"/>
          <w:lang w:eastAsia="en-ZA"/>
        </w:rPr>
        <w:instrText>mily":"Nsikani","given":"M. M."},{"family":"Potgieter","given":"L. J."},{"family":"Robinson","given":"T. B."},{"family":"Saul","given":"W.</w:instrText>
      </w:r>
      <w:r w:rsidR="000F35EB">
        <w:rPr>
          <w:rFonts w:hint="eastAsia"/>
          <w:color w:val="000000"/>
          <w:lang w:eastAsia="en-ZA"/>
        </w:rPr>
        <w:instrText>‐</w:instrText>
      </w:r>
      <w:r w:rsidR="000F35EB">
        <w:rPr>
          <w:rFonts w:hint="eastAsia"/>
          <w:color w:val="000000"/>
          <w:lang w:eastAsia="en-ZA"/>
        </w:rPr>
        <w:instrText>C."},{"family":"Turner","given":"S. C."},{"family":"Wilson","given":"J. R. U."},{"family":"Yannelli","given":"F. A."</w:instrText>
      </w:r>
      <w:r w:rsidR="000F35EB">
        <w:rPr>
          <w:color w:val="000000"/>
          <w:lang w:eastAsia="en-ZA"/>
        </w:rPr>
        <w:instrText xml:space="preserve">},{"family":"Richardson","given":"D. M."}],"accessed":{"date-parts":[["2019",9,11]]},"issued":{"date-parts":[["2019",4]]}},"label":"page"},{"id":23994,"uris":["http://zotero.org/groups/2352922/items/QMUJCAI5"],"itemData":{"id":23994,"type":"article-journal","container-title":"Koedoe","DOI":"10.4102/koedoe. v53i2.1049","issue":"2","language":"en","page":"#1049","source":"Zotero","title":"The development and application of strategic adaptive management within South African National Parks","volume":"53","author":[{"family":"Roux","given":"Dirk J"},{"family":"Foxcroft","given":"Llewellyn C"}],"issued":{"date-parts":[["2011"]]}},"label":"page"}],"schema":"https://github.com/citation-style-language/schema/raw/master/csl-citation.json"} </w:instrText>
      </w:r>
      <w:r w:rsidR="008A3439" w:rsidRPr="00837161">
        <w:rPr>
          <w:color w:val="000000"/>
          <w:lang w:eastAsia="en-ZA"/>
        </w:rPr>
        <w:fldChar w:fldCharType="separate"/>
      </w:r>
      <w:r w:rsidR="00995D44" w:rsidRPr="00837161">
        <w:t>Latombe et al., 2019; Roux et al., 2011)</w:t>
      </w:r>
      <w:r w:rsidR="008A3439" w:rsidRPr="00837161">
        <w:rPr>
          <w:color w:val="000000"/>
          <w:lang w:eastAsia="en-ZA"/>
        </w:rPr>
        <w:fldChar w:fldCharType="end"/>
      </w:r>
      <w:r w:rsidR="008A3439" w:rsidRPr="00837161">
        <w:rPr>
          <w:color w:val="000000"/>
          <w:lang w:eastAsia="en-ZA"/>
        </w:rPr>
        <w:t xml:space="preserve">. The core principle of adaptive management includes setting clearly articulated objectives around a future desired state </w:t>
      </w:r>
      <w:r w:rsidR="008A3439" w:rsidRPr="00837161">
        <w:rPr>
          <w:color w:val="000000"/>
          <w:lang w:eastAsia="en-ZA"/>
        </w:rPr>
        <w:fldChar w:fldCharType="begin"/>
      </w:r>
      <w:r w:rsidR="000F35EB">
        <w:rPr>
          <w:color w:val="000000"/>
          <w:lang w:eastAsia="en-ZA"/>
        </w:rPr>
        <w:instrText xml:space="preserve"> ADDIN ZOTERO_ITEM CSL_CITATION {"citationID":"Oru96QzJ","properties":{"formattedCitation":"(K. Park, 2004)","plainCitation":"(K. Park, 2004)","noteIndex":0},"citationItems":[{"id":29770,"uris":["http://zotero.org/groups/2352922/items/DGBJSLLU"],"itemData":{"id":29770,"type":"article-journal","abstract":"Although invasive alien species have been identified as the second greatest threat to biodiversity after habitat loss, characterizing and quantifying their impacts on native species and habitats remains a fundamental problem in conservation biology. Here, I review the techniques that are currently used to assess the impact of invasive alien species on biodiversity, highlighting both their uses in invasive species ecology and their limitations in establishing a causal relationship. Adopting a hypothesis-driven experimental approach to impact assessment, and to eradication efforts through adaptive management, would benefit our ecological understanding of invasive species without delaying critical management action that could reduce the spread of invasive species populations.","container-title":"Ecology and Society","DOI":"10.5751/ES-01208-090212","ISSN":"1708-3087","issue":"2","journalAbbreviation":"E&amp;S","language":"en","page":"12","source":"DOI.org (Crossref)","title":"Assessment and Management of Invasive Alien Predators","URL":"http://www.ecologyandsociety.org/vol9/iss2/art12/","volume":"9","author":[{"family":"Park","given":"Kirsty"}],"accessed":{"date-parts":[["2020",6,15]]},"issued":{"date-parts":[["2004"]]}},"label":"page"}],"schema":"https://github.com/citation-style-language/schema/raw/master/csl-citation.json"} </w:instrText>
      </w:r>
      <w:r w:rsidR="008A3439" w:rsidRPr="00837161">
        <w:rPr>
          <w:color w:val="000000"/>
          <w:lang w:eastAsia="en-ZA"/>
        </w:rPr>
        <w:fldChar w:fldCharType="separate"/>
      </w:r>
      <w:r w:rsidR="00271B78" w:rsidRPr="00271B78">
        <w:t>(K. Park, 2004)</w:t>
      </w:r>
      <w:r w:rsidR="008A3439" w:rsidRPr="00837161">
        <w:rPr>
          <w:color w:val="000000"/>
          <w:lang w:eastAsia="en-ZA"/>
        </w:rPr>
        <w:fldChar w:fldCharType="end"/>
      </w:r>
      <w:r w:rsidR="008A3439" w:rsidRPr="00837161">
        <w:rPr>
          <w:color w:val="000000"/>
          <w:lang w:eastAsia="en-ZA"/>
        </w:rPr>
        <w:t>. Adaptive management is learning by doing approach so is contingent on the implementation of a monitoring program</w:t>
      </w:r>
      <w:r w:rsidR="00653156" w:rsidRPr="00837161">
        <w:t>me</w:t>
      </w:r>
      <w:r w:rsidR="008A3439" w:rsidRPr="00837161">
        <w:rPr>
          <w:color w:val="000000"/>
          <w:lang w:eastAsia="en-ZA"/>
        </w:rPr>
        <w:t xml:space="preserve"> that is able to quantify which action(s) led to changes in the distribution and abundance of invasions, and the ecosystem response and wh</w:t>
      </w:r>
      <w:r w:rsidR="4F13323C" w:rsidRPr="00837161">
        <w:rPr>
          <w:color w:val="000000"/>
          <w:lang w:eastAsia="en-ZA"/>
        </w:rPr>
        <w:t>y</w:t>
      </w:r>
      <w:r w:rsidR="00912848">
        <w:rPr>
          <w:color w:val="000000"/>
          <w:lang w:eastAsia="en-ZA"/>
        </w:rPr>
        <w:t>.</w:t>
      </w:r>
      <w:r w:rsidR="008A3439" w:rsidRPr="00837161">
        <w:rPr>
          <w:color w:val="000000"/>
          <w:lang w:eastAsia="en-ZA"/>
        </w:rPr>
        <w:t xml:space="preserve"> The agreed best course of management from a possible suite of actions is then selected and modified in a continuous adaptive cycle of implementing actions, monitoring, learning, and adjustment of new actions to improve the efficiency of management practices </w:t>
      </w:r>
      <w:r w:rsidR="008A3439" w:rsidRPr="00837161">
        <w:rPr>
          <w:color w:val="000000"/>
          <w:lang w:eastAsia="en-ZA"/>
        </w:rPr>
        <w:fldChar w:fldCharType="begin"/>
      </w:r>
      <w:r w:rsidR="000F35EB">
        <w:rPr>
          <w:color w:val="000000"/>
          <w:lang w:eastAsia="en-ZA"/>
        </w:rPr>
        <w:instrText xml:space="preserve"> ADDIN ZOTERO_ITEM CSL_CITATION {"citationID":"XtOHUIam","properties":{"formattedCitation":"(Roux et al., 2011; Zalba &amp; Ziller, 2007)","plainCitation":"(Roux et al., 2011; Zalba &amp; Ziller, 2007)","dontUpdate":true,"noteIndex":0},"citationItems":[{"id":23994,"uris":["http://zotero.org/groups/2352922/items/QMUJCAI5"],"itemData":{"id":23994,"type":"article-journal","container-title":"Koedoe","DOI":"10.4102/koedoe. v53i2.1049","issue":"2","language":"en","page":"#1049","source":"Zotero","title":"The development and application of strategic adaptive management within South African National Parks","volume":"53","author":[{"family":"Roux","given":"Dirk J"},{"family":"Foxcroft","given":"Llewellyn C"}],"issued":{"date-parts":[["2011"]]}},"label":"page"},{"id":30486,"uris":["http://zotero.org/groups/2352922/items/33GY2JXZ"],"itemData":{"id":30486,"type":"article-journal","abstract":"Even though often based on scarce information, many actions due to conservation of biodiversity need to be carried out as matters of urgency. In the case of biological invasions, this is a common situation, as the real possibilities for controlling an invasive alien species are significantly reduced as it establishes and spreads over natural ecosystems. Adaptive management, that is, management...","container-title":"Natureza &amp; Conservação","ISSN":"1679-0073","issue":"2","language":"en","note":"publisher: Fundação O Boticário de Proteção à Natureza","page":"86-92","source":"www.cabdirect.org","title":"Adaptive management of alien invasive species: putting the theory into practice.","title-short":"Adaptive management of alien invasive species","URL":"https://www.cabdirect.org/cabdirect/abstract/20073250023","volume":"5","author":[{"family":"Zalba","given":"S."},{"family":"Ziller","given":"S. R."}],"accessed":{"date-parts":[["2021",8,23]]},"issued":{"date-parts":[["2007"]]}},"label":"page"}],"schema":"https://github.com/citation-style-language/schema/raw/master/csl-citation.json"} </w:instrText>
      </w:r>
      <w:r w:rsidR="008A3439" w:rsidRPr="00837161">
        <w:rPr>
          <w:color w:val="000000"/>
          <w:lang w:eastAsia="en-ZA"/>
        </w:rPr>
        <w:fldChar w:fldCharType="separate"/>
      </w:r>
      <w:r w:rsidR="00995D44" w:rsidRPr="00837161">
        <w:t>(Roux et al., 2011; Zalba &amp; Ziller, 2007</w:t>
      </w:r>
      <w:r w:rsidR="008A3439" w:rsidRPr="00837161">
        <w:rPr>
          <w:color w:val="000000"/>
          <w:lang w:eastAsia="en-ZA"/>
        </w:rPr>
        <w:fldChar w:fldCharType="end"/>
      </w:r>
      <w:r w:rsidR="008A3439" w:rsidRPr="00837161">
        <w:rPr>
          <w:color w:val="000000"/>
          <w:lang w:eastAsia="en-ZA"/>
        </w:rPr>
        <w:t xml:space="preserve">; </w:t>
      </w:r>
      <w:r w:rsidR="008A3439" w:rsidRPr="00C33F92">
        <w:rPr>
          <w:b/>
          <w:iCs/>
          <w:color w:val="000000"/>
          <w:lang w:eastAsia="en-ZA"/>
        </w:rPr>
        <w:t>section 5.3</w:t>
      </w:r>
      <w:r w:rsidR="008A3439" w:rsidRPr="00837161">
        <w:rPr>
          <w:color w:val="000000"/>
          <w:lang w:eastAsia="en-ZA"/>
        </w:rPr>
        <w:t xml:space="preserve">). </w:t>
      </w:r>
      <w:r w:rsidR="008C7DC7" w:rsidRPr="00837161">
        <w:rPr>
          <w:color w:val="000000" w:themeColor="text1"/>
          <w:lang w:eastAsia="en-ZA"/>
        </w:rPr>
        <w:t>Ad</w:t>
      </w:r>
      <w:r w:rsidR="00BC0250" w:rsidRPr="00837161">
        <w:rPr>
          <w:color w:val="000000" w:themeColor="text1"/>
          <w:lang w:eastAsia="en-ZA"/>
        </w:rPr>
        <w:t>a</w:t>
      </w:r>
      <w:r w:rsidR="008C7DC7" w:rsidRPr="00837161">
        <w:rPr>
          <w:color w:val="000000" w:themeColor="text1"/>
          <w:lang w:eastAsia="en-ZA"/>
        </w:rPr>
        <w:t xml:space="preserve">ptive management </w:t>
      </w:r>
      <w:r w:rsidR="00BC0250" w:rsidRPr="00837161">
        <w:rPr>
          <w:color w:val="000000" w:themeColor="text1"/>
          <w:lang w:eastAsia="en-ZA"/>
        </w:rPr>
        <w:t xml:space="preserve">can be supported </w:t>
      </w:r>
      <w:r w:rsidR="00580D41" w:rsidRPr="00837161">
        <w:rPr>
          <w:color w:val="000000" w:themeColor="text1"/>
          <w:lang w:eastAsia="en-ZA"/>
        </w:rPr>
        <w:t>by se</w:t>
      </w:r>
      <w:r w:rsidR="00585E4B" w:rsidRPr="00837161">
        <w:rPr>
          <w:color w:val="000000" w:themeColor="text1"/>
          <w:lang w:eastAsia="en-ZA"/>
        </w:rPr>
        <w:t>quentially</w:t>
      </w:r>
      <w:r w:rsidR="00580D41" w:rsidRPr="00837161">
        <w:rPr>
          <w:color w:val="000000" w:themeColor="text1"/>
          <w:lang w:eastAsia="en-ZA"/>
        </w:rPr>
        <w:t xml:space="preserve"> considering </w:t>
      </w:r>
      <w:r w:rsidR="005B066F" w:rsidRPr="00837161">
        <w:rPr>
          <w:color w:val="000000" w:themeColor="text1"/>
          <w:lang w:eastAsia="en-ZA"/>
        </w:rPr>
        <w:t xml:space="preserve">prioritization </w:t>
      </w:r>
      <w:r w:rsidR="00580D41" w:rsidRPr="00837161">
        <w:rPr>
          <w:color w:val="000000" w:themeColor="text1"/>
          <w:lang w:eastAsia="en-ZA"/>
        </w:rPr>
        <w:t>based on actual and/or</w:t>
      </w:r>
      <w:r w:rsidR="005B066F" w:rsidRPr="00837161">
        <w:rPr>
          <w:color w:val="000000" w:themeColor="text1"/>
          <w:lang w:eastAsia="en-ZA"/>
        </w:rPr>
        <w:t xml:space="preserve"> potential impacts</w:t>
      </w:r>
      <w:r w:rsidR="00580D41" w:rsidRPr="00837161">
        <w:rPr>
          <w:color w:val="000000" w:themeColor="text1"/>
          <w:lang w:eastAsia="en-ZA"/>
        </w:rPr>
        <w:t xml:space="preserve">, assessing the </w:t>
      </w:r>
      <w:r w:rsidR="5E06CF5D" w:rsidRPr="00837161">
        <w:rPr>
          <w:color w:val="000000" w:themeColor="text1"/>
          <w:lang w:eastAsia="en-ZA"/>
        </w:rPr>
        <w:t>feasib</w:t>
      </w:r>
      <w:r w:rsidR="3BC3ECFB" w:rsidRPr="00837161">
        <w:rPr>
          <w:color w:val="000000" w:themeColor="text1"/>
          <w:lang w:eastAsia="en-ZA"/>
        </w:rPr>
        <w:t>i</w:t>
      </w:r>
      <w:r w:rsidR="5E06CF5D" w:rsidRPr="00837161">
        <w:rPr>
          <w:color w:val="000000" w:themeColor="text1"/>
          <w:lang w:eastAsia="en-ZA"/>
        </w:rPr>
        <w:t>lity</w:t>
      </w:r>
      <w:r w:rsidR="00580D41" w:rsidRPr="00837161">
        <w:rPr>
          <w:color w:val="000000" w:themeColor="text1"/>
          <w:lang w:eastAsia="en-ZA"/>
        </w:rPr>
        <w:t xml:space="preserve"> an</w:t>
      </w:r>
      <w:r w:rsidR="230299C7" w:rsidRPr="00837161">
        <w:rPr>
          <w:color w:val="000000" w:themeColor="text1"/>
          <w:lang w:eastAsia="en-ZA"/>
        </w:rPr>
        <w:t>d</w:t>
      </w:r>
      <w:r w:rsidR="00580D41" w:rsidRPr="00837161">
        <w:rPr>
          <w:color w:val="000000" w:themeColor="text1"/>
          <w:lang w:eastAsia="en-ZA"/>
        </w:rPr>
        <w:t xml:space="preserve"> lik</w:t>
      </w:r>
      <w:r w:rsidR="00430780" w:rsidRPr="00837161">
        <w:rPr>
          <w:color w:val="000000" w:themeColor="text1"/>
          <w:lang w:eastAsia="en-ZA"/>
        </w:rPr>
        <w:t>e</w:t>
      </w:r>
      <w:r w:rsidR="00580D41" w:rsidRPr="00837161">
        <w:rPr>
          <w:color w:val="000000" w:themeColor="text1"/>
          <w:lang w:eastAsia="en-ZA"/>
        </w:rPr>
        <w:t xml:space="preserve">lihood of success </w:t>
      </w:r>
      <w:r w:rsidR="00585E4B" w:rsidRPr="00837161">
        <w:rPr>
          <w:color w:val="000000" w:themeColor="text1"/>
          <w:lang w:eastAsia="en-ZA"/>
        </w:rPr>
        <w:t xml:space="preserve">of </w:t>
      </w:r>
      <w:r w:rsidR="00430780" w:rsidRPr="00837161">
        <w:rPr>
          <w:color w:val="000000" w:themeColor="text1"/>
          <w:lang w:eastAsia="en-ZA"/>
        </w:rPr>
        <w:t xml:space="preserve">different </w:t>
      </w:r>
      <w:r w:rsidR="005B066F" w:rsidRPr="00837161">
        <w:rPr>
          <w:color w:val="000000" w:themeColor="text1"/>
          <w:lang w:eastAsia="en-ZA"/>
        </w:rPr>
        <w:t>control</w:t>
      </w:r>
      <w:r w:rsidR="00430780" w:rsidRPr="00837161">
        <w:rPr>
          <w:color w:val="000000" w:themeColor="text1"/>
          <w:lang w:eastAsia="en-ZA"/>
        </w:rPr>
        <w:t xml:space="preserve"> approaches, a</w:t>
      </w:r>
      <w:r w:rsidR="005B066F" w:rsidRPr="00837161">
        <w:rPr>
          <w:color w:val="000000" w:themeColor="text1"/>
          <w:lang w:eastAsia="en-ZA"/>
        </w:rPr>
        <w:t xml:space="preserve">nd </w:t>
      </w:r>
      <w:r w:rsidR="00430780" w:rsidRPr="00837161">
        <w:rPr>
          <w:color w:val="000000" w:themeColor="text1"/>
          <w:lang w:eastAsia="en-ZA"/>
        </w:rPr>
        <w:t xml:space="preserve">clearly defining the goal of </w:t>
      </w:r>
      <w:r w:rsidR="00585E4B" w:rsidRPr="00837161">
        <w:rPr>
          <w:color w:val="000000" w:themeColor="text1"/>
          <w:lang w:eastAsia="en-ZA"/>
        </w:rPr>
        <w:t>the management response</w:t>
      </w:r>
      <w:r w:rsidR="00BF7AC5" w:rsidRPr="00837161">
        <w:rPr>
          <w:color w:val="000000" w:themeColor="text1"/>
          <w:lang w:eastAsia="en-ZA"/>
        </w:rPr>
        <w:t xml:space="preserve"> (</w:t>
      </w:r>
      <w:r w:rsidR="00C42531" w:rsidRPr="00C33F92">
        <w:rPr>
          <w:b/>
          <w:iCs/>
          <w:color w:val="000000" w:themeColor="text1"/>
          <w:lang w:eastAsia="en-ZA"/>
        </w:rPr>
        <w:t>s</w:t>
      </w:r>
      <w:r w:rsidR="00BF7AC5" w:rsidRPr="00C33F92">
        <w:rPr>
          <w:b/>
          <w:iCs/>
          <w:color w:val="000000" w:themeColor="text1"/>
          <w:lang w:eastAsia="en-ZA"/>
        </w:rPr>
        <w:t>ection 5.2</w:t>
      </w:r>
      <w:r w:rsidR="00BF7AC5" w:rsidRPr="00837161">
        <w:rPr>
          <w:color w:val="000000" w:themeColor="text1"/>
          <w:lang w:eastAsia="en-ZA"/>
        </w:rPr>
        <w:t>)</w:t>
      </w:r>
      <w:r w:rsidR="00585E4B" w:rsidRPr="00837161">
        <w:rPr>
          <w:color w:val="000000" w:themeColor="text1"/>
          <w:lang w:eastAsia="en-ZA"/>
        </w:rPr>
        <w:t>.</w:t>
      </w:r>
      <w:r w:rsidR="005B066F" w:rsidRPr="00837161">
        <w:rPr>
          <w:color w:val="000000" w:themeColor="text1"/>
          <w:lang w:eastAsia="en-ZA"/>
        </w:rPr>
        <w:t xml:space="preserve"> </w:t>
      </w:r>
      <w:r w:rsidR="008A3439" w:rsidRPr="00837161">
        <w:rPr>
          <w:color w:val="000000"/>
          <w:lang w:eastAsia="en-ZA"/>
        </w:rPr>
        <w:t xml:space="preserve">This </w:t>
      </w:r>
      <w:r w:rsidR="00BF7AC5" w:rsidRPr="00837161">
        <w:rPr>
          <w:color w:val="000000" w:themeColor="text1"/>
          <w:lang w:eastAsia="en-ZA"/>
        </w:rPr>
        <w:t>assist</w:t>
      </w:r>
      <w:r w:rsidR="00912848">
        <w:rPr>
          <w:color w:val="000000" w:themeColor="text1"/>
          <w:lang w:eastAsia="en-ZA"/>
        </w:rPr>
        <w:t>s in</w:t>
      </w:r>
      <w:r w:rsidR="008A3439" w:rsidRPr="00837161">
        <w:rPr>
          <w:color w:val="000000"/>
          <w:lang w:eastAsia="en-ZA"/>
        </w:rPr>
        <w:t xml:space="preserve"> adjusting and selecting the most appropriate management strategy </w:t>
      </w:r>
      <w:r w:rsidR="008A3439" w:rsidRPr="00837161">
        <w:rPr>
          <w:color w:val="000000"/>
          <w:lang w:eastAsia="en-ZA"/>
        </w:rPr>
        <w:fldChar w:fldCharType="begin"/>
      </w:r>
      <w:r w:rsidR="000F35EB">
        <w:rPr>
          <w:color w:val="000000"/>
          <w:lang w:eastAsia="en-ZA"/>
        </w:rPr>
        <w:instrText xml:space="preserve"> ADDIN ZOTERO_ITEM CSL_CITATION {"citationID":"C7vtmgRz","properties":{"formattedCitation":"(Lyons et al., 2008)","plainCitation":"(Lyons et al., 2008)","noteIndex":0},"citationItems":[{"id":29628,"uris":["http://zotero.org/groups/2352922/items/KEDCHE9X"],"itemData":{"id":29628,"type":"article-journal","container-title":"Journal of Wildlife Management","DOI":"10.2193/2008-141","ISSN":"0022-541X, 1937-2817","issue":"8","journalAbbreviation":"Journal of Wildlife Management","language":"en","page":"1683-1692","source":"DOI.org (Crossref)","title":"Monitoring in the Context of Structured Decision-Making and Adaptive Management","URL":"http://www.bioone.org/doi/abs/10.2193/2008-141","volume":"72","author":[{"family":"Lyons","given":"James E."},{"family":"Runge","given":"Michael C."},{"family":"Laskowski","given":"Harold P."},{"family":"Kendall","given":"William L."}],"accessed":{"date-parts":[["2021",8,16]]},"issued":{"date-parts":[["2008",11]]}},"label":"page"}],"schema":"https://github.com/citation-style-language/schema/raw/master/csl-citation.json"} </w:instrText>
      </w:r>
      <w:r w:rsidR="008A3439" w:rsidRPr="00837161">
        <w:rPr>
          <w:color w:val="000000"/>
          <w:lang w:eastAsia="en-ZA"/>
        </w:rPr>
        <w:fldChar w:fldCharType="separate"/>
      </w:r>
      <w:r w:rsidR="00271B78" w:rsidRPr="00271B78">
        <w:t>(Lyons et al., 2008)</w:t>
      </w:r>
      <w:r w:rsidR="008A3439" w:rsidRPr="00837161">
        <w:rPr>
          <w:color w:val="000000"/>
          <w:lang w:eastAsia="en-ZA"/>
        </w:rPr>
        <w:fldChar w:fldCharType="end"/>
      </w:r>
      <w:r w:rsidR="008A3439" w:rsidRPr="00837161">
        <w:rPr>
          <w:color w:val="000000"/>
          <w:lang w:eastAsia="en-ZA"/>
        </w:rPr>
        <w:t xml:space="preserve">. </w:t>
      </w:r>
      <w:r w:rsidR="008A3439" w:rsidRPr="00837161">
        <w:rPr>
          <w:lang w:eastAsia="en-ZA"/>
        </w:rPr>
        <w:t xml:space="preserve">Uncertainties and gaps in information are inherent in the knowledge base upon which adaptive management is applied, and when new information becomes available and scientifically tested, management strategies can be adjusted and improved </w:t>
      </w:r>
      <w:r w:rsidR="008E0730" w:rsidRPr="00837161">
        <w:rPr>
          <w:color w:val="000000"/>
          <w:lang w:eastAsia="en-ZA"/>
        </w:rPr>
        <w:fldChar w:fldCharType="begin"/>
      </w:r>
      <w:r w:rsidR="000F35EB">
        <w:rPr>
          <w:color w:val="000000"/>
          <w:lang w:eastAsia="en-ZA"/>
        </w:rPr>
        <w:instrText xml:space="preserve"> ADDIN ZOTERO_ITEM CSL_CITATION {"citationID":"unEbfZHy","properties":{"formattedCitation":"(K. Park, 2004)","plainCitation":"(K. Park, 2004)","dontUpdate":true,"noteIndex":0},"citationItems":[{"id":29770,"uris":["http://zotero.org/groups/2352922/items/DGBJSLLU"],"itemData":{"id":29770,"type":"article-journal","abstract":"Although invasive alien species have been identified as the second greatest threat to biodiversity after habitat loss, characterizing and quantifying their impacts on native species and habitats remains a fundamental problem in conservation biology. Here, I review the techniques that are currently used to assess the impact of invasive alien species on biodiversity, highlighting both their uses in invasive species ecology and their limitations in establishing a causal relationship. Adopting a hypothesis-driven experimental approach to impact assessment, and to eradication efforts through adaptive management, would benefit our ecological understanding of invasive species without delaying critical management action that could reduce the spread of invasive species populations.","container-title":"Ecology and Society","DOI":"10.5751/ES-01208-090212","ISSN":"1708-3087","issue":"2","journalAbbreviation":"E&amp;S","language":"en","page":"12","source":"DOI.org (Crossref)","title":"Assessment and Management of Invasive Alien Predators","URL":"http://www.ecologyandsociety.org/vol9/iss2/art12/","volume":"9","author":[{"family":"Park","given":"Kirsty"}],"accessed":{"date-parts":[["2020",6,15]]},"issued":{"date-parts":[["2004"]]}},"label":"page"}],"schema":"https://github.com/citation-style-language/schema/raw/master/csl-citation.json"} </w:instrText>
      </w:r>
      <w:r w:rsidR="008E0730" w:rsidRPr="00837161">
        <w:rPr>
          <w:color w:val="000000"/>
          <w:lang w:eastAsia="en-ZA"/>
        </w:rPr>
        <w:fldChar w:fldCharType="separate"/>
      </w:r>
      <w:r w:rsidR="00995D44" w:rsidRPr="00837161">
        <w:t>(K. Park, 2004</w:t>
      </w:r>
      <w:r w:rsidR="008E0730" w:rsidRPr="00837161">
        <w:rPr>
          <w:color w:val="000000"/>
          <w:lang w:eastAsia="en-ZA"/>
        </w:rPr>
        <w:fldChar w:fldCharType="end"/>
      </w:r>
      <w:r w:rsidR="008A3439" w:rsidRPr="00837161">
        <w:rPr>
          <w:lang w:eastAsia="en-ZA"/>
        </w:rPr>
        <w:t xml:space="preserve">; </w:t>
      </w:r>
      <w:r w:rsidR="008A3439" w:rsidRPr="00DF4F59">
        <w:rPr>
          <w:b/>
          <w:iCs/>
          <w:lang w:eastAsia="en-ZA"/>
        </w:rPr>
        <w:t>section 5.6.</w:t>
      </w:r>
      <w:r w:rsidR="0093137F" w:rsidRPr="00DF4F59">
        <w:rPr>
          <w:b/>
          <w:iCs/>
          <w:lang w:eastAsia="en-ZA"/>
        </w:rPr>
        <w:t>2</w:t>
      </w:r>
      <w:r w:rsidR="008A3439" w:rsidRPr="00837161">
        <w:rPr>
          <w:lang w:eastAsia="en-ZA"/>
        </w:rPr>
        <w:t xml:space="preserve">). </w:t>
      </w:r>
      <w:r w:rsidR="008A3439" w:rsidRPr="00837161">
        <w:rPr>
          <w:color w:val="000000"/>
          <w:lang w:eastAsia="en-ZA"/>
        </w:rPr>
        <w:t xml:space="preserve">Stakeholders are an integral part of the </w:t>
      </w:r>
      <w:r w:rsidR="0002350E" w:rsidRPr="00837161">
        <w:rPr>
          <w:color w:val="000000"/>
          <w:lang w:eastAsia="en-ZA"/>
        </w:rPr>
        <w:t>system,</w:t>
      </w:r>
      <w:r w:rsidR="008A3439" w:rsidRPr="00837161">
        <w:rPr>
          <w:color w:val="000000"/>
          <w:lang w:eastAsia="en-ZA"/>
        </w:rPr>
        <w:t xml:space="preserve"> and their full support is</w:t>
      </w:r>
      <w:r w:rsidR="00912848">
        <w:rPr>
          <w:color w:val="000000"/>
          <w:lang w:eastAsia="en-ZA"/>
        </w:rPr>
        <w:t xml:space="preserve"> a</w:t>
      </w:r>
      <w:r w:rsidR="008A3439" w:rsidRPr="00837161">
        <w:rPr>
          <w:color w:val="000000"/>
          <w:lang w:eastAsia="en-ZA"/>
        </w:rPr>
        <w:t xml:space="preserve"> precondition of success</w:t>
      </w:r>
      <w:r w:rsidR="3DDACE20" w:rsidRPr="00837161">
        <w:rPr>
          <w:color w:val="000000"/>
          <w:lang w:eastAsia="en-ZA"/>
        </w:rPr>
        <w:t xml:space="preserve">. </w:t>
      </w:r>
      <w:r w:rsidR="00206EE9" w:rsidRPr="00837161">
        <w:rPr>
          <w:color w:val="000000"/>
          <w:lang w:eastAsia="en-ZA"/>
        </w:rPr>
        <w:t>The</w:t>
      </w:r>
      <w:r w:rsidR="008A3439" w:rsidRPr="00837161">
        <w:rPr>
          <w:color w:val="000000"/>
          <w:lang w:eastAsia="en-ZA"/>
        </w:rPr>
        <w:t xml:space="preserve"> likelihood of long-term sustainable co-management</w:t>
      </w:r>
      <w:r w:rsidR="00206EE9" w:rsidRPr="00837161">
        <w:rPr>
          <w:color w:val="000000"/>
          <w:lang w:eastAsia="en-ZA"/>
        </w:rPr>
        <w:t xml:space="preserve"> can be enhanced with </w:t>
      </w:r>
      <w:r w:rsidR="008A3439" w:rsidRPr="00837161">
        <w:rPr>
          <w:color w:val="000000"/>
          <w:lang w:eastAsia="en-ZA"/>
        </w:rPr>
        <w:t xml:space="preserve">a common understanding of the problem, including the responsible management agency, general public and other stakeholders </w:t>
      </w:r>
      <w:r w:rsidR="00DF20F2" w:rsidRPr="00837161">
        <w:rPr>
          <w:color w:val="000000" w:themeColor="text1"/>
          <w:lang w:eastAsia="en-ZA"/>
        </w:rPr>
        <w:t xml:space="preserve">and </w:t>
      </w:r>
      <w:r w:rsidR="00875C95" w:rsidRPr="00837161">
        <w:rPr>
          <w:color w:val="000000" w:themeColor="text1"/>
          <w:lang w:eastAsia="en-ZA"/>
        </w:rPr>
        <w:t>Indigenous Peoples</w:t>
      </w:r>
      <w:r w:rsidR="00DF20F2" w:rsidRPr="00837161">
        <w:rPr>
          <w:color w:val="000000" w:themeColor="text1"/>
          <w:lang w:eastAsia="en-ZA"/>
        </w:rPr>
        <w:t xml:space="preserve"> and local communities </w:t>
      </w:r>
      <w:r w:rsidR="008A3439" w:rsidRPr="00837161">
        <w:rPr>
          <w:color w:val="000000"/>
          <w:lang w:eastAsia="en-ZA"/>
        </w:rPr>
        <w:fldChar w:fldCharType="begin"/>
      </w:r>
      <w:r w:rsidR="000F35EB">
        <w:rPr>
          <w:color w:val="000000"/>
          <w:lang w:eastAsia="en-ZA"/>
        </w:rPr>
        <w:instrText xml:space="preserve"> ADDIN ZOTERO_ITEM CSL_CITATION {"citationID":"aqbv5PjU","properties":{"formattedCitation":"(R. T. Shackleton, Adriaens, et al., 2019; R. T. Shackleton, Larson, et al., 2019)","plainCitation":"(R. T. Shackleton, Adriaens, et al., 2019; R. T. Shackleton, Larson, et al., 2019)","dontUpdate":true,"noteIndex":0},"citationItems":[{"id":29948,"uris":["http://zotero.org/groups/2352922/items/AVRETIRN"],"itemData":{"id":29948,"type":"article-journal","container-title":"Journal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label":"page"},{"id":56686,"uris":["http://zotero.org/groups/2352922/items/LN5TJKE6","http://zotero.org/groups/2352922/items/E3NGYTY4"],"itemData":{"id":56686,"type":"article-journal","container-title":"Journal of Environmental Management","DOI":"10.1016/j.jenvman.2018.08.041","ISSN":"03014797","journalAbbreviation":"Journal of Environmental Management","language":"en","page":"1-9","source":"DOI.org (Crossref)","title":"The human and social dimensions of invasion science and management","URL":"https://linkinghub.elsevier.com/retrieve/pii/S0301479718309125","volume":"229","author":[{"family":"Shackleton","given":"Ross T."},{"family":"Larson","given":"Brendon M.H."},{"family":"Novoa","given":"Ana"},{"family":"Richardson","given":"David M."},{"family":"Kull","given":"Christian A."}],"accessed":{"date-parts":[["2023",6,8]]},"issued":{"date-parts":[["2019",1]]}},"label":"page"}],"schema":"https://github.com/citation-style-language/schema/raw/master/csl-citation.json"} </w:instrText>
      </w:r>
      <w:r w:rsidR="008A3439" w:rsidRPr="00837161">
        <w:rPr>
          <w:color w:val="000000"/>
          <w:lang w:eastAsia="en-ZA"/>
        </w:rPr>
        <w:fldChar w:fldCharType="separate"/>
      </w:r>
      <w:r w:rsidR="00995D44" w:rsidRPr="00837161">
        <w:t>(R. T. Shackleton, Adriaens, et al., 2019; R. T. Shackleton, Larson, et al., 2019</w:t>
      </w:r>
      <w:r w:rsidR="008A3439" w:rsidRPr="00837161">
        <w:rPr>
          <w:color w:val="000000"/>
          <w:lang w:eastAsia="en-ZA"/>
        </w:rPr>
        <w:fldChar w:fldCharType="end"/>
      </w:r>
      <w:r w:rsidR="000B1FF0" w:rsidRPr="00837161">
        <w:rPr>
          <w:color w:val="000000"/>
          <w:lang w:eastAsia="en-ZA"/>
        </w:rPr>
        <w:t>;</w:t>
      </w:r>
      <w:r w:rsidRPr="00C0338D">
        <w:rPr>
          <w:color w:val="000000"/>
        </w:rPr>
        <w:t xml:space="preserve"> </w:t>
      </w:r>
      <w:r w:rsidRPr="00C0338D">
        <w:rPr>
          <w:b/>
          <w:color w:val="000000"/>
        </w:rPr>
        <w:t>section 5.4.1</w:t>
      </w:r>
      <w:r w:rsidRPr="00C0338D">
        <w:rPr>
          <w:color w:val="000000"/>
        </w:rPr>
        <w:t>).</w:t>
      </w:r>
    </w:p>
    <w:p w14:paraId="00000358" w14:textId="77777777" w:rsidR="00A758FD" w:rsidRPr="00C0338D" w:rsidRDefault="00C81287" w:rsidP="00912848">
      <w:pPr>
        <w:pStyle w:val="Heading4"/>
      </w:pPr>
      <w:r w:rsidRPr="00C0338D">
        <w:t>Ecosystem restoration</w:t>
      </w:r>
    </w:p>
    <w:p w14:paraId="29E941E3" w14:textId="41D8FF70" w:rsidR="001B0409" w:rsidRPr="00837161" w:rsidRDefault="127C8D6D" w:rsidP="00AC1F76">
      <w:pPr>
        <w:spacing w:before="240" w:after="120" w:line="240" w:lineRule="auto"/>
      </w:pPr>
      <w:r w:rsidRPr="00837161">
        <w:t>Invasive alien species not only alter i</w:t>
      </w:r>
      <w:r w:rsidR="231F2D85" w:rsidRPr="00837161">
        <w:t>n</w:t>
      </w:r>
      <w:r w:rsidRPr="00837161">
        <w:t xml:space="preserve"> situ ecological community assembly, but also the intended endpoint communities following </w:t>
      </w:r>
      <w:r w:rsidR="00363631">
        <w:t>ecosystem</w:t>
      </w:r>
      <w:r w:rsidR="00363631" w:rsidRPr="00837161">
        <w:t xml:space="preserve"> </w:t>
      </w:r>
      <w:r w:rsidRPr="00837161">
        <w:t xml:space="preserve">restoration </w:t>
      </w:r>
      <w:r w:rsidR="001B0409" w:rsidRPr="00837161">
        <w:fldChar w:fldCharType="begin" w:fldLock="1"/>
      </w:r>
      <w:r w:rsidR="000F35EB">
        <w:instrText xml:space="preserve"> ADDIN ZOTERO_ITEM CSL_CITATION {"citationID":"EhNwE13g","properties":{"formattedCitation":"(D\\uc0\\u8217{}Antonio &amp; Meyerson, 2002)","plainCitation":"(D’Antonio &amp; Meyerson, 2002)","dontUpdate":true,"noteIndex":0},"citationItems":[{"id":23839,"uris":["http://zotero.org/groups/2352922/items/AXI4B7YE"],"itemData":{"id":23839,"type":"article-journal","abstract":"Exotic species have become increasingly significant management problems in parks and reserves and frequently complicate restoration projects. At the same time there may be circumstances in which their removal may have unforeseen negative consequences or their use in restoration is desirable. We review the types of effects exotic species may have that are important during restoration and suggest research that could increase our ability to set realistic management goals. Their control and use may be controversial; therefore we advocate consideration of exotic species in the greater context of community structure and succession and emphasize areas where ecological research could bring insight to management dilemmas surrounding exotic species and restoration. For example, an understanding of the potential transience of exotics in a site and the role particular exotics might play in changing processes that influence the course of succession is essential to setting removal priorities and realistic management goals. Likewise, a greater understanding of the ecological role of introduced species might help to reduce controversy surrounding their purposeful use in restoration. Here we link generalizations emerging from the invasion ecology literature with practical restoration concerns, including circumstances when it is practical to use exotic species in restoration.","container-title":"Restoration Ecology","DOI":"10.1046/j.1526-100X.2002.01051.x","ISSN":"1526-100X","issue":"4","language":"en","note":"_eprint: https://onlinelibrary.wiley.com/doi/pdf/10.1046/j.1526-100X.2002.01051.x","page":"703-713","source":"Wiley Online Library","title":"Exotic plant species as problems and solutions in ecological restoration: A synthesis","title-short":"Exotic Plant Species as Problems and Solutions in Ecological Restoration","URL":"https://onlinelibrary.wiley.com/doi/abs/10.1046/j.1526-100X.2002.01051.x","volume":"10","author":[{"family":"D'Antonio","given":"Carla M."},{"family":"Meyerson","given":"Laura A."}],"accessed":{"date-parts":[["2020",5,12]]},"issued":{"date-parts":[["2002"]]}},"label":"page"}],"schema":"https://github.com/citation-style-language/schema/raw/master/csl-citation.json"} </w:instrText>
      </w:r>
      <w:r w:rsidR="001B0409" w:rsidRPr="00837161">
        <w:fldChar w:fldCharType="separate"/>
      </w:r>
      <w:r w:rsidR="00A34438" w:rsidRPr="00837161">
        <w:t>(D’Antonio &amp; Meyerson, 2002</w:t>
      </w:r>
      <w:r w:rsidR="001B0409" w:rsidRPr="00837161">
        <w:fldChar w:fldCharType="end"/>
      </w:r>
      <w:r w:rsidR="00A34438" w:rsidRPr="00837161">
        <w:t xml:space="preserve">; </w:t>
      </w:r>
      <w:r w:rsidR="00DF4F59">
        <w:rPr>
          <w:b/>
          <w:iCs/>
        </w:rPr>
        <w:t>C</w:t>
      </w:r>
      <w:r w:rsidR="00A34438" w:rsidRPr="00DF4F59">
        <w:rPr>
          <w:b/>
          <w:iCs/>
        </w:rPr>
        <w:t>hapter 1</w:t>
      </w:r>
      <w:r w:rsidR="00A34438" w:rsidRPr="00DF4F59">
        <w:rPr>
          <w:iCs/>
        </w:rPr>
        <w:t>,</w:t>
      </w:r>
      <w:r w:rsidR="00A34438" w:rsidRPr="00DF4F59">
        <w:rPr>
          <w:b/>
          <w:iCs/>
        </w:rPr>
        <w:t xml:space="preserve"> Box 1.</w:t>
      </w:r>
      <w:r w:rsidR="0074550A" w:rsidRPr="00DF4F59">
        <w:rPr>
          <w:b/>
          <w:iCs/>
        </w:rPr>
        <w:t>7</w:t>
      </w:r>
      <w:r w:rsidR="00A34438" w:rsidRPr="00DF4F59">
        <w:rPr>
          <w:iCs/>
        </w:rPr>
        <w:t xml:space="preserve">; </w:t>
      </w:r>
      <w:r w:rsidR="00DF4F59">
        <w:rPr>
          <w:b/>
          <w:iCs/>
        </w:rPr>
        <w:t>C</w:t>
      </w:r>
      <w:r w:rsidR="00A34438" w:rsidRPr="00DF4F59">
        <w:rPr>
          <w:b/>
          <w:iCs/>
        </w:rPr>
        <w:t>hapter 6</w:t>
      </w:r>
      <w:r w:rsidR="00A34438" w:rsidRPr="00DF4F59">
        <w:rPr>
          <w:iCs/>
        </w:rPr>
        <w:t>,</w:t>
      </w:r>
      <w:r w:rsidR="00A34438" w:rsidRPr="00DF4F59">
        <w:rPr>
          <w:b/>
          <w:iCs/>
        </w:rPr>
        <w:t xml:space="preserve"> </w:t>
      </w:r>
      <w:r w:rsidR="00986A43" w:rsidRPr="00DF4F59">
        <w:rPr>
          <w:b/>
          <w:iCs/>
        </w:rPr>
        <w:t>Table 6.7</w:t>
      </w:r>
      <w:r w:rsidR="00A34438" w:rsidRPr="00DF4F59">
        <w:rPr>
          <w:iCs/>
        </w:rPr>
        <w:t>,</w:t>
      </w:r>
      <w:r w:rsidR="00986A43" w:rsidRPr="00DF4F59">
        <w:rPr>
          <w:iCs/>
        </w:rPr>
        <w:t xml:space="preserve"> </w:t>
      </w:r>
      <w:r w:rsidR="00986A43" w:rsidRPr="00DF4F59">
        <w:rPr>
          <w:b/>
          <w:iCs/>
        </w:rPr>
        <w:t>section</w:t>
      </w:r>
      <w:r w:rsidR="00A34438" w:rsidRPr="00DF4F59">
        <w:rPr>
          <w:b/>
          <w:iCs/>
        </w:rPr>
        <w:t xml:space="preserve"> 6.7.1</w:t>
      </w:r>
      <w:r w:rsidR="00A34438" w:rsidRPr="00837161">
        <w:t>)</w:t>
      </w:r>
      <w:r w:rsidRPr="00837161">
        <w:t>. As such</w:t>
      </w:r>
      <w:r w:rsidR="7EBF2F7F" w:rsidRPr="00837161">
        <w:t>,</w:t>
      </w:r>
      <w:r w:rsidRPr="00837161">
        <w:t xml:space="preserve"> controlling invasive alien plants has become a significant </w:t>
      </w:r>
      <w:r w:rsidR="008602FA">
        <w:t xml:space="preserve">ecosystem </w:t>
      </w:r>
      <w:r w:rsidRPr="00837161">
        <w:t xml:space="preserve">restoration management problem </w:t>
      </w:r>
      <w:r w:rsidR="001B0409" w:rsidRPr="00837161">
        <w:fldChar w:fldCharType="begin" w:fldLock="1"/>
      </w:r>
      <w:r w:rsidR="000F35EB">
        <w:instrText xml:space="preserve"> ADDIN ZOTERO_ITEM CSL_CITATION {"citationID":"G2EhMzKc","properties":{"formattedCitation":"(D\\uc0\\u8217{}Antonio et al., 2016; Prior et al., 2018; Weidlich et al., 2020)","plainCitation":"(D’Antonio et al., 2016; Prior et al., 2018; Weidlich et al., 2020)","noteIndex":0},"citationItems":[{"id":53125,"uris":["http://zotero.org/groups/2352922/items/VPX57VY3"],"itemData":{"id":53125,"type":"chapter","abstract":"Established populations of nonnative plant species occur in most ecosystems. The ecological effects of these invaders can vary from benign to substantial, while management perspectives on them range from beneficial to harmful. In this chapter we focus on those nonnative plant species considered ‘harmful’, defined here as having an ecological and/or economic impact undesirable to management and they are typical targets of management and restoration actions. For information on animal invaders, see Simberloff and Rejmanek (2010). Harmful invaders have been variously referred to as “invasive” (Mack et al. 2000) or “transformer” plant species (Richardson et al. 2000). While there is some management concern over rapidly spreading native species (Carey et al. 2012), we use the term invasive in the sense of Richardson et al. (2000): nonnative (alien, nonindigenous or exotic) species with the potential for rapid population growth. In many cases ecological impacts of the species have not been measured. Within a restoration context, we assume invasive species would be a target when they (1) already dominate a restoration site or its seedbank and are difficult to remove, (2) may leave behind legacies after removal, or (3) could invade a restoration site and co-opt the direction of postdisturbance/restoration succession by interfering with desired species.","container-title":"Foundations of Restoration Ecology","event-place":"Washington, DC","ISBN":"978-1-61091-698-1","language":"en","note":"DOI: 10.5822/978-1-61091-698-1_8","page":"216-244","publisher":"Island Press/Center for Resource Economics","publisher-place":"Washington, DC","source":"Springer Link","title":"Invasive Species and Restoration Challenges","URL":"https://doi.org/10.5822/978-1-61091-698-1_8","author":[{"family":"D’Antonio","given":"Carla M."},{"family":"August-Schmidt","given":"Elizabeth"},{"family":"Fernandez-Going","given":"Barbara"}],"editor":[{"family":"Palmer","given":"Margaret A."},{"family":"Zedler","given":"Joy B."},{"family":"Falk","given":"Donald A."}],"accessed":{"date-parts":[["2022",9,1]]},"issued":{"date-parts":[["2016"]]}},"label":"page"},{"id":54172,"uris":["http://zotero.org/groups/2352922/items/AEQWG66S"],"itemData":{"id":54172,"type":"article-journal","container-title":"Biological Invasions","issue":"2","note":"ISBN: 1573-1464\npublisher: Springer","page":"267-283","title":"When does invasive species removal lead to ecological recovery? Implications for management success","volume":"20","author":[{"family":"Prior","given":"Kirsten M."},{"family":"Adams","given":"Damian C."},{"family":"Klepzig","given":"Kier D."},{"family":"Hulcr","given":"Jiri"}],"issued":{"date-parts":[["2018"]]}},"label":"page"},{"id":10020,"uris":["http://zotero.org/groups/2352922/items/TEK4CKP6"],"itemData":{"id":10020,"type":"article-journal","container-title":"Journal of Applied Ecology","DOI":"10.1111/1365-2664.13656","ISSN":"0021-8901, 1365-2664","issue":"9","journalAbbreviation":"J Appl Ecol","language":"en","page":"1806-1817","source":"DOI.org (Crossref)","title":"Controlling invasive plant species in ecological restoration: A global review","title-short":"Controlling invasive plant species in ecological restoration","URL":"https://onlinelibrary.wiley.com/doi/10.1111/1365-2664.13656","volume":"57","author":[{"family":"Weidlich","given":"Emanuela W. A."},{"family":"Flórido","given":"Flávia G."},{"family":"Sorrini","given":"Taísi B."},{"family":"Brancalion","given":"Pedro H. S."}],"editor":[{"family":"Peralta","given":"Guadalupe"}],"accessed":{"date-parts":[["2021",11,11]]},"issued":{"date-parts":[["2020",9]]}}}],"schema":"https://github.com/citation-style-language/schema/raw/master/csl-citation.json"} </w:instrText>
      </w:r>
      <w:r w:rsidR="001B0409" w:rsidRPr="00837161">
        <w:fldChar w:fldCharType="separate"/>
      </w:r>
      <w:r w:rsidR="00271B78" w:rsidRPr="00271B78">
        <w:t>(D’Antonio et al., 2016; Prior et al., 2018; Weidlich et al., 2020)</w:t>
      </w:r>
      <w:r w:rsidR="001B0409" w:rsidRPr="00837161">
        <w:fldChar w:fldCharType="end"/>
      </w:r>
      <w:r w:rsidRPr="00837161">
        <w:t>.</w:t>
      </w:r>
      <w:r w:rsidR="001B5D26">
        <w:t xml:space="preserve"> </w:t>
      </w:r>
      <w:r w:rsidR="000A47E5" w:rsidRPr="00837161">
        <w:t>Ecosystem</w:t>
      </w:r>
      <w:r w:rsidR="009A65D4" w:rsidRPr="00837161">
        <w:t xml:space="preserve"> restoration </w:t>
      </w:r>
      <w:r w:rsidR="00213DE4">
        <w:t>is</w:t>
      </w:r>
      <w:r w:rsidR="00213DE4" w:rsidRPr="00837161">
        <w:t xml:space="preserve"> </w:t>
      </w:r>
      <w:r w:rsidR="009A65D4" w:rsidRPr="00837161">
        <w:t xml:space="preserve">also an important </w:t>
      </w:r>
      <w:r w:rsidR="008E37FB" w:rsidRPr="00837161">
        <w:t>follow</w:t>
      </w:r>
      <w:r w:rsidR="00126D51" w:rsidRPr="00837161">
        <w:t>-</w:t>
      </w:r>
      <w:r w:rsidR="008E37FB" w:rsidRPr="00837161">
        <w:t xml:space="preserve">up to </w:t>
      </w:r>
      <w:r w:rsidR="009A65D4" w:rsidRPr="00837161">
        <w:t xml:space="preserve">invasive alien species management. </w:t>
      </w:r>
      <w:r w:rsidR="000A47E5" w:rsidRPr="00837161">
        <w:t>Because i</w:t>
      </w:r>
      <w:r w:rsidRPr="00837161">
        <w:t xml:space="preserve">nvasive alien species </w:t>
      </w:r>
      <w:r w:rsidR="00C818E5">
        <w:t xml:space="preserve">may </w:t>
      </w:r>
      <w:r w:rsidRPr="00837161">
        <w:t>hinder the establishment and growth of native species</w:t>
      </w:r>
      <w:r w:rsidR="000A47E5" w:rsidRPr="00837161">
        <w:t>, p</w:t>
      </w:r>
      <w:r w:rsidRPr="00837161">
        <w:t xml:space="preserve">assive </w:t>
      </w:r>
      <w:r w:rsidR="00875B60">
        <w:t xml:space="preserve">ecosystem </w:t>
      </w:r>
      <w:r w:rsidRPr="00837161">
        <w:t>restoration (the removal of the invasive alien species) may not be enough</w:t>
      </w:r>
      <w:r w:rsidR="002F1562" w:rsidRPr="00837161">
        <w:t>,</w:t>
      </w:r>
      <w:r w:rsidRPr="00837161">
        <w:t xml:space="preserve"> and active </w:t>
      </w:r>
      <w:r w:rsidR="00875B60">
        <w:t xml:space="preserve">ecosystem </w:t>
      </w:r>
      <w:r w:rsidRPr="00837161">
        <w:t xml:space="preserve">restoration </w:t>
      </w:r>
      <w:r w:rsidR="0087011D" w:rsidRPr="00837161">
        <w:t xml:space="preserve">may be implemented </w:t>
      </w:r>
      <w:r w:rsidR="001B0409" w:rsidRPr="00837161">
        <w:fldChar w:fldCharType="begin" w:fldLock="1"/>
      </w:r>
      <w:r w:rsidR="000F35EB">
        <w:instrText xml:space="preserve"> ADDIN ZOTERO_ITEM CSL_CITATION {"citationID":"cwYXTgEO","properties":{"formattedCitation":"(Brancalion et al., 2019)","plainCitation":"(Brancalion et al., 2019)","noteIndex":0},"citationItems":[{"id":54175,"uris":["http://zotero.org/groups/2352922/items/IIZ2XPAH"],"itemData":{"id":54175,"type":"article-journal","container-title":"Ecological Applications","issue":"2","note":"ISBN: 1051-0761\npublisher: Wiley Online Library","page":"e01847","title":"Intensive silviculture enhances biomass accumulation and tree diversity recovery in tropical forest restoration","URL":"https://www.jstor.org/stable/26623324","volume":"29","author":[{"family":"Brancalion","given":"Pedro H S"},{"family":"Campoe","given":"Otavio"},{"family":"Mendes","given":"João Carlos Teixeira"},{"family":"Noel","given":"Camilla"},{"family":"Moreira","given":"Gabriela G."},{"family":"Melis","given":"Juliano","non-dropping-particle":"van"},{"family":"Stape","given":"Jose Luiz"},{"family":"Guillemot","given":"Joannes"}],"issued":{"date-parts":[["2019"]]}},"label":"page"}],"schema":"https://github.com/citation-style-language/schema/raw/master/csl-citation.json"} </w:instrText>
      </w:r>
      <w:r w:rsidR="001B0409" w:rsidRPr="00837161">
        <w:fldChar w:fldCharType="separate"/>
      </w:r>
      <w:r w:rsidR="00271B78" w:rsidRPr="00271B78">
        <w:t>(Brancalion et al., 2019)</w:t>
      </w:r>
      <w:r w:rsidR="001B0409" w:rsidRPr="00837161">
        <w:fldChar w:fldCharType="end"/>
      </w:r>
      <w:r w:rsidRPr="00837161">
        <w:t>. This may include the use of alternative native species to functionally replace the removed invasive alien plan</w:t>
      </w:r>
      <w:r w:rsidR="57726D1B" w:rsidRPr="00837161">
        <w:t xml:space="preserve">ts </w:t>
      </w:r>
      <w:r w:rsidR="001B0409" w:rsidRPr="00837161">
        <w:fldChar w:fldCharType="begin"/>
      </w:r>
      <w:r w:rsidR="000F35EB">
        <w:instrText xml:space="preserve"> ADDIN ZOTERO_ITEM CSL_CITATION {"citationID":"gP5VWqAu","properties":{"formattedCitation":"(Gigon, 2007)","plainCitation":"(Gigon, 2007)","noteIndex":0},"citationItems":[{"id":30917,"uris":["http://zotero.org/groups/2352922/items/YX39PLIW"],"itemData":{"id":30917,"type":"report","language":"de","page":"12","source":"Zotero","title":"Ersatz-Pflanzenarten für die unerwünschten gebietsfremden Arten (invasive Neophyten) der Schwarzen und der Beobachtungsliste der Schweiz","URL":"https://www.infoflora.ch/de/assets/content/documents/neophyten/neophyten_diverses/neophyten-ersatzarten.pdf","author":[{"family":"Gigon","given":"Andreas"}],"issued":{"date-parts":[["2007"]]}},"label":"page"}],"schema":"https://github.com/citation-style-language/schema/raw/master/csl-citation.json"} </w:instrText>
      </w:r>
      <w:r w:rsidR="001B0409" w:rsidRPr="00837161">
        <w:fldChar w:fldCharType="separate"/>
      </w:r>
      <w:r w:rsidR="00271B78" w:rsidRPr="00271B78">
        <w:t>(Gigon, 2007)</w:t>
      </w:r>
      <w:r w:rsidR="001B0409" w:rsidRPr="00837161">
        <w:fldChar w:fldCharType="end"/>
      </w:r>
      <w:r w:rsidR="592D9989" w:rsidRPr="00837161">
        <w:t xml:space="preserve"> or more con</w:t>
      </w:r>
      <w:r w:rsidR="2A27FFCE" w:rsidRPr="00837161">
        <w:t>tr</w:t>
      </w:r>
      <w:r w:rsidR="1B3E93EC" w:rsidRPr="00837161">
        <w:t>o</w:t>
      </w:r>
      <w:r w:rsidR="2A27FFCE" w:rsidRPr="00837161">
        <w:t xml:space="preserve">versially </w:t>
      </w:r>
      <w:r w:rsidR="58B12C81" w:rsidRPr="00837161">
        <w:t xml:space="preserve">use of invasive </w:t>
      </w:r>
      <w:r w:rsidR="6302283A" w:rsidRPr="00837161">
        <w:rPr>
          <w:rFonts w:eastAsia="Times New Roman"/>
        </w:rPr>
        <w:t xml:space="preserve">alien </w:t>
      </w:r>
      <w:r w:rsidR="58B12C81" w:rsidRPr="00837161">
        <w:t xml:space="preserve">species for restoration, when </w:t>
      </w:r>
      <w:r w:rsidR="3660FB1F" w:rsidRPr="00837161">
        <w:t>this</w:t>
      </w:r>
      <w:r w:rsidR="58B12C81" w:rsidRPr="00837161">
        <w:t xml:space="preserve"> might be acceptable</w:t>
      </w:r>
      <w:r w:rsidR="3660FB1F" w:rsidRPr="00837161">
        <w:t xml:space="preserve"> (e.g.</w:t>
      </w:r>
      <w:r w:rsidR="309DF765" w:rsidRPr="00837161">
        <w:t>,</w:t>
      </w:r>
      <w:r w:rsidR="3660FB1F" w:rsidRPr="00837161">
        <w:t xml:space="preserve"> </w:t>
      </w:r>
      <w:r w:rsidR="001B0409" w:rsidRPr="00837161">
        <w:fldChar w:fldCharType="begin"/>
      </w:r>
      <w:r w:rsidR="000F35EB">
        <w:instrText xml:space="preserve"> ADDIN ZOTERO_ITEM CSL_CITATION {"citationID":"11rgGcY0","properties":{"formattedCitation":"(Vimercati et al., 2020)","plainCitation":"(Vimercati et al., 2020)","dontUpdate":true,"noteIndex":0},"citationItems":[{"id":26688,"uris":["http://zotero.org/groups/2352922/items/CXTW7MDH"],"itemData":{"id":26688,"type":"article-journal","abstract":"Extensive literature is available on the diversity and magnitude of impacts that alien species cause on recipient systems. Alien species may decrease or increase attributes of ecosystems (e.g. total biomass or species diversity), thus causing negative and positive environmental impacts. Alien species may also negatively or positively impact attributes linked to local human communities (e.g. the number of people involved in a given activity). Ethical and societal values contribute to define these environmental and socio-economic impacts as deleterious or beneficial. Whilst most of the literature focuses on the deleterious effects of alien taxa, some recognise their beneficial impacts on ecosystems and human activities. Impact assessment frameworks show a similar tendency to evaluate mainly deleterious impacts: only relatively few, and not widely applied, frameworks incorporate the beneficial impacts of alien species. Here, we provide a summary of the frameworks assessing beneficial impacts and briefly discuss why they might have been less frequently cited and applied than frameworks assessing exclusively deleterious impacts. Then, we review arguments that invoke a greater consideration of positive and beneficial impacts caused by alien species across the invasion science literature. We collate and describe arguments from a set of 47 papers, grouping them in two categories (value-free and value-laden), which span from a theoretical, basic science perspective to an applied science perspective. We also provide example cases associated with each argument. We advocate that the development of transparent and evidence-based frameworks assessing positive and beneficial impacts might advance our scientific understanding of impact dynamics and better inform management and prioritisation decisions. We also advise that this development should be achieved by recognising the underlying ethical and societal values of the frameworks and their intrinsic limitations. The evaluation of positive and beneficial impacts through impact assessment frameworks should not be seen as an attempt to outweigh or to discount deleterious impacts of alien taxa but rather as an opportunity to provide additional information for scientists, managers and policymakers.","container-title":"NeoBiota","DOI":"10.3897/neobiota.62.52793","ISSN":"1314-2488","language":"en","license":"2021 Giovanni Vimercati, Sabrina Kumschick, Anna F. Probert, Lara Volery, Sven Bacher","note":"publisher: Pensoft Publishers","page":"525-545","source":"neobiota.pensoft.net","title":"The importance of assessing positive and beneficial impacts of alien species","URL":"https://neobiota.pensoft.net/article/52793/","volume":"62","author":[{"family":"Vimercati","given":"Giovanni"},{"family":"Kumschick","given":"Sabrina"},{"family":"Probert","given":"Anna F."},{"family":"Volery","given":"Lara"},{"family":"Bacher","given":"Sven"}],"accessed":{"date-parts":[["2021",2,22]]},"issued":{"date-parts":[["2020",10,15]]}},"label":"page"}],"schema":"https://github.com/citation-style-language/schema/raw/master/csl-citation.json"} </w:instrText>
      </w:r>
      <w:r w:rsidR="001B0409" w:rsidRPr="00837161">
        <w:fldChar w:fldCharType="separate"/>
      </w:r>
      <w:r w:rsidR="002B6533" w:rsidRPr="00837161">
        <w:t>Vimercati et al., 2020)</w:t>
      </w:r>
      <w:r w:rsidR="001B0409" w:rsidRPr="00837161">
        <w:fldChar w:fldCharType="end"/>
      </w:r>
      <w:r w:rsidRPr="00837161">
        <w:t>.</w:t>
      </w:r>
      <w:r w:rsidR="06FCDA17" w:rsidRPr="00837161">
        <w:t xml:space="preserve"> </w:t>
      </w:r>
      <w:r w:rsidR="00363631">
        <w:t>Ecosystem</w:t>
      </w:r>
      <w:r w:rsidR="00363631" w:rsidRPr="00837161">
        <w:t xml:space="preserve"> </w:t>
      </w:r>
      <w:r w:rsidR="20768420" w:rsidRPr="00837161">
        <w:t xml:space="preserve">restoration </w:t>
      </w:r>
      <w:r w:rsidR="686EC16D" w:rsidRPr="00837161">
        <w:t>through increased biotic resistance</w:t>
      </w:r>
      <w:r w:rsidR="00FE283A" w:rsidRPr="00837161">
        <w:t xml:space="preserve"> </w:t>
      </w:r>
      <w:r w:rsidR="008F44BD" w:rsidRPr="00837161">
        <w:t>(</w:t>
      </w:r>
      <w:r w:rsidR="00DF4F59" w:rsidRPr="00DF4F59">
        <w:rPr>
          <w:b/>
          <w:iCs/>
        </w:rPr>
        <w:t>Glossary</w:t>
      </w:r>
      <w:r w:rsidR="00FE283A" w:rsidRPr="00837161">
        <w:t>)</w:t>
      </w:r>
      <w:r w:rsidR="686EC16D" w:rsidRPr="00837161">
        <w:t>,</w:t>
      </w:r>
      <w:r w:rsidR="612CC8FA" w:rsidRPr="00837161">
        <w:t xml:space="preserve"> </w:t>
      </w:r>
      <w:r w:rsidR="20768420" w:rsidRPr="00837161">
        <w:t>c</w:t>
      </w:r>
      <w:r w:rsidR="612CC8FA" w:rsidRPr="00837161">
        <w:t xml:space="preserve">an </w:t>
      </w:r>
      <w:r w:rsidR="686EC16D" w:rsidRPr="00837161">
        <w:t>also</w:t>
      </w:r>
      <w:r w:rsidR="612CC8FA" w:rsidRPr="00837161">
        <w:t xml:space="preserve"> help </w:t>
      </w:r>
      <w:r w:rsidR="2BC474FE" w:rsidRPr="00837161">
        <w:t>prevent</w:t>
      </w:r>
      <w:r w:rsidR="612CC8FA" w:rsidRPr="00837161">
        <w:t xml:space="preserve"> </w:t>
      </w:r>
      <w:r w:rsidR="20768420" w:rsidRPr="00837161">
        <w:t xml:space="preserve">colonization of </w:t>
      </w:r>
      <w:r w:rsidR="612CC8FA" w:rsidRPr="00837161">
        <w:t xml:space="preserve">these sites and ecosystems </w:t>
      </w:r>
      <w:r w:rsidR="2BC474FE" w:rsidRPr="00837161">
        <w:t xml:space="preserve">by other invasive alien species </w:t>
      </w:r>
      <w:r w:rsidR="06FCDA17" w:rsidRPr="00837161">
        <w:t>that might replace those removed</w:t>
      </w:r>
      <w:r w:rsidR="686EC16D" w:rsidRPr="00837161">
        <w:t xml:space="preserve">. </w:t>
      </w:r>
      <w:r w:rsidR="29578DB6" w:rsidRPr="00837161">
        <w:t>Legacy effects, where the</w:t>
      </w:r>
      <w:r w:rsidR="3DEA223E" w:rsidRPr="00837161">
        <w:t xml:space="preserve"> degradation </w:t>
      </w:r>
      <w:r w:rsidR="29578DB6" w:rsidRPr="00837161">
        <w:t xml:space="preserve">history of the </w:t>
      </w:r>
      <w:r w:rsidR="4F950FEC" w:rsidRPr="00837161">
        <w:t xml:space="preserve">invaded site </w:t>
      </w:r>
      <w:r w:rsidR="3DEA223E" w:rsidRPr="00837161">
        <w:t>or</w:t>
      </w:r>
      <w:r w:rsidR="4F950FEC" w:rsidRPr="00837161">
        <w:t xml:space="preserve"> ecosystem </w:t>
      </w:r>
      <w:r w:rsidR="6B13742B" w:rsidRPr="00837161">
        <w:t xml:space="preserve">including </w:t>
      </w:r>
      <w:r w:rsidR="49AF9878" w:rsidRPr="00837161">
        <w:t xml:space="preserve">changes in soil nutrients </w:t>
      </w:r>
      <w:r w:rsidR="001B0409" w:rsidRPr="00837161">
        <w:fldChar w:fldCharType="begin"/>
      </w:r>
      <w:r w:rsidR="000F35EB">
        <w:instrText xml:space="preserve"> ADDIN ZOTERO_ITEM CSL_CITATION {"citationID":"xEhmzLx9","properties":{"formattedCitation":"(Nsikani et al., 2018)","plainCitation":"(Nsikani et al., 2018)","noteIndex":0},"citationItems":[{"id":52730,"uris":["http://zotero.org/groups/2352922/items/XMR3ZHMQ"],"itemData":{"id":52730,"type":"article-journal","abstract":"Impacts of invasive alien N2-fixing woody species and how they can persist as soil legacy effects after invasive species control are well appreciated, but how soil legacy effects can present barriers to restoration is poorly understood. Finding better ways to deal with these barriers to restoration is essential to improving restoration outcomes. In this study, we review 440 studies to identify barriers to restoration and potential management actions for the barriers to restoration, and provide practical application examples of the management actions. Our findings suggest that altered soil microbial communities, depleted native soil seed banks, elevated N status, secondary invasion and weedy native species dominance, and reinvasion are potential barriers to restoration. Furthermore, carbon addition, litter removal, soil microbial treatments, establishing species adapted to low N levels, prescribed burning, classical biological control, grazing, mowing, herbicide or graminicide application, manual weeding, soil N management, soil solarization, weed mats, native species reintroduction, and nurse plants are potential management actions for these barriers to restoration. However, there is little evidence suggesting that several of these barriers to restoration hinder improved restoration outcomes and this could be due to little research on them. More research is needed to assess their relative importance in hindering improved restoration outcomes. Management actions are rarely applied in combination, despite that they often address distinct barriers to restoration. Management actions should be combined into an integrated management effort to improve restoration outcomes.","container-title":"Restoration Ecology","DOI":"10.1111/rec.12669","ISSN":"1526-100X","issue":"2","language":"en","note":"_eprint: https://onlinelibrary.wiley.com/doi/pdf/10.1111/rec.12669","page":"235-244","source":"Wiley Online Library","title":"Barriers to ecosystem restoration presented by soil legacy effects of invasive alien N2-fixing woody species: implications for ecological restoration","title-short":"Barriers to ecosystem restoration presented by soil legacy effects of invasive alien N2-fixing woody species","URL":"https://onlinelibrary.wiley.com/doi/abs/10.1111/rec.12669","volume":"26","author":[{"family":"Nsikani","given":"Mlungele M."},{"family":"Wilgen","given":"Brian W.","non-dropping-particle":"van"},{"family":"Gaertner","given":"Mirijam"}],"accessed":{"date-parts":[["2022",7,27]]},"issued":{"date-parts":[["2018"]]}},"label":"page"}],"schema":"https://github.com/citation-style-language/schema/raw/master/csl-citation.json"} </w:instrText>
      </w:r>
      <w:r w:rsidR="001B0409" w:rsidRPr="00837161">
        <w:fldChar w:fldCharType="separate"/>
      </w:r>
      <w:r w:rsidR="00271B78" w:rsidRPr="00271B78">
        <w:t>(Nsikani et al., 2018)</w:t>
      </w:r>
      <w:r w:rsidR="001B0409" w:rsidRPr="00837161">
        <w:fldChar w:fldCharType="end"/>
      </w:r>
      <w:r w:rsidR="76FF02C1" w:rsidRPr="00837161">
        <w:t>,</w:t>
      </w:r>
      <w:r w:rsidR="49AF9878" w:rsidRPr="00837161">
        <w:t xml:space="preserve"> </w:t>
      </w:r>
      <w:r w:rsidR="3DEA223E" w:rsidRPr="00837161">
        <w:t xml:space="preserve">determines </w:t>
      </w:r>
      <w:r w:rsidR="4F950FEC" w:rsidRPr="00837161">
        <w:t xml:space="preserve">the </w:t>
      </w:r>
      <w:r w:rsidR="41F795E9" w:rsidRPr="00837161">
        <w:t>capac</w:t>
      </w:r>
      <w:r w:rsidR="3DEA223E" w:rsidRPr="00837161">
        <w:t>i</w:t>
      </w:r>
      <w:r w:rsidR="41F795E9" w:rsidRPr="00837161">
        <w:t>ty of the site</w:t>
      </w:r>
      <w:r w:rsidR="10C73DA9" w:rsidRPr="00837161">
        <w:t xml:space="preserve"> to </w:t>
      </w:r>
      <w:r w:rsidR="3DEA223E" w:rsidRPr="00837161">
        <w:t>self</w:t>
      </w:r>
      <w:r w:rsidR="5941EDE3" w:rsidRPr="00837161">
        <w:t>-</w:t>
      </w:r>
      <w:r w:rsidR="41F795E9" w:rsidRPr="00837161">
        <w:t xml:space="preserve">restore </w:t>
      </w:r>
      <w:r w:rsidR="5941EDE3" w:rsidRPr="00837161">
        <w:t>or lead to unex</w:t>
      </w:r>
      <w:r w:rsidR="1AE17D27" w:rsidRPr="00837161">
        <w:t xml:space="preserve">pected consequences </w:t>
      </w:r>
      <w:r w:rsidR="41F795E9" w:rsidRPr="00837161">
        <w:t>following removal of the invasive alien species</w:t>
      </w:r>
      <w:r w:rsidR="691D6710" w:rsidRPr="00837161">
        <w:t>, need to be understood and</w:t>
      </w:r>
      <w:r w:rsidR="10C73DA9" w:rsidRPr="00837161">
        <w:t xml:space="preserve"> managed</w:t>
      </w:r>
      <w:r w:rsidR="20768420" w:rsidRPr="00837161">
        <w:t xml:space="preserve"> </w:t>
      </w:r>
      <w:r w:rsidR="001B0409" w:rsidRPr="00837161">
        <w:fldChar w:fldCharType="begin"/>
      </w:r>
      <w:r w:rsidR="000F35EB">
        <w:instrText xml:space="preserve"> ADDIN ZOTERO_ITEM CSL_CITATION {"citationID":"mpFEzFrt","properties":{"formattedCitation":"(Stephens et al., 2009)","plainCitation":"(Stephens et al., 2009)","dontUpdate":true,"noteIndex":0},"citationItems":[{"id":52568,"uris":["http://zotero.org/groups/2352922/items/4Q8FYH8Z"],"itemData":{"id":52568,"type":"article-journal","abstract":"The expected outcome of weed control in natural systems is that the decline of a dominant weed will result in an increase in diversity of the plant community but this has seldom been tested. Here we evaluate the response of the plant community following the decline of diffuse knapweed (Centaurea diffusa) in six different pastures at White Lake, BC, Canada over five years. This period followed the establishment, spread and high levels of attack by the introduced European weevil, Larinus minutus, as part of a biological control program. Knapweed declined immediately before and during the study period, but, contrary to expectations, the species richness and diversity of the rangeland plant community did not increase. The absolute cover of native and introduced forbs and grasses increased following knapweed decline, but only the introduced grasses showed a consistent increase in cover relative to the other life-forms. However, unlike in other studies, the native plants dominated the study site. We conclude that the changes in plant communities following successful biological control are variable among programs and that the impact of replacement species must be evaluated in assessing the success of ecological restoration programs that use biological control to manage an undesirable weed.","container-title":"Biological Control","DOI":"10.1016/j.biocontrol.2009.06.015","ISSN":"1049-9644","issue":"1","journalAbbreviation":"Biological Control","language":"en","page":"140-146","source":"ScienceDirect","title":"Plant community changes after the reduction of an invasive rangeland weed, diffuse knapweed, &lt;i&gt;Centaurea diffusa&lt;/i&gt;","URL":"https://www.sciencedirect.com/science/article/pii/S1049964409001741","volume":"51","author":[{"family":"Stephens","given":"Andrea E. A."},{"family":"Krannitz","given":"Pam G."},{"family":"Myers","given":"Judith H."}],"accessed":{"date-parts":[["2022",7,4]]},"issued":{"date-parts":[["2009",10,1]]}}}],"schema":"https://github.com/citation-style-language/schema/raw/master/csl-citation.json"} </w:instrText>
      </w:r>
      <w:r w:rsidR="001B0409" w:rsidRPr="00837161">
        <w:fldChar w:fldCharType="separate"/>
      </w:r>
      <w:r w:rsidR="13F167D9" w:rsidRPr="00837161">
        <w:t>(Stephens et al., 2009</w:t>
      </w:r>
      <w:r w:rsidR="001B0409" w:rsidRPr="00837161">
        <w:fldChar w:fldCharType="end"/>
      </w:r>
      <w:r w:rsidR="13F167D9" w:rsidRPr="00837161">
        <w:t>;</w:t>
      </w:r>
      <w:r w:rsidR="10C73DA9" w:rsidRPr="00837161">
        <w:t xml:space="preserve"> </w:t>
      </w:r>
      <w:r w:rsidR="00DF4F59">
        <w:rPr>
          <w:b/>
          <w:iCs/>
        </w:rPr>
        <w:t>C</w:t>
      </w:r>
      <w:r w:rsidR="0917815D" w:rsidRPr="00DF4F59">
        <w:rPr>
          <w:b/>
          <w:iCs/>
        </w:rPr>
        <w:t>hapter 3</w:t>
      </w:r>
      <w:r w:rsidR="0917815D" w:rsidRPr="00DF4F59">
        <w:rPr>
          <w:iCs/>
        </w:rPr>
        <w:t>,</w:t>
      </w:r>
      <w:r w:rsidR="0917815D" w:rsidRPr="00DF4F59">
        <w:rPr>
          <w:b/>
          <w:iCs/>
        </w:rPr>
        <w:t xml:space="preserve"> section 3.3.5</w:t>
      </w:r>
      <w:r w:rsidR="20768420" w:rsidRPr="00DF4F59">
        <w:rPr>
          <w:b/>
          <w:iCs/>
        </w:rPr>
        <w:t>.1</w:t>
      </w:r>
      <w:r w:rsidR="000D61B2" w:rsidRPr="00DF4F59">
        <w:t>;</w:t>
      </w:r>
      <w:r w:rsidR="000D61B2" w:rsidRPr="00DF4F59">
        <w:rPr>
          <w:b/>
        </w:rPr>
        <w:t xml:space="preserve"> </w:t>
      </w:r>
      <w:r w:rsidR="00DF4F59">
        <w:rPr>
          <w:b/>
          <w:iCs/>
        </w:rPr>
        <w:t>C</w:t>
      </w:r>
      <w:r w:rsidR="691D6710" w:rsidRPr="00DF4F59">
        <w:rPr>
          <w:b/>
          <w:iCs/>
        </w:rPr>
        <w:t xml:space="preserve">hapter </w:t>
      </w:r>
      <w:r w:rsidR="041954CA" w:rsidRPr="00DF4F59">
        <w:rPr>
          <w:b/>
          <w:iCs/>
        </w:rPr>
        <w:t>6</w:t>
      </w:r>
      <w:r w:rsidR="041954CA" w:rsidRPr="00DF4F59">
        <w:rPr>
          <w:iCs/>
        </w:rPr>
        <w:t>,</w:t>
      </w:r>
      <w:r w:rsidR="041954CA" w:rsidRPr="00DF4F59">
        <w:rPr>
          <w:b/>
          <w:iCs/>
        </w:rPr>
        <w:t xml:space="preserve"> </w:t>
      </w:r>
      <w:r w:rsidR="691D6710" w:rsidRPr="00DF4F59">
        <w:rPr>
          <w:b/>
          <w:iCs/>
        </w:rPr>
        <w:t>section 6.3.3.3</w:t>
      </w:r>
      <w:r w:rsidR="20768420" w:rsidRPr="00837161">
        <w:t xml:space="preserve">). </w:t>
      </w:r>
      <w:r w:rsidR="00C818E5">
        <w:t>In some contexts i</w:t>
      </w:r>
      <w:r w:rsidR="53691EFB" w:rsidRPr="00837161">
        <w:t xml:space="preserve">t </w:t>
      </w:r>
      <w:r w:rsidR="00C818E5">
        <w:t xml:space="preserve">may be </w:t>
      </w:r>
      <w:r w:rsidR="53691EFB" w:rsidRPr="00837161">
        <w:t xml:space="preserve">important to ensure restored sites are connected </w:t>
      </w:r>
      <w:r w:rsidR="66381A92" w:rsidRPr="00837161">
        <w:t xml:space="preserve">to unrestored sites </w:t>
      </w:r>
      <w:r w:rsidR="7B54F030" w:rsidRPr="00837161">
        <w:t xml:space="preserve">such as in aquatic restoration situations </w:t>
      </w:r>
      <w:r w:rsidR="001B0409" w:rsidRPr="00837161">
        <w:fldChar w:fldCharType="begin"/>
      </w:r>
      <w:r w:rsidR="000F35EB">
        <w:instrText xml:space="preserve"> ADDIN ZOTERO_ITEM CSL_CITATION {"citationID":"ZgdJdiMF","properties":{"formattedCitation":"(Besacier-Monbertrand et al., 2014)","plainCitation":"(Besacier-Monbertrand et al., 2014)","noteIndex":0},"citationItems":[{"id":52728,"uris":["http://zotero.org/groups/2352922/items/TTCGX7RU"],"itemData":{"id":52728,"type":"article-journal","abstract":"ABSTRACTIn floodplain ecosystems, the lateral hydrological connectivity between the main river channel and the secondary channels plays a major role in shaping both the habitat conditions and the macroinvertebrate diversity. Among other threats, human activities tend to reduce the lateral connectivity, which increases floodplain terrestrialization and induces a loss of aquatic biodiversity. Consequently, the restoration of lateral connectivity is of growing concern. We studied four secondary channels of the Rhône floodplain that were subjected either to no restoration or to three different restoration measures (river flow increase only, flow increase plus dredging and flow increase plus reconnection to the river). Macroinvertebrate and environmental data were analysed one year before and during a period of five years after restoration. We expected a progressive increase of lateral connectivity according to the type of restoration. Changes in macroinvertebrate assemblages were predicted to be towards more rheophilic communities and proportionally related to the changes in lateral connectivity.In the reconnected channel, lateral connectivity increased and remained high five years after restoration. In the dredged channel, the immediate increase of the lateral connectivity metric induced by sediment removal was followed by a rapid decrease. In the unrestored channel and the channel only influenced by flow increase, the metric remained constant in time. The macroinvertebrate composition and the rarefied EPT richness changes were proportionally related to the changes in lateral connectivity. Alien species richness and densities increased progressively in all channels after restoration. Our results showed that modifications of the lateral connectivity lead to predictable changes in macroinvertebrate diversity. Synergistic interactions between restoration and longer-term changes (e.g. climatic change, invasion of alien species) encourage long-term monitoring to assess the durability and trends of restoration measures. Copyright © 2012 John Wiley &amp; Sons, Ltd.","container-title":"River Research and Applications","DOI":"10.1002/rra.2597","ISSN":"1535-1467","issue":"5","language":"en","note":"_eprint: https://onlinelibrary.wiley.com/doi/pdf/10.1002/rra.2597","page":"557-570","source":"Wiley Online Library","title":"Short-Term Impacts of Lateral Hydrological Connectivity Restoration on Aquatic Macroinvertebrates","URL":"https://onlinelibrary.wiley.com/doi/abs/10.1002/rra.2597","volume":"30","author":[{"family":"Besacier-Monbertrand","given":"A.-L."},{"family":"Paillex","given":"A."},{"family":"Castella","given":"E."}],"accessed":{"date-parts":[["2022",7,27]]},"issued":{"date-parts":[["2014"]]}}}],"schema":"https://github.com/citation-style-language/schema/raw/master/csl-citation.json"} </w:instrText>
      </w:r>
      <w:r w:rsidR="001B0409" w:rsidRPr="00837161">
        <w:fldChar w:fldCharType="separate"/>
      </w:r>
      <w:r w:rsidR="00271B78" w:rsidRPr="00271B78">
        <w:t>(Besacier-Monbertrand et al., 2014)</w:t>
      </w:r>
      <w:r w:rsidR="001B0409" w:rsidRPr="00837161">
        <w:fldChar w:fldCharType="end"/>
      </w:r>
      <w:r w:rsidR="043DAF01" w:rsidRPr="00837161">
        <w:t xml:space="preserve">. </w:t>
      </w:r>
      <w:r w:rsidR="00C818E5">
        <w:t>The s</w:t>
      </w:r>
      <w:r w:rsidR="00213605" w:rsidRPr="00837161">
        <w:t xml:space="preserve">uccess of </w:t>
      </w:r>
      <w:r w:rsidR="00363631">
        <w:t>ecosystem</w:t>
      </w:r>
      <w:r w:rsidR="00C818E5">
        <w:t xml:space="preserve"> </w:t>
      </w:r>
      <w:r w:rsidR="00213605" w:rsidRPr="00837161">
        <w:t>r</w:t>
      </w:r>
      <w:r w:rsidR="3376FBEB" w:rsidRPr="00837161">
        <w:t xml:space="preserve">estoration </w:t>
      </w:r>
      <w:r w:rsidR="574D4DB4" w:rsidRPr="00837161">
        <w:t>o</w:t>
      </w:r>
      <w:r w:rsidR="00C818E5">
        <w:t>n</w:t>
      </w:r>
      <w:r w:rsidR="574D4DB4" w:rsidRPr="00837161">
        <w:t xml:space="preserve"> sites where </w:t>
      </w:r>
      <w:r w:rsidR="3376FBEB" w:rsidRPr="00837161">
        <w:t xml:space="preserve">invasive </w:t>
      </w:r>
      <w:r w:rsidR="6302283A" w:rsidRPr="00837161">
        <w:rPr>
          <w:rFonts w:eastAsia="Times New Roman"/>
        </w:rPr>
        <w:t xml:space="preserve">alien </w:t>
      </w:r>
      <w:r w:rsidR="3376FBEB" w:rsidRPr="00837161">
        <w:t>species</w:t>
      </w:r>
      <w:r w:rsidR="713EEB91" w:rsidRPr="00837161">
        <w:t xml:space="preserve"> are managed </w:t>
      </w:r>
      <w:r w:rsidR="0490F2FF" w:rsidRPr="00837161">
        <w:t xml:space="preserve">also </w:t>
      </w:r>
      <w:r w:rsidR="00213605" w:rsidRPr="00837161">
        <w:t>depends on</w:t>
      </w:r>
      <w:r w:rsidR="0490F2FF" w:rsidRPr="00837161">
        <w:t xml:space="preserve"> long-term monitoring to understand and manage </w:t>
      </w:r>
      <w:r w:rsidR="00C818E5">
        <w:t xml:space="preserve">any further incursions or </w:t>
      </w:r>
      <w:r w:rsidR="043DAF01" w:rsidRPr="00837161">
        <w:t>re-invasion</w:t>
      </w:r>
      <w:r w:rsidR="00912848">
        <w:t>s</w:t>
      </w:r>
      <w:r w:rsidR="043DAF01" w:rsidRPr="00837161">
        <w:t xml:space="preserve"> </w:t>
      </w:r>
      <w:r w:rsidR="001B0409" w:rsidRPr="00837161">
        <w:fldChar w:fldCharType="begin"/>
      </w:r>
      <w:r w:rsidR="000F35EB">
        <w:instrText xml:space="preserve"> ADDIN ZOTERO_ITEM CSL_CITATION {"citationID":"SqPPuW7u","properties":{"formattedCitation":"(Trowbridge et al., 2017)","plainCitation":"(Trowbridge et al., 2017)","noteIndex":0},"citationItems":[{"id":52727,"uris":["http://zotero.org/groups/2352922/items/BW3NWC4P"],"itemData":{"id":52727,"type":"article-journal","abstract":"The key to restoring degraded grassland habitats is identifying feasible and effective techniques to reduce the negative impacts of exotic species and promote self-sustaining native populations. It is often difficult to extend monitoring of restoration efforts to evaluate long-term success, but doing so is essential to understanding how initial outcomes change over time. To assess how initial treatment effects persist, we revisited degraded patches of Pacific Northwest prairie habitat 6 years after experimental restoration efforts ceased. We evaluated plant community composition to determine the lasting effects of supplemental native seeding and disturbance treatments (burning, mowing, and herbicide to reduce exotic species). We tracked the persistence of seeded species and measured spread of their populations to evaluate suitability of species for restoration and the ability of the habitat to support native plant populations. We found that plots that received supplemental seeding continued to exhibit higher richness of native species than those left unseeded, and that both seeding and disturbance treatments could positively influence native species abundance over the long term. The initially observed effects of disturbance treatments on reducing exotic grass abundance had diminished, highlighting the importance of long-term monitoring and ongoing control of exotic species. Nevertheless, these treatments significantly influenced the population trajectories of 4 out of 8 seeded native species. There was evidence of spatial advance of most seeded species. Results from extended monitoring confirm that dispersal limitation of native species and difficulties maintaining the reduction of exotic grasses continue to be major barriers to success in restoration of invaded grasslands.","container-title":"Restoration Ecology","DOI":"10.1111/rec.12468","ISSN":"1526-100X","issue":"4","language":"en","note":"_eprint: https://onlinelibrary.wiley.com/doi/pdf/10.1111/rec.12468","page":"559-568","source":"Wiley Online Library","title":"Long-term effects of prairie restoration on plant community structure and native population dynamics","URL":"https://onlinelibrary.wiley.com/doi/abs/10.1111/rec.12468","volume":"25","author":[{"family":"Trowbridge","given":"Charlotte C."},{"family":"Stanley","given":"Amanda"},{"family":"Kaye","given":"Thomas N."},{"family":"Dunwiddie","given":"Peter W."},{"family":"Williams","given":"Jennifer L."}],"accessed":{"date-parts":[["2022",7,27]]},"issued":{"date-parts":[["2017"]]}}}],"schema":"https://github.com/citation-style-language/schema/raw/master/csl-citation.json"} </w:instrText>
      </w:r>
      <w:r w:rsidR="001B0409" w:rsidRPr="00837161">
        <w:fldChar w:fldCharType="separate"/>
      </w:r>
      <w:r w:rsidR="00271B78" w:rsidRPr="00271B78">
        <w:t>(Trowbridge et al., 2017)</w:t>
      </w:r>
      <w:r w:rsidR="001B0409" w:rsidRPr="00837161">
        <w:fldChar w:fldCharType="end"/>
      </w:r>
      <w:r w:rsidR="4E5CE804" w:rsidRPr="00837161">
        <w:t>.</w:t>
      </w:r>
      <w:r w:rsidR="20768420" w:rsidRPr="00837161">
        <w:t xml:space="preserve"> </w:t>
      </w:r>
      <w:r w:rsidRPr="00837161">
        <w:t>A recent global review has shown that non-chemical (mainly mowing and prescribed fire) and chemical (mainly glyphosate) control of invasive alien species was used in 58</w:t>
      </w:r>
      <w:r w:rsidR="006215F0" w:rsidRPr="00837161">
        <w:t xml:space="preserve"> per cent</w:t>
      </w:r>
      <w:r w:rsidRPr="00837161">
        <w:t xml:space="preserve"> and 42</w:t>
      </w:r>
      <w:r w:rsidR="006215F0" w:rsidRPr="00837161">
        <w:t xml:space="preserve"> per cent</w:t>
      </w:r>
      <w:r w:rsidRPr="00837161">
        <w:t xml:space="preserve"> of studies respectively </w:t>
      </w:r>
      <w:r w:rsidR="001B0409" w:rsidRPr="00837161">
        <w:fldChar w:fldCharType="begin" w:fldLock="1"/>
      </w:r>
      <w:r w:rsidR="000F35EB">
        <w:instrText xml:space="preserve"> ADDIN ZOTERO_ITEM CSL_CITATION {"citationID":"k9JOLZ5L","properties":{"formattedCitation":"(Weidlich et al., 2020)","plainCitation":"(Weidlich et al., 2020)","noteIndex":0},"citationItems":[{"id":10020,"uris":["http://zotero.org/groups/2352922/items/TEK4CKP6"],"itemData":{"id":10020,"type":"article-journal","container-title":"Journal of Applied Ecology","DOI":"10.1111/1365-2664.13656","ISSN":"0021-8901, 1365-2664","issue":"9","journalAbbreviation":"J Appl Ecol","language":"en","page":"1806-1817","source":"DOI.org (Crossref)","title":"Controlling invasive plant species in ecological restoration: A global review","title-short":"Controlling invasive plant species in ecological restoration","URL":"https://onlinelibrary.wiley.com/doi/10.1111/1365-2664.13656","volume":"57","author":[{"family":"Weidlich","given":"Emanuela W. A."},{"family":"Flórido","given":"Flávia G."},{"family":"Sorrini","given":"Taísi B."},{"family":"Brancalion","given":"Pedro H. S."}],"editor":[{"family":"Peralta","given":"Guadalupe"}],"accessed":{"date-parts":[["2021",11,11]]},"issued":{"date-parts":[["2020",9]]}}}],"schema":"https://github.com/citation-style-language/schema/raw/master/csl-citation.json"} </w:instrText>
      </w:r>
      <w:r w:rsidR="001B0409" w:rsidRPr="00837161">
        <w:fldChar w:fldCharType="separate"/>
      </w:r>
      <w:r w:rsidR="00271B78" w:rsidRPr="00271B78">
        <w:t xml:space="preserve">(Weidlich et </w:t>
      </w:r>
      <w:r w:rsidR="00271B78" w:rsidRPr="00271B78">
        <w:lastRenderedPageBreak/>
        <w:t>al., 2020)</w:t>
      </w:r>
      <w:r w:rsidR="001B0409" w:rsidRPr="00837161">
        <w:fldChar w:fldCharType="end"/>
      </w:r>
      <w:r w:rsidRPr="00837161">
        <w:t xml:space="preserve">. Decisions on which control method to use </w:t>
      </w:r>
      <w:r w:rsidR="6945187F" w:rsidRPr="00837161">
        <w:t xml:space="preserve">are </w:t>
      </w:r>
      <w:r w:rsidRPr="00837161">
        <w:t>depende</w:t>
      </w:r>
      <w:r w:rsidR="00912848">
        <w:t>nt</w:t>
      </w:r>
      <w:r w:rsidR="236722C9" w:rsidRPr="00837161">
        <w:t xml:space="preserve"> </w:t>
      </w:r>
      <w:r w:rsidRPr="00837161">
        <w:t xml:space="preserve">on the </w:t>
      </w:r>
      <w:r w:rsidR="7C2D998E" w:rsidRPr="00837161">
        <w:t xml:space="preserve">growth form of the </w:t>
      </w:r>
      <w:r w:rsidRPr="00837161">
        <w:t xml:space="preserve">invasive </w:t>
      </w:r>
      <w:r w:rsidR="6302283A" w:rsidRPr="00837161">
        <w:rPr>
          <w:rFonts w:eastAsia="Times New Roman"/>
        </w:rPr>
        <w:t xml:space="preserve">alien </w:t>
      </w:r>
      <w:r w:rsidRPr="00837161">
        <w:t>species</w:t>
      </w:r>
      <w:r w:rsidR="0248261B" w:rsidRPr="00837161">
        <w:t xml:space="preserve"> </w:t>
      </w:r>
      <w:r w:rsidRPr="00837161">
        <w:t xml:space="preserve">and resources available for control. The review also found most studies were in temperate deciduous forest and grasslands in developed countries, where chemical control was widely used, whereas in </w:t>
      </w:r>
      <w:r w:rsidR="005A3D55">
        <w:t>developing</w:t>
      </w:r>
      <w:r w:rsidRPr="00837161">
        <w:t xml:space="preserve"> countries (low access to technology solutions) where </w:t>
      </w:r>
      <w:r w:rsidR="00875B60">
        <w:t xml:space="preserve">ecosystem </w:t>
      </w:r>
      <w:r w:rsidRPr="00837161">
        <w:t xml:space="preserve">restoration has been undertaken used only non-chemical methods. Greater knowledge is needed on how best to manage invasive alien species as part of </w:t>
      </w:r>
      <w:r w:rsidR="00363631">
        <w:t>ecosystem</w:t>
      </w:r>
      <w:r w:rsidR="00363631" w:rsidRPr="00837161">
        <w:t xml:space="preserve"> </w:t>
      </w:r>
      <w:r w:rsidRPr="00837161">
        <w:t xml:space="preserve">restoration in </w:t>
      </w:r>
      <w:r w:rsidR="00A834F9">
        <w:t xml:space="preserve">developing </w:t>
      </w:r>
      <w:r w:rsidRPr="00837161">
        <w:t xml:space="preserve">countries (where most high diversity ecosystems occur). A number of guidance documents exist on how to manage the risks of invasive alien species during ecosystem restoration management </w:t>
      </w:r>
      <w:r w:rsidR="001B0409" w:rsidRPr="00837161">
        <w:fldChar w:fldCharType="begin"/>
      </w:r>
      <w:r w:rsidR="000F35EB">
        <w:instrText xml:space="preserve"> ADDIN ZOTERO_ITEM CSL_CITATION {"citationID":"LD8T5JIv","properties":{"formattedCitation":"(UPGE, 2020)","plainCitation":"(UPGE, 2020)","dontUpdate":true,"noteIndex":0},"citationItems":[{"id":25387,"uris":["http://zotero.org/groups/2352922/items/S4LVSDLE"],"itemData":{"id":25387,"type":"report","title":"Préconisations pour une meilleure prise en compte du risque de dissémination des espèces végétales exotiques envahissantes (EVEE) terrestres dans les projets de travaux.","URL":"https://www.genieecologique.fr/reference-biblio/preconisations-pour-une-meilleure-prise-en-compte-du-risque-de-dissemination-des","author":[{"literal":"UPGE"}],"issued":{"date-parts":[["2020",9]]}}}],"schema":"https://github.com/citation-style-language/schema/raw/master/csl-citation.json"} </w:instrText>
      </w:r>
      <w:r w:rsidR="001B0409" w:rsidRPr="00837161">
        <w:fldChar w:fldCharType="separate"/>
      </w:r>
      <w:r w:rsidRPr="00837161">
        <w:t>(UPGE, 2020</w:t>
      </w:r>
      <w:r w:rsidR="001B0409" w:rsidRPr="00837161">
        <w:fldChar w:fldCharType="end"/>
      </w:r>
      <w:r w:rsidR="35F4E8BC" w:rsidRPr="00837161">
        <w:t>).</w:t>
      </w:r>
      <w:r w:rsidR="1948F7D9" w:rsidRPr="00837161">
        <w:t xml:space="preserve"> </w:t>
      </w:r>
      <w:r w:rsidR="3A636E2E" w:rsidRPr="00837161">
        <w:t xml:space="preserve">As the </w:t>
      </w:r>
      <w:r w:rsidR="00875C95" w:rsidRPr="00837161">
        <w:t>Indigenous Peoples</w:t>
      </w:r>
      <w:r w:rsidR="1948F7D9" w:rsidRPr="00837161">
        <w:t xml:space="preserve"> Local Biodiversity Outlook noted, traditional knowledge can provide contributions to </w:t>
      </w:r>
      <w:r w:rsidR="00363631">
        <w:t>ecosystem</w:t>
      </w:r>
      <w:r w:rsidR="00363631" w:rsidRPr="00837161">
        <w:t xml:space="preserve"> </w:t>
      </w:r>
      <w:r w:rsidR="1948F7D9" w:rsidRPr="00837161">
        <w:t xml:space="preserve">restoration in relation to invasive </w:t>
      </w:r>
      <w:r w:rsidR="6302283A" w:rsidRPr="00837161">
        <w:rPr>
          <w:rFonts w:eastAsia="Times New Roman"/>
        </w:rPr>
        <w:t xml:space="preserve">alien </w:t>
      </w:r>
      <w:r w:rsidR="1948F7D9" w:rsidRPr="00837161">
        <w:t xml:space="preserve">species. Incorporating traditional knowledge into </w:t>
      </w:r>
      <w:r w:rsidR="00363631">
        <w:t>ecosystem</w:t>
      </w:r>
      <w:r w:rsidR="00363631" w:rsidRPr="00837161">
        <w:t xml:space="preserve"> </w:t>
      </w:r>
      <w:r w:rsidR="1948F7D9" w:rsidRPr="00837161">
        <w:t xml:space="preserve">restoration provides opportunities to strengthen partnerships leading to improved project implementation while increasing ecological viability, social acceptance and economic feasibility </w:t>
      </w:r>
      <w:r w:rsidR="001B0409" w:rsidRPr="00837161">
        <w:fldChar w:fldCharType="begin"/>
      </w:r>
      <w:r w:rsidR="000F35EB">
        <w:instrText xml:space="preserve"> ADDIN ZOTERO_ITEM CSL_CITATION {"citationID":"7noaIhiM","properties":{"formattedCitation":"(Forest Peoples Programme et al., 2016)","plainCitation":"(Forest Peoples Programme et al., 2016)","noteIndex":0},"citationItems":[{"id":10177,"uris":["http://zotero.org/groups/2352922/items/RT79APJA"],"itemData":{"id":10177,"type":"book","event-place":"England","ISBN":"978-0-9935190-5-5","number-of-pages":"1–79","publisher-place":"England","title":"Local Biodiversity Outlooks. Indigenous Peoples' and Local Communities' Contributions to the Implementation of the Strategic Plan for Biodiversity 2011-2020. A complement to the fourth edition of the Global Biodiversity Outlook","URL":"https://www.cbd.int/gbo/gbo4/publication/lbo-en.pdf","author":[{"literal":"Forest Peoples Programme"},{"literal":"the International Indigenous Forum on Biodiversity"},{"literal":"the Secretariat of the Convention on Biological Diversity"}],"issued":{"date-parts":[["2016"]]}}}],"schema":"https://github.com/citation-style-language/schema/raw/master/csl-citation.json"} </w:instrText>
      </w:r>
      <w:r w:rsidR="001B0409" w:rsidRPr="00837161">
        <w:fldChar w:fldCharType="separate"/>
      </w:r>
      <w:r w:rsidR="00271B78" w:rsidRPr="00271B78">
        <w:t>(Forest Peoples Programme et al., 2016)</w:t>
      </w:r>
      <w:r w:rsidR="001B0409" w:rsidRPr="00837161">
        <w:fldChar w:fldCharType="end"/>
      </w:r>
      <w:r w:rsidR="1948F7D9" w:rsidRPr="00837161">
        <w:t>.</w:t>
      </w:r>
      <w:r w:rsidR="20725740" w:rsidRPr="00837161">
        <w:t xml:space="preserve"> See </w:t>
      </w:r>
      <w:r w:rsidR="002F2F42">
        <w:rPr>
          <w:b/>
          <w:iCs/>
        </w:rPr>
        <w:t>S</w:t>
      </w:r>
      <w:r w:rsidR="00DF4F59" w:rsidRPr="00DF4F59">
        <w:rPr>
          <w:b/>
          <w:iCs/>
        </w:rPr>
        <w:t>upplementary material 5.7</w:t>
      </w:r>
      <w:r w:rsidR="30302089" w:rsidRPr="00837161">
        <w:rPr>
          <w:b/>
          <w:bCs/>
        </w:rPr>
        <w:t xml:space="preserve"> </w:t>
      </w:r>
      <w:r w:rsidR="20725740" w:rsidRPr="00837161">
        <w:t>for more details</w:t>
      </w:r>
      <w:r w:rsidR="4E3FC0DC" w:rsidRPr="00837161">
        <w:t xml:space="preserve"> and </w:t>
      </w:r>
      <w:r w:rsidR="00875C95" w:rsidRPr="00837161">
        <w:t>Indigenous Peoples</w:t>
      </w:r>
      <w:r w:rsidR="775AB886" w:rsidRPr="00837161">
        <w:t xml:space="preserve"> and local community </w:t>
      </w:r>
      <w:r w:rsidR="4E3FC0DC" w:rsidRPr="00837161">
        <w:t>examples</w:t>
      </w:r>
      <w:r w:rsidR="7854FFFD" w:rsidRPr="00837161">
        <w:t>.</w:t>
      </w:r>
    </w:p>
    <w:p w14:paraId="749175FB" w14:textId="77777777" w:rsidR="001B0409" w:rsidRPr="00837161" w:rsidRDefault="001B0409" w:rsidP="009A04E6">
      <w:pPr>
        <w:pStyle w:val="Heading2"/>
      </w:pPr>
      <w:bookmarkStart w:id="422" w:name="_Toc87623153"/>
      <w:bookmarkStart w:id="423" w:name="_Toc131681653"/>
      <w:bookmarkStart w:id="424" w:name="_Toc149555479"/>
      <w:r w:rsidRPr="00837161">
        <w:t>Summary tables</w:t>
      </w:r>
      <w:bookmarkEnd w:id="422"/>
      <w:bookmarkEnd w:id="423"/>
      <w:bookmarkEnd w:id="424"/>
    </w:p>
    <w:p w14:paraId="0000035B" w14:textId="53618C96" w:rsidR="00A758FD" w:rsidRPr="00C0338D" w:rsidRDefault="00C81287" w:rsidP="00AC1F76">
      <w:pPr>
        <w:spacing w:before="240" w:after="120" w:line="240" w:lineRule="auto"/>
      </w:pPr>
      <w:bookmarkStart w:id="425" w:name="_heading=h.2hio093" w:colFirst="0" w:colLast="0"/>
      <w:bookmarkEnd w:id="425"/>
      <w:r w:rsidRPr="00C0338D">
        <w:t xml:space="preserve">Based on the evidence collated in this section we provide three comparative summary tables for these technologies, tools and approaches for a) broad effectiveness of each approach, tool or technology for four different management contexts across the invasion continuum </w:t>
      </w:r>
      <w:r w:rsidR="001B0409" w:rsidRPr="00837161">
        <w:t>(</w:t>
      </w:r>
      <w:r w:rsidR="00191A6E">
        <w:rPr>
          <w:b/>
          <w:iCs/>
        </w:rPr>
        <w:t>Table 5.6</w:t>
      </w:r>
      <w:r w:rsidR="00465895" w:rsidRPr="00837161">
        <w:t>)</w:t>
      </w:r>
      <w:r w:rsidR="00277986" w:rsidRPr="00837161">
        <w:t>,</w:t>
      </w:r>
      <w:r w:rsidRPr="00C0338D">
        <w:t xml:space="preserve"> b)</w:t>
      </w:r>
      <w:r w:rsidR="00912848">
        <w:t> </w:t>
      </w:r>
      <w:r w:rsidRPr="00C0338D">
        <w:t xml:space="preserve">broad relevance of each technology for application to a given weed, pest or disease type by sector </w:t>
      </w:r>
      <w:r w:rsidR="001B0409" w:rsidRPr="00837161">
        <w:t>(</w:t>
      </w:r>
      <w:r w:rsidR="00191A6E">
        <w:rPr>
          <w:b/>
          <w:iCs/>
        </w:rPr>
        <w:t>Table 5.7</w:t>
      </w:r>
      <w:r w:rsidR="001B0409" w:rsidRPr="00837161">
        <w:t>)</w:t>
      </w:r>
      <w:r w:rsidR="00C16EEB">
        <w:t xml:space="preserve"> and</w:t>
      </w:r>
      <w:r w:rsidRPr="00C0338D">
        <w:t xml:space="preserve"> c) </w:t>
      </w:r>
      <w:r w:rsidR="00912848">
        <w:t>c</w:t>
      </w:r>
      <w:r w:rsidRPr="00C0338D">
        <w:t xml:space="preserve">omparative summary for each technology across management contexts for cost-effectiveness, the time between the application of the technology and some desired outcome/impact and relevance of application at different spatial scales of response or management </w:t>
      </w:r>
      <w:r w:rsidR="001B0409" w:rsidRPr="00837161">
        <w:t>(</w:t>
      </w:r>
      <w:r w:rsidR="00191A6E">
        <w:rPr>
          <w:b/>
          <w:iCs/>
        </w:rPr>
        <w:t>Table 5.8</w:t>
      </w:r>
      <w:r w:rsidR="001B0409" w:rsidRPr="00837161">
        <w:t>).</w:t>
      </w:r>
      <w:r w:rsidRPr="00C0338D">
        <w:t xml:space="preserve"> The application of these technologies is limited for marine systems, but where applications have been made these have been discussed. </w:t>
      </w:r>
      <w:bookmarkStart w:id="426" w:name="_Ref528244095"/>
      <w:bookmarkStart w:id="427" w:name="_Toc531848086"/>
      <w:r w:rsidRPr="00C0338D">
        <w:br w:type="page"/>
      </w:r>
    </w:p>
    <w:p w14:paraId="0000035C" w14:textId="2860ED8A" w:rsidR="00A758FD" w:rsidRPr="0079215C" w:rsidRDefault="00C81287" w:rsidP="0079215C">
      <w:pPr>
        <w:keepNext/>
        <w:pBdr>
          <w:top w:val="nil"/>
          <w:left w:val="nil"/>
          <w:bottom w:val="nil"/>
          <w:right w:val="nil"/>
          <w:between w:val="nil"/>
        </w:pBdr>
        <w:spacing w:before="240" w:after="120" w:line="240" w:lineRule="auto"/>
        <w:rPr>
          <w:b/>
          <w:color w:val="000000"/>
        </w:rPr>
      </w:pPr>
      <w:bookmarkStart w:id="428" w:name="_heading=h.wnyagw" w:colFirst="0" w:colLast="0"/>
      <w:bookmarkStart w:id="429" w:name="_Ref104971670"/>
      <w:bookmarkStart w:id="430" w:name="_Toc87553788"/>
      <w:bookmarkStart w:id="431" w:name="_Toc87623087"/>
      <w:bookmarkStart w:id="432" w:name="_Toc147489083"/>
      <w:bookmarkEnd w:id="428"/>
      <w:r w:rsidRPr="0079215C">
        <w:rPr>
          <w:b/>
          <w:color w:val="000000"/>
        </w:rPr>
        <w:lastRenderedPageBreak/>
        <w:t>Table 5</w:t>
      </w:r>
      <w:r w:rsidR="00C55286" w:rsidRPr="0079215C">
        <w:rPr>
          <w:b/>
          <w:bCs/>
        </w:rPr>
        <w:t>.</w:t>
      </w:r>
      <w:r w:rsidR="00C55286" w:rsidRPr="0079215C">
        <w:rPr>
          <w:b/>
          <w:bCs/>
        </w:rPr>
        <w:fldChar w:fldCharType="begin"/>
      </w:r>
      <w:r w:rsidR="00C55286" w:rsidRPr="0079215C">
        <w:rPr>
          <w:b/>
          <w:bCs/>
        </w:rPr>
        <w:instrText xml:space="preserve"> SEQ Table_5. \* ARABIC </w:instrText>
      </w:r>
      <w:r w:rsidR="00C55286" w:rsidRPr="0079215C">
        <w:rPr>
          <w:b/>
          <w:bCs/>
        </w:rPr>
        <w:fldChar w:fldCharType="separate"/>
      </w:r>
      <w:r w:rsidR="00DC77F8" w:rsidRPr="0079215C">
        <w:rPr>
          <w:b/>
          <w:bCs/>
          <w:noProof/>
        </w:rPr>
        <w:t>6</w:t>
      </w:r>
      <w:r w:rsidR="00C55286" w:rsidRPr="0079215C">
        <w:rPr>
          <w:b/>
          <w:bCs/>
        </w:rPr>
        <w:fldChar w:fldCharType="end"/>
      </w:r>
      <w:bookmarkEnd w:id="429"/>
      <w:bookmarkEnd w:id="430"/>
      <w:bookmarkEnd w:id="431"/>
      <w:r w:rsidR="006C18D2" w:rsidRPr="0079215C">
        <w:rPr>
          <w:b/>
          <w:bCs/>
        </w:rPr>
        <w:t>.</w:t>
      </w:r>
      <w:r w:rsidRPr="00AC1F76">
        <w:rPr>
          <w:b/>
          <w:color w:val="000000"/>
        </w:rPr>
        <w:t xml:space="preserve"> </w:t>
      </w:r>
      <w:r w:rsidRPr="0079215C">
        <w:rPr>
          <w:color w:val="000000"/>
        </w:rPr>
        <w:t>Comparative guide to applicability of decision</w:t>
      </w:r>
      <w:r w:rsidR="00A91F9F">
        <w:rPr>
          <w:color w:val="000000"/>
        </w:rPr>
        <w:t>-</w:t>
      </w:r>
      <w:r w:rsidRPr="0079215C">
        <w:rPr>
          <w:color w:val="000000"/>
        </w:rPr>
        <w:t xml:space="preserve">support tools and each approach, tool or technology discussed in </w:t>
      </w:r>
      <w:r w:rsidRPr="0079215C">
        <w:rPr>
          <w:b/>
          <w:color w:val="000000"/>
        </w:rPr>
        <w:t>sections 5.2</w:t>
      </w:r>
      <w:r w:rsidRPr="0079215C">
        <w:rPr>
          <w:color w:val="000000"/>
        </w:rPr>
        <w:t xml:space="preserve"> and </w:t>
      </w:r>
      <w:r w:rsidRPr="0079215C">
        <w:rPr>
          <w:b/>
          <w:color w:val="000000"/>
        </w:rPr>
        <w:t>5.4</w:t>
      </w:r>
      <w:bookmarkEnd w:id="432"/>
    </w:p>
    <w:p w14:paraId="0000035D" w14:textId="37DF84A5" w:rsidR="00A758FD" w:rsidRPr="00C0338D" w:rsidRDefault="00C81287" w:rsidP="00AC1F76">
      <w:pPr>
        <w:spacing w:before="240" w:after="120" w:line="240" w:lineRule="auto"/>
      </w:pPr>
      <w:r w:rsidRPr="00C0338D">
        <w:t xml:space="preserve">Assessment categories relate to use contexts discussed in the individual technology specific subsections. The table distinguishes four broad areas of management action associated with the four stages of invasion curve in </w:t>
      </w:r>
      <w:r w:rsidR="00C55286" w:rsidRPr="00DF4F59">
        <w:rPr>
          <w:b/>
        </w:rPr>
        <w:t>Figure</w:t>
      </w:r>
      <w:r w:rsidRPr="00C0338D">
        <w:rPr>
          <w:b/>
        </w:rPr>
        <w:t xml:space="preserve"> 5.1</w:t>
      </w:r>
      <w:r w:rsidRPr="00C0338D">
        <w:t xml:space="preserve">. The assessment categories are generally relevant </w:t>
      </w:r>
      <w:r>
        <w:t>(</w:t>
      </w:r>
      <w:r>
        <w:rPr>
          <w:rFonts w:ascii="Noto Sans Symbols" w:eastAsia="Noto Sans Symbols" w:hAnsi="Noto Sans Symbols" w:cs="Noto Sans Symbols"/>
          <w:color w:val="000000"/>
          <w:sz w:val="28"/>
          <w:szCs w:val="28"/>
        </w:rPr>
        <w:t>✓</w:t>
      </w:r>
      <w:r>
        <w:t>),</w:t>
      </w:r>
      <w:r w:rsidRPr="00C0338D">
        <w:t xml:space="preserve"> not generally relevant (</w:t>
      </w:r>
      <w:r w:rsidR="00746940">
        <w:rPr>
          <w:rFonts w:ascii="Noto Sans Symbols" w:eastAsia="Noto Sans Symbols" w:hAnsi="Noto Sans Symbols" w:cs="Noto Sans Symbols"/>
          <w:color w:val="000000"/>
          <w:sz w:val="28"/>
          <w:szCs w:val="28"/>
        </w:rPr>
        <w:t>🗴</w:t>
      </w:r>
      <w:r w:rsidR="00746940" w:rsidRPr="00C0338D" w:rsidDel="00746940">
        <w:t xml:space="preserve"> </w:t>
      </w:r>
      <w:r w:rsidRPr="00C0338D">
        <w:t>)</w:t>
      </w:r>
      <w:r w:rsidR="00C16EEB">
        <w:t xml:space="preserve"> and</w:t>
      </w:r>
      <w:r w:rsidRPr="00C0338D">
        <w:t xml:space="preserve"> some relevance </w:t>
      </w:r>
      <w:r>
        <w:t>(</w:t>
      </w:r>
      <w:r w:rsidR="00746940">
        <w:rPr>
          <w:rFonts w:ascii="Noto Sans Symbols" w:eastAsia="Noto Sans Symbols" w:hAnsi="Noto Sans Symbols" w:cs="Noto Sans Symbols"/>
          <w:color w:val="000000"/>
          <w:sz w:val="28"/>
          <w:szCs w:val="28"/>
        </w:rPr>
        <w:t>🗴</w:t>
      </w:r>
      <w:r w:rsidR="0081530F">
        <w:rPr>
          <w:rFonts w:ascii="Noto Sans Symbols" w:eastAsia="Noto Sans Symbols" w:hAnsi="Noto Sans Symbols" w:cs="Noto Sans Symbols"/>
          <w:color w:val="000000"/>
          <w:sz w:val="28"/>
          <w:szCs w:val="28"/>
        </w:rPr>
        <w:t>✓</w:t>
      </w:r>
      <w:r w:rsidR="00746940" w:rsidRPr="00C0338D" w:rsidDel="00746940">
        <w:t xml:space="preserve"> </w:t>
      </w:r>
      <w:r w:rsidRPr="00C0338D">
        <w:t>), with footnotes providing additional information</w:t>
      </w:r>
      <w:r w:rsidRPr="00C0338D">
        <w:rPr>
          <w:rFonts w:ascii="ＭＳ 明朝" w:hAnsi="ＭＳ 明朝"/>
        </w:rPr>
        <w:t>.</w:t>
      </w:r>
      <w:bookmarkEnd w:id="426"/>
      <w:bookmarkEnd w:id="427"/>
    </w:p>
    <w:p w14:paraId="0000035E" w14:textId="77777777" w:rsidR="00A758FD" w:rsidRPr="00C0338D" w:rsidRDefault="00A758FD" w:rsidP="00AC1F76">
      <w:pPr>
        <w:spacing w:before="240" w:after="120" w:line="240" w:lineRule="auto"/>
      </w:pPr>
    </w:p>
    <w:tbl>
      <w:tblPr>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864"/>
        <w:gridCol w:w="1483"/>
        <w:gridCol w:w="1593"/>
        <w:gridCol w:w="1710"/>
        <w:gridCol w:w="1440"/>
      </w:tblGrid>
      <w:tr w:rsidR="003666A4" w14:paraId="28EE433B" w14:textId="77777777" w:rsidTr="00AC1F76">
        <w:trPr>
          <w:tblHeader/>
          <w:jc w:val="center"/>
        </w:trPr>
        <w:tc>
          <w:tcPr>
            <w:tcW w:w="2864" w:type="dxa"/>
            <w:tcBorders>
              <w:top w:val="nil"/>
              <w:left w:val="nil"/>
              <w:bottom w:val="single" w:sz="4" w:space="0" w:color="000000" w:themeColor="text1"/>
              <w:right w:val="single" w:sz="4" w:space="0" w:color="000000" w:themeColor="text1"/>
            </w:tcBorders>
            <w:shd w:val="clear" w:color="auto" w:fill="auto"/>
          </w:tcPr>
          <w:p w14:paraId="0000035F" w14:textId="77777777" w:rsidR="00A758FD" w:rsidRPr="00C0338D" w:rsidRDefault="00A758FD">
            <w:pPr>
              <w:spacing w:before="60" w:after="60" w:line="240" w:lineRule="auto"/>
              <w:rPr>
                <w:b/>
                <w:sz w:val="18"/>
              </w:rPr>
            </w:pPr>
          </w:p>
        </w:tc>
        <w:tc>
          <w:tcPr>
            <w:tcW w:w="622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360" w14:textId="77777777" w:rsidR="00A758FD" w:rsidRPr="00C0338D" w:rsidRDefault="00C81287">
            <w:pPr>
              <w:jc w:val="center"/>
              <w:rPr>
                <w:b/>
              </w:rPr>
            </w:pPr>
            <w:r w:rsidRPr="00C0338D">
              <w:rPr>
                <w:b/>
              </w:rPr>
              <w:t>Broad areas of management actions</w:t>
            </w:r>
          </w:p>
        </w:tc>
      </w:tr>
      <w:tr w:rsidR="003666A4" w14:paraId="5796037A" w14:textId="77777777" w:rsidTr="00AC1F76">
        <w:trPr>
          <w:tblHeade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364" w14:textId="77777777" w:rsidR="00A758FD" w:rsidRPr="00C0338D" w:rsidRDefault="00C81287">
            <w:pPr>
              <w:spacing w:before="60" w:after="60" w:line="240" w:lineRule="auto"/>
              <w:jc w:val="center"/>
              <w:rPr>
                <w:b/>
                <w:color w:val="FFFFFF"/>
                <w:sz w:val="18"/>
              </w:rPr>
            </w:pPr>
            <w:r w:rsidRPr="00C0338D">
              <w:rPr>
                <w:b/>
              </w:rPr>
              <w:t>Technology</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365" w14:textId="77777777" w:rsidR="00A758FD" w:rsidRPr="00C0338D" w:rsidRDefault="00C81287">
            <w:r w:rsidRPr="00C0338D">
              <w:t>Surveillance/ Detection</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366" w14:textId="77777777" w:rsidR="00A758FD" w:rsidRPr="00C0338D" w:rsidRDefault="00C81287">
            <w:r w:rsidRPr="00C0338D">
              <w:t>Eradication</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367" w14:textId="77777777" w:rsidR="00A758FD" w:rsidRPr="00C0338D" w:rsidRDefault="00C81287">
            <w:r w:rsidRPr="00C0338D">
              <w:t>Containment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368" w14:textId="77777777" w:rsidR="00A758FD" w:rsidRPr="00C0338D" w:rsidRDefault="00C81287">
            <w:r w:rsidRPr="00C0338D">
              <w:t>Widespread Control</w:t>
            </w:r>
          </w:p>
        </w:tc>
      </w:tr>
      <w:tr w:rsidR="003666A4" w14:paraId="31103F61"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69" w14:textId="1CCEBC98" w:rsidR="00A758FD" w:rsidRPr="00C0338D" w:rsidRDefault="00C81287">
            <w:pPr>
              <w:spacing w:before="60" w:after="60" w:line="240" w:lineRule="auto"/>
              <w:rPr>
                <w:b/>
                <w:color w:val="000000"/>
                <w:sz w:val="18"/>
              </w:rPr>
            </w:pPr>
            <w:r w:rsidRPr="00C0338D">
              <w:rPr>
                <w:b/>
                <w:color w:val="000000"/>
                <w:sz w:val="18"/>
              </w:rPr>
              <w:t>Decision</w:t>
            </w:r>
            <w:r w:rsidR="00A91F9F">
              <w:rPr>
                <w:b/>
                <w:color w:val="000000"/>
                <w:sz w:val="18"/>
              </w:rPr>
              <w:t>-</w:t>
            </w:r>
            <w:r w:rsidRPr="00C0338D">
              <w:rPr>
                <w:b/>
                <w:color w:val="000000"/>
                <w:sz w:val="18"/>
              </w:rPr>
              <w:t xml:space="preserve">support tools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36A" w14:textId="77777777" w:rsidR="00A758FD" w:rsidRPr="00C0338D" w:rsidRDefault="00A758FD">
            <w:pPr>
              <w:spacing w:before="60" w:after="60" w:line="240" w:lineRule="auto"/>
              <w:rPr>
                <w:color w:val="000000"/>
                <w:sz w:val="18"/>
              </w:rPr>
            </w:pP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36B" w14:textId="77777777" w:rsidR="00A758FD" w:rsidRPr="00C0338D" w:rsidRDefault="00A758FD">
            <w:pPr>
              <w:spacing w:before="60" w:after="60" w:line="240" w:lineRule="auto"/>
              <w:rPr>
                <w:color w:val="000000"/>
                <w:sz w:val="18"/>
              </w:rPr>
            </w:pP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36C" w14:textId="77777777" w:rsidR="00A758FD" w:rsidRPr="00C0338D" w:rsidRDefault="00A758FD">
            <w:pPr>
              <w:spacing w:before="60" w:after="60" w:line="240" w:lineRule="auto"/>
              <w:rPr>
                <w:color w:val="000000"/>
                <w:sz w:val="18"/>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36D" w14:textId="77777777" w:rsidR="00A758FD" w:rsidRPr="00C0338D" w:rsidRDefault="00A758FD">
            <w:pPr>
              <w:spacing w:before="60" w:after="60" w:line="240" w:lineRule="auto"/>
              <w:rPr>
                <w:color w:val="000000"/>
                <w:sz w:val="18"/>
              </w:rPr>
            </w:pPr>
          </w:p>
        </w:tc>
      </w:tr>
      <w:tr w:rsidR="00A758FD" w14:paraId="575C40D5"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6E" w14:textId="4225DDB3" w:rsidR="00A758FD" w:rsidRPr="00C0338D" w:rsidRDefault="00C81287">
            <w:pPr>
              <w:spacing w:before="60" w:after="60" w:line="240" w:lineRule="auto"/>
              <w:rPr>
                <w:color w:val="000000"/>
                <w:sz w:val="18"/>
              </w:rPr>
            </w:pPr>
            <w:r w:rsidRPr="00C0338D">
              <w:rPr>
                <w:color w:val="000000"/>
                <w:sz w:val="18"/>
              </w:rPr>
              <w:t>Qualitative and quantitative decision</w:t>
            </w:r>
            <w:r w:rsidR="00A91F9F">
              <w:rPr>
                <w:color w:val="000000"/>
                <w:sz w:val="18"/>
              </w:rPr>
              <w:t>-</w:t>
            </w:r>
            <w:r w:rsidRPr="00C0338D">
              <w:rPr>
                <w:color w:val="000000"/>
                <w:sz w:val="18"/>
              </w:rPr>
              <w:t xml:space="preserve">support tools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6F" w14:textId="585C6633"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0" w14:textId="6BF068D6"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1" w14:textId="540E5B7A"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2" w14:textId="45D8397A" w:rsidR="00A758FD" w:rsidRPr="00C0338D" w:rsidRDefault="00C81287">
            <w:pPr>
              <w:rPr>
                <w:sz w:val="18"/>
              </w:rPr>
            </w:pPr>
            <w:r>
              <w:rPr>
                <w:rFonts w:ascii="Noto Sans Symbols" w:eastAsia="Noto Sans Symbols" w:hAnsi="Noto Sans Symbols" w:cs="Noto Sans Symbols"/>
                <w:color w:val="000000"/>
                <w:sz w:val="28"/>
                <w:szCs w:val="28"/>
              </w:rPr>
              <w:t>✓</w:t>
            </w:r>
          </w:p>
        </w:tc>
      </w:tr>
      <w:tr w:rsidR="00A758FD" w14:paraId="093007FE"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73" w14:textId="41B6E4A2" w:rsidR="00A758FD" w:rsidRPr="00C0338D" w:rsidRDefault="7AEBB2E9">
            <w:pPr>
              <w:spacing w:before="60" w:after="60" w:line="240" w:lineRule="auto"/>
              <w:rPr>
                <w:color w:val="000000"/>
                <w:sz w:val="18"/>
              </w:rPr>
            </w:pPr>
            <w:r w:rsidRPr="5E4965FB">
              <w:rPr>
                <w:color w:val="000000" w:themeColor="text1"/>
                <w:sz w:val="18"/>
                <w:szCs w:val="18"/>
              </w:rPr>
              <w:t>R</w:t>
            </w:r>
            <w:r w:rsidR="00C81287" w:rsidRPr="5E4965FB">
              <w:rPr>
                <w:color w:val="000000" w:themeColor="text1"/>
                <w:sz w:val="18"/>
                <w:szCs w:val="18"/>
              </w:rPr>
              <w:t>elevant</w:t>
            </w:r>
            <w:r w:rsidR="00C81287" w:rsidRPr="00AC1F76">
              <w:rPr>
                <w:color w:val="000000" w:themeColor="text1"/>
                <w:sz w:val="18"/>
              </w:rPr>
              <w:t xml:space="preserve"> databases and analytics </w:t>
            </w:r>
            <w:r w:rsidR="5724F6E7" w:rsidRPr="5E4965FB">
              <w:rPr>
                <w:color w:val="000000" w:themeColor="text1"/>
                <w:sz w:val="18"/>
                <w:szCs w:val="18"/>
              </w:rPr>
              <w:t xml:space="preserve">for management of biological invasions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4" w14:textId="0C71E907"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5" w14:textId="09055E95"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6" w14:textId="2E0A249B"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7" w14:textId="6B5B6006" w:rsidR="00A758FD" w:rsidRPr="00C0338D" w:rsidRDefault="00C81287">
            <w:pPr>
              <w:rPr>
                <w:sz w:val="18"/>
              </w:rPr>
            </w:pPr>
            <w:r>
              <w:rPr>
                <w:rFonts w:ascii="Noto Sans Symbols" w:eastAsia="Noto Sans Symbols" w:hAnsi="Noto Sans Symbols" w:cs="Noto Sans Symbols"/>
                <w:color w:val="000000"/>
                <w:sz w:val="28"/>
                <w:szCs w:val="28"/>
              </w:rPr>
              <w:t>✓</w:t>
            </w:r>
          </w:p>
        </w:tc>
      </w:tr>
      <w:tr w:rsidR="003666A4" w14:paraId="12AF623C"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78" w14:textId="77777777" w:rsidR="00A758FD" w:rsidRPr="00C0338D" w:rsidRDefault="00C81287">
            <w:pPr>
              <w:spacing w:before="60" w:after="60" w:line="240" w:lineRule="auto"/>
              <w:rPr>
                <w:b/>
                <w:sz w:val="18"/>
              </w:rPr>
            </w:pPr>
            <w:r w:rsidRPr="00C0338D">
              <w:rPr>
                <w:b/>
                <w:color w:val="000000"/>
                <w:sz w:val="18"/>
              </w:rPr>
              <w:t xml:space="preserve">Surveillance, detection and diagnostics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79" w14:textId="77777777" w:rsidR="00A758FD" w:rsidRPr="00C0338D" w:rsidRDefault="00A758FD"/>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7A" w14:textId="77777777" w:rsidR="00A758FD" w:rsidRPr="00C0338D" w:rsidRDefault="00A758FD"/>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7B" w14:textId="77777777" w:rsidR="00A758FD" w:rsidRPr="00C0338D" w:rsidRDefault="00A758FD"/>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7C" w14:textId="77777777" w:rsidR="00A758FD" w:rsidRPr="00C0338D" w:rsidRDefault="00A758FD"/>
        </w:tc>
      </w:tr>
      <w:tr w:rsidR="00A758FD" w14:paraId="6D584BCB"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7D" w14:textId="77777777" w:rsidR="00A758FD" w:rsidRPr="00C0338D" w:rsidRDefault="00C81287">
            <w:pPr>
              <w:spacing w:before="60" w:after="60" w:line="240" w:lineRule="auto"/>
              <w:rPr>
                <w:color w:val="000000"/>
                <w:sz w:val="18"/>
              </w:rPr>
            </w:pPr>
            <w:r w:rsidRPr="00C0338D">
              <w:rPr>
                <w:color w:val="000000"/>
                <w:sz w:val="18"/>
              </w:rPr>
              <w:t xml:space="preserve">Digital data mining – crowdsourcing general surveillance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E" w14:textId="7B774C09" w:rsidR="00A758FD" w:rsidRPr="00C0338D" w:rsidRDefault="00C81287">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7F" w14:textId="2AAD0210" w:rsidR="00A758FD" w:rsidRPr="00C0338D" w:rsidRDefault="00C81287">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80" w14:textId="4A34DEFA" w:rsidR="00A758FD" w:rsidRPr="00C0338D" w:rsidRDefault="00C81287">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81" w14:textId="695AFB61" w:rsidR="00A758FD" w:rsidRPr="00C0338D" w:rsidRDefault="00C81287">
            <w:r>
              <w:rPr>
                <w:rFonts w:ascii="Noto Sans Symbols" w:eastAsia="Noto Sans Symbols" w:hAnsi="Noto Sans Symbols" w:cs="Noto Sans Symbols"/>
                <w:color w:val="000000"/>
                <w:sz w:val="28"/>
                <w:szCs w:val="28"/>
              </w:rPr>
              <w:t>✓</w:t>
            </w:r>
          </w:p>
        </w:tc>
      </w:tr>
      <w:tr w:rsidR="00A758FD" w14:paraId="6F60AD32"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2" w14:textId="77777777" w:rsidR="00A758FD" w:rsidRPr="00C0338D" w:rsidRDefault="00C81287">
            <w:pPr>
              <w:spacing w:before="60" w:after="60" w:line="240" w:lineRule="auto"/>
              <w:rPr>
                <w:color w:val="000000"/>
                <w:sz w:val="18"/>
              </w:rPr>
            </w:pPr>
            <w:r w:rsidRPr="00C0338D">
              <w:rPr>
                <w:color w:val="000000"/>
                <w:sz w:val="18"/>
              </w:rPr>
              <w:t xml:space="preserve">Sensor-networks and smart traps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83" w14:textId="626A9AEB"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4" w14:textId="2EC60BAE"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5" w14:textId="7EBAD1AC"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6" w14:textId="206DF511" w:rsidR="00A758FD" w:rsidRPr="00C0338D" w:rsidRDefault="00746940">
            <w:pPr>
              <w:rPr>
                <w:sz w:val="1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746940" w14:paraId="6AE13A24"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7" w14:textId="77777777" w:rsidR="00746940" w:rsidRPr="00C0338D" w:rsidRDefault="00746940" w:rsidP="00746940">
            <w:pPr>
              <w:spacing w:before="60" w:after="60" w:line="240" w:lineRule="auto"/>
              <w:rPr>
                <w:color w:val="000000"/>
                <w:sz w:val="18"/>
              </w:rPr>
            </w:pPr>
            <w:r w:rsidRPr="00C0338D">
              <w:rPr>
                <w:color w:val="000000"/>
                <w:sz w:val="18"/>
              </w:rPr>
              <w:t xml:space="preserve">Screening technologies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88" w14:textId="14BEE2B8" w:rsidR="00746940" w:rsidRPr="0079215C" w:rsidRDefault="00746940" w:rsidP="00746940">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9" w14:textId="355F5B54" w:rsidR="00746940" w:rsidRPr="0079215C" w:rsidRDefault="00746940" w:rsidP="00746940">
            <w:pPr>
              <w:rPr>
                <w:rFonts w:ascii="Noto Sans Symbols" w:hAnsi="Noto Sans Symbols" w:hint="eastAsia"/>
                <w:color w:val="000000"/>
                <w:sz w:val="28"/>
              </w:rPr>
            </w:pPr>
            <w:r w:rsidRPr="0002203D">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A" w14:textId="263F6A4D" w:rsidR="00746940" w:rsidRPr="0079215C" w:rsidRDefault="00746940" w:rsidP="00746940">
            <w:pPr>
              <w:rPr>
                <w:rFonts w:ascii="Noto Sans Symbols" w:hAnsi="Noto Sans Symbols" w:hint="eastAsia"/>
                <w:color w:val="000000"/>
                <w:sz w:val="28"/>
              </w:rPr>
            </w:pPr>
            <w:r w:rsidRPr="0002203D">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B" w14:textId="69DDDC12" w:rsidR="00746940" w:rsidRPr="0079215C" w:rsidRDefault="00746940" w:rsidP="00746940">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r w:rsidRPr="00C0338D" w:rsidDel="00746940">
              <w:t xml:space="preserve"> </w:t>
            </w:r>
          </w:p>
        </w:tc>
      </w:tr>
      <w:tr w:rsidR="00A758FD" w14:paraId="5D807555"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C" w14:textId="77777777" w:rsidR="00A758FD" w:rsidRPr="00C0338D" w:rsidRDefault="00C81287">
            <w:pPr>
              <w:spacing w:before="60" w:after="60" w:line="240" w:lineRule="auto"/>
              <w:rPr>
                <w:color w:val="000000"/>
                <w:sz w:val="18"/>
              </w:rPr>
            </w:pPr>
            <w:r w:rsidRPr="00C0338D">
              <w:rPr>
                <w:color w:val="000000"/>
                <w:sz w:val="18"/>
              </w:rPr>
              <w:t>Environmental DNA</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8D" w14:textId="7D49EFE2"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E" w14:textId="1884B042"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8F" w14:textId="356A90E5"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0" w14:textId="7F507F0B" w:rsidR="00A758FD" w:rsidRPr="00C0338D" w:rsidRDefault="00746940">
            <w:pPr>
              <w:rPr>
                <w:sz w:val="1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A758FD" w14:paraId="24221A44"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1" w14:textId="77777777" w:rsidR="00A758FD" w:rsidRPr="00C0338D" w:rsidRDefault="00C81287">
            <w:pPr>
              <w:spacing w:before="60" w:after="60" w:line="240" w:lineRule="auto"/>
              <w:rPr>
                <w:color w:val="000000"/>
                <w:sz w:val="18"/>
              </w:rPr>
            </w:pPr>
            <w:r w:rsidRPr="00C0338D">
              <w:rPr>
                <w:color w:val="000000"/>
                <w:sz w:val="18"/>
              </w:rPr>
              <w:t>Sentinel surveillance and monitoring</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2" w14:textId="06ADA92E"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3" w14:textId="4F3FFA6A"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4" w14:textId="647690E4"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5" w14:textId="4E26C766" w:rsidR="00A758FD" w:rsidRPr="00C0338D" w:rsidRDefault="00746940">
            <w:pPr>
              <w:rPr>
                <w:sz w:val="1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A758FD" w14:paraId="4B567B1E"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6" w14:textId="77777777" w:rsidR="00A758FD" w:rsidRPr="00C0338D" w:rsidRDefault="00C81287">
            <w:pPr>
              <w:spacing w:before="60" w:after="60" w:line="240" w:lineRule="auto"/>
              <w:rPr>
                <w:color w:val="000000"/>
                <w:sz w:val="18"/>
              </w:rPr>
            </w:pPr>
            <w:r w:rsidRPr="00C0338D">
              <w:rPr>
                <w:color w:val="000000"/>
                <w:sz w:val="18"/>
              </w:rPr>
              <w:t xml:space="preserve">Citizen surveillance – data input portals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7" w14:textId="54C31609"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8" w14:textId="5B31323B"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9" w14:textId="0960EEE8"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A" w14:textId="66B9FC37" w:rsidR="00A758FD" w:rsidRPr="00C0338D" w:rsidRDefault="00C81287">
            <w:pPr>
              <w:rPr>
                <w:sz w:val="18"/>
              </w:rPr>
            </w:pPr>
            <w:r>
              <w:rPr>
                <w:rFonts w:ascii="Noto Sans Symbols" w:eastAsia="Noto Sans Symbols" w:hAnsi="Noto Sans Symbols" w:cs="Noto Sans Symbols"/>
                <w:color w:val="000000"/>
                <w:sz w:val="28"/>
                <w:szCs w:val="28"/>
              </w:rPr>
              <w:t>✓</w:t>
            </w:r>
          </w:p>
        </w:tc>
      </w:tr>
      <w:tr w:rsidR="00A758FD" w14:paraId="4A2A1916"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9B" w14:textId="77777777" w:rsidR="00A758FD" w:rsidRPr="00C0338D" w:rsidRDefault="00C81287">
            <w:pPr>
              <w:spacing w:before="60" w:after="60" w:line="240" w:lineRule="auto"/>
              <w:rPr>
                <w:color w:val="000000"/>
                <w:sz w:val="18"/>
              </w:rPr>
            </w:pPr>
            <w:r w:rsidRPr="00C0338D">
              <w:rPr>
                <w:color w:val="000000"/>
                <w:sz w:val="18"/>
              </w:rPr>
              <w:t xml:space="preserve">Earth observation – remote sensing detection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C" w14:textId="080DC431"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D" w14:textId="132C4918"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E" w14:textId="24FCE786" w:rsidR="00A758FD" w:rsidRPr="00C0338D" w:rsidRDefault="00C81287">
            <w:pPr>
              <w:rPr>
                <w:sz w:val="18"/>
              </w:rPr>
            </w:pPr>
            <w:bookmarkStart w:id="433" w:name="_heading=h.3gnlt4p" w:colFirst="0" w:colLast="0"/>
            <w:bookmarkEnd w:id="433"/>
            <w:r>
              <w:rPr>
                <w:rFonts w:ascii="Noto Sans Symbols" w:eastAsia="Noto Sans Symbols" w:hAnsi="Noto Sans Symbols" w:cs="Noto Sans Symbols"/>
                <w:color w:val="000000"/>
                <w:sz w:val="28"/>
                <w:szCs w:val="28"/>
              </w:rPr>
              <w:t>✓</w:t>
            </w:r>
            <w:bookmarkStart w:id="434" w:name="_Ref112933569"/>
            <w:r w:rsidRPr="00A4003D">
              <w:rPr>
                <w:rStyle w:val="FootnoteReference"/>
              </w:rPr>
              <w:footnoteReference w:id="7"/>
            </w:r>
            <w:bookmarkEnd w:id="434"/>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9F" w14:textId="730BFA8C" w:rsidR="00A758FD" w:rsidRPr="00C0338D" w:rsidRDefault="00C81287">
            <w:pPr>
              <w:rPr>
                <w:sz w:val="18"/>
                <w:vertAlign w:val="superscript"/>
              </w:rPr>
            </w:pPr>
            <w:r>
              <w:rPr>
                <w:rFonts w:ascii="Noto Sans Symbols" w:eastAsia="Noto Sans Symbols" w:hAnsi="Noto Sans Symbols" w:cs="Noto Sans Symbols"/>
                <w:color w:val="000000"/>
                <w:sz w:val="28"/>
                <w:szCs w:val="28"/>
              </w:rPr>
              <w:t>✓</w:t>
            </w:r>
            <w:r>
              <w:rPr>
                <w:vertAlign w:val="superscript"/>
              </w:rPr>
              <w:t>6</w:t>
            </w:r>
          </w:p>
        </w:tc>
      </w:tr>
      <w:tr w:rsidR="00A758FD" w14:paraId="4C114E76"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0" w14:textId="77777777" w:rsidR="00A758FD" w:rsidRPr="00C0338D" w:rsidRDefault="00C81287">
            <w:pPr>
              <w:spacing w:before="60" w:after="60" w:line="240" w:lineRule="auto"/>
              <w:rPr>
                <w:sz w:val="18"/>
              </w:rPr>
            </w:pPr>
            <w:r w:rsidRPr="00C0338D">
              <w:rPr>
                <w:sz w:val="18"/>
              </w:rPr>
              <w:t>Automated image-based diagnostics and machine learning</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A1" w14:textId="2D97BE01"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A2" w14:textId="23C915DC"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A3" w14:textId="7458528A"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A4" w14:textId="7B636C1E"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4EFBED2B"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5" w14:textId="77777777" w:rsidR="00A758FD" w:rsidRPr="00C0338D" w:rsidRDefault="00C81287">
            <w:pPr>
              <w:spacing w:before="60" w:after="60" w:line="240" w:lineRule="auto"/>
              <w:rPr>
                <w:color w:val="000000"/>
                <w:sz w:val="18"/>
              </w:rPr>
            </w:pPr>
            <w:r w:rsidRPr="00C0338D">
              <w:rPr>
                <w:color w:val="000000"/>
                <w:sz w:val="18"/>
              </w:rPr>
              <w:t>Volatile detection technologies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A6" w14:textId="3037C1FF"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7" w14:textId="661A1A4B"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8" w14:textId="40BC7E61" w:rsidR="00A758FD" w:rsidRPr="00C0338D" w:rsidRDefault="00746940">
            <w:pPr>
              <w:rPr>
                <w:sz w:val="1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9" w14:textId="1A491F6A" w:rsidR="00A758FD" w:rsidRPr="00C0338D" w:rsidRDefault="00746940">
            <w:pPr>
              <w:rPr>
                <w:sz w:val="1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A758FD" w14:paraId="2222DEE3"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A" w14:textId="77777777" w:rsidR="00A758FD" w:rsidRPr="00C0338D" w:rsidRDefault="00C81287">
            <w:pPr>
              <w:spacing w:before="60" w:after="60" w:line="240" w:lineRule="auto"/>
              <w:rPr>
                <w:color w:val="000000"/>
                <w:sz w:val="18"/>
              </w:rPr>
            </w:pPr>
            <w:r w:rsidRPr="00C0338D">
              <w:rPr>
                <w:color w:val="000000"/>
                <w:sz w:val="18"/>
              </w:rPr>
              <w:t>Pheromone and semiochemical lures</w:t>
            </w:r>
            <w:r w:rsidRPr="00A4003D">
              <w:rPr>
                <w:rStyle w:val="FootnoteReference"/>
              </w:rPr>
              <w:footnoteReference w:id="8"/>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AB" w14:textId="2F753B13"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C" w14:textId="3F6826D6"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D" w14:textId="19A6BEE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E" w14:textId="0246E6A0" w:rsidR="00A758FD" w:rsidRPr="0079215C" w:rsidRDefault="00746940">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A758FD" w14:paraId="2ECD7445"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AF" w14:textId="77777777" w:rsidR="00A758FD" w:rsidRPr="00C0338D" w:rsidRDefault="00C81287">
            <w:pPr>
              <w:spacing w:before="60" w:after="60" w:line="240" w:lineRule="auto"/>
              <w:rPr>
                <w:color w:val="000000"/>
                <w:sz w:val="18"/>
              </w:rPr>
            </w:pPr>
            <w:r w:rsidRPr="00C0338D">
              <w:rPr>
                <w:color w:val="000000"/>
                <w:sz w:val="18"/>
              </w:rPr>
              <w:t>Acoustic/ultrasound sensors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0" w14:textId="4D40585E" w:rsidR="00A758FD" w:rsidRPr="00C0338D" w:rsidRDefault="00C81287">
            <w:pPr>
              <w:spacing w:before="60" w:after="60" w:line="240" w:lineRule="auto"/>
              <w:rPr>
                <w:color w:val="000000"/>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1" w14:textId="388AE391" w:rsidR="00A758FD" w:rsidRPr="00C0338D" w:rsidRDefault="00C81287">
            <w:pPr>
              <w:spacing w:before="60" w:after="60" w:line="240" w:lineRule="auto"/>
              <w:rPr>
                <w:color w:val="000000"/>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2" w14:textId="43490E36" w:rsidR="00A758FD" w:rsidRPr="00C0338D" w:rsidRDefault="00C81287">
            <w:pPr>
              <w:spacing w:before="60" w:after="60" w:line="240" w:lineRule="auto"/>
              <w:rPr>
                <w:color w:val="000000"/>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B3" w14:textId="750A35AE" w:rsidR="00A758FD" w:rsidRPr="00C0338D" w:rsidRDefault="00746940">
            <w:pPr>
              <w:spacing w:before="60" w:after="60" w:line="240" w:lineRule="auto"/>
              <w:rPr>
                <w:color w:val="000000"/>
                <w:sz w:val="18"/>
              </w:rPr>
            </w:pPr>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A758FD" w14:paraId="1AF251B0"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B4" w14:textId="77777777" w:rsidR="00A758FD" w:rsidRPr="00C0338D" w:rsidRDefault="00C81287">
            <w:pPr>
              <w:spacing w:before="60" w:after="60" w:line="240" w:lineRule="auto"/>
              <w:rPr>
                <w:color w:val="000000"/>
                <w:sz w:val="18"/>
              </w:rPr>
            </w:pPr>
            <w:r w:rsidRPr="00C0338D">
              <w:rPr>
                <w:color w:val="000000"/>
                <w:sz w:val="18"/>
              </w:rPr>
              <w:t>Point of Care / Lab on a chip, rapid test diagnostics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5" w14:textId="4511EF94"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6" w14:textId="55DD7691"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7" w14:textId="2C1A8B8B"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8" w14:textId="64D6191E" w:rsidR="00A758FD" w:rsidRPr="00C0338D" w:rsidRDefault="00C81287">
            <w:pPr>
              <w:rPr>
                <w:sz w:val="18"/>
              </w:rPr>
            </w:pPr>
            <w:r>
              <w:rPr>
                <w:rFonts w:ascii="Noto Sans Symbols" w:eastAsia="Noto Sans Symbols" w:hAnsi="Noto Sans Symbols" w:cs="Noto Sans Symbols"/>
                <w:color w:val="000000"/>
                <w:sz w:val="28"/>
                <w:szCs w:val="28"/>
              </w:rPr>
              <w:t>✓</w:t>
            </w:r>
          </w:p>
        </w:tc>
      </w:tr>
      <w:tr w:rsidR="00A758FD" w14:paraId="5D347F83"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B9" w14:textId="77777777" w:rsidR="00A758FD" w:rsidRPr="00C0338D" w:rsidRDefault="00C81287">
            <w:pPr>
              <w:spacing w:before="60" w:after="60" w:line="240" w:lineRule="auto"/>
              <w:rPr>
                <w:sz w:val="18"/>
              </w:rPr>
            </w:pPr>
            <w:r w:rsidRPr="00C0338D">
              <w:rPr>
                <w:sz w:val="18"/>
              </w:rPr>
              <w:t xml:space="preserve">Track and trace genomics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A" w14:textId="048E7F93" w:rsidR="00A758FD" w:rsidRPr="00C0338D" w:rsidRDefault="00C81287">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B" w14:textId="69C0DE8D" w:rsidR="00A758FD" w:rsidRPr="00C0338D" w:rsidRDefault="00C81287">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C" w14:textId="2726B13F" w:rsidR="00A758FD" w:rsidRPr="00C0338D" w:rsidRDefault="00C81287">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BD" w14:textId="23BA3ED7" w:rsidR="00A758FD" w:rsidRPr="00C0338D" w:rsidRDefault="00746940">
            <w:r>
              <w:rPr>
                <w:rFonts w:ascii="Noto Sans Symbols" w:eastAsia="Noto Sans Symbols" w:hAnsi="Noto Sans Symbols" w:cs="Noto Sans Symbols"/>
                <w:color w:val="000000"/>
                <w:sz w:val="28"/>
                <w:szCs w:val="28"/>
              </w:rPr>
              <w:t>🗴</w:t>
            </w:r>
            <w:r w:rsidRPr="00C0338D" w:rsidDel="00746940">
              <w:t xml:space="preserve"> </w:t>
            </w:r>
            <w:r w:rsidR="00C81287">
              <w:rPr>
                <w:rFonts w:ascii="Noto Sans Symbols" w:eastAsia="Noto Sans Symbols" w:hAnsi="Noto Sans Symbols" w:cs="Noto Sans Symbols"/>
                <w:color w:val="000000"/>
                <w:sz w:val="28"/>
                <w:szCs w:val="28"/>
              </w:rPr>
              <w:t>✓</w:t>
            </w:r>
          </w:p>
        </w:tc>
      </w:tr>
      <w:tr w:rsidR="003666A4" w14:paraId="420CB5BB"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BE" w14:textId="77777777" w:rsidR="00A758FD" w:rsidRPr="00C0338D" w:rsidRDefault="00C81287">
            <w:pPr>
              <w:spacing w:before="60" w:after="60" w:line="240" w:lineRule="auto"/>
              <w:rPr>
                <w:b/>
                <w:sz w:val="18"/>
              </w:rPr>
            </w:pPr>
            <w:r w:rsidRPr="00C0338D">
              <w:rPr>
                <w:b/>
                <w:sz w:val="18"/>
              </w:rPr>
              <w:t>Intervention technologies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BF" w14:textId="77777777" w:rsidR="00A758FD" w:rsidRPr="00C0338D" w:rsidRDefault="00A758FD"/>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C0" w14:textId="77777777" w:rsidR="00A758FD" w:rsidRPr="00C0338D" w:rsidRDefault="00A758FD"/>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C1" w14:textId="77777777" w:rsidR="00A758FD" w:rsidRPr="00C0338D" w:rsidRDefault="00A758FD"/>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3C2" w14:textId="77777777" w:rsidR="00A758FD" w:rsidRPr="00C0338D" w:rsidRDefault="00A758FD"/>
        </w:tc>
      </w:tr>
      <w:tr w:rsidR="00746940" w14:paraId="5450CB3D"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C3" w14:textId="77777777" w:rsidR="00746940" w:rsidRPr="00C0338D" w:rsidRDefault="00746940" w:rsidP="00746940">
            <w:pPr>
              <w:spacing w:before="60" w:after="60" w:line="240" w:lineRule="auto"/>
              <w:rPr>
                <w:color w:val="000000"/>
                <w:sz w:val="18"/>
              </w:rPr>
            </w:pPr>
            <w:r w:rsidRPr="00C0338D">
              <w:rPr>
                <w:color w:val="000000"/>
                <w:sz w:val="18"/>
              </w:rPr>
              <w:lastRenderedPageBreak/>
              <w:t xml:space="preserve">Mechanical &amp; manual approaches </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C4" w14:textId="3B09746E" w:rsidR="00746940" w:rsidRPr="00C0338D" w:rsidRDefault="00746940" w:rsidP="00746940">
            <w:pPr>
              <w:spacing w:before="60" w:after="60" w:line="240" w:lineRule="auto"/>
              <w:rPr>
                <w:color w:val="FF0000"/>
                <w:sz w:val="18"/>
              </w:rPr>
            </w:pPr>
            <w:r w:rsidRPr="00130BB5">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5" w14:textId="50AE3AAF" w:rsidR="00746940" w:rsidRPr="00C0338D" w:rsidRDefault="00746940" w:rsidP="00746940">
            <w:pPr>
              <w:spacing w:before="60" w:after="60" w:line="240" w:lineRule="auto"/>
              <w:rPr>
                <w:rFonts w:ascii="Calibri" w:hAnsi="Calibri"/>
                <w:color w:val="FF0000"/>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6" w14:textId="470E3D04" w:rsidR="00746940" w:rsidRPr="00C0338D" w:rsidRDefault="00746940" w:rsidP="00746940">
            <w:pPr>
              <w:spacing w:before="60" w:after="60" w:line="240" w:lineRule="auto"/>
              <w:rPr>
                <w:color w:val="FF0000"/>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7" w14:textId="74C46DE2" w:rsidR="00746940" w:rsidRPr="00C0338D" w:rsidRDefault="00746940" w:rsidP="00746940">
            <w:pPr>
              <w:spacing w:before="60" w:after="60" w:line="240" w:lineRule="auto"/>
              <w:rPr>
                <w:color w:val="FF0000"/>
                <w:sz w:val="18"/>
              </w:rPr>
            </w:pPr>
            <w:r>
              <w:rPr>
                <w:rFonts w:ascii="Noto Sans Symbols" w:eastAsia="Noto Sans Symbols" w:hAnsi="Noto Sans Symbols" w:cs="Noto Sans Symbols"/>
                <w:color w:val="000000"/>
                <w:sz w:val="28"/>
                <w:szCs w:val="28"/>
              </w:rPr>
              <w:t>🗴</w:t>
            </w:r>
            <w:r w:rsidRPr="00C0338D" w:rsidDel="00746940">
              <w:t xml:space="preserve"> </w:t>
            </w:r>
            <w:r>
              <w:rPr>
                <w:rFonts w:ascii="Noto Sans Symbols" w:eastAsia="Noto Sans Symbols" w:hAnsi="Noto Sans Symbols" w:cs="Noto Sans Symbols"/>
                <w:color w:val="000000"/>
                <w:sz w:val="28"/>
                <w:szCs w:val="28"/>
              </w:rPr>
              <w:t>✓</w:t>
            </w:r>
            <w:r w:rsidRPr="00A4003D">
              <w:rPr>
                <w:rStyle w:val="FootnoteReference"/>
              </w:rPr>
              <w:footnoteReference w:id="9"/>
            </w:r>
          </w:p>
        </w:tc>
      </w:tr>
      <w:tr w:rsidR="00746940" w14:paraId="3A91B2CF"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C8" w14:textId="77777777" w:rsidR="00746940" w:rsidRPr="00C0338D" w:rsidRDefault="00746940" w:rsidP="00746940">
            <w:pPr>
              <w:spacing w:before="60" w:after="60" w:line="240" w:lineRule="auto"/>
              <w:rPr>
                <w:sz w:val="18"/>
              </w:rPr>
            </w:pPr>
            <w:r w:rsidRPr="00C0338D">
              <w:rPr>
                <w:sz w:val="18"/>
              </w:rPr>
              <w:t>Pesticide management of invasive alien animals and plants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C9" w14:textId="2EB873B5" w:rsidR="00746940" w:rsidRPr="00C0338D" w:rsidRDefault="00746940" w:rsidP="00746940">
            <w:r w:rsidRPr="00130BB5">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A" w14:textId="3E497AA9" w:rsidR="00746940" w:rsidRPr="00C0338D" w:rsidRDefault="00746940" w:rsidP="00746940">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B" w14:textId="23F3768B" w:rsidR="00746940" w:rsidRPr="00C0338D" w:rsidRDefault="00746940" w:rsidP="00746940">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C" w14:textId="753BC34A" w:rsidR="00746940" w:rsidRPr="00C0338D" w:rsidRDefault="00746940" w:rsidP="00746940">
            <w:r>
              <w:rPr>
                <w:rFonts w:ascii="Noto Sans Symbols" w:eastAsia="Noto Sans Symbols" w:hAnsi="Noto Sans Symbols" w:cs="Noto Sans Symbols"/>
                <w:color w:val="000000"/>
                <w:sz w:val="28"/>
                <w:szCs w:val="28"/>
              </w:rPr>
              <w:t>🗴</w:t>
            </w:r>
            <w:r w:rsidRPr="00C0338D" w:rsidDel="00746940">
              <w:t xml:space="preserve"> </w:t>
            </w:r>
            <w:r>
              <w:rPr>
                <w:rFonts w:ascii="Noto Sans Symbols" w:eastAsia="Noto Sans Symbols" w:hAnsi="Noto Sans Symbols" w:cs="Noto Sans Symbols"/>
                <w:color w:val="000000"/>
                <w:sz w:val="28"/>
                <w:szCs w:val="28"/>
              </w:rPr>
              <w:t>✓</w:t>
            </w:r>
          </w:p>
        </w:tc>
      </w:tr>
      <w:tr w:rsidR="00A758FD" w14:paraId="02858C44"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CD" w14:textId="77777777" w:rsidR="00A758FD" w:rsidRPr="00C0338D" w:rsidRDefault="00C81287">
            <w:pPr>
              <w:spacing w:before="60" w:after="60" w:line="240" w:lineRule="auto"/>
              <w:rPr>
                <w:color w:val="000000"/>
                <w:sz w:val="18"/>
              </w:rPr>
            </w:pPr>
            <w:r w:rsidRPr="00C0338D">
              <w:rPr>
                <w:color w:val="000000"/>
                <w:sz w:val="18"/>
              </w:rPr>
              <w:t>Robotic technology for targeted management measures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E" w14:textId="76CEC3AA"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CF" w14:textId="75354040"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0" w14:textId="16EEBBE2"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1" w14:textId="5FAA7E7A" w:rsidR="00A758FD" w:rsidRPr="00C0338D" w:rsidRDefault="00C81287">
            <w:pPr>
              <w:rPr>
                <w:sz w:val="18"/>
              </w:rPr>
            </w:pPr>
            <w:r>
              <w:rPr>
                <w:rFonts w:ascii="Noto Sans Symbols" w:eastAsia="Noto Sans Symbols" w:hAnsi="Noto Sans Symbols" w:cs="Noto Sans Symbols"/>
                <w:color w:val="000000"/>
                <w:sz w:val="28"/>
                <w:szCs w:val="28"/>
              </w:rPr>
              <w:t>✓</w:t>
            </w:r>
          </w:p>
        </w:tc>
      </w:tr>
      <w:tr w:rsidR="00A758FD" w14:paraId="5862B0BE"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D2" w14:textId="77777777" w:rsidR="00A758FD" w:rsidRPr="00C0338D" w:rsidRDefault="00C81287">
            <w:pPr>
              <w:spacing w:before="60" w:after="60" w:line="240" w:lineRule="auto"/>
              <w:rPr>
                <w:color w:val="000000"/>
                <w:sz w:val="18"/>
              </w:rPr>
            </w:pPr>
            <w:r w:rsidRPr="00C0338D">
              <w:rPr>
                <w:color w:val="000000"/>
                <w:sz w:val="18"/>
              </w:rPr>
              <w:t>Lethal control of invasive alien vertebrate pests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3" w14:textId="2AC3030F"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4" w14:textId="16593024"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5" w14:textId="769898CF"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6" w14:textId="572B4531"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5D235106"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D7" w14:textId="77777777" w:rsidR="00A758FD" w:rsidRPr="00C0338D" w:rsidRDefault="00C81287">
            <w:pPr>
              <w:spacing w:before="60" w:after="60" w:line="240" w:lineRule="auto"/>
              <w:rPr>
                <w:color w:val="000000"/>
                <w:sz w:val="18"/>
              </w:rPr>
            </w:pPr>
            <w:r w:rsidRPr="00C0338D">
              <w:rPr>
                <w:color w:val="000000"/>
                <w:sz w:val="18"/>
              </w:rPr>
              <w:t>Fertility control for invasive alien vertebrates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8" w14:textId="320A5CB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9" w14:textId="5293B23E"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A" w14:textId="0729E598"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B" w14:textId="6D59AF5D"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2EE84885"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DC" w14:textId="77777777" w:rsidR="00A758FD" w:rsidRPr="00C0338D" w:rsidRDefault="00C81287">
            <w:pPr>
              <w:spacing w:before="60" w:after="60" w:line="240" w:lineRule="auto"/>
              <w:rPr>
                <w:color w:val="000000"/>
                <w:sz w:val="18"/>
              </w:rPr>
            </w:pPr>
            <w:r w:rsidRPr="00C0338D">
              <w:rPr>
                <w:color w:val="000000"/>
                <w:sz w:val="18"/>
              </w:rPr>
              <w:t xml:space="preserve">Classical biological control </w:t>
            </w:r>
            <w:r w:rsidRPr="00C0338D">
              <w:rPr>
                <w:sz w:val="18"/>
              </w:rPr>
              <w:t>of invasive plants &amp; invertebrates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DD" w14:textId="24A97700" w:rsidR="00A758FD" w:rsidRPr="00C0338D" w:rsidRDefault="00C81287">
            <w:pPr>
              <w:rPr>
                <w:sz w:val="1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DE" w14:textId="14470A5A" w:rsidR="00A758FD" w:rsidRPr="00C0338D" w:rsidRDefault="00C81287">
            <w:pPr>
              <w:rPr>
                <w:sz w:val="1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DF" w14:textId="0464DFE3" w:rsidR="00A758FD" w:rsidRPr="00C0338D" w:rsidRDefault="00C81287">
            <w:pPr>
              <w:rPr>
                <w:sz w:val="1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0" w14:textId="2CEDBBFE" w:rsidR="00A758FD" w:rsidRPr="00C0338D" w:rsidRDefault="00C81287">
            <w:pPr>
              <w:rPr>
                <w:sz w:val="18"/>
              </w:rPr>
            </w:pPr>
            <w:r>
              <w:rPr>
                <w:rFonts w:ascii="Noto Sans Symbols" w:eastAsia="Noto Sans Symbols" w:hAnsi="Noto Sans Symbols" w:cs="Noto Sans Symbols"/>
                <w:color w:val="000000"/>
                <w:sz w:val="28"/>
                <w:szCs w:val="28"/>
              </w:rPr>
              <w:t>✓</w:t>
            </w:r>
          </w:p>
        </w:tc>
      </w:tr>
      <w:tr w:rsidR="00A758FD" w14:paraId="2032DB07"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E1" w14:textId="77777777" w:rsidR="00A758FD" w:rsidRPr="00C0338D" w:rsidRDefault="00C81287">
            <w:pPr>
              <w:spacing w:before="60" w:after="60" w:line="240" w:lineRule="auto"/>
              <w:rPr>
                <w:color w:val="000000"/>
                <w:sz w:val="18"/>
              </w:rPr>
            </w:pPr>
            <w:r w:rsidRPr="00C0338D">
              <w:rPr>
                <w:color w:val="000000"/>
                <w:sz w:val="18"/>
              </w:rPr>
              <w:t>Sterile insect technique etc.</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2" w14:textId="3751BF6A"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3" w14:textId="0F9F8AC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4" w14:textId="769BA511"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5" w14:textId="63FBD3A2"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5A0964AC"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E6" w14:textId="77777777" w:rsidR="00A758FD" w:rsidRPr="00C0338D" w:rsidRDefault="00C81287">
            <w:pPr>
              <w:spacing w:before="60" w:after="60" w:line="240" w:lineRule="auto"/>
              <w:rPr>
                <w:color w:val="000000"/>
                <w:sz w:val="18"/>
              </w:rPr>
            </w:pPr>
            <w:r w:rsidRPr="00C0338D">
              <w:rPr>
                <w:color w:val="000000"/>
                <w:sz w:val="18"/>
              </w:rPr>
              <w:t>Viral biological control of invasive alien vertebrates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7" w14:textId="4EF2E2E4"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8" w14:textId="56F7140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9" w14:textId="5FC82A28"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A" w14:textId="1D0623AA"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3567FF1D"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EB" w14:textId="77777777" w:rsidR="00A758FD" w:rsidRPr="00C0338D" w:rsidRDefault="00C81287">
            <w:pPr>
              <w:spacing w:before="60" w:after="60" w:line="240" w:lineRule="auto"/>
              <w:rPr>
                <w:color w:val="000000"/>
                <w:sz w:val="18"/>
              </w:rPr>
            </w:pPr>
            <w:r w:rsidRPr="00C0338D">
              <w:rPr>
                <w:color w:val="000000"/>
                <w:sz w:val="18"/>
              </w:rPr>
              <w:t>RNA Interference</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C" w14:textId="0F92F02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D" w14:textId="1313AEE9"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E" w14:textId="7529D099"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EF" w14:textId="60346103"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71B2D333"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F0" w14:textId="77777777" w:rsidR="00A758FD" w:rsidRPr="00C0338D" w:rsidRDefault="00C81287">
            <w:pPr>
              <w:spacing w:before="60" w:after="60" w:line="240" w:lineRule="auto"/>
              <w:rPr>
                <w:color w:val="000000"/>
                <w:sz w:val="18"/>
              </w:rPr>
            </w:pPr>
            <w:r w:rsidRPr="00C0338D">
              <w:rPr>
                <w:color w:val="000000"/>
                <w:sz w:val="18"/>
              </w:rPr>
              <w:t>Genetic-control approaches (including gene-drive)</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1" w14:textId="547A8B6D"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2" w14:textId="7C43BE8B"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3" w14:textId="4DF1D48E"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4" w14:textId="51742161"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745D394B"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F5" w14:textId="77777777" w:rsidR="00A758FD" w:rsidRPr="00C0338D" w:rsidRDefault="00C81287">
            <w:pPr>
              <w:spacing w:before="60" w:after="60" w:line="240" w:lineRule="auto"/>
              <w:rPr>
                <w:color w:val="000000"/>
                <w:sz w:val="18"/>
              </w:rPr>
            </w:pPr>
            <w:r w:rsidRPr="00C0338D">
              <w:rPr>
                <w:color w:val="000000"/>
                <w:sz w:val="18"/>
              </w:rPr>
              <w:t>Adaptive integrated management strategies</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F6" w14:textId="4E1E4CD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7" w14:textId="7B76B5CF"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8" w14:textId="1429C102"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9" w14:textId="20DE387A"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376BF67F" w14:textId="77777777" w:rsidTr="00AC1F76">
        <w:trPr>
          <w:jc w:val="center"/>
        </w:trPr>
        <w:tc>
          <w:tcPr>
            <w:tcW w:w="28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FA" w14:textId="77777777" w:rsidR="00A758FD" w:rsidRPr="00C0338D" w:rsidRDefault="00C81287">
            <w:pPr>
              <w:spacing w:before="60" w:after="60" w:line="240" w:lineRule="auto"/>
              <w:rPr>
                <w:color w:val="000000"/>
                <w:sz w:val="18"/>
              </w:rPr>
            </w:pPr>
            <w:r w:rsidRPr="00C0338D">
              <w:rPr>
                <w:color w:val="000000"/>
                <w:sz w:val="18"/>
              </w:rPr>
              <w:t>Ecosystem restoration</w:t>
            </w:r>
          </w:p>
        </w:tc>
        <w:tc>
          <w:tcPr>
            <w:tcW w:w="14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FB" w14:textId="6890F777"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3FC" w14:textId="1C7289FE"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D" w14:textId="51A985BB"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3FE" w14:textId="40D4752E" w:rsidR="00A758FD" w:rsidRPr="0079215C" w:rsidRDefault="00C81287">
            <w:pP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bl>
    <w:p w14:paraId="000003FF" w14:textId="77777777" w:rsidR="00A758FD" w:rsidRPr="00C0338D" w:rsidRDefault="00A758FD">
      <w:pPr>
        <w:sectPr w:rsidR="00A758FD" w:rsidRPr="00C0338D" w:rsidSect="003666A4">
          <w:pgSz w:w="11906" w:h="16838" w:code="9"/>
          <w:pgMar w:top="1008" w:right="1138" w:bottom="1138" w:left="1138" w:header="216" w:footer="720" w:gutter="0"/>
          <w:cols w:space="708"/>
          <w:docGrid w:linePitch="360"/>
        </w:sectPr>
      </w:pPr>
    </w:p>
    <w:p w14:paraId="00000400" w14:textId="10BFD43D" w:rsidR="00A758FD" w:rsidRPr="0079215C" w:rsidRDefault="00C81287" w:rsidP="0079215C">
      <w:pPr>
        <w:keepNext/>
        <w:pBdr>
          <w:top w:val="nil"/>
          <w:left w:val="nil"/>
          <w:bottom w:val="nil"/>
          <w:right w:val="nil"/>
          <w:between w:val="nil"/>
        </w:pBdr>
        <w:spacing w:before="240" w:after="120" w:line="240" w:lineRule="auto"/>
        <w:rPr>
          <w:b/>
          <w:color w:val="000000"/>
        </w:rPr>
      </w:pPr>
      <w:bookmarkStart w:id="435" w:name="_heading=h.1vsw3ci" w:colFirst="0" w:colLast="0"/>
      <w:bookmarkStart w:id="436" w:name="_Ref104971680"/>
      <w:bookmarkStart w:id="437" w:name="_Toc87553789"/>
      <w:bookmarkStart w:id="438" w:name="_Toc87623088"/>
      <w:bookmarkStart w:id="439" w:name="_Toc147489084"/>
      <w:bookmarkStart w:id="440" w:name="_Ref528244103"/>
      <w:bookmarkStart w:id="441" w:name="_Toc531848087"/>
      <w:bookmarkEnd w:id="435"/>
      <w:r w:rsidRPr="0079215C">
        <w:rPr>
          <w:b/>
          <w:color w:val="000000"/>
        </w:rPr>
        <w:lastRenderedPageBreak/>
        <w:t>Table 5</w:t>
      </w:r>
      <w:r w:rsidR="00573C78" w:rsidRPr="0079215C">
        <w:rPr>
          <w:b/>
        </w:rPr>
        <w:t>.</w:t>
      </w:r>
      <w:r w:rsidR="00C30259" w:rsidRPr="0079215C">
        <w:rPr>
          <w:b/>
        </w:rPr>
        <w:fldChar w:fldCharType="begin"/>
      </w:r>
      <w:r w:rsidR="00C30259" w:rsidRPr="0079215C">
        <w:rPr>
          <w:b/>
        </w:rPr>
        <w:instrText xml:space="preserve"> SEQ Table_5. \* ARABIC </w:instrText>
      </w:r>
      <w:r w:rsidR="00C30259" w:rsidRPr="0079215C">
        <w:rPr>
          <w:b/>
        </w:rPr>
        <w:fldChar w:fldCharType="separate"/>
      </w:r>
      <w:r w:rsidR="00DC77F8" w:rsidRPr="0079215C">
        <w:rPr>
          <w:b/>
          <w:noProof/>
        </w:rPr>
        <w:t>7</w:t>
      </w:r>
      <w:r w:rsidR="00C30259" w:rsidRPr="0079215C">
        <w:rPr>
          <w:b/>
        </w:rPr>
        <w:fldChar w:fldCharType="end"/>
      </w:r>
      <w:bookmarkEnd w:id="436"/>
      <w:bookmarkEnd w:id="437"/>
      <w:bookmarkEnd w:id="438"/>
      <w:r w:rsidR="006C18D2" w:rsidRPr="0079215C">
        <w:rPr>
          <w:b/>
        </w:rPr>
        <w:t>.</w:t>
      </w:r>
      <w:r w:rsidRPr="00AC1F76">
        <w:rPr>
          <w:b/>
          <w:color w:val="000000"/>
        </w:rPr>
        <w:t xml:space="preserve"> </w:t>
      </w:r>
      <w:r w:rsidRPr="0079215C">
        <w:rPr>
          <w:color w:val="000000"/>
        </w:rPr>
        <w:t>Comparative guide to the applicability of decision</w:t>
      </w:r>
      <w:r w:rsidR="00A91F9F">
        <w:rPr>
          <w:color w:val="000000"/>
        </w:rPr>
        <w:t>-</w:t>
      </w:r>
      <w:r w:rsidRPr="0079215C">
        <w:rPr>
          <w:color w:val="000000"/>
        </w:rPr>
        <w:t xml:space="preserve">support tools and technologies discussed in </w:t>
      </w:r>
      <w:r w:rsidRPr="0079215C">
        <w:rPr>
          <w:b/>
          <w:color w:val="000000"/>
        </w:rPr>
        <w:t>sections 5.2</w:t>
      </w:r>
      <w:r w:rsidRPr="0079215C">
        <w:rPr>
          <w:color w:val="000000"/>
        </w:rPr>
        <w:t xml:space="preserve"> and</w:t>
      </w:r>
      <w:r w:rsidRPr="0079215C">
        <w:rPr>
          <w:b/>
          <w:color w:val="000000"/>
        </w:rPr>
        <w:t xml:space="preserve"> 5.4</w:t>
      </w:r>
      <w:bookmarkEnd w:id="439"/>
      <w:r w:rsidRPr="0079215C">
        <w:rPr>
          <w:b/>
          <w:color w:val="000000"/>
        </w:rPr>
        <w:t xml:space="preserve"> </w:t>
      </w:r>
    </w:p>
    <w:p w14:paraId="00000401" w14:textId="48DDE7F2" w:rsidR="00A758FD" w:rsidRPr="00C0338D" w:rsidRDefault="00C81287">
      <w:bookmarkStart w:id="442" w:name="_heading=h.4fsjm0b" w:colFirst="0" w:colLast="0"/>
      <w:bookmarkEnd w:id="442"/>
      <w:r w:rsidRPr="00C0338D">
        <w:t>The table distinguishes application of decision</w:t>
      </w:r>
      <w:r w:rsidR="00A91F9F">
        <w:t>-</w:t>
      </w:r>
      <w:r w:rsidRPr="00C0338D">
        <w:t>support tools and technologies to invasive alien plants, invertebrates, vertebrates or disease pathogen by sector. Decision</w:t>
      </w:r>
      <w:r w:rsidR="00A91F9F">
        <w:t>-</w:t>
      </w:r>
      <w:r w:rsidRPr="00C0338D">
        <w:t xml:space="preserve">support tools and technologies were assessed with consideration to the contexts in which they are used, as discussed in the individual technology specific subsections. </w:t>
      </w:r>
      <w:bookmarkStart w:id="443" w:name="_Hlk110433583"/>
      <w:r w:rsidRPr="00C0338D">
        <w:t xml:space="preserve">The assessment categories are: generally relevant </w:t>
      </w:r>
      <w:r>
        <w:t>(</w:t>
      </w:r>
      <w:r>
        <w:rPr>
          <w:rFonts w:ascii="Noto Sans Symbols" w:eastAsia="Noto Sans Symbols" w:hAnsi="Noto Sans Symbols" w:cs="Noto Sans Symbols"/>
          <w:color w:val="000000"/>
          <w:sz w:val="28"/>
          <w:szCs w:val="28"/>
        </w:rPr>
        <w:t>✓</w:t>
      </w:r>
      <w:r>
        <w:t>),</w:t>
      </w:r>
      <w:r w:rsidRPr="00C0338D">
        <w:t xml:space="preserve"> not generally relevant (</w:t>
      </w:r>
      <w:r w:rsidR="00746940" w:rsidRPr="0070538B">
        <w:rPr>
          <w:rFonts w:ascii="Segoe UI Symbol" w:eastAsia="Noto Sans Symbols" w:hAnsi="Segoe UI Symbol" w:cs="Segoe UI Symbol"/>
          <w:color w:val="000000"/>
          <w:sz w:val="28"/>
          <w:szCs w:val="28"/>
        </w:rPr>
        <w:t>🗴</w:t>
      </w:r>
      <w:r w:rsidRPr="00C0338D">
        <w:t xml:space="preserve">) and some relevance </w:t>
      </w:r>
      <w:r w:rsidR="0081530F">
        <w:t>(</w:t>
      </w:r>
      <w:r w:rsidR="0081530F" w:rsidRPr="0070538B">
        <w:rPr>
          <w:rFonts w:ascii="Segoe UI Symbol" w:eastAsia="Noto Sans Symbols" w:hAnsi="Segoe UI Symbol" w:cs="Segoe UI Symbol"/>
          <w:color w:val="000000"/>
          <w:sz w:val="28"/>
          <w:szCs w:val="28"/>
        </w:rPr>
        <w:t>🗴</w:t>
      </w:r>
      <w:r>
        <w:rPr>
          <w:rFonts w:ascii="Noto Sans Symbols" w:eastAsia="Noto Sans Symbols" w:hAnsi="Noto Sans Symbols" w:cs="Noto Sans Symbols"/>
          <w:color w:val="000000"/>
          <w:sz w:val="28"/>
          <w:szCs w:val="28"/>
        </w:rPr>
        <w:t>✓</w:t>
      </w:r>
      <w:r w:rsidRPr="00C0338D">
        <w:t>), with footnotes providing additional information.</w:t>
      </w:r>
      <w:bookmarkEnd w:id="443"/>
      <w:r w:rsidRPr="00C0338D">
        <w:t xml:space="preserve"> In the context of zoonotic diseases this table refers to diseases transmissible between animals to humans rather than diseases of animal origin largely transmitted between people (e.g., COVID-19)</w:t>
      </w:r>
      <w:bookmarkEnd w:id="440"/>
      <w:bookmarkEnd w:id="441"/>
    </w:p>
    <w:p w14:paraId="00000402" w14:textId="77777777" w:rsidR="00A758FD" w:rsidRPr="00C0338D" w:rsidRDefault="00A758FD"/>
    <w:tbl>
      <w:tblPr>
        <w:tblW w:w="143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615"/>
        <w:gridCol w:w="1170"/>
        <w:gridCol w:w="1170"/>
        <w:gridCol w:w="1260"/>
        <w:gridCol w:w="1260"/>
        <w:gridCol w:w="1260"/>
        <w:gridCol w:w="1260"/>
        <w:gridCol w:w="1080"/>
        <w:gridCol w:w="1080"/>
        <w:gridCol w:w="1170"/>
        <w:gridCol w:w="1080"/>
        <w:gridCol w:w="950"/>
      </w:tblGrid>
      <w:tr w:rsidR="00746940" w14:paraId="713F0621" w14:textId="77777777" w:rsidTr="00AC1F76">
        <w:trPr>
          <w:tblHeade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3" w14:textId="77777777" w:rsidR="00A758FD" w:rsidRPr="00AC1F76" w:rsidRDefault="00C81287" w:rsidP="00AC1F76">
            <w:pPr>
              <w:pBdr>
                <w:top w:val="nil"/>
                <w:left w:val="nil"/>
                <w:bottom w:val="nil"/>
                <w:right w:val="nil"/>
                <w:between w:val="nil"/>
              </w:pBdr>
              <w:spacing w:before="60" w:after="60" w:line="240" w:lineRule="auto"/>
              <w:rPr>
                <w:b/>
                <w:sz w:val="20"/>
                <w:szCs w:val="20"/>
              </w:rPr>
            </w:pPr>
            <w:r w:rsidRPr="00AC1F76">
              <w:rPr>
                <w:b/>
                <w:color w:val="000000"/>
                <w:sz w:val="20"/>
                <w:szCs w:val="20"/>
              </w:rPr>
              <w:t>Technology</w:t>
            </w:r>
          </w:p>
          <w:p w14:paraId="00000404" w14:textId="77777777" w:rsidR="00A758FD" w:rsidRPr="00AC1F76" w:rsidRDefault="00A758FD" w:rsidP="00746940">
            <w:pPr>
              <w:rPr>
                <w:sz w:val="20"/>
                <w:szCs w:val="20"/>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5" w14:textId="77777777" w:rsidR="00A758FD" w:rsidRPr="00AC1F76" w:rsidRDefault="00C81287" w:rsidP="00746940">
            <w:pPr>
              <w:rPr>
                <w:sz w:val="20"/>
                <w:szCs w:val="20"/>
              </w:rPr>
            </w:pPr>
            <w:r w:rsidRPr="00AC1F76">
              <w:rPr>
                <w:sz w:val="20"/>
                <w:szCs w:val="20"/>
              </w:rPr>
              <w:t>Terrestrial invasive alien plants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6" w14:textId="77777777" w:rsidR="00A758FD" w:rsidRPr="00AC1F76" w:rsidRDefault="00C81287" w:rsidP="00746940">
            <w:pPr>
              <w:rPr>
                <w:sz w:val="20"/>
                <w:szCs w:val="20"/>
              </w:rPr>
            </w:pPr>
            <w:r w:rsidRPr="00AC1F76">
              <w:rPr>
                <w:sz w:val="20"/>
                <w:szCs w:val="20"/>
              </w:rPr>
              <w:t>Aquatic invasive alien plants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7" w14:textId="77777777" w:rsidR="00A758FD" w:rsidRPr="00AC1F76" w:rsidRDefault="00C81287" w:rsidP="00746940">
            <w:pPr>
              <w:rPr>
                <w:sz w:val="20"/>
                <w:szCs w:val="20"/>
              </w:rPr>
            </w:pPr>
            <w:r w:rsidRPr="00AC1F76">
              <w:rPr>
                <w:sz w:val="20"/>
                <w:szCs w:val="20"/>
              </w:rPr>
              <w:t>Agricultural invertebrate invasive alien species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8" w14:textId="77777777" w:rsidR="00A758FD" w:rsidRPr="00AC1F76" w:rsidRDefault="00C81287" w:rsidP="00746940">
            <w:pPr>
              <w:rPr>
                <w:sz w:val="20"/>
                <w:szCs w:val="20"/>
              </w:rPr>
            </w:pPr>
            <w:r w:rsidRPr="00AC1F76">
              <w:rPr>
                <w:sz w:val="20"/>
                <w:szCs w:val="20"/>
              </w:rPr>
              <w:t>Environ. invertebrate invasive alien species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9" w14:textId="77777777" w:rsidR="00A758FD" w:rsidRPr="00AC1F76" w:rsidRDefault="00C81287" w:rsidP="00746940">
            <w:pPr>
              <w:rPr>
                <w:sz w:val="20"/>
                <w:szCs w:val="20"/>
              </w:rPr>
            </w:pPr>
            <w:r w:rsidRPr="00AC1F76">
              <w:rPr>
                <w:sz w:val="20"/>
                <w:szCs w:val="20"/>
              </w:rPr>
              <w:t>Terrestrial vertebrate invasive alien species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A" w14:textId="77777777" w:rsidR="00A758FD" w:rsidRPr="00AC1F76" w:rsidRDefault="00C81287" w:rsidP="00746940">
            <w:pPr>
              <w:rPr>
                <w:sz w:val="20"/>
                <w:szCs w:val="20"/>
              </w:rPr>
            </w:pPr>
            <w:r w:rsidRPr="00AC1F76">
              <w:rPr>
                <w:sz w:val="20"/>
                <w:szCs w:val="20"/>
              </w:rPr>
              <w:t>Aquatic vertebrate invasive alien species</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B" w14:textId="77777777" w:rsidR="00A758FD" w:rsidRPr="00AC1F76" w:rsidRDefault="00C81287" w:rsidP="00746940">
            <w:pPr>
              <w:rPr>
                <w:sz w:val="20"/>
                <w:szCs w:val="20"/>
              </w:rPr>
            </w:pPr>
            <w:r w:rsidRPr="00AC1F76">
              <w:rPr>
                <w:sz w:val="20"/>
                <w:szCs w:val="20"/>
              </w:rPr>
              <w:t xml:space="preserve">Plant pathogens </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C" w14:textId="77777777" w:rsidR="00A758FD" w:rsidRPr="00AC1F76" w:rsidRDefault="00C81287" w:rsidP="00746940">
            <w:pPr>
              <w:rPr>
                <w:sz w:val="20"/>
                <w:szCs w:val="20"/>
              </w:rPr>
            </w:pPr>
            <w:r w:rsidRPr="00AC1F76">
              <w:rPr>
                <w:sz w:val="20"/>
                <w:szCs w:val="20"/>
              </w:rPr>
              <w:t>Terrestrial animal pathogens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D" w14:textId="77777777" w:rsidR="00A758FD" w:rsidRPr="00AC1F76" w:rsidRDefault="00C81287" w:rsidP="00746940">
            <w:pPr>
              <w:rPr>
                <w:sz w:val="20"/>
                <w:szCs w:val="20"/>
              </w:rPr>
            </w:pPr>
            <w:r w:rsidRPr="00AC1F76">
              <w:rPr>
                <w:sz w:val="20"/>
                <w:szCs w:val="20"/>
              </w:rPr>
              <w:t>Aquatic animal pathogens</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E" w14:textId="77777777" w:rsidR="00A758FD" w:rsidRPr="00AC1F76" w:rsidRDefault="00C81287" w:rsidP="00746940">
            <w:pPr>
              <w:rPr>
                <w:sz w:val="20"/>
                <w:szCs w:val="20"/>
              </w:rPr>
            </w:pPr>
            <w:r w:rsidRPr="00AC1F76">
              <w:rPr>
                <w:sz w:val="20"/>
                <w:szCs w:val="20"/>
              </w:rPr>
              <w:t>Zoonotic/ Vector borne pathogens</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000040F" w14:textId="77777777" w:rsidR="00A758FD" w:rsidRPr="00AC1F76" w:rsidRDefault="00C81287" w:rsidP="00746940">
            <w:pPr>
              <w:rPr>
                <w:sz w:val="20"/>
                <w:szCs w:val="20"/>
              </w:rPr>
            </w:pPr>
            <w:r w:rsidRPr="00AC1F76">
              <w:rPr>
                <w:sz w:val="20"/>
                <w:szCs w:val="20"/>
              </w:rPr>
              <w:t>Marine invasive alien species</w:t>
            </w:r>
            <w:r w:rsidRPr="00A4003D">
              <w:rPr>
                <w:rStyle w:val="FootnoteReference"/>
              </w:rPr>
              <w:footnoteReference w:id="10"/>
            </w:r>
          </w:p>
        </w:tc>
      </w:tr>
      <w:tr w:rsidR="00746940" w14:paraId="19DB24B0"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0" w14:textId="7B52E120"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b/>
                <w:color w:val="000000"/>
                <w:sz w:val="20"/>
                <w:szCs w:val="20"/>
              </w:rPr>
              <w:t>Decision</w:t>
            </w:r>
            <w:r w:rsidR="00A91F9F" w:rsidRPr="00AC1F76">
              <w:rPr>
                <w:b/>
                <w:color w:val="000000"/>
                <w:sz w:val="20"/>
                <w:szCs w:val="20"/>
              </w:rPr>
              <w:t>-</w:t>
            </w:r>
            <w:r w:rsidRPr="00AC1F76">
              <w:rPr>
                <w:b/>
                <w:color w:val="000000"/>
                <w:sz w:val="20"/>
                <w:szCs w:val="20"/>
              </w:rPr>
              <w:t>support tools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1"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2"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3"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4"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5"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6"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7"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8"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9"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A"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1B"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r>
      <w:tr w:rsidR="00746940" w14:paraId="071B41CB"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1C" w14:textId="359383E2" w:rsidR="00A758FD" w:rsidRPr="00AC1F76" w:rsidRDefault="00C81287" w:rsidP="00746940">
            <w:pPr>
              <w:pBdr>
                <w:top w:val="nil"/>
                <w:left w:val="nil"/>
                <w:bottom w:val="nil"/>
                <w:right w:val="nil"/>
                <w:between w:val="nil"/>
              </w:pBdr>
              <w:spacing w:before="60" w:after="60" w:line="240" w:lineRule="auto"/>
              <w:rPr>
                <w:b/>
                <w:color w:val="000000"/>
                <w:sz w:val="20"/>
                <w:szCs w:val="20"/>
              </w:rPr>
            </w:pPr>
            <w:r w:rsidRPr="00AC1F76">
              <w:rPr>
                <w:color w:val="000000"/>
                <w:sz w:val="20"/>
                <w:szCs w:val="20"/>
              </w:rPr>
              <w:t>Qualitative and quantitative decision</w:t>
            </w:r>
            <w:r w:rsidR="00A91F9F" w:rsidRPr="00AC1F76">
              <w:rPr>
                <w:color w:val="000000"/>
                <w:sz w:val="20"/>
                <w:szCs w:val="20"/>
              </w:rPr>
              <w:t>-</w:t>
            </w:r>
            <w:r w:rsidRPr="00AC1F76">
              <w:rPr>
                <w:color w:val="000000"/>
                <w:sz w:val="20"/>
                <w:szCs w:val="20"/>
              </w:rPr>
              <w:t xml:space="preserve">support tools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1D" w14:textId="6EF46724"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1E" w14:textId="3125C2DF"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1F" w14:textId="10B1A2FB"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0" w14:textId="116EF484"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1" w14:textId="68A7153D"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2" w14:textId="6CE6A238"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3" w14:textId="42CEFE05"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4" w14:textId="19F3D5B1"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5" w14:textId="3A59B2E7"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6" w14:textId="029D7F6B"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7" w14:textId="6CCFED1B"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11275A9E"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8" w14:textId="7737474B" w:rsidR="00A758FD" w:rsidRPr="00AC1F76" w:rsidRDefault="00C81287" w:rsidP="00AC1F76">
            <w:pPr>
              <w:pBdr>
                <w:top w:val="nil"/>
                <w:left w:val="nil"/>
                <w:bottom w:val="nil"/>
                <w:right w:val="nil"/>
                <w:between w:val="nil"/>
              </w:pBdr>
              <w:spacing w:before="60" w:after="60" w:line="240" w:lineRule="auto"/>
              <w:rPr>
                <w:b/>
                <w:sz w:val="20"/>
                <w:szCs w:val="20"/>
              </w:rPr>
            </w:pPr>
            <w:r w:rsidRPr="00AC1F76">
              <w:rPr>
                <w:rFonts w:eastAsia="Times New Roman"/>
                <w:color w:val="000000" w:themeColor="text1"/>
                <w:sz w:val="20"/>
                <w:szCs w:val="20"/>
              </w:rPr>
              <w:t xml:space="preserve"> </w:t>
            </w:r>
            <w:r w:rsidR="268073AF" w:rsidRPr="00AC1F76">
              <w:rPr>
                <w:rFonts w:eastAsia="Times New Roman"/>
                <w:color w:val="000000" w:themeColor="text1"/>
                <w:sz w:val="20"/>
                <w:szCs w:val="20"/>
              </w:rPr>
              <w:t>M</w:t>
            </w:r>
            <w:r w:rsidRPr="00AC1F76">
              <w:rPr>
                <w:rFonts w:eastAsia="Times New Roman"/>
                <w:color w:val="000000" w:themeColor="text1"/>
                <w:sz w:val="20"/>
                <w:szCs w:val="20"/>
              </w:rPr>
              <w:t>anagement</w:t>
            </w:r>
            <w:r w:rsidRPr="00AC1F76">
              <w:rPr>
                <w:color w:val="000000" w:themeColor="text1"/>
                <w:sz w:val="20"/>
                <w:szCs w:val="20"/>
              </w:rPr>
              <w:t xml:space="preserve"> relevant databases and analytics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9" w14:textId="17141D38"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A" w14:textId="609EF27E"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B" w14:textId="6AD8E8CA"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C" w14:textId="704A443F" w:rsidR="00A758FD" w:rsidRPr="00AC1F76" w:rsidRDefault="00746940" w:rsidP="00AC1F76">
            <w:pPr>
              <w:pBdr>
                <w:top w:val="nil"/>
                <w:left w:val="nil"/>
                <w:bottom w:val="nil"/>
                <w:right w:val="nil"/>
                <w:between w:val="nil"/>
              </w:pBdr>
              <w:spacing w:before="60" w:after="60" w:line="240" w:lineRule="auto"/>
              <w:jc w:val="center"/>
              <w:rPr>
                <w:sz w:val="28"/>
                <w:szCs w:val="28"/>
              </w:rPr>
            </w:pPr>
            <w:bookmarkStart w:id="444" w:name="_heading=h.2uxtw84" w:colFirst="0" w:colLast="0"/>
            <w:bookmarkStart w:id="445" w:name="_Ref112933743"/>
            <w:bookmarkEnd w:id="444"/>
            <w:r w:rsidRPr="00AC1F76">
              <w:rPr>
                <w:rFonts w:ascii="Segoe UI Symbol" w:eastAsia="Noto Sans Symbols" w:hAnsi="Segoe UI Symbol" w:cs="Segoe UI Symbol"/>
                <w:color w:val="000000"/>
                <w:sz w:val="28"/>
                <w:szCs w:val="28"/>
              </w:rPr>
              <w:t>🗴</w:t>
            </w:r>
            <w:r w:rsidR="00C81287" w:rsidRPr="00A4003D">
              <w:rPr>
                <w:rStyle w:val="FootnoteReference"/>
              </w:rPr>
              <w:footnoteReference w:id="11"/>
            </w:r>
            <w:bookmarkEnd w:id="445"/>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D" w14:textId="331E869B"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E" w14:textId="4B9D3C6B"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2F" w14:textId="6A23AD22"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30" w14:textId="31D06BBE" w:rsidR="00A758FD" w:rsidRPr="00AC1F76" w:rsidRDefault="00746940"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9</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31" w14:textId="594F8089"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32" w14:textId="6A592FF7" w:rsidR="00A758FD" w:rsidRPr="00AC1F76" w:rsidRDefault="00746940"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9</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33" w14:textId="118C5B22" w:rsidR="00A758FD" w:rsidRPr="00AC1F76" w:rsidRDefault="00C81287" w:rsidP="00AC1F76">
            <w:pPr>
              <w:pBdr>
                <w:top w:val="nil"/>
                <w:left w:val="nil"/>
                <w:bottom w:val="nil"/>
                <w:right w:val="nil"/>
                <w:between w:val="nil"/>
              </w:pBdr>
              <w:spacing w:before="60" w:after="60" w:line="240" w:lineRule="auto"/>
              <w:jc w:val="center"/>
              <w:rPr>
                <w:sz w:val="28"/>
                <w:szCs w:val="28"/>
              </w:rPr>
            </w:pPr>
            <w:r w:rsidRPr="00AC1F76">
              <w:rPr>
                <w:rFonts w:ascii="Segoe UI Symbol" w:eastAsia="Noto Sans Symbols" w:hAnsi="Segoe UI Symbol" w:cs="Segoe UI Symbol"/>
                <w:color w:val="000000"/>
                <w:sz w:val="28"/>
                <w:szCs w:val="28"/>
              </w:rPr>
              <w:t>✓</w:t>
            </w:r>
          </w:p>
        </w:tc>
      </w:tr>
      <w:tr w:rsidR="00746940" w14:paraId="2DCC180C"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4"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b/>
                <w:color w:val="000000"/>
                <w:sz w:val="20"/>
                <w:szCs w:val="20"/>
              </w:rPr>
              <w:t xml:space="preserve">Surveillance, detection and diagnostics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5"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6"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7"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8"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9"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A"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B"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C"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D"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E"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3F" w14:textId="77777777" w:rsidR="00A758FD" w:rsidRPr="00AC1F76" w:rsidRDefault="00A758FD" w:rsidP="00AC1F76">
            <w:pPr>
              <w:pBdr>
                <w:top w:val="nil"/>
                <w:left w:val="nil"/>
                <w:bottom w:val="nil"/>
                <w:right w:val="nil"/>
                <w:between w:val="nil"/>
              </w:pBdr>
              <w:spacing w:before="60" w:after="60" w:line="240" w:lineRule="auto"/>
              <w:jc w:val="center"/>
              <w:rPr>
                <w:color w:val="000000"/>
                <w:sz w:val="28"/>
                <w:szCs w:val="28"/>
              </w:rPr>
            </w:pPr>
          </w:p>
        </w:tc>
      </w:tr>
      <w:tr w:rsidR="00746940" w14:paraId="09C34421"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0"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Digital data mining – crowdsourcing general surveillance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1" w14:textId="120DFF0A"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2" w14:textId="3DFDE1DF"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3" w14:textId="4FCF0D8A"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4" w14:textId="554745B1"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5" w14:textId="2A4979FC"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6" w14:textId="5FD9747D"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7" w14:textId="3456C53D"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8" w14:textId="7FD9893A"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9" w14:textId="57726EA1"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A" w14:textId="5C0AFA5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B" w14:textId="56BB5E79"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1C1A37F8"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C"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lastRenderedPageBreak/>
              <w:t xml:space="preserve">Sensor-networks and smart traps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D" w14:textId="5041CF1C"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bookmarkStart w:id="446" w:name="_heading=h.1a346fx" w:colFirst="0" w:colLast="0"/>
            <w:bookmarkStart w:id="447" w:name="_Ref112933785"/>
            <w:bookmarkEnd w:id="446"/>
            <w:r w:rsidRPr="00AC1F76">
              <w:rPr>
                <w:rFonts w:ascii="Segoe UI Symbol" w:eastAsia="Noto Sans Symbols" w:hAnsi="Segoe UI Symbol" w:cs="Segoe UI Symbol"/>
                <w:color w:val="000000"/>
                <w:sz w:val="28"/>
                <w:szCs w:val="28"/>
              </w:rPr>
              <w:t>🗴</w:t>
            </w:r>
            <w:r w:rsidR="00C81287" w:rsidRPr="00A4003D">
              <w:rPr>
                <w:rStyle w:val="FootnoteReference"/>
              </w:rPr>
              <w:footnoteReference w:id="12"/>
            </w:r>
            <w:bookmarkEnd w:id="447"/>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E" w14:textId="4085D627"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70538B">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4F" w14:textId="45F3AE8C"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0" w14:textId="307C0408"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1" w14:textId="20B37236"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2" w14:textId="1F314A26"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3" w14:textId="5690CE57"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4" w14:textId="1969B5FB"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5" w14:textId="0C48CD74"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70538B">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6" w14:textId="07772CF0"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7" w14:textId="4555C230"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r>
      <w:tr w:rsidR="00746940" w14:paraId="34E1E409"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8"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Screening technologies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9" w14:textId="6EF709FC"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A" w14:textId="164704B5"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B" w14:textId="3D8C467B"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C" w14:textId="4978B566"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D" w14:textId="36D3E64B"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E" w14:textId="7A3695B9"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5F" w14:textId="060790F8"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0" w14:textId="6B51324A"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1" w14:textId="25032391"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2" w14:textId="04782DB3"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3" w14:textId="117DCC1A"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58F5F6EC"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4"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Environmental DNA</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5" w14:textId="1B1AC92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6" w14:textId="6DA49DA2"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7" w14:textId="5F404B55"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8" w14:textId="4096E2E8"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9" w14:textId="778BAEC0"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A" w14:textId="44BBFF19"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B" w14:textId="7B364BF4"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C" w14:textId="6D0CC2BA"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D" w14:textId="1D9759C6"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E" w14:textId="525BD2AD"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6F" w14:textId="27AE1735"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6F0EAAC7"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0"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Sentinel surveillance &amp; monitoring</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1" w14:textId="5CBD165B"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2" w14:textId="5D0F938C"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3" w14:textId="399C50A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4" w14:textId="3CCFEF7D"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5" w14:textId="102364C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6" w14:textId="38DEF6DF"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7" w14:textId="5CB1A027"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8" w14:textId="2559DB86"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9" w14:textId="034777FA"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A" w14:textId="67D2728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B" w14:textId="0F81AF65"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20BA757A"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C"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Citizen surveillance – data input portals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D" w14:textId="7D327F31"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E" w14:textId="15468246"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7F" w14:textId="4D007A7D"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0" w14:textId="2667FD0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1" w14:textId="7E63CE49"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2" w14:textId="55EDBC4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3" w14:textId="1C5DEADC"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4" w14:textId="5A07AA53"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5" w14:textId="731E1907"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6" w14:textId="64B30A71"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7" w14:textId="43A47647"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37D988BA"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8"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Earth observation – remote sensing detection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9" w14:textId="175A6AD8"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A" w14:textId="02C1AD46"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B" w14:textId="34AD247A"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bookmarkStart w:id="449" w:name="_heading=h.3u2rp3q" w:colFirst="0" w:colLast="0"/>
            <w:bookmarkEnd w:id="449"/>
            <w:r w:rsidRPr="00AC1F76">
              <w:rPr>
                <w:rFonts w:ascii="Segoe UI Symbol" w:eastAsia="Noto Sans Symbols" w:hAnsi="Segoe UI Symbol" w:cs="Segoe UI Symbol"/>
                <w:color w:val="000000"/>
                <w:sz w:val="28"/>
                <w:szCs w:val="28"/>
              </w:rPr>
              <w:t>🗴</w:t>
            </w:r>
            <w:bookmarkStart w:id="450" w:name="_Ref112933846"/>
            <w:r w:rsidRPr="00A4003D">
              <w:rPr>
                <w:rStyle w:val="FootnoteReference"/>
              </w:rPr>
              <w:footnoteReference w:id="13"/>
            </w:r>
            <w:bookmarkEnd w:id="450"/>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C" w14:textId="20DA9AAD"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 xml:space="preserve"> 11</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D" w14:textId="7AD5CC5E"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E" w14:textId="4A24E117"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8F" w14:textId="1C68836C"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11</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0" w14:textId="03DC0C0C"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1" w14:textId="2BC6CFEC"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2" w14:textId="052366FB"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3" w14:textId="3A326148"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6CF6A8D1"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4"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Automated image-based diagnostics and machine learning</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5" w14:textId="708689E4"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6" w14:textId="7464F0DA"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7" w14:textId="5F78D34E"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8" w14:textId="394F37C5"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bookmarkStart w:id="451" w:name="_heading=h.2981zbj" w:colFirst="0" w:colLast="0"/>
            <w:bookmarkEnd w:id="451"/>
            <w:r w:rsidRPr="00AC1F76">
              <w:rPr>
                <w:rFonts w:ascii="Segoe UI Symbol" w:eastAsia="Noto Sans Symbols" w:hAnsi="Segoe UI Symbol" w:cs="Segoe UI Symbol"/>
                <w:color w:val="000000"/>
                <w:sz w:val="28"/>
                <w:szCs w:val="28"/>
              </w:rPr>
              <w:t>✓</w:t>
            </w:r>
            <w:bookmarkStart w:id="452" w:name="_Ref112933951"/>
            <w:r w:rsidRPr="00A4003D">
              <w:rPr>
                <w:rStyle w:val="FootnoteReference"/>
              </w:rPr>
              <w:footnoteReference w:id="14"/>
            </w:r>
            <w:bookmarkEnd w:id="452"/>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9" w14:textId="2F1B51A4"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A" w14:textId="4617C896"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B" w14:textId="2E2F62EC"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C" w14:textId="6AF2D11F"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D" w14:textId="004D86DB"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E" w14:textId="393B24F3"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9F" w14:textId="1976EB53" w:rsidR="00746940"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4DB756AE"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0"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Volatile detection technologies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1" w14:textId="48CEBC51"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2" w14:textId="094ADD6E"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eastAsia="Calibri"/>
                <w:color w:val="000000"/>
                <w:sz w:val="28"/>
                <w:szCs w:val="28"/>
              </w:rPr>
              <w:t>X</w:t>
            </w:r>
            <w:r w:rsidRPr="00AC1F76">
              <w:rPr>
                <w:rFonts w:eastAsia="Times New Roman"/>
                <w:color w:val="000000"/>
                <w:sz w:val="28"/>
                <w:szCs w:val="28"/>
                <w:vertAlign w:val="superscript"/>
              </w:rPr>
              <w:t xml:space="preserve"> 10</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3" w14:textId="181D8D1F"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4" w14:textId="40BB8EAA"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5" w14:textId="765CF6A2"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6" w14:textId="3EFE8EE2"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7" w14:textId="7D1DF5CF"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8" w14:textId="2949C310"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9" w14:textId="46BC43D3"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A" w14:textId="0FE801F9" w:rsidR="00A758FD" w:rsidRPr="00AC1F76" w:rsidRDefault="00C81287"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B" w14:textId="19E5D4DC" w:rsidR="00A758FD" w:rsidRPr="00AC1F76" w:rsidRDefault="00746940" w:rsidP="00AC1F76">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r>
      <w:tr w:rsidR="00746940" w14:paraId="0D853BB0"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C"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lastRenderedPageBreak/>
              <w:t>Pheromone and semiochemical lures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D" w14:textId="2123BDF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E" w14:textId="733A54A2"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AF" w14:textId="3E6AE1E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0" w14:textId="256A414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1" w14:textId="1FCDD0C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2" w14:textId="35CE200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3" w14:textId="3FAEA06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4" w14:textId="294D5C2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5" w14:textId="17D5F76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6" w14:textId="067FED3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7" w14:textId="74BC8B4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44EEC6CF"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8"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Acoustic/ultrasound sensors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9" w14:textId="00373DD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A" w14:textId="624D2DD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B" w14:textId="7857F8A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bookmarkStart w:id="453" w:name="_heading=h.odc9jc" w:colFirst="0" w:colLast="0"/>
            <w:bookmarkEnd w:id="453"/>
            <w:r w:rsidRPr="00AC1F76">
              <w:rPr>
                <w:rFonts w:ascii="Segoe UI Symbol" w:eastAsia="Noto Sans Symbols" w:hAnsi="Segoe UI Symbol" w:cs="Segoe UI Symbol"/>
                <w:color w:val="000000"/>
                <w:sz w:val="28"/>
                <w:szCs w:val="28"/>
              </w:rPr>
              <w:t>✓</w:t>
            </w:r>
            <w:bookmarkStart w:id="454" w:name="_Ref112933958"/>
            <w:r w:rsidRPr="00A4003D">
              <w:rPr>
                <w:rStyle w:val="FootnoteReference"/>
              </w:rPr>
              <w:footnoteReference w:id="15"/>
            </w:r>
            <w:bookmarkEnd w:id="454"/>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C" w14:textId="02BBAA2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13</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D" w14:textId="747C796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E" w14:textId="664B5F2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BF" w14:textId="3C3F737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0" w14:textId="693EA90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1" w14:textId="23E8305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2" w14:textId="1D94350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3" w14:textId="59C428A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174DC7DF"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4"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Point of Care / Lab on a chip, rapid test diagnostics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5" w14:textId="5559B02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6" w14:textId="6CC83F5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7" w14:textId="593368D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8" w14:textId="2448DCF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9" w14:textId="1A529F3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A" w14:textId="6EB1E70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B" w14:textId="469E8AD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C" w14:textId="4B42703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D" w14:textId="4ED7DAB3"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E" w14:textId="49EDF45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CF" w14:textId="39F7E0C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05C66146"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0"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Track and trace genomics</w:t>
            </w:r>
            <w:r w:rsidRPr="00A4003D">
              <w:rPr>
                <w:rStyle w:val="FootnoteReference"/>
              </w:rPr>
              <w:footnoteReference w:id="16"/>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1" w14:textId="75776D89"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2" w14:textId="01B21DE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3" w14:textId="48C4B73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4" w14:textId="3DB525C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5" w14:textId="2931E79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7C7E2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6" w14:textId="7A8E0F9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7C7E2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7" w14:textId="6977F02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8" w14:textId="394406D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9" w14:textId="01C752A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A" w14:textId="56BB984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DB" w14:textId="36F97AE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268E6ECE"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DC"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b/>
                <w:color w:val="000000"/>
                <w:sz w:val="20"/>
                <w:szCs w:val="20"/>
              </w:rPr>
              <w:t>Intervention/control technologies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DD"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DE"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DF"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0"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1"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2"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3"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4"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5"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6"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4E7" w14:textId="77777777" w:rsidR="00A758FD" w:rsidRPr="00AC1F76" w:rsidRDefault="00A758FD" w:rsidP="00746940">
            <w:pPr>
              <w:pBdr>
                <w:top w:val="nil"/>
                <w:left w:val="nil"/>
                <w:bottom w:val="nil"/>
                <w:right w:val="nil"/>
                <w:between w:val="nil"/>
              </w:pBdr>
              <w:spacing w:before="60" w:after="60" w:line="240" w:lineRule="auto"/>
              <w:jc w:val="center"/>
              <w:rPr>
                <w:color w:val="000000"/>
                <w:sz w:val="28"/>
                <w:szCs w:val="28"/>
              </w:rPr>
            </w:pPr>
          </w:p>
        </w:tc>
      </w:tr>
      <w:tr w:rsidR="00746940" w14:paraId="763216B7"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8"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Mechanical &amp; manual approaches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9" w14:textId="75CCD48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A" w14:textId="4E02F50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B" w14:textId="150B4B89"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15</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C" w14:textId="6D5D7E4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D" w14:textId="6A55616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bookmarkStart w:id="455" w:name="_heading=h.38czs75" w:colFirst="0" w:colLast="0"/>
            <w:bookmarkEnd w:id="455"/>
            <w:r w:rsidRPr="00AC1F76">
              <w:rPr>
                <w:rFonts w:ascii="Segoe UI Symbol" w:eastAsia="Noto Sans Symbols" w:hAnsi="Segoe UI Symbol" w:cs="Segoe UI Symbol"/>
                <w:color w:val="000000"/>
                <w:sz w:val="28"/>
                <w:szCs w:val="28"/>
              </w:rPr>
              <w:t>🗴</w:t>
            </w:r>
            <w:bookmarkStart w:id="456" w:name="_Ref112933981"/>
            <w:r w:rsidRPr="00A4003D">
              <w:rPr>
                <w:rStyle w:val="FootnoteReference"/>
              </w:rPr>
              <w:footnoteReference w:id="17"/>
            </w:r>
            <w:bookmarkEnd w:id="456"/>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E" w14:textId="72A28C7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EF" w14:textId="60F4AA1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0" w14:textId="252F33E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1" w14:textId="1EE76AE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2" w14:textId="2EFC0F8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3" w14:textId="16ECAD6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295E7989"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4"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Pesticide management of invasive alien animals and plants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5" w14:textId="7A818F84"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6" w14:textId="576BA8B9"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7" w14:textId="58349F17"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8" w14:textId="75C8260B"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9" w14:textId="1A687B65"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A" w14:textId="35528DDC"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B" w14:textId="1148528B"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bookmarkStart w:id="457" w:name="_heading=h.1nia2ey" w:colFirst="0" w:colLast="0"/>
            <w:bookmarkEnd w:id="457"/>
            <w:r w:rsidRPr="00AC1F76">
              <w:rPr>
                <w:rFonts w:ascii="Segoe UI Symbol" w:eastAsia="Noto Sans Symbols" w:hAnsi="Segoe UI Symbol" w:cs="Segoe UI Symbol"/>
                <w:color w:val="000000"/>
                <w:sz w:val="28"/>
                <w:szCs w:val="28"/>
              </w:rPr>
              <w:t>🗴</w:t>
            </w:r>
            <w:bookmarkStart w:id="458" w:name="_Ref112934005"/>
            <w:r w:rsidR="00C81287" w:rsidRPr="00A4003D">
              <w:rPr>
                <w:rStyle w:val="FootnoteReference"/>
              </w:rPr>
              <w:footnoteReference w:id="18"/>
            </w:r>
            <w:bookmarkEnd w:id="458"/>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C" w14:textId="5A152DF4"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16</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D" w14:textId="42B08B75"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16</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E" w14:textId="608CB766"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16</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4FF" w14:textId="11649CD9"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286937BD"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0"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Robotic technology for targeted </w:t>
            </w:r>
            <w:r w:rsidRPr="00AC1F76">
              <w:rPr>
                <w:color w:val="000000"/>
                <w:sz w:val="20"/>
                <w:szCs w:val="20"/>
              </w:rPr>
              <w:lastRenderedPageBreak/>
              <w:t>management measures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1" w14:textId="21B00F3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lastRenderedPageBreak/>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2" w14:textId="7A436C5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3" w14:textId="07A13A6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4" w14:textId="4F4941D3"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5" w14:textId="49930A6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6" w14:textId="2903098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7" w14:textId="082C198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8" w14:textId="5BE1EDA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9" w14:textId="0567CC3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A" w14:textId="7A11D63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B" w14:textId="1EDBF5E2"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678C25A0"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C"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Lethal control of invasive alien vertebrate pests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D" w14:textId="1954927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E" w14:textId="5C84A56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0F" w14:textId="67C9E15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0" w14:textId="46D5C12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1" w14:textId="7774AE8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2" w14:textId="52583933"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3" w14:textId="1160087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4" w14:textId="2C320E3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5" w14:textId="1757D19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6" w14:textId="1F10222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7" w14:textId="6ED2871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r>
      <w:tr w:rsidR="00746940" w14:paraId="068C4E69"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8"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Fertility control for invasive alien vertebrates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9" w14:textId="1D9595E9"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A" w14:textId="0EA4DE9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B" w14:textId="65FC239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C" w14:textId="14EF394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D" w14:textId="44D02453"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E" w14:textId="000E69A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1F" w14:textId="3875C45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0" w14:textId="18FB26F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1" w14:textId="76136D6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2" w14:textId="6259232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3" w14:textId="10A61FB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16D22C09"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4"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Classical biological control of invasive plants &amp; invertebrates </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5" w14:textId="43F916C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6" w14:textId="45EB664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7" w14:textId="72BE6ED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8" w14:textId="0EAEA31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9" w14:textId="5CB38EB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A" w14:textId="6F7792E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B" w14:textId="501C01E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sidDel="00746940">
              <w:rPr>
                <w:color w:val="000000"/>
                <w:sz w:val="28"/>
                <w:szCs w:val="28"/>
              </w:rPr>
              <w:t xml:space="preserve"> </w:t>
            </w:r>
            <w:r w:rsidRPr="00AC1F76">
              <w:rPr>
                <w:rFonts w:ascii="Segoe UI Symbol" w:eastAsia="Noto Sans Symbols" w:hAnsi="Segoe UI Symbol" w:cs="Segoe UI Symbol"/>
                <w:color w:val="000000"/>
                <w:sz w:val="28"/>
                <w:szCs w:val="28"/>
              </w:rPr>
              <w:t>✓</w:t>
            </w:r>
            <w:r w:rsidRPr="00A4003D">
              <w:rPr>
                <w:rStyle w:val="FootnoteReference"/>
              </w:rPr>
              <w:footnoteReference w:id="19"/>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C" w14:textId="5D80F06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D" w14:textId="3692725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E" w14:textId="2B39107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2F" w14:textId="4739095B"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17F005FA"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0"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Sterile insect technique etc.</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1" w14:textId="7228D26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2" w14:textId="231BC9C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3" w14:textId="5ED6B16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4" w14:textId="2C829E62"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5" w14:textId="7C18988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6" w14:textId="56A1617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7" w14:textId="08240E9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8" w14:textId="6A503E7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9" w14:textId="237A7C3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A" w14:textId="2CFBD093"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sidDel="00746940">
              <w:rPr>
                <w:color w:val="000000"/>
                <w:sz w:val="28"/>
                <w:szCs w:val="28"/>
              </w:rPr>
              <w:t xml:space="preserve"> </w:t>
            </w: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B" w14:textId="537D70A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6E21FDD7"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C"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Viral biological control of invasive alien vertebrates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D" w14:textId="0E572A3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E" w14:textId="40FBED6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3F" w14:textId="1BD0603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0" w14:textId="2406F95D"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1" w14:textId="4D1E99E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2" w14:textId="2A041ED9"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3" w14:textId="3A993C2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4" w14:textId="23A57611"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5" w14:textId="1DAF321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6" w14:textId="65221E0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7" w14:textId="68E70C2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29141FE3"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8"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RNA Interference</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9" w14:textId="02C9CF39"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A" w14:textId="131F60C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B" w14:textId="2566E4F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C" w14:textId="776A357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D" w14:textId="35D06612"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E" w14:textId="16E89EBA"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4F" w14:textId="4092D5E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0" w14:textId="5C23C7B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1" w14:textId="63B1B369"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2" w14:textId="333CAD9E"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3" w14:textId="751E056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28F12AFB"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4"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Genetic-control approaches (including gene-drive)</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5" w14:textId="7D65AE75"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6" w14:textId="54F4A080"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Pr="00AC1F76">
              <w:rPr>
                <w:rFonts w:eastAsia="Times New Roman"/>
                <w:color w:val="000000"/>
                <w:sz w:val="28"/>
                <w:szCs w:val="28"/>
                <w:vertAlign w:val="superscript"/>
              </w:rPr>
              <w:t>10</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7" w14:textId="47BE1F46"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8" w14:textId="63C292ED"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9" w14:textId="3A8B676A"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A" w14:textId="110B14C5"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B" w14:textId="0A913355"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bookmarkStart w:id="459" w:name="_heading=h.47hxl2r" w:colFirst="0" w:colLast="0"/>
            <w:bookmarkEnd w:id="459"/>
            <w:r w:rsidRPr="00AC1F76">
              <w:rPr>
                <w:rFonts w:ascii="Segoe UI Symbol" w:eastAsia="Noto Sans Symbols" w:hAnsi="Segoe UI Symbol" w:cs="Segoe UI Symbol"/>
                <w:color w:val="000000"/>
                <w:sz w:val="28"/>
                <w:szCs w:val="28"/>
              </w:rPr>
              <w:t>🗴</w:t>
            </w:r>
            <w:bookmarkStart w:id="460" w:name="_Ref112934075"/>
            <w:r w:rsidR="00C81287" w:rsidRPr="00A4003D">
              <w:rPr>
                <w:rStyle w:val="FootnoteReference"/>
              </w:rPr>
              <w:footnoteReference w:id="20"/>
            </w:r>
            <w:bookmarkEnd w:id="460"/>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C" w14:textId="07A92F16"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18</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D" w14:textId="4CEC9048"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18</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E" w14:textId="721C4E5B"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18</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5F" w14:textId="4457BCE3"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470AA64A"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0" w14:textId="77777777" w:rsidR="00A758FD" w:rsidRPr="00AC1F76" w:rsidRDefault="00C81287"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 xml:space="preserve">Adaptive integrated </w:t>
            </w:r>
            <w:r w:rsidRPr="00AC1F76">
              <w:rPr>
                <w:color w:val="000000"/>
                <w:sz w:val="20"/>
                <w:szCs w:val="20"/>
              </w:rPr>
              <w:lastRenderedPageBreak/>
              <w:t>management strategies</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1" w14:textId="2381D272" w:rsidR="00A758FD" w:rsidRPr="00AC1F76" w:rsidRDefault="00C81287" w:rsidP="00746940">
            <w:pPr>
              <w:pBdr>
                <w:top w:val="nil"/>
                <w:left w:val="nil"/>
                <w:bottom w:val="nil"/>
                <w:right w:val="nil"/>
                <w:between w:val="nil"/>
              </w:pBdr>
              <w:spacing w:before="60" w:after="60" w:line="240" w:lineRule="auto"/>
              <w:jc w:val="center"/>
              <w:rPr>
                <w:b/>
                <w:color w:val="000000"/>
                <w:sz w:val="28"/>
                <w:szCs w:val="28"/>
              </w:rPr>
            </w:pPr>
            <w:r w:rsidRPr="00AC1F76">
              <w:rPr>
                <w:rFonts w:ascii="Segoe UI Symbol" w:eastAsia="Noto Sans Symbols" w:hAnsi="Segoe UI Symbol" w:cs="Segoe UI Symbol"/>
                <w:color w:val="000000"/>
                <w:sz w:val="28"/>
                <w:szCs w:val="28"/>
              </w:rPr>
              <w:lastRenderedPageBreak/>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2" w14:textId="46732B8B"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3" w14:textId="4B5A3BF4"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4" w14:textId="5FBACBEB"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5" w14:textId="1C2DCCC4"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6" w14:textId="24153F3D"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7" w14:textId="5E27DE4D"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8" w14:textId="14B49478"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9" w14:textId="0620BE57"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A" w14:textId="01CF2130" w:rsidR="00A758FD"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r w:rsidR="00C81287" w:rsidRPr="00AC1F76">
              <w:rPr>
                <w:rFonts w:eastAsia="Times New Roman"/>
                <w:color w:val="000000"/>
                <w:sz w:val="28"/>
                <w:szCs w:val="28"/>
                <w:vertAlign w:val="superscript"/>
              </w:rPr>
              <w:t>10</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B" w14:textId="2ED469DB" w:rsidR="00A758FD" w:rsidRPr="00AC1F76" w:rsidRDefault="00C81287"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r w:rsidR="00746940" w14:paraId="7E9A4D2E" w14:textId="77777777" w:rsidTr="00AC1F76">
        <w:trPr>
          <w:jc w:val="center"/>
        </w:trPr>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C" w14:textId="77777777" w:rsidR="00746940" w:rsidRPr="00AC1F76" w:rsidRDefault="00746940" w:rsidP="00746940">
            <w:pPr>
              <w:pBdr>
                <w:top w:val="nil"/>
                <w:left w:val="nil"/>
                <w:bottom w:val="nil"/>
                <w:right w:val="nil"/>
                <w:between w:val="nil"/>
              </w:pBdr>
              <w:spacing w:before="60" w:after="60" w:line="240" w:lineRule="auto"/>
              <w:rPr>
                <w:color w:val="000000"/>
                <w:sz w:val="20"/>
                <w:szCs w:val="20"/>
              </w:rPr>
            </w:pPr>
            <w:r w:rsidRPr="00AC1F76">
              <w:rPr>
                <w:color w:val="000000"/>
                <w:sz w:val="20"/>
                <w:szCs w:val="20"/>
              </w:rPr>
              <w:t>Ecosystem restoration</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D" w14:textId="25EDD33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E" w14:textId="2FCDE5D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6F" w14:textId="08F632C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0" w14:textId="6807E54C"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1" w14:textId="11F473FF"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2" w14:textId="6A12B9E0"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3" w14:textId="0238D554"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4" w14:textId="595CB568"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5" w14:textId="54A848F7"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6" w14:textId="57041D65"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0000577" w14:textId="53E89A96" w:rsidR="00746940" w:rsidRPr="00AC1F76" w:rsidRDefault="00746940" w:rsidP="00746940">
            <w:pPr>
              <w:pBdr>
                <w:top w:val="nil"/>
                <w:left w:val="nil"/>
                <w:bottom w:val="nil"/>
                <w:right w:val="nil"/>
                <w:between w:val="nil"/>
              </w:pBdr>
              <w:spacing w:before="60" w:after="60" w:line="240" w:lineRule="auto"/>
              <w:jc w:val="center"/>
              <w:rPr>
                <w:color w:val="000000"/>
                <w:sz w:val="28"/>
                <w:szCs w:val="28"/>
              </w:rPr>
            </w:pPr>
            <w:r w:rsidRPr="00AC1F76">
              <w:rPr>
                <w:rFonts w:ascii="Segoe UI Symbol" w:eastAsia="Noto Sans Symbols" w:hAnsi="Segoe UI Symbol" w:cs="Segoe UI Symbol"/>
                <w:color w:val="000000"/>
                <w:sz w:val="28"/>
                <w:szCs w:val="28"/>
              </w:rPr>
              <w:t>🗴</w:t>
            </w:r>
          </w:p>
        </w:tc>
      </w:tr>
    </w:tbl>
    <w:p w14:paraId="00000578" w14:textId="77777777" w:rsidR="00A758FD" w:rsidRPr="00C0338D" w:rsidRDefault="00A758FD">
      <w:pPr>
        <w:sectPr w:rsidR="00A758FD" w:rsidRPr="00C0338D" w:rsidSect="0079215C">
          <w:pgSz w:w="16838" w:h="11906" w:orient="landscape"/>
          <w:pgMar w:top="1138" w:right="1138" w:bottom="1138" w:left="1138" w:header="216" w:footer="720" w:gutter="0"/>
          <w:cols w:space="720"/>
        </w:sectPr>
      </w:pPr>
    </w:p>
    <w:p w14:paraId="00000579" w14:textId="1D7F3FBD" w:rsidR="00A758FD" w:rsidRPr="00867B00" w:rsidRDefault="00C81287" w:rsidP="00867B00">
      <w:pPr>
        <w:keepNext/>
        <w:pBdr>
          <w:top w:val="nil"/>
          <w:left w:val="nil"/>
          <w:bottom w:val="nil"/>
          <w:right w:val="nil"/>
          <w:between w:val="nil"/>
        </w:pBdr>
        <w:spacing w:before="240" w:after="120" w:line="240" w:lineRule="auto"/>
        <w:rPr>
          <w:b/>
          <w:color w:val="000000"/>
        </w:rPr>
      </w:pPr>
      <w:bookmarkStart w:id="461" w:name="_heading=h.2mn7vak" w:colFirst="0" w:colLast="0"/>
      <w:bookmarkStart w:id="462" w:name="_Ref104971682"/>
      <w:bookmarkStart w:id="463" w:name="_Ref528244110"/>
      <w:bookmarkStart w:id="464" w:name="_Toc87553790"/>
      <w:bookmarkStart w:id="465" w:name="_Toc87623089"/>
      <w:bookmarkStart w:id="466" w:name="_Toc147489085"/>
      <w:bookmarkStart w:id="467" w:name="_Toc531848088"/>
      <w:bookmarkEnd w:id="461"/>
      <w:r w:rsidRPr="00867B00">
        <w:rPr>
          <w:b/>
          <w:color w:val="000000"/>
        </w:rPr>
        <w:lastRenderedPageBreak/>
        <w:t>Table 5</w:t>
      </w:r>
      <w:r w:rsidR="00573C78" w:rsidRPr="00867B00">
        <w:rPr>
          <w:b/>
        </w:rPr>
        <w:t>.</w:t>
      </w:r>
      <w:r w:rsidR="00FA6BBC" w:rsidRPr="00867B00">
        <w:rPr>
          <w:b/>
        </w:rPr>
        <w:fldChar w:fldCharType="begin"/>
      </w:r>
      <w:r w:rsidR="00FA6BBC" w:rsidRPr="00867B00">
        <w:rPr>
          <w:b/>
        </w:rPr>
        <w:instrText xml:space="preserve"> SEQ Table_5. \* ARABIC </w:instrText>
      </w:r>
      <w:r w:rsidR="00FA6BBC" w:rsidRPr="00867B00">
        <w:rPr>
          <w:b/>
        </w:rPr>
        <w:fldChar w:fldCharType="separate"/>
      </w:r>
      <w:r w:rsidR="00DC77F8" w:rsidRPr="00867B00">
        <w:rPr>
          <w:b/>
          <w:noProof/>
        </w:rPr>
        <w:t>8</w:t>
      </w:r>
      <w:r w:rsidR="00FA6BBC" w:rsidRPr="00867B00">
        <w:rPr>
          <w:b/>
        </w:rPr>
        <w:fldChar w:fldCharType="end"/>
      </w:r>
      <w:bookmarkEnd w:id="462"/>
      <w:bookmarkEnd w:id="463"/>
      <w:bookmarkEnd w:id="464"/>
      <w:bookmarkEnd w:id="465"/>
      <w:r w:rsidR="006C18D2" w:rsidRPr="00867B00">
        <w:rPr>
          <w:b/>
        </w:rPr>
        <w:t>.</w:t>
      </w:r>
      <w:r w:rsidRPr="00867B00">
        <w:rPr>
          <w:color w:val="000000"/>
        </w:rPr>
        <w:t xml:space="preserve"> Comparative guide to decision</w:t>
      </w:r>
      <w:r w:rsidR="00A91F9F">
        <w:rPr>
          <w:color w:val="000000"/>
        </w:rPr>
        <w:t>-</w:t>
      </w:r>
      <w:r w:rsidRPr="00867B00">
        <w:rPr>
          <w:color w:val="000000"/>
        </w:rPr>
        <w:t xml:space="preserve">support tools and technologies discussed in </w:t>
      </w:r>
      <w:r w:rsidRPr="00867B00">
        <w:rPr>
          <w:b/>
          <w:color w:val="000000"/>
        </w:rPr>
        <w:t>sections 5.2</w:t>
      </w:r>
      <w:r w:rsidRPr="00867B00">
        <w:rPr>
          <w:color w:val="000000"/>
        </w:rPr>
        <w:t xml:space="preserve"> and </w:t>
      </w:r>
      <w:r w:rsidRPr="00867B00">
        <w:rPr>
          <w:b/>
          <w:color w:val="000000"/>
        </w:rPr>
        <w:t>5.4</w:t>
      </w:r>
      <w:bookmarkEnd w:id="466"/>
      <w:r w:rsidRPr="00867B00">
        <w:rPr>
          <w:b/>
          <w:color w:val="000000"/>
        </w:rPr>
        <w:t xml:space="preserve"> </w:t>
      </w:r>
    </w:p>
    <w:p w14:paraId="0000057A" w14:textId="7B6919A5" w:rsidR="00A758FD" w:rsidRPr="00C0338D" w:rsidRDefault="00C81287">
      <w:pPr>
        <w:spacing w:after="120" w:line="240" w:lineRule="auto"/>
      </w:pPr>
      <w:r w:rsidRPr="00C0338D">
        <w:t>This table provides an assessment of decision</w:t>
      </w:r>
      <w:r w:rsidR="00A91F9F">
        <w:t>-</w:t>
      </w:r>
      <w:r w:rsidRPr="00C0338D">
        <w:t>support tools and technologies for cost</w:t>
      </w:r>
      <w:r w:rsidR="005D7B59">
        <w:t>-</w:t>
      </w:r>
      <w:r w:rsidRPr="00C0338D">
        <w:t>effectiveness, the time between the application of the technology and some desired outcome/impact and relevance of application at different spatial scales of response or management. Decision</w:t>
      </w:r>
      <w:r w:rsidR="00A91F9F">
        <w:t>-</w:t>
      </w:r>
      <w:r w:rsidRPr="00C0338D">
        <w:t xml:space="preserve">support tools and technologies were assessed with consideration to the contexts in which they are used, as discussed in the individual technology specific subsections. Timeframe of benefit can be: short (quick but effective only in the short-term effective); medium (effective only in the medium term); long (within years of application and providing long-term effectiveness). The assessment categories are: generally relevant </w:t>
      </w:r>
      <w:r>
        <w:t>(</w:t>
      </w:r>
      <w:r>
        <w:rPr>
          <w:rFonts w:ascii="Noto Sans Symbols" w:eastAsia="Noto Sans Symbols" w:hAnsi="Noto Sans Symbols" w:cs="Noto Sans Symbols"/>
          <w:color w:val="000000"/>
          <w:sz w:val="28"/>
          <w:szCs w:val="28"/>
        </w:rPr>
        <w:t>✓</w:t>
      </w:r>
      <w:r>
        <w:t>),</w:t>
      </w:r>
      <w:r w:rsidRPr="00C0338D">
        <w:t xml:space="preserve"> not generally relevant (</w:t>
      </w:r>
      <w:r w:rsidR="00746940" w:rsidRPr="0070538B">
        <w:rPr>
          <w:rFonts w:ascii="Segoe UI Symbol" w:eastAsia="Noto Sans Symbols" w:hAnsi="Segoe UI Symbol" w:cs="Segoe UI Symbol"/>
          <w:color w:val="000000"/>
          <w:sz w:val="28"/>
          <w:szCs w:val="28"/>
        </w:rPr>
        <w:t>🗴</w:t>
      </w:r>
      <w:r w:rsidRPr="00C0338D">
        <w:t>)</w:t>
      </w:r>
      <w:r w:rsidR="00C16EEB">
        <w:t xml:space="preserve"> and</w:t>
      </w:r>
      <w:r w:rsidRPr="00C0338D">
        <w:t xml:space="preserve"> some relevance </w:t>
      </w:r>
      <w:r>
        <w:t>(</w:t>
      </w:r>
      <w:r w:rsidR="00746940" w:rsidRPr="0070538B">
        <w:rPr>
          <w:rFonts w:ascii="Segoe UI Symbol" w:eastAsia="Noto Sans Symbols" w:hAnsi="Segoe UI Symbol" w:cs="Segoe UI Symbol"/>
          <w:color w:val="000000"/>
          <w:sz w:val="28"/>
          <w:szCs w:val="28"/>
        </w:rPr>
        <w:t>🗴</w:t>
      </w:r>
      <w:r w:rsidR="0081530F">
        <w:rPr>
          <w:rFonts w:ascii="Noto Sans Symbols" w:eastAsia="Noto Sans Symbols" w:hAnsi="Noto Sans Symbols" w:cs="Noto Sans Symbols"/>
          <w:color w:val="000000"/>
          <w:sz w:val="28"/>
          <w:szCs w:val="28"/>
        </w:rPr>
        <w:t>✓</w:t>
      </w:r>
      <w:r w:rsidRPr="00C0338D">
        <w:t>), with footnotes providing additional information.</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245"/>
        <w:gridCol w:w="1620"/>
        <w:gridCol w:w="1620"/>
        <w:gridCol w:w="630"/>
        <w:gridCol w:w="1350"/>
        <w:gridCol w:w="1080"/>
        <w:gridCol w:w="1031"/>
      </w:tblGrid>
      <w:tr w:rsidR="003666A4" w14:paraId="008FD7EC" w14:textId="77777777" w:rsidTr="00AC1F76">
        <w:trPr>
          <w:tblHeade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7B" w14:textId="77777777" w:rsidR="00A758FD" w:rsidRPr="00867B00" w:rsidRDefault="00C81287" w:rsidP="00867B00">
            <w:pPr>
              <w:pBdr>
                <w:top w:val="nil"/>
                <w:left w:val="nil"/>
                <w:bottom w:val="nil"/>
                <w:right w:val="nil"/>
                <w:between w:val="nil"/>
              </w:pBdr>
              <w:spacing w:before="60" w:after="60" w:line="240" w:lineRule="auto"/>
              <w:rPr>
                <w:b/>
                <w:color w:val="FFFFFF"/>
                <w:sz w:val="18"/>
              </w:rPr>
            </w:pPr>
            <w:bookmarkStart w:id="468" w:name="_Toc69314016"/>
            <w:bookmarkStart w:id="469" w:name="_Toc87623154"/>
            <w:bookmarkStart w:id="470" w:name="_Toc26706009"/>
            <w:bookmarkEnd w:id="467"/>
            <w:r w:rsidRPr="00867B00">
              <w:rPr>
                <w:b/>
                <w:color w:val="000000"/>
                <w:sz w:val="18"/>
              </w:rPr>
              <w:t>Technology</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7C" w14:textId="77777777" w:rsidR="00A758FD" w:rsidRPr="00C0338D" w:rsidRDefault="00C81287">
            <w:r w:rsidRPr="00C0338D">
              <w:t>Cost-effectiveness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7D" w14:textId="77777777" w:rsidR="00A758FD" w:rsidRPr="00C0338D" w:rsidRDefault="00C81287">
            <w:r w:rsidRPr="00C0338D">
              <w:t>Timeframe of benefit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7E" w14:textId="77777777" w:rsidR="00A758FD" w:rsidRPr="00C0338D" w:rsidRDefault="00C81287">
            <w:r w:rsidRPr="00C0338D">
              <w:t>Site</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7F" w14:textId="77777777" w:rsidR="00A758FD" w:rsidRPr="00C0338D" w:rsidRDefault="00C81287">
            <w:r w:rsidRPr="00C0338D">
              <w:t>Catchment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80" w14:textId="77777777" w:rsidR="00A758FD" w:rsidRPr="00C0338D" w:rsidRDefault="00C81287">
            <w:r w:rsidRPr="00C0338D">
              <w:t>Region (within country)</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0000581" w14:textId="77777777" w:rsidR="00A758FD" w:rsidRPr="00C0338D" w:rsidRDefault="00C81287">
            <w:r w:rsidRPr="00C0338D">
              <w:t>Country</w:t>
            </w:r>
          </w:p>
        </w:tc>
      </w:tr>
      <w:tr w:rsidR="003666A4" w14:paraId="295B361A"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582" w14:textId="6D6CE8F4"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b/>
                <w:color w:val="000000"/>
                <w:sz w:val="18"/>
              </w:rPr>
              <w:t>Decision</w:t>
            </w:r>
            <w:r w:rsidR="00A91F9F">
              <w:rPr>
                <w:b/>
                <w:color w:val="000000"/>
                <w:sz w:val="18"/>
              </w:rPr>
              <w:t>-</w:t>
            </w:r>
            <w:r w:rsidRPr="00867B00">
              <w:rPr>
                <w:b/>
                <w:color w:val="000000"/>
                <w:sz w:val="18"/>
              </w:rPr>
              <w:t>support tools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83"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84" w14:textId="77777777" w:rsidR="00A758FD" w:rsidRPr="00867B00" w:rsidRDefault="00A758FD" w:rsidP="00867B00">
            <w:pPr>
              <w:pBdr>
                <w:top w:val="nil"/>
                <w:left w:val="nil"/>
                <w:bottom w:val="nil"/>
                <w:right w:val="nil"/>
                <w:between w:val="nil"/>
              </w:pBdr>
              <w:spacing w:before="60" w:after="60" w:line="240" w:lineRule="auto"/>
              <w:jc w:val="center"/>
              <w:rPr>
                <w:color w:val="000000"/>
                <w:sz w:val="18"/>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85"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86"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87"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88"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r>
      <w:tr w:rsidR="00A758FD" w14:paraId="2B375439"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89" w14:textId="0631BC26"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Qualitative and quantitative decision</w:t>
            </w:r>
            <w:r w:rsidR="00A91F9F">
              <w:rPr>
                <w:color w:val="000000"/>
                <w:sz w:val="18"/>
              </w:rPr>
              <w:t>-</w:t>
            </w:r>
            <w:r w:rsidRPr="00867B00">
              <w:rPr>
                <w:color w:val="000000"/>
                <w:sz w:val="18"/>
              </w:rPr>
              <w:t xml:space="preserve">support tools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8A" w14:textId="0BA18CF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8B"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8C" w14:textId="4FA8BC89"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8D" w14:textId="1755BC72"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8E" w14:textId="4F2B31B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8F" w14:textId="471FEEB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04A6C658"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90" w14:textId="3D0BB9AC" w:rsidR="00A758FD" w:rsidRPr="00867B00" w:rsidRDefault="76664189" w:rsidP="00867B00">
            <w:pPr>
              <w:pBdr>
                <w:top w:val="nil"/>
                <w:left w:val="nil"/>
                <w:bottom w:val="nil"/>
                <w:right w:val="nil"/>
                <w:between w:val="nil"/>
              </w:pBdr>
              <w:spacing w:before="60" w:after="60" w:line="240" w:lineRule="auto"/>
              <w:rPr>
                <w:color w:val="000000"/>
                <w:sz w:val="18"/>
              </w:rPr>
            </w:pPr>
            <w:r w:rsidRPr="5E4965FB">
              <w:rPr>
                <w:rFonts w:eastAsia="Times New Roman"/>
                <w:color w:val="000000" w:themeColor="text1"/>
                <w:sz w:val="18"/>
                <w:szCs w:val="18"/>
              </w:rPr>
              <w:t>M</w:t>
            </w:r>
            <w:r w:rsidR="5A7C5823" w:rsidRPr="5E4965FB">
              <w:rPr>
                <w:rFonts w:eastAsia="Times New Roman"/>
                <w:color w:val="000000" w:themeColor="text1"/>
                <w:sz w:val="18"/>
                <w:szCs w:val="18"/>
              </w:rPr>
              <w:t>anagement</w:t>
            </w:r>
            <w:r w:rsidR="00C81287" w:rsidRPr="00867B00">
              <w:rPr>
                <w:color w:val="000000" w:themeColor="text1"/>
                <w:sz w:val="18"/>
              </w:rPr>
              <w:t xml:space="preserve"> relevant databases and analytics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1" w14:textId="74912D3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2"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Medium</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3" w14:textId="05DEDA59" w:rsidR="00A758FD" w:rsidRPr="00867B00" w:rsidRDefault="00746940"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70538B">
              <w:rPr>
                <w:rFonts w:ascii="Segoe UI Symbol" w:eastAsia="Noto Sans Symbols" w:hAnsi="Segoe UI Symbol" w:cs="Segoe UI Symbol"/>
                <w:color w:val="000000"/>
                <w:sz w:val="28"/>
                <w:szCs w:val="28"/>
              </w:rPr>
              <w:t>🗴</w:t>
            </w:r>
            <w:r w:rsidR="00C81287">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4" w14:textId="516B3A29" w:rsidR="00A758FD" w:rsidRPr="00867B00" w:rsidRDefault="00746940"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70538B">
              <w:rPr>
                <w:rFonts w:ascii="Segoe UI Symbol" w:eastAsia="Noto Sans Symbols" w:hAnsi="Segoe UI Symbol" w:cs="Segoe UI Symbol"/>
                <w:color w:val="000000"/>
                <w:sz w:val="28"/>
                <w:szCs w:val="28"/>
              </w:rPr>
              <w:t>🗴</w:t>
            </w:r>
            <w:r w:rsidR="00C81287">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5" w14:textId="5742D94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6" w14:textId="6DDF903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3666A4" w14:paraId="0D13DF92"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597"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b/>
                <w:color w:val="000000"/>
                <w:sz w:val="18"/>
              </w:rPr>
              <w:t xml:space="preserve">Surveillance, detection and diagnostics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98"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99" w14:textId="77777777" w:rsidR="00A758FD" w:rsidRPr="00867B00" w:rsidRDefault="00A758FD" w:rsidP="00867B00">
            <w:pPr>
              <w:pBdr>
                <w:top w:val="nil"/>
                <w:left w:val="nil"/>
                <w:bottom w:val="nil"/>
                <w:right w:val="nil"/>
                <w:between w:val="nil"/>
              </w:pBdr>
              <w:spacing w:before="60" w:after="60" w:line="240" w:lineRule="auto"/>
              <w:jc w:val="center"/>
              <w:rPr>
                <w:rFonts w:ascii="Calibri" w:hAnsi="Calibri"/>
                <w:color w:val="000000"/>
                <w:sz w:val="20"/>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9A"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9B"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9C"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9D"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r>
      <w:tr w:rsidR="00A758FD" w14:paraId="4E74ABB5"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9E"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 xml:space="preserve">Digital data mining – crowdsourcing general surveillance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9F" w14:textId="20ADC3F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0"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1" w14:textId="454444B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2" w14:textId="670D9DE3"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3" w14:textId="106EF325"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4" w14:textId="0B72989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746940" w14:paraId="6CEC21C5"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A5" w14:textId="77777777" w:rsidR="00746940" w:rsidRPr="00867B00" w:rsidRDefault="00746940" w:rsidP="00746940">
            <w:pPr>
              <w:pBdr>
                <w:top w:val="nil"/>
                <w:left w:val="nil"/>
                <w:bottom w:val="nil"/>
                <w:right w:val="nil"/>
                <w:between w:val="nil"/>
              </w:pBdr>
              <w:spacing w:before="60" w:after="60" w:line="240" w:lineRule="auto"/>
              <w:rPr>
                <w:color w:val="000000"/>
                <w:sz w:val="18"/>
              </w:rPr>
            </w:pPr>
            <w:r w:rsidRPr="00867B00">
              <w:rPr>
                <w:color w:val="000000"/>
                <w:sz w:val="18"/>
              </w:rPr>
              <w:t xml:space="preserve">Sensor-networks and smart traps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6" w14:textId="465419D7"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7" w14:textId="77777777" w:rsidR="00746940" w:rsidRPr="00867B00" w:rsidRDefault="00746940" w:rsidP="0074694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8" w14:textId="2370302A"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A9" w14:textId="19A308B8"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355A3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AA" w14:textId="1E923BCF"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355A36">
              <w:rPr>
                <w:rFonts w:ascii="Segoe UI Symbol" w:eastAsia="Noto Sans Symbols" w:hAnsi="Segoe UI Symbol" w:cs="Segoe UI Symbol"/>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AB" w14:textId="6B0D3A2E"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355A36">
              <w:rPr>
                <w:rFonts w:ascii="Segoe UI Symbol" w:eastAsia="Noto Sans Symbols" w:hAnsi="Segoe UI Symbol" w:cs="Segoe UI Symbol"/>
                <w:color w:val="000000"/>
                <w:sz w:val="28"/>
                <w:szCs w:val="28"/>
              </w:rPr>
              <w:t>🗴</w:t>
            </w:r>
          </w:p>
        </w:tc>
      </w:tr>
      <w:tr w:rsidR="00746940" w14:paraId="39D87103"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AC" w14:textId="77777777" w:rsidR="00746940" w:rsidRPr="00867B00" w:rsidRDefault="00746940" w:rsidP="00746940">
            <w:pPr>
              <w:pBdr>
                <w:top w:val="nil"/>
                <w:left w:val="nil"/>
                <w:bottom w:val="nil"/>
                <w:right w:val="nil"/>
                <w:between w:val="nil"/>
              </w:pBdr>
              <w:spacing w:before="60" w:after="60" w:line="240" w:lineRule="auto"/>
              <w:rPr>
                <w:color w:val="000000"/>
                <w:sz w:val="18"/>
              </w:rPr>
            </w:pPr>
            <w:r w:rsidRPr="00867B00">
              <w:rPr>
                <w:color w:val="000000"/>
                <w:sz w:val="18"/>
              </w:rPr>
              <w:t xml:space="preserve">Screening technologies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D" w14:textId="41082836"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E" w14:textId="77777777" w:rsidR="00746940" w:rsidRPr="00867B00" w:rsidRDefault="00746940" w:rsidP="0074694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AF" w14:textId="70FB71F6"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B0" w14:textId="757DE993"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355A36">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B1" w14:textId="7A7697C5"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355A36">
              <w:rPr>
                <w:rFonts w:ascii="Segoe UI Symbol" w:eastAsia="Noto Sans Symbols" w:hAnsi="Segoe UI Symbol" w:cs="Segoe UI Symbol"/>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B2" w14:textId="32A96C02"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355A36">
              <w:rPr>
                <w:rFonts w:ascii="Segoe UI Symbol" w:eastAsia="Noto Sans Symbols" w:hAnsi="Segoe UI Symbol" w:cs="Segoe UI Symbol"/>
                <w:color w:val="000000"/>
                <w:sz w:val="28"/>
                <w:szCs w:val="28"/>
              </w:rPr>
              <w:t>🗴</w:t>
            </w:r>
          </w:p>
        </w:tc>
      </w:tr>
      <w:tr w:rsidR="00A758FD" w14:paraId="3F74500A"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B3"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Environmental DNA</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4" w14:textId="794FDC1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5"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6" w14:textId="07BBEDD3"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7" w14:textId="4F9F6E6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8" w14:textId="325C1CF9"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9" w14:textId="12D039F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6C2F6234"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BA"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Sentinel surveillance &amp; monitoring</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B" w14:textId="594CE42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C"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Medium</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D" w14:textId="75DA0FDF"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E" w14:textId="499FDE7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BF" w14:textId="1525556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0" w14:textId="544A9E7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70D7452C"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C1"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Citizen surveillance – data input portals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2" w14:textId="4DAE4F1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3"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Medium-Long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4" w14:textId="331C011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5" w14:textId="5463896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6" w14:textId="099A31E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7" w14:textId="7B78E7FE"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0D859290"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C8"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 xml:space="preserve">Earth observation – remote sensing detection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9" w14:textId="6868F84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A"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B" w14:textId="1E08AE8E"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C" w14:textId="4E1D485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D" w14:textId="28A163EB" w:rsidR="00A758FD" w:rsidRPr="00867B00" w:rsidRDefault="00746940"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70538B">
              <w:rPr>
                <w:rFonts w:ascii="Segoe UI Symbol" w:eastAsia="Noto Sans Symbols" w:hAnsi="Segoe UI Symbol" w:cs="Segoe UI Symbol"/>
                <w:color w:val="000000"/>
                <w:sz w:val="28"/>
                <w:szCs w:val="28"/>
              </w:rPr>
              <w:t>🗴</w:t>
            </w:r>
            <w:r w:rsidR="00C81287">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CE" w14:textId="5282E405" w:rsidR="00A758FD" w:rsidRPr="00867B00" w:rsidRDefault="00746940"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70538B">
              <w:rPr>
                <w:rFonts w:ascii="Segoe UI Symbol" w:eastAsia="Noto Sans Symbols" w:hAnsi="Segoe UI Symbol" w:cs="Segoe UI Symbol"/>
                <w:color w:val="000000"/>
                <w:sz w:val="28"/>
                <w:szCs w:val="28"/>
              </w:rPr>
              <w:t>🗴</w:t>
            </w:r>
            <w:r w:rsidR="00C81287">
              <w:rPr>
                <w:rFonts w:ascii="Noto Sans Symbols" w:eastAsia="Noto Sans Symbols" w:hAnsi="Noto Sans Symbols" w:cs="Noto Sans Symbols"/>
                <w:color w:val="000000"/>
                <w:sz w:val="28"/>
                <w:szCs w:val="28"/>
              </w:rPr>
              <w:t>✓</w:t>
            </w:r>
          </w:p>
        </w:tc>
      </w:tr>
      <w:tr w:rsidR="00A758FD" w14:paraId="58544F3D"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CF"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Automated image-based diagnostics and machine learning</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0" w14:textId="5CF91FF9"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1"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2" w14:textId="5C4C708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3" w14:textId="7B8568B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4" w14:textId="480F42D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5" w14:textId="0C8436CF"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746940" w14:paraId="3570C874"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D6" w14:textId="77777777" w:rsidR="00746940" w:rsidRPr="00867B00" w:rsidRDefault="00746940" w:rsidP="00746940">
            <w:pPr>
              <w:pBdr>
                <w:top w:val="nil"/>
                <w:left w:val="nil"/>
                <w:bottom w:val="nil"/>
                <w:right w:val="nil"/>
                <w:between w:val="nil"/>
              </w:pBdr>
              <w:spacing w:before="60" w:after="60" w:line="240" w:lineRule="auto"/>
              <w:rPr>
                <w:color w:val="000000"/>
                <w:sz w:val="18"/>
              </w:rPr>
            </w:pPr>
            <w:r w:rsidRPr="00867B00">
              <w:rPr>
                <w:color w:val="000000"/>
                <w:sz w:val="18"/>
              </w:rPr>
              <w:t>Volatile detection technologies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7" w14:textId="47374A9D"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8" w14:textId="77777777" w:rsidR="00746940" w:rsidRPr="00867B00" w:rsidRDefault="00746940" w:rsidP="0074694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9" w14:textId="2F363158"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DA" w14:textId="02726FC2"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0C652F">
              <w:rPr>
                <w:rFonts w:ascii="Segoe UI Symbol" w:eastAsia="Noto Sans Symbols" w:hAnsi="Segoe UI Symbol" w:cs="Segoe UI Symbol"/>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DB" w14:textId="7B361414"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0C652F">
              <w:rPr>
                <w:rFonts w:ascii="Segoe UI Symbol" w:eastAsia="Noto Sans Symbols" w:hAnsi="Segoe UI Symbol" w:cs="Segoe UI Symbol"/>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DC" w14:textId="64AD42B8"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0C652F">
              <w:rPr>
                <w:rFonts w:ascii="Segoe UI Symbol" w:eastAsia="Noto Sans Symbols" w:hAnsi="Segoe UI Symbol" w:cs="Segoe UI Symbol"/>
                <w:color w:val="000000"/>
                <w:sz w:val="28"/>
                <w:szCs w:val="28"/>
              </w:rPr>
              <w:t>🗴</w:t>
            </w:r>
          </w:p>
        </w:tc>
      </w:tr>
      <w:tr w:rsidR="00746940" w14:paraId="6113FDA6"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DD" w14:textId="77777777" w:rsidR="00746940" w:rsidRPr="00867B00" w:rsidRDefault="00746940" w:rsidP="00746940">
            <w:pPr>
              <w:pBdr>
                <w:top w:val="nil"/>
                <w:left w:val="nil"/>
                <w:bottom w:val="nil"/>
                <w:right w:val="nil"/>
                <w:between w:val="nil"/>
              </w:pBdr>
              <w:spacing w:before="60" w:after="60" w:line="240" w:lineRule="auto"/>
              <w:rPr>
                <w:color w:val="000000"/>
                <w:sz w:val="18"/>
              </w:rPr>
            </w:pPr>
            <w:r w:rsidRPr="00867B00">
              <w:rPr>
                <w:color w:val="000000"/>
                <w:sz w:val="18"/>
              </w:rPr>
              <w:t>Pheromone and semiochemichal lures</w:t>
            </w:r>
            <w:r w:rsidRPr="00A4003D">
              <w:rPr>
                <w:rStyle w:val="FootnoteReference"/>
              </w:rPr>
              <w:footnoteReference w:id="21"/>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E" w14:textId="4D0FBB4F"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DF" w14:textId="77777777" w:rsidR="00746940" w:rsidRPr="00867B00" w:rsidRDefault="00746940" w:rsidP="0074694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0" w14:textId="6F91A455"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1" w14:textId="415A3A87"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E2" w14:textId="65E57C8F"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2678F7">
              <w:rPr>
                <w:rFonts w:ascii="Segoe UI Symbol" w:eastAsia="Noto Sans Symbols" w:hAnsi="Segoe UI Symbol" w:cs="Segoe UI Symbol"/>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E3" w14:textId="2FE8737C" w:rsidR="00746940" w:rsidRPr="00867B00" w:rsidRDefault="00746940" w:rsidP="0074694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2678F7">
              <w:rPr>
                <w:rFonts w:ascii="Segoe UI Symbol" w:eastAsia="Noto Sans Symbols" w:hAnsi="Segoe UI Symbol" w:cs="Segoe UI Symbol"/>
                <w:color w:val="000000"/>
                <w:sz w:val="28"/>
                <w:szCs w:val="28"/>
              </w:rPr>
              <w:t>🗴</w:t>
            </w:r>
          </w:p>
        </w:tc>
      </w:tr>
      <w:tr w:rsidR="00A758FD" w14:paraId="56F6C011"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E4"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Acoustic/ultrasound sensors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5" w14:textId="7B01A47E"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6"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7" w14:textId="09105EC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8"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9"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A"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53332231"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EB"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Point of Care / Lab on a chip, rapid test diagnostics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C" w14:textId="540FB1A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D"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E" w14:textId="791F65E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EF" w14:textId="4496248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0" w14:textId="4F03B9B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1" w14:textId="5CF777B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6BB39FB8"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5F2"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lastRenderedPageBreak/>
              <w:t xml:space="preserve">Track and trace genomics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3" w14:textId="1CB7AA9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4"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5" w14:textId="4D17AB1C"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6" w14:textId="200C259E"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7" w14:textId="0D0BED1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5F8" w14:textId="1D92C11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3666A4" w14:paraId="65034197"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tcPr>
          <w:p w14:paraId="000005F9"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b/>
                <w:color w:val="000000"/>
                <w:sz w:val="18"/>
              </w:rPr>
              <w:t>Intervention/control technologies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FA"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FB" w14:textId="77777777" w:rsidR="00A758FD" w:rsidRPr="00867B00" w:rsidRDefault="00A758FD" w:rsidP="00867B00">
            <w:pPr>
              <w:pBdr>
                <w:top w:val="nil"/>
                <w:left w:val="nil"/>
                <w:bottom w:val="nil"/>
                <w:right w:val="nil"/>
                <w:between w:val="nil"/>
              </w:pBdr>
              <w:spacing w:before="60" w:after="60" w:line="240" w:lineRule="auto"/>
              <w:jc w:val="center"/>
              <w:rPr>
                <w:rFonts w:ascii="Calibri" w:hAnsi="Calibri"/>
                <w:color w:val="000000"/>
                <w:sz w:val="20"/>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FC"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FD"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FE"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000005FF" w14:textId="77777777" w:rsidR="00A758FD" w:rsidRPr="00867B00" w:rsidRDefault="00A758FD"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p>
        </w:tc>
      </w:tr>
      <w:tr w:rsidR="00A758FD" w14:paraId="48F81F7D"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00"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 xml:space="preserve">Mechanical &amp; manual approaches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1" w14:textId="7C350E93"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rPr>
              <w:t>✓</w:t>
            </w:r>
            <w:r>
              <w:rPr>
                <w:rFonts w:eastAsia="Times New Roman"/>
                <w:color w:val="000000"/>
                <w:vertAlign w:val="superscript"/>
              </w:rPr>
              <w:t>19</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2"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3" w14:textId="1A7D2985"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4" w14:textId="4EAEA09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5"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6"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71DCCBE2"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07"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Pesticide management of invasive alien animals and plants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8" w14:textId="2D738BA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rPr>
              <w:t>✓</w:t>
            </w:r>
            <w:r>
              <w:rPr>
                <w:rFonts w:eastAsia="Times New Roman"/>
                <w:color w:val="000000"/>
                <w:vertAlign w:val="superscript"/>
              </w:rPr>
              <w:t>19</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9"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Short-medium</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A" w14:textId="44C13B5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B" w14:textId="440D6E5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C"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D"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4C3F573D"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0E"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Robotic technology for targeted management measures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0F" w14:textId="524FBAC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bookmarkStart w:id="471" w:name="_heading=h.3ls5o66" w:colFirst="0" w:colLast="0"/>
            <w:bookmarkEnd w:id="471"/>
            <w:r>
              <w:rPr>
                <w:rFonts w:ascii="Noto Sans Symbols" w:eastAsia="Noto Sans Symbols" w:hAnsi="Noto Sans Symbols" w:cs="Noto Sans Symbols"/>
                <w:color w:val="000000"/>
              </w:rPr>
              <w:t>✓</w:t>
            </w:r>
            <w:bookmarkStart w:id="472" w:name="_Ref112934407"/>
            <w:r w:rsidRPr="00A4003D">
              <w:rPr>
                <w:rStyle w:val="FootnoteReference"/>
              </w:rPr>
              <w:footnoteReference w:id="22"/>
            </w:r>
            <w:bookmarkEnd w:id="472"/>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0"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1" w14:textId="57BC573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2" w14:textId="6F6A3E9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3" w14:textId="59F09C8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4"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3502A344"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15"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Lethal control of invasive alien vertebrate pests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6" w14:textId="7EB27169"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7"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Short-Medium</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8" w14:textId="1EB5BF1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9" w14:textId="3D705EDF"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A" w14:textId="1AF46D7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B"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0A8258E6"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1C"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Fertility control for invasive alien vertebrates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D" w14:textId="2E189A5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r w:rsidRPr="00A4003D">
              <w:rPr>
                <w:rStyle w:val="FootnoteReference"/>
              </w:rPr>
              <w:footnoteReference w:id="23"/>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E"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Short-Medium</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1F" w14:textId="00E5DE3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0" w14:textId="0D8A98F5"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1"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2"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1F157941"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23"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Classical biological control of invasive plants &amp; invertebrates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4" w14:textId="191AB29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rPr>
              <w:t>✓</w:t>
            </w:r>
            <w:r w:rsidRPr="00A4003D">
              <w:rPr>
                <w:rStyle w:val="FootnoteReference"/>
              </w:rPr>
              <w:footnoteReference w:id="24"/>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5"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Medium-Long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6" w14:textId="30422A0E"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7" w14:textId="7554191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8" w14:textId="365359D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9" w14:textId="36A969B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507ECE68"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2A"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Sterile insect technique etc.</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B" w14:textId="1C4858B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bookmarkStart w:id="473" w:name="_heading=h.20xfydz" w:colFirst="0" w:colLast="0"/>
            <w:bookmarkEnd w:id="473"/>
            <w:r>
              <w:rPr>
                <w:rFonts w:ascii="Noto Sans Symbols" w:eastAsia="Noto Sans Symbols" w:hAnsi="Noto Sans Symbols" w:cs="Noto Sans Symbols"/>
                <w:color w:val="000000"/>
                <w:sz w:val="28"/>
                <w:szCs w:val="28"/>
              </w:rPr>
              <w:t>✓</w:t>
            </w:r>
            <w:bookmarkStart w:id="474" w:name="_Ref112934437"/>
            <w:r w:rsidRPr="00A4003D">
              <w:rPr>
                <w:rStyle w:val="FootnoteReference"/>
              </w:rPr>
              <w:footnoteReference w:id="25"/>
            </w:r>
            <w:bookmarkEnd w:id="474"/>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C"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D" w14:textId="1E7FF471"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E" w14:textId="2DD160F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2F" w14:textId="54822D1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0"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2BC144DF"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31"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Viral biological control of invasive alien vertebrates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2" w14:textId="1D219A69"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3"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Medium-Long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4" w14:textId="2D2D73D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5" w14:textId="43C16302"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6" w14:textId="6D00192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7" w14:textId="37D17CF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307BF7BA"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38"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RNA Interference</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9" w14:textId="7984819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r>
              <w:rPr>
                <w:rFonts w:eastAsia="Times New Roman"/>
                <w:color w:val="000000"/>
                <w:vertAlign w:val="superscript"/>
              </w:rPr>
              <w:t>22</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A"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B" w14:textId="6B6C7DF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C" w14:textId="3C29F76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D"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3E"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6469ADAD"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3F"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Genetic-control approaches (including gene-drive)</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0" w14:textId="3104EF94"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r w:rsidRPr="00A4003D">
              <w:rPr>
                <w:rStyle w:val="FootnoteReference"/>
              </w:rPr>
              <w:footnoteReference w:id="26"/>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1"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2" w14:textId="2567CD5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3" w14:textId="1A3D74E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4" w14:textId="42B968ED"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5" w14:textId="5DFB24BC"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r>
      <w:tr w:rsidR="00A758FD" w14:paraId="4538B4D1"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46"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Adaptive integrated management strategies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7" w14:textId="06BD3BEF"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8"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Short-Long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9" w14:textId="24B0E810"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A" w14:textId="31C3760B"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B"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C"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r w:rsidR="00A758FD" w14:paraId="2B7D9024" w14:textId="77777777" w:rsidTr="00AC1F76">
        <w:trPr>
          <w:jc w:val="center"/>
        </w:trPr>
        <w:tc>
          <w:tcPr>
            <w:tcW w:w="2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64D" w14:textId="77777777" w:rsidR="00A758FD" w:rsidRPr="00867B00" w:rsidRDefault="00C81287" w:rsidP="00867B00">
            <w:pPr>
              <w:pBdr>
                <w:top w:val="nil"/>
                <w:left w:val="nil"/>
                <w:bottom w:val="nil"/>
                <w:right w:val="nil"/>
                <w:between w:val="nil"/>
              </w:pBdr>
              <w:spacing w:before="60" w:after="60" w:line="240" w:lineRule="auto"/>
              <w:rPr>
                <w:color w:val="000000"/>
                <w:sz w:val="18"/>
              </w:rPr>
            </w:pPr>
            <w:r w:rsidRPr="00867B00">
              <w:rPr>
                <w:color w:val="000000"/>
                <w:sz w:val="18"/>
              </w:rPr>
              <w:t>Ecosystem restoration</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E" w14:textId="407E55DA"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4F" w14:textId="77777777" w:rsidR="00A758FD" w:rsidRPr="00867B00" w:rsidRDefault="00C81287" w:rsidP="00867B00">
            <w:pPr>
              <w:pBdr>
                <w:top w:val="nil"/>
                <w:left w:val="nil"/>
                <w:bottom w:val="nil"/>
                <w:right w:val="nil"/>
                <w:between w:val="nil"/>
              </w:pBdr>
              <w:spacing w:before="60" w:after="60" w:line="240" w:lineRule="auto"/>
              <w:jc w:val="center"/>
              <w:rPr>
                <w:rFonts w:ascii="Calibri" w:hAnsi="Calibri"/>
                <w:color w:val="000000"/>
                <w:sz w:val="20"/>
              </w:rPr>
            </w:pPr>
            <w:r w:rsidRPr="00867B00">
              <w:rPr>
                <w:rFonts w:ascii="Calibri" w:hAnsi="Calibri"/>
                <w:color w:val="000000"/>
                <w:sz w:val="20"/>
              </w:rPr>
              <w:t>Medium-Long</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50" w14:textId="49B059F8"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51" w14:textId="130A5066"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Pr>
                <w:rFonts w:ascii="Noto Sans Symbols" w:eastAsia="Noto Sans Symbols" w:hAnsi="Noto Sans Symbols" w:cs="Noto Sans Symbols"/>
                <w:color w:val="000000"/>
                <w:sz w:val="28"/>
                <w:szCs w:val="28"/>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52"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c>
          <w:tcPr>
            <w:tcW w:w="103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000653" w14:textId="77777777" w:rsidR="00A758FD" w:rsidRPr="00867B00" w:rsidRDefault="00C81287" w:rsidP="00867B00">
            <w:pPr>
              <w:pBdr>
                <w:top w:val="nil"/>
                <w:left w:val="nil"/>
                <w:bottom w:val="nil"/>
                <w:right w:val="nil"/>
                <w:between w:val="nil"/>
              </w:pBdr>
              <w:spacing w:before="60" w:after="60" w:line="240" w:lineRule="auto"/>
              <w:jc w:val="center"/>
              <w:rPr>
                <w:rFonts w:ascii="Noto Sans Symbols" w:hAnsi="Noto Sans Symbols" w:hint="eastAsia"/>
                <w:color w:val="000000"/>
                <w:sz w:val="28"/>
              </w:rPr>
            </w:pPr>
            <w:r w:rsidRPr="00867B00">
              <w:rPr>
                <w:rFonts w:ascii="Calibri" w:hAnsi="Calibri"/>
                <w:color w:val="000000"/>
              </w:rPr>
              <w:t>X</w:t>
            </w:r>
          </w:p>
        </w:tc>
      </w:tr>
    </w:tbl>
    <w:p w14:paraId="00000654" w14:textId="77777777" w:rsidR="00A758FD" w:rsidRPr="00867B00" w:rsidRDefault="00C81287">
      <w:pPr>
        <w:spacing w:after="160"/>
        <w:rPr>
          <w:b/>
        </w:rPr>
      </w:pPr>
      <w:r w:rsidRPr="00867B00">
        <w:br w:type="page"/>
      </w:r>
    </w:p>
    <w:p w14:paraId="00000655" w14:textId="0FA107A3" w:rsidR="00A758FD" w:rsidRPr="00C0338D" w:rsidRDefault="00C81287" w:rsidP="002F2F42">
      <w:pPr>
        <w:pStyle w:val="Heading1"/>
      </w:pPr>
      <w:bookmarkStart w:id="475" w:name="_Toc146810115"/>
      <w:bookmarkStart w:id="476" w:name="_Toc131681654"/>
      <w:bookmarkStart w:id="477" w:name="_Toc149555480"/>
      <w:r w:rsidRPr="00C0338D">
        <w:lastRenderedPageBreak/>
        <w:t>Management strategies</w:t>
      </w:r>
      <w:bookmarkEnd w:id="475"/>
      <w:bookmarkEnd w:id="476"/>
      <w:bookmarkEnd w:id="477"/>
      <w:r w:rsidRPr="00C0338D">
        <w:t xml:space="preserve"> </w:t>
      </w:r>
      <w:bookmarkEnd w:id="468"/>
      <w:bookmarkEnd w:id="469"/>
    </w:p>
    <w:bookmarkEnd w:id="470"/>
    <w:p w14:paraId="00000656" w14:textId="5B6BC0E1" w:rsidR="00A758FD" w:rsidRPr="00C0338D" w:rsidRDefault="00C81287">
      <w:pPr>
        <w:spacing w:before="240" w:after="120" w:line="240" w:lineRule="auto"/>
      </w:pPr>
      <w:r w:rsidRPr="00C0338D">
        <w:t xml:space="preserve">This section reviews the effectiveness, successes and failures of pathway management (prevention) and </w:t>
      </w:r>
      <w:r w:rsidR="00B3227D" w:rsidRPr="00C0338D">
        <w:t>species-</w:t>
      </w:r>
      <w:r w:rsidR="00B3227D">
        <w:t>based</w:t>
      </w:r>
      <w:r w:rsidRPr="00C0338D">
        <w:t xml:space="preserve"> (eradication, containment, control) and site- and ecosystem-based (integrated management and restoration) management illustrated with case studies. </w:t>
      </w:r>
    </w:p>
    <w:p w14:paraId="00000657" w14:textId="77777777" w:rsidR="00A758FD" w:rsidRPr="00C0338D" w:rsidRDefault="00C81287" w:rsidP="002F2F42">
      <w:pPr>
        <w:pStyle w:val="Heading2"/>
      </w:pPr>
      <w:bookmarkStart w:id="478" w:name="_Toc69314018"/>
      <w:bookmarkStart w:id="479" w:name="_Toc146810116"/>
      <w:bookmarkStart w:id="480" w:name="_Toc87623156"/>
      <w:bookmarkStart w:id="481" w:name="_Toc131681655"/>
      <w:bookmarkStart w:id="482" w:name="_Toc149555481"/>
      <w:r w:rsidRPr="00C0338D">
        <w:t>Prevention</w:t>
      </w:r>
      <w:bookmarkEnd w:id="478"/>
      <w:r w:rsidRPr="00C0338D">
        <w:t xml:space="preserve"> – managing pathways</w:t>
      </w:r>
      <w:bookmarkEnd w:id="479"/>
      <w:bookmarkEnd w:id="480"/>
      <w:bookmarkEnd w:id="481"/>
      <w:bookmarkEnd w:id="482"/>
    </w:p>
    <w:p w14:paraId="39386AEF" w14:textId="4FD36C40" w:rsidR="00066A7E" w:rsidRPr="00837161" w:rsidRDefault="00066A7E" w:rsidP="00C11DFA">
      <w:pPr>
        <w:spacing w:before="240" w:after="120" w:line="240" w:lineRule="auto"/>
        <w:rPr>
          <w:color w:val="000000"/>
        </w:rPr>
      </w:pPr>
      <w:r w:rsidRPr="00837161">
        <w:t xml:space="preserve">It is widely accepted that preventing invasive alien species introductions, where possible, is the most cost-effective initial response to managing aquatic and terrestrial biological invasions </w:t>
      </w:r>
      <w:r w:rsidRPr="00837161">
        <w:fldChar w:fldCharType="begin"/>
      </w:r>
      <w:r w:rsidR="000F35EB">
        <w:instrText xml:space="preserve"> ADDIN ZOTERO_ITEM CSL_CITATION {"citationID":"huz0R16B","properties":{"formattedCitation":"(Wittenberg &amp; Cock, 2003)","plainCitation":"(Wittenberg &amp; Cock, 2003)","noteIndex":0},"citationItems":[{"id":30901,"uris":["http://zotero.org/groups/2352922/items/BF78N7XH"],"itemData":{"id":30901,"type":"book","abstract":"Invasive alien species are recognised as one of the leading threats to biodiversity and also impose enormous costs on agriculture, forestry, fisheries, and other\nhuman enterprises, as well as on human health. Rapidly accelerating human trade, tourism, transport, and travel over the past century have dramatically enhanced the spread of invasive species, allowing them to surmount natural geographic barriers. Not all non-indigenous species are harmful. In fact the majority of species used in agriculture, forestry and fisheries are alien species.\nThus, the initial step in a national programme must be to distinguish the harmful from the harmless alien species and identify the impacts of the former on native biodiversity.\nDevelopment of a national strategy summarizing goals and objectives should be the first step in formulating an alien species plan. The ultimate goal of the strategy should be preservation or restoration of healthy ecosystems. An initial assessment, including a survey of native and alien species (and their impacts) will help define the starting-point and serve as a base for comparison as the programme progresses. The support of all stakeholders must be engaged during the entire programme, ideally using a social marketing campaign. Legal and institutional frameworks will define the basic opportunities for prevention and management of invasive alien species. There are four major options (or better, steps) for dealing with alien species: 1) prevention, 2) early detection, 3)\neradication, and 4) control (Figure 1).\nPrevention of introductions is the first and most cost-effective option. This lesson has been learned the hard way from several cases of highly destructive and costly invasive organisms such as the zebra mussel in the Great Lakes. Had such species\nbeen intercepted at the outset, an enormous loss of native species and/or money could have been prevented. Exclusion methods based on pathways rather than on\nindividual species provide the most efficient way to concentrate efforts at sites where pests are most likely to enter national boundaries and to intercept several potential invaders linked to a single pathway. Three major possibilities to prevent\nfurther invasions exist: 1) interception based on regulations enforced with\ninspections and fees, 2) treatment of material suspected to be  contaminated with\nnon-indigenous species, and 3) prohibition of particular commodities in accordance with international regulations. Deliberate introductions of non-indigenous species should all be subject to an import risk assessment.\nEarly detection of a potential invasive species is often crucial in determining\nwhether eradication of the species is feasible. The possibility of early eradication or at least of effectively containing a new coloniser makes investment in early detection worthwhile. Early detection in the form of surveys may focus on a\nspecies of concern or on a specific site. Species-specific surveys are designed, adapted or developed for a specific situation, taking into consideration the ecology of the target species. Site-specific surveys are targeted to detect invaders in the\nvicinity of high-risk entry points or in high value biodiversity areas.","event-place":"Wallingford, Oxon, UK","ISBN":"0 85199 569 1","language":"English","number-of-pages":"228","publisher":"CAB International","publisher-place":"Wallingford, Oxon, UK","title":"Invasive Alien Species: A Toolkit of Best Prevention and Management Practices","URL":"https://www.cabidigitallibrary.org/doi/10.1079/9780851995694.0000","author":[{"family":"Wittenberg","given":"R"},{"family":"Cock","given":"Matthew J. W."}],"issued":{"date-parts":[["2003"]]}}}],"schema":"https://github.com/citation-style-language/schema/raw/master/csl-citation.json"} </w:instrText>
      </w:r>
      <w:r w:rsidRPr="00837161">
        <w:fldChar w:fldCharType="separate"/>
      </w:r>
      <w:r w:rsidR="00271B78" w:rsidRPr="00271B78">
        <w:t>(Wittenberg &amp; Cock, 2003)</w:t>
      </w:r>
      <w:r w:rsidRPr="00837161">
        <w:fldChar w:fldCharType="end"/>
      </w:r>
      <w:r w:rsidRPr="00837161">
        <w:t xml:space="preserve">, but for marine </w:t>
      </w:r>
      <w:r w:rsidR="00061172" w:rsidRPr="00837161">
        <w:t xml:space="preserve">biological </w:t>
      </w:r>
      <w:r w:rsidRPr="00837161">
        <w:t xml:space="preserve">invasions it is </w:t>
      </w:r>
      <w:r w:rsidR="00C818E5">
        <w:t>currently</w:t>
      </w:r>
      <w:r w:rsidR="00C818E5" w:rsidRPr="00837161">
        <w:t xml:space="preserve"> </w:t>
      </w:r>
      <w:r w:rsidRPr="00837161">
        <w:t xml:space="preserve">the only </w:t>
      </w:r>
      <w:r w:rsidR="0054613F" w:rsidRPr="00837161">
        <w:t xml:space="preserve">efficient </w:t>
      </w:r>
      <w:r w:rsidRPr="00837161">
        <w:t xml:space="preserve">option </w:t>
      </w:r>
      <w:r w:rsidRPr="00837161">
        <w:fldChar w:fldCharType="begin"/>
      </w:r>
      <w:r w:rsidR="000F35EB">
        <w:instrText xml:space="preserve"> ADDIN ZOTERO_ITEM CSL_CITATION {"citationID":"mf2ZypJO","properties":{"unsorted":true,"formattedCitation":"(Hewitt &amp; Campbell, 2007; B. Galil et al., 2019)","plainCitation":"(Hewitt &amp; Campbell, 2007; B. Galil et al., 2019)","dontUpdate":true,"noteIndex":0},"citationItems":[{"id":31702,"uris":["http://zotero.org/groups/2352922/items/VS2TFQWX"],"itemData":{"id":31702,"type":"article-journal","container-title":"Marine Pollution Bulletin","DOI":"10.1016/j.marpolbul.2007.01.005","ISSN":"0025326X","issue":"7-9","journalAbbreviation":"Marine Pollution Bulletin","language":"en","page":"395-401","source":"DOI.org (Crossref)","title":"Mechanisms for the prevention of marine bioinvasions for better biosecurity","URL":"https://linkinghub.elsevier.com/retrieve/pii/S0025326X0700015X","volume":"55","author":[{"family":"Hewitt","given":"Chad L."},{"family":"Campbell","given":"Marnie L."}],"accessed":{"date-parts":[["2021",11,11]]},"issued":{"date-parts":[["2007",1]]}}},{"id":30926,"uris":["http://zotero.org/groups/2352922/items/PQ4V5AXH"],"itemData":{"id":30926,"type":"report","genre":"ICES Ad Hoc Report 2019","note":"publisher: ICES","page":"17","source":"DOI.org (Datacite)","title":"ICES Viewpoint background document: Evaluating and mitigating introduction of marine non-native species via vessel bio-fouling.","URL":"https://doi.org/10.17895/ices.pub.4680","author":[{"family":"Galil","given":"Bella S."},{"family":"McKenzie","given":"C."},{"family":"Bailey","given":"S. A."},{"family":"Campbell","given":"M."},{"family":"Davidson","given":"I. C."},{"family":"Drake","given":"L."},{"family":"Hewitt","given":"C."},{"family":"Occhipinti-Ambrogi","given":"A."},{"family":"Piola","given":"R."}],"accessed":{"date-parts":[["2021",11,11]]},"issued":{"date-parts":[["2019"]]}}}],"schema":"https://github.com/citation-style-language/schema/raw/master/csl-citation.json"} </w:instrText>
      </w:r>
      <w:r w:rsidRPr="00837161">
        <w:fldChar w:fldCharType="separate"/>
      </w:r>
      <w:r w:rsidRPr="00837161">
        <w:t>(Hewitt &amp; Campbell, 2007; Galil et al., 2019)</w:t>
      </w:r>
      <w:r w:rsidRPr="00837161">
        <w:fldChar w:fldCharType="end"/>
      </w:r>
      <w:r w:rsidRPr="00837161">
        <w:t>. The imperatives (</w:t>
      </w:r>
      <w:r w:rsidRPr="0079205E">
        <w:rPr>
          <w:b/>
          <w:iCs/>
        </w:rPr>
        <w:t>section 5.1.1</w:t>
      </w:r>
      <w:r w:rsidRPr="00837161">
        <w:t>)</w:t>
      </w:r>
      <w:r w:rsidR="002F15C7" w:rsidRPr="00837161">
        <w:t>,</w:t>
      </w:r>
      <w:r w:rsidRPr="00837161">
        <w:t xml:space="preserve"> decision</w:t>
      </w:r>
      <w:r w:rsidR="00A91F9F">
        <w:t>-</w:t>
      </w:r>
      <w:r w:rsidRPr="00837161">
        <w:t>support tools (</w:t>
      </w:r>
      <w:r w:rsidRPr="0079205E">
        <w:rPr>
          <w:b/>
          <w:iCs/>
        </w:rPr>
        <w:t>section 5.2.2.1</w:t>
      </w:r>
      <w:r w:rsidRPr="00837161">
        <w:t>), approaches (</w:t>
      </w:r>
      <w:r w:rsidR="00ED3FCF" w:rsidRPr="0079205E">
        <w:rPr>
          <w:b/>
          <w:iCs/>
        </w:rPr>
        <w:t xml:space="preserve">section </w:t>
      </w:r>
      <w:r w:rsidRPr="0079205E">
        <w:rPr>
          <w:b/>
          <w:iCs/>
        </w:rPr>
        <w:t>5.3.1</w:t>
      </w:r>
      <w:r w:rsidRPr="00837161">
        <w:t>)</w:t>
      </w:r>
      <w:r w:rsidR="00C16EEB">
        <w:t xml:space="preserve"> and</w:t>
      </w:r>
      <w:r w:rsidRPr="00837161">
        <w:t xml:space="preserve"> tools and technologies (</w:t>
      </w:r>
      <w:r w:rsidR="00ED3FCF" w:rsidRPr="0079205E">
        <w:rPr>
          <w:b/>
          <w:iCs/>
        </w:rPr>
        <w:t xml:space="preserve">sections </w:t>
      </w:r>
      <w:r w:rsidRPr="0079205E">
        <w:rPr>
          <w:b/>
          <w:iCs/>
        </w:rPr>
        <w:t>5.4.</w:t>
      </w:r>
      <w:r w:rsidR="00FE7B0D" w:rsidRPr="0079205E">
        <w:rPr>
          <w:b/>
          <w:iCs/>
        </w:rPr>
        <w:t>2</w:t>
      </w:r>
      <w:r w:rsidRPr="0079205E">
        <w:rPr>
          <w:iCs/>
        </w:rPr>
        <w:t>,</w:t>
      </w:r>
      <w:r w:rsidRPr="0079205E">
        <w:rPr>
          <w:b/>
          <w:iCs/>
        </w:rPr>
        <w:t xml:space="preserve"> 5.4.</w:t>
      </w:r>
      <w:r w:rsidR="00FE7B0D" w:rsidRPr="0079205E">
        <w:rPr>
          <w:b/>
          <w:iCs/>
        </w:rPr>
        <w:t>3</w:t>
      </w:r>
      <w:r w:rsidRPr="00837161">
        <w:t xml:space="preserve">) have been </w:t>
      </w:r>
      <w:r w:rsidR="008A3C6C" w:rsidRPr="00837161">
        <w:t>addressed</w:t>
      </w:r>
      <w:r w:rsidRPr="00837161">
        <w:t xml:space="preserve"> </w:t>
      </w:r>
      <w:r w:rsidR="00B46ACC" w:rsidRPr="00837161">
        <w:t xml:space="preserve">in previous sections. This section </w:t>
      </w:r>
      <w:r w:rsidR="008A3C6C" w:rsidRPr="00837161">
        <w:t>reviews</w:t>
      </w:r>
      <w:r w:rsidRPr="00837161">
        <w:t xml:space="preserve"> the effectiveness of implementing prevention and preparedness strategies.</w:t>
      </w:r>
    </w:p>
    <w:p w14:paraId="446B2698" w14:textId="06B2838E" w:rsidR="00066A7E" w:rsidRPr="00837161" w:rsidRDefault="58257AAB" w:rsidP="00C11DFA">
      <w:pPr>
        <w:spacing w:before="240" w:after="120" w:line="240" w:lineRule="auto"/>
      </w:pPr>
      <w:r w:rsidRPr="00837161">
        <w:t xml:space="preserve">In a terrestrial context, the </w:t>
      </w:r>
      <w:r w:rsidR="00196544" w:rsidRPr="00837161">
        <w:t>IPPC</w:t>
      </w:r>
      <w:r w:rsidRPr="00837161">
        <w:t xml:space="preserve"> and </w:t>
      </w:r>
      <w:r w:rsidR="00316BBE" w:rsidRPr="00837161">
        <w:t xml:space="preserve">its </w:t>
      </w:r>
      <w:r w:rsidR="00196544" w:rsidRPr="00837161">
        <w:t>ISPMs</w:t>
      </w:r>
      <w:r w:rsidRPr="00837161">
        <w:t xml:space="preserve"> support effective management of most invasive alien species pathways associated with plant trade </w:t>
      </w:r>
      <w:r w:rsidR="007C729C" w:rsidRPr="00837161">
        <w:t>(</w:t>
      </w:r>
      <w:r w:rsidRPr="0079205E">
        <w:rPr>
          <w:b/>
          <w:iCs/>
        </w:rPr>
        <w:t>section 5.3.1.1</w:t>
      </w:r>
      <w:r w:rsidRPr="00837161">
        <w:t xml:space="preserve">; </w:t>
      </w:r>
      <w:r w:rsidR="09FB7FC6" w:rsidRPr="00837161">
        <w:fldChar w:fldCharType="begin"/>
      </w:r>
      <w:r w:rsidR="000F35EB">
        <w:instrText xml:space="preserve"> ADDIN ZOTERO_ITEM CSL_CITATION {"citationID":"JIVqnkdk","properties":{"unsorted":true,"formattedCitation":"(Schrader &amp; Unger, 2003; Hedley, 2005)","plainCitation":"(Schrader &amp; Unger, 2003; Hedley, 2005)","dontUpdate":true,"noteIndex":0},"citationItems":[{"id":10084,"uris":["http://zotero.org/groups/2352922/items/VUL7L7S7"],"itemData":{"id":10084,"type":"article-journal","abstract":"The introduction of several plant pests into Europe in the 19th century with disastrous consequences called for the development of plant quarantine measures to prevent the spread and introduction of pests of plants and plant products. With the purpose of harmonising these measures, and of promoting measures for pest control, the International Plant Protection Convention (IPPC) was developed to address organisms that are both directly and indirectly injurious to plants. It supplies a framework for measures against invasive alien species according to the Convention on Biological Diversity, as far as they are plant pests. Three examples of invasive alien species within the scope of the IPPC are given in the article: the fungus Ceratocystis fagacearum, the pinewood nematode Bursaphelenchus xylophilus and the flatworm Arthurdendyus triangulatus. In its 1997 revision, the IPPC provides for the establishment of International Standards for Phytosanitary Measures, being acknowledged by the Agreement on the Application of Sanitary and Phytosanitary Measures of the World Trade Organisation. Standards most important for invasive alien species are those on pest risk analysis, on requirements for the establishment of pest-free areas, on surveillance, on pest eradication programmes, and on the import and release of exotic biological agents. Phytosanitary regulations in the European Union (EU) have been harmonised and up to now have regulated about 300 plant pests. The requirements also have a protective horizontal effect against the unintentional introduction of many other species, but the existing broader IPPC mandate for alien plant pests is not fully applied by the EU regulations.","container-title":"Biological Invasions","DOI":"10.1023/B:BINV.0000005567.58234.b9","ISSN":"1573-1464","issue":"4","journalAbbreviation":"Biological Invasions","language":"en","page":"357-364","source":"Springer Link","title":"Plant Quarantine as a Measure Against Invasive Alien Species: The Framework of the International Plant Protection Convention and the plant health regulations in the European Union","title-short":"Plant Quarantine as a Measure Against Invasive Alien Species","URL":"https://doi.org/10.1023/B:BINV.0000005567.58234.b9","volume":"5","author":[{"family":"Schrader","given":"Gritta"},{"family":"Unger","given":"Jens-Georg"}],"accessed":{"date-parts":[["2021",11,12]]},"issued":{"date-parts":[["2003",12,1]]}}},{"id":10083,"uris":["http://zotero.org/groups/2352922/items/Z4TJV7MR"],"itemData":{"id":10083,"type":"article-journal","container-title":"Environmental Law Reporter News &amp; Analysis","journalAbbreviation":"Envtl. L. Rep. News &amp; Analysis","page":"10381","title":"The International Plant Protection Convention and Invasive Species","URL":"https://heinonline.org/HOL/Page?handle=hein.journals/elrna35&amp;id=344&amp;div=&amp;collection=","volume":"35","author":[{"family":"Hedley","given":"John"}],"issued":{"date-parts":[["2005"]]}}}],"schema":"https://github.com/citation-style-language/schema/raw/master/csl-citation.json"} </w:instrText>
      </w:r>
      <w:r w:rsidR="09FB7FC6" w:rsidRPr="00837161">
        <w:fldChar w:fldCharType="separate"/>
      </w:r>
      <w:r w:rsidRPr="00837161">
        <w:t>Schrader &amp; Unger, 2003; Hedley, 2005)</w:t>
      </w:r>
      <w:r w:rsidR="09FB7FC6" w:rsidRPr="00837161">
        <w:fldChar w:fldCharType="end"/>
      </w:r>
      <w:r w:rsidRPr="00837161">
        <w:t>. While no formal review has been undertaken on the effectiveness of th</w:t>
      </w:r>
      <w:r w:rsidR="009B43FB" w:rsidRPr="00837161">
        <w:t xml:space="preserve">e IPPC </w:t>
      </w:r>
      <w:r w:rsidRPr="00837161">
        <w:t xml:space="preserve">in preventing international movement of invasive alien species, it is widely accepted that these have contributed to significantly reducing unintentional introductions </w:t>
      </w:r>
      <w:r w:rsidR="007C729C" w:rsidRPr="00837161">
        <w:t>(</w:t>
      </w:r>
      <w:r w:rsidRPr="0079205E">
        <w:rPr>
          <w:b/>
          <w:iCs/>
        </w:rPr>
        <w:t>section 5.3.1.1</w:t>
      </w:r>
      <w:r w:rsidRPr="0079205E">
        <w:rPr>
          <w:iCs/>
        </w:rPr>
        <w:t>;</w:t>
      </w:r>
      <w:r w:rsidRPr="0079205E">
        <w:rPr>
          <w:b/>
          <w:iCs/>
        </w:rPr>
        <w:t xml:space="preserve"> </w:t>
      </w:r>
      <w:r w:rsidR="0079205E">
        <w:rPr>
          <w:b/>
          <w:iCs/>
        </w:rPr>
        <w:t>C</w:t>
      </w:r>
      <w:r w:rsidRPr="0079205E">
        <w:rPr>
          <w:b/>
          <w:iCs/>
        </w:rPr>
        <w:t>hapter 6</w:t>
      </w:r>
      <w:r w:rsidRPr="0079205E">
        <w:rPr>
          <w:iCs/>
        </w:rPr>
        <w:t>,</w:t>
      </w:r>
      <w:r w:rsidR="00477B6D" w:rsidRPr="0079205E">
        <w:rPr>
          <w:b/>
          <w:iCs/>
        </w:rPr>
        <w:t xml:space="preserve"> Table 6.8</w:t>
      </w:r>
      <w:r w:rsidRPr="00837161">
        <w:t xml:space="preserve">). Nonetheless, many </w:t>
      </w:r>
      <w:r w:rsidR="00E35E04">
        <w:t>invasive alien species</w:t>
      </w:r>
      <w:r w:rsidR="00E35E04" w:rsidRPr="00837161">
        <w:t xml:space="preserve"> </w:t>
      </w:r>
      <w:r w:rsidRPr="00837161">
        <w:t>move unaided across contiguous land masses</w:t>
      </w:r>
      <w:r w:rsidR="00E35E04">
        <w:t>, and</w:t>
      </w:r>
      <w:r w:rsidRPr="00837161">
        <w:t xml:space="preserve"> are </w:t>
      </w:r>
      <w:r w:rsidR="00E35E04">
        <w:t xml:space="preserve">therefore </w:t>
      </w:r>
      <w:r w:rsidRPr="00837161">
        <w:t xml:space="preserve">poorly contained by trade controls in this context. The global spread of </w:t>
      </w:r>
      <w:r w:rsidRPr="00837161">
        <w:rPr>
          <w:i/>
          <w:iCs/>
        </w:rPr>
        <w:t xml:space="preserve">Spodoptera frugiperda </w:t>
      </w:r>
      <w:r w:rsidRPr="00837161">
        <w:t xml:space="preserve">(fall armyworm) is </w:t>
      </w:r>
      <w:r w:rsidR="00061172" w:rsidRPr="00837161">
        <w:t>a</w:t>
      </w:r>
      <w:r w:rsidRPr="00837161">
        <w:t xml:space="preserve"> recent example </w:t>
      </w:r>
      <w:r w:rsidR="09FB7FC6" w:rsidRPr="00837161">
        <w:rPr>
          <w:color w:val="FF0000"/>
        </w:rPr>
        <w:fldChar w:fldCharType="begin"/>
      </w:r>
      <w:r w:rsidR="000F35EB">
        <w:rPr>
          <w:color w:val="FF0000"/>
        </w:rPr>
        <w:instrText xml:space="preserve"> ADDIN ZOTERO_ITEM CSL_CITATION {"citationID":"8CYgzFBq","properties":{"formattedCitation":"(Tay et al., 2022)","plainCitation":"(Tay et al., 2022)","noteIndex":0},"citationItems":[{"id":24519,"uris":["http://zotero.org/groups/2352922/items/3QRMAXD7"],"itemData":{"id":24519,"type":"article-journal","abstract":"Accurate genomic knowledge can elucidate the global spread patterns of invasive pests. The highprofile invasive agricultural pest Spodoptera frugiperda (fall armyworm; FAW) is a case in point. Native to the Americas, the FAW was first reported in West Africa in 2016 and has rapidly spread to over 64 countries across the Old World, resulting in significant economic losses. The chronological order of reported detections has led to the hypothesis that the FAW moved eastwards across Africa and then Asia, however genomic evidence remains lacking to test this hypothesis and to identify the potential origin of invasive populations. Using a whole genome sequencing approach, we explored the population genomic signatures of FAW populations from the Americas and the Old World. Analyses of complete mitochondrial DNA genomes and of 870 high-quality nuclear genome-wide single nucleotide polymorphic (SNP) DNA markers identified five distinct New World populations that broadly reflected their native geographical ranges and absence of host-plant preference status. Unique FAW populations in the Old World were also identified that suggested multiple introductions underpinned the rapid global spread of FAW. We identified in Asian FAW individuals, genomes that showed no evidence of admixture; while analysis of identified complex substructure revealed significant directional geneflow from Asia into East African populations, in contrast to a simple east-to-west spread. Our study highlights the need for a population genomics approach in analysing complex pest invasions, and the importance of global collaboration to address global biosecurity challenges presented by emerging high priority insect pests.","container-title":"Communications Biology","DOI":"10.1038/s42003-022-03230-1","language":"en","page":"297","source":"DOI.org (Crossref)","title":"Global population genomic signature of &lt;i&gt;Spodoptera frugiperda&lt;/i&gt; (fall armyworm) supports complex introduction events across the Old World","title-short":"Whole genome sequencing of global &lt;i&gt;Spodoptera frugiperda&lt;/i&gt; populations","URL":"https://doi.org/10.1038/s42003-022-03230-1","volume":"5","author":[{"family":"Tay","given":"W T"},{"family":"Rane","given":"R V"},{"family":"Padovan","given":"A"},{"family":"Walsh","given":"T K"},{"family":"Elfekih","given":"S"},{"family":"Downes","given":"S"},{"family":"Nam","given":"K"},{"family":"Alençon","given":"E","non-dropping-particle":"d’"},{"family":"Zhang","given":"J"},{"family":"Wu","given":"Y"},{"family":"Nègre","given":"N"},{"family":"Kunz","given":"D"},{"family":"Kriticos","given":"D. J."},{"family":"Czepak","given":"C"},{"family":"Otim","given":"M H"},{"family":"Gordon","given":"K H J"}],"accessed":{"date-parts":[["2020",7,31]]},"issued":{"date-parts":[["2022"]]}}}],"schema":"https://github.com/citation-style-language/schema/raw/master/csl-citation.json"} </w:instrText>
      </w:r>
      <w:r w:rsidR="09FB7FC6" w:rsidRPr="00837161">
        <w:rPr>
          <w:color w:val="FF0000"/>
        </w:rPr>
        <w:fldChar w:fldCharType="separate"/>
      </w:r>
      <w:r w:rsidR="00271B78" w:rsidRPr="00271B78">
        <w:t>(Tay et al., 2022)</w:t>
      </w:r>
      <w:r w:rsidR="09FB7FC6" w:rsidRPr="00837161">
        <w:rPr>
          <w:color w:val="FF0000"/>
        </w:rPr>
        <w:fldChar w:fldCharType="end"/>
      </w:r>
      <w:r w:rsidRPr="00837161">
        <w:t xml:space="preserve">. Countries within contiguous land masses have been largely ineffective at halting the natural spread of invasive alien species. This is so between jurisdictions in general and political unions (e.g., the United States </w:t>
      </w:r>
      <w:r w:rsidR="09FB7FC6" w:rsidRPr="00837161">
        <w:fldChar w:fldCharType="begin"/>
      </w:r>
      <w:r w:rsidR="000F35EB">
        <w:instrText xml:space="preserve"> ADDIN ZOTERO_ITEM CSL_CITATION {"citationID":"FT8q4uxb","properties":{"formattedCitation":"(Corn &amp; Johnson, 2013)","plainCitation":"(Corn &amp; Johnson, 2013)","noteIndex":0},"citationItems":[{"id":9961,"uris":["http://zotero.org/groups/2352922/items/ZNVNZWRS"],"itemData":{"id":9961,"type":"report","abstract":"An “invasive” species (alternatively known as an alien, exotic, injurious, introduced or naturalized, non-native, nonindigenous, nuisance, or noxious species) refers to an animal or plant that is introduced into an environment where it is not native. The introduction of invasive species to the United States—whether deliberate or unintentional—from around the globe can pose a significant threat to native animal and plant communities, and may result in extinctions of native animals and plants, species disruptions as native and non-native species compete for limited resources, reduced biodiversity, and altered terrestrial or aquatic habitats. This can result in a range of economic, ecologic, and cultural losses, including reduced agricultural output from U.S. farms and ranches; degradation of U.S. waterways, coastal areas, national parks, and forests; and altered urban, suburban, and rural landscapes.","event-place":"Washington D.C.","language":"en","page":"58","publisher":"Congressional Research Service","publisher-place":"Washington D.C.","source":"Zotero","title":"Invasive Species: Major Laws and the Role of Selected Federal Agencies","URL":"https://digital.library.unt.edu/ark:/67531/metadc813137/m1/1/","author":[{"family":"Corn","given":"M. Lynne"},{"family":"Johnson","given":"Renée"}],"issued":{"date-parts":[["2013"]]}}}],"schema":"https://github.com/citation-style-language/schema/raw/master/csl-citation.json"} </w:instrText>
      </w:r>
      <w:r w:rsidR="09FB7FC6" w:rsidRPr="00837161">
        <w:fldChar w:fldCharType="separate"/>
      </w:r>
      <w:r w:rsidR="00271B78" w:rsidRPr="00271B78">
        <w:t>(Corn &amp; Johnson, 2013)</w:t>
      </w:r>
      <w:r w:rsidR="09FB7FC6" w:rsidRPr="00837161">
        <w:fldChar w:fldCharType="end"/>
      </w:r>
      <w:r w:rsidRPr="00837161">
        <w:t xml:space="preserve"> and the European Union </w:t>
      </w:r>
      <w:r w:rsidR="13F167D9" w:rsidRPr="00837161">
        <w:t>(</w:t>
      </w:r>
      <w:r w:rsidR="09FB7FC6" w:rsidRPr="00837161">
        <w:fldChar w:fldCharType="begin"/>
      </w:r>
      <w:r w:rsidR="000F35EB">
        <w:instrText xml:space="preserve"> ADDIN ZOTERO_ITEM CSL_CITATION {"citationID":"TZFhpS9X","properties":{"formattedCitation":"(Hulme et al., 2009)","plainCitation":"(Hulme et al., 2009)","dontUpdate":true,"noteIndex":0},"citationItems":[{"id":31628,"uris":["http://zotero.org/groups/2352922/items/RFWL69TY"],"itemData":{"id":31628,"type":"article-journal","abstract":"New data on the extent of biological invasions pose major regulatory and political challenges to European institutions.\nNew data on the extent of biological invasions pose major regulatory and political challenges to European institutions.\nNew data on the extent of biological invasions pose major regulatory and political challenges to European institutions.","container-title":"Science","DOI":"10.1126/science.1171111","ISSN":"0036-8075, 1095-9203","issue":"5923","language":"en","license":"© 2009 American Association for the Advancement of Science","note":"publisher: American Association for the Advancement of Science\nsection: Policy Forum\nPMID: 19342572","page":"40-41","source":"science.sciencemag.org","title":"Will Threat of Biological Invasions Unite the European Union?","URL":"https://science.sciencemag.org/content/324/5923/40","volume":"324","author":[{"family":"Hulme","given":"Philip E."},{"family":"Pyšek","given":"Petr"},{"family":"Nentwig","given":"Wolfgang"},{"family":"Vilà","given":"Montserrat"}],"accessed":{"date-parts":[["2020",8,17]]},"issued":{"date-parts":[["2009",4,3]]}}}],"schema":"https://github.com/citation-style-language/schema/raw/master/csl-citation.json"} </w:instrText>
      </w:r>
      <w:r w:rsidR="09FB7FC6" w:rsidRPr="00837161">
        <w:fldChar w:fldCharType="separate"/>
      </w:r>
      <w:r w:rsidRPr="00837161">
        <w:t>Hulme et al., 2009</w:t>
      </w:r>
      <w:r w:rsidR="09FB7FC6" w:rsidRPr="00837161">
        <w:fldChar w:fldCharType="end"/>
      </w:r>
      <w:r w:rsidR="00D333EE" w:rsidRPr="00837161">
        <w:rPr>
          <w:sz w:val="26"/>
          <w:szCs w:val="26"/>
        </w:rPr>
        <w:t>)</w:t>
      </w:r>
      <w:r w:rsidRPr="00837161">
        <w:t xml:space="preserve">, trade blocs </w:t>
      </w:r>
      <w:r w:rsidR="00782C7D" w:rsidRPr="00837161">
        <w:t xml:space="preserve">such as </w:t>
      </w:r>
      <w:r w:rsidR="000E1322" w:rsidRPr="00837161">
        <w:t>the</w:t>
      </w:r>
      <w:r w:rsidRPr="00837161">
        <w:t xml:space="preserve"> </w:t>
      </w:r>
      <w:r w:rsidR="000E1322" w:rsidRPr="00837161">
        <w:t>Association of Southeast Asian Nations (</w:t>
      </w:r>
      <w:r w:rsidRPr="00837161">
        <w:t>ASEAN</w:t>
      </w:r>
      <w:r w:rsidR="000E1322" w:rsidRPr="00837161">
        <w:t>;</w:t>
      </w:r>
      <w:r w:rsidRPr="00837161">
        <w:t xml:space="preserve"> </w:t>
      </w:r>
      <w:r w:rsidR="09FB7FC6" w:rsidRPr="00837161">
        <w:fldChar w:fldCharType="begin"/>
      </w:r>
      <w:r w:rsidR="000F35EB">
        <w:instrText xml:space="preserve"> ADDIN ZOTERO_ITEM CSL_CITATION {"citationID":"YjQsscvm","properties":{"formattedCitation":"(Castriciones &amp; Vijayan, 2020)","plainCitation":"(Castriciones &amp; Vijayan, 2020)","dontUpdate":true,"noteIndex":0},"citationItems":[{"id":10082,"uris":["http://zotero.org/groups/2352922/items/JAVIIVGJ"],"itemData":{"id":10082,"type":"article-journal","abstract":"Introduction\nIn today’s globalized world where travel is commonplace, a threat in one region can easily spread throughout the whole world. It is, therefore, essential for multi-disciplinary risk assessment, risk mitigation, and collaborative strategies to take place among various stakeholders to mitigate this. Any strategic plan to deal with biosecurity, therefore, needs to be a complete loop, top to bottom and bottom to top. This paper describes the results of Project 62, which involved mapping and biosecurity risk assessment in South East Asia.\nMaterials and methods\nThe mapping and biosecurity risk assessment activities for the participating partner countries was carried out in two phases. The first phase involved risk assessment by six partner-country bio-experts for their own countries and the second phase involved conducting a joint Strengths, Weaknesses, Opportunities, and Threats (SWOT) analysis and risk assessment for the South East Asian region as whole, together with international bio-experts at a workshop.\nResults and discussion\nThe following key recommendations of the project show that biosecurity needs to be addressed through stakeholder engagement at multiple levels starting from the top echelons of the government to the worker who needs to recognize and understand the threats they might face: 1.Systematic analysis of existing information from BWC ISU Article 10, IHR capacities, JEE, UN Security Council Resolution 1540 Action Plan, EU CBRN NAP, and other relevant sources to develop a common understanding of the definition of biosecurity for all stakeholders in the region.2.Creation of programs for awareness building in biosecurity, not limiting them to laboratory biosecurity but using an all-inclusive approach to include border biosecurity, pandemic response, etc.3.Creation of a country-specific list of high-risk biological materials.4.Compulsory standardized biosecurity training, including responsible conduct in biosecurity research.5.Framework for one-health and security interface addressing biosecurity threats.6.Framework for ensuring information security in relation to biosecurity.7.Involvement of local/regional experts in the implementation of EU-CBRN CoE projects.","container-title":"Journal of Biosafety and Biosecurity","DOI":"10.1016/j.jobb.2020.03.001","ISSN":"2588-9338","issue":"1","journalAbbreviation":"Journal of Biosafety and Biosecurity","language":"en","page":"36-43","source":"ScienceDirect","title":"Biosecurity risk mapping and gap analysis in South East Asia","URL":"https://www.sciencedirect.com/science/article/pii/S2588933820300042","volume":"2","author":[{"family":"Castriciones","given":"Emily Valentin"},{"family":"Vijayan","given":"Viji"}],"accessed":{"date-parts":[["2021",11,12]]},"issued":{"date-parts":[["2020",3,1]]}}}],"schema":"https://github.com/citation-style-language/schema/raw/master/csl-citation.json"} </w:instrText>
      </w:r>
      <w:r w:rsidR="09FB7FC6" w:rsidRPr="00837161">
        <w:fldChar w:fldCharType="separate"/>
      </w:r>
      <w:r w:rsidRPr="00837161">
        <w:t>Castriciones &amp; Vijayan, 2020</w:t>
      </w:r>
      <w:r w:rsidR="09FB7FC6" w:rsidRPr="00837161">
        <w:fldChar w:fldCharType="end"/>
      </w:r>
      <w:r w:rsidR="13F167D9" w:rsidRPr="00837161">
        <w:t>)</w:t>
      </w:r>
      <w:r w:rsidRPr="00837161">
        <w:t xml:space="preserve"> and </w:t>
      </w:r>
      <w:r w:rsidR="00871DB9" w:rsidRPr="00837161">
        <w:t xml:space="preserve">Mercado Común del Sur </w:t>
      </w:r>
      <w:r w:rsidR="004A6AEC" w:rsidRPr="00837161">
        <w:t xml:space="preserve">in South America </w:t>
      </w:r>
      <w:r w:rsidR="00871DB9" w:rsidRPr="00837161">
        <w:t>(Southern Common Market</w:t>
      </w:r>
      <w:r w:rsidR="004A6AEC" w:rsidRPr="00837161">
        <w:t xml:space="preserve">, </w:t>
      </w:r>
      <w:r w:rsidRPr="00837161">
        <w:t>Mercosur</w:t>
      </w:r>
      <w:r w:rsidR="004A6AEC" w:rsidRPr="00837161">
        <w:t>;</w:t>
      </w:r>
      <w:r w:rsidRPr="00837161">
        <w:t xml:space="preserve"> </w:t>
      </w:r>
      <w:r w:rsidR="09FB7FC6" w:rsidRPr="00837161">
        <w:fldChar w:fldCharType="begin"/>
      </w:r>
      <w:r w:rsidR="000F35EB">
        <w:instrText xml:space="preserve"> ADDIN ZOTERO_ITEM CSL_CITATION {"citationID":"XIxsRTdE","properties":{"formattedCitation":"(Black &amp; Bartlett, 2020)","plainCitation":"(Black &amp; Bartlett, 2020)","dontUpdate":true,"noteIndex":0},"citationItems":[{"id":31780,"uris":["http://zotero.org/groups/2352922/items/XE4AX8RF"],"itemData":{"id":31780,"type":"article-journal","abstract":"This article examines the policy background and legislative frameworks underlying the regulation of transboundary movement of potentially invasive alien species (IAS). The starting point is the examination of the fundamental regulatory concepts for IAS that are found in (1) the International Plant Protection Convention (IPPC) (in accordance with the World Trade Organisation’s Agreement on the Application of Sanitary and Phytosanitary Measures, ‘SPS Agreement’) and (2) the Convention on Biological Diversity (CBD), together with a discussion on whether IAS are legally regarded as ‘pests’. How these concepts are applied in different transboundary situations is then examined with examples from within federal jurisdictions (USA, Australia) and across external and internal boundaries in transnational jurisdictions (European Union and Eurasian Economic Union). Special attention is paid to IAS in aquatic environments and the question of naturalisation of once alien species. The article concludes with suggestions for development of future policy on IAS taking into account the degree of effectiveness of present regulatory frameworks and the need to consider the impact of climate change on future threats from invasives.","container-title":"Environmental Science &amp; Policy","DOI":"10.1016/j.envsci.2019.12.011","ISSN":"1462-9011","journalAbbreviation":"Environmental Science &amp; Policy","language":"en","page":"113-119","source":"ScienceDirect","title":"Biosecurity frameworks for cross-border movement of invasive alien species","URL":"https://www.sciencedirect.com/science/article/pii/S1462901119311669","volume":"105","author":[{"family":"Black","given":"Robert"},{"family":"Bartlett","given":"Debbie M. F."}],"accessed":{"date-parts":[["2021",11,12]]},"issued":{"date-parts":[["2020",3,1]]}}}],"schema":"https://github.com/citation-style-language/schema/raw/master/csl-citation.json"} </w:instrText>
      </w:r>
      <w:r w:rsidR="09FB7FC6" w:rsidRPr="00837161">
        <w:fldChar w:fldCharType="separate"/>
      </w:r>
      <w:r w:rsidRPr="00837161">
        <w:t>Black &amp; Bartlett, 2020)</w:t>
      </w:r>
      <w:r w:rsidR="09FB7FC6" w:rsidRPr="00837161">
        <w:fldChar w:fldCharType="end"/>
      </w:r>
      <w:r w:rsidRPr="00837161">
        <w:t xml:space="preserve"> or international aid and trade initiatives</w:t>
      </w:r>
      <w:r w:rsidR="00E35E04">
        <w:t>,</w:t>
      </w:r>
      <w:r w:rsidRPr="00837161">
        <w:t xml:space="preserve"> which may have led to more rapid natural spread of invasive alien species despite any form of curtailment </w:t>
      </w:r>
      <w:r w:rsidR="007C729C" w:rsidRPr="00837161">
        <w:t>(</w:t>
      </w:r>
      <w:r w:rsidR="001C4A3F">
        <w:rPr>
          <w:b/>
          <w:iCs/>
        </w:rPr>
        <w:t>C</w:t>
      </w:r>
      <w:r w:rsidR="0096461A" w:rsidRPr="001C4A3F">
        <w:rPr>
          <w:b/>
          <w:iCs/>
        </w:rPr>
        <w:t>hapter 3</w:t>
      </w:r>
      <w:r w:rsidR="0096461A" w:rsidRPr="001C4A3F">
        <w:rPr>
          <w:iCs/>
        </w:rPr>
        <w:t xml:space="preserve">, </w:t>
      </w:r>
      <w:r w:rsidR="0096461A" w:rsidRPr="001C4A3F">
        <w:rPr>
          <w:b/>
          <w:iCs/>
        </w:rPr>
        <w:t>sections 3.2</w:t>
      </w:r>
      <w:r w:rsidR="004C3F52" w:rsidRPr="001C4A3F">
        <w:rPr>
          <w:b/>
          <w:iCs/>
        </w:rPr>
        <w:t>.2</w:t>
      </w:r>
      <w:r w:rsidR="0096461A" w:rsidRPr="001C4A3F">
        <w:rPr>
          <w:b/>
          <w:iCs/>
        </w:rPr>
        <w:t>.3</w:t>
      </w:r>
      <w:r w:rsidR="0096461A" w:rsidRPr="001C4A3F">
        <w:rPr>
          <w:iCs/>
        </w:rPr>
        <w:t xml:space="preserve"> </w:t>
      </w:r>
      <w:r w:rsidR="0096461A" w:rsidRPr="001C4A3F">
        <w:t>and</w:t>
      </w:r>
      <w:r w:rsidR="0096461A" w:rsidRPr="001C4A3F">
        <w:rPr>
          <w:b/>
          <w:iCs/>
        </w:rPr>
        <w:t xml:space="preserve"> 3.</w:t>
      </w:r>
      <w:r w:rsidR="004C3F52" w:rsidRPr="001C4A3F">
        <w:rPr>
          <w:b/>
          <w:iCs/>
        </w:rPr>
        <w:t>2.3</w:t>
      </w:r>
      <w:r w:rsidR="0096461A" w:rsidRPr="001C4A3F">
        <w:rPr>
          <w:iCs/>
        </w:rPr>
        <w:t>;</w:t>
      </w:r>
      <w:r w:rsidR="0096461A" w:rsidRPr="00837161">
        <w:t xml:space="preserve"> </w:t>
      </w:r>
      <w:r w:rsidR="09FB7FC6" w:rsidRPr="00837161">
        <w:fldChar w:fldCharType="begin"/>
      </w:r>
      <w:r w:rsidR="000F35EB">
        <w:instrText xml:space="preserve"> ADDIN ZOTERO_ITEM CSL_CITATION {"citationID":"Pr6ycph4","properties":{"formattedCitation":"(X. Liu et al., 2019)","plainCitation":"(X. Liu et al., 2019)","dontUpdate":true,"noteIndex":0},"citationItems":[{"id":31655,"uris":["http://zotero.org/groups/2352922/items/WMEJUSA8"],"itemData":{"id":31655,"type":"article-journal","abstract":"China’s Belt and Road Initiative (BRI) is an unprecedented global development program that involves nearly half of the world’s countries [1]. It not only will have economic and political influences, but also may generate multiple environmental challenges and is a focus of considerable academic and public concerns [2, 3, 4, 5, 6]. The Chinese government expects BRI to be a sustainable development, paying equal attention to economic development and environmental conservation [7]. However, BRI’s high expenditure on infrastructure construction, by accelerating trade and transportation, is likely to promote alien species invasions [5], one of the primary anthropogenic threats to global biodiversity [8]. BRI countries may have different susceptibilities to invasive species due to different financial and response capacities [9]. Moreover, these countries overlap 27 of 35 recognized global biodiversity hotspots [10]. Identifying those areas with high-invasion risks, and species with high invasive potentials within BRI countries, is therefore of vital importance for the sustainable implementation of the BRI, and the development of early, economical, and effective biosecurity strategies [11]. In response, we present here a comprehensive study to evaluate invasion risks by alien vertebrates within BRI. We identified a total of 14 invasion hotspots, the majority of which fall along the six proposed BRI economic corridors, with the proportion of grid cells in invasion hotspots 1.6 times higher than other regions. Based on our results, we recommend the initiation of a project targeting early prevention, strict surveillance, rapid response, and effective control of alien species in BRI countries to ensure that this development is sustainable.","container-title":"Current Biology","DOI":"10.1016/j.cub.2018.12.036","ISSN":"0960-9822","issue":"3","journalAbbreviation":"Current Biology","language":"en","page":"499-505.e4","source":"ScienceDirect","title":"Risks of biological invasion on the belt and road","URL":"https://www.sciencedirect.com/science/article/pii/S0960982218316701","volume":"29","author":[{"family":"Liu","given":"Xuan"},{"family":"Blackburn","given":"Tim M."},{"family":"Song","given":"Tianjian"},{"family":"Li","given":"Xianping"},{"family":"Huang","given":"Cong"},{"family":"Li","given":"Yiming"}],"accessed":{"date-parts":[["2021",11,12]]},"issued":{"date-parts":[["2019",2,4]]}}}],"schema":"https://github.com/citation-style-language/schema/raw/master/csl-citation.json"} </w:instrText>
      </w:r>
      <w:r w:rsidR="09FB7FC6" w:rsidRPr="00837161">
        <w:fldChar w:fldCharType="separate"/>
      </w:r>
      <w:r w:rsidRPr="00837161">
        <w:t>Liu et al., 2019)</w:t>
      </w:r>
      <w:r w:rsidR="09FB7FC6" w:rsidRPr="00837161">
        <w:fldChar w:fldCharType="end"/>
      </w:r>
      <w:r w:rsidRPr="00837161">
        <w:t xml:space="preserve">. Evidence that prevention works for island nations stems largely from reviews of Australian </w:t>
      </w:r>
      <w:r w:rsidR="00482D9A" w:rsidRPr="00837161">
        <w:fldChar w:fldCharType="begin"/>
      </w:r>
      <w:r w:rsidR="00A4003D">
        <w:instrText xml:space="preserve"> ADDIN ZOTERO_ITEM CSL_CITATION {"citationID":"lidnmfOW","properties":{"formattedCitation":"(CSIRO, 2020; Schneider et al., 2020)","plainCitation":"(CSIRO, 2020; Schneider et al., 2020)","noteIndex":0},"citationItems":[{"id":10075,"uris":["http://zotero.org/groups/2352922/items/RMH2KB4V"],"itemData":{"id":10075,"type":"report","event-place":"Australia","page":"48","publisher":"Commonwealth Scientific and Industrial Research Organisation","publisher-place":"Australia","title":"Australia’s Biosecurity Future. Unlocking the next decade of resilience (2020–2030)","URL":"https://www.csiro.au/-/media/Do-Business/Files/Futures/Biosecurity/20-00277_SER-FUT_REPORT_BiosecurityFutures_WEB_201028.pdf","author":[{"literal":"CSIRO"}],"issued":{"date-parts":[["2020"]]}}},{"id":54319,"uris":["http://zotero.org/groups/2352922/items/WUNSBY2V"],"itemData":{"id":54319,"type":"report","language":"en","source":"Zotero","title":"Evaluating the health of Australia’s biosecurity system","URL":"https://cebra.unimelb.edu.au/__data/assets/pdf_file/0011/3423278/Endorsed-CEBRA-170714-Final-Report-June2020.pdf","author":[{"family":"Schneider","given":"Karen"},{"family":"Camac","given":"James"},{"family":"Dodd","given":"Aaron"},{"family":"Fraser","given":"Hannah"},{"family":"Gomboso","given":"Jay"},{"family":"Gibert","given":"Anaïs"},{"family":"Kompas","given":"Tom"},{"family":"Lane","given":"Stephen"},{"family":"Robinson","given":"Andrew"},{"family":"Spring","given":"Danny"}],"issued":{"date-parts":[["2020"]]}},"label":"page"}],"schema":"https://github.com/citation-style-language/schema/raw/master/csl-citation.json"} </w:instrText>
      </w:r>
      <w:r w:rsidR="00482D9A" w:rsidRPr="00837161">
        <w:fldChar w:fldCharType="separate"/>
      </w:r>
      <w:r w:rsidR="00A4003D" w:rsidRPr="00A4003D">
        <w:t>(CSIRO, 2020; Schneider et al., 2020)</w:t>
      </w:r>
      <w:r w:rsidR="00482D9A" w:rsidRPr="00837161">
        <w:fldChar w:fldCharType="end"/>
      </w:r>
      <w:r w:rsidRPr="00837161">
        <w:t xml:space="preserve"> and New Zealand’s </w:t>
      </w:r>
      <w:r w:rsidR="09FB7FC6" w:rsidRPr="00837161">
        <w:fldChar w:fldCharType="begin"/>
      </w:r>
      <w:r w:rsidR="000F35EB">
        <w:instrText xml:space="preserve"> ADDIN ZOTERO_ITEM CSL_CITATION {"citationID":"5a8qSEXw","properties":{"formattedCitation":"(Delane, 2019)","plainCitation":"(Delane, 2019)","noteIndex":0},"citationItems":[{"id":53318,"uris":["http://zotero.org/groups/2352922/items/B2NX8LZT"],"itemData":{"id":53318,"type":"report","note":"publisher: Ministry for Primary Industries (New Zealand)","page":"1-36","publisher":"Ministry for Primary Industries","title":"Independent Assurance Review of New Zealand’s biosecurity international border defences for passenger and mail pathways","URL":"https://apo.org.au/sites/default/files/resource-files/2019-04/apo-nid233256.pdf","author":[{"family":"Delane","given":"Rob"}],"issued":{"date-parts":[["2019"]]}}}],"schema":"https://github.com/citation-style-language/schema/raw/master/csl-citation.json"} </w:instrText>
      </w:r>
      <w:r w:rsidR="09FB7FC6" w:rsidRPr="00837161">
        <w:fldChar w:fldCharType="separate"/>
      </w:r>
      <w:r w:rsidR="00271B78" w:rsidRPr="00271B78">
        <w:t>(Delane, 2019)</w:t>
      </w:r>
      <w:r w:rsidR="09FB7FC6" w:rsidRPr="00837161">
        <w:fldChar w:fldCharType="end"/>
      </w:r>
      <w:r w:rsidR="00D333EE" w:rsidRPr="00837161">
        <w:t xml:space="preserve"> </w:t>
      </w:r>
      <w:r w:rsidRPr="00837161">
        <w:t xml:space="preserve">national biosecurity systems which also are well established and enacted scrupulously. In any case, a biosecurity system is worth the investment especially for all island nations. The most obvious metric of the effectiveness of these systems is that establishment rates of new invasive alien species are near zero for invasive alien vertebrates and animal diseases and largely constant in invasive alien plants, invertebrates and plant pathogens </w:t>
      </w:r>
      <w:r w:rsidR="09FB7FC6" w:rsidRPr="00837161">
        <w:fldChar w:fldCharType="begin"/>
      </w:r>
      <w:r w:rsidR="007746C5">
        <w:instrText xml:space="preserve"> ADDIN ZOTERO_ITEM CSL_CITATION {"citationID":"wjWsAJu5","properties":{"formattedCitation":"(Bailey et al., 2020; CSIRO, 2020; Hulme, 2020b; Sheppard &amp; Glanzing, 2021)","plainCitation":"(Bailey et al., 2020; CSIRO, 2020; Hulme, 2020b; Sheppard &amp; Glanzing, 2021)","noteIndex":0},"citationItems":[{"id":32396,"uris":["http://zotero.org/groups/2352922/items/4EUK3YLP"],"itemData":{"id":32396,"type":"article-journal","container-title":"Diversity and Distributions","DOI":"10.1111/ddi.13167","ISSN":"1366-9516, 147</w:instrText>
      </w:r>
      <w:r w:rsidR="007746C5">
        <w:rPr>
          <w:rFonts w:hint="eastAsia"/>
        </w:rPr>
        <w:instrText>2-4642","issue":"12","journalAbbreviation":"Divers Distrib","language":"en","page":"1780-1797","source":"DOI.org (Crossref)","title":"Trends in the detection of aquatic non</w:instrText>
      </w:r>
      <w:r w:rsidR="007746C5">
        <w:rPr>
          <w:rFonts w:hint="eastAsia"/>
        </w:rPr>
        <w:instrText>‐</w:instrText>
      </w:r>
      <w:r w:rsidR="007746C5">
        <w:rPr>
          <w:rFonts w:hint="eastAsia"/>
        </w:rPr>
        <w:instrText>indigenous species across global marine, estuarine and freshwater ecosystems: A 50</w:instrText>
      </w:r>
      <w:r w:rsidR="007746C5">
        <w:rPr>
          <w:rFonts w:hint="eastAsia"/>
        </w:rPr>
        <w:instrText>‐</w:instrText>
      </w:r>
      <w:r w:rsidR="007746C5">
        <w:rPr>
          <w:rFonts w:hint="eastAsia"/>
        </w:rPr>
        <w:instrText>year perspective","title-short":"Trends in the detection of aquatic non</w:instrText>
      </w:r>
      <w:r w:rsidR="007746C5">
        <w:rPr>
          <w:rFonts w:hint="eastAsia"/>
        </w:rPr>
        <w:instrText>‐</w:instrText>
      </w:r>
      <w:r w:rsidR="007746C5">
        <w:rPr>
          <w:rFonts w:hint="eastAsia"/>
        </w:rPr>
        <w:instrText>indigenous species across global marine, estuarine and freshwater ecosystems","URL":"https://onlinelibrary.wiley.com/doi/10.1111/ddi.13167","volume":"26","author":[{"family":"Bailey","given":"Sarah A."},{"family":"Brown","given":"Lyndsay"},{"family":"Campbell","given":"Marnie L."},{"family":"Canning</w:instrText>
      </w:r>
      <w:r w:rsidR="007746C5">
        <w:rPr>
          <w:rFonts w:hint="eastAsia"/>
        </w:rPr>
        <w:instrText>‐</w:instrText>
      </w:r>
      <w:r w:rsidR="007746C5">
        <w:rPr>
          <w:rFonts w:hint="eastAsia"/>
        </w:rPr>
        <w:instrText>Clode","given":"João"},{"family":"Carlton","given":"James T."},{"family":"Castro","given":"Nuno"},{"family":"Chainho","given":"Paula"},{</w:instrText>
      </w:r>
      <w:r w:rsidR="007746C5">
        <w:instrText>"family":"Chan","given":"Farrah T."},{"family":"Creed","given":"Joel C."},{"family":"Curd","given":"Amelia"},{"family":"Darling","given":"John"},{"family":"Fofonoff","given":"Paul"},{"family":"Galil","given":"Bella S."},{"family":"Hewitt","given":"Chad L.</w:instrText>
      </w:r>
      <w:r w:rsidR="007746C5">
        <w:rPr>
          <w:rFonts w:hint="eastAsia"/>
        </w:rPr>
        <w:instrText>"},{"family":"Inglis","given":"Graeme J."},{"family":"Keith","given":"Inti"},{"family":"Mandrak","given":"Nicholas E."},{"family":"Marchini","given":"Agnese"},{"family":"McKenzie","given":"Cynthia H."},{"family":"Occhipinti</w:instrText>
      </w:r>
      <w:r w:rsidR="007746C5">
        <w:rPr>
          <w:rFonts w:hint="eastAsia"/>
        </w:rPr>
        <w:instrText>‐</w:instrText>
      </w:r>
      <w:r w:rsidR="007746C5">
        <w:rPr>
          <w:rFonts w:hint="eastAsia"/>
        </w:rPr>
        <w:instrText>Ambrogi","given":"Anna"},{"family":"Ojaveer","given":"Henn"},{"family":"Pires</w:instrText>
      </w:r>
      <w:r w:rsidR="007746C5">
        <w:rPr>
          <w:rFonts w:hint="eastAsia"/>
        </w:rPr>
        <w:instrText>‐</w:instrText>
      </w:r>
      <w:r w:rsidR="007746C5">
        <w:rPr>
          <w:rFonts w:hint="eastAsia"/>
        </w:rPr>
        <w:instrText>Teixeira","given":"Larissa M."},{"family":"Robinson","given":"Tamara B."},{"family":"Ruiz","given":"Gregory M."},{"family":"Seaward","given":"Kimberley"},{"family":"Schwindt","given":"Evangelina"},{"family":"</w:instrText>
      </w:r>
      <w:r w:rsidR="007746C5">
        <w:instrText xml:space="preserve">Son","given":"Mikhail O."},{"family":"Therriault","given":"Thomas W."},{"family":"Zhan","given":"Aibin"}],"editor":[{"family":"Hussey","given":"Nigel"}],"accessed":{"date-parts":[["2021",7,30]]},"issued":{"date-parts":[["2020",12]]}}},{"id":10075,"uris":["http://zotero.org/groups/2352922/items/RMH2KB4V"],"itemData":{"id":10075,"type":"report","event-place":"Australia","page":"48","publisher":"Commonwealth Scientific and Industrial Research Organisation","publisher-place":"Australia","title":"Australia’s Biosecurity Future. Unlocking the next decade of resilience (2020–2030)","URL":"https://www.csiro.au/-/media/Do-Business/Files/Futures/Biosecurity/20-00277_SER-FUT_REPORT_BiosecurityFutures_WEB_201028.pdf","author":[{"literal":"CSIRO"}],"issued":{"date-parts":[["2020"]]}}},{"id":10074,"uris":["http://zotero.org/groups/2352922/items/XQ7DHREW"],"itemData":{"id":10074,"type":"report","event-place":"Australia","publisher":"CSIRO","publisher-place":"Australia","title":"Fighting plagues and predators Australia’s path towards a pest and weed-free future","URL":"https://www.csiro.au/-/media/News-releases/2021/Fighting-plagues-and-predators/Final-FightingPlaguesPredators_WEB_211126.pdf","author":[{"family":"Sheppard","given":"A. W."},{"family":"Glanzing","given":"A."}],"issued":{"date-parts":[["2021",11]]}}},{"id":25034,"uris":["http://zotero.org/groups/2352922/items/DVL2HVNP"],"itemData":{"id":25034,"type":"article-journal","abstract":"The number of non-native plant species established outside of cultivation in the New Zealand archipelago is higher than for any other islands worldwide. Faced with this scale of plant invasions, there has been considerable investment in the scientific and operational aspects of prevention, eradication and control. As a result, New Zealand is ideally placed to illustrate the many challenges that plant invasions present worldwide as well as the possible solutions. New Zealand has been at the forefront of biosecurity policy developments to tackle plant invasions being one of the first countries to: (a) implement national legislation to address the management of non-native plants; (b) establish a national permitted list (white-list) for plant imports; and (c) introduce bans on the sale, distribution, or propagation of non-native plant species. However, these preventative measure are only effective where there are also adequate border inspection regimes, compliance monitoring of the horticulture industry, and surveillance of internet trade. While New Zealand has successfully eradicated several non-native plant species from its territory, the small number of successes reflects the short-term, local and often uncoordinated efforts to manage non-native plants rather than national programmes backed by legislation and financed over several decades. New Zealand supports a world-leading biological control programme, but this has led to sustained, large-scale control for only a handful of species. In natural areas, most management attempts using mechanical or herbicide treatments have failed to achieve control and there has been a progressive reduction in the area, and frequency of these programmes over time. This is illustrative of the challenges facing those responsible for managing non-native plants in any region of the world. A general insight is that a shift in mindset is required that overcomes significant cognitive biases that include succumbing to the pressure to always intervene, underestimating the non-linear trajectories of invasions, failing to articulate the values at stake, and underestimating the time programmes require to succeed. Important lessons of global relevance include the need for managers to: (a) recognise when and where sleeper weeds are likely to become a national issue, especially as a result of climate change; (b) quantify impacts on those values that stakeholders most cherish rather than those that are easy to measure; (c) provide accurate estimates of the potential future extent of the invasion in the absence of management; and (d) identify clear indicators of successful progress over the course of a long-term management programme.","container-title":"Biological Invasions","DOI":"10.1007/s10530-020-02224-6","ISSN":"1573-1464","issue":"5","journalAbbreviation":"Biol Invasions","language":"en","page":"1539-1562","source":"Springer Link","title":"Plant invasions in New Zealand: global lessons in prevention, eradication and control","title-short":"Plant invasions in New Zealand","URL":"https://doi.org/10.1007/s10530-020-02224-6","volume":"22","author":[{"family":"Hulme","given":"Philip E."}],"accessed":{"date-parts":[["2021",3,24]]},"issued":{"date-parts":[["2020",5,1]]}}}],"schema":"https://github.com/citation-style-language/schema/raw/master/csl-citation.json"} </w:instrText>
      </w:r>
      <w:r w:rsidR="09FB7FC6" w:rsidRPr="00837161">
        <w:fldChar w:fldCharType="separate"/>
      </w:r>
      <w:r w:rsidR="007746C5" w:rsidRPr="007746C5">
        <w:t>(Bailey et al., 2020; CSIRO, 2020; Hulme, 2020b; Sheppard &amp; Glanzing, 2021)</w:t>
      </w:r>
      <w:r w:rsidR="09FB7FC6" w:rsidRPr="00837161">
        <w:fldChar w:fldCharType="end"/>
      </w:r>
      <w:r w:rsidRPr="00837161">
        <w:t xml:space="preserve"> and predicted to remain so for some groups rather than continuing to grow at fast rates in most other countries </w:t>
      </w:r>
      <w:r w:rsidR="09FB7FC6" w:rsidRPr="00837161">
        <w:fldChar w:fldCharType="begin"/>
      </w:r>
      <w:r w:rsidR="000F35EB">
        <w:instrText xml:space="preserve"> ADDIN ZOTERO_ITEM CSL_CITATION {"citationID":"yGVNWPDK","properties":{"formattedCitation":"(Seebens et al., 2017)","plainCitation":"(Seebens et al., 2017)","noteIndex":0},"citationItems":[{"id":33027,"uris":["http://zotero.org/groups/2352922/items/SW8TKG54"],"itemData":{"id":33027,"type":"article-journal","container-title":"Nature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schema":"https://github.com/citation-style-language/schema/raw/master/csl-citation.json"} </w:instrText>
      </w:r>
      <w:r w:rsidR="09FB7FC6" w:rsidRPr="00837161">
        <w:fldChar w:fldCharType="separate"/>
      </w:r>
      <w:r w:rsidR="00271B78" w:rsidRPr="00271B78">
        <w:t>(Seebens et al., 2017)</w:t>
      </w:r>
      <w:r w:rsidR="09FB7FC6" w:rsidRPr="00837161">
        <w:fldChar w:fldCharType="end"/>
      </w:r>
      <w:r w:rsidRPr="00837161">
        <w:t xml:space="preserve">. One clear example is the processes put in place across Australasia </w:t>
      </w:r>
      <w:r w:rsidR="09FB7FC6" w:rsidRPr="00837161">
        <w:fldChar w:fldCharType="begin"/>
      </w:r>
      <w:r w:rsidR="000F35EB">
        <w:instrText xml:space="preserve"> ADDIN ZOTERO_ITEM CSL_CITATION {"citationID":"Jzg6xdg6","properties":{"formattedCitation":"(Australian Government, 2021b)","plainCitation":"(Australian Government, 2021b)","noteIndex":0},"citationItems":[{"id":53317,"uris":["http://zotero.org/groups/2352922/items/AK4CC7ER"],"itemData":{"id":53317,"type":"webpage","container-title":"Biosecurity and trade in Australia","title":"Seasonal measures for Brown marmorated stink bug (BMSB) - Department of Agriculture, Fisheries and Forestry","URL":"https://www.agriculture.gov.au/biosecurity-trade/import/before/brown-marmorated-stink-bugs","author":[{"literal":"Australian Government"}],"accessed":{"date-parts":[["2022",9,22]]},"issued":{"date-parts":[["2021"]]}}}],"schema":"https://github.com/citation-style-language/schema/raw/master/csl-citation.json"} </w:instrText>
      </w:r>
      <w:r w:rsidR="09FB7FC6" w:rsidRPr="00837161">
        <w:fldChar w:fldCharType="separate"/>
      </w:r>
      <w:r w:rsidR="00271B78" w:rsidRPr="00271B78">
        <w:t>(Australian Government, 2021b)</w:t>
      </w:r>
      <w:r w:rsidR="09FB7FC6" w:rsidRPr="00837161">
        <w:fldChar w:fldCharType="end"/>
      </w:r>
      <w:r w:rsidRPr="00837161">
        <w:t xml:space="preserve"> and New Zealand </w:t>
      </w:r>
      <w:r w:rsidR="09FB7FC6" w:rsidRPr="00837161">
        <w:fldChar w:fldCharType="begin"/>
      </w:r>
      <w:r w:rsidR="000F35EB">
        <w:instrText xml:space="preserve"> ADDIN ZOTERO_ITEM CSL_CITATION {"citationID":"9tUrsku4","properties":{"formattedCitation":"(Ministry for Primary Industries, New Zealand, 2021)","plainCitation":"(Ministry for Primary Industries, New Zealand, 2021)","noteIndex":0},"citationItems":[{"id":53316,"uris":["http://zotero.org/groups/2352922/items/WXLIKRFG"],"itemData":{"id":53316,"type":"webpage","abstract":"Brown marmorated stink bugs (BMSB) are a serious pest for agriculture and horticulture and can be a social nuisance. We don't want them in New Zealand.","language":"en-NZ","note":"Last Modified: 2022-08-29\npublisher: Ministry for Primary Industries","title":"Brown marmorated stink bug: requirements for importers | MPI - Ministry for Primary Industries. A New Zealand Government Department.","title-short":"Brown marmorated stink bug","URL":"https://www.mpi.govt.nz/import/vehicles-machinery-parts/brown-marmorated-stink-bug-requirements-for-importers/","author":[{"literal":"Ministry for Primary Industries, New Zealand"}],"accessed":{"date-parts":[["2022",9,22]]},"issued":{"date-parts":[["2021"]]}}}],"schema":"https://github.com/citation-style-language/schema/raw/master/csl-citation.json"} </w:instrText>
      </w:r>
      <w:r w:rsidR="09FB7FC6" w:rsidRPr="00837161">
        <w:fldChar w:fldCharType="separate"/>
      </w:r>
      <w:r w:rsidR="00271B78" w:rsidRPr="00271B78">
        <w:t>(Ministry for Primary Industries, New Zealand, 2021)</w:t>
      </w:r>
      <w:r w:rsidR="09FB7FC6" w:rsidRPr="00837161">
        <w:fldChar w:fldCharType="end"/>
      </w:r>
      <w:r w:rsidRPr="00837161">
        <w:t xml:space="preserve"> for the pathway management of </w:t>
      </w:r>
      <w:r w:rsidR="2CAA7E0D" w:rsidRPr="00837161">
        <w:rPr>
          <w:rStyle w:val="Emphasis"/>
        </w:rPr>
        <w:t>Halyomorpha halys</w:t>
      </w:r>
      <w:r w:rsidR="2CAA7E0D" w:rsidRPr="00837161">
        <w:t xml:space="preserve"> </w:t>
      </w:r>
      <w:r w:rsidR="4BE36837" w:rsidRPr="00837161">
        <w:t>(</w:t>
      </w:r>
      <w:r w:rsidRPr="00837161">
        <w:t xml:space="preserve">brown marmorated stink bug) as a very high priority threat to the agricultural sectors of both countries intercepted in significant numbers every year. Both countries have put in place a systems-based pathway management approach that is causing </w:t>
      </w:r>
      <w:r w:rsidR="00833FD5">
        <w:t xml:space="preserve">a </w:t>
      </w:r>
      <w:r w:rsidRPr="00837161">
        <w:t xml:space="preserve">decline in the numbers of interceptions </w:t>
      </w:r>
      <w:r w:rsidR="09FB7FC6" w:rsidRPr="00837161">
        <w:fldChar w:fldCharType="begin"/>
      </w:r>
      <w:r w:rsidR="000F35EB">
        <w:instrText xml:space="preserve"> ADDIN ZOTERO_ITEM CSL_CITATION {"citationID":"TGhh4IcQ","properties":{"formattedCitation":"(Australian Department of Agriculture, 2019)","plainCitation":"(Australian Department of Agriculture, 2019)","noteIndex":0},"citationItems":[{"id":10072,"uris":["http://zotero.org/groups/2352922/items/S4TXUNGT"],"itemData":{"id":10072,"type":"report","number":"CC BY 3.0","title":"Final pest risk analysis for brown marmorated stink bug (&lt;i&gt;Halyomorpha halys&lt;/i&gt;)","URL":"https://www.awe.gov.au/sites/default/files/documents/final-bmsb-pra-report.pdf","author":[{"literal":"Australian Department of Agriculture"}],"accessed":{"date-parts":[["2021",11,12]]},"issued":{"date-parts":[["2019"]]}}}],"schema":"https://github.com/citation-style-language/schema/raw/master/csl-citation.json"} </w:instrText>
      </w:r>
      <w:r w:rsidR="09FB7FC6" w:rsidRPr="00837161">
        <w:fldChar w:fldCharType="separate"/>
      </w:r>
      <w:r w:rsidR="00271B78" w:rsidRPr="00271B78">
        <w:t>(Australian Department of Agriculture, 2019)</w:t>
      </w:r>
      <w:r w:rsidR="09FB7FC6" w:rsidRPr="00837161">
        <w:fldChar w:fldCharType="end"/>
      </w:r>
      <w:r w:rsidRPr="00837161">
        <w:t>. This suggests that systems-based approaches (a series of risk mitigation interventions along the supply chains) are an effective way of managing pathways for terrestrial invasive alien species (</w:t>
      </w:r>
      <w:r w:rsidRPr="001C4A3F">
        <w:rPr>
          <w:b/>
          <w:iCs/>
        </w:rPr>
        <w:t>section 5.4.</w:t>
      </w:r>
      <w:r w:rsidR="007434BA" w:rsidRPr="001C4A3F">
        <w:rPr>
          <w:b/>
          <w:iCs/>
        </w:rPr>
        <w:t>3</w:t>
      </w:r>
      <w:r w:rsidRPr="001C4A3F">
        <w:rPr>
          <w:b/>
          <w:iCs/>
        </w:rPr>
        <w:t>.1</w:t>
      </w:r>
      <w:r w:rsidRPr="001C4A3F">
        <w:t xml:space="preserve">; </w:t>
      </w:r>
      <w:r w:rsidR="09FB7FC6" w:rsidRPr="00837161">
        <w:fldChar w:fldCharType="begin"/>
      </w:r>
      <w:r w:rsidR="000F35EB">
        <w:instrText xml:space="preserve"> ADDIN ZOTERO_ITEM CSL_CITATION {"citationID":"TvJr97Q1","properties":{"formattedCitation":"(van Klinken et al., 2020)","plainCitation":"(van Klinken et al., 2020)","dontUpdate":true,"noteIndex":0},"citationItems":[{"id":9994,"uris":["http://zotero.org/groups/2352922/items/UEMWQECS"],"itemData":{"id":9994,"type":"article-journal","container-title":"Crop Protection","DOI":"10.1016/j.cropro.2019.104994","ISSN":"02612194","journalAbbreviation":"Crop Protection","language":"en","page":"104994","source":"DOI.org (Crossref)","title":"A risk framework for using systems approaches to manage horticultural biosecurity risks for market access","URL":"https://linkinghub.elsevier.com/retrieve/pii/S0261219419303400","volume":"129","author":[{"family":"Klinken","given":"Rieks D.","non-dropping-particle":"van"},{"family":"Fiedler","given":"Kathryn"},{"family":"Kingham","given":"Lloyd"},{"family":"Collins","given":"Kerry"},{"family":"Barbour","given":"Darryl"}],"accessed":{"date-parts":[["2021",11,10]]},"issued":{"date-parts":[["2020",3]]}}}],"schema":"https://github.com/citation-style-language/schema/raw/master/csl-citation.json"} </w:instrText>
      </w:r>
      <w:r w:rsidR="09FB7FC6" w:rsidRPr="00837161">
        <w:fldChar w:fldCharType="separate"/>
      </w:r>
      <w:r w:rsidRPr="00837161">
        <w:t>van Klinken et al., 2020)</w:t>
      </w:r>
      <w:r w:rsidR="09FB7FC6" w:rsidRPr="00837161">
        <w:fldChar w:fldCharType="end"/>
      </w:r>
      <w:r w:rsidRPr="00837161">
        <w:t>. Effective prevention is also supported by effective intelligence gathering on changing and future trade and pathway risks and effective national preparedness (</w:t>
      </w:r>
      <w:r w:rsidRPr="001C4A3F">
        <w:rPr>
          <w:b/>
          <w:iCs/>
        </w:rPr>
        <w:t>section</w:t>
      </w:r>
      <w:r w:rsidR="00C3776F" w:rsidRPr="001C4A3F">
        <w:rPr>
          <w:b/>
          <w:iCs/>
        </w:rPr>
        <w:t>s</w:t>
      </w:r>
      <w:r w:rsidRPr="001C4A3F">
        <w:rPr>
          <w:b/>
          <w:iCs/>
        </w:rPr>
        <w:t xml:space="preserve"> 5.2.2.4</w:t>
      </w:r>
      <w:r w:rsidR="00C3776F" w:rsidRPr="001C4A3F">
        <w:rPr>
          <w:b/>
        </w:rPr>
        <w:t xml:space="preserve"> </w:t>
      </w:r>
      <w:r w:rsidR="00C3776F" w:rsidRPr="00837161">
        <w:t>and</w:t>
      </w:r>
      <w:r w:rsidRPr="001C4A3F">
        <w:rPr>
          <w:b/>
          <w:iCs/>
        </w:rPr>
        <w:t xml:space="preserve"> 5.3.1.1</w:t>
      </w:r>
      <w:r w:rsidRPr="00837161">
        <w:t xml:space="preserve">). Compared to this, most developing countries are not so successful in implementing effective pathway management </w:t>
      </w:r>
      <w:r w:rsidR="00C818E5">
        <w:t xml:space="preserve">because of </w:t>
      </w:r>
      <w:r w:rsidR="007D75B9" w:rsidRPr="00837161">
        <w:t xml:space="preserve">outdated </w:t>
      </w:r>
      <w:r w:rsidRPr="00837161">
        <w:t>biosecur</w:t>
      </w:r>
      <w:r w:rsidR="3E4C1C62" w:rsidRPr="00837161">
        <w:t>i</w:t>
      </w:r>
      <w:r w:rsidRPr="00837161">
        <w:t xml:space="preserve">ty systems or </w:t>
      </w:r>
      <w:r w:rsidR="410A98BD" w:rsidRPr="00837161">
        <w:t>a lack of diligence</w:t>
      </w:r>
      <w:r w:rsidR="00CA6398" w:rsidRPr="00837161">
        <w:t xml:space="preserve"> and capacity</w:t>
      </w:r>
      <w:r w:rsidR="410A98BD" w:rsidRPr="00837161">
        <w:t xml:space="preserve"> </w:t>
      </w:r>
      <w:r w:rsidRPr="00837161">
        <w:t xml:space="preserve">in enacting the regulations contained therein </w:t>
      </w:r>
      <w:r w:rsidR="09FB7FC6" w:rsidRPr="00837161">
        <w:fldChar w:fldCharType="begin"/>
      </w:r>
      <w:r w:rsidR="000F35EB">
        <w:instrText xml:space="preserve"> ADDIN ZOTERO_ITEM CSL_CITATION {"citationID":"9pcPtu6x","properties":{"formattedCitation":"(K. Gupta &amp; Sankaran, 2021)","plainCitation":"(K. Gupta &amp; Sankaran, 2021)","dontUpdate":true,"noteIndex":0},"citationItems":[{"id":31347,"uris":["http://zotero.org/groups/2352922/items/Z7I5BXNA"],"itemData":{"id":31347,"type":"article-journal","abstract":"Biological invasions continue unabated across the globe despite all efforts to manage the problem by implementing biosecurity regulations and associated management methods. In this context, this paper reviews the plant biosecurity legislation applicable to agriculture and forestry sectors in India to prevent/manage invasions, with the objective of identifying limitations in the legislation or lapses in implementing it and propose corrective measures. The legislation can be improved by: (1) revising and updating the Destructive Insects and Pests Act (1914) and Plant Quarantine Order 2003 and (2) establishing a National Sanitary and Phytosanitary Database Center to promote exchange of information. Establishing more plant quarantine stations with state-of-the-art facilities and a Biosecurity and Trade Unit may support implementation of legislation. Some of main gaps in information and research in biosecurity are identified. The plant biosecurity legislation, though meant to be common, mainly addresses the agriculture sector; its application in the forestry context is currently scarce. Hence, it is suggested that India may enact forest biosecurity scrupulously especially in the context of introducing the REDD + strategy and a Forest Certification Scheme. It is proposed that an integrated pest management (IPM) system involving e-pest surveillance, establishment of pest-free areas and use of biocontrol may help tackle emerging pest threats. The use of new technologies for remote sensing and detection and mapping of vegetation may help bio-surveillance, forecasting, and monitoring of pests. However, successful implementation of all management options demands formation of an exclusive national policy to manage invasive alien species and an action plan governed by a single agency. To realize the plant biosecurity goals, India may also strengthen regional cooperation to: (1) harmonize regulations for sanitary/phytosanitary and plant quarantine/biosafety measures and (2) use a common pest risk analysis (PRA) for unknown pests in the region. Capacity-building of officials to identify risky goods and verify conformity with Import Health Standards is raised. Also, raising awareness on biosecurity among all stakeholders and involving them in implementing the legislation would be helpful. The proposed National Agricultural Biosecurity System and the Agricultural Biosecurity Bill currently considered by the Indian Parliament is expected to address the inadequacies.","container-title":"Frontiers in Forests and Global Change","DOI":"10.3389/ffgc.2021.699950","ISSN":"2624-893X","journalAbbreviation":"Front. For. Glob. Change","page":"699950","source":"DOI.org (Crossref)","title":"Forest Biosecurity Systems and Processes: An Indian Perspective","title-short":"Forest Biosecurity Systems and Processes","URL":"https://www.frontiersin.org/articles/10.3389/ffgc.2021.699950/full","volume":"4","author":[{"family":"Gupta","given":"Kavita"},{"family":"Sankaran","given":"K. V."}],"accessed":{"date-parts":[["2021",11,18]]},"issued":{"date-parts":[["2021",9,30]]}}}],"schema":"https://github.com/citation-style-language/schema/raw/master/csl-citation.json"} </w:instrText>
      </w:r>
      <w:r w:rsidR="09FB7FC6" w:rsidRPr="00837161">
        <w:fldChar w:fldCharType="separate"/>
      </w:r>
      <w:r w:rsidRPr="00837161">
        <w:t>(Gupta &amp; Sankaran, 2021)</w:t>
      </w:r>
      <w:r w:rsidR="09FB7FC6" w:rsidRPr="00837161">
        <w:fldChar w:fldCharType="end"/>
      </w:r>
      <w:r w:rsidRPr="00837161">
        <w:t>.</w:t>
      </w:r>
    </w:p>
    <w:p w14:paraId="0000065A" w14:textId="5FC5E302" w:rsidR="00A758FD" w:rsidRPr="00C0338D" w:rsidRDefault="00C81287">
      <w:pPr>
        <w:spacing w:before="240" w:after="120" w:line="240" w:lineRule="auto"/>
      </w:pPr>
      <w:r w:rsidRPr="00C0338D">
        <w:lastRenderedPageBreak/>
        <w:t>WOAH Standards aim to prevent movement of animal diseases (</w:t>
      </w:r>
      <w:r w:rsidRPr="00C0338D">
        <w:rPr>
          <w:b/>
        </w:rPr>
        <w:t>Chapter 6</w:t>
      </w:r>
      <w:r w:rsidRPr="00C0338D">
        <w:t>,</w:t>
      </w:r>
      <w:r w:rsidRPr="00C0338D">
        <w:rPr>
          <w:b/>
        </w:rPr>
        <w:t xml:space="preserve"> </w:t>
      </w:r>
      <w:r w:rsidR="00F54324" w:rsidRPr="001C4A3F">
        <w:rPr>
          <w:b/>
          <w:iCs/>
        </w:rPr>
        <w:t>Table</w:t>
      </w:r>
      <w:r w:rsidRPr="00C0338D">
        <w:rPr>
          <w:b/>
        </w:rPr>
        <w:t xml:space="preserve"> 6.8</w:t>
      </w:r>
      <w:r w:rsidRPr="00C0338D">
        <w:t xml:space="preserve">), however, many of these have been poorly implemented internationally as seen by the current pandemic spread of African Swine Fever particularly through Asia </w:t>
      </w:r>
      <w:r w:rsidR="00066A7E" w:rsidRPr="00837161">
        <w:fldChar w:fldCharType="begin"/>
      </w:r>
      <w:r w:rsidR="000F35EB">
        <w:instrText xml:space="preserve"> ADDIN ZOTERO_ITEM CSL_CITATION {"citationID":"JwPGVZqw","properties":{"formattedCitation":"(Dixon et al., 2020)","plainCitation":"(Dixon et al., 2020)","noteIndex":0},"citationItems":[{"id":22767,"uris":["http://zotero.org/groups/2352922/items/RTHYWZXB"],"itemData":{"id":22767,"type":"article-journal","abstract":"African swine fever is a devastating disease that can result in death in almost all infected pigs. The continuing spread of African swine fever from Africa to Europe and recently to the high–pig production countries of China and others in Southeast Asia threatens global pork production and food security. The African swine fever virus is an unusual complex DNA virus and is not related to other viruses. This has presented challenges for vaccine development, and currently none is available. The virus is extremely well adapted to replicate in its hosts in the sylvatic cycle in East and South Africa. Its spread to other regions, with different wildlife hosts, climatic conditions, and pig production systems, has revealed unexpected epidemiological scenarios and different challenges for control. Here we review the epidemiology of African swine fever in these different scenarios and methods used for control. We also discuss progress toward vaccine development and research priorities to better understand this complex disease and improve control.","container-title":"Annual Review of Animal Biosciences","DOI":"10.1146/annurev-animal-021419-083741","ISSN":"2165-8102","issue":"1","journalAbbreviation":"Annu. Rev. Anim. Biosci.","note":"_eprint: https://doi.org/10.1146/annurev-animal-021419-083741\nPMID: 31743062","page":"221-246","source":"Annual Reviews","title":"African Swine Fever Epidemiology and Control","URL":"https://doi.org/10.1146/annurev-animal-021419-083741","volume":"8","author":[{"family":"Dixon","given":"Linda K."},{"family":"Stahl","given":"Karl"},{"family":"Jori","given":"Ferran"},{"family":"Vial","given":"Laurence"},{"family":"Pfeiffer","given":"Dirk U."}],"accessed":{"date-parts":[["2020",6,24]]},"issued":{"date-parts":[["2020",2,15]]}}}],"schema":"https://github.com/citation-style-language/schema/raw/master/csl-citation.json"} </w:instrText>
      </w:r>
      <w:r w:rsidR="00066A7E" w:rsidRPr="00837161">
        <w:fldChar w:fldCharType="separate"/>
      </w:r>
      <w:r w:rsidR="00271B78" w:rsidRPr="00271B78">
        <w:t>(Dixon et al., 2020)</w:t>
      </w:r>
      <w:r w:rsidR="00066A7E" w:rsidRPr="00837161">
        <w:fldChar w:fldCharType="end"/>
      </w:r>
      <w:r w:rsidR="00066A7E" w:rsidRPr="00837161">
        <w:t xml:space="preserve"> and now into the Americas.</w:t>
      </w:r>
      <w:r w:rsidRPr="00C0338D">
        <w:t xml:space="preserve"> Pandemic spread of African swine fever is largely due to it being a highly contagious haemorrhagic viral disease spread through wild, domesticated, dead and live pigs, contaminated feed and fomites and trough pork products </w:t>
      </w:r>
      <w:r w:rsidR="00066A7E" w:rsidRPr="00837161">
        <w:fldChar w:fldCharType="begin"/>
      </w:r>
      <w:r w:rsidR="000F35EB">
        <w:instrText xml:space="preserve"> ADDIN ZOTERO_ITEM CSL_CITATION {"citationID":"LaoEQkAP","properties":{"formattedCitation":"(M. P. Ward et al., 2021)","plainCitation":"(M. P. Ward et al., 2021)","dontUpdate":true,"noteIndex":0},"citationItems":[{"id":10076,"uris":["http://zotero.org/groups/2352922/items/V9BZIQZ3"],"itemData":{"id":10076,"type":"article-journal","container-title":"Transboundary and Emerging Diseases","DOI":"10.1111/tbed.14245","ISSN":"1865-1682","issue":"5","language":"en","note":"_eprint: https://onlinelibrary.wiley.com/doi/pdf/10.1111/tbed.14245","page":"2637-2639","source":"Wiley Online Library","title":"African Swine Fever, the forgotten pandemic","URL":"https://onlinelibrary.wiley.com/doi/abs/10.1111/tbed.14245","volume":"68","author":[{"family":"Ward","given":"Michael P."},{"family":"Tian","given":"Kegong"},{"family":"Nowotny","given":"Norbert"}],"accessed":{"date-parts":[["2021",11,12]]},"issued":{"date-parts":[["2021"]]}}}],"schema":"https://github.com/citation-style-language/schema/raw/master/csl-citation.json"} </w:instrText>
      </w:r>
      <w:r w:rsidR="00066A7E" w:rsidRPr="00837161">
        <w:fldChar w:fldCharType="separate"/>
      </w:r>
      <w:r w:rsidR="00066A7E" w:rsidRPr="00837161">
        <w:t>(Ward et al., 2021)</w:t>
      </w:r>
      <w:r w:rsidR="00066A7E" w:rsidRPr="00837161">
        <w:fldChar w:fldCharType="end"/>
      </w:r>
      <w:r w:rsidR="00066A7E" w:rsidRPr="00837161">
        <w:t>.</w:t>
      </w:r>
      <w:r w:rsidRPr="00C0338D">
        <w:t xml:space="preserve"> </w:t>
      </w:r>
    </w:p>
    <w:p w14:paraId="0000065B" w14:textId="7E238162" w:rsidR="00A758FD" w:rsidRPr="00867B00" w:rsidRDefault="00C81287">
      <w:pPr>
        <w:spacing w:before="240" w:after="120" w:line="240" w:lineRule="auto"/>
        <w:rPr>
          <w:color w:val="000000" w:themeColor="text1"/>
        </w:rPr>
      </w:pPr>
      <w:r w:rsidRPr="00867B00">
        <w:rPr>
          <w:color w:val="000000" w:themeColor="text1"/>
        </w:rPr>
        <w:t xml:space="preserve">Pathway management is currently the only effective option for preventing marine biological invasions </w:t>
      </w:r>
      <w:r w:rsidR="00066A7E" w:rsidRPr="00837161">
        <w:fldChar w:fldCharType="begin"/>
      </w:r>
      <w:r w:rsidR="00E25D54">
        <w:instrText xml:space="preserve"> ADDIN ZOTERO_ITEM CSL_CITATION {"citationID":"xntKgBMM","properties":{"unsorted":true,"formattedCitation":"(Hewitt &amp; Campbell, 2007; Galil, McKenzie, et al., 2019)","plainCitation":"(Hewitt &amp; Campbell, 2007; Galil, McKenzie, et al., 2019)","dontUpdate":true,"noteIndex":0},"citationItems":[{"id":31702,"uris":["http://zotero.org/groups/2352922/items/VS2TFQWX"],"itemData":{"id":31702,"type":"article-journal","container-title":"Marine Pollution Bulletin","DOI":"10.1016/j.marpolbul.2007.01.005","ISSN":"0025326X","issue":"7-9","journalAbbreviation":"Marine Pollution Bulletin","language":"en","page":"395-401","source":"DOI.org (Crossref)","title":"Mechanisms for the prevention of marine bioinvasions for better biosecurity","URL":"https://linkinghub.elsevier.com/retrieve/pii/S0025326X0700015X","volume":"55","author":[{"family":"Hewitt","given":"Chad L."},{"family":"Campbell","given":"Marnie L."}],"accessed":{"date-parts":[["2021",11,11]]},"issued":{"date-parts":[["2007",1]]}}},{"id":30926,"uris":["http://zotero.org/groups/2352922/items/PQ4V5AXH"],"itemData":{"id":30926,"type":"report","genre":"ICES Ad Hoc Report 2019","note":"publisher: ICES","page":"17","source":"DOI.org (Datacite)","title":"ICES Viewpoint background document: Evaluating and mitigating introduction of marine non-native species via vessel bio-fouling.","URL":"https://doi.org/10.17895/ices.pub.4680","author":[{"family":"Galil","given":"Bella S."},{"family":"McKenzie","given":"C."},{"family":"Bailey","given":"S. A."},{"family":"Campbell","given":"M."},{"family":"Davidson","given":"I. C."},{"family":"Drake","given":"L."},{"family":"Hewitt","given":"C."},{"family":"Occhipinti-Ambrogi","given":"A."},{"family":"Piola","given":"R."}],"accessed":{"date-parts":[["2021",11,11]]},"issued":{"date-parts":[["2019"]]}}}],"schema":"https://github.com/citation-style-language/schema/raw/master/csl-citation.json"} </w:instrText>
      </w:r>
      <w:r w:rsidR="00066A7E" w:rsidRPr="00837161">
        <w:fldChar w:fldCharType="separate"/>
      </w:r>
      <w:r w:rsidR="00E25D54" w:rsidRPr="00E25D54">
        <w:t>(Hewitt &amp; Campbell, 2007; Galil, McKenzie, et al., 2019</w:t>
      </w:r>
      <w:r w:rsidR="00066A7E" w:rsidRPr="00837161">
        <w:fldChar w:fldCharType="end"/>
      </w:r>
      <w:r w:rsidR="001C4A3F">
        <w:t xml:space="preserve">; </w:t>
      </w:r>
      <w:r w:rsidR="001C4A3F" w:rsidRPr="001C4A3F">
        <w:rPr>
          <w:b/>
        </w:rPr>
        <w:t xml:space="preserve">section 5.5.3 </w:t>
      </w:r>
      <w:r w:rsidR="001C4A3F" w:rsidRPr="001C4A3F">
        <w:t>and</w:t>
      </w:r>
      <w:r w:rsidR="001C4A3F" w:rsidRPr="001C4A3F">
        <w:rPr>
          <w:b/>
        </w:rPr>
        <w:t xml:space="preserve"> </w:t>
      </w:r>
      <w:r w:rsidR="00191A6E">
        <w:rPr>
          <w:b/>
          <w:iCs/>
        </w:rPr>
        <w:t>Figure 5.1</w:t>
      </w:r>
      <w:r w:rsidR="00066A7E" w:rsidRPr="001C4A3F">
        <w:rPr>
          <w:b/>
          <w:iCs/>
          <w:color w:val="000000" w:themeColor="text1"/>
        </w:rPr>
        <w:t>B</w:t>
      </w:r>
      <w:r w:rsidR="00066A7E" w:rsidRPr="00837161">
        <w:rPr>
          <w:color w:val="000000" w:themeColor="text1"/>
        </w:rPr>
        <w:t xml:space="preserve">) as recorded number and spread of marine invasive alien species </w:t>
      </w:r>
      <w:r w:rsidR="00586082">
        <w:rPr>
          <w:color w:val="000000" w:themeColor="text1"/>
        </w:rPr>
        <w:t>are</w:t>
      </w:r>
      <w:r w:rsidR="00586082" w:rsidRPr="00837161">
        <w:rPr>
          <w:color w:val="000000" w:themeColor="text1"/>
        </w:rPr>
        <w:t xml:space="preserve"> </w:t>
      </w:r>
      <w:r w:rsidR="00066A7E" w:rsidRPr="00837161">
        <w:rPr>
          <w:color w:val="000000" w:themeColor="text1"/>
        </w:rPr>
        <w:t>increasing with few exceptions (</w:t>
      </w:r>
      <w:r w:rsidR="00066A7E" w:rsidRPr="00837161">
        <w:rPr>
          <w:color w:val="000000" w:themeColor="text1"/>
        </w:rPr>
        <w:fldChar w:fldCharType="begin"/>
      </w:r>
      <w:r w:rsidR="000F35EB">
        <w:rPr>
          <w:color w:val="000000" w:themeColor="text1"/>
        </w:rPr>
        <w:instrText xml:space="preserve"> ADDIN ZOTERO_ITEM CSL_CITATION {"citationID":"QRYaaRQg","properties":{"formattedCitation":"(Bailey et al., 2020)","plainCitation":"(Bailey et al., 2020)","dontUpdate":true,"noteIndex":0},"citationItems":[{"id":32396,"uris":["http://zotero.org/groups/2352922/items/4EUK3YLP"],"itemData":{"id":32396,"type":"article-journal","container-title":"Diversity and Distributions","DOI":"10.1111/ddi.13167","ISSN":"1366-9516, 1472-4642","issue":"12","journalAbbreviation":"Divers Distrib","language":"en","page":"1780-1</w:instrText>
      </w:r>
      <w:r w:rsidR="000F35EB">
        <w:rPr>
          <w:rFonts w:hint="eastAsia"/>
          <w:color w:val="000000" w:themeColor="text1"/>
        </w:rPr>
        <w:instrText>797","source":"DOI.org (Crossref)","title":"Trends in the detection of aquatic non</w:instrText>
      </w:r>
      <w:r w:rsidR="000F35EB">
        <w:rPr>
          <w:rFonts w:hint="eastAsia"/>
          <w:color w:val="000000" w:themeColor="text1"/>
        </w:rPr>
        <w:instrText>‐</w:instrText>
      </w:r>
      <w:r w:rsidR="000F35EB">
        <w:rPr>
          <w:rFonts w:hint="eastAsia"/>
          <w:color w:val="000000" w:themeColor="text1"/>
        </w:rPr>
        <w:instrText>indigenous species across global marine, estuarine and freshwater ecosystems: A 50</w:instrText>
      </w:r>
      <w:r w:rsidR="000F35EB">
        <w:rPr>
          <w:rFonts w:hint="eastAsia"/>
          <w:color w:val="000000" w:themeColor="text1"/>
        </w:rPr>
        <w:instrText>‐</w:instrText>
      </w:r>
      <w:r w:rsidR="000F35EB">
        <w:rPr>
          <w:rFonts w:hint="eastAsia"/>
          <w:color w:val="000000" w:themeColor="text1"/>
        </w:rPr>
        <w:instrText>year perspective","title-short":"Trends in the detection of aquatic non</w:instrText>
      </w:r>
      <w:r w:rsidR="000F35EB">
        <w:rPr>
          <w:rFonts w:hint="eastAsia"/>
          <w:color w:val="000000" w:themeColor="text1"/>
        </w:rPr>
        <w:instrText>‐</w:instrText>
      </w:r>
      <w:r w:rsidR="000F35EB">
        <w:rPr>
          <w:rFonts w:hint="eastAsia"/>
          <w:color w:val="000000" w:themeColor="text1"/>
        </w:rPr>
        <w:instrText>indigenous specie</w:instrText>
      </w:r>
      <w:r w:rsidR="000F35EB">
        <w:rPr>
          <w:color w:val="000000" w:themeColor="text1"/>
        </w:rPr>
        <w:instrText>s across global marine, estuarine and freshwater ecosystems","URL":"https://onlinelibrary.wiley.com/doi/10.1111/ddi.13167","volume":"26","author":[{"family":"Bailey","given":"Sarah A."},{"family":"Brown","given":"Lyndsay"},{"family":"Campbell","given":"Ma</w:instrText>
      </w:r>
      <w:r w:rsidR="000F35EB">
        <w:rPr>
          <w:rFonts w:hint="eastAsia"/>
          <w:color w:val="000000" w:themeColor="text1"/>
        </w:rPr>
        <w:instrText>rnie L."},{"family":"Canning</w:instrText>
      </w:r>
      <w:r w:rsidR="000F35EB">
        <w:rPr>
          <w:rFonts w:hint="eastAsia"/>
          <w:color w:val="000000" w:themeColor="text1"/>
        </w:rPr>
        <w:instrText>‐</w:instrText>
      </w:r>
      <w:r w:rsidR="000F35EB">
        <w:rPr>
          <w:rFonts w:hint="eastAsia"/>
          <w:color w:val="000000" w:themeColor="text1"/>
        </w:rPr>
        <w:instrText>Clode","given":"João"},{"family":"Carlton","given":"James T."},{"family":"Castro","given":"Nuno"},{"family":"Chainho","given":"Paula"},{"family":"Chan","given":"Farrah T."},{"family":"Creed","given":"Joel C."},{"family":"Curd"</w:instrText>
      </w:r>
      <w:r w:rsidR="000F35EB">
        <w:rPr>
          <w:color w:val="000000" w:themeColor="text1"/>
        </w:rPr>
        <w:instrText>,"given":"Amelia"},{"family":"Darling","given":"John"},{"family":"Fofonoff","given":"Paul"},{"family":"Galil","given":"Bella S."},{"family":"Hewitt","given":"Chad L."},{"family":"Inglis","given":"Graeme J."},{"family":"Keith","given":"Inti"},{"family":"Ma</w:instrText>
      </w:r>
      <w:r w:rsidR="000F35EB">
        <w:rPr>
          <w:rFonts w:hint="eastAsia"/>
          <w:color w:val="000000" w:themeColor="text1"/>
        </w:rPr>
        <w:instrText>ndrak","given":"Nicholas E."},{"family":"Marchini","given":"Agnese"},{"family":"McKenzie","given":"Cynthia H."},{"family":"Occhipinti</w:instrText>
      </w:r>
      <w:r w:rsidR="000F35EB">
        <w:rPr>
          <w:rFonts w:hint="eastAsia"/>
          <w:color w:val="000000" w:themeColor="text1"/>
        </w:rPr>
        <w:instrText>‐</w:instrText>
      </w:r>
      <w:r w:rsidR="000F35EB">
        <w:rPr>
          <w:rFonts w:hint="eastAsia"/>
          <w:color w:val="000000" w:themeColor="text1"/>
        </w:rPr>
        <w:instrText>Ambrogi","given":"Anna"},{"family":"Ojaveer","given":"Henn"},{"family":"Pires</w:instrText>
      </w:r>
      <w:r w:rsidR="000F35EB">
        <w:rPr>
          <w:rFonts w:hint="eastAsia"/>
          <w:color w:val="000000" w:themeColor="text1"/>
        </w:rPr>
        <w:instrText>‐</w:instrText>
      </w:r>
      <w:r w:rsidR="000F35EB">
        <w:rPr>
          <w:rFonts w:hint="eastAsia"/>
          <w:color w:val="000000" w:themeColor="text1"/>
        </w:rPr>
        <w:instrText>Teixeira","given":"Larissa M."},{"family":"</w:instrText>
      </w:r>
      <w:r w:rsidR="000F35EB">
        <w:rPr>
          <w:color w:val="000000" w:themeColor="text1"/>
        </w:rPr>
        <w:instrText xml:space="preserve">Robinson","given":"Tamara B."},{"family":"Ruiz","given":"Gregory M."},{"family":"Seaward","given":"Kimberley"},{"family":"Schwindt","given":"Evangelina"},{"family":"Son","given":"Mikhail O."},{"family":"Therriault","given":"Thomas W."},{"family":"Zhan","given":"Aibin"}],"editor":[{"family":"Hussey","given":"Nigel"}],"accessed":{"date-parts":[["2021",7,30]]},"issued":{"date-parts":[["2020",12]]}}}],"schema":"https://github.com/citation-style-language/schema/raw/master/csl-citation.json"} </w:instrText>
      </w:r>
      <w:r w:rsidR="00066A7E" w:rsidRPr="00837161">
        <w:rPr>
          <w:color w:val="000000" w:themeColor="text1"/>
        </w:rPr>
        <w:fldChar w:fldCharType="separate"/>
      </w:r>
      <w:r w:rsidR="00066A7E" w:rsidRPr="00837161">
        <w:t>Bailey et al., 2020)</w:t>
      </w:r>
      <w:r w:rsidR="00066A7E" w:rsidRPr="00837161">
        <w:rPr>
          <w:color w:val="000000" w:themeColor="text1"/>
        </w:rPr>
        <w:fldChar w:fldCharType="end"/>
      </w:r>
      <w:r w:rsidR="00066A7E" w:rsidRPr="00837161">
        <w:rPr>
          <w:color w:val="000000" w:themeColor="text1"/>
        </w:rPr>
        <w:t xml:space="preserve">. Ballast water </w:t>
      </w:r>
      <w:r w:rsidR="00EF3DA9" w:rsidRPr="00837161">
        <w:rPr>
          <w:color w:val="000000" w:themeColor="text1"/>
        </w:rPr>
        <w:t xml:space="preserve">has been </w:t>
      </w:r>
      <w:r w:rsidR="00066A7E" w:rsidRPr="00837161">
        <w:rPr>
          <w:color w:val="000000" w:themeColor="text1"/>
        </w:rPr>
        <w:t xml:space="preserve">an important dispersal pathway of invasive </w:t>
      </w:r>
      <w:r w:rsidR="002C3FAB" w:rsidRPr="00837161">
        <w:rPr>
          <w:rFonts w:eastAsia="Times New Roman"/>
        </w:rPr>
        <w:t xml:space="preserve">alien </w:t>
      </w:r>
      <w:r w:rsidR="00066A7E" w:rsidRPr="00837161">
        <w:rPr>
          <w:color w:val="000000" w:themeColor="text1"/>
        </w:rPr>
        <w:t>species since the late 1800´s</w:t>
      </w:r>
      <w:r w:rsidR="00586082">
        <w:rPr>
          <w:color w:val="000000" w:themeColor="text1"/>
        </w:rPr>
        <w:t>.</w:t>
      </w:r>
      <w:r w:rsidR="00066A7E" w:rsidRPr="00837161">
        <w:rPr>
          <w:color w:val="000000" w:themeColor="text1"/>
        </w:rPr>
        <w:t xml:space="preserve"> The first major comprehensive review of the biology of ballast water was in 1985 </w:t>
      </w:r>
      <w:r w:rsidR="00066A7E" w:rsidRPr="00837161">
        <w:rPr>
          <w:color w:val="000000" w:themeColor="text1"/>
        </w:rPr>
        <w:fldChar w:fldCharType="begin"/>
      </w:r>
      <w:r w:rsidR="000F35EB">
        <w:rPr>
          <w:color w:val="000000" w:themeColor="text1"/>
        </w:rPr>
        <w:instrText xml:space="preserve"> ADDIN ZOTERO_ITEM CSL_CITATION {"citationID":"3vZp2oXB","properties":{"formattedCitation":"(J. Carlton, 1996, and references therein)","plainCitation":"(J. Carlton, 1996, and references therein)","dontUpdate":true,"noteIndex":0},"citationItems":[{"id":16667,"uris":["http://zotero.org/groups/2352922/items/A78L9UTE"],"itemData":{"id":16667,"type":"article-journal","container-title":"Oceanography","DOI":"10.5670/oceanog.1996.25","ISSN":"10428275","issue":"1","journalAbbreviation":"oceanog","language":"en","page":"36-43","source":"DOI.org (Crossref)","title":"Marine bioinvasions: The alteration of marine ecosystems by nonindigenous species","title-short":"Marine Bioinvasions","URL":"https://tos.org/oceanography/article/marine-bioinvasions-the-alteration-of-marine-ecosystems-by-nonindigenous-sp","volume":"9","author":[{"family":"Carlton","given":"James T."}],"accessed":{"date-parts":[["2019",12,4]]},"issued":{"date-parts":[["1996"]]}},"suffix":", and references therein"}],"schema":"https://github.com/citation-style-language/schema/raw/master/csl-citation.json"} </w:instrText>
      </w:r>
      <w:r w:rsidR="00066A7E" w:rsidRPr="00837161">
        <w:rPr>
          <w:color w:val="000000" w:themeColor="text1"/>
        </w:rPr>
        <w:fldChar w:fldCharType="separate"/>
      </w:r>
      <w:r w:rsidR="00066A7E" w:rsidRPr="00837161">
        <w:t>(Carlton, 1996)</w:t>
      </w:r>
      <w:r w:rsidR="00066A7E" w:rsidRPr="00837161">
        <w:rPr>
          <w:color w:val="000000" w:themeColor="text1"/>
        </w:rPr>
        <w:fldChar w:fldCharType="end"/>
      </w:r>
      <w:r w:rsidR="00066A7E" w:rsidRPr="00837161">
        <w:rPr>
          <w:color w:val="000000" w:themeColor="text1"/>
        </w:rPr>
        <w:t>, based on quantitative data only available from mid 1980s</w:t>
      </w:r>
      <w:r w:rsidR="0054613F" w:rsidRPr="00837161">
        <w:rPr>
          <w:color w:val="000000" w:themeColor="text1"/>
        </w:rPr>
        <w:t xml:space="preserve"> </w:t>
      </w:r>
      <w:r w:rsidR="007C729C" w:rsidRPr="00837161">
        <w:rPr>
          <w:color w:val="000000" w:themeColor="text1"/>
        </w:rPr>
        <w:t>(</w:t>
      </w:r>
      <w:r w:rsidR="001C4A3F">
        <w:rPr>
          <w:b/>
          <w:iCs/>
          <w:color w:val="000000" w:themeColor="text1"/>
        </w:rPr>
        <w:t>C</w:t>
      </w:r>
      <w:r w:rsidR="0054613F" w:rsidRPr="001C4A3F">
        <w:rPr>
          <w:b/>
          <w:iCs/>
          <w:color w:val="000000" w:themeColor="text1"/>
        </w:rPr>
        <w:t xml:space="preserve">hapter </w:t>
      </w:r>
      <w:r w:rsidR="007670CA" w:rsidRPr="001C4A3F">
        <w:rPr>
          <w:b/>
          <w:iCs/>
          <w:color w:val="000000" w:themeColor="text1"/>
        </w:rPr>
        <w:t>3</w:t>
      </w:r>
      <w:r w:rsidR="007670CA" w:rsidRPr="001C4A3F">
        <w:rPr>
          <w:iCs/>
          <w:color w:val="000000" w:themeColor="text1"/>
        </w:rPr>
        <w:t>,</w:t>
      </w:r>
      <w:r w:rsidR="007670CA" w:rsidRPr="001C4A3F">
        <w:rPr>
          <w:b/>
          <w:iCs/>
          <w:color w:val="000000" w:themeColor="text1"/>
        </w:rPr>
        <w:t xml:space="preserve"> </w:t>
      </w:r>
      <w:r w:rsidR="0054613F" w:rsidRPr="001C4A3F">
        <w:rPr>
          <w:b/>
          <w:iCs/>
          <w:color w:val="000000" w:themeColor="text1"/>
        </w:rPr>
        <w:t>section 3.2.3.</w:t>
      </w:r>
      <w:r w:rsidR="00443D38" w:rsidRPr="001C4A3F">
        <w:rPr>
          <w:b/>
          <w:iCs/>
          <w:color w:val="000000" w:themeColor="text1"/>
        </w:rPr>
        <w:t>1</w:t>
      </w:r>
      <w:r w:rsidR="0054613F" w:rsidRPr="00837161">
        <w:rPr>
          <w:color w:val="000000" w:themeColor="text1"/>
        </w:rPr>
        <w:t>)</w:t>
      </w:r>
      <w:r w:rsidR="00066A7E" w:rsidRPr="00837161">
        <w:rPr>
          <w:color w:val="000000" w:themeColor="text1"/>
        </w:rPr>
        <w:t>. Since then</w:t>
      </w:r>
      <w:r w:rsidR="26279143" w:rsidRPr="00837161">
        <w:rPr>
          <w:color w:val="000000" w:themeColor="text1"/>
        </w:rPr>
        <w:t>,</w:t>
      </w:r>
      <w:r w:rsidR="00066A7E" w:rsidRPr="00837161">
        <w:rPr>
          <w:color w:val="000000" w:themeColor="text1"/>
        </w:rPr>
        <w:t xml:space="preserve"> ballast water research grew exponentially with </w:t>
      </w:r>
      <w:r w:rsidR="00066A7E" w:rsidRPr="00837161">
        <w:rPr>
          <w:color w:val="000000" w:themeColor="text1"/>
        </w:rPr>
        <w:fldChar w:fldCharType="begin"/>
      </w:r>
      <w:r w:rsidR="000F35EB">
        <w:rPr>
          <w:color w:val="000000" w:themeColor="text1"/>
        </w:rPr>
        <w:instrText xml:space="preserve"> ADDIN ZOTERO_ITEM CSL_CITATION {"citationID":"R8ts0NRb","properties":{"formattedCitation":"(2015)","plainCitation":"(2015)","dontUpdate":true,"noteIndex":0},"citationItems":[{"id":10556,"uris":["http://zotero.org/groups/2352922/items/BSZT2952"],"itemData":{"id":10556,"type":"article-journal","abstract":"Ballast water has been widely used by commercial vessels to control trim, draft and stability since the late 1870s. While the global transport of ballast water (and associated sediments) was ﬁrst recognized as a potential dispersal mechanism for plankton in the late 1890s, quantitative research on the issue does not appear in the primary scientiﬁc literature until the mid-1980s. Following James T. Carlton’s comprehensive review of the biology of ballast water in 1985, there was an explosion in research effort, with nearly 400 papers published in the last thirty years. This article provides a brief overview of the role that ballast water has played as a global vector for aquatic invasive species, summarizing the current state of ballast water research and emerging topics for future study, based on a review of articles in the primary scientiﬁc literature. Initially, the main research focus was to document the community composition of ballast water in ships arriving to ports around the world. In the late 1990s, risk ssessments examining shipping trafﬁc patterns and environmental tolerances of species likely transported in ballast water dominated. By 2000, ballast water studies examining efﬁcacy of various treatment strategies dominated, and papers exploring new tools and methods for more accurate/representative sampling and analysis of ballast water emerged as an important research topic. There is currently insufﬁcient data to conﬁdently quantify the probability of invasion associated with any particular inoculum density (or discharge standard), as a result, laboratory, ﬁeld and modeling studies examining the relationship between invasion risk and the size of the initially released population (the ‘risk-release relationship’) are an emerging, high priority ﬁeld of study.","container-title":"Aquatic Ecosystem Health &amp; Management","DOI":"10.1080/14634988.2015.1027129","ISSN":"1463-4988, 1539-4077","issue":"3","journalAbbreviation":"Aquatic Ecosystem Health &amp; Management","language":"en","page":"261-268","source":"DOI.org (Crossref)","title":"An overview of thirty years of research on ballast water as a vector for aquatic invasive species to freshwater and marine environments","URL":"https://www.tandfonline.com/doi/full/10.1080/14634988.2015.1027129","volume":"18","author":[{"family":"Bailey","given":"Sarah A."}],"accessed":{"date-parts":[["2019",10,20]]},"issued":{"date-parts":[["2015",7,3]]}},"suppress-author":true}],"schema":"https://github.com/citation-style-language/schema/raw/master/csl-citation.json"} </w:instrText>
      </w:r>
      <w:r w:rsidR="00066A7E" w:rsidRPr="00837161">
        <w:rPr>
          <w:color w:val="000000" w:themeColor="text1"/>
        </w:rPr>
        <w:fldChar w:fldCharType="end"/>
      </w:r>
      <w:r w:rsidR="00066A7E" w:rsidRPr="00837161">
        <w:rPr>
          <w:color w:val="000000" w:themeColor="text1"/>
        </w:rPr>
        <w:t xml:space="preserve">400 publications from 1955 to 2013 </w:t>
      </w:r>
      <w:r w:rsidR="00066A7E" w:rsidRPr="00837161">
        <w:rPr>
          <w:color w:val="000000" w:themeColor="text1"/>
        </w:rPr>
        <w:fldChar w:fldCharType="begin"/>
      </w:r>
      <w:r w:rsidR="000F35EB">
        <w:rPr>
          <w:color w:val="000000" w:themeColor="text1"/>
        </w:rPr>
        <w:instrText xml:space="preserve"> ADDIN ZOTERO_ITEM CSL_CITATION {"citationID":"ltKFB84u","properties":{"formattedCitation":"(Bailey, 2015)","plainCitation":"(Bailey, 2015)","noteIndex":0},"citationItems":[{"id":10556,"uris":["http://zotero.org/groups/2352922/items/BSZT2952"],"itemData":{"id":10556,"type":"article-journal","abstract":"Ballast water has been widely used by commercial vessels to control trim, draft and stability since the late 1870s. While the global transport of ballast water (and associated sediments) was ﬁrst recognized as a potential dispersal mechanism for plankton in the late 1890s, quantitative research on the issue does not appear in the primary scientiﬁc literature until the mid-1980s. Following James T. Carlton’s comprehensive review of the biology of ballast water in 1985, there was an explosion in research effort, with nearly 400 papers published in the last thirty years. This article provides a brief overview of the role that ballast water has played as a global vector for aquatic invasive species, summarizing the current state of ballast water research and emerging topics for future study, based on a review of articles in the primary scientiﬁc literature. Initially, the main research focus was to document the community composition of ballast water in ships arriving to ports around the world. In the late 1990s, risk ssessments examining shipping trafﬁc patterns and environmental tolerances of species likely transported in ballast water dominated. By 2000, ballast water studies examining efﬁcacy of various treatment strategies dominated, and papers exploring new tools and methods for more accurate/representative sampling and analysis of ballast water emerged as an important research topic. There is currently insufﬁcient data to conﬁdently quantify the probability of invasion associated with any particular inoculum density (or discharge standard), as a result, laboratory, ﬁeld and modeling studies examining the relationship between invasion risk and the size of the initially released population (the ‘risk-release relationship’) are an emerging, high priority ﬁeld of study.","container-title":"Aquatic Ecosystem Health &amp; Management","DOI":"10.1080/14634988.2015.1027129","ISSN":"1463-4988, 1539-4077","issue":"3","journalAbbreviation":"Aquatic Ecosystem Health &amp; Management","language":"en","page":"261-268","source":"DOI.org (Crossref)","title":"An overview of thirty years of research on ballast water as a vector for aquatic invasive species to freshwater and marine environments","URL":"https://www.tandfonline.com/doi/full/10.1080/14634988.2015.1027129","volume":"18","author":[{"family":"Bailey","given":"Sarah A."}],"accessed":{"date-parts":[["2019",10,20]]},"issued":{"date-parts":[["2015",7,3]]}}}],"schema":"https://github.com/citation-style-language/schema/raw/master/csl-citation.json"} </w:instrText>
      </w:r>
      <w:r w:rsidR="00066A7E" w:rsidRPr="00837161">
        <w:rPr>
          <w:color w:val="000000" w:themeColor="text1"/>
        </w:rPr>
        <w:fldChar w:fldCharType="separate"/>
      </w:r>
      <w:r w:rsidR="00271B78" w:rsidRPr="00271B78">
        <w:t>(Bailey, 2015)</w:t>
      </w:r>
      <w:r w:rsidR="00066A7E" w:rsidRPr="00837161">
        <w:rPr>
          <w:color w:val="000000" w:themeColor="text1"/>
        </w:rPr>
        <w:fldChar w:fldCharType="end"/>
      </w:r>
      <w:r w:rsidR="00066A7E" w:rsidRPr="00837161">
        <w:rPr>
          <w:color w:val="000000" w:themeColor="text1"/>
        </w:rPr>
        <w:t xml:space="preserve">. Several countries started to regulate ballast water management from 1989 at regional or national levels </w:t>
      </w:r>
      <w:r w:rsidR="00066A7E" w:rsidRPr="00837161">
        <w:rPr>
          <w:color w:val="000000" w:themeColor="text1"/>
        </w:rPr>
        <w:fldChar w:fldCharType="begin"/>
      </w:r>
      <w:r w:rsidR="000F35EB">
        <w:rPr>
          <w:color w:val="000000" w:themeColor="text1"/>
        </w:rPr>
        <w:instrText xml:space="preserve"> ADDIN ZOTERO_ITEM CSL_CITATION {"citationID":"KsQZeUPE","properties":{"formattedCitation":"(Bailey, 2015; Hewitt et al., 2004)","plainCitation":"(Bailey, 2015; Hewitt et al., 2004)","noteIndex":0},"citationItems":[{"id":17414,"uris":["http://zotero.org/groups/2352922/items/XUB2Z9LX"],"itemData":{"id":17414,"type":"article-journal","abstract":"Marine biosecurity, the protection of the marine environment from impacts of non-indigenous species, has a high profile in New Zealand largely associated with a dependence on shipping. The Ministry of Fisheries is the lead agency for marine biosecurity and is tasked with managing the risks posed by pests and non-indigenous marine species. Much like the terrestrial environment, multiple pathways provide ample opportunities for new species to arrive. The Marine Biosecurity Team was established in 1998, and under the Biodiversity package delivered by government, has undertaken an ambitious programme to deliver biosecurity outcomes by reducing the knowledge gaps and establishing management frameworks. A Risk Management Framework aids decision-making and operational planning. Despite significant progress, a number of gaps have been identified in our knowledge base, capability, and capacity that require attention.","container-title":"New Zealand Journal of Marine and Freshwater Research","DOI":"10.1080/00288330.2004.9517250","ISSN":"0028-8330","issue":"3","page":"429–438","source":"Google Scholar","title":"New Zealand marine biosecurity: Delivering outcomes in a fluid environment","title-short":"New Zealand marine biosecurity","volume":"38","author":[{"family":"Hewitt","given":"Chad L."},{"family":"Willing","given":"Jane"},{"family":"Bauckham","given":"Allan"},{"family":"Cassidy","given":"A. Maria"},{"family":"Cox","given":"Camilla M. S."},{"family":"Jones","given":"Liz"},{"family":"Wotton","given":"Debra M."}],"issued":{"date-parts":[["2004"]]}}},{"id":10556,"uris":["http://zotero.org/groups/2352922/items/BSZT2952"],"itemData":{"id":10556,"type":"article-journal","abstract":"Ballast water has been widely used by commercial vessels to control trim, draft and stability since the late 1870s. While the global transport of ballast water (and associated sediments) was ﬁrst recognized as a potential dispersal mechanism for plankton in the late 1890s, quantitative research on the issue does not appear in the primary scientiﬁc literature until the mid-1980s. Following James T. Carlton’s comprehensive review of the biology of ballast water in 1985, there was an explosion in research effort, with nearly 400 papers published in the last thirty years. This article provides a brief overview of the role that ballast water has played as a global vector for aquatic invasive species, summarizing the current state of ballast water research and emerging topics for future study, based on a review of articles in the primary scientiﬁc literature. Initially, the main research focus was to document the community composition of ballast water in ships arriving to ports around the world. In the late 1990s, risk ssessments examining shipping trafﬁc patterns and environmental tolerances of species likely transported in ballast water dominated. By 2000, ballast water studies examining efﬁcacy of various treatment strategies dominated, and papers exploring new tools and methods for more accurate/representative sampling and analysis of ballast water emerged as an important research topic. There is currently insufﬁcient data to conﬁdently quantify the probability of invasion associated with any particular inoculum density (or discharge standard), as a result, laboratory, ﬁeld and modeling studies examining the relationship between invasion risk and the size of the initially released population (the ‘risk-release relationship’) are an emerging, high priority ﬁeld of study.","container-title":"Aquatic Ecosystem Health &amp; Management","DOI":"10.1080/14634988.2015.1027129","ISSN":"1463-4988, 1539-4077","issue":"3","journalAbbreviation":"Aquatic Ecosystem Health &amp; Management","language":"en","page":"261-268","source":"DOI.org (Crossref)","title":"An overview of thirty years of research on ballast water as a vector for aquatic invasive species to freshwater and marine environments","URL":"https://www.tandfonline.com/doi/full/10.1080/14634988.2015.1027129","volume":"18","author":[{"family":"Bailey","given":"Sarah A."}],"accessed":{"date-parts":[["2019",10,20]]},"issued":{"date-parts":[["2015",7,3]]}}}],"schema":"https://github.com/citation-style-language/schema/raw/master/csl-citation.json"} </w:instrText>
      </w:r>
      <w:r w:rsidR="00066A7E" w:rsidRPr="00837161">
        <w:rPr>
          <w:color w:val="000000" w:themeColor="text1"/>
        </w:rPr>
        <w:fldChar w:fldCharType="separate"/>
      </w:r>
      <w:r w:rsidR="00271B78" w:rsidRPr="00271B78">
        <w:t>(Bailey, 2015; Hewitt et al., 2004)</w:t>
      </w:r>
      <w:r w:rsidR="00066A7E" w:rsidRPr="00837161">
        <w:rPr>
          <w:color w:val="000000" w:themeColor="text1"/>
        </w:rPr>
        <w:fldChar w:fldCharType="end"/>
      </w:r>
      <w:r w:rsidR="00066A7E" w:rsidRPr="00837161">
        <w:rPr>
          <w:color w:val="000000" w:themeColor="text1"/>
        </w:rPr>
        <w:t xml:space="preserve">. Today, the </w:t>
      </w:r>
      <w:r w:rsidR="00467796" w:rsidRPr="00837161">
        <w:rPr>
          <w:color w:val="000000" w:themeColor="text1"/>
        </w:rPr>
        <w:t>BWM</w:t>
      </w:r>
      <w:r w:rsidR="00066A7E" w:rsidRPr="00837161">
        <w:rPr>
          <w:color w:val="000000" w:themeColor="text1"/>
        </w:rPr>
        <w:t xml:space="preserve"> Convention has been adopted by the International Maritime Organization (IMO) and entered into force in </w:t>
      </w:r>
      <w:r w:rsidR="00066A7E" w:rsidRPr="00837161">
        <w:rPr>
          <w:rFonts w:eastAsia="Calibri"/>
        </w:rPr>
        <w:t>2017</w:t>
      </w:r>
      <w:r w:rsidR="00066A7E" w:rsidRPr="00837161">
        <w:rPr>
          <w:color w:val="000000" w:themeColor="text1"/>
        </w:rPr>
        <w:t xml:space="preserve"> </w:t>
      </w:r>
      <w:r w:rsidR="000046C4" w:rsidRPr="00837161">
        <w:rPr>
          <w:color w:val="000000" w:themeColor="text1"/>
        </w:rPr>
        <w:t xml:space="preserve">to help prevent the spread of potentially harmful aquatic organisms and pathogens in ships' ballast water. </w:t>
      </w:r>
      <w:r w:rsidR="008F0816" w:rsidRPr="00837161">
        <w:rPr>
          <w:color w:val="000000" w:themeColor="text1"/>
        </w:rPr>
        <w:t xml:space="preserve">Adoption the BWM </w:t>
      </w:r>
      <w:r w:rsidR="002419B1" w:rsidRPr="00837161">
        <w:rPr>
          <w:color w:val="000000" w:themeColor="text1"/>
        </w:rPr>
        <w:t>Convention requires s</w:t>
      </w:r>
      <w:r w:rsidR="0001673E" w:rsidRPr="00837161">
        <w:rPr>
          <w:color w:val="000000" w:themeColor="text1"/>
        </w:rPr>
        <w:t xml:space="preserve">hips </w:t>
      </w:r>
      <w:r w:rsidR="002419B1" w:rsidRPr="00837161">
        <w:rPr>
          <w:color w:val="000000" w:themeColor="text1"/>
        </w:rPr>
        <w:t>to</w:t>
      </w:r>
      <w:r w:rsidR="0001673E" w:rsidRPr="00837161">
        <w:rPr>
          <w:color w:val="000000" w:themeColor="text1"/>
        </w:rPr>
        <w:t xml:space="preserve"> manage their ballast water so that aquatic organisms and pathogens are removed or rendered harmless before the ballast water is released into a new location</w:t>
      </w:r>
      <w:r w:rsidR="008F0816" w:rsidRPr="00837161">
        <w:rPr>
          <w:color w:val="000000" w:themeColor="text1"/>
        </w:rPr>
        <w:t xml:space="preserve"> </w:t>
      </w:r>
      <w:r w:rsidR="00874429" w:rsidRPr="00837161">
        <w:rPr>
          <w:color w:val="000000" w:themeColor="text1"/>
        </w:rPr>
        <w:fldChar w:fldCharType="begin"/>
      </w:r>
      <w:r w:rsidR="000F35EB">
        <w:rPr>
          <w:color w:val="000000" w:themeColor="text1"/>
        </w:rPr>
        <w:instrText xml:space="preserve"> ADDIN ZOTERO_ITEM CSL_CITATION {"citationID":"1EU94KrV","properties":{"formattedCitation":"(IMO, 2004)","plainCitation":"(IMO, 2004)","noteIndex":0},"citationItems":[{"id":54799,"uris":["http://zotero.org/groups/2352922/items/LPQNU3BE"],"itemData":{"id":54799,"type":"paper-conference","collection-title":"BWM/CONF/36","event-title":"International Conference on Ballast Water Management For Ships","language":"English","publisher":"International Convention for the Control and Management of Ships' Ballast Water and Sediments (BWM)","title":"Adoption of the final act and any instruments, recommendations and resolutions resulting from the work of the conference","URL":"https://www.liscr.com/sites/default/files/liscr_imo_resolutions/BWMConvention.pdf","author":[{"literal":"IMO"}],"issued":{"date-parts":[["2004"]]}}}],"schema":"https://github.com/citation-style-language/schema/raw/master/csl-citation.json"} </w:instrText>
      </w:r>
      <w:r w:rsidR="00874429" w:rsidRPr="00837161">
        <w:rPr>
          <w:color w:val="000000" w:themeColor="text1"/>
        </w:rPr>
        <w:fldChar w:fldCharType="separate"/>
      </w:r>
      <w:r w:rsidR="00271B78" w:rsidRPr="00271B78">
        <w:t>(IMO, 2004)</w:t>
      </w:r>
      <w:r w:rsidR="00874429" w:rsidRPr="00837161">
        <w:rPr>
          <w:color w:val="000000" w:themeColor="text1"/>
        </w:rPr>
        <w:fldChar w:fldCharType="end"/>
      </w:r>
      <w:r w:rsidR="0001673E" w:rsidRPr="00837161">
        <w:rPr>
          <w:color w:val="000000" w:themeColor="text1"/>
        </w:rPr>
        <w:t>.</w:t>
      </w:r>
      <w:r w:rsidR="00364613" w:rsidRPr="00837161">
        <w:rPr>
          <w:color w:val="000000" w:themeColor="text1"/>
        </w:rPr>
        <w:t xml:space="preserve"> </w:t>
      </w:r>
      <w:r w:rsidR="00066A7E" w:rsidRPr="00837161">
        <w:rPr>
          <w:color w:val="000000" w:themeColor="text1"/>
        </w:rPr>
        <w:t xml:space="preserve">The efficacy of the ballast water management (for details see </w:t>
      </w:r>
      <w:r w:rsidR="00066A7E" w:rsidRPr="001C4A3F">
        <w:rPr>
          <w:b/>
          <w:iCs/>
          <w:color w:val="000000" w:themeColor="text1"/>
        </w:rPr>
        <w:t>section 5.4.</w:t>
      </w:r>
      <w:r w:rsidR="00F6367C" w:rsidRPr="001C4A3F">
        <w:rPr>
          <w:b/>
          <w:iCs/>
          <w:color w:val="000000" w:themeColor="text1"/>
        </w:rPr>
        <w:t>3</w:t>
      </w:r>
      <w:r w:rsidR="00066A7E" w:rsidRPr="001C4A3F">
        <w:rPr>
          <w:b/>
          <w:iCs/>
          <w:color w:val="000000" w:themeColor="text1"/>
        </w:rPr>
        <w:t>.1</w:t>
      </w:r>
      <w:r w:rsidR="00066A7E" w:rsidRPr="00837161">
        <w:rPr>
          <w:color w:val="000000" w:themeColor="text1"/>
        </w:rPr>
        <w:t xml:space="preserve">) has only been tested in a few countries, and more long-term studies are needed to understand its efficacy on preventing new species introductions. Bailey et al. </w:t>
      </w:r>
      <w:r w:rsidR="00066A7E" w:rsidRPr="00837161">
        <w:rPr>
          <w:color w:val="000000" w:themeColor="text1"/>
        </w:rPr>
        <w:fldChar w:fldCharType="begin"/>
      </w:r>
      <w:r w:rsidR="000F35EB">
        <w:rPr>
          <w:color w:val="000000" w:themeColor="text1"/>
        </w:rPr>
        <w:instrText xml:space="preserve"> ADDIN ZOTERO_ITEM CSL_CITATION {"citationID":"fLaIAnQe","properties":{"formattedCitation":"(2011)","plainCitation":"(2011)","noteIndex":0},"citationItems":[{"id":12623,"uris":["http://zotero.org/groups/2352922/items/Z5IAUL2R"],"itemData":{"id":12623,"type":"article-journal","abstract":"Enactment of any environmental policy should be followed by an evaluation of its eﬃcacy to ensure optimal utilization of limited resources, yet measuring the success of these policies can be a challenging task owing to a dearth of data and confounding factors. We examine the eﬃcacy of ballast water policies enacted to prevent biological invasions in the Laurentian Great Lakes. We utilize four criteria to assess the eﬃcacy of this environmental regulation: (1) Is the prescribed management action demonstrably eﬀective? (2) Is the management action eﬀective under operational conditions? (3) Can compliance be achieved on a broad scale? (4) Are desired changes observed in the environment? The four lines of evidence resulting from this analysis indicate that the Great Lakes ballast water management program provides robust, but not complete, protection against ship-mediated biological invasions. Our analysis also indicates that corresponding inspection and enforcement eﬀorts should be undertaken to ensure that environmental policies translate into increased environmental protection. Similar programs could be implemented immediately around the world to protect the biodiversity of the many freshwater ecosystems which receive ballast water discharges by international vessels. This general framework can be extended to evaluate eﬃcacy of other environmental policies.","container-title":"Environmental Science &amp; Technology","DOI":"10.1021/es102655j","ISSN":"0013-936X, 1520-5851","issue":"7","journalAbbreviation":"Environ. Sci. Technol.","language":"en","page":"2554-2561","source":"DOI.org (Crossref)","title":"Evaluating Efficacy of an Environmental Policy to Prevent Biological Invasions","URL":"https://pubs.acs.org/doi/10.1021/es102655j","volume":"45","author":[{"family":"Bailey","given":"Sarah A."},{"family":"Deneau","given":"Matthew G."},{"family":"Jean","given":"Laurent"},{"family":"Wiley","given":"Chris J."},{"family":"Leung","given":"Brian"},{"family":"MacIsaac","given":"Hugh J."}],"accessed":{"date-parts":[["2019",10,20]]},"issued":{"date-parts":[["2011",4]]}},"suppress-author":true}],"schema":"https://github.com/citation-style-language/schema/raw/master/csl-citation.json"} </w:instrText>
      </w:r>
      <w:r w:rsidR="00066A7E" w:rsidRPr="00837161">
        <w:rPr>
          <w:color w:val="000000" w:themeColor="text1"/>
        </w:rPr>
        <w:fldChar w:fldCharType="separate"/>
      </w:r>
      <w:r w:rsidR="00271B78" w:rsidRPr="00271B78">
        <w:t>(2011)</w:t>
      </w:r>
      <w:r w:rsidR="00066A7E" w:rsidRPr="00837161">
        <w:rPr>
          <w:color w:val="000000" w:themeColor="text1"/>
        </w:rPr>
        <w:fldChar w:fldCharType="end"/>
      </w:r>
      <w:r w:rsidR="00066A7E" w:rsidRPr="00837161">
        <w:rPr>
          <w:color w:val="000000" w:themeColor="text1"/>
        </w:rPr>
        <w:t xml:space="preserve"> evaluated the efficacy of ballast water tank flushing to reduce the introduction of invasive </w:t>
      </w:r>
      <w:r w:rsidR="002C3FAB" w:rsidRPr="00837161">
        <w:rPr>
          <w:rFonts w:eastAsia="Times New Roman"/>
        </w:rPr>
        <w:t xml:space="preserve">alien </w:t>
      </w:r>
      <w:r w:rsidR="00066A7E" w:rsidRPr="00837161">
        <w:rPr>
          <w:color w:val="000000" w:themeColor="text1"/>
        </w:rPr>
        <w:t xml:space="preserve">species and found a declining rate of detections of </w:t>
      </w:r>
      <w:r w:rsidR="00AE25FB" w:rsidRPr="00837161">
        <w:rPr>
          <w:color w:val="000000" w:themeColor="text1"/>
        </w:rPr>
        <w:t xml:space="preserve">them </w:t>
      </w:r>
      <w:r w:rsidR="00066A7E" w:rsidRPr="00837161">
        <w:rPr>
          <w:color w:val="000000" w:themeColor="text1"/>
        </w:rPr>
        <w:t>in the Great Lakes. It is estimated that nearly 70</w:t>
      </w:r>
      <w:r w:rsidR="006215F0" w:rsidRPr="00837161">
        <w:t xml:space="preserve"> per cent</w:t>
      </w:r>
      <w:r w:rsidR="00066A7E" w:rsidRPr="00837161">
        <w:rPr>
          <w:color w:val="000000" w:themeColor="text1"/>
        </w:rPr>
        <w:t xml:space="preserve"> of the marine invasive alien species established worldwide were </w:t>
      </w:r>
      <w:r w:rsidR="00066A7E" w:rsidRPr="00837161">
        <w:t xml:space="preserve">introduced via biofouling </w:t>
      </w:r>
      <w:r w:rsidR="00C978DE" w:rsidRPr="00837161">
        <w:fldChar w:fldCharType="begin"/>
      </w:r>
      <w:r w:rsidR="000F35EB">
        <w:instrText xml:space="preserve"> ADDIN ZOTERO_ITEM CSL_CITATION {"citationID":"SJVwpcou","properties":{"formattedCitation":"(Hewitt &amp; Campbell, 2010)","plainCitation":"(Hewitt &amp; Campbell, 2010)","noteIndex":0},"citationItems":[{"id":53315,"uris":["http://zotero.org/groups/2352922/items/73RJNQX2"],"itemData":{"id":53315,"type":"report","note":"ISBN 978-1-921575-14-3","publisher":"The Department of Agriculture, Fisheries and Forestry (DAFF)","title":"The relative contribution of vectors to the introduction and translocation of invasive marine species","URL":"https://www.marinepests.gov.au/sites/default/files/Documents/relative-contribution-vectors-introduction-translocation-invasive-marine-species.pdf","author":[{"family":"Hewitt","given":"Chad L."},{"family":"Campbell","given":"Marnie L."}],"issued":{"date-parts":[["2010"]]}},"label":"page"}],"schema":"https://github.com/citation-style-language/schema/raw/master/csl-citation.json"} </w:instrText>
      </w:r>
      <w:r w:rsidR="00C978DE" w:rsidRPr="00837161">
        <w:fldChar w:fldCharType="separate"/>
      </w:r>
      <w:r w:rsidR="00271B78" w:rsidRPr="00271B78">
        <w:t>(Hewitt &amp; Campbell, 2010)</w:t>
      </w:r>
      <w:r w:rsidR="00C978DE" w:rsidRPr="00837161">
        <w:fldChar w:fldCharType="end"/>
      </w:r>
      <w:r w:rsidR="00066A7E" w:rsidRPr="00837161">
        <w:t xml:space="preserve">. In countries and regions where biofouling regulations exist, </w:t>
      </w:r>
      <w:r w:rsidR="00066A7E" w:rsidRPr="00837161">
        <w:rPr>
          <w:color w:val="000000" w:themeColor="text1"/>
        </w:rPr>
        <w:t xml:space="preserve">the efficacy of these in managing invasions is not well understood given that regulations are recent and were implemented only in a few countries and regions </w:t>
      </w:r>
      <w:r w:rsidR="00066A7E" w:rsidRPr="00837161">
        <w:rPr>
          <w:color w:val="000000" w:themeColor="text1"/>
        </w:rPr>
        <w:fldChar w:fldCharType="begin"/>
      </w:r>
      <w:r w:rsidR="000F35EB">
        <w:rPr>
          <w:color w:val="000000" w:themeColor="text1"/>
        </w:rPr>
        <w:instrText xml:space="preserve"> ADDIN ZOTERO_ITEM CSL_CITATION {"citationID":"HZOeLtAw","properties":{"formattedCitation":"(K. R. Hayes et al., 2019)","plainCitation":"(K. R. Hayes et al., 2019)","noteIndex":0},"citationItems":[{"id":29368,"uris":["http://zotero.org/groups/2352922/items/WT7F3NG8"],"itemData":{"id":29368,"type":"article-journal","abstract":"Ships have been translocating species around the world for hundreds of years but attempts to understand and manage this issue date back only three decades. Here we review the assessment and management of risks from vessel biofouling and ballast water over this time period from an Australian and New Zealand perspective. We detail a history of successes and failures at the science-policy interface that include international guidelines for biofouling management and the recent ratiﬁcation of a ballast water convention. We summarize the efﬁcacy and costs of current treatment options, and highlight the practical challenges and policy implications of managing the diffuse and succinct bio-invasion risks that shipping creates pre- and post-border. We then use the lessons learnt over the last 30 years to recommend a future empirical strategy.","container-title":"Frontiers in Marine Science","DOI":"10.3389/fmars.2019.00489","ISSN":"2296-7745","journalAbbreviation":"Front. Mar. Sci.","language":"en","page":"489","source":"DOI.org (Crossref)","title":"The Assessment and Management of Marine Pest Risks Posed by Shipping: The Australian and New Zealand Experience","title-short":"The Assessment and Management of Marine Pest Risks Posed by Shipping","URL":"https://www.frontiersin.org/article/10.3389/fmars.2019.00489/full","volume":"6","author":[{"family":"Hayes","given":"Keith R."},{"family":"Inglis","given":"Graeme J."},{"family":"Barry","given":"Simon C."}],"accessed":{"date-parts":[["2019",9,17]]},"issued":{"date-parts":[["2019",8,6]]}}}],"schema":"https://github.com/citation-style-language/schema/raw/master/csl-citation.json"} </w:instrText>
      </w:r>
      <w:r w:rsidR="00066A7E" w:rsidRPr="00837161">
        <w:rPr>
          <w:color w:val="000000" w:themeColor="text1"/>
        </w:rPr>
        <w:fldChar w:fldCharType="separate"/>
      </w:r>
      <w:r w:rsidR="00271B78" w:rsidRPr="00271B78">
        <w:t>(K. R. Hayes et al., 2019)</w:t>
      </w:r>
      <w:r w:rsidR="00066A7E" w:rsidRPr="00837161">
        <w:rPr>
          <w:color w:val="000000" w:themeColor="text1"/>
        </w:rPr>
        <w:fldChar w:fldCharType="end"/>
      </w:r>
      <w:r w:rsidR="00066A7E" w:rsidRPr="00837161">
        <w:rPr>
          <w:color w:val="000000" w:themeColor="text1"/>
        </w:rPr>
        <w:t>.</w:t>
      </w:r>
      <w:r w:rsidRPr="00867B00">
        <w:rPr>
          <w:color w:val="000000" w:themeColor="text1"/>
        </w:rPr>
        <w:t xml:space="preserve"> </w:t>
      </w:r>
    </w:p>
    <w:p w14:paraId="06413DFC" w14:textId="2B72A547" w:rsidR="4457CA08" w:rsidRPr="00837161" w:rsidRDefault="163DCC89" w:rsidP="00C11DFA">
      <w:pPr>
        <w:spacing w:before="240" w:after="120" w:line="240" w:lineRule="auto"/>
        <w:rPr>
          <w:color w:val="000000" w:themeColor="text1"/>
        </w:rPr>
      </w:pPr>
      <w:r w:rsidRPr="00837161">
        <w:rPr>
          <w:color w:val="000000" w:themeColor="text1"/>
        </w:rPr>
        <w:t xml:space="preserve">Regulations covering several biofouling management strategies were reviewed for New Zealand by </w:t>
      </w:r>
      <w:r w:rsidRPr="00837161">
        <w:t xml:space="preserve">Morrisey and Wood </w:t>
      </w:r>
      <w:r w:rsidR="5140D151" w:rsidRPr="00837161">
        <w:fldChar w:fldCharType="begin"/>
      </w:r>
      <w:r w:rsidR="000F35EB">
        <w:instrText xml:space="preserve"> ADDIN ZOTERO_ITEM CSL_CITATION {"citationID":"kOfzBRw7","properties":{"formattedCitation":"(Morrisey &amp; Woods, 2015)","plainCitation":"(Morrisey &amp; Woods, 2015)","noteIndex":0},"citationItems":[{"id":30561,"uris":["http://zotero.org/groups/2352922/items/WDQAEKZH"],"itemData":{"id":30561,"type":"book","collection-number":"MPI Technical Paper No: 2015/38","ISBN":"978-1-77665-128-3","publisher":"Ministry for Primary Industries, Manatū Ahu Matua","source":"Google Scholar","title":"In-water cleaning technologies: Review of information","title-short":"In-water cleaning technologies","author":[{"family":"Morrisey","given":"Donald J."},{"family":"Woods","given":"Chris"}],"issued":{"date-parts":[["2015"]]}}}],"schema":"https://github.com/citation-style-language/schema/raw/master/csl-citation.json"} </w:instrText>
      </w:r>
      <w:r w:rsidR="5140D151" w:rsidRPr="00837161">
        <w:fldChar w:fldCharType="separate"/>
      </w:r>
      <w:r w:rsidR="00271B78" w:rsidRPr="00271B78">
        <w:t>(Morrisey &amp; Woods, 2015)</w:t>
      </w:r>
      <w:r w:rsidR="5140D151" w:rsidRPr="00837161">
        <w:fldChar w:fldCharType="end"/>
      </w:r>
      <w:r w:rsidRPr="00837161">
        <w:t xml:space="preserve"> and include</w:t>
      </w:r>
      <w:r w:rsidRPr="00837161">
        <w:rPr>
          <w:color w:val="000000" w:themeColor="text1"/>
        </w:rPr>
        <w:t>:</w:t>
      </w:r>
    </w:p>
    <w:p w14:paraId="0FF393BD" w14:textId="532642C3" w:rsidR="00C22235" w:rsidRPr="00837161" w:rsidRDefault="1D32FFDC" w:rsidP="00A9356F">
      <w:pPr>
        <w:pStyle w:val="ListParagraph"/>
        <w:numPr>
          <w:ilvl w:val="0"/>
          <w:numId w:val="42"/>
        </w:numPr>
        <w:spacing w:line="240" w:lineRule="auto"/>
        <w:contextualSpacing w:val="0"/>
        <w:rPr>
          <w:color w:val="000000" w:themeColor="text1"/>
        </w:rPr>
      </w:pPr>
      <w:r w:rsidRPr="00837161">
        <w:rPr>
          <w:color w:val="000000" w:themeColor="text1"/>
        </w:rPr>
        <w:t>In-water cleaning and capture system</w:t>
      </w:r>
      <w:r w:rsidR="00B24874">
        <w:rPr>
          <w:color w:val="000000" w:themeColor="text1"/>
        </w:rPr>
        <w:t>s</w:t>
      </w:r>
      <w:r w:rsidR="01271028" w:rsidRPr="00837161">
        <w:rPr>
          <w:color w:val="000000" w:themeColor="text1"/>
        </w:rPr>
        <w:t>, which, according to a</w:t>
      </w:r>
      <w:r w:rsidRPr="00837161">
        <w:rPr>
          <w:color w:val="000000" w:themeColor="text1"/>
        </w:rPr>
        <w:t xml:space="preserve"> recent study</w:t>
      </w:r>
      <w:r w:rsidR="01271028" w:rsidRPr="00837161">
        <w:rPr>
          <w:color w:val="000000" w:themeColor="text1"/>
        </w:rPr>
        <w:t>, can</w:t>
      </w:r>
      <w:r w:rsidRPr="00837161">
        <w:rPr>
          <w:color w:val="000000" w:themeColor="text1"/>
        </w:rPr>
        <w:t xml:space="preserve"> reduce</w:t>
      </w:r>
      <w:r w:rsidR="01271028" w:rsidRPr="00837161">
        <w:rPr>
          <w:color w:val="000000" w:themeColor="text1"/>
        </w:rPr>
        <w:t xml:space="preserve"> </w:t>
      </w:r>
      <w:r w:rsidRPr="00837161">
        <w:rPr>
          <w:color w:val="000000" w:themeColor="text1"/>
        </w:rPr>
        <w:t>biofouling by 82-94</w:t>
      </w:r>
      <w:r w:rsidR="006215F0" w:rsidRPr="00837161">
        <w:t xml:space="preserve"> per cent</w:t>
      </w:r>
      <w:r w:rsidRPr="00837161">
        <w:rPr>
          <w:color w:val="000000" w:themeColor="text1"/>
        </w:rPr>
        <w:t xml:space="preserve"> </w:t>
      </w:r>
      <w:r w:rsidR="0F5BFF17" w:rsidRPr="00837161">
        <w:fldChar w:fldCharType="begin"/>
      </w:r>
      <w:r w:rsidR="000F35EB">
        <w:instrText xml:space="preserve"> ADDIN ZOTERO_ITEM CSL_CITATION {"citationID":"TFtuSgZI","properties":{"formattedCitation":"(Tamburri et al., 2020)","plainCitation":"(Tamburri et al., 2020)","dontUpdate":true,"noteIndex":0},"citationItems":[{"id":11556,"uris":["http://zotero.org/groups/2352922/items/GZENKAEX"],"itemData":{"id":11556,"type":"article-journal","abstract":"Biofouling is a long-standing challenge for ships because it can interfere with operations and increases vessel drag, fuel consumption and exhaust emissions. More recently, ship biofouling has also been recognized as a leading vector for global transfers and introductions of marine non-indigenous species. Ship in-water cleaning and capture (IWCC) systems, to remove and collect macrofouling organisms and associated antifouling coating compounds, are now becoming available as a possible solution to both problems. However, independent and rigorous evaluations of IWCC efﬁcacy and environmental safety are needed to facilitate technology maturation, support vessel operator biofouling management decisions, aid IWCC approvals and permitting, and inform future biosecurity regulations. We developed a formal protocol for evaluating an IWCC system, on two ships with varying biofouling levels and under different environmental conditions, to quantify biofouling removal and capture efﬁcacy as well as impacts on water quality. The IWCC system reduced hull biofouling by 82–94%. Concentrations of dissolved and particulate Cu and Zn in efﬂuent from the IWCC onshore processing varied by orders of magnitude between trials, in one case greatly exceeding water quality standards. Our results demonstrate that rigorous, quantitative assessments of IWCC system performance are possible, even under challenging conditions. This initial evaluation also identiﬁes the major factors that impact performance of in-water cleaning, and key needs for future research to consider in advancing standardized testing and independent evaluations needed for all in-water cleaning systems.","container-title":"Frontiers in Marine Science","DOI":"10.3389/fmars.2020.00437","ISSN":"2296-7745","journalAbbreviation":"Front. Mar. Sci.","language":"en","page":"437","source":"DOI.org (Crossref)","title":"In-Water Cleaning and Capture to Remove Ship Biofouling: An Initial Evaluation of Efficacy and Environmental Safety","title-short":"In-Water Cleaning and Capture to Remove Ship Biofouling","URL":"https://www.frontiersin.org/article/10.3389/fmars.2020.00437/full","volume":"7","author":[{"family":"Tamburri","given":"Mario N."},{"family":"Davidson","given":"Ian C."},{"family":"First","given":"Matthew R."},{"family":"Scianni","given":"Christopher"},{"family":"Newcomer","given":"Katherine"},{"family":"Inglis","given":"Graeme J."},{"family":"Georgiades","given":"Eugene T."},{"family":"Barnes","given":"Janet M."},{"family":"Ruiz","given":"Gregory M."}],"accessed":{"date-parts":[["2020",7,31]]},"issued":{"date-parts":[["2020",6,17]]}}}],"schema":"https://github.com/citation-style-language/schema/raw/master/csl-citation.json"} </w:instrText>
      </w:r>
      <w:r w:rsidR="0F5BFF17" w:rsidRPr="00837161">
        <w:fldChar w:fldCharType="separate"/>
      </w:r>
      <w:r w:rsidRPr="00837161">
        <w:t>(Tamburri et al., 2020).</w:t>
      </w:r>
      <w:r w:rsidR="0F5BFF17" w:rsidRPr="00837161">
        <w:fldChar w:fldCharType="end"/>
      </w:r>
      <w:r w:rsidRPr="00837161">
        <w:rPr>
          <w:color w:val="000000" w:themeColor="text1"/>
        </w:rPr>
        <w:t xml:space="preserve"> However, evaluation of different factors affecting system performance (vessel parameters - type, design, coating; environmental parameters - water visibility, currents, winds, water quality; and in-water cleaning system design and operations - operator experience, debris capture, frequency and rate of operation, etc.) is needed (</w:t>
      </w:r>
      <w:r w:rsidR="0F5BFF17" w:rsidRPr="00837161">
        <w:fldChar w:fldCharType="begin"/>
      </w:r>
      <w:r w:rsidR="000F35EB">
        <w:instrText xml:space="preserve"> ADDIN ZOTERO_ITEM CSL_CITATION {"citationID":"dLebwhU9","properties":{"formattedCitation":"(Tamburri et al., 2020)","plainCitation":"(Tamburri et al., 2020)","dontUpdate":true,"noteIndex":0},"citationItems":[{"id":11556,"uris":["http://zotero.org/groups/2352922/items/GZENKAEX"],"itemData":{"id":11556,"type":"article-journal","abstract":"Biofouling is a long-standing challenge for ships because it can interfere with operations and increases vessel drag, fuel consumption and exhaust emissions. More recently, ship biofouling has also been recognized as a leading vector for global transfers and introductions of marine non-indigenous species. Ship in-water cleaning and capture (IWCC) systems, to remove and collect macrofouling organisms and associated antifouling coating compounds, are now becoming available as a possible solution to both problems. However, independent and rigorous evaluations of IWCC efﬁcacy and environmental safety are needed to facilitate technology maturation, support vessel operator biofouling management decisions, aid IWCC approvals and permitting, and inform future biosecurity regulations. We developed a formal protocol for evaluating an IWCC system, on two ships with varying biofouling levels and under different environmental conditions, to quantify biofouling removal and capture efﬁcacy as well as impacts on water quality. The IWCC system reduced hull biofouling by 82–94%. Concentrations of dissolved and particulate Cu and Zn in efﬂuent from the IWCC onshore processing varied by orders of magnitude between trials, in one case greatly exceeding water quality standards. Our results demonstrate that rigorous, quantitative assessments of IWCC system performance are possible, even under challenging conditions. This initial evaluation also identiﬁes the major factors that impact performance of in-water cleaning, and key needs for future research to consider in advancing standardized testing and independent evaluations needed for all in-water cleaning systems.","container-title":"Frontiers in Marine Science","DOI":"10.3389/fmars.2020.00437","ISSN":"2296-7745","journalAbbreviation":"Front. Mar. Sci.","language":"en","page":"437","source":"DOI.org (Crossref)","title":"In-Water Cleaning and Capture to Remove Ship Biofouling: An Initial Evaluation of Efficacy and Environmental Safety","title-short":"In-Water Cleaning and Capture to Remove Ship Biofouling","URL":"https://www.frontiersin.org/article/10.3389/fmars.2020.00437/full","volume":"7","author":[{"family":"Tamburri","given":"Mario N."},{"family":"Davidson","given":"Ian C."},{"family":"First","given":"Matthew R."},{"family":"Scianni","given":"Christopher"},{"family":"Newcomer","given":"Katherine"},{"family":"Inglis","given":"Graeme J."},{"family":"Georgiades","given":"Eugene T."},{"family":"Barnes","given":"Janet M."},{"family":"Ruiz","given":"Gregory M."}],"accessed":{"date-parts":[["2020",7,31]]},"issued":{"date-parts":[["2020",6,17]]}}}],"schema":"https://github.com/citation-style-language/schema/raw/master/csl-citation.json"} </w:instrText>
      </w:r>
      <w:r w:rsidR="0F5BFF17" w:rsidRPr="00837161">
        <w:fldChar w:fldCharType="separate"/>
      </w:r>
      <w:r w:rsidRPr="00837161">
        <w:t>Tamburri et al., 2020)</w:t>
      </w:r>
      <w:r w:rsidR="0F5BFF17" w:rsidRPr="00837161">
        <w:fldChar w:fldCharType="end"/>
      </w:r>
      <w:r w:rsidRPr="00837161">
        <w:rPr>
          <w:color w:val="000000" w:themeColor="text1"/>
        </w:rPr>
        <w:t>.</w:t>
      </w:r>
    </w:p>
    <w:p w14:paraId="0E776D10" w14:textId="7942A15A" w:rsidR="00C22235" w:rsidRPr="00837161" w:rsidRDefault="3AB8D19B" w:rsidP="00A9356F">
      <w:pPr>
        <w:pStyle w:val="ListParagraph"/>
        <w:numPr>
          <w:ilvl w:val="0"/>
          <w:numId w:val="42"/>
        </w:numPr>
        <w:spacing w:line="240" w:lineRule="auto"/>
        <w:contextualSpacing w:val="0"/>
        <w:rPr>
          <w:color w:val="000000" w:themeColor="text1"/>
        </w:rPr>
      </w:pPr>
      <w:r w:rsidRPr="00837161">
        <w:t xml:space="preserve">Manual cleaning after </w:t>
      </w:r>
      <w:r w:rsidRPr="00837161">
        <w:rPr>
          <w:rFonts w:eastAsia="Times New Roman"/>
        </w:rPr>
        <w:t>beaching</w:t>
      </w:r>
      <w:r w:rsidRPr="00837161">
        <w:t xml:space="preserve"> the vessel</w:t>
      </w:r>
      <w:r w:rsidR="01271028" w:rsidRPr="00837161">
        <w:t>, which</w:t>
      </w:r>
      <w:r w:rsidRPr="00837161">
        <w:t xml:space="preserve"> can be effective in certain conditions and when vessels are small or stable (e.g., recreational vessels; </w:t>
      </w:r>
      <w:r w:rsidR="4310B164" w:rsidRPr="00837161">
        <w:fldChar w:fldCharType="begin"/>
      </w:r>
      <w:r w:rsidR="000F35EB">
        <w:instrText xml:space="preserve"> ADDIN ZOTERO_ITEM CSL_CITATION {"citationID":"yQpOwTqm","properties":{"formattedCitation":"(Castro et al., 2020; Government of Canada, 2021)","plainCitation":"(Castro et al., 2020; Government of Canada, 2021)","dontUpdate":true,"noteIndex":0},"citationItems":[{"id":11554,"uris":["http://zotero.org/groups/2352922/items/X9IXERFC"],"itemData":{"id":11554,"type":"article-journal","abstract":"Recreational vessels favor the secondary spread of exotic marine species hosted on hull biofouling communities through coastal trips. Hull biofouling is also a problem for vessel owners because it reduces the efficiency and maneuverability of the vessel. This study documents a pioneer case of alternative hull biofouling management in a context where local regulations prohibit in-water cleaning operations and where there are no shore-based facilities. We designed and put into practice a method to manually clean a 35 meter long catamaran, by beaching it in a macrotidal beach of Patagonia, Argentina. During the cleaning, all hull biofouling was removed and collected to prevent organisms from falling on the beach. A total of 12.5 m3 of biofouling was deposited in landfill following regulations for fishing discard material. In addition, qualitative and quantitative fouling samples were obtained from different hull locations of the vessel, including niche areas. A total of 53 distinct taxa were identified, including 18 exotic species for Argentina, 7 of which had not been previously reported for the study area. Cleaning by beaching can be used as a convenient biosecurity method to remove hull biofouling from small and medium size vessels when other methods or facilities on the coast are not available. Our results also provide further evidence for the potential risk of recreational vessels as vectors for the secondary spread of marine exotic species.","container-title":"Aquatic Invasions","DOI":"10.3391/ai.2020.15.1.05","ISSN":"18185487","issue":"1","journalAbbreviation":"AI","language":"en","page":"63-80","source":"DOI.org (Crossref)","title":"Cleaning by beaching: introducing a new alternative for hull biofouling management in Argentina","title-short":"Cleaning by beaching","URL":"https://www.reabic.net/aquaticinvasions/2020/issue1.aspx","volume":"15","author":[{"family":"Castro","given":"Karen L."},{"family":"Giachetti","given":"Clara B."},{"family":"Battini","given":"Nicolás"},{"family":"Bortolus","given":"Alejandro"},{"family":"Schwindt","given":"Evangelina"}],"accessed":{"date-parts":[["2020",7,31]]},"issued":{"date-parts":[["2020"]]}}},{"id":53169,"uris":["http://zotero.org/groups/2352922/items/JAEWLVFK"],"itemData":{"id":53169,"type":"webpage","abstract":"Science Advisory Report 2021/043","container-title":"Fisheries and Oceans Canada, Government of Canada","language":"eng","note":"Last Modified: 2022-01-26","title":"Science Advisory Report 2021/043","URL":"https://www.dfo-mpo.gc.ca/csas-sccs/Publications/SAR-AS/2021/2021_043-eng.html","author":[{"literal":"DFO"}],"accessed":{"date-parts":[["2022",9,2]]},"issued":{"date-parts":[["2021",12,10]]}}}],"schema":"https://github.com/citation-style-language/schema/raw/master/csl-citation.json"} </w:instrText>
      </w:r>
      <w:r w:rsidR="4310B164" w:rsidRPr="00837161">
        <w:fldChar w:fldCharType="separate"/>
      </w:r>
      <w:r w:rsidR="657C429D" w:rsidRPr="00837161">
        <w:t xml:space="preserve">Castro et al., 2020; </w:t>
      </w:r>
      <w:r w:rsidR="3C7278DE" w:rsidRPr="00837161">
        <w:t xml:space="preserve">and also </w:t>
      </w:r>
      <w:r w:rsidR="657C429D" w:rsidRPr="00837161">
        <w:t>Government of Canada, 2021)</w:t>
      </w:r>
      <w:r w:rsidR="4310B164" w:rsidRPr="00837161">
        <w:fldChar w:fldCharType="end"/>
      </w:r>
      <w:r w:rsidRPr="00837161">
        <w:t xml:space="preserve">. </w:t>
      </w:r>
    </w:p>
    <w:p w14:paraId="0000065F" w14:textId="40AEDC7D" w:rsidR="00A758FD" w:rsidRPr="00867B00" w:rsidRDefault="1D32FFDC" w:rsidP="00AC1F76">
      <w:pPr>
        <w:numPr>
          <w:ilvl w:val="0"/>
          <w:numId w:val="7"/>
        </w:numPr>
        <w:pBdr>
          <w:top w:val="nil"/>
          <w:left w:val="nil"/>
          <w:bottom w:val="nil"/>
          <w:right w:val="nil"/>
          <w:between w:val="nil"/>
        </w:pBdr>
        <w:spacing w:line="240" w:lineRule="auto"/>
        <w:rPr>
          <w:color w:val="000000" w:themeColor="text1"/>
        </w:rPr>
      </w:pPr>
      <w:r w:rsidRPr="00837161">
        <w:t xml:space="preserve">Encapsulation treatment </w:t>
      </w:r>
      <w:r w:rsidR="01271028" w:rsidRPr="00837161">
        <w:t>(</w:t>
      </w:r>
      <w:r w:rsidRPr="00837161">
        <w:t>with seawater alone or added with acetic acid or chlorine in small recreational vessels</w:t>
      </w:r>
      <w:r w:rsidR="01271028" w:rsidRPr="00837161">
        <w:t>)</w:t>
      </w:r>
      <w:r w:rsidR="00B24874">
        <w:t>. T</w:t>
      </w:r>
      <w:r w:rsidRPr="00837161">
        <w:t>ests showed that treatment with seawater for 5 days was enough for eliminating 100</w:t>
      </w:r>
      <w:r w:rsidR="006215F0" w:rsidRPr="00837161">
        <w:t xml:space="preserve"> per cent</w:t>
      </w:r>
      <w:r w:rsidRPr="00837161">
        <w:t xml:space="preserve"> of the organisms </w:t>
      </w:r>
      <w:r w:rsidR="0F5BFF17" w:rsidRPr="00837161">
        <w:fldChar w:fldCharType="begin"/>
      </w:r>
      <w:r w:rsidR="000F35EB">
        <w:instrText xml:space="preserve"> ADDIN ZOTERO_ITEM CSL_CITATION {"citationID":"baKpDSp1","properties":{"formattedCitation":"(Keanly &amp; Robinson, 2020)","plainCitation":"(Keanly &amp; Robinson, 2020)","noteIndex":0},"citationItems":[{"id":11555,"uris":["http://zotero.org/groups/2352922/items/NDVPSK39"],"itemData":{"id":11555,"type":"article-journal","abstract":"Hull fouling is a dominant vector in marine systems, with recreational vessels playing an important role in intra-regional transfer of biota. Encapsulation (i.e. the wrapping of a structure in plastic to deprive biota of oxygen and food, ultimately causing their death), offers promise as a tool for treating vessel fouling in situ. However, there is currently no standardised approach with detailed field application recommendations. In recognition of this gap this study aimed to: 1) use laboratory experiments to establish a timeframe for the effective encapsulation of yachts, 2) test this approach in the field and 3) consider the practicalities associated with implementing an encapsulation program. Laboratory experiments exposed the ascidian Ciona robusta, the mussel Semimytilus algosus and fouling communities to four treatments: aerated control in seawater, encapsulation in seawater, aerated seawater with 4% acetic acid and encapsulation in seawater with 4% acetic acid. All biota in acetic acid died in 24 hours regardless of encapsulation, while in encapsulated seawater mortality of all taxa occurred within three days. In the field four yachts and five pontoons with high (80–100%) and low (30–50%) fouling cover were encapsulated. It took more than three days to achieve mortality on all structures (pontoons high cover 3.7 days (± 0.48 SD); pontoons low cover 3.8 days (± 0.42 SD) and yachts 4.3 days (± 0.5 SD)). The discrepancy between laboratory and field results likely reflects an unavoidably higher water to fouling biomass ratio in field systems. These results suggest that five days may be sufficient for successful encapsulation of yachts. However, in recognition of the limited sample size of yachts in this study, it is recommended that these findings be used as a basis for further developing region specific protocols through adaptive management. Logistical considerations around the implantation of national encapsulation programs are also discussed.","container-title":"Aquatic Invasions","DOI":"10.3391/ai.2020.15.1.06","ISSN":"18185487","issue":"1","journalAbbreviation":"AI","language":"en","page":"81-97","source":"DOI.org (Crossref)","title":"Encapsulation as a biosecurity tool for managing fouling on recreational vessels","URL":"https://www.reabic.net/aquaticinvasions/2020/issue1.aspx","volume":"15","author":[{"family":"Keanly","given":"Catherine"},{"family":"Robinson","given":"Tamara B."}],"accessed":{"date-parts":[["2020",7,31]]},"issued":{"date-parts":[["2020"]]}}}],"schema":"https://github.com/citation-style-language/schema/raw/master/csl-citation.json"} </w:instrText>
      </w:r>
      <w:r w:rsidR="0F5BFF17" w:rsidRPr="00837161">
        <w:fldChar w:fldCharType="separate"/>
      </w:r>
      <w:r w:rsidR="00271B78" w:rsidRPr="00271B78">
        <w:t>(Keanly &amp; Robinson, 2020)</w:t>
      </w:r>
      <w:r w:rsidR="0F5BFF17" w:rsidRPr="00837161">
        <w:fldChar w:fldCharType="end"/>
      </w:r>
      <w:r w:rsidRPr="00837161">
        <w:t xml:space="preserve">, but the additives highly reduced kill time </w:t>
      </w:r>
      <w:r w:rsidR="0F5BFF17" w:rsidRPr="00837161">
        <w:fldChar w:fldCharType="begin"/>
      </w:r>
      <w:r w:rsidR="000F35EB">
        <w:instrText xml:space="preserve"> ADDIN ZOTERO_ITEM CSL_CITATION {"citationID":"bG0x4d9N","properties":{"formattedCitation":"(Atalah et al., 2016; Forrest et al., 2007; Morrisey et al., 2016; Roche et al., 2015)","plainCitation":"(Atalah et al., 2016; Forrest et al., 2007; Morrisey et al., 2016; Roche et al., 2015)","noteIndex":0},"citationItems":[{"id":11552,"uris":["http://zotero.org/groups/2352922/items/DLVM8MNW"],"itemData":{"id":11552,"type":"article-journal","abstract":"Encapsulation of fouled structures is an effective tool for countering incursions by non-indigenous biofoulers. However, guidelines for the implementation of encapsulation treatments are yet to be established. This study evaluated the effects of temperature, biomass, community composition, treatment duration and the biocide acetic acid on biofoulers. In laboratory trials using the model organisms Ciona spp. and Mytilus galloprovincialis, increasing the temperature or biomass speeded up the development of a toxic environment. Total mortality for Ciona spp. occurred within 72 and 24 h at 10 and 19°C, respectively. M. galloprovincialis survived up to 18 days, with high biomass increasing mortality at 10°C only. In a field study, three-month-old and four-year-old communities were encapsulated with and without acetic acid. Mortality took up to 10 days for communities encapsulated without acetic acid, compared to 48 h with acetic acid. The insights gained from this study will be useful in developing standardised encapsulation protocols.","container-title":"Biofouling","DOI":"10.1080/08927014.2015.1137288","ISSN":"0892-7014, 1029-2454","issue":"3","journalAbbreviation":"Biofouling","language":"en","page":"277-286","source":"DOI.org (Crossref)","title":"It’s a wrap: encapsulation as a management tool for marine biofouling","title-short":"It’s a wrap","URL":"http://www.tandfonline.com/doi/full/10.1080/08927014.2015.1137288","volume":"32","author":[{"family":"Atalah","given":"Javier"},{"family":"Brook","given":"Rosemary"},{"family":"Cahill","given":"Patrick"},{"family":"Fletcher","given":"Lauren M."},{"family":"Hopkins","given":"Grant A."}],"accessed":{"date-parts":[["2020",7,31]]},"issued":{"date-parts":[["2016",3,15]]}},"label":"page"},{"id":11553,"uris":["http://zotero.org/groups/2352922/items/NVPHF8VG"],"itemData":{"id":11553,"type":"article-journal","abstract":"The expansion of artificial habitats and aquaculture activities in coastal environments has been accompanied by an increased demand for tools to mitigate the effects of biofouling pests. One approach is to manage anthropogenic pathways to prevent the spread of established pest organisms to uninfected localities that are beyond their natural dispersal capacity. This paper describes the efficacy of acetic acid treatments against a variety of cosmopolitan fouling taxa, and evaluates a potential application in the treatment of foulers transported with movements of shellfish seedstock between mussel farming areas in New Zealand. Laboratory and field experiments demonstrated that immersion in 4% acetic acid (in seawater) for as little as 1 min can eliminate many soft-bodied fouling organisms, with lower concentrations requiring longer immersion times. The effects of immersion treatment were enhanced when combined with a 24-h air exposure phase to simulate the inter-regional transport of mussel seedstock. We demonstrate that it is possible to cost-effectively treat mussels to eliminate the majority of problematical foulers without resulting in significant adverse effects to the stock either by: (i) a 4% treatment followed by a rinse to remove the acetic acid residue before transport, or (ii) application of the 4% treatment at the end of the transport phase. A concentration of 4% is equivalent to the acetic acid content of domestic vinegar, hence does not represent a significant environmental or occupational risk provided appropriate measures are put in place for handling and waste disposal. Acetic acid concentrations remain stable over time in the presence of organic matter, but may change during repeated use of treatment solutions. To ensure treatment criteria are being achieved, field determination of acetic acid levels can be made using simple titration-based approaches. Because of an apparent buffering effect in the case of sequential shellfish seedstock immersion, pH could not be used to estimate acetic acid concentrations in this instance, but may provide a simple and reliable field-based indicator for other fouling treatments. Further work to refine the treatment method should seek to maximise the ‘window’ between pest mortality and mussel survival, to provide assurance that high-risk species can be eliminated with minimal risk of adverse effects on seedstock. Where treatments that are completely effective against all pest organisms result in unavoidable mussel mortality, decisions about whether or not to apply them must balance treatment costs and benefits against the unmanaged risks and consequences of pest incursion.","container-title":"Aquaculture","DOI":"10.1016/j.aquaculture.2006.11.006","ISSN":"00448486","issue":"2-4","journalAbbreviation":"Aquaculture","language":"en","page":"319-332","source":"DOI.org (Crossref)","title":"Efficacy of acetic acid treatments in the management of marine biofouling","URL":"https://linkinghub.elsevier.com/retrieve/pii/S0044848606008684","volume":"262","author":[{"family":"Forrest","given":"B.M."},{"family":"Hopkins","given":"G.A."},{"family":"Dodgshun","given":"T.J."},{"family":"Gardner","given":"J.P.A."}],"accessed":{"date-parts":[["2020",7,31]]},"issued":{"date-parts":[["2007",2]]}},"label":"page"},{"id":11551,"uris":["http://zotero.org/groups/2352922/items/5UDB4228"],"itemData":{"id":11551,"type":"article-journal","abstract":"Chlorine solution was added to the water encapsulated within a proprietary ‘floating dock’ to treat a vessel infested with the invasive polychaete Sabella spallanzanii. The chlorine was added as sodium dichloroisocyanurate (‘dichlor’) at an initial concentration of 200 mg l−1 of free available chlorine (FAC). This concentration killed 99% of S. spallanzanii in their tubes during a 4-h exposure in laboratory tests (EC99 160 mg FAC l−1). The concentration of FAC in the floating dock declined to ~50 mg l−1 after 4 h and &lt; 10 mg l–1 after 16 h. Residual FAC was neutralised with thiosulphate at completion of exposure. A sample of 30 S. spallanzanii individuals collected from the hull after treatment all showed morphological damage and 28 showed no response to touch. Re-examination of the hull after 6 d found no live worms or other fouling organisms. This method provides a costeffective, rapid means of treating hull fouling.","container-title":"Biofouling","DOI":"10.1080/08927014.2015.1126713","ISSN":"0892-7014, 1029-2454","issue":"2","journalAbbreviation":"Biofouling","language":"en","page":"135-144","source":"DOI.org (Crossref)","title":"Rapid treatment of vessels fouled with an invasive polychaete, &lt;i&gt;Sabella spallanzanii&lt;/i&gt; , using a floating dock and chlorine as a biocide","URL":"https://www.tandfonline.com/doi/full/10.1080/08927014.2015.1126713","volume":"32","author":[{"family":"Morrisey","given":"Donald J."},{"family":"Depree","given":"Craig V."},{"family":"Hickey","given":"Christopher W."},{"family":"McKenzie","given":"Don S."},{"family":"Middleton","given":"Irene"},{"family":"Smith","given":"Matt D."},{"family":"Stewart","given":"Michael"},{"family":"Thompson","given":"Karen J."}],"accessed":{"date-parts":[["2020",7,31]]},"issued":{"date-parts":[["2016",2,7]]}},"label":"page"},{"id":11550,"uris":["http://zotero.org/groups/2352922/items/V54QJZ5L"],"itemData":{"id":11550,"type":"article-journal","container-title":"Hydrobiologia","DOI":"10.1007/s10750-014-2131-y","ISSN":"0018-8158, 1573-5117","issue":"1","journalAbbreviation":"Hydrobiologia","language":"en","page":"187-199","source":"DOI.org (Crossref)","title":"Recreational vessels as a vector for marine non-natives: developing biosecurity measures and managing risk through an in-water encapsulation system","title-short":"Recreational vessels as a vector for marine non-natives","URL":"http://link.springer.com/10.1007/s10750-014-2131-y","volume":"750","author":[{"family":"Roche","given":"R. C."},{"family":"Monnington","given":"J. M."},{"family":"Newstead","given":"R. G."},{"family":"Sambrook","given":"K."},{"family":"Griffith","given":"K."},{"family":"Holt","given":"R. H. F."},{"family":"Jenkins","given":"S. R."}],"accessed":{"date-parts":[["2020",7,31]]},"issued":{"date-parts":[["2015",5]]}},"label":"page"}],"schema":"https://github.com/citation-style-language/schema/raw/master/csl-citation.json"} </w:instrText>
      </w:r>
      <w:r w:rsidR="0F5BFF17" w:rsidRPr="00837161">
        <w:fldChar w:fldCharType="separate"/>
      </w:r>
      <w:r w:rsidR="00271B78" w:rsidRPr="00271B78">
        <w:t>(Atalah et al., 2016; Forrest et al., 2007; Morrisey et al., 2016; Roche et al., 2015)</w:t>
      </w:r>
      <w:r w:rsidR="0F5BFF17" w:rsidRPr="00837161">
        <w:fldChar w:fldCharType="end"/>
      </w:r>
      <w:r w:rsidRPr="00837161">
        <w:t>.</w:t>
      </w:r>
      <w:r w:rsidR="00C81287" w:rsidRPr="00867B00">
        <w:t xml:space="preserve"> </w:t>
      </w:r>
    </w:p>
    <w:p w14:paraId="00000660" w14:textId="77777777" w:rsidR="00A758FD" w:rsidRPr="00C0338D" w:rsidRDefault="00C81287">
      <w:pPr>
        <w:spacing w:before="240" w:after="120" w:line="240" w:lineRule="auto"/>
      </w:pPr>
      <w:r w:rsidRPr="00C0338D">
        <w:t xml:space="preserve">An adaptive or systems-based management approach is needed when applying these different management methods as efficacy is subject to local regulatory, logistical and environmental conditions which differ from one region to another, even within the same country. </w:t>
      </w:r>
    </w:p>
    <w:p w14:paraId="00000661" w14:textId="02DFDA8B" w:rsidR="00A758FD" w:rsidRPr="00867B00" w:rsidRDefault="00C81287">
      <w:pPr>
        <w:spacing w:before="240" w:after="120" w:line="240" w:lineRule="auto"/>
        <w:rPr>
          <w:color w:val="000000" w:themeColor="text1"/>
        </w:rPr>
      </w:pPr>
      <w:r w:rsidRPr="00C0338D">
        <w:t xml:space="preserve">Some Indigenous Peoples and local communities apply local quarantine measures prohibiting the transport of certain species that are not used in their cultural practices and customs. Elders provide </w:t>
      </w:r>
      <w:r w:rsidRPr="00867B00">
        <w:rPr>
          <w:color w:val="000000" w:themeColor="text1"/>
        </w:rPr>
        <w:lastRenderedPageBreak/>
        <w:t xml:space="preserve">awareness raising, </w:t>
      </w:r>
      <w:r w:rsidRPr="00C0338D">
        <w:t>e</w:t>
      </w:r>
      <w:r w:rsidRPr="00867B00">
        <w:rPr>
          <w:color w:val="000000" w:themeColor="text1"/>
        </w:rPr>
        <w:t>ducation and capacity</w:t>
      </w:r>
      <w:r w:rsidR="00A91F9F">
        <w:rPr>
          <w:color w:val="000000" w:themeColor="text1"/>
        </w:rPr>
        <w:t>-</w:t>
      </w:r>
      <w:r w:rsidRPr="00867B00">
        <w:rPr>
          <w:color w:val="000000" w:themeColor="text1"/>
        </w:rPr>
        <w:t xml:space="preserve">building passing on oral knowledge from one generation to the next. Teso and Bukusu/Bagisu Kenya-Uganda transboundary </w:t>
      </w:r>
      <w:r w:rsidRPr="00C0338D">
        <w:t>customs and cultural practices</w:t>
      </w:r>
      <w:r w:rsidRPr="00867B00">
        <w:rPr>
          <w:color w:val="000000" w:themeColor="text1"/>
        </w:rPr>
        <w:t xml:space="preserve"> transfer knowledge during festivals and ceremonies </w:t>
      </w:r>
      <w:r w:rsidR="00066A7E" w:rsidRPr="00837161">
        <w:fldChar w:fldCharType="begin"/>
      </w:r>
      <w:r w:rsidR="00E25D54">
        <w:instrText xml:space="preserve"> ADDIN ZOTERO_ITEM CSL_CITATION {"citationID":"DmSOjwtq","properties":{"formattedCitation":"(Angujo, 2015; Barasa, 2012)","plainCitation":"(Angujo, 2015; Barasa, 2012)","noteIndex":0},"citationItems":[{"id":26493,"uris":["http://zotero.org/groups/2352922/items/DVEG4T6Q"],"itemData":{"id":26493,"type":"webpage","container-title":"The Standard","language":"en","title":"Ugandan cultural King arbitrates Kenyan politician","URL":"https://www.standardmedia.co.ke/ureport/article/2000160058/ugandan-cultural-king-arbitrates-kenyan-politician","author":[{"family":"Angujo","given":"Barack"}],"accessed":{"date-parts":[["2020",8,11]]},"issued":{"date-parts":[["2015",4,28]]}}},{"id":53314,"uris":["http://zotero.org/groups/2352922/items/KH7DLML2"],"itemData":{"id":53314,"type":"webpage","abstract":"It was pomp and colour when the Bamasaaba in Kenya welcomed their leader, Omukuka Wilson Weyasa Wamimbi on December 30, 2011 at the Bungoma Cultural Centre.","container-title":"Monitor","language":"en","title":"Celebrating Bukusu tradition at the cultural Festival","URL":"https://www.monitor.co.ug/uganda/lifestyle/reviews-profiles/celebrating-bukusu-tradition-at-the-cultural-festival-1507172","author":[{"family":"Barasa","given":"M. W."}],"accessed":{"date-parts":[["2022",9,22]]},"issued":{"date-parts":[["2012"]]}}}],"schema":"https://github.com/citation-style-language/schema/raw/master/csl-citation.json"} </w:instrText>
      </w:r>
      <w:r w:rsidR="00066A7E" w:rsidRPr="00837161">
        <w:fldChar w:fldCharType="separate"/>
      </w:r>
      <w:r w:rsidR="00271B78" w:rsidRPr="00271B78">
        <w:t>(Angujo, 2015; Barasa, 2012)</w:t>
      </w:r>
      <w:r w:rsidR="00066A7E" w:rsidRPr="00837161">
        <w:fldChar w:fldCharType="end"/>
      </w:r>
      <w:r w:rsidR="00066A7E" w:rsidRPr="00837161">
        <w:t>.</w:t>
      </w:r>
      <w:r w:rsidRPr="00C0338D">
        <w:t xml:space="preserve"> </w:t>
      </w:r>
    </w:p>
    <w:p w14:paraId="503869A4" w14:textId="75E4D422" w:rsidR="00066A7E" w:rsidRPr="00837161" w:rsidRDefault="00066A7E" w:rsidP="002F2F42">
      <w:pPr>
        <w:pStyle w:val="Heading2"/>
      </w:pPr>
      <w:bookmarkStart w:id="483" w:name="_Toc69314019"/>
      <w:bookmarkStart w:id="484" w:name="_Toc131681656"/>
      <w:bookmarkStart w:id="485" w:name="_Toc149555482"/>
      <w:bookmarkStart w:id="486" w:name="_Toc87623157"/>
      <w:r w:rsidRPr="00837161">
        <w:t xml:space="preserve">Surveillance, </w:t>
      </w:r>
      <w:r w:rsidR="00916CBD" w:rsidRPr="00837161">
        <w:t>detection</w:t>
      </w:r>
      <w:r w:rsidR="00C16EEB">
        <w:t xml:space="preserve"> and</w:t>
      </w:r>
      <w:r w:rsidRPr="00837161">
        <w:t xml:space="preserve"> monitoring</w:t>
      </w:r>
      <w:bookmarkEnd w:id="483"/>
      <w:bookmarkEnd w:id="484"/>
      <w:bookmarkEnd w:id="485"/>
      <w:r w:rsidRPr="00837161">
        <w:t xml:space="preserve"> </w:t>
      </w:r>
    </w:p>
    <w:bookmarkEnd w:id="486"/>
    <w:p w14:paraId="1F399C03" w14:textId="73CFCCC8" w:rsidR="00066A7E" w:rsidRPr="00837161" w:rsidRDefault="558760A3" w:rsidP="00C11DFA">
      <w:pPr>
        <w:spacing w:before="240" w:after="120" w:line="240" w:lineRule="auto"/>
        <w:rPr>
          <w:rFonts w:eastAsia="Calibri"/>
        </w:rPr>
      </w:pPr>
      <w:r w:rsidRPr="00837161">
        <w:t xml:space="preserve">The main purpose of surveillance is to detect or ensure the absence of new </w:t>
      </w:r>
      <w:r w:rsidRPr="00837161">
        <w:rPr>
          <w:rFonts w:eastAsia="Calibri"/>
        </w:rPr>
        <w:t xml:space="preserve">invasive alien species or disease </w:t>
      </w:r>
      <w:r w:rsidRPr="00837161">
        <w:t xml:space="preserve">incursions </w:t>
      </w:r>
      <w:r w:rsidRPr="00837161">
        <w:rPr>
          <w:rFonts w:eastAsia="Calibri"/>
        </w:rPr>
        <w:t xml:space="preserve">at the border and onshore </w:t>
      </w:r>
      <w:r w:rsidRPr="00837161">
        <w:t>on time to attempt</w:t>
      </w:r>
      <w:r w:rsidR="27D61FD4" w:rsidRPr="00837161">
        <w:t xml:space="preserve"> </w:t>
      </w:r>
      <w:r w:rsidRPr="00837161">
        <w:t xml:space="preserve">eradication </w:t>
      </w:r>
      <w:r w:rsidR="007C729C" w:rsidRPr="00837161">
        <w:rPr>
          <w:rFonts w:eastAsia="Calibri"/>
        </w:rPr>
        <w:t>(</w:t>
      </w:r>
      <w:r w:rsidRPr="001C4A3F">
        <w:rPr>
          <w:rFonts w:eastAsia="Calibri"/>
          <w:b/>
          <w:iCs/>
        </w:rPr>
        <w:t>section 5.3.1.2</w:t>
      </w:r>
      <w:r w:rsidRPr="00837161">
        <w:rPr>
          <w:rFonts w:eastAsia="Calibri"/>
        </w:rPr>
        <w:t xml:space="preserve">). Failure to detect incursions </w:t>
      </w:r>
      <w:r w:rsidR="00EF3DA9" w:rsidRPr="00837161">
        <w:rPr>
          <w:rFonts w:eastAsia="Calibri"/>
        </w:rPr>
        <w:t>rapidly</w:t>
      </w:r>
      <w:r w:rsidRPr="00837161">
        <w:rPr>
          <w:rFonts w:eastAsia="Calibri"/>
        </w:rPr>
        <w:t xml:space="preserve"> is the major factor limiting the </w:t>
      </w:r>
      <w:r w:rsidR="170E0F1E" w:rsidRPr="00837161">
        <w:rPr>
          <w:rFonts w:eastAsia="Calibri"/>
        </w:rPr>
        <w:t xml:space="preserve">effectiveness of </w:t>
      </w:r>
      <w:r w:rsidRPr="00837161">
        <w:rPr>
          <w:rFonts w:eastAsia="Calibri"/>
        </w:rPr>
        <w:t>eradication program</w:t>
      </w:r>
      <w:r w:rsidR="2C84A29B" w:rsidRPr="00837161">
        <w:t>m</w:t>
      </w:r>
      <w:r w:rsidR="7AF3C908" w:rsidRPr="00837161">
        <w:t>e</w:t>
      </w:r>
      <w:r w:rsidR="00187DD4">
        <w:t>s</w:t>
      </w:r>
      <w:r w:rsidRPr="00837161">
        <w:rPr>
          <w:rFonts w:eastAsia="Calibri"/>
        </w:rPr>
        <w:t xml:space="preserve"> (</w:t>
      </w:r>
      <w:r w:rsidR="00586082">
        <w:rPr>
          <w:b/>
          <w:iCs/>
        </w:rPr>
        <w:t>Figure 5.1</w:t>
      </w:r>
      <w:r w:rsidRPr="00837161">
        <w:rPr>
          <w:rFonts w:eastAsia="Calibri"/>
        </w:rPr>
        <w:t>).</w:t>
      </w:r>
      <w:r w:rsidRPr="00837161">
        <w:t xml:space="preserve"> </w:t>
      </w:r>
      <w:r w:rsidRPr="001C4A3F">
        <w:rPr>
          <w:b/>
          <w:iCs/>
        </w:rPr>
        <w:t>Box 5.14</w:t>
      </w:r>
      <w:r w:rsidRPr="00837161">
        <w:rPr>
          <w:i/>
          <w:iCs/>
        </w:rPr>
        <w:t xml:space="preserve"> </w:t>
      </w:r>
      <w:r w:rsidRPr="00837161">
        <w:t xml:space="preserve">shows how surveillance can play an important role in global biosecurity systems, by helping early detection of invasive alien species which have led to successes in eradication of newly established populations </w:t>
      </w:r>
      <w:r w:rsidR="00066A7E" w:rsidRPr="00837161">
        <w:fldChar w:fldCharType="begin"/>
      </w:r>
      <w:r w:rsidR="000F35EB">
        <w:instrText xml:space="preserve"> ADDIN ZOTERO_ITEM CSL_CITATION {"citationID":"lY47iRPE","properties":{"formattedCitation":"(Gerda, 2021)","plainCitation":"(Gerda, 2021)","noteIndex":0},"citationItems":[{"id":53313,"uris":["http://zotero.org/groups/2352922/items/9LJTUEDR","http://zotero.org/groups/2352922/items/HPLXM4BJ"],"itemData":{"id":53313,"type":"webpage","container-title":"Global eradication and response database","title":"Gerda · global eradication and response database","URL":"http://b3.net.nz/gerda/","author":[{"literal":"Gerda"}],"contributor":[{"family":"Kean","given":"J M"},{"family":"Suckling","given":"D M"},{"family":"Sullivan","given":"N J"},{"family":"Tobin","given":"P C"},{"family":"Stringer","given":"L D"},{"family":"Smith","given":"G R"},{"family":"Kimber","given":"B"},{"family":"Lee","given":"D C"},{"family":"Flores Vargas","given":"R"},{"family":"Fletcher","given":"J"},{"family":"Macbeth","given":"F"},{"family":"McCullough","given":"D G"},{"family":"Herms","given":"D A"}],"accessed":{"date-parts":[["2022",9,22]]},"issued":{"date-parts":[["2021"]]}}}],"schema":"https://github.com/citation-style-language/schema/raw/master/csl-citation.json"} </w:instrText>
      </w:r>
      <w:r w:rsidR="00066A7E" w:rsidRPr="00837161">
        <w:fldChar w:fldCharType="separate"/>
      </w:r>
      <w:r w:rsidR="00271B78" w:rsidRPr="00271B78">
        <w:t>(Gerda, 2021)</w:t>
      </w:r>
      <w:r w:rsidR="00066A7E" w:rsidRPr="00837161">
        <w:fldChar w:fldCharType="end"/>
      </w:r>
      <w:r w:rsidRPr="00837161">
        <w:rPr>
          <w:rFonts w:eastAsia="Candara"/>
          <w:color w:val="000000" w:themeColor="text1"/>
        </w:rPr>
        <w:t xml:space="preserve">. </w:t>
      </w:r>
      <w:r w:rsidRPr="00837161">
        <w:t>M</w:t>
      </w:r>
      <w:r w:rsidRPr="00837161">
        <w:rPr>
          <w:rFonts w:eastAsia="Calibri"/>
        </w:rPr>
        <w:t xml:space="preserve">onitoring of established populations and risk analysis are also important to understand invasiveness to support management actions </w:t>
      </w:r>
      <w:r w:rsidR="00066A7E" w:rsidRPr="00837161">
        <w:rPr>
          <w:rFonts w:eastAsia="Calibri"/>
          <w:color w:val="000000" w:themeColor="text1"/>
        </w:rPr>
        <w:fldChar w:fldCharType="begin"/>
      </w:r>
      <w:r w:rsidR="000F35EB">
        <w:rPr>
          <w:rFonts w:eastAsia="Calibri"/>
          <w:color w:val="000000" w:themeColor="text1"/>
        </w:rPr>
        <w:instrText xml:space="preserve"> ADDIN ZOTERO_ITEM CSL_CITATION {"citationID":"QxqpVMIf","properties":{"formattedCitation":"(Jarrad et al., 2015)","plainCitation":"(Jarrad et al., 2015)","noteIndex":0},"citationItems":[{"id":11236,"uris":["http://zotero.org/groups/2352922/items/MN3AQFUN"],"itemData":{"id":11236,"type":"book","abstract":"This book is a source of information on practical and innovative approaches to biosecurity surveillance. It explains the foundation and concepts behind surveillance design, with examples of methods and tools created to deal with surveillance challenges. With supporting case studies and including current directions in research, it covers evidence-based approaches to surveillance, statistics, detectability, single and multi-species detection, risk assessment, diagnostics, data-basing, modelling of invasion and spread, optimisation, and future climate challenges.","ISBN":"978-1-78064-359-5","language":"en","note":"10.1079/9781780643595.0000","number-of-pages":"388","publisher":"CABI","source":"Google Books","title":"Biosecurity Surveillance: Quantitative Approaches","title-short":"Biosecurity Surveillance","editor":[{"family":"Jarrad","given":"Frith"},{"family":"Low-Choy","given":"Samantha"},{"family":"Mengersen","given":"Kerrie"}],"issued":{"date-parts":[["2015",3,13]]}}}],"schema":"https://github.com/citation-style-language/schema/raw/master/csl-citation.json"} </w:instrText>
      </w:r>
      <w:r w:rsidR="00066A7E" w:rsidRPr="00837161">
        <w:rPr>
          <w:rFonts w:eastAsia="Calibri"/>
          <w:color w:val="000000" w:themeColor="text1"/>
        </w:rPr>
        <w:fldChar w:fldCharType="separate"/>
      </w:r>
      <w:r w:rsidR="00271B78" w:rsidRPr="00271B78">
        <w:t>(Jarrad et al., 2015)</w:t>
      </w:r>
      <w:r w:rsidR="00066A7E" w:rsidRPr="00837161">
        <w:rPr>
          <w:rFonts w:eastAsia="Calibri"/>
          <w:color w:val="000000" w:themeColor="text1"/>
        </w:rPr>
        <w:fldChar w:fldCharType="end"/>
      </w:r>
      <w:r w:rsidRPr="00837161">
        <w:rPr>
          <w:rFonts w:eastAsia="Calibri"/>
        </w:rPr>
        <w:t>. S</w:t>
      </w:r>
      <w:r w:rsidRPr="00837161">
        <w:t xml:space="preserve">urveillance systems are rarely perfect and this is one of the reasons why eradications can be hard </w:t>
      </w:r>
      <w:r w:rsidR="00AC4741" w:rsidRPr="00837161">
        <w:fldChar w:fldCharType="begin"/>
      </w:r>
      <w:r w:rsidR="000F35EB">
        <w:instrText xml:space="preserve"> ADDIN ZOTERO_ITEM CSL_CITATION {"citationID":"4KOe6SvC","properties":{"formattedCitation":"(Rout et al., 2009)","plainCitation":"(Rout et al., 2009)","noteIndex":0},"citationItems":[{"id":15126,"uris":["http://zotero.org/groups/2352922/items/9VHP9RC6"],"itemData":{"id":15126,"type":"article-journal","container-title":"Journal of Applied Ecology","DOI":"10.1111/j.1365-2664.2008.01586.x","ISSN":"00218901, 13652664","issue":"1","language":"en","page":"110-117","source":"DOI.org (Crossref)","title":"Using sighting records to declare eradication of an invasive species","URL":"http://doi.wiley.com/10.1111/j.1365-2664.2008.01586.x","volume":"46","author":[{"family":"Rout","given":"T. M."},{"family":"Salomon","given":"Yacov"},{"family":"McCarthy","given":"Michael A."}],"accessed":{"date-parts":[["2019",9,11]]},"issued":{"date-parts":[["2009",2]]}},"label":"page"}],"schema":"https://github.com/citation-style-language/schema/raw/master/csl-citation.json"} </w:instrText>
      </w:r>
      <w:r w:rsidR="00AC4741" w:rsidRPr="00837161">
        <w:fldChar w:fldCharType="separate"/>
      </w:r>
      <w:r w:rsidR="00271B78" w:rsidRPr="00271B78">
        <w:t>(Rout et al., 2009)</w:t>
      </w:r>
      <w:r w:rsidR="00AC4741" w:rsidRPr="00837161">
        <w:fldChar w:fldCharType="end"/>
      </w:r>
      <w:r w:rsidRPr="00837161">
        <w:t xml:space="preserve">. </w:t>
      </w:r>
      <w:r w:rsidRPr="00837161">
        <w:rPr>
          <w:rFonts w:eastAsia="Calibri"/>
        </w:rPr>
        <w:t xml:space="preserve">In South Africa, surveillance was used to detect and manage populations of </w:t>
      </w:r>
      <w:r w:rsidR="4F99AB24" w:rsidRPr="00837161">
        <w:rPr>
          <w:rFonts w:eastAsia="Calibri"/>
          <w:i/>
          <w:iCs/>
        </w:rPr>
        <w:t>Asphodelus fistulosus</w:t>
      </w:r>
      <w:r w:rsidR="4F99AB24" w:rsidRPr="00837161">
        <w:rPr>
          <w:rFonts w:eastAsia="Calibri"/>
        </w:rPr>
        <w:t xml:space="preserve"> (</w:t>
      </w:r>
      <w:r w:rsidRPr="00837161">
        <w:rPr>
          <w:rFonts w:eastAsia="Calibri"/>
        </w:rPr>
        <w:t>onionweed) as part of an eradication program</w:t>
      </w:r>
      <w:r w:rsidR="2C84A29B" w:rsidRPr="00837161">
        <w:t>me</w:t>
      </w:r>
      <w:r w:rsidRPr="00837161">
        <w:rPr>
          <w:rFonts w:eastAsia="Calibri"/>
        </w:rPr>
        <w:t xml:space="preserve"> </w:t>
      </w:r>
      <w:r w:rsidR="00066A7E" w:rsidRPr="00837161">
        <w:rPr>
          <w:rFonts w:eastAsia="Calibri"/>
        </w:rPr>
        <w:fldChar w:fldCharType="begin"/>
      </w:r>
      <w:r w:rsidR="00E25D54">
        <w:rPr>
          <w:rFonts w:eastAsia="Calibri"/>
        </w:rPr>
        <w:instrText xml:space="preserve"> ADDIN ZOTERO_ITEM CSL_CITATION {"citationID":"ljq4Z7tp","properties":{"formattedCitation":"(Jubase et al., 2019)","plainCitation":"(Jubase et al., 2019)","noteIndex":0},"citationItems":[{"id":30127,"uris":["http://zotero.org/groups/2352922/items/BUZ2U7I2"],"itemData":{"id":30127,"type":"article-journal","abstract":"Background: Naturalised populations of Asphodelus fistulosus (onion weed) were recorded in South Africa for the first time during the early 1990s. Initial records lodged in 2012 indicated the presence of two populations. Five additional populations were found between 2012 and 2016, as a result of surveys and the distribution of awareness materials. All populations in South Africa occurred along roadsides, but in other parts of the world the species has demonstrated the ability to spread into adjacent native vegetation and crop fields. Objectives: The aim of this study was to assess the risk of invasion and potential for eradication. Method: A risk assessment tool was used to establish invasion risk. Of the seven known populations, five test populations were selected to gather data on the feasibility for eradication. Randomised fixed plots were used to monitor the response of A. fistulosus populations to mechanical and chemical plant control methods and to track spread over time. The germinability of seeds was also tested. Results: The Standard Australian Risk Assessment method for invasive alien plants gave a relatively high score for the threat posed by this species. In this assessment, a threshold score is used to indicate sufficient invasive risk to fail a species as part of a preborder risk assessment. Invasiveness elsewhere (Australia and USA) contributed to the relatively high score. The bioclimatic modelling map highlighted the south-western region of South Africa as most suitable climatically for A. fistulosus. Both mechanical and chemical control methods were shown to be effective in killing live plants. Results, based on plant removal and monitoring, over a four-year research period suggest that suppression of reproduction is possible, partly as a result of high detectability and ease of control. Conclusion: It is recommended that A. fistulosus be listed as a National Environmental Management: Biodiversity Act 10 of 2004 1a invasive species (eradication target) under national legislation, thus requiring compulsory management. We estimate that extirpation of all known populations of A. fistulosus may be possible with continual effort at an annual investment of approximately ZAR 50 000 per year. Further surveillance for undiscovered populations and monitoring of known populations must be conducted to produce a definitive comment about the feasibility of countrywide eradication. Copyright: © 2019. The Authors. Licensee: AOSIS. This work is licensed under the Creative Commons Attribution License.","container-title":"Bothalia","DOI":"10.4102/abc.v49i1.2372","issue":"1","title":"&lt;i&gt;Asphodelus fistulous&lt;/i&gt; L., a newly discovered plant invader in South Africa: Assessing the risk of invasion and potential for eradication","URL":"https://www.scopus.com/inward/record.uri?eid=2-s2.0-85076028460&amp;doi=10.4102%2fabc.v49i1.2372&amp;partnerID=40&amp;md5=f893ddda1c9ab988fe37d20b6ac941d7","volume":"49","author":[{"family":"Jubase","given":"N."},{"family":"Renteria","given":"J.L."},{"family":"Maphisa","given":"D."},{"family":"Van Wyk","given":"E."}],"issued":{"date-parts":[["2019"]]}}}],"schema":"https://github.com/citation-style-language/schema/raw/master/csl-citation.json"} </w:instrText>
      </w:r>
      <w:r w:rsidR="00066A7E" w:rsidRPr="00837161">
        <w:rPr>
          <w:rFonts w:eastAsia="Calibri"/>
        </w:rPr>
        <w:fldChar w:fldCharType="separate"/>
      </w:r>
      <w:r w:rsidR="00271B78" w:rsidRPr="00271B78">
        <w:t>(Jubase et al., 2019)</w:t>
      </w:r>
      <w:r w:rsidR="00066A7E" w:rsidRPr="00837161">
        <w:rPr>
          <w:rFonts w:eastAsia="Calibri"/>
        </w:rPr>
        <w:fldChar w:fldCharType="end"/>
      </w:r>
      <w:r w:rsidRPr="00837161">
        <w:rPr>
          <w:rFonts w:eastAsia="Calibri"/>
        </w:rPr>
        <w:t xml:space="preserve">. Active </w:t>
      </w:r>
      <w:r w:rsidR="428C555C" w:rsidRPr="00837161">
        <w:rPr>
          <w:rFonts w:eastAsia="Calibri"/>
        </w:rPr>
        <w:t>spec</w:t>
      </w:r>
      <w:r w:rsidR="2F585C77" w:rsidRPr="00837161">
        <w:rPr>
          <w:rFonts w:eastAsia="Calibri"/>
        </w:rPr>
        <w:t>i</w:t>
      </w:r>
      <w:r w:rsidR="428C555C" w:rsidRPr="00837161">
        <w:rPr>
          <w:rFonts w:eastAsia="Calibri"/>
        </w:rPr>
        <w:t>fic</w:t>
      </w:r>
      <w:r w:rsidRPr="00837161">
        <w:rPr>
          <w:rFonts w:eastAsia="Calibri"/>
        </w:rPr>
        <w:t xml:space="preserve"> surveillance in conjunction with general public surveillance (using awareness </w:t>
      </w:r>
      <w:r w:rsidR="428C555C" w:rsidRPr="00837161">
        <w:rPr>
          <w:rFonts w:eastAsia="Calibri"/>
        </w:rPr>
        <w:t>ra</w:t>
      </w:r>
      <w:r w:rsidR="7FB84802" w:rsidRPr="00837161">
        <w:rPr>
          <w:rFonts w:eastAsia="Calibri"/>
        </w:rPr>
        <w:t>i</w:t>
      </w:r>
      <w:r w:rsidR="428C555C" w:rsidRPr="00837161">
        <w:rPr>
          <w:rFonts w:eastAsia="Calibri"/>
        </w:rPr>
        <w:t>sing</w:t>
      </w:r>
      <w:r w:rsidRPr="00837161">
        <w:rPr>
          <w:rFonts w:eastAsia="Calibri"/>
        </w:rPr>
        <w:t xml:space="preserve"> and solicited reporting) were undertaken. Detected populations were treated and monitored over a four-year period to assess the feasibility of eradication leading to effective management. A number of studies also demonstrate that effective surveillance </w:t>
      </w:r>
      <w:r w:rsidRPr="00837161">
        <w:t>designed for detection at low prevalence or incidence</w:t>
      </w:r>
      <w:r w:rsidRPr="00837161">
        <w:rPr>
          <w:rFonts w:eastAsia="Calibri"/>
        </w:rPr>
        <w:t xml:space="preserve"> maximizes the effectiveness and lowers the costs of eradication program</w:t>
      </w:r>
      <w:r w:rsidR="252193EF" w:rsidRPr="00837161">
        <w:t>me</w:t>
      </w:r>
      <w:r w:rsidRPr="00837161">
        <w:rPr>
          <w:rFonts w:eastAsia="Calibri"/>
        </w:rPr>
        <w:t xml:space="preserve">s </w:t>
      </w:r>
      <w:r w:rsidR="00066A7E" w:rsidRPr="00837161">
        <w:rPr>
          <w:rFonts w:eastAsia="Calibri"/>
        </w:rPr>
        <w:fldChar w:fldCharType="begin"/>
      </w:r>
      <w:r w:rsidR="000F35EB">
        <w:rPr>
          <w:rFonts w:eastAsia="Calibri"/>
        </w:rPr>
        <w:instrText xml:space="preserve"> ADDIN ZOTERO_ITEM CSL_CITATION {"citationID":"vkSafItP","properties":{"formattedCitation":"(Kalwij et al., 2014; Pluess, Jaro\\uc0\\u353{}\\uc0\\u237{}k, et al., 2012; Reaser, Burgiel, et al., 2020; Simberloff, 2003)","plainCitation":"(Kalwij et al., 2014; Pluess, Jarošík, et al., 2012; Reaser, Burgiel, et al., 2020; Simberloff, 2003)","noteIndex":0},"citationItems":[{"id":24423,"uris":["http://zotero.org/groups/2352922/items/MCMIUN8K"],"itemData":{"id":24423,"type":"article-journal","container-title":"South African Journal of Botany","DOI":"10.1016/j.sajb.2014.04.013","ISSN":"02546299","journalAbbreviation":"South African Journal of Botany","language":"en","page":"204-206","source":"DOI.org (Crossref)","title":"Repeated monitoring as an effective early detection means: first records of naturalised &lt;i&gt;Solidago gigantea&lt;/i&gt; Aiton (Asteraceae) in southern Africa","title-short":"Repeated monitoring as an effective early detection means","URL":"https://linkinghub.elsevier.com/retrieve/pii/S025462991400088X","volume":"93","author":[{"family":"Kalwij","given":"J.M."},{"family":"Steyn","given":"C."},{"family":"Roux","given":"P.C.","non-dropping-particle":"le"}],"accessed":{"date-parts":[["2021",2,22]]},"issued":{"date-parts":[["2014",7]]}}},{"id":11428,"uris":["http://zotero.org/groups/2352922/items/6ATDPYR3"],"itemData":{"id":11428,"type":"article-journal","abstract":"Although issues related to the management of invasive alien species are receiving increasing attention, little is known about which factors affect the likelihood of success of management measures. We applied two data mining techniques, classification trees and boosted trees, to identify factors that relate to the success of management campaigns aimed at eradicating invasive alien invertebrates, plants and plant pathogens. We assembled a dataset of 173 different eradication campaigns against 94 species worldwide, about a half of which (50.9%) were successful. Eradications in man-made habitats, greenhouses in particular, were more likely to succeed than those in (semi-)natural habitats. In man-made habitats the probability of success was generally high in Australasia, while in Europe and the Americas it was higher for local infestations that are easier to deal with, and for international campaigns that are likely to profit from cross-border cooperation. In (semi-) natural habitats, eradication campaigns were more likely to succeed for plants introduced as an ornamental and escaped from cultivation prior to invasion. Averaging out all other factors in boosted trees, pathogens, bacteria and viruses were most, and fungi the least likely to be eradicated; for plants and invertebrates the probability was intermediate. Our analysis indicates that initiating the campaign before the extent of infestation reaches the critical threshold, starting to eradicate within the first four years since the problem has been noticed, paying special attention to species introduced by the cultivation pathway, and applying sanitary measures can substantially increase the probability of eradication success. Our investigations also revealed that information on socioeconomic factors, which are often considered to be crucial for eradication success, is rarely available, and thus their relative importance cannot be evaluated. Future campaigns should carefully document socioeconomic factors to enable tests of their importance.","container-title":"PLoS ONE","DOI":"10.1371/journal.pone.0048157","ISSN":"1932-6203","issue":"10","journalAbbreviation":"PLOS ONE","language":"en","page":"e48157","source":"PLoS Journals","title":"Which Factors Affect the Success or Failure of Eradication Campaigns against Alien Species?","URL":"https://journals.plos.org/plosone/article?id=10.1371/journal.pone.0048157","volume":"7","author":[{"family":"Pluess","given":"Therese"},{"family":"Jarošík","given":"Vojtěch"},{"family":"Pyšek","given":"Petr"},{"family":"Cannon","given":"Ray"},{"family":"Pergl","given":"Jan"},{"family":"Breukers","given":"Annemarie"},{"family":"Bacher","given":"Sven"}],"accessed":{"date-parts":[["2019",10,18]]},"issued":{"date-parts":[["2012",10,26]]}}},{"id":24420,"uris":["http://zotero.org/groups/2352922/items/ZTBUIISR"],"itemData":{"id":24420,"type":"article-journal","abstract":"Globalization necessitates that we address the negative externalities of international trade and transport, including biological invasion. The US government defines invasive species to mean, “with regard to a particular ecosystem, a non-native organism whose introduction causes, or is likely to cause, economic or environmental harm, or harm to human, animal, or plant health.” Here we address the role of early detection of and rapid response to invasive species (EDRR) in minimizing the impact of invasive species on US interests. We provide a review of EDRR’s usage as a federal policy and planning term, introduce a new conceptual framework for EDRR, and assess US federal capacities for enacting well-coordinated EDRR. Developing a national EDRR program is a worthwhile goal; our assessment nonetheless indicates that the federal government and its partners need to overcome substantial conceptual, institutional, and operational challenges that include establishing clear and consistent terminology use, strategically identifying and communicating agency functions, improving interagency budgeting, facilitating the application of emerging technologies and other resources to support EDRR, and making information relevant to EDRR preparedness and implementation more readily accessible. This paper is the first in a special issue of Biological Invasions that includes 12 complementary papers intended to inform the development and implementation of a national EDRR program. © 2019, The Author(s).","container-title":"Biological Invasions","DOI":"10.1007/s10530-019-02156-w","ISSN":"1387-3547, 1573-1464","issue":"1","journalAbbreviation":"Biol Invasions","language":"en","page":"1-19","source":"DOI.org (Crossref)","title":"The early detection of and rapid response (EDRR) to invasive species: a conceptual framework and federal capacities assessment","title-short":"The early detection of and rapid response (EDRR) to invasive species","URL":"http://link.springer.com/10.1007/s10530-019-02156-w","volume":"22","author":[{"family":"Reaser","given":"Jamie K."},{"family":"Burgiel","given":"Stanley W."},{"family":"Kirkey","given":"Jason"},{"family":"Brantley","given":"Kelsey A."},{"family":"Veatch","given":"Sarah D."},{"family":"Burgos-Rodríguez","given":"Jhoset"}],"accessed":{"date-parts":[["2020",4,22]]},"issued":{"date-parts":[["2020",1]]}}},{"id":26469,"uris":["http://zotero.org/groups/2352922/items/SWNQTRGB"],"itemData":{"id":26469,"type":"article-journal","container-title":"Weed Science","DOI":"10.1614/0043-1745(2003)051[0247:EPIATO]2.0.CO;2","ISSN":"0043-1745, 1550-2759","issue":"2","journalAbbreviation":"Weed Science","language":"en","page":"247-253","source":"DOI.org (Crossref)","title":"Eradication-preventing invasions at the outset","URL":"https://www.cambridge.org/core/product/identifier/S0043174500012145/type/journal_article","volume":"51","author":[{"family":"Simberloff","given":"Daniel"}],"accessed":{"date-parts":[["2019",10,18]]},"issued":{"date-parts":[["2003",3]]}}}],"schema":"https://github.com/citation-style-language/schema/raw/master/csl-citation.json"} </w:instrText>
      </w:r>
      <w:r w:rsidR="00066A7E" w:rsidRPr="00837161">
        <w:rPr>
          <w:rFonts w:eastAsia="Calibri"/>
        </w:rPr>
        <w:fldChar w:fldCharType="separate"/>
      </w:r>
      <w:r w:rsidR="00271B78" w:rsidRPr="00271B78">
        <w:t>(Kalwij et al., 2014; Pluess, Jarošík, et al., 2012; Reaser, Burgiel, et al., 2020; Simberloff, 2003)</w:t>
      </w:r>
      <w:r w:rsidR="00066A7E" w:rsidRPr="00837161">
        <w:rPr>
          <w:rFonts w:eastAsia="Calibri"/>
        </w:rPr>
        <w:fldChar w:fldCharType="end"/>
      </w:r>
      <w:r w:rsidRPr="00837161">
        <w:rPr>
          <w:rFonts w:eastAsia="Calibri"/>
        </w:rPr>
        <w:t>. Some surveillance programmes seek to optimi</w:t>
      </w:r>
      <w:r w:rsidR="6431126C" w:rsidRPr="00837161">
        <w:rPr>
          <w:rFonts w:eastAsia="Calibri"/>
        </w:rPr>
        <w:t>z</w:t>
      </w:r>
      <w:r w:rsidRPr="00837161">
        <w:rPr>
          <w:rFonts w:eastAsia="Calibri"/>
        </w:rPr>
        <w:t xml:space="preserve">e post eradication detection to ensure management success is maintained </w:t>
      </w:r>
      <w:r w:rsidR="00066A7E" w:rsidRPr="00837161">
        <w:rPr>
          <w:rFonts w:eastAsia="Calibri"/>
        </w:rPr>
        <w:fldChar w:fldCharType="begin"/>
      </w:r>
      <w:r w:rsidR="000F35EB">
        <w:rPr>
          <w:rFonts w:eastAsia="Calibri"/>
        </w:rPr>
        <w:instrText xml:space="preserve"> ADDIN ZOTERO_ITEM CSL_CITATION {"citationID":"oOmgrNRl","properties":{"formattedCitation":"(Rebecca S. Epanchin-Niell et al., 2014)","plainCitation":"(Rebecca S. Epanchin-Niell et al., 2014)","dontUpdate":true,"noteIndex":0},"citationItems":[{"id":25073,"uris":["http://zotero.org/groups/2352922/items/SI96KJW6"],"itemData":{"id":25073,"type":"article-journal","container-title":"Ecological Applications","DOI":"10.1890/13-1331.1","ISSN":"1051-0761","issue":"6","journalAbbreviation":"Ecological Applications","language":"en","page":"1258-1274","source":"DOI.org (Crossref)","title":"Designing cost-efficient surveillance for early detection and control of multiple biological invaders","URL":"http://doi.wiley.com/10.1890/13-1331.1","volume":"24","author":[{"family":"Epanchin-Niell","given":"R. S."},{"family":"Brockerhoff","given":"Eckehard G."},{"family":"Kean","given":"John M."},{"family":"Turner","given":"James A."}],"accessed":{"date-parts":[["2021",3,18]]},"issued":{"date-parts":[["2014",9]]}}}],"schema":"https://github.com/citation-style-language/schema/raw/master/csl-citation.json"} </w:instrText>
      </w:r>
      <w:r w:rsidR="00066A7E" w:rsidRPr="00837161">
        <w:rPr>
          <w:rFonts w:eastAsia="Calibri"/>
        </w:rPr>
        <w:fldChar w:fldCharType="separate"/>
      </w:r>
      <w:r w:rsidRPr="00837161">
        <w:t>(Epanchin-Niell et al., 2014)</w:t>
      </w:r>
      <w:r w:rsidR="00066A7E" w:rsidRPr="00837161">
        <w:rPr>
          <w:rFonts w:eastAsia="Calibri"/>
        </w:rPr>
        <w:fldChar w:fldCharType="end"/>
      </w:r>
      <w:r w:rsidRPr="00837161">
        <w:t xml:space="preserve">. </w:t>
      </w:r>
      <w:r w:rsidRPr="00837161">
        <w:rPr>
          <w:rFonts w:eastAsia="Candara"/>
          <w:color w:val="000000" w:themeColor="text1"/>
        </w:rPr>
        <w:t xml:space="preserve">See </w:t>
      </w:r>
      <w:r w:rsidR="002F2F42">
        <w:rPr>
          <w:rFonts w:eastAsia="Candara"/>
          <w:b/>
          <w:iCs/>
          <w:color w:val="000000" w:themeColor="text1"/>
        </w:rPr>
        <w:t>S</w:t>
      </w:r>
      <w:r w:rsidR="001C4A3F" w:rsidRPr="001C4A3F">
        <w:rPr>
          <w:rFonts w:eastAsia="Candara"/>
          <w:b/>
          <w:iCs/>
          <w:color w:val="000000" w:themeColor="text1"/>
        </w:rPr>
        <w:t>upplementary material 5.9</w:t>
      </w:r>
      <w:r w:rsidRPr="00837161">
        <w:rPr>
          <w:rFonts w:eastAsia="Candara"/>
          <w:color w:val="000000" w:themeColor="text1"/>
        </w:rPr>
        <w:t xml:space="preserve"> for further details. </w:t>
      </w:r>
      <w:r w:rsidRPr="00837161">
        <w:rPr>
          <w:rFonts w:eastAsia="Calibri"/>
        </w:rPr>
        <w:t xml:space="preserve">A case study which also demonstrates the effectiveness of structured surveillance is the Australian red imported fire ant eradication </w:t>
      </w:r>
      <w:r w:rsidR="2DB5CD0F" w:rsidRPr="00837161">
        <w:rPr>
          <w:rFonts w:eastAsia="Calibri"/>
        </w:rPr>
        <w:t>programme</w:t>
      </w:r>
      <w:r w:rsidRPr="00837161">
        <w:rPr>
          <w:rFonts w:eastAsia="Calibri"/>
        </w:rPr>
        <w:t xml:space="preserve"> </w:t>
      </w:r>
      <w:r w:rsidR="007C729C" w:rsidRPr="00837161">
        <w:rPr>
          <w:rFonts w:eastAsia="Calibri"/>
        </w:rPr>
        <w:t>(</w:t>
      </w:r>
      <w:r w:rsidR="00E61F84" w:rsidRPr="001C4A3F">
        <w:rPr>
          <w:b/>
          <w:iCs/>
        </w:rPr>
        <w:t>Box 5.14</w:t>
      </w:r>
      <w:r w:rsidRPr="00837161">
        <w:rPr>
          <w:rFonts w:eastAsia="Calibri"/>
        </w:rPr>
        <w:t xml:space="preserve">). </w:t>
      </w:r>
    </w:p>
    <w:p w14:paraId="00000664" w14:textId="624E5F85" w:rsidR="00A758FD" w:rsidRPr="00867B00" w:rsidRDefault="00066A7E" w:rsidP="00867B00">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487" w:name="_Ref114676199"/>
      <w:bookmarkStart w:id="488" w:name="_Toc69314076"/>
      <w:bookmarkStart w:id="489" w:name="_Toc80708187"/>
      <w:bookmarkStart w:id="490" w:name="_Toc87623074"/>
      <w:bookmarkStart w:id="491" w:name="_Toc147488949"/>
      <w:r w:rsidRPr="00867B00">
        <w:t>Box 5.</w:t>
      </w:r>
      <w:r w:rsidRPr="00867B00">
        <w:fldChar w:fldCharType="begin"/>
      </w:r>
      <w:r w:rsidRPr="00867B00">
        <w:instrText>SEQ Box_5. \* ARABIC</w:instrText>
      </w:r>
      <w:r w:rsidRPr="00867B00">
        <w:fldChar w:fldCharType="separate"/>
      </w:r>
      <w:r w:rsidR="00DC77F8" w:rsidRPr="00867B00">
        <w:rPr>
          <w:noProof/>
        </w:rPr>
        <w:t>14</w:t>
      </w:r>
      <w:r w:rsidRPr="00867B00">
        <w:fldChar w:fldCharType="end"/>
      </w:r>
      <w:bookmarkEnd w:id="487"/>
      <w:r w:rsidR="00916CBD" w:rsidRPr="00867B00">
        <w:t>.</w:t>
      </w:r>
      <w:bookmarkStart w:id="492" w:name="_heading=h.3z7bk57" w:colFirst="0" w:colLast="0"/>
      <w:bookmarkEnd w:id="492"/>
      <w:r w:rsidR="00C81287" w:rsidRPr="00867B00">
        <w:rPr>
          <w:lang w:val="en-GB"/>
        </w:rPr>
        <w:t xml:space="preserve"> The New Zealand National Invasive Ant Surveillance Programme as an example of early detection for successful eradication of invasive ants</w:t>
      </w:r>
      <w:bookmarkEnd w:id="488"/>
      <w:bookmarkEnd w:id="489"/>
      <w:bookmarkEnd w:id="490"/>
      <w:bookmarkEnd w:id="491"/>
    </w:p>
    <w:p w14:paraId="00000665" w14:textId="34D10EE4" w:rsidR="00A758FD" w:rsidRPr="00C0338D" w:rsidRDefault="00C81287" w:rsidP="00867B00">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C0338D">
        <w:t xml:space="preserve">Established in 2003, following a successful eradication of </w:t>
      </w:r>
      <w:r w:rsidRPr="00C0338D">
        <w:rPr>
          <w:i/>
        </w:rPr>
        <w:t>Solenopsis invicta</w:t>
      </w:r>
      <w:r w:rsidRPr="00C0338D">
        <w:t xml:space="preserve"> (red imported fire ant)</w:t>
      </w:r>
      <w:r w:rsidRPr="00C0338D">
        <w:rPr>
          <w:i/>
        </w:rPr>
        <w:t xml:space="preserve"> </w:t>
      </w:r>
      <w:r w:rsidRPr="00C0338D">
        <w:t xml:space="preserve">incursion at Auckland International airport in 2001, New Zealand’s National Invasive Ant Surveillance programme </w:t>
      </w:r>
      <w:r w:rsidR="00B75C12">
        <w:t>ensured surveillance of</w:t>
      </w:r>
      <w:r w:rsidR="00B75C12" w:rsidRPr="00C0338D">
        <w:t xml:space="preserve"> </w:t>
      </w:r>
      <w:r w:rsidRPr="00C0338D">
        <w:t xml:space="preserve">shipping ports, airports and international cargo facilities. Since 2002, approximately 418 baited traps with food attractant </w:t>
      </w:r>
      <w:r w:rsidR="00833FD5" w:rsidRPr="00C0338D">
        <w:t xml:space="preserve">deployed over 18 sampling seasons in the programme </w:t>
      </w:r>
      <w:r w:rsidRPr="00C0338D">
        <w:t xml:space="preserve">have recorded invasive ant species. Most of these detections were of ants from newly established nests </w:t>
      </w:r>
      <w:r w:rsidR="00E748CA" w:rsidRPr="00837161">
        <w:fldChar w:fldCharType="begin"/>
      </w:r>
      <w:r w:rsidR="000F35EB">
        <w:instrText xml:space="preserve"> ADDIN ZOTERO_ITEM CSL_CITATION {"citationID":"SiWHCULx","properties":{"formattedCitation":"(Peacock et al., 2019)","plainCitation":"(Peacock et al., 2019)","noteIndex":0},"citationItems":[{"id":31182,"uris":["http://zotero.org/groups/2352922/items/D4T7D2UN"],"itemData":{"id":31182,"type":"article-journal","container-title":"Surveillance","issue":"3 Annual Report","page":"81-82","title":"National Invasive Ant Surveillance Programme","URL":"http://www.sciquest.org.nz/node/157807","volume":"46","author":[{"family":"Peacock","given":"L"},{"family":"Twaddle","given":"M"},{"family":"Craddock","given":"P"},{"family":"Nagle","given":"D"}],"issued":{"date-parts":[["2019"]]}}}],"schema":"https://github.com/citation-style-language/schema/raw/master/csl-citation.json"} </w:instrText>
      </w:r>
      <w:r w:rsidR="00E748CA" w:rsidRPr="00837161">
        <w:fldChar w:fldCharType="separate"/>
      </w:r>
      <w:r w:rsidR="00271B78" w:rsidRPr="00271B78">
        <w:t>(Peacock et al., 2019)</w:t>
      </w:r>
      <w:r w:rsidR="00E748CA" w:rsidRPr="00837161">
        <w:fldChar w:fldCharType="end"/>
      </w:r>
      <w:r w:rsidR="00E748CA" w:rsidRPr="00837161">
        <w:t>,</w:t>
      </w:r>
      <w:r w:rsidRPr="00C0338D">
        <w:t xml:space="preserve"> eradicated under “urgent measures” soon after detection. In 2019, there were 19 ant detections</w:t>
      </w:r>
      <w:r w:rsidR="00B75C12">
        <w:t>,</w:t>
      </w:r>
      <w:r w:rsidRPr="00C0338D">
        <w:t xml:space="preserve"> of which 11 were associated with established ant nests </w:t>
      </w:r>
      <w:r w:rsidR="00E748CA" w:rsidRPr="00837161">
        <w:rPr>
          <w:color w:val="000000" w:themeColor="text1"/>
        </w:rPr>
        <w:fldChar w:fldCharType="begin"/>
      </w:r>
      <w:r w:rsidR="000F35EB">
        <w:rPr>
          <w:color w:val="000000" w:themeColor="text1"/>
        </w:rPr>
        <w:instrText xml:space="preserve"> ADDIN ZOTERO_ITEM CSL_CITATION {"citationID":"2ehm8iDa","properties":{"formattedCitation":"(Peacock et al., 2019)","plainCitation":"(Peacock et al., 2019)","noteIndex":0},"citationItems":[{"id":31182,"uris":["http://zotero.org/groups/2352922/items/D4T7D2UN"],"itemData":{"id":31182,"type":"article-journal","container-title":"Surveillance","issue":"3 Annual Report","page":"81-82","title":"National Invasive Ant Surveillance Programme","URL":"http://www.sciquest.org.nz/node/157807","volume":"46","author":[{"family":"Peacock","given":"L"},{"family":"Twaddle","given":"M"},{"family":"Craddock","given":"P"},{"family":"Nagle","given":"D"}],"issued":{"date-parts":[["2019"]]}}}],"schema":"https://github.com/citation-style-language/schema/raw/master/csl-citation.json"} </w:instrText>
      </w:r>
      <w:r w:rsidR="00E748CA" w:rsidRPr="00837161">
        <w:rPr>
          <w:color w:val="000000" w:themeColor="text1"/>
        </w:rPr>
        <w:fldChar w:fldCharType="separate"/>
      </w:r>
      <w:r w:rsidR="00271B78" w:rsidRPr="00271B78">
        <w:t>(Peacock et al., 2019)</w:t>
      </w:r>
      <w:r w:rsidR="00E748CA" w:rsidRPr="00837161">
        <w:rPr>
          <w:color w:val="000000" w:themeColor="text1"/>
        </w:rPr>
        <w:fldChar w:fldCharType="end"/>
      </w:r>
      <w:r w:rsidRPr="00867B00">
        <w:rPr>
          <w:color w:val="000000" w:themeColor="text1"/>
        </w:rPr>
        <w:t xml:space="preserve"> and</w:t>
      </w:r>
      <w:r w:rsidRPr="00C0338D">
        <w:t xml:space="preserve"> were eradicated for 29,000 New Zealand dollar</w:t>
      </w:r>
      <w:r w:rsidR="00833FD5">
        <w:t>s</w:t>
      </w:r>
      <w:r w:rsidRPr="00C0338D">
        <w:t xml:space="preserve"> (NZ$). The ant surveillance programme costs approximately NZ$ 500,000 per annum. The cost-benefit ratio of continued surveillance is high compared to NZ$ 8.6 million spent over 3 years to eradicate the red imported fire ant in Whirinaki, Napier, New Zealand from 2006 to 2009 </w:t>
      </w:r>
      <w:r w:rsidR="00E748CA" w:rsidRPr="00837161">
        <w:fldChar w:fldCharType="begin"/>
      </w:r>
      <w:r w:rsidR="000F35EB">
        <w:instrText xml:space="preserve"> ADDIN ZOTERO_ITEM CSL_CITATION {"citationID":"2f1QphCo","properties":{"formattedCitation":"(Gerda, 2021, 2021)","plainCitation":"(Gerda, 2021, 2021)","noteIndex":0},"citationItems":[{"id":53313,"uris":["http://zotero.org/groups/2352922/items/9LJTUEDR","http://zotero.org/groups/2352922/items/HPLXM4BJ"],"itemData":{"id":53313,"type":"webpage","container-title":"Global eradication and response database","title":"Gerda · global eradication and response database","URL":"http://b3.net.nz/gerda/","author":[{"literal":"Gerda"}],"contributor":[{"family":"Kean","given":"J M"},{"family":"Suckling","given":"D M"},{"family":"Sullivan","given":"N J"},{"family":"Tobin","given":"P C"},{"family":"Stringer","given":"L D"},{"family":"Smith","given":"G R"},{"family":"Kimber","given":"B"},{"family":"Lee","given":"D C"},{"family":"Flores Vargas","given":"R"},{"family":"Fletcher","given":"J"},{"family":"Macbeth","given":"F"},{"family":"McCullough","given":"D G"},{"family":"Herms","given":"D A"}],"accessed":{"date-parts":[["2022",9,22]]},"issued":{"date-parts":[["2021"]]}}},{"id":53313,"uris":["http://zotero.org/groups/2352922/items/9LJTUEDR","http://zotero.org/groups/2352922/items/HPLXM4BJ"],"itemData":{"id":53313,"type":"webpage","container-title":"Global eradication and response database","title":"Gerda · global eradication and response database","URL":"http://b3.net.nz/gerda/","author":[{"literal":"Gerda"}],"contributor":[{"family":"Kean","given":"J M"},{"family":"Suckling","given":"D M"},{"family":"Sullivan","given":"N J"},{"family":"Tobin","given":"P C"},{"family":"Stringer","given":"L D"},{"family":"Smith","given":"G R"},{"family":"Kimber","given":"B"},{"family":"Lee","given":"D C"},{"family":"Flores Vargas","given":"R"},{"family":"Fletcher","given":"J"},{"family":"Macbeth","given":"F"},{"family":"McCullough","given":"D G"},{"family":"Herms","given":"D A"}],"accessed":{"date-parts":[["2022",9,22]]},"issued":{"date-parts":[["2021"]]}},"label":"page"}],"schema":"https://github.com/citation-style-language/schema/raw/master/csl-citation.json"} </w:instrText>
      </w:r>
      <w:r w:rsidR="00E748CA" w:rsidRPr="00837161">
        <w:fldChar w:fldCharType="separate"/>
      </w:r>
      <w:r w:rsidR="00271B78" w:rsidRPr="00271B78">
        <w:t>(Gerda, 2021, 2021)</w:t>
      </w:r>
      <w:r w:rsidR="00E748CA" w:rsidRPr="00837161">
        <w:fldChar w:fldCharType="end"/>
      </w:r>
      <w:r w:rsidR="00E748CA" w:rsidRPr="00837161">
        <w:t>.</w:t>
      </w:r>
      <w:r w:rsidRPr="00C0338D">
        <w:t xml:space="preserve"> The cost of living with red imported fire ant in New Zealand without the programme has been estimated at NZ$ 318 million per annum </w:t>
      </w:r>
      <w:r w:rsidR="00E748CA" w:rsidRPr="00837161">
        <w:fldChar w:fldCharType="begin"/>
      </w:r>
      <w:r w:rsidR="000F35EB">
        <w:instrText xml:space="preserve"> ADDIN ZOTERO_ITEM CSL_CITATION {"citationID":"GnGHU9yr","properties":{"formattedCitation":"(Anon, 2001)","plainCitation":"(Anon, 2001)","dontUpdate":true,"noteIndex":0},"citationItems":[{"id":29627,"uris":["http://zotero.org/groups/2352922/items/V2RQYNE2"],"itemData":{"id":29627,"type":"document","title":"Red Imported Fire Ants – Auckland Airport 2001","URL":"https://www.cbd.int/doc/submissions/ias/ias-nz-ant-2007-en.pdf","author":[{"literal":"Anon"}],"accessed":{"date-parts":[["2020",6,6]]},"issued":{"date-parts":[["2001"]]}}}],"schema":"https://github.com/citation-style-language/schema/raw/master/csl-citation.json"} </w:instrText>
      </w:r>
      <w:r w:rsidR="00E748CA" w:rsidRPr="00837161">
        <w:fldChar w:fldCharType="separate"/>
      </w:r>
      <w:r w:rsidR="00E748CA" w:rsidRPr="00837161">
        <w:t>(Anon, 2001</w:t>
      </w:r>
      <w:r w:rsidR="00E748CA" w:rsidRPr="00837161">
        <w:fldChar w:fldCharType="end"/>
      </w:r>
      <w:r w:rsidR="00E748CA" w:rsidRPr="00837161">
        <w:t xml:space="preserve">; </w:t>
      </w:r>
      <w:r w:rsidR="00191A6E">
        <w:rPr>
          <w:b/>
          <w:iCs/>
        </w:rPr>
        <w:t>Figure 5.20</w:t>
      </w:r>
      <w:r w:rsidR="00E748CA" w:rsidRPr="00837161">
        <w:t>).</w:t>
      </w:r>
    </w:p>
    <w:p w14:paraId="00000666" w14:textId="77777777" w:rsidR="00A758FD" w:rsidRDefault="00C81287">
      <w:pPr>
        <w:keepNext/>
        <w:pBdr>
          <w:top w:val="single" w:sz="4" w:space="1" w:color="000000"/>
          <w:left w:val="single" w:sz="4" w:space="1" w:color="000000"/>
          <w:bottom w:val="single" w:sz="4" w:space="1" w:color="000000"/>
          <w:right w:val="single" w:sz="4" w:space="1" w:color="000000"/>
        </w:pBdr>
        <w:shd w:val="clear" w:color="auto" w:fill="E7E6E6"/>
        <w:spacing w:before="240" w:after="120" w:line="240" w:lineRule="auto"/>
        <w:jc w:val="center"/>
      </w:pPr>
      <w:r>
        <w:rPr>
          <w:noProof/>
        </w:rPr>
        <w:lastRenderedPageBreak/>
        <w:drawing>
          <wp:inline distT="0" distB="0" distL="0" distR="0" wp14:anchorId="1C71A614" wp14:editId="4EFD20A9">
            <wp:extent cx="3999848" cy="2314920"/>
            <wp:effectExtent l="0" t="0" r="0" b="0"/>
            <wp:docPr id="19715554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4"/>
                    <a:srcRect/>
                    <a:stretch>
                      <a:fillRect/>
                    </a:stretch>
                  </pic:blipFill>
                  <pic:spPr>
                    <a:xfrm>
                      <a:off x="0" y="0"/>
                      <a:ext cx="3999848" cy="2314920"/>
                    </a:xfrm>
                    <a:prstGeom prst="rect">
                      <a:avLst/>
                    </a:prstGeom>
                    <a:ln/>
                  </pic:spPr>
                </pic:pic>
              </a:graphicData>
            </a:graphic>
          </wp:inline>
        </w:drawing>
      </w:r>
    </w:p>
    <w:p w14:paraId="00000667" w14:textId="2E7669E7" w:rsidR="00A758FD" w:rsidRPr="00867B00" w:rsidRDefault="00C81287" w:rsidP="00867B00">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493" w:name="_heading=h.2eclud0" w:colFirst="0" w:colLast="0"/>
      <w:bookmarkStart w:id="494" w:name="_Ref104970842"/>
      <w:bookmarkStart w:id="495" w:name="_Toc87623110"/>
      <w:bookmarkStart w:id="496" w:name="_Ref131083888"/>
      <w:bookmarkStart w:id="497" w:name="_Toc147489373"/>
      <w:bookmarkEnd w:id="493"/>
      <w:r w:rsidRPr="00867B00">
        <w:rPr>
          <w:b/>
          <w:color w:val="000000"/>
        </w:rPr>
        <w:t>Figure 5</w:t>
      </w:r>
      <w:r w:rsidR="00066A7E" w:rsidRPr="00867B00">
        <w:rPr>
          <w:b/>
        </w:rPr>
        <w:t>.</w:t>
      </w:r>
      <w:r w:rsidR="00975896" w:rsidRPr="00867B00">
        <w:rPr>
          <w:b/>
        </w:rPr>
        <w:fldChar w:fldCharType="begin"/>
      </w:r>
      <w:r w:rsidR="00975896" w:rsidRPr="00867B00">
        <w:rPr>
          <w:b/>
        </w:rPr>
        <w:instrText xml:space="preserve"> SEQ Figure_5. \* ARABIC </w:instrText>
      </w:r>
      <w:r w:rsidR="00975896" w:rsidRPr="00867B00">
        <w:rPr>
          <w:b/>
        </w:rPr>
        <w:fldChar w:fldCharType="separate"/>
      </w:r>
      <w:r w:rsidR="00DC77F8" w:rsidRPr="00867B00">
        <w:rPr>
          <w:b/>
          <w:noProof/>
        </w:rPr>
        <w:t>20</w:t>
      </w:r>
      <w:r w:rsidR="00975896" w:rsidRPr="00867B00">
        <w:rPr>
          <w:b/>
        </w:rPr>
        <w:fldChar w:fldCharType="end"/>
      </w:r>
      <w:bookmarkEnd w:id="494"/>
      <w:r w:rsidR="00916CBD" w:rsidRPr="00867B00">
        <w:rPr>
          <w:b/>
        </w:rPr>
        <w:t>.</w:t>
      </w:r>
      <w:r w:rsidRPr="00867B00">
        <w:rPr>
          <w:b/>
          <w:color w:val="000000"/>
        </w:rPr>
        <w:t xml:space="preserve"> </w:t>
      </w:r>
      <w:r w:rsidRPr="00867B00">
        <w:rPr>
          <w:color w:val="000000"/>
        </w:rPr>
        <w:t>Invasive alien ant trap used in New Zealand as part of a surveillance programme</w:t>
      </w:r>
      <w:bookmarkEnd w:id="495"/>
      <w:r w:rsidRPr="00867B00">
        <w:rPr>
          <w:color w:val="000000"/>
        </w:rPr>
        <w:t>.</w:t>
      </w:r>
      <w:bookmarkEnd w:id="496"/>
      <w:r w:rsidRPr="00867B00">
        <w:rPr>
          <w:color w:val="000000"/>
        </w:rPr>
        <w:t xml:space="preserve"> Photo credit: Dr Paul Craddock – </w:t>
      </w:r>
      <w:r w:rsidR="00E87F41">
        <w:t xml:space="preserve">under license </w:t>
      </w:r>
      <w:r w:rsidRPr="00867B00">
        <w:rPr>
          <w:color w:val="000000"/>
        </w:rPr>
        <w:t>CC BY 4.0.</w:t>
      </w:r>
      <w:bookmarkEnd w:id="497"/>
    </w:p>
    <w:p w14:paraId="00000668" w14:textId="6D7DC988" w:rsidR="00A758FD" w:rsidRPr="00867B00" w:rsidRDefault="00C81287">
      <w:pPr>
        <w:spacing w:before="240" w:after="120" w:line="240" w:lineRule="auto"/>
        <w:rPr>
          <w:color w:val="000000" w:themeColor="text1"/>
        </w:rPr>
      </w:pPr>
      <w:r w:rsidRPr="00C0338D">
        <w:t>A risk</w:t>
      </w:r>
      <w:r w:rsidR="00B75C12">
        <w:t>-</w:t>
      </w:r>
      <w:r w:rsidRPr="00C0338D">
        <w:t xml:space="preserve">based approach to surveillance can identify priority </w:t>
      </w:r>
      <w:r w:rsidR="00B75C12">
        <w:t xml:space="preserve">invasive alien </w:t>
      </w:r>
      <w:r w:rsidRPr="00C0338D">
        <w:t xml:space="preserve">animal and plant and diseases and provide a basis for resource allocation </w:t>
      </w:r>
      <w:r w:rsidR="00066A7E" w:rsidRPr="00837161">
        <w:fldChar w:fldCharType="begin"/>
      </w:r>
      <w:r w:rsidR="000F35EB">
        <w:instrText xml:space="preserve"> ADDIN ZOTERO_ITEM CSL_CITATION {"citationID":"7H7ogPGp","properties":{"formattedCitation":"(A. R. Cameron, 2012; Hoinville et al., 2013; Oidtmann et al., 2013)","plainCitation":"(A. R. Cameron, 2012; Hoinville et al., 2013; Oidtmann et al., 2013)","noteIndex":0},"citationItems":[{"id":25063,"uris":["http://zotero.org/groups/2352922/items/SRC3NZ28"],"itemData":{"id":25063,"type":"article-journal","container-title":"Preventive Veterinary Medicine","DOI":"10.1016/j.prevetmed.2012.01.009","ISSN":"01675877","issue":"4","journalAbbreviation":"Preventive Veterinary Medicine","language":"en","page":"280-286","source":"DOI.org (Crossref)","title":"The consequences of risk-based surveillance: Developing output-based standards for surveillance to demonstrate freedom from disease","title-short":"The consequences of risk-based surveillance","URL":"https://linkinghub.elsevier.com/retrieve/pii/S016758771200027X","volume":"105","author":[{"family":"Cameron","given":"A.R."}],"accessed":{"date-parts":[["2021",3,22]]},"issued":{"date-parts":[["2012",8]]}},"label":"page"},{"id":24893,"uris":["http://zotero.org/groups/2352922/items/Y4U2W4NU"],"itemData":{"id":24893,"type":"article-journal","container-title":"Preventive Veterinary Medicine","DOI":"10.1016/j.prevetmed.2013.06.006","ISSN":"01675877","issue":"1-2","journalAbbreviation":"Preventive Veterinary Medicine","language":"en","page":"1-12","source":"DOI.org (Crossref)","title":"Proposed terms and concepts for describing and evaluating animal-health surveillance systems","URL":"https://linkinghub.elsevier.com/retrieve/pii/S0167587713002055","volume":"112","author":[{"family":"Hoinville","given":"L.J."},{"family":"Alban","given":"L."},{"family":"Drewe","given":"J.A."},{"family":"Gibbens","given":"J.C."},{"family":"Gustafson","given":"L."},{"family":"Häsler","given":"B."},{"family":"Saegerman","given":"C."},{"family":"Salman","given":"M."},{"family":"Stärk","given":"K.D.C."}],"accessed":{"date-parts":[["2021",3,12]]},"issued":{"date-parts":[["2013",10]]}},"label":"page"},{"id":25044,"uris":["http://zotero.org/groups/2352922/items/4QKDK7IA"],"itemData":{"id":25044,"type":"article-journal","container-title":"Preventive Veterinary Medicine","DOI":"10.1016/j.prevetmed.2013.07.008","ISSN":"01675877","issue":"1-2","journalAbbreviation":"Preventive Veterinary Medicine","language":"en","page":"13-26","source":"DOI.org (Crossref)","title":"Risk-based methods for fish and terrestrial animal disease surveillance","URL":"https://linkinghub.elsevier.com/retrieve/pii/S0167587713002341","volume":"112","author":[{"family":"Oidtmann","given":"Birgit"},{"family":"Peeler","given":"Edmund"},{"family":"Lyngstad","given":"Trude"},{"family":"Brun","given":"Edgar"},{"family":"Bang Jensen","given":"Britt"},{"family":"Stärk","given":"Katharina D.C."}],"accessed":{"date-parts":[["2021",3,23]]},"issued":{"date-parts":[["2013",10]]}},"label":"page"}],"schema":"https://github.com/citation-style-language/schema/raw/master/csl-citation.json"} </w:instrText>
      </w:r>
      <w:r w:rsidR="00066A7E" w:rsidRPr="00837161">
        <w:fldChar w:fldCharType="separate"/>
      </w:r>
      <w:r w:rsidR="00271B78" w:rsidRPr="00271B78">
        <w:t>(A. R. Cameron, 2012; Hoinville et al., 2013; Oidtmann et al., 2013)</w:t>
      </w:r>
      <w:r w:rsidR="00066A7E" w:rsidRPr="00837161">
        <w:fldChar w:fldCharType="end"/>
      </w:r>
      <w:r w:rsidR="5140D151" w:rsidRPr="00837161">
        <w:t>. For example,</w:t>
      </w:r>
      <w:r w:rsidR="00D333EE" w:rsidRPr="00837161">
        <w:t xml:space="preserve"> Grace et al.</w:t>
      </w:r>
      <w:r w:rsidR="5140D151" w:rsidRPr="00837161">
        <w:t xml:space="preserve"> </w:t>
      </w:r>
      <w:r w:rsidR="00066A7E" w:rsidRPr="00837161">
        <w:fldChar w:fldCharType="begin"/>
      </w:r>
      <w:r w:rsidR="000F35EB">
        <w:instrText xml:space="preserve"> ADDIN ZOTERO_ITEM CSL_CITATION {"citationID":"Yzk9wgFQ","properties":{"formattedCitation":"(2020)","plainCitation":"(2020)","noteIndex":0},"citationItems":[{"id":25045,"uris":["http://zotero.org/groups/2352922/items/VPMHKGGS"],"itemData":{"id":25045,"type":"article-journal","abstract":"Background\n              Bluetongue (BT) is a viral disease of ruminants and camelids which can have a significant impact on animal health and welfare and cause severe economic loss. The UK has been officially free of bluetongue virus (BTV) since 2011. In 2015, BTV-8 re-emerged in France and since then BTV has been spreading throughout Europe. In response to this outbreak, risk-based active surveillance was carried out at the end of the vector seasons in 2017 and 2018 to assess the risk of incursion of BTV into Great Britain.\n            \n            \n              Method\n              Atmospheric dispersion modelling identified counties on the south coast of England at higher risk of an incursion. Blood samples were collected from cattle in five counties based on a sample size designed to detect at least one positive if the prevalence was 5 per cent or greater, with 95 per cent confidence.\n            \n            \n              Results\n              No virus was detected in the 478 samples collected from 32 farms at the end of the 2017 vector season or in the 646 samples collected from 43 farms at the end of the 2018 vector season, when tested by RT-qPCR.\n            \n            \n              Conclusion\n              The negative results from this risk-based survey provided evidence to support the continuation of the UK’s official BTV-free status.","container-title":"Veterinary Record","DOI":"10.1136/vr.106016","ISSN":"0042-4900, 2042-7670","issue":"11","journalAbbreviation":"Veterinary Record","language":"en","page":"e96","source":"DOI.org (Crossref)","title":"Risk-based surveillance for bluetongue virus in cattle on the south coast of England in 2017 and 2018","URL":"https://veterinaryrecord.bmj.com/lookup/doi/10.1136/vr.106016","volume":"187","author":[{"family":"Grace","given":"Katherine Elinor Felicity"},{"family":"Papadopoulou","given":"Christina"},{"family":"Floyd","given":"Tobias"},{"family":"Avigad","given":"Rachelle"},{"family":"Collins","given":"Steve"},{"family":"White","given":"Elizabeth"},{"family":"Batten","given":"Carrie"},{"family":"Flannery","given":"John"},{"family":"Gubbins","given":"Simon"},{"family":"Carpenter","given":"Simon T"}],"accessed":{"date-parts":[["2021",3,23]]},"issued":{"date-parts":[["2020",11,28]]}},"label":"page","suppress-author":true}],"schema":"https://github.com/citation-style-language/schema/raw/master/csl-citation.json"} </w:instrText>
      </w:r>
      <w:r w:rsidR="00066A7E" w:rsidRPr="00837161">
        <w:fldChar w:fldCharType="separate"/>
      </w:r>
      <w:r w:rsidR="00271B78" w:rsidRPr="00271B78">
        <w:t>(2020)</w:t>
      </w:r>
      <w:r w:rsidR="00066A7E" w:rsidRPr="00837161">
        <w:fldChar w:fldCharType="end"/>
      </w:r>
      <w:r w:rsidR="5140D151" w:rsidRPr="00837161">
        <w:t xml:space="preserve"> demonstrated an effective risk-based surveillance system for bluetongue virus built on multiple components to know where and when to target surveillance to ensure disease freedom. The risk-based surveillance components consisted of international disease monitoring and post import testing of livestock from high risk areas, and arrival and establishment of the vector</w:t>
      </w:r>
      <w:r w:rsidR="68569B71" w:rsidRPr="00837161">
        <w:t>,</w:t>
      </w:r>
      <w:r w:rsidR="5140D151" w:rsidRPr="00837161">
        <w:t xml:space="preserve"> </w:t>
      </w:r>
      <w:r w:rsidR="2A263529" w:rsidRPr="00837161">
        <w:rPr>
          <w:i/>
          <w:iCs/>
        </w:rPr>
        <w:t xml:space="preserve">Culicoides </w:t>
      </w:r>
      <w:r w:rsidR="2A263529" w:rsidRPr="00837161">
        <w:t>spp. (</w:t>
      </w:r>
      <w:r w:rsidR="68569B71" w:rsidRPr="00837161">
        <w:t>biting midges</w:t>
      </w:r>
      <w:r w:rsidR="0075181B" w:rsidRPr="00837161">
        <w:t>;</w:t>
      </w:r>
      <w:r w:rsidR="5140D151" w:rsidRPr="00837161">
        <w:t xml:space="preserve"> </w:t>
      </w:r>
      <w:r w:rsidR="00066A7E" w:rsidRPr="00837161">
        <w:fldChar w:fldCharType="begin"/>
      </w:r>
      <w:r w:rsidR="000F35EB">
        <w:instrText xml:space="preserve"> ADDIN ZOTERO_ITEM CSL_CITATION {"citationID":"PxKpH7MU","properties":{"formattedCitation":"(Grace et al., 2020)","plainCitation":"(Grace et al., 2020)","dontUpdate":true,"noteIndex":0},"citationItems":[{"id":25045,"uris":["http://zotero.org/groups/2352922/items/VPMHKGGS"],"itemData":{"id":25045,"type":"article-journal","abstract":"Background\n              Bluetongue (BT) is a viral disease of ruminants and camelids which can have a significant impact on animal health and welfare and cause severe economic loss. The UK has been officially free of bluetongue virus (BTV) since 2011. In 2015, BTV-8 re-emerged in France and since then BTV has been spreading throughout Europe. In response to this outbreak, risk-based active surveillance was carried out at the end of the vector seasons in 2017 and 2018 to assess the risk of incursion of BTV into Great Britain.\n            \n            \n              Method\n              Atmospheric dispersion modelling identified counties on the south coast of England at higher risk of an incursion. Blood samples were collected from cattle in five counties based on a sample size designed to detect at least one positive if the prevalence was 5 per cent or greater, with 95 per cent confidence.\n            \n            \n              Results\n              No virus was detected in the 478 samples collected from 32 farms at the end of the 2017 vector season or in the 646 samples collected from 43 farms at the end of the 2018 vector season, when tested by RT-qPCR.\n            \n            \n              Conclusion\n              The negative results from this risk-based survey provided evidence to support the continuation of the UK’s official BTV-free status.","container-title":"Veterinary Record","DOI":"10.1136/vr.106016","ISSN":"0042-4900, 2042-7670","issue":"11","journalAbbreviation":"Veterinary Record","language":"en","page":"e96","source":"DOI.org (Crossref)","title":"Risk-based surveillance for bluetongue virus in cattle on the south coast of England in 2017 and 2018","URL":"https://veterinaryrecord.bmj.com/lookup/doi/10.1136/vr.106016","volume":"187","author":[{"family":"Grace","given":"Katherine Elinor Felicity"},{"family":"Papadopoulou","given":"Christina"},{"family":"Floyd","given":"Tobias"},{"family":"Avigad","given":"Rachelle"},{"family":"Collins","given":"Steve"},{"family":"White","given":"Elizabeth"},{"family":"Batten","given":"Carrie"},{"family":"Flannery","given":"John"},{"family":"Gubbins","given":"Simon"},{"family":"Carpenter","given":"Simon T"}],"accessed":{"date-parts":[["2021",3,23]]},"issued":{"date-parts":[["2020",11,28]]}}}],"schema":"https://github.com/citation-style-language/schema/raw/master/csl-citation.json"} </w:instrText>
      </w:r>
      <w:r w:rsidR="00066A7E" w:rsidRPr="00837161">
        <w:fldChar w:fldCharType="separate"/>
      </w:r>
      <w:r w:rsidR="5140D151" w:rsidRPr="00837161">
        <w:t>Grace et al., 2020)</w:t>
      </w:r>
      <w:r w:rsidR="00066A7E" w:rsidRPr="00837161">
        <w:fldChar w:fldCharType="end"/>
      </w:r>
      <w:r w:rsidR="5140D151" w:rsidRPr="00837161">
        <w:t xml:space="preserve">. Syndromic surveillance of disease status based on clinical signs or other data has been effective for picking up changes in the incidence of disease </w:t>
      </w:r>
      <w:r w:rsidR="00066A7E" w:rsidRPr="00837161">
        <w:fldChar w:fldCharType="begin"/>
      </w:r>
      <w:r w:rsidR="000F35EB">
        <w:instrText xml:space="preserve"> ADDIN ZOTERO_ITEM CSL_CITATION {"citationID":"e0fRU16v","properties":{"formattedCitation":"(Hoinville et al., 2013)","plainCitation":"(Hoinville et al., 2013)","noteIndex":0},"citationItems":[{"id":24893,"uris":["http://zotero.org/groups/2352922/items/Y4U2W4NU"],"itemData":{"id":24893,"type":"article-journal","container-title":"Preventive Veterinary Medicine","DOI":"10.1016/j.prevetmed.2013.06.006","ISSN":"01675877","issue":"1-2","journalAbbreviation":"Preventive Veterinary Medicine","language":"en","page":"1-12","source":"DOI.org (Crossref)","title":"Proposed terms and concepts for describing and evaluating animal-health surveillance systems","URL":"https://linkinghub.elsevier.com/retrieve/pii/S0167587713002055","volume":"112","author":[{"family":"Hoinville","given":"L.J."},{"family":"Alban","given":"L."},{"family":"Drewe","given":"J.A."},{"family":"Gibbens","given":"J.C."},{"family":"Gustafson","given":"L."},{"family":"Häsler","given":"B."},{"family":"Saegerman","given":"C."},{"family":"Salman","given":"M."},{"family":"Stärk","given":"K.D.C."}],"accessed":{"date-parts":[["2021",3,12]]},"issued":{"date-parts":[["2013",10]]}}}],"schema":"https://github.com/citation-style-language/schema/raw/master/csl-citation.json"} </w:instrText>
      </w:r>
      <w:r w:rsidR="00066A7E" w:rsidRPr="00837161">
        <w:fldChar w:fldCharType="separate"/>
      </w:r>
      <w:r w:rsidR="00271B78" w:rsidRPr="00271B78">
        <w:t>(Hoinville et al., 2013)</w:t>
      </w:r>
      <w:r w:rsidR="00066A7E" w:rsidRPr="00837161">
        <w:fldChar w:fldCharType="end"/>
      </w:r>
      <w:r w:rsidR="5140D151" w:rsidRPr="00837161">
        <w:t xml:space="preserve">. This was useful for detecting the first sign of Bluetongue disease serotype 8 in North Western Europe in 2006 </w:t>
      </w:r>
      <w:r w:rsidR="00066A7E" w:rsidRPr="00837161">
        <w:fldChar w:fldCharType="begin"/>
      </w:r>
      <w:r w:rsidR="000F35EB">
        <w:instrText xml:space="preserve"> ADDIN ZOTERO_ITEM CSL_CITATION {"citationID":"4fPiOpOh","properties":{"formattedCitation":"(Elbers et al., 2008)","plainCitation":"(Elbers et al., 2008)","noteIndex":0},"citationItems":[{"id":25010,"uris":["http://zotero.org/groups/2352922/items/WWUHF6DR"],"itemData":{"id":25010,"type":"article-journal","abstract":"Starting August 2006, a major epidemic of bluetongue (BT) was identified in North-West Europe, affecting The Netherlands, Belgium, Germany, Luxemburg and the North of France. It was caused by BT virus serotype 8 (BTV-8), a serotype previously unknown to the European Union (EU). In this outbreak, the virus caused clinical disease in a few individual animals within cattle herds, whereas overt clinical disease was usually restricted to sheep. Investigations in Belgium suggested that the first clinical signs of BTV-8 appeared mid July 2006 in a cattle herd, while the first suspicion of a BT-outbreak in Belgium was reported on 17 August 2006. In the first 10 BTV-8 outbreaks in the Netherlands, the owners indicated that the first clinical signs started approximately 12–17 days before a suspicion was reported to the veterinary authorities via a veterinary practitioner. In BTV-8 affected sheep flocks, erosions of the oral mucosa, fever, salivation, facial and mandibular oedema, apathy and tiredness, mortality, oedema of the lips, lameness, and dysphagia were among the most frequent clinical signs recorded. The most prominent clinical signs in BTV-8 affected cattle herds were: crusts/lesions of the nasal mucosa, erosions of lips/crusts in or around the nostrils, erosions of the oral mucosa, salivation, fever, conjunctivitis, coronitis, muscle necrosis, and stiffness of the limbs. Crusts/lesions of nasal mucosa, conjunctivitis, hyperaemic/purple coloration and lesions of the teats, and redness/hypersensitivity of the skin were relatively more seen on outbreak farms with cattle compared to sheep. Mortality, oedema of the head and ears, coronitis, redness of the oral mucosa, erosions/ulceration of tongue mucosa, purple coloration of the tongue and tongue protrusion and dyspneu were relatively more seen on outbreak farms with sheep compared to cattle.","collection-title":"Special Issue: The 2006 Bluetongue outbreak in North-West Europe: The outcome from the epidemiological investigation coordinated by the European food safety authority (EFSA)","container-title":"Preventive Veterinary Medicine","DOI":"10.1016/j.prevetmed.2008.06.004","ISSN":"0167-5877","issue":"1-2","journalAbbreviation":"Preventive Veterinary Medicine","language":"en","page":"21-30","source":"ScienceDirect","title":"Field observations during the bluetongue serotype 8 epidemic in 2006: I. Detection of first outbreaks and clinical signs in sheep and cattle in Belgium, France and the Netherlands","title-short":"Field observations during the bluetongue serotype 8 epidemic in 2006","URL":"http://www.sciencedirect.com/science/article/pii/S0167587708001190","volume":"87","author":[{"family":"Elbers","given":"Armin R. W."},{"family":"Backx","given":"Anoek"},{"family":"Meroc","given":"Estelle"},{"family":"Gerbier","given":"Guillaume"},{"family":"Staubach","given":"Christoph"},{"family":"Hendrickx","given":"Guy"},{"family":"Spek","given":"Arco","non-dropping-particle":"van der"},{"family":"Mintiens","given":"Koen"}],"accessed":{"date-parts":[["2020",8,20]]},"issued":{"date-parts":[["2008",10,15]]}}}],"schema":"https://github.com/citation-style-language/schema/raw/master/csl-citation.json"} </w:instrText>
      </w:r>
      <w:r w:rsidR="00066A7E" w:rsidRPr="00837161">
        <w:fldChar w:fldCharType="separate"/>
      </w:r>
      <w:r w:rsidR="00271B78" w:rsidRPr="00271B78">
        <w:t>(Elbers et al., 2008)</w:t>
      </w:r>
      <w:r w:rsidR="00066A7E" w:rsidRPr="00837161">
        <w:fldChar w:fldCharType="end"/>
      </w:r>
      <w:r w:rsidR="5140D151" w:rsidRPr="00837161">
        <w:t xml:space="preserve">. </w:t>
      </w:r>
      <w:r w:rsidR="5140D151" w:rsidRPr="00837161">
        <w:rPr>
          <w:color w:val="000000" w:themeColor="text1"/>
        </w:rPr>
        <w:t xml:space="preserve">Passive surveillance in animal health is when farmers report potential diseases to their veterinarians and the information is collated and reported </w:t>
      </w:r>
      <w:r w:rsidR="00D333EE" w:rsidRPr="00837161">
        <w:rPr>
          <w:color w:val="000000" w:themeColor="text1"/>
        </w:rPr>
        <w:fldChar w:fldCharType="begin"/>
      </w:r>
      <w:r w:rsidR="000F35EB">
        <w:rPr>
          <w:color w:val="000000" w:themeColor="text1"/>
        </w:rPr>
        <w:instrText xml:space="preserve"> ADDIN ZOTERO_ITEM CSL_CITATION {"citationID":"QsivpdBY","properties":{"formattedCitation":"(del Rocio Amezcua et al., 2010)","plainCitation":"(del Rocio Amezcua et al., 2010)","noteIndex":0},"citationItems":[{"id":11217,"uris":["http://zotero.org/groups/2352922/items/2G9PEAAA"],"itemData":{"id":11217,"type":"article-journal","abstract":"Practicing veterinarians play an important role in detecting the initial outbreak of disease in animal populations. A pilot study was conducted to determine the feasibility of a veterinary-based surveillance system for the Ontario swine industry. A total of 7 practitioners from 5 clinics agreed to submit information from July 1, 2007 to June 30, 2008. The surveillance program was evaluated in terms of timeliness, compliance, geographic coverage, and data quality. Our study showed that the veterinary-based surveillance system was acceptable to practitioners and produced useful data. The program obtained information from 25% of pig farms in Ontario during this time period. However, better communication with practitioners, more user-friendly recording systems that can be adapted to each clinic's management system, active involvement of the clinics' technical personnel, and the use of financial incentives may help to improve compliance and timeliness.","container-title":"Canadian Journal of Veterinary Research = Revue Canadienne De Recherche Veterinaire","ISSN":"1928-9022","issue":"4","journalAbbreviation":"Can J Vet Res","language":"eng","note":"PMID: 21197223\nPMCID: PMC2949336","page":"241-251","source":"PubMed","title":"Evaluation of a veterinary-based syndromic surveillance system implemented for swine","URL":"https://pubmed.ncbi.nlm.nih.gov/21197223/","volume":"74","author":[{"family":"Rocio Amezcua","given":"Maria","non-dropping-particle":"del"},{"family":"Pearl","given":"David L."},{"family":"Friendship","given":"Robert M."},{"family":"McNab","given":"W. Bruce"}],"issued":{"date-parts":[["2010",10]]}},"label":"page"}],"schema":"https://github.com/citation-style-language/schema/raw/master/csl-citation.json"} </w:instrText>
      </w:r>
      <w:r w:rsidR="00D333EE" w:rsidRPr="00837161">
        <w:rPr>
          <w:color w:val="000000" w:themeColor="text1"/>
        </w:rPr>
        <w:fldChar w:fldCharType="separate"/>
      </w:r>
      <w:r w:rsidR="00271B78" w:rsidRPr="00271B78">
        <w:t>(del Rocio Amezcua et al., 2010)</w:t>
      </w:r>
      <w:r w:rsidR="00D333EE" w:rsidRPr="00837161">
        <w:rPr>
          <w:color w:val="000000" w:themeColor="text1"/>
        </w:rPr>
        <w:fldChar w:fldCharType="end"/>
      </w:r>
      <w:r w:rsidR="5140D151" w:rsidRPr="00837161">
        <w:t>.</w:t>
      </w:r>
      <w:r w:rsidR="5140D151" w:rsidRPr="00837161">
        <w:rPr>
          <w:color w:val="000000" w:themeColor="text1"/>
        </w:rPr>
        <w:t xml:space="preserve"> In Tanzania’s animal health system, disease reporting is mostly passive. Clinical observation data from 13 primary sources (mainly livestock farmers, </w:t>
      </w:r>
      <w:r w:rsidR="10F1A92C" w:rsidRPr="00837161">
        <w:rPr>
          <w:color w:val="000000" w:themeColor="text1"/>
        </w:rPr>
        <w:t>abattoirs</w:t>
      </w:r>
      <w:r w:rsidR="5140D151" w:rsidRPr="00837161">
        <w:rPr>
          <w:color w:val="000000" w:themeColor="text1"/>
        </w:rPr>
        <w:t>, livestock markets</w:t>
      </w:r>
      <w:r w:rsidR="2A263529" w:rsidRPr="00837161">
        <w:rPr>
          <w:color w:val="000000" w:themeColor="text1"/>
        </w:rPr>
        <w:t>,</w:t>
      </w:r>
      <w:r w:rsidR="5140D151" w:rsidRPr="00837161">
        <w:rPr>
          <w:color w:val="000000" w:themeColor="text1"/>
        </w:rPr>
        <w:t xml:space="preserve"> etc.) provide an overall picture of animal health </w:t>
      </w:r>
      <w:r w:rsidR="005E4B94" w:rsidRPr="00837161">
        <w:rPr>
          <w:color w:val="000000" w:themeColor="text1"/>
        </w:rPr>
        <w:fldChar w:fldCharType="begin"/>
      </w:r>
      <w:r w:rsidR="00A4003D">
        <w:rPr>
          <w:color w:val="000000" w:themeColor="text1"/>
        </w:rPr>
        <w:instrText xml:space="preserve"> ADDIN ZOTERO_ITEM CSL_CITATION {"citationID":"10UlsHSq","properties":{"formattedCitation":"(George et al., 2021)","plainCitation":"(George et al., 2021)","noteIndex":0},"citationItems":[{"id":29671,"uris":["http://zotero.org/groups/2352922/items/2DMSBLTB"],"itemData":{"id":29671,"type":"article-journal","abstract":"Abstract\n            \n              Background\n              Effective animal health surveillance systems require reliable, high-quality, and timely data for decision making. In Tanzania, the animal health surveillance system has been relying on a few data sources, which suffer from delays in reporting, underreporting, and high cost of data collection and transmission. The integration of data from multiple sources can enhance early detection and response to animal diseases and facilitate the early control of outbreaks. This study aimed to identify and assess existing and potential data sources for the animal health surveillance system in Tanzania and how they can be better used for early warning surveillance. The study used a mixed-method design to identify and assess data sources. Data were collected through document reviews, internet search, cross-sectional survey, key informant interviews, site visits, and non-participant observation. The assessment was done using pre-defined criteria.\n            \n            \n              Results\n              A total of 13 data sources were identified and assessed. Most surveillance data came from livestock farmers, slaughter facilities, and livestock markets; while animal dip sites were the least used sources. Commercial farms and veterinary shops, electronic surveillance tools like AfyaData and Event Mobile Application (EMA-i) and information systems such as the Tanzania National Livestock Identification and Traceability System (TANLITS) and Agricultural Routine Data System (ARDS) show potential to generate relevant data for the national animal health surveillance system. The common variables found across most sources were: the name of the place (12/13), animal type/species (12/13), syndromes (10/13) and number of affected animals (8/13). The majority of the sources had good surveillance data contents and were accessible with medium to maximum spatial coverage. However, there was significant variation in terms of data frequency, accuracy and cost. There were limited integration and coordination of data flow from the identified sources with minimum to non-existing automated data entry and transmission.\n            \n            \n              Conclusion\n              The study demonstrated how the available data sources have great potential for early warning surveillance in Tanzania. Both existing and potential data sources had complementary strengths and weaknesses; a multi-source surveillance system would be best placed to harness these different strengths.","container-title":"BMC Veterinary Research","DOI":"10.1186/s12917-021-02789-x","ISSN":"1746-6148","issue":"1","journalAbbreviation":"BMC Vet Res","language":"en","page":"109","source":"DOI.org (Crossref)","title":"Towards an integrated animal health surveillance system in Tanzania: making better use of existing and potential data sources for early warning surveillance","title-short":"Towards an integrated animal health surveillance system in Tanzania","URL":"https://bmcvetres.biomedcentral.com/articles/10.1186/s12917-021-02789-x","volume":"17","author":[{"family":"George","given":"Janeth"},{"family":"Häsler","given":"Barbara"},{"family":"Komba","given":"Erick"},{"family":"Sindato","given":"Calvin"},{"family":"Rweyemamu","given":"Mark"},{"family":"Mlangwa","given":"James"}],"accessed":{"date-parts":[["2021",8,10]]},"issued":{"date-parts":[["2021",12]]}}}],"schema":"https://github.com/citation-style-language/schema/raw/master/csl-citation.json"} </w:instrText>
      </w:r>
      <w:r w:rsidR="005E4B94" w:rsidRPr="00837161">
        <w:rPr>
          <w:color w:val="000000" w:themeColor="text1"/>
        </w:rPr>
        <w:fldChar w:fldCharType="separate"/>
      </w:r>
      <w:r w:rsidR="00A4003D" w:rsidRPr="00A4003D">
        <w:t>(George et al., 2021)</w:t>
      </w:r>
      <w:r w:rsidR="005E4B94" w:rsidRPr="00837161">
        <w:rPr>
          <w:color w:val="000000" w:themeColor="text1"/>
        </w:rPr>
        <w:fldChar w:fldCharType="end"/>
      </w:r>
      <w:r w:rsidR="5140D151" w:rsidRPr="00837161">
        <w:rPr>
          <w:color w:val="000000" w:themeColor="text1"/>
        </w:rPr>
        <w:t>.</w:t>
      </w:r>
    </w:p>
    <w:p w14:paraId="00000669" w14:textId="02356461" w:rsidR="00A758FD" w:rsidRPr="00C0338D" w:rsidRDefault="00C81287">
      <w:pPr>
        <w:spacing w:before="240" w:after="120" w:line="240" w:lineRule="auto"/>
      </w:pPr>
      <w:r w:rsidRPr="00C0338D">
        <w:t>The international plant sentinel network (</w:t>
      </w:r>
      <w:r w:rsidR="002F2F42">
        <w:rPr>
          <w:b/>
        </w:rPr>
        <w:t>S</w:t>
      </w:r>
      <w:r w:rsidRPr="00C0338D">
        <w:rPr>
          <w:b/>
        </w:rPr>
        <w:t>upplementary material 5.3</w:t>
      </w:r>
      <w:r w:rsidRPr="00C0338D">
        <w:t xml:space="preserve">) is an effective early warning system for new and emerging pest and pathogen risks through a global network of National Plant Protection Organizations, scientists, botanic gardens and arboreta around the world </w:t>
      </w:r>
      <w:r w:rsidR="00066A7E" w:rsidRPr="00837161">
        <w:fldChar w:fldCharType="begin"/>
      </w:r>
      <w:r w:rsidR="000F35EB">
        <w:instrText xml:space="preserve"> ADDIN ZOTERO_ITEM CSL_CITATION {"citationID":"smK5EuR0","properties":{"formattedCitation":"(Barham et al., 2016)","plainCitation":"(Barham et al., 2016)","noteIndex":0},"citationItems":[{"id":25129,"uris":["http://zotero.org/groups/2352922/items/U36LIH2E"],"itemData":{"id":25129,"type":"article-journal","container-title":"EPPO Bulletin","DOI":"10.1111/epp.12283","ISSN":"02508052","issue":"1","journalAbbreviation":"EPPO Bull","language":"en","page":"156-162","source":"DOI.org (Crossref)","title":"The International Plant Sentinel Network: a tool for Regional and National Plant Protection Organizations","title-short":"The International Plant Sentinel Network","URL":"http://doi.wiley.com/10.1111/epp.12283","volume":"46","author":[{"family":"Barham","given":"E."},{"family":"Sharrock","given":"S."},{"family":"Lane","given":"C."},{"family":"Baker","given":"R."}],"accessed":{"date-parts":[["2021",3,31]]},"issued":{"date-parts":[["2016",4]]}}}],"schema":"https://github.com/citation-style-language/schema/raw/master/csl-citation.json"} </w:instrText>
      </w:r>
      <w:r w:rsidR="00066A7E" w:rsidRPr="00837161">
        <w:fldChar w:fldCharType="separate"/>
      </w:r>
      <w:r w:rsidR="00271B78" w:rsidRPr="00271B78">
        <w:t>(Barham et al., 2016)</w:t>
      </w:r>
      <w:r w:rsidR="00066A7E" w:rsidRPr="00837161">
        <w:fldChar w:fldCharType="end"/>
      </w:r>
      <w:r w:rsidR="00066A7E" w:rsidRPr="00837161">
        <w:t>.</w:t>
      </w:r>
      <w:r w:rsidRPr="00C0338D">
        <w:t xml:space="preserve"> This network aims to report plant health issues safeguarding susceptible plant species worldwide. CABI’s PlantwisePlus programmes</w:t>
      </w:r>
      <w:r w:rsidRPr="00A4003D">
        <w:rPr>
          <w:rStyle w:val="FootnoteReference"/>
        </w:rPr>
        <w:footnoteReference w:id="27"/>
      </w:r>
      <w:r w:rsidRPr="00C0338D">
        <w:t xml:space="preserve"> is another effective plant health support system for smallholder farmers in developing countries across Africa, Asia and Latin America </w:t>
      </w:r>
      <w:r w:rsidR="00066A7E" w:rsidRPr="00837161">
        <w:rPr>
          <w:rFonts w:eastAsia="Calibri"/>
        </w:rPr>
        <w:fldChar w:fldCharType="begin"/>
      </w:r>
      <w:r w:rsidR="000F35EB">
        <w:rPr>
          <w:rFonts w:eastAsia="Calibri"/>
        </w:rPr>
        <w:instrText xml:space="preserve"> ADDIN ZOTERO_ITEM CSL_CITATION {"citationID":"Y1RhV2BZ","properties":{"formattedCitation":"(K. H. Cameron et al., 2016)","plainCitation":"(K. H. Cameron et al., 2016)","dontUpdate":true,"noteIndex":0},"citationItems":[{"id":25128,"uris":["http://zotero.org/groups/2352922/items/QYRGDTQ3"],"itemData":{"id":25128,"type":"article-journal","container-title":"Journal of Agricultural &amp; Food Information","DOI":"10.1080/10496505.2016.1211530","ISSN":"1049-6505, 1540-4722","issue":"4","journalAbbreviation":"Journal of Agricultural &amp; Food Information","language":"en","page":"212-229","source":"DOI.org (Crossref)","title":"Delivering Actionable Plant Health Knowledge to Smallholder Farmers Through the Plantwise Program","URL":"https://www.tandfonline.com/doi/full/10.1080/10496505.2016.1211530","volume":"17","author":[{"family":"Cameron","given":"Katherine H."},{"family":"Somachandra","given":"K. P."},{"family":"Curry","given":"Claire N."},{"family":"Jenner","given":"Wade H."},{"family":"Hobbs","given":"Shaun L. A."}],"accessed":{"date-parts":[["2021",3,31]]},"issued":{"date-parts":[["2016",10]]}}}],"schema":"https://github.com/citation-style-language/schema/raw/master/csl-citation.json"} </w:instrText>
      </w:r>
      <w:r w:rsidR="00066A7E" w:rsidRPr="00837161">
        <w:rPr>
          <w:rFonts w:eastAsia="Calibri"/>
        </w:rPr>
        <w:fldChar w:fldCharType="separate"/>
      </w:r>
      <w:r w:rsidR="00066A7E" w:rsidRPr="00837161">
        <w:t>(Cameron et al., 2016)</w:t>
      </w:r>
      <w:r w:rsidR="00066A7E" w:rsidRPr="00837161">
        <w:rPr>
          <w:rFonts w:eastAsia="Calibri"/>
        </w:rPr>
        <w:fldChar w:fldCharType="end"/>
      </w:r>
      <w:r w:rsidR="00066A7E" w:rsidRPr="00837161">
        <w:rPr>
          <w:rFonts w:eastAsia="Calibri"/>
        </w:rPr>
        <w:t>.</w:t>
      </w:r>
      <w:r w:rsidRPr="00C0338D">
        <w:t xml:space="preserve"> Farmers bring pests or damaged crops for identification and receive pest and disease management advice, contributing to the early detection of new plant pests </w:t>
      </w:r>
      <w:r w:rsidR="00066A7E" w:rsidRPr="00837161">
        <w:rPr>
          <w:rFonts w:eastAsia="Calibri"/>
        </w:rPr>
        <w:fldChar w:fldCharType="begin"/>
      </w:r>
      <w:r w:rsidR="000F35EB">
        <w:rPr>
          <w:rFonts w:eastAsia="Calibri"/>
        </w:rPr>
        <w:instrText xml:space="preserve"> ADDIN ZOTERO_ITEM CSL_CITATION {"citationID":"xvRJ5ll0","properties":{"formattedCitation":"(Migiro &amp; Otieno, 2020)","plainCitation":"(Migiro &amp; Otieno, 2020)","noteIndex":0},"citationItems":[{"id":25127,"uris":["http://zotero.org/groups/2352922/items/6LLNM5KE"],"itemData":{"id":25127,"type":"chapter","container-title":"Sustainable Management of Invasive Pests in Africa","event-place":"Cham","ISBN":"978-3-030-41082-7","language":"en","note":"DOI: 10.1007/978-3-030-41083-4_19","page":"245-251","publisher":"Springer International Publishing","publisher-place":"Cham","source":"DOI.org (Crossref)","title":"The Role of Plantwise in Improving Detection and Action on Pest Situations","URL":"http://link.springer.com/10.1007/978-3-030-41083-4_19","volume":"14","editor":[{"family":"Niassy","given":"Saliou"},{"family":"Ekesi","given":"Sunday"},{"family":"Migiro","given":"Lorna"},{"family":"Otieno","given":"Washington"}],"author":[{"family":"Migiro","given":"L."},{"family":"Otieno","given":"W."}],"accessed":{"date-parts":[["2021",3,31]]},"issued":{"date-parts":[["2020"]]}}}],"schema":"https://github.com/citation-style-language/schema/raw/master/csl-citation.json"} </w:instrText>
      </w:r>
      <w:r w:rsidR="00066A7E" w:rsidRPr="00837161">
        <w:rPr>
          <w:rFonts w:eastAsia="Calibri"/>
        </w:rPr>
        <w:fldChar w:fldCharType="separate"/>
      </w:r>
      <w:r w:rsidR="00271B78" w:rsidRPr="00271B78">
        <w:t>(Migiro &amp; Otieno, 2020)</w:t>
      </w:r>
      <w:r w:rsidR="00066A7E" w:rsidRPr="00837161">
        <w:rPr>
          <w:rFonts w:eastAsia="Calibri"/>
        </w:rPr>
        <w:fldChar w:fldCharType="end"/>
      </w:r>
      <w:r w:rsidR="00066A7E" w:rsidRPr="00837161">
        <w:rPr>
          <w:rFonts w:eastAsia="Calibri"/>
        </w:rPr>
        <w:t>.</w:t>
      </w:r>
      <w:r w:rsidRPr="00C0338D">
        <w:t xml:space="preserve"> ProMED-mail, the programme for monitoring emerging diseases, also reports on outbreaks of human infectious diseases and monitors diseases of agricultural importance in plants and animals using the internet to mine information sending online reports to subscribers </w:t>
      </w:r>
      <w:r w:rsidR="00066A7E" w:rsidRPr="00837161">
        <w:rPr>
          <w:rFonts w:eastAsia="Calibri"/>
        </w:rPr>
        <w:fldChar w:fldCharType="begin"/>
      </w:r>
      <w:r w:rsidR="000F35EB">
        <w:rPr>
          <w:rFonts w:eastAsia="Calibri"/>
        </w:rPr>
        <w:instrText xml:space="preserve"> ADDIN ZOTERO_ITEM CSL_CITATION {"citationID":"P4cUFgls","properties":{"formattedCitation":"(Yu &amp; Madoff, 2004)","plainCitation":"(Yu &amp; Madoff, 2004)","noteIndex":0},"citationItems":[{"id":25126,"uris":["http://zotero.org/groups/2352922/items/GPDZXX4J"],"itemData":{"id":25126,"type":"article-journal","container-title":"Clinical Infectious Diseases","DOI":"10.1086/422003","ISSN":"1058-4838, 1537-6591","issue":"2","journalAbbreviation":"Clinical Infectious Diseases","language":"en","page":"227-232","source":"DOI.org (Crossref)","title":"ProMED-mail: An Early Warning System for Emerging Diseases","title-short":"ProMED-mail","URL":"https://academic.oup.com/cid/article-lookup/doi/10.1086/422003","volume":"39","author":[{"family":"Yu","given":"V. L."},{"family":"Madoff","given":"L. C."}],"accessed":{"date-parts":[["2021",3,31]]},"issued":{"date-parts":[["2004",7,15]]}}}],"schema":"https://github.com/citation-style-language/schema/raw/master/csl-citation.json"} </w:instrText>
      </w:r>
      <w:r w:rsidR="00066A7E" w:rsidRPr="00837161">
        <w:rPr>
          <w:rFonts w:eastAsia="Calibri"/>
        </w:rPr>
        <w:fldChar w:fldCharType="separate"/>
      </w:r>
      <w:r w:rsidR="00271B78" w:rsidRPr="00271B78">
        <w:t>(Yu &amp; Madoff, 2004)</w:t>
      </w:r>
      <w:r w:rsidR="00066A7E" w:rsidRPr="00837161">
        <w:rPr>
          <w:rFonts w:eastAsia="Calibri"/>
        </w:rPr>
        <w:fldChar w:fldCharType="end"/>
      </w:r>
      <w:r w:rsidR="00066A7E" w:rsidRPr="00837161">
        <w:rPr>
          <w:rFonts w:eastAsia="Calibri"/>
        </w:rPr>
        <w:t>.</w:t>
      </w:r>
      <w:r w:rsidRPr="00C0338D">
        <w:t xml:space="preserve"> Reports are validated by expert moderators. Other effective early warning systems include PestLens (US Department of Agriculture), European and Mediterranean Plant Protection Organization (EPPO) alert list and reporting service for member countries. The NAPPO Phytosanitary Alert System provides a similar service for Canada, United States and Mexico. The IPPC provides a similar service for all national plant protection organizations </w:t>
      </w:r>
      <w:r w:rsidR="00066A7E" w:rsidRPr="00837161">
        <w:rPr>
          <w:rFonts w:eastAsia="Calibri"/>
        </w:rPr>
        <w:fldChar w:fldCharType="begin"/>
      </w:r>
      <w:r w:rsidR="000F35EB">
        <w:rPr>
          <w:rFonts w:eastAsia="Calibri"/>
        </w:rPr>
        <w:instrText xml:space="preserve"> ADDIN ZOTERO_ITEM CSL_CITATION {"citationID":"jCVYSWVU","properties":{"formattedCitation":"(Noar et al., 2021)","plainCitation":"(Noar et al., 2021)","noteIndex":0},"citationItems":[{"id":10437,"uris":["http://zotero.org/groups/2352922/items/F2JQHSWJ"],"itemData":{"id":10437,"type":"article-journal","abstract":"Abstract\n            When introduced to novel habitats, invasive alien plant pests have the potential to reduce fitness or cause aesthetic damage to naïve plant hosts, or to cause widespread mortality in both native and cultivated plant populations. Once established, the cost of mitigation, eradication, and damage and losses from invasive alien plant pests often exceeds the cost of preventing introductions from occurring. National plant protection organizations (NPPOs) have therefore implemented trade restrictions and regulations to minimize the introduction of alien plant pest species. To be effective, NPPOs must stay informed about pest species that may pose a threat to natural or agricultural systems. Early warning systems such as PestLens, the European and Mediterranean Plant Protection Organization Reporting Service, and others collect relevant and current plant pest information and disseminate it to NPPOs, thereby facilitating informed regulatory decision-making. Herein, we describe the processes and goals of some of the existing plant pest early warning systems and how these systems may be used.","container-title":"Journal of Integrated Pest Management","DOI":"10.1093/jipm/pmab011","ISSN":"2155-7470","issue":"1","language":"en","page":"16","source":"DOI.org (Crossref)","title":"Early Warning Systems as a Component of Integrated Pest Management to Prevent the Introduction of Exotic Pests","URL":"https://academic.oup.com/jipm/article/doi/10.1093/jipm/pmab011/6245490","volume":"12","author":[{"family":"Noar","given":"Roslyn D"},{"family":"Jahant-Miller","given":"Chelsea J"},{"family":"Emerine","given":"Sherrie"},{"family":"Hallberg","given":"Rosemary"}],"editor":[{"family":"Carley","given":"Danesha"}],"accessed":{"date-parts":[["2021",8,6]]},"issued":{"date-parts":[["2021",1,1]]}}}],"schema":"https://github.com/citation-style-language/schema/raw/master/csl-citation.json"} </w:instrText>
      </w:r>
      <w:r w:rsidR="00066A7E" w:rsidRPr="00837161">
        <w:rPr>
          <w:rFonts w:eastAsia="Calibri"/>
        </w:rPr>
        <w:fldChar w:fldCharType="separate"/>
      </w:r>
      <w:r w:rsidR="00271B78" w:rsidRPr="00271B78">
        <w:t>(Noar et al., 2021)</w:t>
      </w:r>
      <w:r w:rsidR="00066A7E" w:rsidRPr="00837161">
        <w:rPr>
          <w:rFonts w:eastAsia="Calibri"/>
        </w:rPr>
        <w:fldChar w:fldCharType="end"/>
      </w:r>
      <w:r w:rsidR="00066A7E" w:rsidRPr="00837161">
        <w:rPr>
          <w:rFonts w:eastAsia="Calibri"/>
        </w:rPr>
        <w:t>.</w:t>
      </w:r>
    </w:p>
    <w:p w14:paraId="109D272F" w14:textId="0781ED79" w:rsidR="00066A7E" w:rsidRPr="00837161" w:rsidRDefault="00066A7E" w:rsidP="00C11DFA">
      <w:pPr>
        <w:spacing w:before="240" w:after="120" w:line="240" w:lineRule="auto"/>
      </w:pPr>
      <w:r w:rsidRPr="00837161">
        <w:lastRenderedPageBreak/>
        <w:t xml:space="preserve">Most successful examples of priority quarantine pest and invasive alien species surveillance are from developed countries </w:t>
      </w:r>
      <w:r w:rsidRPr="00837161">
        <w:fldChar w:fldCharType="begin"/>
      </w:r>
      <w:r w:rsidR="000F35EB">
        <w:instrText xml:space="preserve"> ADDIN ZOTERO_ITEM CSL_CITATION {"citationID":"bVfg2fKC","properties":{"formattedCitation":"(Mphande, 2016)","plainCitation":"(Mphande, 2016)","noteIndex":0},"citationItems":[{"id":30844,"uris":["http://zotero.org/groups/2352922/items/Q6L7H99T"],"itemData":{"id":30844,"type":"chapter","container-title":"Infectious Diseases and Rural Livelihood in Developing Countries","event-place":"Singapore","ISBN":"978-981-10-0426-1","language":"en","note":"DOI: 10.1007/978-981-10-0428-5_7","page":"115-127","publisher":"Springer Singapore","publisher-place":"Singapore","source":"DOI.org (Crossref)","title":"Surveillance","URL":"http://link.springer.com/10.1007/978-981-10-0428-5_7","container-author":[{"family":"Mphande","given":"Fingani Annie"}],"author":[{"family":"Mphande","given":"Fingani Annie"}],"accessed":{"date-parts":[["2021",10,22]]},"issued":{"date-parts":[["2016"]]}}}],"schema":"https://github.com/citation-style-language/schema/raw/master/csl-citation.json"} </w:instrText>
      </w:r>
      <w:r w:rsidRPr="00837161">
        <w:fldChar w:fldCharType="separate"/>
      </w:r>
      <w:r w:rsidR="00271B78" w:rsidRPr="00271B78">
        <w:t>(Mphande, 2016)</w:t>
      </w:r>
      <w:r w:rsidRPr="00837161">
        <w:fldChar w:fldCharType="end"/>
      </w:r>
      <w:r w:rsidRPr="00837161">
        <w:t>. Elsewhere, such surveillance is under</w:t>
      </w:r>
      <w:r w:rsidR="00B75C12">
        <w:t>-</w:t>
      </w:r>
      <w:r w:rsidRPr="00837161">
        <w:t>reported or not practiced on a regular basis. Most one-off surveillance and monitoring surveys of invasive</w:t>
      </w:r>
      <w:r w:rsidR="00934501" w:rsidRPr="00837161">
        <w:t xml:space="preserve"> alien</w:t>
      </w:r>
      <w:r w:rsidRPr="00837161">
        <w:t xml:space="preserve"> species in the Pacific region are not formally published. In contrast, the Pacific Invasive Ant Toolkit provides advice on biosecurity and surveillance for invasive ants </w:t>
      </w:r>
      <w:r w:rsidRPr="00837161">
        <w:fldChar w:fldCharType="begin"/>
      </w:r>
      <w:r w:rsidR="000F35EB">
        <w:instrText xml:space="preserve"> ADDIN ZOTERO_ITEM CSL_CITATION {"citationID":"CaaBxBGN","properties":{"formattedCitation":"(Gruber M et al., 2016)","plainCitation":"(Gruber M et al., 2016)","dontUpdate":true,"noteIndex":0},"citationItems":[{"id":12638,"uris":["http://zotero.org/groups/2352922/items/ET9EGY37"],"itemData":{"id":12638,"type":"webpage","title":"PIAT Pacific Invasive Ant toolkit. Pacific Biosecurity. New Zealand Ministry of Foreign Affairs and Trade.","URL":"https://piat.org.nz/index.php?page=citing-the-toolkit","author":[{"family":"Gruber","given":"M. A. M."},{"family":"Cooling","given":"M."},{"family":"Burne","given":"A. R."}],"accessed":{"date-parts":[["2019",12,20]]},"issued":{"date-parts":[["2016"]]}}}],"schema":"https://github.com/citation-style-language/schema/raw/master/csl-citation.json"} </w:instrText>
      </w:r>
      <w:r w:rsidRPr="00837161">
        <w:fldChar w:fldCharType="separate"/>
      </w:r>
      <w:r w:rsidRPr="00837161">
        <w:t>(Gruber et al., 2016)</w:t>
      </w:r>
      <w:r w:rsidRPr="00837161">
        <w:fldChar w:fldCharType="end"/>
      </w:r>
      <w:r w:rsidRPr="00837161">
        <w:t xml:space="preserve"> rapidly spreading across the Pacific </w:t>
      </w:r>
      <w:r w:rsidRPr="00837161">
        <w:fldChar w:fldCharType="begin"/>
      </w:r>
      <w:r w:rsidR="000F35EB">
        <w:instrText xml:space="preserve"> ADDIN ZOTERO_ITEM CSL_CITATION {"citationID":"yDYPCDDp","properties":{"formattedCitation":"(McGlynn, 1999)","plainCitation":"(McGlynn, 1999)","noteIndex":0},"citationItems":[{"id":22570,"uris":["http://zotero.org/groups/2352922/items/VG2MXAV7"],"itemData":{"id":22570,"type":"article-journal","abstract":"AimThis is the first comprehensive account of the biogeography of ants transferred and at least temporarily established outside their native habitat. LocationUsing museum and literature records, I established the distributions of transferred ant species. MethodsI used taxonomic and functional groups to assess how geographical spread as a transferred species is affected by taxonomy and life history. Results147 ant species in forty-nine genera have been recorded outside of their native habitat. The proportion of transferred ants is similar to the number of genera and species in each subfamily. The species-rich subfamily Myrmicinae contains nearly 50% of all transferred species, while many of the species-poor subfamilies have absolutely no transferred species. A disproportionate high number of transferred ants originate from the Neotropical and Oriental biogeographic regions. The Pacific Islands are the recipients of the most transferred ant species. Most transferred ants belong to the CRYPTIC, OPPORTUNIST, and GENERALIZED MYRMICINE functional groups, while there are no recorded transfers of army ants or leaf-cutting ants. Both invasive and human commensal ‘tramp’ ant species are nonrandom subsets of transferred ants. Main conclusions‘Tramp’ species and invasive species tend to have widespread geographical distributions, and share life history characteristics including queen number, nest structure, and foraging behaviour. Combining observations of functional groups and biogeography may lead to a better understanding of the factors contributing to the spread of transferred species.","container-title":"Journal of Biogeography","DOI":"10.1046/j.1365-2699.1999.00310.x","ISSN":"1365-2699","issue":"3","language":"en","page":"535-548","source":"Wiley Online Library","title":"The worldwide transfer of ants: geographical distribution and ecological invasions","title-short":"The worldwide transfer of ants","URL":"https://onlinelibrary.wiley.com/doi/abs/10.1046/j.1365-2699.1999.00310.x","volume":"26","author":[{"family":"McGlynn","given":"Terrence P."}],"accessed":{"date-parts":[["2020",6,24]]},"issued":{"date-parts":[["1999"]]}}}],"schema":"https://github.com/citation-style-language/schema/raw/master/csl-citation.json"} </w:instrText>
      </w:r>
      <w:r w:rsidRPr="00837161">
        <w:fldChar w:fldCharType="separate"/>
      </w:r>
      <w:r w:rsidR="00271B78" w:rsidRPr="00271B78">
        <w:t>(McGlynn, 1999)</w:t>
      </w:r>
      <w:r w:rsidRPr="00837161">
        <w:fldChar w:fldCharType="end"/>
      </w:r>
      <w:r w:rsidRPr="00837161">
        <w:t xml:space="preserve">. General surveillance requires diagnostic and investigative support services </w:t>
      </w:r>
      <w:r w:rsidRPr="00837161">
        <w:fldChar w:fldCharType="begin"/>
      </w:r>
      <w:r w:rsidR="000F35EB">
        <w:instrText xml:space="preserve"> ADDIN ZOTERO_ITEM CSL_CITATION {"citationID":"QlMfjcnz","properties":{"formattedCitation":"(Froud &amp; Bullians, 2010)","plainCitation":"(Froud &amp; Bullians, 2010)","noteIndex":0},"citationItems":[{"id":24124,"uris":["http://zotero.org/groups/2352922/items/IA3NR2DN"],"itemData":{"id":24124,"type":"article-journal","abstract":"The Ministry of Agriculture and Forestry Biosecurity New Zealand runs several surveillance programmes to detect new or emerging risk organisms in New Zealand Reporting of these organisms is through the exotic disease and pest emergency hotline Notifications received through the hotline are screened and investigated to determine if they pose a risk to New Zealands core biosecurity values (economic environmental human health and cultural) Significant numbers of notifications are received each year Data detailing the notification and investigation of suspect risk organisms in the plants and environment domains for the last 2 years are presented and compared with previously published data The trend in notifications and the resulting outcomes of investigations are discussed","container-title":"New Zealand Plant Protection","DOI":"10.30843/nzpp.2010.63.6565","ISSN":"1179-352X, 1175-9003","journalAbbreviation":"NZPP","page":"262-269","source":"DOI.org (Crossref)","title":"Investigation of biosecurity risk organisms for the plant and environment domains in New Zealand for 2008 and 2009","URL":"https://nzpps.org/_journal/index.php/nzpp/article/view/6565","volume":"63","author":[{"family":"Froud","given":"K.J."},{"family":"Bullians","given":"M.S."}],"accessed":{"date-parts":[["2020",8,26]]},"issued":{"date-parts":[["2010",8,1]]}}}],"schema":"https://github.com/citation-style-language/schema/raw/master/csl-citation.json"} </w:instrText>
      </w:r>
      <w:r w:rsidRPr="00837161">
        <w:fldChar w:fldCharType="separate"/>
      </w:r>
      <w:r w:rsidR="00271B78" w:rsidRPr="00271B78">
        <w:t>(Froud &amp; Bullians, 2010)</w:t>
      </w:r>
      <w:r w:rsidRPr="00837161">
        <w:fldChar w:fldCharType="end"/>
      </w:r>
      <w:r w:rsidRPr="00837161">
        <w:t>. New Zealand’s general surveillance system covers animal, plant</w:t>
      </w:r>
      <w:r w:rsidR="00C16EEB">
        <w:t xml:space="preserve"> and</w:t>
      </w:r>
      <w:r w:rsidRPr="00837161">
        <w:t xml:space="preserve"> environment health </w:t>
      </w:r>
      <w:r w:rsidRPr="00837161">
        <w:fldChar w:fldCharType="begin"/>
      </w:r>
      <w:r w:rsidR="000F35EB">
        <w:instrText xml:space="preserve"> ADDIN ZOTERO_ITEM CSL_CITATION {"citationID":"2pnUQLi6","properties":{"formattedCitation":"(Bleach, 2019; Tana, 2014)","plainCitation":"(Bleach, 2019; Tana, 2014)","noteIndex":0},"citationItems":[{"id":31009,"uris":["http://zotero.org/groups/2352922/items/GDRG7PYM"],"itemData":{"id":31009,"type":"article-journal","container-title":"Surveillance (Wellington)","ISSN":"1176-5305","issue":"3","page":"71-80","title":"Plant Health Surveilance and Incursion Investigation Annual report","URL":"https://www.mpi.govt.nz/dmsdocument/37564-Surveillance-Magazine-Vol-46-No-3-September-2019-includes-Annual-Report","volume":"46","author":[{"family":"Bleach","given":"C"}],"issued":{"date-parts":[["2019",9]]}},"label":"page"},{"id":22545,"uris":["http://zotero.org/groups/2352922/items/E6QRUPBU"],"itemData":{"id":22545,"type":"article-journal","container-title":"Surveillance","issue":"2","note":"Institute: Ministry for Primary Industries\nno identifier","page":"5-8","title":"The MPI animal general surveillance programme","volume":"41","author":[{"family":"Tana","given":"T"}],"issued":{"date-parts":[["2014"]]}},"label":"page"}],"schema":"https://github.com/citation-style-language/schema/raw/master/csl-citation.json"} </w:instrText>
      </w:r>
      <w:r w:rsidRPr="00837161">
        <w:fldChar w:fldCharType="separate"/>
      </w:r>
      <w:r w:rsidR="00271B78" w:rsidRPr="00271B78">
        <w:t>(Bleach, 2019; Tana, 2014)</w:t>
      </w:r>
      <w:r w:rsidRPr="00837161">
        <w:fldChar w:fldCharType="end"/>
      </w:r>
      <w:r w:rsidRPr="00837161">
        <w:t xml:space="preserve"> with a National Call Centre emergency phone service supported by experts, laboratory diagnostics</w:t>
      </w:r>
      <w:r w:rsidR="00C16EEB">
        <w:t xml:space="preserve"> and</w:t>
      </w:r>
      <w:r w:rsidRPr="00837161">
        <w:t xml:space="preserve"> investigators. The results are published online quarterly </w:t>
      </w:r>
      <w:r w:rsidRPr="00837161">
        <w:fldChar w:fldCharType="begin"/>
      </w:r>
      <w:r w:rsidR="000F35EB">
        <w:instrText xml:space="preserve"> ADDIN ZOTERO_ITEM CSL_CITATION {"citationID":"3uipHg57","properties":{"formattedCitation":"(Ministry for Primary Industries, New Zealand, 2020)","plainCitation":"(Ministry for Primary Industries, New Zealand, 2020)","noteIndex":0},"citationItems":[{"id":29625,"uris":["http://zotero.org/groups/2352922/items/EAGEY63B"],"itemData":{"id":29625,"type":"webpage","abstract":"&amp;lt;p&amp;gt;Surveillance is a magazine that reports on MPI&amp;#039;s biosecurity surveillance, and the health status of New Zealand&amp;#039;s animal and plant populations (in terrestrial and aquatic environments).&amp;lt;/p&amp;gt;","language":"en-NZ","note":"Last Modified: 2020-11-16\npublisher: Ministry for Primary Industries","title":"'Surveillance' biosecurity magazine | MPI - Ministry for Primary Industries. A New Zealand Government Department.","URL":"https://www.mpi.govt.nz/biosecurity/about-biosecurity-in-new-zealand/surveillance-biosecurity-magazine/","author":[{"literal":"Ministry for Primary Industries, New Zealand"}],"accessed":{"date-parts":[["2021",8,16]]},"issued":{"date-parts":[["2020",11,16]]}}}],"schema":"https://github.com/citation-style-language/schema/raw/master/csl-citation.json"} </w:instrText>
      </w:r>
      <w:r w:rsidRPr="00837161">
        <w:fldChar w:fldCharType="separate"/>
      </w:r>
      <w:r w:rsidR="00271B78" w:rsidRPr="00271B78">
        <w:t>(Ministry for Primary Industries, New Zealand, 2020)</w:t>
      </w:r>
      <w:r w:rsidRPr="00837161">
        <w:fldChar w:fldCharType="end"/>
      </w:r>
      <w:r w:rsidRPr="00837161">
        <w:t xml:space="preserve">. </w:t>
      </w:r>
    </w:p>
    <w:p w14:paraId="77F4EDBE" w14:textId="0C32442B" w:rsidR="00066A7E" w:rsidRPr="00837161" w:rsidRDefault="00066A7E" w:rsidP="00C11DFA">
      <w:pPr>
        <w:spacing w:before="240" w:after="120" w:line="240" w:lineRule="auto"/>
      </w:pPr>
      <w:r w:rsidRPr="00837161">
        <w:t>A mobile phone</w:t>
      </w:r>
      <w:r w:rsidR="3BFE612C" w:rsidRPr="00837161">
        <w:t>-</w:t>
      </w:r>
      <w:r w:rsidRPr="00837161">
        <w:t xml:space="preserve">based identification tool designed jointly by the New Zealand Government and the </w:t>
      </w:r>
      <w:r w:rsidR="00867B00">
        <w:t xml:space="preserve">Māori </w:t>
      </w:r>
      <w:r w:rsidRPr="00837161">
        <w:t xml:space="preserve">community called Find-A-Pest has improved public passive surveillance reporting levels </w:t>
      </w:r>
      <w:r w:rsidRPr="00837161">
        <w:fldChar w:fldCharType="begin"/>
      </w:r>
      <w:r w:rsidR="000F35EB">
        <w:instrText xml:space="preserve"> ADDIN ZOTERO_ITEM CSL_CITATION {"citationID":"Pd83a2nV","properties":{"formattedCitation":"(Pawson et al., 2020)","plainCitation":"(Pawson et al., 2020)","noteIndex":0},"citationItems":[{"id":11214,"uris":["http://zotero.org/groups/2352922/items/RNW3N588"],"itemData":{"id":11214,"type":"article-journal","abstract":"Expanding general surveillance can improve invasive species detection to support eradication. Traditionally, citizens report observations to government agencies and mobile-phone-based tools provide incremental submission and processing efficiencies. However, citizen-reported data have high false positive rates and diagnostics laboratories are not resourced to process large observation volumes. We demonstrate ‘Find-A-Pest’ a partnership model whereby citizens, including Māori groups, and industry representatives both contribute observations and undertake identifications. We combine a mobile-phone-based app, database, and content management system with data linked to iNaturalist NZ. We present data from a 3.5-month case study assessing the effectiveness at delivering improved general surveillance outcomes. Installed by 497 users, there were 471 observations of 176 taxa submitted by 74 individuals. In combination, citizen and industry identifiers processed 99% of observations with only 1% (5 submissions) forwarded to Biosecurity New Zealand. Citizens’ identifications were comprehensive and rapid: 79.4% of submitted observations were identified by citizens with 57.3% and 95.4% of these processed within an hour or day, respectively. Citizen identifications were correct 95.5% of the time. Many observations (56.1%) were of high-priority species profiled in app fact sheets. Find-A-Pest demonstrates that general surveillance partnerships can effectively distribute identification effort, thereby reducing false positive loads within government diagnostics laboratories. Find-A-pest was stable, robust, and endorsed as fit for purpose by users. Achieving biosecurity outcomes, such as early detection to facilitate eradication, will require a much larger-scale participation in Find-A-Pest. We suggest applying behaviour change theory to expand participation across diverse groups in future.","container-title":"Journal of Pest Science","DOI":"10.1007/s10340-020-01259-x","ISSN":"1612-4766","journalAbbreviation":"J Pest Sci","language":"en","page":"1155–1166","source":"Springer Link","title":"Expanding general surveillance of invasive species by integrating citizens as both observers and identifiers","URL":"https://doi.org/10.1007/s10340-020-01259-x","volume":"93","author":[{"family":"Pawson","given":"S. M."},{"family":"Sullivan","given":"J. J."},{"family":"Grant","given":"A."}],"accessed":{"date-parts":[["2020",7,31]]},"issued":{"date-parts":[["2020",7,8]]}}}],"schema":"https://github.com/citation-style-language/schema/raw/master/csl-citation.json"} </w:instrText>
      </w:r>
      <w:r w:rsidRPr="00837161">
        <w:fldChar w:fldCharType="separate"/>
      </w:r>
      <w:r w:rsidR="00271B78" w:rsidRPr="00271B78">
        <w:t>(Pawson et al., 2020)</w:t>
      </w:r>
      <w:r w:rsidRPr="00837161">
        <w:fldChar w:fldCharType="end"/>
      </w:r>
      <w:r w:rsidRPr="00837161">
        <w:t xml:space="preserve"> such that 95.5</w:t>
      </w:r>
      <w:r w:rsidR="006215F0" w:rsidRPr="00837161">
        <w:t xml:space="preserve"> per cent</w:t>
      </w:r>
      <w:r w:rsidRPr="00837161">
        <w:t xml:space="preserve"> public identifications were correct with a 56.1</w:t>
      </w:r>
      <w:r w:rsidR="006215F0" w:rsidRPr="00837161">
        <w:t xml:space="preserve"> per cent</w:t>
      </w:r>
      <w:r w:rsidRPr="00837161">
        <w:t xml:space="preserve"> </w:t>
      </w:r>
      <w:r w:rsidR="2B2A841A" w:rsidRPr="00837161">
        <w:t>succes</w:t>
      </w:r>
      <w:r w:rsidR="7D2C3C9B" w:rsidRPr="00837161">
        <w:t>s</w:t>
      </w:r>
      <w:r w:rsidR="2B2A841A" w:rsidRPr="00837161">
        <w:t>ful</w:t>
      </w:r>
      <w:r w:rsidRPr="00837161">
        <w:t xml:space="preserve"> hit record for high priority species profiled on the factsheets embedded in the Find-A-Pest application. General surveillance has also been successful in New Zealand for a range of marine species by different communities: the ascidian </w:t>
      </w:r>
      <w:r w:rsidRPr="00837161">
        <w:rPr>
          <w:i/>
          <w:iCs/>
        </w:rPr>
        <w:t>Eudistoma elongatum</w:t>
      </w:r>
      <w:r w:rsidRPr="00837161">
        <w:t xml:space="preserve"> reported by marine aquaculture </w:t>
      </w:r>
      <w:r w:rsidRPr="00837161">
        <w:fldChar w:fldCharType="begin"/>
      </w:r>
      <w:r w:rsidR="000F35EB">
        <w:instrText xml:space="preserve"> ADDIN ZOTERO_ITEM CSL_CITATION {"citationID":"zo95R0AN","properties":{"formattedCitation":"(P. J. Smith et al., 2007)","plainCitation":"(P. J. Smith et al., 2007)","dontUpdate":true,"noteIndex":0},"citationItems":[{"id":11206,"uris":["http://zotero.org/groups/2352922/items/CT362IJS"],"itemData":{"id":11206,"type":"article-journal","abstract":"A colonial ascidian was first reported by marine farmers in Houhora Harbour, Northland, New Zealand in early 2005 and subsequently found on oyster racks in Parengarenga Harbour and the Bay of Islands. The Northland ascidian was identified with a combination of morphological characters and DNA cytochrome c oxidase I (COI) sequence data, as Eudistoma elongatum, a species native to Australia, where it is found from northern New South Wales to Northern Queensland, and distinguished from Eudistoma circumvallatum, the only reported species in this genus from New Zealand. Ascidian larvae are weak dispersers and long distance dispersal of E. elongatum is likely to be enhanced by vectors such as oyster barges and/or movement of cultured oysters. In its native range, E. elongatum is restricted to areas with a minimum winter sea temperature of 16°C. Assuming similar biological limitations apply in New Zealand, the spread of E. elongatum might be restricted to northern New Zealand (north of latitude 37°S).","container-title":"New Zealand Journal of Marine and Freshwater Research","DOI":"10.1080/00288330709509924","ISSN":"0028-8330","issue":"4","page":"347-355","source":"Taylor and Francis+NEJM","title":"First record of the Australian ascidian &lt;i&gt;Eudistoma elongatum&lt;/i&gt; in northern New Zealand","URL":"https://doi.org/10.1080/00288330709509924","volume":"41","author":[{"family":"Smith","given":"Peter J."},{"family":"Page","given":"Mike"},{"family":"Handley","given":"Sean J."},{"family":"McVeagh","given":"S. Margaret"},{"family":"Ekins","given":"Merrick"}],"accessed":{"date-parts":[["2020",8,6]]},"issued":{"date-parts":[["2007",12,1]]}}}],"schema":"https://github.com/citation-style-language/schema/raw/master/csl-citation.json"} </w:instrText>
      </w:r>
      <w:r w:rsidRPr="00837161">
        <w:fldChar w:fldCharType="separate"/>
      </w:r>
      <w:r w:rsidRPr="00837161">
        <w:t>(Smith et al., 2007)</w:t>
      </w:r>
      <w:r w:rsidRPr="00837161">
        <w:fldChar w:fldCharType="end"/>
      </w:r>
      <w:r w:rsidRPr="00837161">
        <w:t xml:space="preserve">, the </w:t>
      </w:r>
      <w:r w:rsidRPr="00837161">
        <w:rPr>
          <w:i/>
          <w:iCs/>
        </w:rPr>
        <w:t>Charybdis japonica</w:t>
      </w:r>
      <w:r w:rsidR="007F77EB" w:rsidRPr="00837161">
        <w:rPr>
          <w:iCs/>
        </w:rPr>
        <w:t xml:space="preserve"> </w:t>
      </w:r>
      <w:r w:rsidR="009F1FD8" w:rsidRPr="00837161">
        <w:t>(</w:t>
      </w:r>
      <w:r w:rsidR="007F77EB" w:rsidRPr="00837161">
        <w:t>lady crab</w:t>
      </w:r>
      <w:r w:rsidR="009F1FD8" w:rsidRPr="00837161">
        <w:t>)</w:t>
      </w:r>
      <w:r w:rsidRPr="00837161">
        <w:t xml:space="preserve"> by commercial fishers </w:t>
      </w:r>
      <w:r w:rsidRPr="00837161">
        <w:fldChar w:fldCharType="begin"/>
      </w:r>
      <w:r w:rsidR="000F35EB">
        <w:instrText xml:space="preserve"> ADDIN ZOTERO_ITEM CSL_CITATION {"citationID":"ytk2z63d","properties":{"formattedCitation":"(P. J. Smith et al., 2003)","plainCitation":"(P. J. Smith et al., 2003)","dontUpdate":true,"noteIndex":0},"citationItems":[{"id":24348,"uris":["http://zotero.org/groups/2352922/items/BG45968M"],"itemData":{"id":24348,"type":"article-journal","abstract":"Mitochondrial DNA sequences were used to identify an invasive swimming crab found in Waitemata Harbour, New Zealand. A 457 base sequence of the cytochrome oxidase 1 gene was compared in New Zealand specimens and nine species of Charybdis from Australia and Asia. The New Zealand specimens aligned with C. japonica. The diagnostic morphological characters of C. japonica were also checked in 54 specimens of the species collected in Waitemata Harbour, and concur with the mtDNA result. This is the first record of C. japonica establishing populations outside its native range. C. japonica, along with C. hellerii and the Lessepsian migrant C. longicollis, are the only known invasive species of Charybdis. C. japonica and C. hellerii are two of the few Charybdis species that inhabit the intertidal zone, and it is likely that the intertidal characteristics of these species contribute to their success as invasive species.","container-title":"New Zealand Journal of Marine and Freshwater Research","DOI":"10.1080/00288330.2003.9517205","ISSN":"0028-8330","issue":"4","page":"753-762","source":"Taylor and Francis+NEJM","title":"DNA and morphological identification of an invasive swimming crab, &lt;i&gt;Charybdis japonica&lt;/i&gt;, in New Zealand waters","URL":"https://doi.org/10.1080/00288330.2003.9517205","volume":"37","author":[{"family":"Smith","given":"Peter J."},{"family":"Webber","given":"W. R."},{"family":"McVeagh","given":"S. M."},{"family":"Inglis","given":"G. J."},{"family":"Gust","given":"N."}],"accessed":{"date-parts":[["2020",8,6]]},"issued":{"date-parts":[["2003",12,1]]}}}],"schema":"https://github.com/citation-style-language/schema/raw/master/csl-citation.json"} </w:instrText>
      </w:r>
      <w:r w:rsidRPr="00837161">
        <w:fldChar w:fldCharType="separate"/>
      </w:r>
      <w:r w:rsidRPr="00837161">
        <w:t>(Smith et al., 2003)</w:t>
      </w:r>
      <w:r w:rsidRPr="00837161">
        <w:fldChar w:fldCharType="end"/>
      </w:r>
      <w:r w:rsidR="00C16EEB">
        <w:t xml:space="preserve"> and</w:t>
      </w:r>
      <w:r w:rsidRPr="00837161">
        <w:t xml:space="preserve"> Ostreid Herpesvirus Type 1 (OsHV-1) from noticed mortalities in juvenile oysters by the </w:t>
      </w:r>
      <w:r w:rsidR="2B2A841A" w:rsidRPr="00837161">
        <w:t>indust</w:t>
      </w:r>
      <w:r w:rsidR="53F44E6F" w:rsidRPr="00837161">
        <w:t>r</w:t>
      </w:r>
      <w:r w:rsidR="2B2A841A" w:rsidRPr="00837161">
        <w:t>y</w:t>
      </w:r>
      <w:r w:rsidRPr="00837161">
        <w:t xml:space="preserve"> </w:t>
      </w:r>
      <w:r w:rsidRPr="00837161">
        <w:fldChar w:fldCharType="begin"/>
      </w:r>
      <w:r w:rsidR="000F35EB">
        <w:instrText xml:space="preserve"> ADDIN ZOTERO_ITEM CSL_CITATION {"citationID":"t4eBVDBg","properties":{"formattedCitation":"(Bingham et al., 2013)","plainCitation":"(Bingham et al., 2013)","noteIndex":0},"citationItems":[{"id":22733,"uris":["http://zotero.org/groups/2352922/items/27GXK23W"],"itemData":{"id":22733,"type":"article-journal","container-title":"Surveillance","issue":"2","page":"20-24","title":"Investigation into the first diagnosis of Ostreid Herpesvirus Type 1 in Pacific oysters","URL":"https://www.academia.edu/75251990/Investigation_Into_the_First_Diagnosis_of_Ostreid_Herpesvirus_Type_1_in_Pacific_Oysters","volume":"40","author":[{"family":"Bingham","given":"P"},{"family":"Brangenberg","given":"N"},{"family":"Williams","given":"R"},{"family":"Van Andel","given":"M"}],"issued":{"date-parts":[["2013"]]}}}],"schema":"https://github.com/citation-style-language/schema/raw/master/csl-citation.json"} </w:instrText>
      </w:r>
      <w:r w:rsidRPr="00837161">
        <w:fldChar w:fldCharType="separate"/>
      </w:r>
      <w:r w:rsidR="00271B78" w:rsidRPr="00271B78">
        <w:t>(Bingham et al., 2013)</w:t>
      </w:r>
      <w:r w:rsidRPr="00837161">
        <w:fldChar w:fldCharType="end"/>
      </w:r>
      <w:r w:rsidRPr="00837161">
        <w:t>. Other examples include a surveillance program</w:t>
      </w:r>
      <w:r w:rsidR="00CC130F" w:rsidRPr="00837161">
        <w:t>me</w:t>
      </w:r>
      <w:r w:rsidRPr="00837161">
        <w:t xml:space="preserve"> developed to detect invasive alien mosquitoes </w:t>
      </w:r>
      <w:r w:rsidR="00C84898" w:rsidRPr="00837161">
        <w:fldChar w:fldCharType="begin"/>
      </w:r>
      <w:r w:rsidR="000F35EB">
        <w:instrText xml:space="preserve"> ADDIN ZOTERO_ITEM CSL_CITATION {"citationID":"uuLzqeYe","properties":{"formattedCitation":"(Mosquito Alert, 2021)","plainCitation":"(Mosquito Alert, 2021)","noteIndex":0},"citationItems":[{"id":53324,"uris":["http://zotero.org/groups/2352922/items/TBHAHE46","http://zotero.org/groups/2352922/items/QVSBSN5G"],"itemData":{"id":53324,"type":"webpage","container-title":"Mosquito Alert","title":"Citizen science to investigate and control disease-carrying mosquitoes","URL":"http://www.mosquitoalert.com/en/","author":[{"literal":"Mosquito Alert"}],"accessed":{"date-parts":[["2022",9,21]]},"issued":{"date-parts":[["2021"]]}},"label":"page"}],"schema":"https://github.com/citation-style-language/schema/raw/master/csl-citation.json"} </w:instrText>
      </w:r>
      <w:r w:rsidR="00C84898" w:rsidRPr="00837161">
        <w:fldChar w:fldCharType="separate"/>
      </w:r>
      <w:r w:rsidR="00271B78" w:rsidRPr="00271B78">
        <w:t>(Mosquito Alert, 2021)</w:t>
      </w:r>
      <w:r w:rsidR="00C84898" w:rsidRPr="00837161">
        <w:fldChar w:fldCharType="end"/>
      </w:r>
      <w:r w:rsidRPr="00837161">
        <w:t xml:space="preserve"> and FAMEWS, a mobile app used for monitoring and early detection of fall armyworm </w:t>
      </w:r>
      <w:r w:rsidR="00C84898" w:rsidRPr="00837161">
        <w:fldChar w:fldCharType="begin"/>
      </w:r>
      <w:r w:rsidR="000F35EB">
        <w:instrText xml:space="preserve"> ADDIN ZOTERO_ITEM CSL_CITATION {"citationID":"BziVWAbp","properties":{"formattedCitation":"(FAO, 2021)","plainCitation":"(FAO, 2021)","noteIndex":0},"citationItems":[{"id":54338,"uris":["http://zotero.org/groups/2352922/items/PKSPDCK3"],"itemData":{"id":54338,"type":"webpage","title":"Food and Agriculture Organization of the United Nations","URL":"https://www.fao.org/food-chain-crisis/resources/success-stories/detail/en/c/1127653/","author":[{"literal":"FAO"}],"accessed":{"date-parts":[["2023",2,2]]},"issued":{"date-parts":[["2021"]]}},"label":"page"}],"schema":"https://github.com/citation-style-language/schema/raw/master/csl-citation.json"} </w:instrText>
      </w:r>
      <w:r w:rsidR="00C84898" w:rsidRPr="00837161">
        <w:fldChar w:fldCharType="separate"/>
      </w:r>
      <w:r w:rsidR="00271B78" w:rsidRPr="00271B78">
        <w:t>(FAO, 2021)</w:t>
      </w:r>
      <w:r w:rsidR="00C84898" w:rsidRPr="00837161">
        <w:fldChar w:fldCharType="end"/>
      </w:r>
    </w:p>
    <w:p w14:paraId="0A5190A8" w14:textId="7F6DE23C" w:rsidR="00066A7E" w:rsidRPr="00837161" w:rsidRDefault="00066A7E" w:rsidP="00C11DFA">
      <w:pPr>
        <w:spacing w:before="240" w:after="120" w:line="240" w:lineRule="auto"/>
      </w:pPr>
      <w:bookmarkStart w:id="498" w:name="_Hlk113006691"/>
      <w:r w:rsidRPr="00837161">
        <w:t xml:space="preserve">Environmental DNA metabarcoding </w:t>
      </w:r>
      <w:r w:rsidR="0096461A" w:rsidRPr="00837161">
        <w:t>(</w:t>
      </w:r>
      <w:r w:rsidR="0096461A" w:rsidRPr="001C4A3F">
        <w:rPr>
          <w:b/>
          <w:iCs/>
        </w:rPr>
        <w:t>section 5.4.</w:t>
      </w:r>
      <w:r w:rsidR="006171A3" w:rsidRPr="001C4A3F">
        <w:rPr>
          <w:b/>
          <w:iCs/>
        </w:rPr>
        <w:t>2</w:t>
      </w:r>
      <w:r w:rsidR="0096461A" w:rsidRPr="001C4A3F">
        <w:rPr>
          <w:b/>
          <w:iCs/>
        </w:rPr>
        <w:t>.1d</w:t>
      </w:r>
      <w:r w:rsidR="0096461A" w:rsidRPr="00837161">
        <w:t xml:space="preserve">) </w:t>
      </w:r>
      <w:r w:rsidRPr="00837161">
        <w:t xml:space="preserve">is being used in marine systems in some countries </w:t>
      </w:r>
      <w:r w:rsidR="00833FD5">
        <w:t>but</w:t>
      </w:r>
      <w:r w:rsidR="00833FD5" w:rsidRPr="00837161">
        <w:t xml:space="preserve"> </w:t>
      </w:r>
      <w:r w:rsidRPr="00837161">
        <w:t>it is an expensive tool</w:t>
      </w:r>
      <w:r w:rsidR="00B75C12">
        <w:t>,</w:t>
      </w:r>
      <w:r w:rsidRPr="00837161">
        <w:t xml:space="preserve"> and sequence databases/libraries are being developed for many species at a slow rate. </w:t>
      </w:r>
      <w:r w:rsidRPr="00837161">
        <w:fldChar w:fldCharType="begin"/>
      </w:r>
      <w:r w:rsidR="000F35EB">
        <w:instrText xml:space="preserve"> ADDIN ZOTERO_ITEM CSL_CITATION {"citationID":"MCZLUNor","properties":{"formattedCitation":"(Zaiko et al., 2015)","plainCitation":"(Zaiko et al., 2015)","dontUpdate":true,"noteIndex":0},"citationItems":[{"id":11539,"uris":["http://zotero.org/groups/2352922/items/MVGZII4H"],"itemData":{"id":11539,"type":"article-journal","abstract":"In this study, high-throughput sequencing (HTS) metabarcoding was applied for the surveillance of plankton communities within the southeastern (SE) Baltic Sea coastal zone. These results were compared with those from routine monitoring survey and morphological analyses. Four of ﬁve nonindigenous species found in the samples were identiﬁed exclusively by metabarcoding. All of them are considered as invasive in the Baltic Sea with reported impact on the ecosystem and biodiversity. This study indicates that, despite some current limitations, HTS metabarcoding can provide information on the presence of exotic species and advantageously complement conventional approaches, only requiring the same monitoring effort as before. Even in the currently immature status of HTS, this combination of HTS metabarcoding and observational records is recommended in the early detection of marine pests and delivery of the environmental status metrics of nonindigenous species.","container-title":"Marine Pollution Bulletin","DOI":"10.1016/j.marpolbul.2015.09.030","ISSN":"0025326X","issue":"1","journalAbbreviation":"Marine Pollution Bulletin","language":"en","page":"53-59","source":"DOI.org (Crossref)","title":"Metabarcoding approach for nonindigenous species surveillance in marine coastal waters","URL":"https://linkinghub.elsevier.com/retrieve/pii/S0025326X1530045X","volume":"100","author":[{"family":"Zaiko","given":"Anastasija"},{"family":"Samuiloviene","given":"Aurelija"},{"family":"Ardura","given":"Alba"},{"family":"Garcia-Vazquez","given":"Eva"}],"accessed":{"date-parts":[["2020",8,5]]},"issued":{"date-parts":[["2015",11]]}}}],"schema":"https://github.com/citation-style-language/schema/raw/master/csl-citation.json"} </w:instrText>
      </w:r>
      <w:r w:rsidRPr="00837161">
        <w:fldChar w:fldCharType="separate"/>
      </w:r>
      <w:r w:rsidRPr="00837161">
        <w:t xml:space="preserve">Zaiko et al </w:t>
      </w:r>
      <w:r w:rsidRPr="00837161">
        <w:rPr>
          <w:rFonts w:eastAsia="游明朝"/>
          <w:lang w:eastAsia="ja-JP"/>
        </w:rPr>
        <w:t>(</w:t>
      </w:r>
      <w:r w:rsidRPr="00837161">
        <w:t>2015)</w:t>
      </w:r>
      <w:r w:rsidRPr="00837161">
        <w:fldChar w:fldCharType="end"/>
      </w:r>
      <w:r w:rsidRPr="00837161">
        <w:t xml:space="preserve"> found it was five times more effective than classical morphological analyses in detecting invasive alien species in plankton samples in the Baltic Sea, alth</w:t>
      </w:r>
      <w:r w:rsidR="0056725D" w:rsidRPr="00837161">
        <w:t xml:space="preserve">ough accuracy can be a concern </w:t>
      </w:r>
      <w:r w:rsidR="0056725D" w:rsidRPr="00837161">
        <w:fldChar w:fldCharType="begin"/>
      </w:r>
      <w:r w:rsidR="000F35EB">
        <w:instrText xml:space="preserve"> ADDIN ZOTERO_ITEM CSL_CITATION {"citationID":"4jTwdhdQ","properties":{"formattedCitation":"(Ricciardi et al., 2021)","plainCitation":"(Ricciardi et al., 2021)","dontUpdate":true,"noteIndex":0},"citationItems":[{"id":53334,"uris":["http://zotero.org/groups/2352922/items/9NZCRCT8","http://zotero.org/groups/2352922/items/U5KMFVF6"],"itemData":{"id":53334,"type":"article-journal","container-title":"Environmental Reviews","DOI":"10.1139/er-2020-0088","ISSN":"1181-8700","issue":"2","journalAbbreviation":"Environ. Rev.","note":"publisher: NRC Research Press","page":"119-141","source":"cdnsciencepub.com (Atypon)","title":"Four priority areas to advance invasion science in the face of rapid environmental change","URL":"https://cdnsciencepub.com/doi/full/10.1139/er-2020-0088","volume":"29","author":[{"family":"Ricciardi","given":"Anthony"},{"family":"Iacarella","given":"Josephine C."},{"family":"Aldridge","given":"David C."},{"family":"Blackburn","given":"Tim M."},{"family":"Carlton","given":"James T."},{"family":"Catford","given":"Jane A."},{"family":"Dick","given":"Jaimie T.A."},{"family":"Hulme","given":"Philip E."},{"family":"Jeschke","given":"Jonathan M."},{"family":"Liebhold","given":"Andrew M."},{"family":"Lockwood","given":"Julie L."},{"family":"MacIsaac","given":"Hugh J."},{"family":"Meyerson","given":"Laura A."},{"family":"Pyšek","given":"Petr"},{"family":"Richardson","given":"David M."},{"family":"Ruiz","given":"Gregory M."},{"family":"Simberloff","given":"Daniel"},{"family":"Vilà","given":"Montserrat"},{"family":"Wardle","given":"David A."}],"accessed":{"date-parts":[["2022",9,21]]},"issued":{"date-parts":[["2020"]]}}}],"schema":"https://github.com/citation-style-language/schema/raw/master/csl-citation.json"} </w:instrText>
      </w:r>
      <w:r w:rsidR="0056725D" w:rsidRPr="00837161">
        <w:fldChar w:fldCharType="separate"/>
      </w:r>
      <w:r w:rsidR="0056725D" w:rsidRPr="00837161">
        <w:t>(Ricciardi et al., 2021</w:t>
      </w:r>
      <w:r w:rsidR="0056725D" w:rsidRPr="00837161">
        <w:fldChar w:fldCharType="end"/>
      </w:r>
      <w:bookmarkEnd w:id="498"/>
      <w:r w:rsidR="0054613F" w:rsidRPr="00837161">
        <w:t xml:space="preserve">; </w:t>
      </w:r>
      <w:r w:rsidR="001C4A3F">
        <w:rPr>
          <w:b/>
          <w:iCs/>
        </w:rPr>
        <w:t>C</w:t>
      </w:r>
      <w:r w:rsidR="0054613F" w:rsidRPr="001C4A3F">
        <w:rPr>
          <w:b/>
          <w:iCs/>
        </w:rPr>
        <w:t>hapter 6</w:t>
      </w:r>
      <w:r w:rsidR="007F77EB" w:rsidRPr="001C4A3F">
        <w:rPr>
          <w:iCs/>
        </w:rPr>
        <w:t>,</w:t>
      </w:r>
      <w:r w:rsidR="0054613F" w:rsidRPr="001C4A3F">
        <w:rPr>
          <w:b/>
          <w:iCs/>
        </w:rPr>
        <w:t xml:space="preserve"> Box 6.19</w:t>
      </w:r>
      <w:r w:rsidRPr="00837161">
        <w:t>).</w:t>
      </w:r>
    </w:p>
    <w:p w14:paraId="76272F9B" w14:textId="375627E3" w:rsidR="00066A7E" w:rsidRPr="00837161" w:rsidRDefault="00066A7E" w:rsidP="00C11DFA">
      <w:pPr>
        <w:spacing w:before="240" w:after="120" w:line="240" w:lineRule="auto"/>
        <w:rPr>
          <w:strike/>
        </w:rPr>
      </w:pPr>
      <w:bookmarkStart w:id="499" w:name="_Hlk113006781"/>
      <w:r w:rsidRPr="00837161">
        <w:rPr>
          <w:lang w:eastAsia="en-AU"/>
        </w:rPr>
        <w:t xml:space="preserve">Activities and knowledge systems of some </w:t>
      </w:r>
      <w:r w:rsidR="00875C95" w:rsidRPr="00837161">
        <w:rPr>
          <w:lang w:eastAsia="en-AU"/>
        </w:rPr>
        <w:t>Indigenous Peoples</w:t>
      </w:r>
      <w:r w:rsidRPr="00837161">
        <w:rPr>
          <w:lang w:eastAsia="en-AU"/>
        </w:rPr>
        <w:t xml:space="preserve"> and local communities’ effectively support surveillance </w:t>
      </w:r>
      <w:r w:rsidR="0056725D" w:rsidRPr="00837161">
        <w:rPr>
          <w:lang w:eastAsia="en-AU"/>
        </w:rPr>
        <w:fldChar w:fldCharType="begin"/>
      </w:r>
      <w:r w:rsidR="000F35EB">
        <w:rPr>
          <w:lang w:eastAsia="en-AU"/>
        </w:rPr>
        <w:instrText xml:space="preserve"> ADDIN ZOTERO_ITEM CSL_CITATION {"citationID":"msrSNNcc","properties":{"formattedCitation":"(Ingold, 2000)","plainCitation":"(Ingold, 2000)","noteIndex":0},"citationItems":[{"id":53335,"uris":["http://zotero.org/groups/2352922/items/ZXNT6I5E"],"itemData":{"id":53335,"type":"chapter","container-title":"The perception of the environment. Essays on livelihood, dwelling and skill","ISBN":"0-203-46602-0","publisher":"Taylor &amp; Francis e-Library, London","title":"Hunting and gathering as ways of perceiving the environment","URL":"https://leiaarqueologia.files.wordpress.com/2017/08/the-perception-of-the-environment-tim-ingold.pdf","author":[{"family":"Ingold","given":"Tim"}],"issued":{"date-parts":[["2000"]]}}}],"schema":"https://github.com/citation-style-language/schema/raw/master/csl-citation.json"} </w:instrText>
      </w:r>
      <w:r w:rsidR="0056725D" w:rsidRPr="00837161">
        <w:rPr>
          <w:lang w:eastAsia="en-AU"/>
        </w:rPr>
        <w:fldChar w:fldCharType="separate"/>
      </w:r>
      <w:r w:rsidR="00271B78" w:rsidRPr="00271B78">
        <w:t>(Ingold, 2000)</w:t>
      </w:r>
      <w:r w:rsidR="0056725D" w:rsidRPr="00837161">
        <w:rPr>
          <w:lang w:eastAsia="en-AU"/>
        </w:rPr>
        <w:fldChar w:fldCharType="end"/>
      </w:r>
      <w:r w:rsidRPr="00837161">
        <w:rPr>
          <w:lang w:eastAsia="en-AU"/>
        </w:rPr>
        <w:t>.</w:t>
      </w:r>
      <w:bookmarkEnd w:id="499"/>
      <w:r w:rsidRPr="00837161">
        <w:rPr>
          <w:lang w:eastAsia="en-AU"/>
        </w:rPr>
        <w:t xml:space="preserve"> The Mayan lobster diver-fishers were the first to detect </w:t>
      </w:r>
      <w:r w:rsidR="007F77EB" w:rsidRPr="00837161">
        <w:rPr>
          <w:i/>
          <w:iCs/>
          <w:lang w:eastAsia="en-AU"/>
        </w:rPr>
        <w:t>Pterois</w:t>
      </w:r>
      <w:r w:rsidR="007F77EB" w:rsidRPr="00837161">
        <w:rPr>
          <w:lang w:eastAsia="en-AU"/>
        </w:rPr>
        <w:t xml:space="preserve"> spp.</w:t>
      </w:r>
      <w:r w:rsidRPr="00837161">
        <w:rPr>
          <w:lang w:eastAsia="en-AU"/>
        </w:rPr>
        <w:t xml:space="preserve"> </w:t>
      </w:r>
      <w:r w:rsidR="007F77EB" w:rsidRPr="00837161">
        <w:rPr>
          <w:lang w:eastAsia="en-AU"/>
        </w:rPr>
        <w:t>(</w:t>
      </w:r>
      <w:r w:rsidRPr="00837161">
        <w:rPr>
          <w:lang w:eastAsia="en-AU"/>
        </w:rPr>
        <w:t>lionfish</w:t>
      </w:r>
      <w:r w:rsidR="00A23AA5">
        <w:rPr>
          <w:lang w:eastAsia="en-AU"/>
        </w:rPr>
        <w:t>es</w:t>
      </w:r>
      <w:r w:rsidRPr="00837161">
        <w:rPr>
          <w:lang w:eastAsia="en-AU"/>
        </w:rPr>
        <w:t>) in the Parque Nacional Arrecife Alacranes (southern Gulf of Mexico</w:t>
      </w:r>
      <w:r w:rsidR="007F77EB" w:rsidRPr="00837161">
        <w:rPr>
          <w:lang w:eastAsia="en-AU"/>
        </w:rPr>
        <w:t>;</w:t>
      </w:r>
      <w:r w:rsidRPr="00837161">
        <w:rPr>
          <w:lang w:eastAsia="en-AU"/>
        </w:rPr>
        <w:t xml:space="preserve"> </w:t>
      </w:r>
      <w:r w:rsidRPr="00837161">
        <w:fldChar w:fldCharType="begin"/>
      </w:r>
      <w:r w:rsidR="000F35EB">
        <w:instrText xml:space="preserve"> ADDIN ZOTERO_ITEM CSL_CITATION {"citationID":"oNBV7hL5","properties":{"formattedCitation":"(L\\uc0\\u243{}pez-G\\uc0\\u243{}mez et al., 2014)","plainCitation":"(López-Gómez et al., 2014)","dontUpdate":true,"noteIndex":0},"citationItems":[{"id":31705,"uris":["http://zotero.org/groups/2352922/items/LQNRS7QE"],"itemData":{"id":31705,"type":"article-journal","container-title":"Biological Invasions","DOI":"10.1007/s10530-013-0582-0","ISSN":"1387-3547, 1573-1464","issue":"7","journalAbbreviation":"Biol Invasions","language":"en","page":"1351-1357","source":"DOI.org (Crossref)","title":"Mayan diver-fishers as citizen scientists: detection and monitoring of the invasive red lionfish in the Parque Nacional Arrecife Alacranes, southern Gulf of Mexico","title-short":"Mayan diver-fishers as citizen scientists","URL":"http://link.springer.com/10.1007/s10530-013-0582-0","volume":"16","author":[{"family":"López-Gómez","given":"María José"},{"family":"Aguilar-Perera","given":"Alfonso"},{"family":"Perera-Chan","given":"Leidy"}],"accessed":{"date-parts":[["2021",11,11]]},"issued":{"date-parts":[["2014",7]]}}}],"schema":"https://github.com/citation-style-language/schema/raw/master/csl-citation.json"} </w:instrText>
      </w:r>
      <w:r w:rsidRPr="00837161">
        <w:fldChar w:fldCharType="separate"/>
      </w:r>
      <w:r w:rsidRPr="00837161">
        <w:t>López-Gómez et al., 2014)</w:t>
      </w:r>
      <w:r w:rsidRPr="00837161">
        <w:fldChar w:fldCharType="end"/>
      </w:r>
      <w:r w:rsidRPr="00837161">
        <w:rPr>
          <w:lang w:eastAsia="en-AU"/>
        </w:rPr>
        <w:t xml:space="preserve">. </w:t>
      </w:r>
      <w:r w:rsidRPr="00837161">
        <w:rPr>
          <w:rFonts w:eastAsia="Times New Roman"/>
          <w:lang w:eastAsia="en-AU"/>
        </w:rPr>
        <w:t xml:space="preserve">Some </w:t>
      </w:r>
      <w:r w:rsidR="00875C95" w:rsidRPr="00837161">
        <w:rPr>
          <w:rFonts w:eastAsia="Times New Roman"/>
          <w:lang w:eastAsia="en-AU"/>
        </w:rPr>
        <w:t>Indigenous Peoples</w:t>
      </w:r>
      <w:r w:rsidRPr="00837161">
        <w:rPr>
          <w:rFonts w:eastAsia="Times New Roman"/>
          <w:lang w:eastAsia="en-AU"/>
        </w:rPr>
        <w:t xml:space="preserve"> and local communities have robust invasive alien species detection systems (</w:t>
      </w:r>
      <w:r w:rsidRPr="001C4A3F">
        <w:rPr>
          <w:rFonts w:eastAsia="Times New Roman"/>
          <w:b/>
          <w:iCs/>
          <w:lang w:eastAsia="en-AU"/>
        </w:rPr>
        <w:t>Box 5.15</w:t>
      </w:r>
      <w:r w:rsidRPr="00837161">
        <w:rPr>
          <w:rFonts w:eastAsia="Times New Roman"/>
          <w:lang w:eastAsia="en-AU"/>
        </w:rPr>
        <w:t xml:space="preserve">) which have many similarities with internationally recognized systems </w:t>
      </w:r>
      <w:r w:rsidRPr="00837161">
        <w:rPr>
          <w:rFonts w:eastAsia="Times New Roman"/>
          <w:lang w:eastAsia="en-AU"/>
        </w:rPr>
        <w:fldChar w:fldCharType="begin"/>
      </w:r>
      <w:r w:rsidR="000F35EB">
        <w:rPr>
          <w:rFonts w:eastAsia="Times New Roman"/>
          <w:lang w:eastAsia="en-AU"/>
        </w:rPr>
        <w:instrText xml:space="preserve"> ADDIN ZOTERO_ITEM CSL_CITATION {"citationID":"kda2DCgi","properties":{"formattedCitation":"(ICIPE, 2018; Shine, 2005)","plainCitation":"(ICIPE, 2018; Shine, 2005)","noteIndex":0},"citationItems":[{"id":25117,"uris":["http://zotero.org/groups/2352922/items/VRNKC4AY"],"itemData":{"id":25117,"type":"webpage","title":"Tackling invasive alien species in Africa","URL":"http://www.icipe.org/news/tackling-invasive-alien-species-africa","author":[{"literal":"ICIPE"}],"accessed":{"date-parts":[["2020",8,12]]},"issued":{"date-parts":[["2018"]]}}},{"id":22854,"uris":["http://zotero.org/groups/2352922/items/3DH8JS65"],"itemData":{"id":22854,"type":"chapter","container-title":": Identification of risks and management of invasive alien species using the IPPC framework. Proceedings of the workshop on invasive alien species and the International Plant Protection Convention (IPPC), IPPC Secretariat, Braunschweig, Germany, 22-26 September 2003. Rome, Italy, FAO","page":"xii + 301","title":"Overview of the management of invasive alien species from the environmental perspective","URL":"https://assets.ippc.int/static/media/files/publications/en/1065703408882_FRANCE_IUCN_Clare_Shine_1.pdf","author":[{"family":"Shine","given":"C."}],"issued":{"date-parts":[["2005"]]}}}],"schema":"https://github.com/citation-style-language/schema/raw/master/csl-citation.json"} </w:instrText>
      </w:r>
      <w:r w:rsidRPr="00837161">
        <w:rPr>
          <w:rFonts w:eastAsia="Times New Roman"/>
          <w:lang w:eastAsia="en-AU"/>
        </w:rPr>
        <w:fldChar w:fldCharType="separate"/>
      </w:r>
      <w:r w:rsidR="00271B78" w:rsidRPr="00271B78">
        <w:t>(ICIPE, 2018; Shine, 2005)</w:t>
      </w:r>
      <w:r w:rsidRPr="00837161">
        <w:rPr>
          <w:rFonts w:eastAsia="Times New Roman"/>
          <w:lang w:eastAsia="en-AU"/>
        </w:rPr>
        <w:fldChar w:fldCharType="end"/>
      </w:r>
      <w:r w:rsidRPr="00837161">
        <w:rPr>
          <w:rFonts w:eastAsia="Times New Roman"/>
          <w:lang w:eastAsia="en-AU"/>
        </w:rPr>
        <w:t>. In some communities, the council of elders for a given region monitor</w:t>
      </w:r>
      <w:r w:rsidR="00B75C12">
        <w:rPr>
          <w:rFonts w:eastAsia="Times New Roman"/>
          <w:lang w:eastAsia="en-AU"/>
        </w:rPr>
        <w:t xml:space="preserve">s </w:t>
      </w:r>
      <w:r w:rsidRPr="00837161">
        <w:rPr>
          <w:rFonts w:eastAsia="Times New Roman"/>
          <w:lang w:eastAsia="en-AU"/>
        </w:rPr>
        <w:t>and evaluate</w:t>
      </w:r>
      <w:r w:rsidR="00B75C12">
        <w:rPr>
          <w:rFonts w:eastAsia="Times New Roman"/>
          <w:lang w:eastAsia="en-AU"/>
        </w:rPr>
        <w:t>s</w:t>
      </w:r>
      <w:r w:rsidRPr="00837161">
        <w:rPr>
          <w:rFonts w:eastAsia="Times New Roman"/>
          <w:lang w:eastAsia="en-AU"/>
        </w:rPr>
        <w:t xml:space="preserve"> the entire ecosystem situation and give</w:t>
      </w:r>
      <w:r w:rsidR="00B75C12">
        <w:rPr>
          <w:rFonts w:eastAsia="Times New Roman"/>
          <w:lang w:eastAsia="en-AU"/>
        </w:rPr>
        <w:t>s</w:t>
      </w:r>
      <w:r w:rsidRPr="00837161">
        <w:rPr>
          <w:rFonts w:eastAsia="Times New Roman"/>
          <w:lang w:eastAsia="en-AU"/>
        </w:rPr>
        <w:t xml:space="preserve"> reports during the</w:t>
      </w:r>
      <w:r w:rsidRPr="00837161">
        <w:rPr>
          <w:rFonts w:eastAsia="Times New Roman"/>
          <w:b/>
          <w:bCs/>
          <w:lang w:eastAsia="en-AU"/>
        </w:rPr>
        <w:t xml:space="preserve"> </w:t>
      </w:r>
      <w:r w:rsidRPr="00837161">
        <w:rPr>
          <w:rFonts w:eastAsia="Times New Roman"/>
          <w:lang w:eastAsia="en-AU"/>
        </w:rPr>
        <w:t>meeting</w:t>
      </w:r>
      <w:r w:rsidRPr="00837161">
        <w:rPr>
          <w:rFonts w:eastAsia="Times New Roman"/>
          <w:b/>
          <w:bCs/>
          <w:lang w:eastAsia="en-AU"/>
        </w:rPr>
        <w:t xml:space="preserve"> </w:t>
      </w:r>
      <w:r w:rsidRPr="00837161">
        <w:rPr>
          <w:rFonts w:eastAsia="Times New Roman"/>
          <w:lang w:eastAsia="en-AU"/>
        </w:rPr>
        <w:t xml:space="preserve">of </w:t>
      </w:r>
      <w:r w:rsidR="00875C95" w:rsidRPr="00837161">
        <w:rPr>
          <w:rFonts w:eastAsia="Times New Roman"/>
          <w:lang w:eastAsia="en-AU"/>
        </w:rPr>
        <w:t>Indigenous Peoples</w:t>
      </w:r>
      <w:r w:rsidRPr="00837161">
        <w:rPr>
          <w:rFonts w:eastAsia="Times New Roman"/>
          <w:lang w:eastAsia="en-AU"/>
        </w:rPr>
        <w:t xml:space="preserve"> and local communities. The council of elders work</w:t>
      </w:r>
      <w:r w:rsidR="00B75C12">
        <w:rPr>
          <w:rFonts w:eastAsia="Times New Roman"/>
          <w:lang w:eastAsia="en-AU"/>
        </w:rPr>
        <w:t>s</w:t>
      </w:r>
      <w:r w:rsidRPr="00837161">
        <w:rPr>
          <w:rFonts w:eastAsia="Times New Roman"/>
          <w:lang w:eastAsia="en-AU"/>
        </w:rPr>
        <w:t xml:space="preserve"> in harmony with the </w:t>
      </w:r>
      <w:r w:rsidR="00B75C12">
        <w:rPr>
          <w:rFonts w:eastAsia="Times New Roman"/>
          <w:lang w:eastAsia="en-AU"/>
        </w:rPr>
        <w:t>P</w:t>
      </w:r>
      <w:r w:rsidRPr="00837161">
        <w:rPr>
          <w:rFonts w:eastAsia="Times New Roman"/>
          <w:lang w:eastAsia="en-AU"/>
        </w:rPr>
        <w:t xml:space="preserve">eople’s culture and customs </w:t>
      </w:r>
      <w:r w:rsidRPr="00837161">
        <w:rPr>
          <w:rFonts w:eastAsia="Times New Roman"/>
          <w:lang w:eastAsia="en-AU"/>
        </w:rPr>
        <w:fldChar w:fldCharType="begin"/>
      </w:r>
      <w:r w:rsidR="000F35EB">
        <w:rPr>
          <w:rFonts w:eastAsia="Times New Roman"/>
          <w:lang w:eastAsia="en-AU"/>
        </w:rPr>
        <w:instrText xml:space="preserve"> ADDIN ZOTERO_ITEM CSL_CITATION {"citationID":"p99H1lJn","properties":{"formattedCitation":"(Aiken et al., 2015)","plainCitation":"(Aiken et al., 2015)","noteIndex":0},"citationItems":[{"id":31557,"uris":["http://zotero.org/groups/2352922/items/7H3GJW69"],"itemData":{"id":31557,"type":"document","language":"en","source":"Zotero","title":"Managing Weeds on Bunuba Country in the Kimberley, Western Australia","URL":"https://christiankull.files.wordpress.com/2016/01/aiken-et-al-2015-bunuba-weeds.pdf","author":[{"family":"Aiken","given":"Clive"},{"family":"Davey","given":"Natalie"},{"family":"Chungul","given":"Kendrick"},{"family":"Bach","given":"Tom"},{"family":"Rangan","given":"Haripriya"},{"family":"Kull","given":"Christian"}],"issued":{"date-parts":[["2015"]]}}}],"schema":"https://github.com/citation-style-language/schema/raw/master/csl-citation.json"} </w:instrText>
      </w:r>
      <w:r w:rsidRPr="00837161">
        <w:rPr>
          <w:rFonts w:eastAsia="Times New Roman"/>
          <w:lang w:eastAsia="en-AU"/>
        </w:rPr>
        <w:fldChar w:fldCharType="separate"/>
      </w:r>
      <w:r w:rsidR="00271B78" w:rsidRPr="00271B78">
        <w:t>(Aiken et al., 2015)</w:t>
      </w:r>
      <w:r w:rsidRPr="00837161">
        <w:rPr>
          <w:rFonts w:eastAsia="Times New Roman"/>
          <w:lang w:eastAsia="en-AU"/>
        </w:rPr>
        <w:fldChar w:fldCharType="end"/>
      </w:r>
      <w:r w:rsidRPr="00837161">
        <w:rPr>
          <w:rFonts w:eastAsia="Times New Roman"/>
          <w:lang w:eastAsia="en-AU"/>
        </w:rPr>
        <w:t>.</w:t>
      </w:r>
    </w:p>
    <w:p w14:paraId="0000066E" w14:textId="604FE390" w:rsidR="00A758FD" w:rsidRPr="00EA0967" w:rsidRDefault="00066A7E" w:rsidP="00EA0967">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500" w:name="_Toc69314077"/>
      <w:bookmarkStart w:id="501" w:name="_Toc80708188"/>
      <w:bookmarkStart w:id="502" w:name="_Toc87623075"/>
      <w:bookmarkStart w:id="503" w:name="_Toc147488950"/>
      <w:r w:rsidRPr="00EA0967">
        <w:rPr>
          <w:b/>
          <w:bCs/>
        </w:rPr>
        <w:t>Box 5.</w:t>
      </w:r>
      <w:r w:rsidR="00975896" w:rsidRPr="00EA0967">
        <w:rPr>
          <w:b/>
          <w:bCs/>
        </w:rPr>
        <w:fldChar w:fldCharType="begin"/>
      </w:r>
      <w:r w:rsidR="00975896" w:rsidRPr="00EA0967">
        <w:rPr>
          <w:b/>
          <w:bCs/>
        </w:rPr>
        <w:instrText xml:space="preserve"> SEQ Box_5. \* ARABIC </w:instrText>
      </w:r>
      <w:r w:rsidR="00975896" w:rsidRPr="00EA0967">
        <w:rPr>
          <w:b/>
          <w:bCs/>
        </w:rPr>
        <w:fldChar w:fldCharType="separate"/>
      </w:r>
      <w:r w:rsidR="00DC77F8" w:rsidRPr="00EA0967">
        <w:rPr>
          <w:b/>
          <w:bCs/>
          <w:noProof/>
        </w:rPr>
        <w:t>15</w:t>
      </w:r>
      <w:r w:rsidR="00975896" w:rsidRPr="00EA0967">
        <w:rPr>
          <w:b/>
          <w:bCs/>
        </w:rPr>
        <w:fldChar w:fldCharType="end"/>
      </w:r>
      <w:r w:rsidR="00916CBD" w:rsidRPr="00EA0967">
        <w:rPr>
          <w:b/>
          <w:bCs/>
        </w:rPr>
        <w:t>.</w:t>
      </w:r>
      <w:bookmarkStart w:id="504" w:name="_heading=h.thw4kt" w:colFirst="0" w:colLast="0"/>
      <w:bookmarkStart w:id="505" w:name="_heading=h.3dhjn8m"/>
      <w:bookmarkStart w:id="506" w:name="_heading=h.1smtxgf" w:colFirst="0" w:colLast="0"/>
      <w:bookmarkEnd w:id="504"/>
      <w:bookmarkEnd w:id="505"/>
      <w:bookmarkEnd w:id="506"/>
      <w:r w:rsidR="00EA0967">
        <w:t xml:space="preserve"> </w:t>
      </w:r>
      <w:r w:rsidR="00C81287" w:rsidRPr="00EA0967">
        <w:rPr>
          <w:b/>
          <w:color w:val="000000"/>
        </w:rPr>
        <w:t>Surveillance and management of invasive alien species by Indigenous Peoples and local communities - A case study of The Bukusu community in Kenya</w:t>
      </w:r>
      <w:bookmarkEnd w:id="500"/>
      <w:bookmarkEnd w:id="501"/>
      <w:bookmarkEnd w:id="502"/>
      <w:bookmarkEnd w:id="503"/>
    </w:p>
    <w:p w14:paraId="0000066F" w14:textId="7DADA47D" w:rsidR="00A758FD" w:rsidRPr="00C0338D" w:rsidRDefault="00C81287" w:rsidP="00EA096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r w:rsidRPr="00C0338D">
        <w:t>The Bukusu community notifies an elder when a new plant species is first found in their environment. A council of elders confirms the detection and quarantine is imposed. A date is then set for a ritual ceremony to determine whether management of the plant should proceed. At the ceremony, a sheep is slaughtered at the detection site and its stomach contents</w:t>
      </w:r>
      <w:r w:rsidRPr="00C0338D">
        <w:rPr>
          <w:b/>
        </w:rPr>
        <w:t xml:space="preserve"> </w:t>
      </w:r>
      <w:r w:rsidRPr="00C0338D">
        <w:t xml:space="preserve">together with samples of plant shoot (called </w:t>
      </w:r>
      <w:r w:rsidRPr="00C0338D">
        <w:rPr>
          <w:i/>
        </w:rPr>
        <w:t>Lufufu</w:t>
      </w:r>
      <w:r w:rsidRPr="00C0338D">
        <w:t xml:space="preserve">) are mixed in water which the elder places on and around the plant while some ceremonial statements are made. On the 3rd day the </w:t>
      </w:r>
      <w:r w:rsidRPr="00C0338D">
        <w:rPr>
          <w:i/>
        </w:rPr>
        <w:t xml:space="preserve">Lufufu </w:t>
      </w:r>
      <w:r w:rsidRPr="00C0338D">
        <w:t xml:space="preserve">leaves are checked to see if they are dry, following which the plant is uprooted and burnt. If the leaves are still healthy the plant is considered good for the native ecosystem, given a local name and its uses and applications are defined based on similar local plant species. If a new animal species is detected (whether </w:t>
      </w:r>
      <w:r w:rsidRPr="00C0338D">
        <w:rPr>
          <w:i/>
        </w:rPr>
        <w:t>Esang’i-</w:t>
      </w:r>
      <w:r w:rsidRPr="00C0338D">
        <w:t xml:space="preserve"> the eaten animal species or </w:t>
      </w:r>
      <w:r w:rsidRPr="00C0338D">
        <w:rPr>
          <w:i/>
        </w:rPr>
        <w:t>Esolo</w:t>
      </w:r>
      <w:r w:rsidRPr="00C0338D">
        <w:t xml:space="preserve">- a non- eaten animal species) the council of elders </w:t>
      </w:r>
      <w:r w:rsidRPr="00C0338D">
        <w:lastRenderedPageBreak/>
        <w:t xml:space="preserve">identify its foot prints and a child is given a mixture of </w:t>
      </w:r>
      <w:r w:rsidRPr="00C0338D">
        <w:rPr>
          <w:i/>
        </w:rPr>
        <w:t>Kulandula</w:t>
      </w:r>
      <w:r w:rsidRPr="00C0338D">
        <w:t xml:space="preserve"> plant to put in the foot prints as the elders curse the animal never to return since its effects to the native ecosystem, economy and livelihoods are not known </w:t>
      </w:r>
      <w:r w:rsidR="00066A7E" w:rsidRPr="00837161">
        <w:rPr>
          <w:lang w:eastAsia="en-AU"/>
        </w:rPr>
        <w:fldChar w:fldCharType="begin"/>
      </w:r>
      <w:r w:rsidR="000F35EB">
        <w:rPr>
          <w:lang w:eastAsia="en-AU"/>
        </w:rPr>
        <w:instrText xml:space="preserve"> ADDIN ZOTERO_ITEM CSL_CITATION {"citationID":"XPReXKCB","properties":{"formattedCitation":"(Wanzala et al., 2012)","plainCitation":"(Wanzala et al., 2012)","noteIndex":0},"citationItems":[{"id":10089,"uris":["http://zotero.org/groups/2352922/items/M5PYKY6J"],"itemData":{"id":10089,"type":"article-journal","container-title":"Journal of Ethnopharmacology","DOI":"10.1016/j.jep.2012.01.021","ISSN":"03788741","issue":"2","journalAbbreviation":"Journal of Ethnopharmacology","language":"en","page":"298-324","source":"DOI.org (Crossref)","title":"Ethnoknowledge of Bukusu community on livestock tick prevention and control in Bungoma district, western Kenya","URL":"https://linkinghub.elsevier.com/retrieve/pii/S0378874112000347","volume":"140","author":[{"family":"Wanzala","given":"Wycliffe"},{"family":"Takken","given":"Willem"},{"family":"Mukabana","given":"Wolfgang R."},{"family":"Pala","given":"Achola O."},{"family":"Hassanali","given":"Ahmed"}],"accessed":{"date-parts":[["2021",11,11]]},"issued":{"date-parts":[["2012",3]]}}}],"schema":"https://github.com/citation-style-language/schema/raw/master/csl-citation.json"} </w:instrText>
      </w:r>
      <w:r w:rsidR="00066A7E" w:rsidRPr="00837161">
        <w:rPr>
          <w:lang w:eastAsia="en-AU"/>
        </w:rPr>
        <w:fldChar w:fldCharType="separate"/>
      </w:r>
      <w:r w:rsidR="00271B78" w:rsidRPr="00271B78">
        <w:t>(Wanzala et al., 2012)</w:t>
      </w:r>
      <w:r w:rsidR="00066A7E" w:rsidRPr="00837161">
        <w:rPr>
          <w:lang w:eastAsia="en-AU"/>
        </w:rPr>
        <w:fldChar w:fldCharType="end"/>
      </w:r>
      <w:r w:rsidR="00066A7E" w:rsidRPr="00837161">
        <w:rPr>
          <w:lang w:eastAsia="en-AU"/>
        </w:rPr>
        <w:t>.</w:t>
      </w:r>
      <w:r w:rsidRPr="00C0338D">
        <w:t xml:space="preserve"> </w:t>
      </w:r>
    </w:p>
    <w:p w14:paraId="05BEEDA9" w14:textId="6D3919EC" w:rsidR="00066A7E" w:rsidRPr="00837161" w:rsidRDefault="5140D151" w:rsidP="00C11DFA">
      <w:pPr>
        <w:spacing w:before="240" w:after="120" w:line="240" w:lineRule="auto"/>
        <w:rPr>
          <w:rFonts w:eastAsia="Calibri"/>
        </w:rPr>
      </w:pPr>
      <w:r w:rsidRPr="00837161">
        <w:t xml:space="preserve">Effective surveillance by </w:t>
      </w:r>
      <w:r w:rsidR="00875C95" w:rsidRPr="00837161">
        <w:t>Indigenous Peoples</w:t>
      </w:r>
      <w:r w:rsidRPr="00837161">
        <w:t xml:space="preserve"> and local communities of native ecosystems in Kimberley, Northwest Australia is part of hunting, fishing and gathering, </w:t>
      </w:r>
      <w:r w:rsidR="00B02EB7">
        <w:t>and the reporting of new species is</w:t>
      </w:r>
      <w:r w:rsidRPr="00837161">
        <w:t xml:space="preserve"> encouraged. Barter trade is strictly conducted only with known fauna</w:t>
      </w:r>
      <w:r w:rsidR="00CF2B4F">
        <w:t>,</w:t>
      </w:r>
      <w:r w:rsidR="00EA0967">
        <w:t xml:space="preserve"> </w:t>
      </w:r>
      <w:r w:rsidRPr="00837161">
        <w:t xml:space="preserve">flora and/or minerals. This </w:t>
      </w:r>
      <w:r w:rsidR="00CF2B4F">
        <w:t>knowledge of fauna, flora and/or minerals</w:t>
      </w:r>
      <w:r w:rsidR="00CF2B4F" w:rsidRPr="00837161">
        <w:t xml:space="preserve"> </w:t>
      </w:r>
      <w:r w:rsidRPr="00837161">
        <w:t xml:space="preserve">is held by elders by memory and trust and is passed on from generation to generation by word of mouth </w:t>
      </w:r>
      <w:r w:rsidR="00066A7E" w:rsidRPr="00837161">
        <w:fldChar w:fldCharType="begin"/>
      </w:r>
      <w:r w:rsidR="000F35EB">
        <w:instrText xml:space="preserve"> ADDIN ZOTERO_ITEM CSL_CITATION {"citationID":"MN4bhJTf","properties":{"formattedCitation":"(Wanzala et al., 2012; Weir &amp; Duff, 2015)","plainCitation":"(Wanzala et al., 2012; Weir &amp; Duff, 2015)","noteIndex":0},"citationItems":[{"id":10089,"uris":["http://zotero.org/groups/2352922/items/M5PYKY6J"],"itemData":{"id":10089,"type":"article-journal","container-title":"Journal of Ethnopharmacology","DOI":"10.1016/j.jep.2012.01.021","ISSN":"03788741","issue":"2","journalAbbreviation":"Journal of Ethnopharmacology","language":"en","page":"298-324","source":"DOI.org (Crossref)","title":"Ethnoknowledge of Bukusu community on livestock tick prevention and control in Bungoma district, western Kenya","URL":"https://linkinghub.elsevier.com/retrieve/pii/S0378874112000347","volume":"140","author":[{"family":"Wanzala","given":"Wycliffe"},{"family":"Takken","given":"Willem"},{"family":"Mukabana","given":"Wolfgang R."},{"family":"Pala","given":"Achola O."},{"family":"Hassanali","given":"Ahmed"}],"accessed":{"date-parts":[["2021",11,11]]},"issued":{"date-parts":[["2012",3]]}}},{"id":22853,"uris":["http://zotero.org/groups/2352922/items/R5KCC7SG"],"itemData":{"id":22853,"type":"chapter","container-title":"Indigenous people and invasive species: Perceptions, management, challenges and uses. IUCN Commission on Ecosystem Management Community Report.","page":"21-22","title":"Weeds and Native Title in the Kimberley","author":[{"family":"Weir","given":"J."},{"family":"Duff","given":"N."}],"editor":[{"family":"Ens","given":"E."},{"family":"Fisher","given":"J."},{"family":"Costello","given":"O."}],"issued":{"date-parts":[["2015"]]}}}],"schema":"https://github.com/citation-style-language/schema/raw/master/csl-citation.json"} </w:instrText>
      </w:r>
      <w:r w:rsidR="00066A7E" w:rsidRPr="00837161">
        <w:fldChar w:fldCharType="separate"/>
      </w:r>
      <w:r w:rsidR="00271B78" w:rsidRPr="00271B78">
        <w:t>(Wanzala et al., 2012; Weir &amp; Duff, 2015)</w:t>
      </w:r>
      <w:r w:rsidR="00066A7E" w:rsidRPr="00837161">
        <w:fldChar w:fldCharType="end"/>
      </w:r>
      <w:r w:rsidRPr="00837161">
        <w:t xml:space="preserve">. </w:t>
      </w:r>
      <w:r w:rsidRPr="00837161">
        <w:rPr>
          <w:rFonts w:eastAsia="Calibri"/>
        </w:rPr>
        <w:t xml:space="preserve">Combining both </w:t>
      </w:r>
      <w:r w:rsidR="00A91F9F">
        <w:rPr>
          <w:rFonts w:eastAsia="Calibri"/>
        </w:rPr>
        <w:t>I</w:t>
      </w:r>
      <w:r w:rsidRPr="00837161">
        <w:rPr>
          <w:rFonts w:eastAsia="Calibri"/>
        </w:rPr>
        <w:t xml:space="preserve">ndigenous and scientific knowledge has improved the understanding on the spread of invasive alien species among local communities. The observations of forest-dwelling Soliga community of South India on </w:t>
      </w:r>
      <w:r w:rsidR="4839EF50" w:rsidRPr="00837161">
        <w:rPr>
          <w:rFonts w:eastAsia="Calibri"/>
          <w:i/>
          <w:iCs/>
        </w:rPr>
        <w:t>Lantana camara</w:t>
      </w:r>
      <w:r w:rsidR="4839EF50" w:rsidRPr="00837161">
        <w:rPr>
          <w:rFonts w:eastAsia="Calibri"/>
        </w:rPr>
        <w:t xml:space="preserve"> (</w:t>
      </w:r>
      <w:r w:rsidRPr="00837161">
        <w:rPr>
          <w:rFonts w:eastAsia="Calibri"/>
        </w:rPr>
        <w:t xml:space="preserve">lantana) invasion have helped to better understand the process of invasion and plan future management of the species </w:t>
      </w:r>
      <w:r w:rsidR="00066A7E" w:rsidRPr="00837161">
        <w:rPr>
          <w:rFonts w:eastAsia="Calibri"/>
        </w:rPr>
        <w:fldChar w:fldCharType="begin"/>
      </w:r>
      <w:r w:rsidR="000F35EB">
        <w:rPr>
          <w:rFonts w:eastAsia="Calibri"/>
        </w:rPr>
        <w:instrText xml:space="preserve"> ADDIN ZOTERO_ITEM CSL_CITATION {"citationID":"WzV6GHra","properties":{"formattedCitation":"(Sundaram et al., 2012)","plainCitation":"(Sundaram et al., 2012)","noteIndex":0},"citationItems":[{"id":25583,"uris":["http://zotero.org/groups/2352922/items/52LYPQUY"],"itemData":{"id":25583,"type":"article-journal","abstract":"We explored how the forest-dwelling Soliga community of South India views and explains biological invasions, and how local knowledge can inform scientific knowledge on biological invasions. We used an interview schedule with open-ended questions to solicit Soliga opinion on Lantana camara (lantana) invasion. The Soliga cited three reasons for lantana spread: its prolific fruit output and wide seed dispersal, change in fire management, and historical extraction of grass and bamboo. The Soliga believe that lantana invasion has had negative effects on the ecosystem and their livelihoods. Tabling scientific knowledge with local knowledge has improved our understanding of lantana invasion. The role of existing lantana in colonizing neighboring areas, and the response of native tree communities to lantana were common to both local and scientific sources. However, the Soliga view provides a more nuanced perspective of the lantana-fire relationship (contextually based on lantana density) with fires suppressing lantana when lantana density was low. This is contrary to views held by foresters and biologists, that fires are uniformly detrimental and promote lantana. Our study shows that examining Soliga observations has improved understanding of the invasion process and presents avenues for future lantana management.","container-title":"Human Ecology","DOI":"10.1007/s10745-012-9532-1","ISSN":"0300-7839, 1572-9915","issue":"6","journalAbbreviation":"Hum Ecol","language":"en","page":"931-942","source":"DOI.org (Crossref)","title":"Ecology and Impacts of the Invasive Species, &lt;i&gt;Lantana camara&lt;/i&gt;, in a Social-Ecological System in South India: Perspectives from Local Knowledge","title-short":"Ecology and Impacts of the Invasive Species, Lantana camara, in a Social-Ecological System in South India","URL":"http://link.springer.com/10.1007/s10745-012-9532-1","volume":"40","author":[{"family":"Sundaram","given":"Bharath"},{"family":"Krishnan","given":"Siddhartha"},{"family":"Hiremath","given":"Ankila J."},{"family":"Joseph","given":"Gladwin"}],"accessed":{"date-parts":[["2019",11,7]]},"issued":{"date-parts":[["2012",12]]}}}],"schema":"https://github.com/citation-style-language/schema/raw/master/csl-citation.json"} </w:instrText>
      </w:r>
      <w:r w:rsidR="00066A7E" w:rsidRPr="00837161">
        <w:rPr>
          <w:rFonts w:eastAsia="Calibri"/>
        </w:rPr>
        <w:fldChar w:fldCharType="separate"/>
      </w:r>
      <w:r w:rsidR="00271B78" w:rsidRPr="00271B78">
        <w:t>(Sundaram et al., 2012)</w:t>
      </w:r>
      <w:r w:rsidR="00066A7E" w:rsidRPr="00837161">
        <w:rPr>
          <w:rFonts w:eastAsia="Calibri"/>
        </w:rPr>
        <w:fldChar w:fldCharType="end"/>
      </w:r>
      <w:r w:rsidRPr="00837161">
        <w:rPr>
          <w:rFonts w:eastAsia="Calibri"/>
        </w:rPr>
        <w:t xml:space="preserve">. The </w:t>
      </w:r>
      <w:r w:rsidR="00EA0967">
        <w:t xml:space="preserve">Māori </w:t>
      </w:r>
      <w:r w:rsidRPr="00837161">
        <w:rPr>
          <w:rFonts w:eastAsia="Calibri"/>
        </w:rPr>
        <w:t>Tuawhenua community of Ruatahuna in New Zealand has developed extensive knowledge systems around endemic biodiversity and forest health</w:t>
      </w:r>
      <w:r w:rsidRPr="00837161">
        <w:rPr>
          <w:rFonts w:eastAsia="Calibri"/>
          <w:color w:val="FF0000"/>
        </w:rPr>
        <w:t xml:space="preserve"> </w:t>
      </w:r>
      <w:r w:rsidRPr="00837161">
        <w:rPr>
          <w:rFonts w:eastAsia="Calibri"/>
        </w:rPr>
        <w:t xml:space="preserve">perceiving changes in the forest and introduced invasive alien species over 65 years </w:t>
      </w:r>
      <w:r w:rsidR="00066A7E" w:rsidRPr="00837161">
        <w:rPr>
          <w:rFonts w:eastAsia="Calibri"/>
        </w:rPr>
        <w:fldChar w:fldCharType="begin"/>
      </w:r>
      <w:r w:rsidR="000F35EB">
        <w:rPr>
          <w:rFonts w:eastAsia="Calibri"/>
        </w:rPr>
        <w:instrText xml:space="preserve"> ADDIN ZOTERO_ITEM CSL_CITATION {"citationID":"rPYWeLIw","properties":{"formattedCitation":"(Lyver et al., 2016)","plainCitation":"(Lyver et al., 2016)","noteIndex":0},"citationItems":[{"id":31713,"uris":["http://zotero.org/groups/2352922/items/CBDBYA97"],"itemData":{"id":31713,"type":"article-journal","container-title":"Restoration Ecology","DOI":"10.1111/rec.12318","ISSN":"10612971","issue":"3","journalAbbreviation":"Restor Ecol","language":"en","page":"314-323","source":"DOI.org (Crossref)","title":"Key biocultural values to guide restoration action and planning in New Zealand: Biocultural values for restoration","title-short":"Key biocultural values to guide restoration action and planning in New Zealand","URL":"https://onlinelibrary.wiley.com/doi/10.1111/rec.12318","volume":"24","author":[{"family":"Lyver","given":"Phil O'B."},{"family":"Akins","given":"Ashli"},{"family":"Phipps","given":"Hilary"},{"family":"Kahui","given":"Viktoria"},{"family":"Towns","given":"David R."},{"family":"Moller","given":"Henrik"}],"accessed":{"date-parts":[["2021",11,18]]},"issued":{"date-parts":[["2016",5]]}}}],"schema":"https://github.com/citation-style-language/schema/raw/master/csl-citation.json"} </w:instrText>
      </w:r>
      <w:r w:rsidR="00066A7E" w:rsidRPr="00837161">
        <w:rPr>
          <w:rFonts w:eastAsia="Calibri"/>
        </w:rPr>
        <w:fldChar w:fldCharType="separate"/>
      </w:r>
      <w:r w:rsidR="00271B78" w:rsidRPr="00271B78">
        <w:t>(Lyver et al., 2016)</w:t>
      </w:r>
      <w:r w:rsidR="00066A7E" w:rsidRPr="00837161">
        <w:rPr>
          <w:rFonts w:eastAsia="Calibri"/>
        </w:rPr>
        <w:fldChar w:fldCharType="end"/>
      </w:r>
      <w:r w:rsidRPr="00837161">
        <w:rPr>
          <w:rFonts w:eastAsia="Calibri"/>
        </w:rPr>
        <w:t xml:space="preserve">. See </w:t>
      </w:r>
      <w:r w:rsidR="00EA0967">
        <w:rPr>
          <w:b/>
        </w:rPr>
        <w:t>S</w:t>
      </w:r>
      <w:r w:rsidR="001C4A3F" w:rsidRPr="001C4A3F">
        <w:rPr>
          <w:b/>
        </w:rPr>
        <w:t>upplementary material 5.9</w:t>
      </w:r>
      <w:r w:rsidRPr="00837161">
        <w:rPr>
          <w:rFonts w:eastAsia="Calibri"/>
        </w:rPr>
        <w:t xml:space="preserve"> for more examples of effective surveillance. </w:t>
      </w:r>
      <w:r w:rsidR="3413E0F9" w:rsidRPr="00837161">
        <w:rPr>
          <w:rFonts w:eastAsia="Calibri"/>
        </w:rPr>
        <w:t>Although surveillance for invasive alien species is a regular</w:t>
      </w:r>
      <w:r w:rsidR="289AD6C7" w:rsidRPr="00837161">
        <w:rPr>
          <w:rFonts w:eastAsia="Calibri"/>
        </w:rPr>
        <w:t xml:space="preserve"> </w:t>
      </w:r>
      <w:r w:rsidR="3413E0F9" w:rsidRPr="00837161">
        <w:rPr>
          <w:rFonts w:eastAsia="Calibri"/>
        </w:rPr>
        <w:t xml:space="preserve">process in </w:t>
      </w:r>
      <w:r w:rsidR="58DCAD30" w:rsidRPr="00837161">
        <w:rPr>
          <w:rFonts w:eastAsia="Calibri"/>
        </w:rPr>
        <w:t xml:space="preserve">the </w:t>
      </w:r>
      <w:r w:rsidR="3413E0F9" w:rsidRPr="00837161">
        <w:rPr>
          <w:rFonts w:eastAsia="Calibri"/>
        </w:rPr>
        <w:t>develop</w:t>
      </w:r>
      <w:r w:rsidR="11730088" w:rsidRPr="00837161">
        <w:rPr>
          <w:rFonts w:eastAsia="Calibri"/>
        </w:rPr>
        <w:t>ed countries,</w:t>
      </w:r>
      <w:r w:rsidR="3413E0F9" w:rsidRPr="00837161">
        <w:rPr>
          <w:rFonts w:eastAsia="Calibri"/>
        </w:rPr>
        <w:t xml:space="preserve"> it is seldom con</w:t>
      </w:r>
      <w:r w:rsidR="21CD6255" w:rsidRPr="00837161">
        <w:rPr>
          <w:rFonts w:eastAsia="Calibri"/>
        </w:rPr>
        <w:t xml:space="preserve">ducted in </w:t>
      </w:r>
      <w:r w:rsidR="6F1A9C9E" w:rsidRPr="00837161">
        <w:rPr>
          <w:rFonts w:eastAsia="Calibri"/>
        </w:rPr>
        <w:t>some of the developing coun</w:t>
      </w:r>
      <w:r w:rsidR="16523B53" w:rsidRPr="00837161">
        <w:rPr>
          <w:rFonts w:eastAsia="Calibri"/>
        </w:rPr>
        <w:t xml:space="preserve">tries for want of </w:t>
      </w:r>
      <w:r w:rsidR="233D1737" w:rsidRPr="00837161">
        <w:rPr>
          <w:rFonts w:eastAsia="Calibri"/>
        </w:rPr>
        <w:t xml:space="preserve">updated </w:t>
      </w:r>
      <w:r w:rsidR="16523B53" w:rsidRPr="00837161">
        <w:rPr>
          <w:rFonts w:eastAsia="Calibri"/>
        </w:rPr>
        <w:t xml:space="preserve">technical know-how and resources </w:t>
      </w:r>
      <w:r w:rsidR="00A33816" w:rsidRPr="00837161">
        <w:rPr>
          <w:rFonts w:eastAsia="Calibri"/>
        </w:rPr>
        <w:fldChar w:fldCharType="begin"/>
      </w:r>
      <w:r w:rsidR="000F35EB">
        <w:rPr>
          <w:rFonts w:eastAsia="Calibri"/>
        </w:rPr>
        <w:instrText xml:space="preserve"> ADDIN ZOTERO_ITEM CSL_CITATION {"citationID":"Ug3ZKFs5","properties":{"formattedCitation":"(K. Gupta &amp; Sankaran, 2021)","plainCitation":"(K. Gupta &amp; Sankaran, 2021)","dontUpdate":true,"noteIndex":0},"citationItems":[{"id":31347,"uris":["http://zotero.org/groups/2352922/items/Z7I5BXNA"],"itemData":{"id":31347,"type":"article-journal","abstract":"Biological invasions continue unabated across the globe despite all efforts to manage the problem by implementing biosecurity regulations and associated management methods. In this context, this paper reviews the plant biosecurity legislation applicable to agriculture and forestry sectors in India to prevent/manage invasions, with the objective of identifying limitations in the legislation or lapses in implementing it and propose corrective measures. The legislation can be improved by: (1) revising and updating the Destructive Insects and Pests Act (1914) and Plant Quarantine Order 2003 and (2) establishing a National Sanitary and Phytosanitary Database Center to promote exchange of information. Establishing more plant quarantine stations with state-of-the-art facilities and a Biosecurity and Trade Unit may support implementation of legislation. Some of main gaps in information and research in biosecurity are identified. The plant biosecurity legislation, though meant to be common, mainly addresses the agriculture sector; its application in the forestry context is currently scarce. Hence, it is suggested that India may enact forest biosecurity scrupulously especially in the context of introducing the REDD + strategy and a Forest Certification Scheme. It is proposed that an integrated pest management (IPM) system involving e-pest surveillance, establishment of pest-free areas and use of biocontrol may help tackle emerging pest threats. The use of new technologies for remote sensing and detection and mapping of vegetation may help bio-surveillance, forecasting, and monitoring of pests. However, successful implementation of all management options demands formation of an exclusive national policy to manage invasive alien species and an action plan governed by a single agency. To realize the plant biosecurity goals, India may also strengthen regional cooperation to: (1) harmonize regulations for sanitary/phytosanitary and plant quarantine/biosafety measures and (2) use a common pest risk analysis (PRA) for unknown pests in the region. Capacity-building of officials to identify risky goods and verify conformity with Import Health Standards is raised. Also, raising awareness on biosecurity among all stakeholders and involving them in implementing the legislation would be helpful. The proposed National Agricultural Biosecurity System and the Agricultural Biosecurity Bill currently considered by the Indian Parliament is expected to address the inadequacies.","container-title":"Frontiers in Forests and Global Change","DOI":"10.3389/ffgc.2021.699950","ISSN":"2624-893X","journalAbbreviation":"Front. For. Glob. Change","page":"699950","source":"DOI.org (Crossref)","title":"Forest Biosecurity Systems and Processes: An Indian Perspective","title-short":"Forest Biosecurity Systems and Processes","URL":"https://www.frontiersin.org/articles/10.3389/ffgc.2021.699950/full","volume":"4","author":[{"family":"Gupta","given":"Kavita"},{"family":"Sankaran","given":"K. V."}],"accessed":{"date-parts":[["2021",11,18]]},"issued":{"date-parts":[["2021",9,30]]}}}],"schema":"https://github.com/citation-style-language/schema/raw/master/csl-citation.json"} </w:instrText>
      </w:r>
      <w:r w:rsidR="00A33816" w:rsidRPr="00837161">
        <w:rPr>
          <w:rFonts w:eastAsia="Calibri"/>
        </w:rPr>
        <w:fldChar w:fldCharType="separate"/>
      </w:r>
      <w:r w:rsidR="00A33816" w:rsidRPr="00837161">
        <w:t>(Gupta &amp; Sankaran, 2021)</w:t>
      </w:r>
      <w:r w:rsidR="00A33816" w:rsidRPr="00837161">
        <w:rPr>
          <w:rFonts w:eastAsia="Calibri"/>
        </w:rPr>
        <w:fldChar w:fldCharType="end"/>
      </w:r>
      <w:r w:rsidR="00316B0E" w:rsidRPr="00837161">
        <w:rPr>
          <w:rFonts w:eastAsia="Calibri"/>
        </w:rPr>
        <w:t>.</w:t>
      </w:r>
    </w:p>
    <w:p w14:paraId="08B02A4A" w14:textId="77777777" w:rsidR="00066A7E" w:rsidRPr="00837161" w:rsidRDefault="00066A7E" w:rsidP="002F2F42">
      <w:pPr>
        <w:pStyle w:val="Heading2"/>
      </w:pPr>
      <w:bookmarkStart w:id="507" w:name="_Toc69314020"/>
      <w:bookmarkStart w:id="508" w:name="_Toc87623161"/>
      <w:bookmarkStart w:id="509" w:name="_Toc131681657"/>
      <w:bookmarkStart w:id="510" w:name="_Toc149555483"/>
      <w:r w:rsidRPr="00837161">
        <w:t>Eradication</w:t>
      </w:r>
      <w:bookmarkEnd w:id="507"/>
      <w:bookmarkEnd w:id="508"/>
      <w:bookmarkEnd w:id="509"/>
      <w:bookmarkEnd w:id="510"/>
      <w:r w:rsidRPr="00837161">
        <w:t xml:space="preserve"> </w:t>
      </w:r>
    </w:p>
    <w:p w14:paraId="69530DB4" w14:textId="3B18ADC4" w:rsidR="00066A7E" w:rsidRPr="00837161" w:rsidRDefault="5140D151" w:rsidP="00C11DFA">
      <w:pPr>
        <w:spacing w:before="240" w:after="120" w:line="240" w:lineRule="auto"/>
        <w:rPr>
          <w:rFonts w:eastAsia="Calibri"/>
        </w:rPr>
      </w:pPr>
      <w:r w:rsidRPr="00837161">
        <w:t xml:space="preserve">Successful eradication of an invasive alien species </w:t>
      </w:r>
      <w:r w:rsidR="00786876" w:rsidRPr="00837161">
        <w:t>is underpinned by</w:t>
      </w:r>
      <w:r w:rsidRPr="00837161">
        <w:t xml:space="preserve"> effective surveillance, detection and extirpation of all individuals of the species,</w:t>
      </w:r>
      <w:r w:rsidR="00360669">
        <w:t xml:space="preserve"> which is supported by</w:t>
      </w:r>
      <w:r w:rsidRPr="00837161">
        <w:t xml:space="preserve"> efficient methods to remove all pre-reproductive individuals </w:t>
      </w:r>
      <w:r w:rsidR="007C729C" w:rsidRPr="00837161">
        <w:t>(</w:t>
      </w:r>
      <w:r w:rsidRPr="001C4A3F">
        <w:rPr>
          <w:b/>
          <w:iCs/>
        </w:rPr>
        <w:t>section 5.4</w:t>
      </w:r>
      <w:r w:rsidRPr="00837161">
        <w:t>), good decision</w:t>
      </w:r>
      <w:r w:rsidR="00A91F9F">
        <w:t>-</w:t>
      </w:r>
      <w:r w:rsidRPr="00837161">
        <w:t xml:space="preserve">support systems </w:t>
      </w:r>
      <w:r w:rsidR="007C729C" w:rsidRPr="00837161">
        <w:t>(</w:t>
      </w:r>
      <w:r w:rsidRPr="001C4A3F">
        <w:rPr>
          <w:b/>
          <w:iCs/>
        </w:rPr>
        <w:t>section 5.2</w:t>
      </w:r>
      <w:r w:rsidRPr="00837161">
        <w:t xml:space="preserve">) and sustained public and financial support. Sustained monitoring </w:t>
      </w:r>
      <w:r w:rsidR="00374AE2" w:rsidRPr="00837161">
        <w:t>can ensure</w:t>
      </w:r>
      <w:r w:rsidRPr="00837161">
        <w:t xml:space="preserve"> that there are no new recruitments </w:t>
      </w:r>
      <w:r w:rsidR="00066A7E" w:rsidRPr="00837161">
        <w:fldChar w:fldCharType="begin"/>
      </w:r>
      <w:r w:rsidR="007746C5">
        <w:instrText xml:space="preserve"> ADDIN ZOTERO_ITEM CSL_CITATION {"citationID":"OkzrvoiX","properties":{"unsorted":true,"formattedCitation":"(Genovesi, 2001; Rejmanek M &amp; Pitcairn M.J, 2002; Lehtiniemi et al., 2015; Simberloff, 2020)","plainCitation":"(Genovesi, 2001; Rejmanek M &amp; Pitcairn M.J, 2002; Lehtiniemi et al., 2015; Simberloff, 2020)","dontUpdate":true,"noteIndex":0},"citationItems":[{"id":24993,"uris":["http://zotero.org/groups/2352922/items/XBG9XHNN"],"itemData":{"id":24993,"type":"report","collection-title":"Other Publications in Wildlife Management","language":"en","page":"29","source":"Zotero","title":"Guidelines for Eradication of Terrestrial Vertebrates: a European Contribution to the Invasive Alien Species Issue","URL":"https://digitalcommons.unl.edu/cgi/viewcontent.cgi?referer=&amp;httpsredir=1&amp;article=1023&amp;context=icwdmother","author":[{"family":"Genovesi","given":"Piero"}],"issued":{"date-parts":[["2001"]]}}},{"id":32196,"uris":["http://zotero.org/groups/2352922/items/5HHDLH6I"],"itemData":{"id":32196,"type":"chapter","collection-title":"Occasional Paper of the IUCN Species survival Commission No. 27","container-title":"Turning the tide: The eradication of invasive species: proceedings of the International Conference on eradication of Island Invasives","event-place":"Gland, Switzerland","language":"English","page":"249-253","publisher":"IUCN","publisher-place":"Gland, Switzerland","title":"When is eradication of exotic pest plants a realistic goal?","URL":"https://portals.iucn.org/library/efiles/documents/ssc-op-028.pdf","author":[{"family":"Rejmanek","given":"M"},{"family":"Pitcairn","given":"M J"}],"editor":[{"family":"Veitch","given":"C.R."},{"family":"Clout","given":"M.N."}],"issued":{"date-parts":[["2002"]]}}},{"id":29576,"uris":["http://zotero.org/groups/2352922/items/ZJRYDSU2"],"itemData":{"id":29576,"type":"article-journal","abstract":"Non-indigenous species (NIS) are recognized as a global threat to biodiversity and monitoring their presence and impacts is considered a prerequisite for marine environmental management and sustainable development. However, monitoring for NIS seldom takes place except for a few baseline surveys. With the goal of serving the requirements of the EU Marine Strategy Framework Directive and the EU Regulation on the prevention and management of the introduction and spread of invasive alien species, the paper highlights the importance of early detection of NIS in dispersal hubs for a rapid management response, and of long-term monitoring for tracking the effects of NIS within recipient ecosystems, including coastal systems especially vulnerable to introductions. The conceptual framework also demonstrates the need for port monitoring, which should serve the above mentioned requirements but also provide the required information for implementation of the International Convention for the Control and Management of Ships Ballast Water and Sediments. Large scale monitoring of native, cryptogenic and NIS in natural and man-made habitats will collectively lead to meeting international requirements. Cost-efﬁcient rapid assessments of target species may provide timely information for managers and policy-advisers focusing on particular NIS at particular localities, but this cannot replace long-term monitoring. To support legislative requirements, collected data should be veriﬁed and stored in a publicly accessible and routinely updated database/information system. Public involvement should be encouraged as part of monitoring programs where feasible.","container-title":"Marine Policy","DOI":"10.1016/j.marpol.2014.12.015","ISSN":"0308597X","journalAbbreviation":"Marine Policy","language":"en","page":"26-35","source":"DOI.org (Crossref)","title":"Dose of truth-Monitoring marine non-indigenous species to serve legislative requirements","URL":"https://linkinghub.elsevier.com/retrieve/pii/S0308597X14003522","volume":"54","author":[{"family":"Lehtiniemi","given":"Maiju"},{"family":"Ojaveer","given":"Henn"},{"family":"David","given":"Matej"},{"family":"Galil","given":"Bella"},{"family":"Gollasch","given":"Stephan"},{"family":"McKenzie","given":"Cynthia"},{"family":"Minchin","given":"Dan"},{"family":"Occhipinti-Ambrogi","given":"Anna"},{"family":"Olenin","given":"Sergej"},{"family":"Pederson","given":"Judith"}],"accessed":{"date-parts":[["2021",7,26]]},"issued":{"date-parts":[["2015",4]]}}},{"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schema":"https://github.com/citation-style-language/schema/raw/master/csl-citation.json"} </w:instrText>
      </w:r>
      <w:r w:rsidR="00066A7E" w:rsidRPr="00837161">
        <w:fldChar w:fldCharType="separate"/>
      </w:r>
      <w:r w:rsidRPr="00837161">
        <w:t>(Genovesi, 2001; Rejmanek&amp; Pitcairn, 2002; Lehtiniemi et al., 2015; Simberloff, 2020)</w:t>
      </w:r>
      <w:r w:rsidR="00066A7E" w:rsidRPr="00837161">
        <w:fldChar w:fldCharType="end"/>
      </w:r>
      <w:r w:rsidR="00374AE2" w:rsidRPr="00837161">
        <w:t>,</w:t>
      </w:r>
      <w:r w:rsidRPr="00837161">
        <w:t xml:space="preserve"> and</w:t>
      </w:r>
      <w:r w:rsidR="009D1044" w:rsidRPr="00837161">
        <w:t xml:space="preserve"> the success of any eradication programmes depends on</w:t>
      </w:r>
      <w:r w:rsidRPr="00837161">
        <w:t xml:space="preserve"> </w:t>
      </w:r>
      <w:r w:rsidR="00374AE2" w:rsidRPr="00837161">
        <w:t>adequate resourcing</w:t>
      </w:r>
      <w:r w:rsidRPr="00837161">
        <w:t xml:space="preserve"> until all the individuals are removed </w:t>
      </w:r>
      <w:r w:rsidR="00066A7E" w:rsidRPr="00837161">
        <w:fldChar w:fldCharType="begin"/>
      </w:r>
      <w:r w:rsidR="000F35EB">
        <w:instrText xml:space="preserve"> ADDIN ZOTERO_ITEM CSL_CITATION {"citationID":"HUXC1Old","properties":{"formattedCitation":"(Simberloff, 2009)","plainCitation":"(Simberloff, 2009)","noteIndex":0},"citationItems":[{"id":17453,"uris":["http://zotero.org/groups/2352922/items/TKHYFKNT"],"itemData":{"id":17453,"type":"article-journal","abstract":"Pessimism about the prospects of eradicating invasive species or managing them at acceptably low densities is fostered by publicity about failures, but it is often unwarranted. Many species, including insects, plants, and aquatic invaders of various taxa, have been eradicated, and a variety of management techniques have maintained others at low densities for long periods. Many of these projects entailed low-tech, scorched-earth approaches, often using mechanical, physical, or chemical means. Others required sophisticated scientific research. There are at best rough guidelines rather than general rules about what approach to undertake. It is therefore important in each case to consider the full range of possible methods for eradication or long-term control, including the possibility of marshalling a massive amount of physical labor.","container-title":"Biological Invasions","DOI":"10.1007/s10530-008-9317-z","ISSN":"1573-1464","issue":"1","journalAbbreviation":"Biol Invasions","language":"en","page":"149-157","source":"Springer Link","title":"We can eliminate invasions or live with them. Successful management projects","URL":"https://doi.org/10.1007/s10530-008-9317-z","volume":"11","author":[{"family":"Simberloff","given":"Daniel"}],"accessed":{"date-parts":[["2019",10,18]]},"issued":{"date-parts":[["2009",1,1]]}}}],"schema":"https://github.com/citation-style-language/schema/raw/master/csl-citation.json"} </w:instrText>
      </w:r>
      <w:r w:rsidR="00066A7E" w:rsidRPr="00837161">
        <w:fldChar w:fldCharType="separate"/>
      </w:r>
      <w:r w:rsidR="00271B78" w:rsidRPr="00271B78">
        <w:t>(Simberloff, 2009)</w:t>
      </w:r>
      <w:r w:rsidR="00066A7E" w:rsidRPr="00837161">
        <w:fldChar w:fldCharType="end"/>
      </w:r>
      <w:r w:rsidR="00BA515C" w:rsidRPr="00837161">
        <w:rPr>
          <w:rFonts w:eastAsia="Calibri"/>
        </w:rPr>
        <w:t>.</w:t>
      </w:r>
      <w:r w:rsidRPr="00837161">
        <w:t xml:space="preserve"> </w:t>
      </w:r>
      <w:r w:rsidR="00BD7000" w:rsidRPr="00837161">
        <w:t xml:space="preserve">In general, </w:t>
      </w:r>
      <w:r w:rsidR="00AB0DB8" w:rsidRPr="00837161">
        <w:t>successful</w:t>
      </w:r>
      <w:r w:rsidR="00BD7000" w:rsidRPr="00837161">
        <w:t xml:space="preserve"> eradication</w:t>
      </w:r>
      <w:r w:rsidRPr="00837161">
        <w:t xml:space="preserve"> program</w:t>
      </w:r>
      <w:r w:rsidR="7BB0482B" w:rsidRPr="00837161">
        <w:t>me</w:t>
      </w:r>
      <w:r w:rsidRPr="00837161">
        <w:t>s that interact</w:t>
      </w:r>
      <w:r w:rsidR="00BD7000" w:rsidRPr="00837161">
        <w:t>ed</w:t>
      </w:r>
      <w:r w:rsidRPr="00837161">
        <w:t xml:space="preserve"> with human activities </w:t>
      </w:r>
      <w:r w:rsidR="00094E73" w:rsidRPr="00837161">
        <w:t>were achieved with</w:t>
      </w:r>
      <w:r w:rsidRPr="00837161">
        <w:t xml:space="preserve"> strong stakeholder support through effective engagement, education and communication </w:t>
      </w:r>
      <w:r w:rsidR="00066A7E" w:rsidRPr="00837161">
        <w:fldChar w:fldCharType="begin"/>
      </w:r>
      <w:r w:rsidR="000F35EB">
        <w:instrText xml:space="preserve"> ADDIN ZOTERO_ITEM CSL_CITATION {"citationID":"aj75sXMc","properties":{"formattedCitation":"(Myers et al., 1998; Simberloff, 2003)","plainCitation":"(Myers et al., 1998; Simberloff, 2003)","noteIndex":0},"citationItems":[{"id":15603,"uris":["http://zotero.org/groups/2352922/items/NJFYLCMC"],"itemData":{"id":15603,"type":"article-journal","abstract":"Eradication is the elimination of every single individual of a species from an area to which recolonization is unlikely to occur. Cost-benefit analyses of eradication programs involve biases that tend to underestimate the costs and overestimate the benefits. In this review, we (a) highlight limitations of current cost-benefit analyses, (b) assess eradication strategies from biological and sociological perspectives by discussing particular cases of successful and failed eradication efforts, and (c) briefly contrast eradication and ongoing area-wide control as pest management strategies. Two successful eradication programs involve the screwworm and cattle ticks. Gypsy moth and medfly eradication programs have not been successful, and subsequent captures of insects recur in eradication areas. In situations where heterogeneity of land use patterns make it difficult to prevent reinvasion of the pest, education and area-wide suppression are probably more realistic goals than eradication.","container-title":"Annual review of entomology","DOI":"10.1146/annurev.ento.43.1.471","page":"471-491","source":"Semantic Scholar","title":"Eradication and pest management.","volume":"43","author":[{"family":"Myers","given":"Judith H."},{"family":"Savoie","given":"Anne"},{"family":"Randen","given":"E.","non-dropping-particle":"van"}],"issued":{"date-parts":[["1998"]]}}},{"id":26469,"uris":["http://zotero.org/groups/2352922/items/SWNQTRGB"],"itemData":{"id":26469,"type":"article-journal","container-title":"Weed Science","DOI":"10.1614/0043-1745(2003)051[0247:EPIATO]2.0.CO;2","ISSN":"0043-1745, 1550-2759","issue":"2","journalAbbreviation":"Weed Science","language":"en","page":"247-253","source":"DOI.org (Crossref)","title":"Eradication-preventing invasions at the outset","URL":"https://www.cambridge.org/core/product/identifier/S0043174500012145/type/journal_article","volume":"51","author":[{"family":"Simberloff","given":"Daniel"}],"accessed":{"date-parts":[["2019",10,18]]},"issued":{"date-parts":[["2003",3]]}}}],"schema":"https://github.com/citation-style-language/schema/raw/master/csl-citation.json"} </w:instrText>
      </w:r>
      <w:r w:rsidR="00066A7E" w:rsidRPr="00837161">
        <w:fldChar w:fldCharType="separate"/>
      </w:r>
      <w:r w:rsidR="00271B78" w:rsidRPr="00271B78">
        <w:t>(Myers et al., 1998; Simberloff, 2003)</w:t>
      </w:r>
      <w:r w:rsidR="00066A7E" w:rsidRPr="00837161">
        <w:fldChar w:fldCharType="end"/>
      </w:r>
      <w:r w:rsidRPr="00837161">
        <w:t>. It is also important to evaluate in advance the conditions which may thwart an eradication program</w:t>
      </w:r>
      <w:r w:rsidR="7BB0482B" w:rsidRPr="00837161">
        <w:t>me</w:t>
      </w:r>
      <w:r w:rsidRPr="00837161">
        <w:t xml:space="preserve"> - for </w:t>
      </w:r>
      <w:r w:rsidR="7BB0482B" w:rsidRPr="00837161">
        <w:t>example</w:t>
      </w:r>
      <w:r w:rsidRPr="00837161">
        <w:t xml:space="preserve">, an eradication attempt of </w:t>
      </w:r>
      <w:r w:rsidR="76124D13" w:rsidRPr="00837161">
        <w:rPr>
          <w:i/>
          <w:iCs/>
        </w:rPr>
        <w:t>Prosopis juliflora</w:t>
      </w:r>
      <w:r w:rsidR="76124D13" w:rsidRPr="00837161">
        <w:t xml:space="preserve"> (</w:t>
      </w:r>
      <w:r w:rsidRPr="00837161">
        <w:t xml:space="preserve">mesquite) in Ethiopia failed due to lack of resources </w:t>
      </w:r>
      <w:r w:rsidR="00066A7E" w:rsidRPr="00837161">
        <w:fldChar w:fldCharType="begin"/>
      </w:r>
      <w:r w:rsidR="007746C5">
        <w:instrText xml:space="preserve"> ADDIN ZOTERO_ITEM CSL_CITATION {"citationID":"T4aAuw4J","properties":{"formattedCitation":"(Rettberg, 2010)","plainCitation":"(Rettberg, 2010)","dontUpdate":true,"noteIndex":0},"citationItems":[{"id":15882,"uris":["http://zotero.org/groups/2352922/items/2ELAFJ42"],"itemData":{"id":15882,"type":"article-journal","abstract":"This paper emphasises the role of local knowledge, risk perceptions and decision patterns in analyzing changing pastoral livelihood strategies. Based on an intensive empirical case study within the Middle Awash Basin of Ethiopia’s Afar region it is argued that the main concern for Afar pastoralists are political risks evolving from recurrent violent conﬂicts and increasing governmental development interventions, while drought plays only a minor role within local narratives of risk. Special attention is drawn to the strategic instrumentalization of heterogeneous governmental and pastoral risk narratives and the impact of conﬂicting narratives on the current pastoral livelihood crisis, shaped by an increasing vulnerability and an ongoing political and economic marginalization of pastoralists in Ethiopia.","container-title":"Pastoralism - Research, policy and practice","DOI":"10.3362/2041-7136.2010.014","ISSN":"2041-7128,  2041-7136","issue":"2","language":"en","page":"248-273","source":"Zotero","title":"Contested narratives of pastoral vulnerability and risk in Ethiopia’s Afar region","URL":"https://www.humanitarianlibrary.org/sites/default/files/2013/07/s7.pdf","volume":"1","author":[{"family":"Rettberg","given":"Simone"}],"issued":{"date-parts":[["2010"]]}}}],"schema":"https://github.com/citation-style-language/schema/raw/master/csl-citation.json"} </w:instrText>
      </w:r>
      <w:r w:rsidR="00066A7E" w:rsidRPr="00837161">
        <w:fldChar w:fldCharType="separate"/>
      </w:r>
      <w:r w:rsidRPr="00837161">
        <w:t>(Rettberg, 2010</w:t>
      </w:r>
      <w:r w:rsidR="00066A7E" w:rsidRPr="00837161">
        <w:fldChar w:fldCharType="end"/>
      </w:r>
      <w:r w:rsidR="007C729C" w:rsidRPr="00837161">
        <w:t>;</w:t>
      </w:r>
      <w:r w:rsidRPr="001C4A3F">
        <w:rPr>
          <w:b/>
        </w:rPr>
        <w:t xml:space="preserve"> </w:t>
      </w:r>
      <w:r w:rsidRPr="001C4A3F">
        <w:rPr>
          <w:b/>
          <w:iCs/>
        </w:rPr>
        <w:t>section 5.6</w:t>
      </w:r>
      <w:r w:rsidRPr="00837161">
        <w:t>).</w:t>
      </w:r>
    </w:p>
    <w:p w14:paraId="3241B4C4" w14:textId="29496056" w:rsidR="00066A7E" w:rsidRPr="00837161" w:rsidRDefault="00066A7E" w:rsidP="00C11DFA">
      <w:pPr>
        <w:spacing w:before="240" w:after="120" w:line="240" w:lineRule="auto"/>
        <w:rPr>
          <w:rFonts w:eastAsia="Calibri"/>
        </w:rPr>
      </w:pPr>
      <w:r w:rsidRPr="00837161">
        <w:t>A r</w:t>
      </w:r>
      <w:r w:rsidRPr="00837161">
        <w:rPr>
          <w:rFonts w:eastAsia="Calibri"/>
        </w:rPr>
        <w:t>eview of eradication program</w:t>
      </w:r>
      <w:r w:rsidR="00CC130F" w:rsidRPr="00837161">
        <w:t>me</w:t>
      </w:r>
      <w:r w:rsidRPr="00837161">
        <w:rPr>
          <w:rFonts w:eastAsia="Calibri"/>
        </w:rPr>
        <w:t xml:space="preserve">s of invasive alien plants conducted by </w:t>
      </w:r>
      <w:r w:rsidRPr="00837161">
        <w:t xml:space="preserve">Rejmanek &amp; Pitcairn </w:t>
      </w:r>
      <w:r w:rsidR="00316B0E" w:rsidRPr="00837161">
        <w:fldChar w:fldCharType="begin"/>
      </w:r>
      <w:r w:rsidR="007746C5">
        <w:instrText xml:space="preserve"> ADDIN ZOTERO_ITEM CSL_CITATION {"citationID":"B5YcSvcY","properties":{"formattedCitation":"(Rejmanek &amp; Pitcairn, 2002)","plainCitation":"(Rejmanek &amp; Pitcairn, 2002)","dontUpdate":true,"noteIndex":0},"citationItems":[{"id":32196,"uris":["http://zotero.org/groups/2352922/items/5HHDLH6I"],"itemData":{"id":32196,"type":"chapter","collection-title":"Occasional Paper of the IUCN Species survival Commission No. 27","container-title":"Turning the tide: The eradication of invasive species: proceedings of the International Conference on eradication of Island Invasives","event-place":"Gland, Switzerland","language":"English","page":"249-253","publisher":"IUCN","publisher-place":"Gland, Switzerland","title":"When is eradication of exotic pest plants a realistic goal?","URL":"https://portals.iucn.org/library/efiles/documents/ssc-op-028.pdf","author":[{"family":"Rejmanek","given":"M"},{"family":"Pitcairn","given":"M J"}],"editor":[{"family":"Veitch","given":"C.R."},{"family":"Clout","given":"M.N."}],"issued":{"date-parts":[["2002"]]}}}],"schema":"https://github.com/citation-style-language/schema/raw/master/csl-citation.json"} </w:instrText>
      </w:r>
      <w:r w:rsidR="00316B0E" w:rsidRPr="00837161">
        <w:fldChar w:fldCharType="separate"/>
      </w:r>
      <w:r w:rsidR="00AD035F" w:rsidRPr="00837161">
        <w:t>(2002)</w:t>
      </w:r>
      <w:r w:rsidR="00316B0E" w:rsidRPr="00837161">
        <w:fldChar w:fldCharType="end"/>
      </w:r>
      <w:r w:rsidRPr="00837161">
        <w:rPr>
          <w:rFonts w:eastAsia="Calibri"/>
        </w:rPr>
        <w:t xml:space="preserve"> concluded that</w:t>
      </w:r>
      <w:r w:rsidR="00EF3DA9" w:rsidRPr="00837161">
        <w:rPr>
          <w:rFonts w:eastAsia="Calibri"/>
        </w:rPr>
        <w:t xml:space="preserve"> management of populations</w:t>
      </w:r>
      <w:r w:rsidRPr="00837161">
        <w:rPr>
          <w:rFonts w:eastAsia="Calibri"/>
        </w:rPr>
        <w:t xml:space="preserve"> </w:t>
      </w:r>
      <w:r w:rsidR="00EF3DA9" w:rsidRPr="00837161">
        <w:rPr>
          <w:rFonts w:eastAsia="Calibri"/>
        </w:rPr>
        <w:t>spread across</w:t>
      </w:r>
      <w:r w:rsidRPr="00837161">
        <w:rPr>
          <w:rFonts w:eastAsia="Calibri"/>
        </w:rPr>
        <w:t xml:space="preserve"> habitats greater than 1000 hectares </w:t>
      </w:r>
      <w:r w:rsidR="007E6FFC">
        <w:rPr>
          <w:rFonts w:eastAsia="Calibri"/>
        </w:rPr>
        <w:t>is</w:t>
      </w:r>
      <w:r w:rsidR="007E6FFC" w:rsidRPr="00837161">
        <w:rPr>
          <w:rFonts w:eastAsia="Calibri"/>
        </w:rPr>
        <w:t xml:space="preserve"> </w:t>
      </w:r>
      <w:r w:rsidRPr="00837161">
        <w:rPr>
          <w:rFonts w:eastAsia="Calibri"/>
        </w:rPr>
        <w:t xml:space="preserve">very unlikely to be </w:t>
      </w:r>
      <w:r w:rsidR="5C17C7BC" w:rsidRPr="00837161">
        <w:rPr>
          <w:rFonts w:eastAsia="Calibri"/>
        </w:rPr>
        <w:t>successful</w:t>
      </w:r>
      <w:r w:rsidRPr="00837161">
        <w:rPr>
          <w:rFonts w:eastAsia="Calibri"/>
        </w:rPr>
        <w:t xml:space="preserve">, </w:t>
      </w:r>
      <w:r w:rsidRPr="00837161">
        <w:t xml:space="preserve">especially if the target has high spread rates (e.g., </w:t>
      </w:r>
      <w:r w:rsidR="6B33AC30" w:rsidRPr="00837161">
        <w:rPr>
          <w:i/>
          <w:iCs/>
        </w:rPr>
        <w:t>Lantana</w:t>
      </w:r>
      <w:r w:rsidRPr="00837161">
        <w:rPr>
          <w:i/>
          <w:iCs/>
        </w:rPr>
        <w:t xml:space="preserve"> camara</w:t>
      </w:r>
      <w:r w:rsidR="00647B7F" w:rsidRPr="00837161">
        <w:rPr>
          <w:i/>
          <w:iCs/>
        </w:rPr>
        <w:t xml:space="preserve"> </w:t>
      </w:r>
      <w:r w:rsidR="00647B7F" w:rsidRPr="00837161">
        <w:rPr>
          <w:rFonts w:eastAsia="Calibri"/>
        </w:rPr>
        <w:t>(lantana)</w:t>
      </w:r>
      <w:r w:rsidRPr="00837161">
        <w:t xml:space="preserve">; </w:t>
      </w:r>
      <w:r w:rsidR="00AD035F" w:rsidRPr="00837161">
        <w:fldChar w:fldCharType="begin"/>
      </w:r>
      <w:r w:rsidR="00E25D54">
        <w:instrText xml:space="preserve"> ADDIN ZOTERO_ITEM CSL_CITATION {"citationID":"m4R6ttNM","properties":{"formattedCitation":"(Ranjan, 2019)","plainCitation":"(Ranjan, 2019)","dontUpdate":true,"noteIndex":0},"citationItems":[{"id":24545,"uris":["http://zotero.org/groups/2352922/items/MRSLVGMJ"],"itemData":{"id":24545,"type":"article-journal","abstract":"A payment for ecosystem services mechanism is designed to support an environmental enterprise aimed at controlling Lantana camara, an invasive weed that is costly to eradicate. A forest reserve manager engages the local community in lantana control efforts. The community converts the weeds into household durable items for sale. However, as markets for such products may not account for the environmental services generated through weed control, the enterprise could fail for want of additional financial support. The challenge addressed in this paper is to incorporate the full environmental benefits of the weed-based enterprise and provide adequate compensation to the local community. An optimal compensation mechanism is derived through linking the ecological dimension of weed growth to its impact on biodiversity values within the reserve. Results indicate that optimal payments to the community would need to take into consideration both the value addition to the environment from controlling the invasive weed and the opportunity cost of participation by the community. When there exists a risk of enterprise failure due to low profitability, higher payments by the manager are required. However, the best environmental outcomes are obtained when the manager incorporates the welfare of the local community within the utility function. © 2019 Elsevier B.V.","container-title":"Ecological Economics","DOI":"10.1016/j.ecolecon.2019.106380","ISSN":"09218009","language":"en","page":"106380","title":"Deriving double dividends through linking payments for ecosystem services to environmental entrepreneurship: The case of the invasive weed &lt;i&gt;Lantana camara&lt;/i&gt;","URL":"https://www.scopus.com/inward/record.uri?eid=2-s2.0-85068551827&amp;doi=10.1016%2fj.ecolecon.2019.106380&amp;partnerID=40&amp;md5=6e649791052b6a22e3b0eac1b28827ee","volume":"164","author":[{"family":"Ranjan","given":"R."}],"issued":{"date-parts":[["2019"]]}}}],"schema":"https://github.com/citation-style-language/schema/raw/master/csl-citation.json"} </w:instrText>
      </w:r>
      <w:r w:rsidR="00AD035F" w:rsidRPr="00837161">
        <w:fldChar w:fldCharType="separate"/>
      </w:r>
      <w:r w:rsidR="00AD035F" w:rsidRPr="00837161">
        <w:t>Ranjan, 2019)</w:t>
      </w:r>
      <w:r w:rsidR="00AD035F" w:rsidRPr="00837161">
        <w:fldChar w:fldCharType="end"/>
      </w:r>
      <w:r w:rsidRPr="00837161">
        <w:t xml:space="preserve"> or seedbanks are hard to detect. It is difficult to eradicate invasive alien plants compared to invasive </w:t>
      </w:r>
      <w:r w:rsidR="007E6FFC">
        <w:t xml:space="preserve">alien </w:t>
      </w:r>
      <w:r w:rsidRPr="00837161">
        <w:t xml:space="preserve">vertebrates </w:t>
      </w:r>
      <w:r w:rsidR="001C4A3F">
        <w:fldChar w:fldCharType="begin"/>
      </w:r>
      <w:r w:rsidR="000F35EB">
        <w:instrText xml:space="preserve"> ADDIN ZOTERO_ITEM CSL_CITATION {"citationID":"elhK8geZ","properties":{"formattedCitation":"(Robertson et al., 2019)","plainCitation":"(Robertson et al., 2019)","noteIndex":0},"citationItems":[{"id":30850,"uris":["http://zotero.org/groups/2352922/items/K5U3QNCX"],"itemData":{"id":30850,"type":"paper-conference","container-title":"Island invasives: scaling up to meet the challenge.: Proceedings of the international conference on island invasives.","DOI":"https://doi.org/10.2305/IUCN.CH.2019.SSC-OP.62.en","page":"687–691","publisher":"IUCN","source":"Google Scholar","title":"Invasive species removals and scale – contrasting island and mainland experience","volume":"62","author":[{"family":"Robertson","given":"Peter A."},{"family":"Roy","given":"Sugoto"},{"family":"Mill","given":"Aileen C."},{"family":"Shirley","given":"M."},{"family":"Adriaens","given":"Tim"},{"family":"Ward","given":"A. I."},{"family":"Tatayah","given":"V."},{"family":"Booy","given":"Olaf"}],"issued":{"date-parts":[["2019"]]}}}],"schema":"https://github.com/citation-style-language/schema/raw/master/csl-citation.json"} </w:instrText>
      </w:r>
      <w:r w:rsidR="001C4A3F">
        <w:fldChar w:fldCharType="separate"/>
      </w:r>
      <w:r w:rsidR="00271B78" w:rsidRPr="00271B78">
        <w:t>(Robertson et al., 2019)</w:t>
      </w:r>
      <w:r w:rsidR="001C4A3F">
        <w:fldChar w:fldCharType="end"/>
      </w:r>
      <w:r w:rsidRPr="00837161">
        <w:t xml:space="preserve">. Moreover, successful eradications of invasive alien plants were of those which infested smaller areas than those of invasive alien vertebrates </w:t>
      </w:r>
      <w:r w:rsidRPr="00837161">
        <w:fldChar w:fldCharType="begin"/>
      </w:r>
      <w:r w:rsidR="000F35EB">
        <w:instrText xml:space="preserve"> ADDIN ZOTERO_ITEM CSL_CITATION {"citationID":"o4PxOvs6","properties":{"formattedCitation":"(Robertson et al., 2019)","plainCitation":"(Robertson et al., 2019)","dontUpdate":true,"noteIndex":0},"citationItems":[{"id":30850,"uris":["http://zotero.org/groups/2352922/items/K5U3QNCX"],"itemData":{"id":30850,"type":"paper-conference","container-title":"Island invasives: scaling up to meet the challenge.: Proceedings of the international conference on island invasives.","DOI":"https://doi.org/10.2305/IUCN.CH.2019.SSC-OP.62.en","page":"687–691","publisher":"IUCN","source":"Google Scholar","title":"Invasive species removals and scale – contrasting island and mainland experience","volume":"62","author":[{"family":"Robertson","given":"Peter A."},{"family":"Roy","given":"Sugoto"},{"family":"Mill","given":"Aileen C."},{"family":"Shirley","given":"M."},{"family":"Adriaens","given":"Tim"},{"family":"Ward","given":"A. I."},{"family":"Tatayah","given":"V."},{"family":"Booy","given":"Olaf"}],"issued":{"date-parts":[["2019"]]}}}],"schema":"https://github.com/citation-style-language/schema/raw/master/csl-citation.json"} </w:instrText>
      </w:r>
      <w:r w:rsidRPr="00837161">
        <w:fldChar w:fldCharType="separate"/>
      </w:r>
      <w:r w:rsidRPr="00837161">
        <w:t>(Rejmanek &amp; Pitcairn, 2002; Robertson et al., 2019)</w:t>
      </w:r>
      <w:r w:rsidRPr="00837161">
        <w:fldChar w:fldCharType="end"/>
      </w:r>
      <w:r w:rsidRPr="00837161">
        <w:t xml:space="preserve">. At a global scale, </w:t>
      </w:r>
      <w:r w:rsidRPr="00837161">
        <w:rPr>
          <w:rFonts w:eastAsia="Calibri"/>
        </w:rPr>
        <w:t>several program</w:t>
      </w:r>
      <w:r w:rsidR="00CC130F" w:rsidRPr="00837161">
        <w:t>me</w:t>
      </w:r>
      <w:r w:rsidRPr="00837161">
        <w:rPr>
          <w:rFonts w:eastAsia="Calibri"/>
        </w:rPr>
        <w:t xml:space="preserve">s have been implemented since the 1970s to eradicate </w:t>
      </w:r>
      <w:r w:rsidR="007E6FFC">
        <w:rPr>
          <w:rFonts w:eastAsia="Calibri"/>
        </w:rPr>
        <w:t xml:space="preserve">invasve </w:t>
      </w:r>
      <w:r w:rsidRPr="00837161">
        <w:rPr>
          <w:rFonts w:eastAsia="Calibri"/>
        </w:rPr>
        <w:t>alien forest insects</w:t>
      </w:r>
      <w:r w:rsidR="007E6FFC">
        <w:rPr>
          <w:rFonts w:eastAsia="Calibri"/>
        </w:rPr>
        <w:t>,</w:t>
      </w:r>
      <w:r w:rsidRPr="00837161">
        <w:rPr>
          <w:rFonts w:eastAsia="Calibri"/>
        </w:rPr>
        <w:t xml:space="preserve"> with most </w:t>
      </w:r>
      <w:r w:rsidR="68811CCC" w:rsidRPr="00837161">
        <w:rPr>
          <w:rFonts w:eastAsia="Calibri"/>
        </w:rPr>
        <w:t>documented examples</w:t>
      </w:r>
      <w:r w:rsidRPr="00837161">
        <w:rPr>
          <w:rFonts w:eastAsia="Calibri"/>
        </w:rPr>
        <w:t xml:space="preserve"> proving successful </w:t>
      </w:r>
      <w:r w:rsidR="00AD035F" w:rsidRPr="00837161">
        <w:fldChar w:fldCharType="begin"/>
      </w:r>
      <w:r w:rsidR="000F35EB">
        <w:instrText xml:space="preserve"> ADDIN ZOTERO_ITEM CSL_CITATION {"citationID":"NSpn1MT0","properties":{"formattedCitation":"(Brockerhoff et al., 2010; Liebhold et al., 2016; Liebhold &amp; Kean, 2019; Tobin et al., 2014)","plainCitation":"(Brockerhoff et al., 2010; Liebhold et al., 2016; Liebhold &amp; Kean, 2019; Tobin et al., 2014)","noteIndex":0},"citationItems":[{"id":25150,"uris":["http://zotero.org/groups/2352922/items/TBEG82AU"],"itemData":{"id":25150,"type":"article-journal","abstract":"Invasive exotic insects can cause substantial damage to trees and the environment, and may reduce biodiversity. They can have a large negative economic effect on the forest industry, urban amenity trees and numerous other sectors, and they may necessitate extensive management expenditures. For such high-impact invaders, eradication is desirable but also difficult and often highly controversial. It requires substantial input of resources and commitment from managers and stakeholders, including the general public. Appropriate tools for surveillance and control of the target species must be available if success is to be achieved. This review outlines the sequence of steps required in well-managed operations; examines characteristics of successful and unsuccessful eradication campaigns; describes methods and tools known to be effective against specific pests; and discusses the analysis of costs and benefits of eradication programmes.","container-title":"New Zealand Journal of Forestry Science","ISSN":"1179-5395","language":"en","page":"S117-S135","source":"www.fs.usda.gov","title":"Eradication of invasive forest insects: concepts, methods, costs and benefits","title-short":"Eradication of invasive forest insects","URL":"https://www.fs.usda.gov/treesearch/pubs/34736","volume":"40","author":[{"family":"Brockerhoff","given":"Eckehard G."},{"family":"Liebhold","given":"Andrew M."},{"family":"Richardson","given":"Brian"},{"family":"Suckling","given":"David M."}],"accessed":{"date-parts":[["2019",10,18]]},"issued":{"date-parts":[["2010"]]}}},{"id":12576,"uris":["http://zotero.org/groups/2352922/items/H3MZHLT2"],"itemData":{"id":12576,"type":"article-journal","container-title":"Annual Review of Entomology","DOI":"10.1146/annurev-ento-010715-023809","ISSN":"0066-4170, 1545-4487","issue":"1","journalAbbreviation":"Annu. Rev. Entomol.","language":"en","page":"335-352","source":"DOI.org (Crossref)","title":"Eradication of Invading Insect Populations: From Concepts to Applications","title-short":"Eradication of Invading Insect Populations","URL":"http://www.annualreviews.org/doi/10.1146/annurev-ento-010715-023809","volume":"61","author":[{"family":"Liebhold","given":"Andrew M."},{"family":"Berec","given":"Ludek"},{"family":"Brockerhoff","given":"Eckehard G."},{"family":"Epanchin-Niell","given":"Rebecca S."},{"family":"Hastings","given":"Alan"},{"family":"Herms","given":"Daniel A."},{"family":"Kean","given":"John M."},{"family":"McCullough","given":"Deborah G."},{"family":"Suckling","given":"David M."},{"family":"Tobin","given":"Patrick C."},{"family":"Yamanaka","given":"Takehiko"}],"accessed":{"date-parts":[["2019",10,23]]},"issued":{"date-parts":[["2016",3,11]]}}},{"id":31620,"uris":["http://zotero.org/groups/2352922/items/RX57FJ2S"],"itemData":{"id":31620,"type":"article-journal","abstract":"The problem of forest insect invasions is intensifying. Non-native forest insects are invading virtually every world region, and many are causing severe ecological and economic impacts. Biosecurity programs provide for intervention at various stages of the invasion process in order to mitigate the invasion problem. While preventing initial arrival of non-native insect species is a sound approach, such prevention is not always possible so additional measures are needed to manage invasions. Surveillance coupled with eradication is a valuable strategy for preventing the establishment of many new and potentially damaging species. Once non-native species are established, containment measures can be implemented to stop or slow the spread of these species in their non-native habitat. Here, we review how eradication and containment can be carried out as strategies for managing forest insect invasions. Several hundred programs have been implemented to eradicate non-native forest insects, with most programs proving successful. The vast majority of these eradication programs were implemented from 1970 onward. Pheromone-baited traps play a key role for detection and delimitation in most successful eradication programs. The isolation and synthesis of pheromones provided a key technology that facilitated forest insect eradications starting in the 1970s. Several examples are provided that illustrate both successful and failed eradication and containment programs. Consideration of historical experiences suggests the conditions that may lead to either success or failure of eradication and containment efforts.","container-title":"Journal of Pest Science","DOI":"10.1007/s10340-018-1056-z","ISSN":"1612-4758, 1612-4766","issue":"1","journalAbbreviation":"J Pest Sci","language":"en","page":"83-91","source":"DOI.org (Crossref)","title":"Eradication and containment of non-native forest insects: successes and failures","title-short":"Eradication and containment of non-native forest insects","URL":"http://link.springer.com/10.1007/s10340-018-1056-z","volume":"92","author":[{"family":"Liebhold","given":"Andrew M."},{"family":"Kean","given":"John M."}],"accessed":{"date-parts":[["2019",11,3]]},"issued":{"date-parts":[["2019",1]]}}},{"id":16907,"uris":["http://zotero.org/groups/2352922/items/IR2FJXK5"],"itemData":{"id":16907,"type":"article-journal","container-title":"Biological Invasions","DOI":"10.1007/s10530-013-0529-5","ISSN":"1387-3547, 1573-1464","issue":"2","journalAbbreviation":"Biol Invasions","language":"en","page":"401-414","source":"DOI.org (Crossref)","title":"Determinants of successful arthropod eradication programs","URL":"http://link.springer.com/10.1007/s10530-013-0529-5","volume":"16","author":[{"family":"Tobin","given":"Patrick C."},{"family":"Kean","given":"John M."},{"family":"Suckling","given":"David Maxwell"},{"family":"McCullough","given":"Deborah G."},{"family":"Herms","given":"Daniel A."},{"family":"Stringer","given":"Lloyd D."}],"accessed":{"date-parts":[["2019",10,18]]},"issued":{"date-parts":[["2014",2]]}}}],"schema":"https://github.com/citation-style-language/schema/raw/master/csl-citation.json"} </w:instrText>
      </w:r>
      <w:r w:rsidR="00AD035F" w:rsidRPr="00837161">
        <w:fldChar w:fldCharType="separate"/>
      </w:r>
      <w:r w:rsidR="00271B78" w:rsidRPr="00271B78">
        <w:t>(Brockerhoff et al., 2010; Liebhold et al., 2016; Liebhold &amp; Kean, 2019; Tobin et al., 2014)</w:t>
      </w:r>
      <w:r w:rsidR="00AD035F" w:rsidRPr="00837161">
        <w:fldChar w:fldCharType="end"/>
      </w:r>
      <w:r w:rsidRPr="00837161">
        <w:rPr>
          <w:rFonts w:eastAsia="Calibri"/>
        </w:rPr>
        <w:t>. The cost of forest pest eradication program</w:t>
      </w:r>
      <w:r w:rsidR="00CC130F" w:rsidRPr="00837161">
        <w:t>me</w:t>
      </w:r>
      <w:r w:rsidRPr="00837161">
        <w:rPr>
          <w:rFonts w:eastAsia="Calibri"/>
        </w:rPr>
        <w:t xml:space="preserve">s increases with the size of the area affected </w:t>
      </w:r>
      <w:r w:rsidRPr="00837161">
        <w:rPr>
          <w:rFonts w:eastAsia="Calibri"/>
        </w:rPr>
        <w:fldChar w:fldCharType="begin"/>
      </w:r>
      <w:r w:rsidR="000F35EB">
        <w:rPr>
          <w:rFonts w:eastAsia="Calibri"/>
        </w:rPr>
        <w:instrText xml:space="preserve"> ADDIN ZOTERO_ITEM CSL_CITATION {"citationID":"AnUUaRz5","properties":{"formattedCitation":"(Brockerhoff et al., 2010)","plainCitation":"(Brockerhoff et al., 2010)","dontUpdate":true,"noteIndex":0},"citationItems":[{"id":25150,"uris":["http://zotero.org/groups/2352922/items/TBEG82AU"],"itemData":{"id":25150,"type":"article-journal","abstract":"Invasive exotic insects can cause substantial damage to trees and the environment, and may reduce biodiversity. They can have a large negative economic effect on the forest industry, urban amenity trees and numerous other sectors, and they may necessitate extensive management expenditures. For such high-impact invaders, eradication is desirable but also difficult and often highly controversial. It requires substantial input of resources and commitment from managers and stakeholders, including the general public. Appropriate tools for surveillance and control of the target species must be available if success is to be achieved. This review outlines the sequence of steps required in well-managed operations; examines characteristics of successful and unsuccessful eradication campaigns; describes methods and tools known to be effective against specific pests; and discusses the analysis of costs and benefits of eradication programmes.","container-title":"New Zealand Journal of Forestry Science","ISSN":"1179-5395","language":"en","page":"S117-S135","source":"www.fs.usda.gov","title":"Eradication of invasive forest insects: concepts, methods, costs and benefits","title-short":"Eradication of invasive forest insects","URL":"https://www.fs.usda.gov/treesearch/pubs/34736","volume":"40","author":[{"family":"Brockerhoff","given":"Eckehard G."},{"family":"Liebhold","given":"Andrew M."},{"family":"Richardson","given":"Brian"},{"family":"Suckling","given":"David M."}],"accessed":{"date-parts":[["2019",10,18]]},"issued":{"date-parts":[["2010"]]}}}],"schema":"https://github.com/citation-style-language/schema/raw/master/csl-citation.json"} </w:instrText>
      </w:r>
      <w:r w:rsidRPr="00837161">
        <w:rPr>
          <w:rFonts w:eastAsia="Calibri"/>
        </w:rPr>
        <w:fldChar w:fldCharType="separate"/>
      </w:r>
      <w:r w:rsidRPr="00837161">
        <w:t>(Brockerhoff et al., 2010</w:t>
      </w:r>
      <w:r w:rsidRPr="00837161">
        <w:rPr>
          <w:rFonts w:eastAsia="Calibri"/>
        </w:rPr>
        <w:fldChar w:fldCharType="end"/>
      </w:r>
      <w:r w:rsidR="00C731F1" w:rsidRPr="00837161">
        <w:rPr>
          <w:rFonts w:eastAsia="Calibri"/>
        </w:rPr>
        <w:t>;</w:t>
      </w:r>
      <w:r w:rsidRPr="00837161">
        <w:rPr>
          <w:rFonts w:eastAsia="Calibri"/>
        </w:rPr>
        <w:t xml:space="preserve"> </w:t>
      </w:r>
      <w:r w:rsidRPr="001C4A3F">
        <w:rPr>
          <w:rFonts w:eastAsia="Calibri"/>
          <w:b/>
          <w:iCs/>
        </w:rPr>
        <w:t>Box 5.16</w:t>
      </w:r>
      <w:r w:rsidR="004F03F2" w:rsidRPr="001C4A3F">
        <w:rPr>
          <w:rFonts w:eastAsia="Calibri"/>
        </w:rPr>
        <w:t>;</w:t>
      </w:r>
      <w:r w:rsidRPr="001C4A3F">
        <w:rPr>
          <w:rFonts w:eastAsia="Calibri"/>
          <w:b/>
          <w:iCs/>
        </w:rPr>
        <w:t xml:space="preserve"> </w:t>
      </w:r>
      <w:r w:rsidR="00EA0967">
        <w:rPr>
          <w:rFonts w:eastAsia="Calibri"/>
          <w:b/>
          <w:iCs/>
        </w:rPr>
        <w:t>S</w:t>
      </w:r>
      <w:r w:rsidR="00656716" w:rsidRPr="001C4A3F">
        <w:rPr>
          <w:rFonts w:eastAsia="Calibri"/>
          <w:b/>
          <w:iCs/>
        </w:rPr>
        <w:t xml:space="preserve">upplementary </w:t>
      </w:r>
      <w:r w:rsidRPr="001C4A3F">
        <w:rPr>
          <w:rFonts w:eastAsia="Calibri"/>
          <w:b/>
          <w:iCs/>
        </w:rPr>
        <w:t>material 5.1</w:t>
      </w:r>
      <w:r w:rsidR="00A614AA" w:rsidRPr="001C4A3F">
        <w:rPr>
          <w:rFonts w:eastAsia="Calibri"/>
          <w:b/>
          <w:iCs/>
        </w:rPr>
        <w:t>0</w:t>
      </w:r>
      <w:r w:rsidRPr="00837161">
        <w:rPr>
          <w:rFonts w:eastAsia="Calibri"/>
        </w:rPr>
        <w:t xml:space="preserve"> for more examples</w:t>
      </w:r>
      <w:r w:rsidR="00C731F1" w:rsidRPr="00837161">
        <w:rPr>
          <w:rFonts w:eastAsia="Calibri"/>
        </w:rPr>
        <w:t>)</w:t>
      </w:r>
      <w:r w:rsidRPr="00837161">
        <w:rPr>
          <w:rFonts w:eastAsia="Calibri"/>
        </w:rPr>
        <w:t>.</w:t>
      </w:r>
    </w:p>
    <w:p w14:paraId="00000674" w14:textId="3040645F" w:rsidR="00A758FD" w:rsidRPr="00C0338D" w:rsidRDefault="00C81287">
      <w:pPr>
        <w:spacing w:before="240" w:after="120" w:line="240" w:lineRule="auto"/>
        <w:rPr>
          <w:color w:val="000000"/>
        </w:rPr>
      </w:pPr>
      <w:r w:rsidRPr="00C0338D">
        <w:t xml:space="preserve">An eradication programme of </w:t>
      </w:r>
      <w:r w:rsidRPr="00C0338D">
        <w:rPr>
          <w:i/>
        </w:rPr>
        <w:t>Oryctolagus cuniculus</w:t>
      </w:r>
      <w:r w:rsidRPr="00C0338D">
        <w:t xml:space="preserve"> (rabbits) in Tierra del Fuego (Argentina)</w:t>
      </w:r>
      <w:r w:rsidR="007E6FFC">
        <w:t>,</w:t>
      </w:r>
      <w:r w:rsidRPr="00C0338D">
        <w:t xml:space="preserve"> which disturbed soil and threatened native species</w:t>
      </w:r>
      <w:r w:rsidR="007E6FFC">
        <w:t xml:space="preserve">, </w:t>
      </w:r>
      <w:r w:rsidRPr="00C0338D">
        <w:t xml:space="preserve">was legally challenged by animal rights supporters </w:t>
      </w:r>
      <w:r w:rsidR="00066A7E" w:rsidRPr="00837161">
        <w:fldChar w:fldCharType="begin"/>
      </w:r>
      <w:r w:rsidR="000F35EB">
        <w:instrText xml:space="preserve"> ADDIN ZOTERO_ITEM CSL_CITATION {"citationID":"LeyHj6A1","properties":{"formattedCitation":"(CADIC-CONICET, 2020)","plainCitation":"(CADIC-CONICET, 2020)","dontUpdate":true,"noteIndex":0},"citationItems":[{"id":29624,"uris":["http://zotero.org/groups/2352922/items/TH8TCRKH"],"itemData":{"id":29624,"type":"post-weblog","language":"es","title":"Control de plagas en el predio del CADIC","URL":"https://cadic.conicet.gov.ar/?post_type=post&amp;p=4896","author":[{"literal":"CADIC-CONICET"}],"accessed":{"date-parts":[["2021",8,16]]},"issued":{"date-parts":[["2020",5,19]]}}}],"schema":"https://github.com/citation-style-language/schema/raw/master/csl-citation.json"} </w:instrText>
      </w:r>
      <w:r w:rsidR="00066A7E" w:rsidRPr="00837161">
        <w:fldChar w:fldCharType="separate"/>
      </w:r>
      <w:r w:rsidR="5140D151" w:rsidRPr="00837161">
        <w:t>(CADIC-CONICET, 2020</w:t>
      </w:r>
      <w:r w:rsidR="00066A7E" w:rsidRPr="00837161">
        <w:fldChar w:fldCharType="end"/>
      </w:r>
      <w:r w:rsidR="00C731F1" w:rsidRPr="00837161">
        <w:t xml:space="preserve">; </w:t>
      </w:r>
      <w:r w:rsidR="5140D151" w:rsidRPr="00656716">
        <w:rPr>
          <w:b/>
          <w:iCs/>
        </w:rPr>
        <w:t>section 5.</w:t>
      </w:r>
      <w:r w:rsidR="370FA09B" w:rsidRPr="00656716">
        <w:rPr>
          <w:b/>
          <w:iCs/>
        </w:rPr>
        <w:t>6.2</w:t>
      </w:r>
      <w:r w:rsidR="5140D151" w:rsidRPr="00837161">
        <w:t>).</w:t>
      </w:r>
      <w:r w:rsidRPr="00C0338D">
        <w:t xml:space="preserve"> A mosquito surveillance programme was set up in New Zealand in 1998 in response to the infestation of </w:t>
      </w:r>
      <w:r w:rsidRPr="00C0338D">
        <w:rPr>
          <w:i/>
        </w:rPr>
        <w:t xml:space="preserve">Aedes camptorhynchus </w:t>
      </w:r>
      <w:r w:rsidRPr="00C0338D">
        <w:t xml:space="preserve">(southern </w:t>
      </w:r>
      <w:r w:rsidRPr="00C0338D">
        <w:lastRenderedPageBreak/>
        <w:t xml:space="preserve">saltmarsh mosquito), and its eradication programme which lasted over 10 years costed NZ$ 70 million </w:t>
      </w:r>
      <w:r w:rsidR="00066A7E" w:rsidRPr="00837161">
        <w:rPr>
          <w:rFonts w:eastAsia="Calibri"/>
        </w:rPr>
        <w:fldChar w:fldCharType="begin"/>
      </w:r>
      <w:r w:rsidR="000F35EB">
        <w:rPr>
          <w:rFonts w:eastAsia="Calibri"/>
        </w:rPr>
        <w:instrText xml:space="preserve"> ADDIN ZOTERO_ITEM CSL_CITATION {"citationID":"3ogv0u8f","properties":{"formattedCitation":"(Kay &amp; Russell, 2013)","plainCitation":"(Kay &amp; Russell, 2013)","dontUpdate":true,"noteIndex":0},"citationItems":[{"id":22703,"uris":["http://zotero.org/groups/2352922/items/WRR8HHJ6"],"itemData":{"id":22703,"type":"book","ISBN":"978-1-4863-0057-0","language":"English","number-of-pages":"280","publisher":"CSIRO Publishing","title":"Mosquito Eradication: the story of killing Campto","editor":[{"family":"Kay","given":"Brian H."},{"family":"Russell","given":"Richard C."}],"issued":{"date-parts":[["2013"]]}}}],"schema":"https://github.com/citation-style-language/schema/raw/master/csl-citation.json"} </w:instrText>
      </w:r>
      <w:r w:rsidR="00066A7E" w:rsidRPr="00837161">
        <w:rPr>
          <w:rFonts w:eastAsia="Calibri"/>
        </w:rPr>
        <w:fldChar w:fldCharType="separate"/>
      </w:r>
      <w:r w:rsidR="5140D151" w:rsidRPr="00837161">
        <w:t>(Kay &amp; Russell, 2013</w:t>
      </w:r>
      <w:r w:rsidR="00066A7E" w:rsidRPr="00837161">
        <w:rPr>
          <w:rFonts w:eastAsia="Calibri"/>
        </w:rPr>
        <w:fldChar w:fldCharType="end"/>
      </w:r>
      <w:r w:rsidR="00C731F1" w:rsidRPr="00837161">
        <w:rPr>
          <w:rFonts w:eastAsia="Calibri"/>
        </w:rPr>
        <w:t>;</w:t>
      </w:r>
      <w:r w:rsidRPr="00C0338D">
        <w:t xml:space="preserve"> </w:t>
      </w:r>
      <w:r w:rsidR="002F2F42">
        <w:rPr>
          <w:b/>
        </w:rPr>
        <w:t>S</w:t>
      </w:r>
      <w:r w:rsidRPr="00C0338D">
        <w:rPr>
          <w:b/>
        </w:rPr>
        <w:t>upplementary material 5.10</w:t>
      </w:r>
      <w:r w:rsidRPr="00C0338D">
        <w:t>). In 2018, the programme detected a few mosquito (</w:t>
      </w:r>
      <w:r w:rsidRPr="00C0338D">
        <w:rPr>
          <w:i/>
        </w:rPr>
        <w:t>Culex sitiens</w:t>
      </w:r>
      <w:r w:rsidRPr="00C0338D">
        <w:t xml:space="preserve">) larvae in marshland </w:t>
      </w:r>
      <w:r w:rsidR="00066A7E" w:rsidRPr="00837161">
        <w:rPr>
          <w:rFonts w:eastAsia="Calibri"/>
        </w:rPr>
        <w:fldChar w:fldCharType="begin"/>
      </w:r>
      <w:r w:rsidR="000F35EB">
        <w:rPr>
          <w:rFonts w:eastAsia="Calibri"/>
        </w:rPr>
        <w:instrText xml:space="preserve"> ADDIN ZOTERO_ITEM CSL_CITATION {"citationID":"gmJXCh62","properties":{"formattedCitation":"(McGinn &amp; Disbury, 2019)","plainCitation":"(McGinn &amp; Disbury, 2019)","noteIndex":0},"citationItems":[{"id":22704,"uris":["http://zotero.org/groups/2352922/items/Q5TGSUJV"],"itemData":{"id":22704,"type":"article-journal","container-title":"Surveillance","issue":"3","note":"ISSN 1176-5305","page":"87-88","title":"National saltmarsh Mosquito Surveillance programme 2018-2019","volume":"46","author":[{"family":"McGinn","given":"D"},{"family":"Disbury","given":"M"}],"issued":{"date-parts":[["2019"]]}}}],"schema":"https://github.com/citation-style-language/schema/raw/master/csl-citation.json"} </w:instrText>
      </w:r>
      <w:r w:rsidR="00066A7E" w:rsidRPr="00837161">
        <w:rPr>
          <w:rFonts w:eastAsia="Calibri"/>
        </w:rPr>
        <w:fldChar w:fldCharType="separate"/>
      </w:r>
      <w:r w:rsidR="00271B78" w:rsidRPr="00271B78">
        <w:t>(McGinn &amp; Disbury, 2019)</w:t>
      </w:r>
      <w:r w:rsidR="00066A7E" w:rsidRPr="00837161">
        <w:rPr>
          <w:rFonts w:eastAsia="Calibri"/>
        </w:rPr>
        <w:fldChar w:fldCharType="end"/>
      </w:r>
      <w:r w:rsidR="2568C640" w:rsidRPr="00837161">
        <w:rPr>
          <w:rFonts w:eastAsia="Calibri"/>
        </w:rPr>
        <w:t>,</w:t>
      </w:r>
      <w:r w:rsidRPr="00C0338D">
        <w:t xml:space="preserve"> and a bacterium</w:t>
      </w:r>
      <w:r w:rsidRPr="00C0338D">
        <w:rPr>
          <w:i/>
        </w:rPr>
        <w:t xml:space="preserve"> </w:t>
      </w:r>
      <w:r w:rsidRPr="00C0338D">
        <w:t>(</w:t>
      </w:r>
      <w:r w:rsidRPr="00C0338D">
        <w:rPr>
          <w:i/>
        </w:rPr>
        <w:t>Bacillus thuringiensis israelensis</w:t>
      </w:r>
      <w:r w:rsidRPr="00C0338D">
        <w:t xml:space="preserve"> (Bti)) that kills the mosquito larvae was used as treatment. Three rounds of aerial spraying of Bti were carried out across 5 km from the initial detection sites to eradicate the mosquito. Subsequent surveillance revealed no further infestation of the mosquito. </w:t>
      </w:r>
    </w:p>
    <w:p w14:paraId="00000675" w14:textId="70A3D818" w:rsidR="00A758FD" w:rsidRPr="00EA0967" w:rsidRDefault="00C81287" w:rsidP="00EA0967">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511" w:name="_heading=h.2rrrqc1" w:colFirst="0" w:colLast="0"/>
      <w:bookmarkStart w:id="512" w:name="_Toc147488951"/>
      <w:bookmarkEnd w:id="511"/>
      <w:r w:rsidRPr="00EA0967">
        <w:rPr>
          <w:b/>
          <w:color w:val="000000"/>
        </w:rPr>
        <w:t>Box 5</w:t>
      </w:r>
      <w:r w:rsidR="00066A7E" w:rsidRPr="00EA0967">
        <w:rPr>
          <w:b/>
          <w:bCs/>
        </w:rPr>
        <w:t>.</w:t>
      </w:r>
      <w:r w:rsidR="00975896" w:rsidRPr="00EA0967">
        <w:rPr>
          <w:b/>
          <w:bCs/>
        </w:rPr>
        <w:fldChar w:fldCharType="begin"/>
      </w:r>
      <w:r w:rsidR="00975896" w:rsidRPr="00EA0967">
        <w:rPr>
          <w:b/>
          <w:bCs/>
        </w:rPr>
        <w:instrText xml:space="preserve"> SEQ Box_5. \* ARABIC </w:instrText>
      </w:r>
      <w:r w:rsidR="00975896" w:rsidRPr="00EA0967">
        <w:rPr>
          <w:b/>
          <w:bCs/>
        </w:rPr>
        <w:fldChar w:fldCharType="separate"/>
      </w:r>
      <w:r w:rsidR="00DC77F8" w:rsidRPr="00EA0967">
        <w:rPr>
          <w:b/>
          <w:bCs/>
          <w:noProof/>
        </w:rPr>
        <w:t>16</w:t>
      </w:r>
      <w:r w:rsidR="00975896" w:rsidRPr="00EA0967">
        <w:rPr>
          <w:b/>
          <w:bCs/>
        </w:rPr>
        <w:fldChar w:fldCharType="end"/>
      </w:r>
      <w:r w:rsidR="00916CBD" w:rsidRPr="00EA0967">
        <w:rPr>
          <w:b/>
          <w:bCs/>
        </w:rPr>
        <w:t>.</w:t>
      </w:r>
      <w:r w:rsidRPr="00EA0967">
        <w:rPr>
          <w:b/>
          <w:color w:val="000000"/>
        </w:rPr>
        <w:t xml:space="preserve"> Case study: Successful eradiation of an invasive scale insect in Kerala, India</w:t>
      </w:r>
      <w:bookmarkEnd w:id="512"/>
    </w:p>
    <w:p w14:paraId="00000676" w14:textId="77777777" w:rsidR="00A758FD" w:rsidRDefault="00C8128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jc w:val="center"/>
      </w:pPr>
      <w:r>
        <w:rPr>
          <w:noProof/>
        </w:rPr>
        <w:drawing>
          <wp:inline distT="0" distB="0" distL="0" distR="0" wp14:anchorId="5FDAD39A" wp14:editId="68F49D79">
            <wp:extent cx="6115050" cy="2321560"/>
            <wp:effectExtent l="0" t="0" r="0" b="0"/>
            <wp:docPr id="1971555451" name="image29.png" descr="A close-up of a plan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9.png" descr="A close-up of a plant&#10;&#10;Description automatically generated"/>
                    <pic:cNvPicPr preferRelativeResize="0"/>
                  </pic:nvPicPr>
                  <pic:blipFill>
                    <a:blip r:embed="rId105"/>
                    <a:srcRect/>
                    <a:stretch>
                      <a:fillRect/>
                    </a:stretch>
                  </pic:blipFill>
                  <pic:spPr>
                    <a:xfrm>
                      <a:off x="0" y="0"/>
                      <a:ext cx="6115050" cy="2321560"/>
                    </a:xfrm>
                    <a:prstGeom prst="rect">
                      <a:avLst/>
                    </a:prstGeom>
                    <a:ln/>
                  </pic:spPr>
                </pic:pic>
              </a:graphicData>
            </a:graphic>
          </wp:inline>
        </w:drawing>
      </w:r>
    </w:p>
    <w:p w14:paraId="00000677" w14:textId="2DB067AA" w:rsidR="00A758FD" w:rsidRPr="00EA0967" w:rsidRDefault="00C81287" w:rsidP="00EA0967">
      <w:pPr>
        <w:keepNext/>
        <w:pBdr>
          <w:top w:val="single" w:sz="4" w:space="1" w:color="000000"/>
          <w:left w:val="single" w:sz="4" w:space="1" w:color="000000"/>
          <w:bottom w:val="single" w:sz="4" w:space="1" w:color="000000"/>
          <w:right w:val="single" w:sz="4" w:space="1" w:color="000000"/>
          <w:between w:val="nil"/>
        </w:pBdr>
        <w:shd w:val="clear" w:color="auto" w:fill="E7E6E6"/>
        <w:spacing w:before="240" w:after="120" w:line="240" w:lineRule="auto"/>
        <w:rPr>
          <w:b/>
          <w:color w:val="000000"/>
        </w:rPr>
      </w:pPr>
      <w:bookmarkStart w:id="513" w:name="_heading=h.16x20ju" w:colFirst="0" w:colLast="0"/>
      <w:bookmarkStart w:id="514" w:name="_Ref104970855"/>
      <w:bookmarkStart w:id="515" w:name="_Ref131084047"/>
      <w:bookmarkStart w:id="516" w:name="_Toc147489374"/>
      <w:bookmarkEnd w:id="513"/>
      <w:r w:rsidRPr="00EA0967">
        <w:rPr>
          <w:b/>
          <w:color w:val="000000"/>
        </w:rPr>
        <w:t>Figure 5</w:t>
      </w:r>
      <w:r w:rsidR="5140D151" w:rsidRPr="00AC1F76">
        <w:rPr>
          <w:b/>
        </w:rPr>
        <w:t>.</w:t>
      </w:r>
      <w:r w:rsidR="00444A2A" w:rsidRPr="00AC1F76">
        <w:rPr>
          <w:b/>
        </w:rPr>
        <w:fldChar w:fldCharType="begin"/>
      </w:r>
      <w:r w:rsidR="00444A2A" w:rsidRPr="00AC1F76">
        <w:rPr>
          <w:b/>
        </w:rPr>
        <w:instrText xml:space="preserve"> SEQ Figure_5. \* ARABIC </w:instrText>
      </w:r>
      <w:r w:rsidR="00444A2A" w:rsidRPr="00AC1F76">
        <w:rPr>
          <w:b/>
        </w:rPr>
        <w:fldChar w:fldCharType="separate"/>
      </w:r>
      <w:r w:rsidR="00DC77F8" w:rsidRPr="00AC1F76">
        <w:rPr>
          <w:b/>
          <w:noProof/>
        </w:rPr>
        <w:t>21</w:t>
      </w:r>
      <w:r w:rsidR="00444A2A" w:rsidRPr="00AC1F76">
        <w:rPr>
          <w:b/>
          <w:noProof/>
        </w:rPr>
        <w:fldChar w:fldCharType="end"/>
      </w:r>
      <w:bookmarkEnd w:id="514"/>
      <w:r w:rsidR="00916CBD" w:rsidRPr="00AC1F76">
        <w:rPr>
          <w:b/>
        </w:rPr>
        <w:t>.</w:t>
      </w:r>
      <w:r w:rsidRPr="00EA0967">
        <w:t xml:space="preserve"> </w:t>
      </w:r>
      <w:r w:rsidRPr="00EA0967">
        <w:rPr>
          <w:i/>
          <w:color w:val="000000"/>
        </w:rPr>
        <w:t>Ceroplastes cirripediformis</w:t>
      </w:r>
      <w:r w:rsidRPr="00EA0967">
        <w:rPr>
          <w:color w:val="000000"/>
        </w:rPr>
        <w:t xml:space="preserve"> (barnacle scale) on a host plant.</w:t>
      </w:r>
      <w:bookmarkEnd w:id="515"/>
      <w:r w:rsidRPr="00EA0967">
        <w:rPr>
          <w:color w:val="000000"/>
        </w:rPr>
        <w:t xml:space="preserve"> Photo credit: Dr. T. V. Sajeev – </w:t>
      </w:r>
      <w:r w:rsidR="00E87F41">
        <w:t xml:space="preserve">under license </w:t>
      </w:r>
      <w:r w:rsidRPr="00EA0967">
        <w:rPr>
          <w:color w:val="000000"/>
        </w:rPr>
        <w:t>CC BY 4.0.</w:t>
      </w:r>
      <w:bookmarkEnd w:id="516"/>
    </w:p>
    <w:p w14:paraId="00000678" w14:textId="008286D5" w:rsidR="00A758FD" w:rsidRPr="00C0338D" w:rsidRDefault="00C81287" w:rsidP="00EA0967">
      <w:pPr>
        <w:pBdr>
          <w:top w:val="single" w:sz="4" w:space="1" w:color="000000"/>
          <w:left w:val="single" w:sz="4" w:space="1" w:color="000000"/>
          <w:bottom w:val="single" w:sz="4" w:space="1" w:color="000000"/>
          <w:right w:val="single" w:sz="4" w:space="1" w:color="000000"/>
        </w:pBdr>
        <w:shd w:val="clear" w:color="auto" w:fill="E7E6E6"/>
        <w:spacing w:before="240" w:after="120" w:line="240" w:lineRule="auto"/>
      </w:pPr>
      <w:r w:rsidRPr="00C0338D">
        <w:rPr>
          <w:i/>
        </w:rPr>
        <w:t>Ceroplastes cirripediformis</w:t>
      </w:r>
      <w:r w:rsidRPr="00C0338D">
        <w:t xml:space="preserve"> (barnacle scale; </w:t>
      </w:r>
      <w:r w:rsidR="00191A6E">
        <w:rPr>
          <w:b/>
          <w:iCs/>
        </w:rPr>
        <w:t>Figure 5.21</w:t>
      </w:r>
      <w:r w:rsidR="00066A7E" w:rsidRPr="00837161">
        <w:rPr>
          <w:rFonts w:eastAsia="Times New Roman"/>
        </w:rPr>
        <w:t xml:space="preserve">) is a highly polyphagous scale insect that causes negative impacts to host plants belonging to 119 genera in 63 families in over 32 countries </w:t>
      </w:r>
      <w:r w:rsidR="00066A7E" w:rsidRPr="00837161">
        <w:rPr>
          <w:rFonts w:eastAsia="Times New Roman"/>
        </w:rPr>
        <w:fldChar w:fldCharType="begin"/>
      </w:r>
      <w:r w:rsidR="000F35EB">
        <w:rPr>
          <w:rFonts w:eastAsia="Times New Roman"/>
        </w:rPr>
        <w:instrText xml:space="preserve"> ADDIN ZOTERO_ITEM CSL_CITATION {"citationID":"23XHiauH","properties":{"formattedCitation":"(Garc\\uc0\\u237{}a Morales et al., 2016)","plainCitation":"(García Morales et al., 2016)","noteIndex":0},"citationItems":[{"id":31478,"uris":["http://zotero.org/groups/2352922/items/TTRWSQC6"],"itemData":{"id":31478,"type":"article-journal","container-title":"Database","DOI":"10.1093/database/bav118","note":"publisher: Oxford Academic","page":"bav118","title":"ScaleNet: a literature-based model of scale insect biology and systematics","volume":"2016","author":[{"family":"García Morales","given":"Mayrolin"},{"family":"Denno","given":"Barbara D."},{"family":"Miller","given":"Douglass R."},{"family":"Miller","given":"Gary L."},{"family":"Ben-Dov","given":"Yair"},{"family":"Hardy","given":"Nate B."}],"issued":{"date-parts":[["2016"]]}}}],"schema":"https://github.com/citation-style-language/schema/raw/master/csl-citation.json"} </w:instrText>
      </w:r>
      <w:r w:rsidR="00066A7E" w:rsidRPr="00837161">
        <w:rPr>
          <w:rFonts w:eastAsia="Times New Roman"/>
        </w:rPr>
        <w:fldChar w:fldCharType="separate"/>
      </w:r>
      <w:r w:rsidR="00271B78" w:rsidRPr="00271B78">
        <w:t>(García Morales et al., 2016)</w:t>
      </w:r>
      <w:r w:rsidR="00066A7E" w:rsidRPr="00837161">
        <w:rPr>
          <w:rFonts w:eastAsia="Times New Roman"/>
        </w:rPr>
        <w:fldChar w:fldCharType="end"/>
      </w:r>
      <w:r w:rsidR="00066A7E" w:rsidRPr="00837161">
        <w:rPr>
          <w:rFonts w:eastAsia="Times New Roman"/>
        </w:rPr>
        <w:t>.</w:t>
      </w:r>
      <w:r w:rsidRPr="00C0338D">
        <w:t xml:space="preserve"> It sucks the sap of host plants and excretes honey dew resulting in the formation of coal smudge on the affected plant parts. The barnacle scale was identified as an invasive alien species by the Centre for Agriculture and Biosciences International (CABI) in 2017 since it causes significant damage to host plants in its invaded range. </w:t>
      </w:r>
      <w:r w:rsidR="00066A7E" w:rsidRPr="00837161">
        <w:rPr>
          <w:rFonts w:eastAsia="Times New Roman"/>
        </w:rPr>
        <w:t xml:space="preserve">It was first recorded in India in 2021 </w:t>
      </w:r>
      <w:r w:rsidR="00066A7E" w:rsidRPr="00837161">
        <w:rPr>
          <w:rFonts w:eastAsia="Times New Roman"/>
        </w:rPr>
        <w:fldChar w:fldCharType="begin"/>
      </w:r>
      <w:r w:rsidR="000F35EB">
        <w:rPr>
          <w:rFonts w:eastAsia="Times New Roman"/>
        </w:rPr>
        <w:instrText xml:space="preserve"> ADDIN ZOTERO_ITEM CSL_CITATION {"citationID":"gha4NW7D","properties":{"formattedCitation":"(S. Joshi et al., 2021)","plainCitation":"(S. Joshi et al., 2021)","dontUpdate":true,"noteIndex":0},"citationItems":[{"id":31477,"uris":["http://zotero.org/groups/2352922/items/ZHZCEETV"],"itemData":{"id":31477,"type":"article-journal","container-title":"Zootaxa","DOI":"https://doi.org/10.11646/zootaxa.5039.4.7","issue":"4","note":"ISBN: 1175-5334","page":"561-570","title":"Occurrence and spread of &lt;i&gt;Ceroplastes cirripediformis&lt;/i&gt; Comstock (Hemiptera: Coccomorpha: Coccidae) in India","volume":"5039","author":[{"family":"Joshi","given":"Sunil"},{"family":"Bhaskar","given":"Haseena"},{"family":"Poon","given":"VS AASHIQ"},{"family":"Mala","given":"BR JAYANTHI"},{"family":"Jayanthi","given":"PD KAMALA"},{"family":"Pai","given":"Sachin G."},{"family":"Thite","given":"SACHIN V."},{"family":"Sood","given":"Ajay K."},{"family":"Kedar","given":"Santosh C."},{"family":"Sridhar","given":"V."},{"family":"Deepthy","given":"K.B."},{"family":"Navik","given":"O."},{"family":"Rachana","given":"R.R."}],"issued":{"date-parts":[["2021"]]}}}],"schema":"https://github.com/citation-style-language/schema/raw/master/csl-citation.json"} </w:instrText>
      </w:r>
      <w:r w:rsidR="00066A7E" w:rsidRPr="00837161">
        <w:rPr>
          <w:rFonts w:eastAsia="Times New Roman"/>
        </w:rPr>
        <w:fldChar w:fldCharType="separate"/>
      </w:r>
      <w:r w:rsidR="00066A7E" w:rsidRPr="00837161">
        <w:t>(Joshi et al., 2021)</w:t>
      </w:r>
      <w:r w:rsidR="00066A7E" w:rsidRPr="00837161">
        <w:rPr>
          <w:rFonts w:eastAsia="Times New Roman"/>
        </w:rPr>
        <w:fldChar w:fldCharType="end"/>
      </w:r>
      <w:r w:rsidR="00066A7E" w:rsidRPr="00837161">
        <w:rPr>
          <w:rFonts w:eastAsia="Times New Roman"/>
        </w:rPr>
        <w:t>.</w:t>
      </w:r>
      <w:r w:rsidRPr="00C0338D">
        <w:t xml:space="preserve"> The Nodal Centre for Biological Invasions, Kerala Forest Research Institute, India issued public notices to detect its distribution in Kerala state and it was spotted at one site each in Dhoni and Parali villages in Palakkad District. The host of the insect was a </w:t>
      </w:r>
      <w:r w:rsidRPr="00C0338D">
        <w:rPr>
          <w:i/>
        </w:rPr>
        <w:t xml:space="preserve">Passiflora </w:t>
      </w:r>
      <w:r w:rsidRPr="00C0338D">
        <w:t xml:space="preserve">sp. </w:t>
      </w:r>
      <w:r w:rsidR="009F4A1A" w:rsidRPr="00837161">
        <w:rPr>
          <w:rFonts w:eastAsia="Times New Roman"/>
        </w:rPr>
        <w:t>(</w:t>
      </w:r>
      <w:r>
        <w:t>passionflower</w:t>
      </w:r>
      <w:r w:rsidRPr="00C0338D">
        <w:t xml:space="preserve">). The identity of the insect was confirmed using molecular methods. Since its spread was very isolated, rapid control was attempted by removing and burning the infested stems and killing the insects at the spot. </w:t>
      </w:r>
      <w:r w:rsidR="00066A7E" w:rsidRPr="00837161">
        <w:rPr>
          <w:rFonts w:eastAsia="Times New Roman"/>
        </w:rPr>
        <w:t xml:space="preserve">No new outbreaks were recorded during a 8-month post-eradication period </w:t>
      </w:r>
      <w:r w:rsidR="00066A7E" w:rsidRPr="00837161">
        <w:rPr>
          <w:rFonts w:eastAsia="Times New Roman"/>
        </w:rPr>
        <w:fldChar w:fldCharType="begin"/>
      </w:r>
      <w:r w:rsidR="00E25D54">
        <w:rPr>
          <w:rFonts w:eastAsia="Times New Roman"/>
        </w:rPr>
        <w:instrText xml:space="preserve"> ADDIN ZOTERO_ITEM CSL_CITATION {"citationID":"ceOD0BcT","properties":{"formattedCitation":"(Swathy, 2021)","plainCitation":"(Swathy, 2021)","noteIndex":0},"citationItems":[{"id":31476,"uris":["http://zotero.org/groups/2352922/items/4Z439MRL"],"itemData":{"id":31476,"type":"book","edition":"M.Sc. thesis in Zoology","event-place":"University of Calicut, India","note":"No unique identifier","number-of-pages":"44","publisher-place":"University of Calicut, India","title":"Early detection and Rapid Response (EDRR) Strategy and Genome Sequencing for Controlling &lt;i&gt;Ceroplastes cirripediformis&lt;/i&gt; with reference to its biological studies","author":[{"family":"Swathy","given":"N. S."}],"issued":{"date-parts":[["2021"]]}}}],"schema":"https://github.com/citation-style-language/schema/raw/master/csl-citation.json"} </w:instrText>
      </w:r>
      <w:r w:rsidR="00066A7E" w:rsidRPr="00837161">
        <w:rPr>
          <w:rFonts w:eastAsia="Times New Roman"/>
        </w:rPr>
        <w:fldChar w:fldCharType="separate"/>
      </w:r>
      <w:r w:rsidR="00271B78" w:rsidRPr="00271B78">
        <w:t>(Swathy, 2021)</w:t>
      </w:r>
      <w:r w:rsidR="00066A7E" w:rsidRPr="00837161">
        <w:rPr>
          <w:rFonts w:eastAsia="Times New Roman"/>
        </w:rPr>
        <w:fldChar w:fldCharType="end"/>
      </w:r>
      <w:r w:rsidR="00066A7E" w:rsidRPr="00837161">
        <w:rPr>
          <w:rFonts w:eastAsia="Times New Roman"/>
        </w:rPr>
        <w:t>.</w:t>
      </w:r>
      <w:r w:rsidRPr="00C0338D">
        <w:t xml:space="preserve"> Surveillance for the insect is being continued. </w:t>
      </w:r>
    </w:p>
    <w:p w14:paraId="628AD0DF" w14:textId="1E09E31B" w:rsidR="00066A7E" w:rsidRPr="00837161" w:rsidRDefault="00066A7E" w:rsidP="00C11DFA">
      <w:pPr>
        <w:spacing w:before="240" w:after="120" w:line="240" w:lineRule="auto"/>
      </w:pPr>
      <w:r w:rsidRPr="00837161">
        <w:t>Reinvasion risk also needs to be addressed in eradication program</w:t>
      </w:r>
      <w:r w:rsidR="00CC130F" w:rsidRPr="00837161">
        <w:t>me</w:t>
      </w:r>
      <w:r w:rsidRPr="00837161">
        <w:t>s</w:t>
      </w:r>
      <w:r w:rsidR="00B62203" w:rsidRPr="00837161">
        <w:t xml:space="preserve"> </w:t>
      </w:r>
      <w:r w:rsidR="002418FD" w:rsidRPr="00837161">
        <w:fldChar w:fldCharType="begin"/>
      </w:r>
      <w:r w:rsidR="000F35EB">
        <w:instrText xml:space="preserve"> ADDIN ZOTERO_ITEM CSL_CITATION {"citationID":"3cEzLI3g","properties":{"formattedCitation":"(Py\\uc0\\u353{}ek et al., 2020; Spatz et al., 2022)","plainCitation":"(Pyšek et al., 2020; Spatz et al., 2022)","noteIndex":0},"citationItems":[{"id":33050,"uris":["http://zotero.org/groups/2352922/items/84CFHG9A"],"itemData":{"id":33050,"type":"article-journal","container-title":"Biological Reviews","DOI":"10.1111/brv.12627","ISSN":"1464-7931, 1469-185X","issue":"6","journalAbbreviation":"Biol Rev","language":"en","page":"1511-1534","source":"DOI.org (Crossref)","title":"Scientists' warning on invasive alien species","URL":"https://onlinelibrary.wiley.com/doi/10.1111/brv.12627","volume":"95","author":[{"family":"Pyšek","given":"Petr"},{"family":"Hulme","given":"Philip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accessed":{"date-parts":[["2021",7,7]]},"issued":{"date-parts":[["2020",12]]}},"label":"page"},{"id":53141,"uris":["http://zotero.org/groups/2352922/items/PG2EKGZ7","http://zotero.org/groups/2352922/items/YHT5JELT"],"itemData":{"id":53141,"type":"article-journal","abstract":"Islands are global hotspots for biodiversity and extinction, representing ~ 5% of Earth’s land area alongside 40% of globally threatened vertebrates and 61% of global extinctions since the 1500s. Invasive species are the primary driver of native biodiversity loss on islands, though eradication of invasive species from islands has been effective at halting or reversing these trends. A global compendium of this conservation tool is essential for scaling best-practices and enabling innovations to maximize biodiversity outcomes. Here, we synthesize over 100 years of invasive vertebrate eradications from islands, comprising 1550 eradication attempts on 998 islands, with an 88% success rate. We show a significant growth in eradication activity since the 1980s, primarily driven by rodent eradications. The annual number of eradications on islands peaked in the mid-2000s, but the annual area treated continues to rise dramatically. This trend reflects increases in removal efficacy and project complexity, generating increased conservation gains. Our synthesis demonstrates the collective contribution of national interventions towards global biodiversity outcomes. Further investment in invasive vertebrate eradications from islands will expand biodiversity conservation while strengthening biodiversity resilience to climate change and creating co-benefits for human societies.","container-title":"Scientific Reports","DOI":"10.1038/s41598-022-14982-5","ISSN":"2045-2322","issue":"1","journalAbbreviation":"Sci Rep","language":"en","license":"2022 The Author(s)","note":"number: 1\npublisher: Nature Publishing Group","page":"13391","source":"www.nature.com","title":"The global contribution of invasive vertebrate eradication as a key island restoration tool","URL":"https://www.nature.com/articles/s41598-022-14982-5","volume":"12","author":[{"family":"Spatz","given":"Dena R."},{"family":"Holmes","given":"Nick D."},{"family":"Will","given":"David J."},{"family":"Hein","given":"Stella"},{"family":"Carter","given":"Zachary T."},{"family":"Fewster","given":"Rachel M."},{"family":"Keitt","given":"Bradford"},{"family":"Genovesi","given":"Piero"},{"family":"Samaniego","given":"Araceli"},{"family":"Croll","given":"Donald A."},{"family":"Tershy","given":"Bernie R."},{"family":"Russell","given":"James C."}],"accessed":{"date-parts":[["2022",9,1]]},"issued":{"date-parts":[["2022",8,10]]}},"label":"page"}],"schema":"https://github.com/citation-style-language/schema/raw/master/csl-citation.json"} </w:instrText>
      </w:r>
      <w:r w:rsidR="002418FD" w:rsidRPr="00837161">
        <w:fldChar w:fldCharType="separate"/>
      </w:r>
      <w:r w:rsidR="00271B78" w:rsidRPr="00271B78">
        <w:t>(Pyšek et al., 2020; Spatz et al., 2022)</w:t>
      </w:r>
      <w:r w:rsidR="002418FD" w:rsidRPr="00837161">
        <w:fldChar w:fldCharType="end"/>
      </w:r>
      <w:r w:rsidR="00ED4D59" w:rsidRPr="00837161">
        <w:t xml:space="preserve"> </w:t>
      </w:r>
      <w:r w:rsidRPr="00837161">
        <w:t xml:space="preserve">through both natural (e.g., long-distance flights) and anthropogenic (i.e., human-assisted) pathways </w:t>
      </w:r>
      <w:r w:rsidRPr="00837161">
        <w:fldChar w:fldCharType="begin"/>
      </w:r>
      <w:r w:rsidR="000F35EB">
        <w:instrText xml:space="preserve"> ADDIN ZOTERO_ITEM CSL_CITATION {"citationID":"dJ3pC5AR","properties":{"formattedCitation":"(Harris et al., 2012)","plainCitation":"(Harris et al., 2012)","noteIndex":0},"citationItems":[{"id":15604,"uris":["http://zotero.org/groups/2352922/items/SUKLZT7M"],"itemData":{"id":15604,"type":"article-journal","abstract":"Invasive rodents occur on over 80% of the world’s island groups, invasions are continuing, and rodent impacts on insular wildlife have been well demonstrated. The extent of this problem calls for tools to aid large-scale prioritisation among the many candidate eradication operations. As conservation funds are limited, biologists have responded with prioritisation systems based on financial cost-effectiveness. Instead, we claim that long-term conservation gain should be the primary focus when prioritising islands for invasive rodent eradication. This concept is embodied mainly by invasive rodent reinvasion risk, which we categorise as natural or anthropogenic, based on the mechanism of reinvasion and our ability to mitigate the risk. The result is a first-pass triage system that prioritises eradication programmes by their long-term conservation potential, not their immediate value for money. To construct a prioritization list, we group islands into units for simultaneous eradication, to minimize inter-island reinvasion risk, and then assign weights to levels of unit reinvasion risk and unit conservation value. The choice of parameter weights may depend on capacity for biosecurity action (i.e. reduction in reinvasion risk) and a choice of tertiary filter variables can further discriminate within priority ranks. We illustrate our prioritization framework with a case study on rodents in New Caledonia but explain how our system can be adapted to suit any invasive rodent species or island configuration.","container-title":"Biological Invasions","DOI":"10.1007/s10530-011-0153-1","ISSN":"1573-1464","issue":"6","journalAbbreviation":"Biol Invasions","language":"en","page":"1251-1263","source":"Springer Link","title":"Island prioritization for invasive rodent eradications with an emphasis on reinvasion risk","URL":"https://doi.org/10.1007/s10530-011-0153-1","volume":"14","author":[{"family":"Harris","given":"D. B."},{"family":"Gregory","given":"S. D."},{"family":"Bull","given":"L. S."},{"family":"Courchamp","given":"F."}],"accessed":{"date-parts":[["2019",10,24]]},"issued":{"date-parts":[["2012",6,1]]}}}],"schema":"https://github.com/citation-style-language/schema/raw/master/csl-citation.json"} </w:instrText>
      </w:r>
      <w:r w:rsidRPr="00837161">
        <w:fldChar w:fldCharType="separate"/>
      </w:r>
      <w:r w:rsidR="00271B78" w:rsidRPr="00271B78">
        <w:t>(Harris et al., 2012)</w:t>
      </w:r>
      <w:r w:rsidRPr="00837161">
        <w:fldChar w:fldCharType="end"/>
      </w:r>
      <w:r w:rsidRPr="00837161">
        <w:t xml:space="preserve">. Eradication of </w:t>
      </w:r>
      <w:r w:rsidR="00564E0D" w:rsidRPr="00837161">
        <w:rPr>
          <w:i/>
          <w:iCs/>
          <w:color w:val="000000" w:themeColor="text1"/>
        </w:rPr>
        <w:t>Didemnum vexillum</w:t>
      </w:r>
      <w:r w:rsidR="00564E0D" w:rsidRPr="00837161">
        <w:t xml:space="preserve"> (</w:t>
      </w:r>
      <w:r w:rsidRPr="00837161">
        <w:t>carpet sea squirt</w:t>
      </w:r>
      <w:r w:rsidRPr="00837161">
        <w:rPr>
          <w:color w:val="000000" w:themeColor="text1"/>
        </w:rPr>
        <w:t>)</w:t>
      </w:r>
      <w:r w:rsidRPr="00837161">
        <w:rPr>
          <w:i/>
          <w:iCs/>
          <w:color w:val="000000" w:themeColor="text1"/>
        </w:rPr>
        <w:t>,</w:t>
      </w:r>
      <w:r w:rsidRPr="00837161">
        <w:rPr>
          <w:color w:val="000000" w:themeColor="text1"/>
        </w:rPr>
        <w:t xml:space="preserve"> a widespread colonial coastal species in western Europe, North America</w:t>
      </w:r>
      <w:r w:rsidR="00C16EEB">
        <w:rPr>
          <w:color w:val="000000" w:themeColor="text1"/>
        </w:rPr>
        <w:t xml:space="preserve"> and</w:t>
      </w:r>
      <w:r w:rsidRPr="00837161">
        <w:rPr>
          <w:color w:val="000000" w:themeColor="text1"/>
        </w:rPr>
        <w:t xml:space="preserve"> New Zealand affecting shellfish farms and </w:t>
      </w:r>
      <w:r w:rsidRPr="00837161">
        <w:t xml:space="preserve">submerged structures </w:t>
      </w:r>
      <w:r w:rsidRPr="00837161">
        <w:fldChar w:fldCharType="begin"/>
      </w:r>
      <w:r w:rsidR="000F35EB">
        <w:instrText xml:space="preserve"> ADDIN ZOTERO_ITEM CSL_CITATION {"citationID":"0FDh1tii","properties":{"formattedCitation":"(McKenzie et al., 2017)","plainCitation":"(McKenzie et al., 2017)","dontUpdate":true,"noteIndex":0},"citationItems":[{"id":24507,"uris":["http://zotero.org/groups/2352922/items/2CMEUUNF"],"itemData":{"id":24507,"type":"report","language":"en","number":"ICES Cooperative Research Report No. 335","publisher":"International Council for the Exploration of the Sea","source":"DOI.org (Datacite)","title":"Alien Species Alert: Didemnum vexillum Kott, 2002: Invasion, impact, and control","title-short":"Alien Species Alert","URL":"http://doi.org/10.17895/ices.pub.2138","author":[{"family":"McKenzie","given":"C. H."},{"family":"Reid","given":"V."},{"family":"Lambert","given":"G."},{"family":"Matheson","given":"K."},{"family":"Minchin","given":"D."},{"family":"Pederson","given":"J."},{"family":"Brown","given":"L."},{"family":"Curd","given":"A."},{"family":"Gollasch","given":"S."},{"family":"Goulletquer","given":"P."},{"family":"Occhipinti-Ambrogi","given":"A."},{"family":"Simard","given":"N."},{"family":"Therriault","given":"T. W."}],"accessed":{"date-parts":[["2020",6,16]]},"issued":{"date-parts":[["2017"]]}}}],"schema":"https://github.com/citation-style-language/schema/raw/master/csl-citation.json"} </w:instrText>
      </w:r>
      <w:r w:rsidRPr="00837161">
        <w:fldChar w:fldCharType="separate"/>
      </w:r>
      <w:r w:rsidRPr="00837161">
        <w:t>(McKenzie et al., 2017),</w:t>
      </w:r>
      <w:r w:rsidRPr="00837161">
        <w:fldChar w:fldCharType="end"/>
      </w:r>
      <w:r w:rsidRPr="00837161">
        <w:t xml:space="preserve"> was attempted in </w:t>
      </w:r>
      <w:r w:rsidRPr="00837161">
        <w:rPr>
          <w:color w:val="000000" w:themeColor="text1"/>
        </w:rPr>
        <w:t>Shakespeare Bay (</w:t>
      </w:r>
      <w:r w:rsidR="001075C4" w:rsidRPr="00837161">
        <w:rPr>
          <w:color w:val="000000" w:themeColor="text1"/>
        </w:rPr>
        <w:t xml:space="preserve">about </w:t>
      </w:r>
      <w:r w:rsidRPr="00837161">
        <w:rPr>
          <w:color w:val="000000" w:themeColor="text1"/>
        </w:rPr>
        <w:t>1 km²), New Zealand (costing NZ</w:t>
      </w:r>
      <w:r w:rsidR="00133DD7" w:rsidRPr="00837161">
        <w:rPr>
          <w:color w:val="000000" w:themeColor="text1"/>
        </w:rPr>
        <w:t>$</w:t>
      </w:r>
      <w:r w:rsidRPr="00837161">
        <w:rPr>
          <w:color w:val="000000" w:themeColor="text1"/>
        </w:rPr>
        <w:t xml:space="preserve"> 650,000) and Holyhead Harbour, Wales, United Kingdom (costing GBP 350,000) </w:t>
      </w:r>
      <w:r w:rsidRPr="00837161">
        <w:rPr>
          <w:color w:val="000000" w:themeColor="text1"/>
        </w:rPr>
        <w:fldChar w:fldCharType="begin"/>
      </w:r>
      <w:r w:rsidR="000F35EB">
        <w:rPr>
          <w:color w:val="000000" w:themeColor="text1"/>
        </w:rPr>
        <w:instrText xml:space="preserve"> ADDIN ZOTERO_ITEM CSL_CITATION {"citationID":"F8PAKxDn","properties":{"formattedCitation":"(B. S. Galil et al., 2019)","plainCitation":"(B. S. Galil et al., 2019)","dontUpdate":true,"noteIndex":0},"citationItems":[{"id":29809,"uris":["http://zotero.org/groups/2352922/items/ZKNMZTLN"],"itemData":{"id":29809,"type":"article-journal","container-title":"Biological Invasions","DOI":"10.1007/s10530-018-1826-9","ISSN":"1387-3547, 1573-1464","issue":"2","journalAbbreviation":"Biol Invasions","language":"en","page":"281-288","source":"DOI.org (Crossref)","title":"Invasive biota in the deep-sea Mediterranean: an emerging issue in marine conservation and management","title-short":"Invasive biota in the deep-sea Mediterranean","URL":"http://link.springer.com/10.1007/s10530-018-1826-9","volume":"21","author":[{"family":"Galil","given":"Bella S."},{"family":"Danovaro","given":"R."},{"family":"Rothman","given":"S. B. S."},{"family":"Gevili","given":"R."},{"family":"Goren","given":"M."}],"accessed":{"date-parts":[["2019",10,30]]},"issued":{"date-parts":[["2019",2]]}}}],"schema":"https://github.com/citation-style-language/schema/raw/master/csl-citation.json"} </w:instrText>
      </w:r>
      <w:r w:rsidRPr="00837161">
        <w:rPr>
          <w:color w:val="000000" w:themeColor="text1"/>
        </w:rPr>
        <w:fldChar w:fldCharType="separate"/>
      </w:r>
      <w:r w:rsidRPr="00837161">
        <w:t>(Galil et al., 2019)</w:t>
      </w:r>
      <w:r w:rsidRPr="00837161">
        <w:rPr>
          <w:color w:val="000000" w:themeColor="text1"/>
        </w:rPr>
        <w:fldChar w:fldCharType="end"/>
      </w:r>
      <w:r w:rsidRPr="00837161">
        <w:rPr>
          <w:color w:val="000000" w:themeColor="text1"/>
        </w:rPr>
        <w:t xml:space="preserve">. Approaches included exposing the colonies to </w:t>
      </w:r>
      <w:r w:rsidR="2B2A841A" w:rsidRPr="00837161">
        <w:rPr>
          <w:color w:val="000000" w:themeColor="text1"/>
        </w:rPr>
        <w:t>desi</w:t>
      </w:r>
      <w:r w:rsidR="59195CF2" w:rsidRPr="00837161">
        <w:rPr>
          <w:color w:val="000000" w:themeColor="text1"/>
        </w:rPr>
        <w:t>c</w:t>
      </w:r>
      <w:r w:rsidR="2B2A841A" w:rsidRPr="00837161">
        <w:rPr>
          <w:color w:val="000000" w:themeColor="text1"/>
        </w:rPr>
        <w:t>cation</w:t>
      </w:r>
      <w:r w:rsidRPr="00837161">
        <w:rPr>
          <w:color w:val="000000" w:themeColor="text1"/>
        </w:rPr>
        <w:t>, chemicals, freshwater</w:t>
      </w:r>
      <w:r w:rsidR="00C16EEB">
        <w:rPr>
          <w:color w:val="000000" w:themeColor="text1"/>
        </w:rPr>
        <w:t xml:space="preserve"> and</w:t>
      </w:r>
      <w:r w:rsidRPr="00837161">
        <w:rPr>
          <w:color w:val="000000" w:themeColor="text1"/>
        </w:rPr>
        <w:t xml:space="preserve"> physical removal </w:t>
      </w:r>
      <w:r w:rsidRPr="00837161">
        <w:rPr>
          <w:color w:val="000000" w:themeColor="text1"/>
        </w:rPr>
        <w:fldChar w:fldCharType="begin"/>
      </w:r>
      <w:r w:rsidR="000F35EB">
        <w:rPr>
          <w:color w:val="000000" w:themeColor="text1"/>
        </w:rPr>
        <w:instrText xml:space="preserve"> ADDIN ZOTERO_ITEM CSL_CITATION {"citationID":"ktd6kssH","properties":{"formattedCitation":"(Rolheiser et al., 2012)","plainCitation":"(Rolheiser et al., 2012)","noteIndex":0},"citationItems":[{"id":25135,"uris":["http://zotero.org/groups/2352922/items/TACHQQKL"],"itemData":{"id":25135,"type":"article-journal","abstract":"Aquatic invasive species in biofouling communities continue to cause ecological and economic impacts globally. Didemnum vexillum, an aggressive invasive tunicate, can have detrimental impacts on the shellfish aquaculture industry and a reliable method of control is required. In this study, cultured Pacific oysters (Crassostrea gigas) fouled with D. vexillum were treated with various concentrations of brine, freshwater, hydrated lime, and acetic acid at four exposure times (0.5, 1, 5, and 10min). Results demonstrated that only lime and acetic acid significantly reduced total biofouling and D. vexillum coverage. Lime concentrations of 1 and 2% at 5 and 10min exposures and 4% at 5min exposure successfully removed up to 92.3% of D. vexillum fouling while maintaining high (≥80%) oyster survival. This led to the testing of 1, 2, 3, and 4% lime at 1 and 5min exposures on C. gigas in a laboratory setting to determine potential impacts of these treatments on oyster survival, growth, and condition. The same treatments were also repeated on the mottled sea star, Evasterias troschellii, a major predator of Pacific oysters, to ascertain effects on sea star mortality. Combined, the results of field and laboratory experiments demonstrated that exposure to 3 and 4% hydrated lime for 5min was effective in removing total biofouling, D. vexillum fouling, and predatory sea stars without causing significant adverse effects on oyster survival, growth, or condition. This study provides insights to assist the shellfish aquaculture industry with possible solutions to control invasive tunicates and predatory sea stars.","container-title":"Aquaculture","DOI":"10.1016/j.aquaculture.2012.07.038","ISSN":"0044-8486","journalAbbreviation":"Aquaculture","language":"en","page":"53-60","source":"ScienceDirect","title":"Assessment of chemical treatments for controlling &lt;i&gt;Didemnum vexillum&lt;/i&gt;, other biofouling, and predatory sea stars in Pacific oyster aquaculture","URL":"https://www.sciencedirect.com/science/article/pii/S0044848612004516","volume":"364-365","author":[{"family":"Rolheiser","given":"K. C."},{"family":"Dunham","given":"A."},{"family":"Switzer","given":"S. E."},{"family":"Pearce","given":"C. M."},{"family":"Therriault","given":"T. W."}],"accessed":{"date-parts":[["2021",3,31]]},"issued":{"date-parts":[["2012",10,5]]}}}],"schema":"https://github.com/citation-style-language/schema/raw/master/csl-citation.json"} </w:instrText>
      </w:r>
      <w:r w:rsidRPr="00837161">
        <w:rPr>
          <w:color w:val="000000" w:themeColor="text1"/>
        </w:rPr>
        <w:fldChar w:fldCharType="separate"/>
      </w:r>
      <w:r w:rsidR="00271B78" w:rsidRPr="00271B78">
        <w:t>(Rolheiser et al., 2012)</w:t>
      </w:r>
      <w:r w:rsidRPr="00837161">
        <w:rPr>
          <w:color w:val="000000" w:themeColor="text1"/>
        </w:rPr>
        <w:fldChar w:fldCharType="end"/>
      </w:r>
      <w:r w:rsidRPr="00837161">
        <w:rPr>
          <w:color w:val="000000" w:themeColor="text1"/>
        </w:rPr>
        <w:t xml:space="preserve">, but recolonization </w:t>
      </w:r>
      <w:r w:rsidRPr="00837161">
        <w:t xml:space="preserve">occurred soon after the eradication efforts stopped. This is a common feature of eradication attempts targeting marine invasive alien species </w:t>
      </w:r>
      <w:r w:rsidRPr="00837161">
        <w:fldChar w:fldCharType="begin"/>
      </w:r>
      <w:r w:rsidR="000F35EB">
        <w:instrText xml:space="preserve"> ADDIN ZOTERO_ITEM CSL_CITATION {"citationID":"Nikb0Cli","properties":{"formattedCitation":"(B. S. Galil et al., 2019; McKenzie et al., 2017)","plainCitation":"(B. S. Galil et al., 2019; McKenzie et al., 2017)","dontUpdate":true,"noteIndex":0},"citationItems":[{"id":29809,"uris":["http://zotero.org/groups/2352922/items/ZKNMZTLN"],"itemData":{"id":29809,"type":"article-journal","container-title":"Biological Invasions","DOI":"10.1007/s10530-018-1826-9","ISSN":"1387-3547, 1573-1464","issue":"2","journalAbbreviation":"Biol Invasions","language":"en","page":"281-288","source":"DOI.org (Crossref)","title":"Invasive biota in the deep-sea Mediterranean: an emerging issue in marine conservation and management","title-short":"Invasive biota in the deep-sea Mediterranean","URL":"http://link.springer.com/10.1007/s10530-018-1826-9","volume":"21","author":[{"family":"Galil","given":"Bella S."},{"family":"Danovaro","given":"R."},{"family":"Rothman","given":"S. B. S."},{"family":"Gevili","given":"R."},{"family":"Goren","given":"M."}],"accessed":{"date-parts":[["2019",10,30]]},"issued":{"date-parts":[["2019",2]]}}},{"id":24507,"uris":["http://zotero.org/groups/2352922/items/2CMEUUNF"],"itemData":{"id":24507,"type":"report","language":"en","number":"ICES Cooperative Research Report No. 335","publisher":"International Council for the Exploration of the Sea","source":"DOI.org (Datacite)","title":"Alien Species Alert: Didemnum vexillum Kott, 2002: Invasion, impact, and control","title-short":"Alien Species Alert","URL":"http://doi.org/10.17895/ices.pub.2138","author":[{"family":"McKenzie","given":"C. H."},{"family":"Reid","given":"V."},{"family":"Lambert","given":"G."},{"family":"Matheson","given":"K."},{"family":"Minchin","given":"D."},{"family":"Pederson","given":"J."},{"family":"Brown","given":"L."},{"family":"Curd","given":"A."},{"family":"Gollasch","given":"S."},{"family":"Goulletquer","given":"P."},{"family":"Occhipinti-Ambrogi","given":"A."},{"family":"Simard","given":"N."},{"family":"Therriault","given":"T. W."}],"accessed":{"date-parts":[["2020",6,16]]},"issued":{"date-parts":[["2017"]]}}}],"schema":"https://github.com/citation-style-language/schema/raw/master/csl-citation.json"} </w:instrText>
      </w:r>
      <w:r w:rsidRPr="00837161">
        <w:fldChar w:fldCharType="separate"/>
      </w:r>
      <w:r w:rsidRPr="00837161">
        <w:t>(Galil et al., 2019; McKenzie et al., 2017)</w:t>
      </w:r>
      <w:r w:rsidRPr="00837161">
        <w:fldChar w:fldCharType="end"/>
      </w:r>
      <w:r w:rsidRPr="00837161">
        <w:t xml:space="preserve">. Long-term monitoring of all small infestations after eradication </w:t>
      </w:r>
      <w:r w:rsidR="007E6FFC">
        <w:t>is</w:t>
      </w:r>
      <w:r w:rsidR="007E6FFC" w:rsidRPr="00837161">
        <w:t xml:space="preserve"> </w:t>
      </w:r>
      <w:r w:rsidRPr="00837161">
        <w:t xml:space="preserve">critical in marine systems </w:t>
      </w:r>
      <w:r w:rsidRPr="00837161">
        <w:fldChar w:fldCharType="begin"/>
      </w:r>
      <w:r w:rsidR="000F35EB">
        <w:instrText xml:space="preserve"> ADDIN ZOTERO_ITEM CSL_CITATION {"citationID":"tKmdH3JX","properties":{"formattedCitation":"(Pluess, Cannon, et al., 2012)","plainCitation":"(Pluess, Cannon, et al., 2012)","noteIndex":0},"citationItems":[{"id":31630,"uris":["http://zotero.org/groups/2352922/items/6QL3ET38"],"itemData":{"id":31630,"type":"article-journal","abstract":"Eradication aims at eliminating populations of alien organisms from an area. Since not all eradications are successful, several factors have been proposed in the literature (mainly by referring to case studies) to be crucial for eradication success, such as infestation size or reaction time. To our knowledge, however, no study has statistically evaluated which factors affect eradication success and attempted to determine their relative importance. We established a unique global dataset on 136 eradication campaigns against 75 species (invasive alien invertebrates, plants and plant pathogens) and statistically tested whether the following factors, proposed by others were significantly related to eradication success: (1) the reaction time between the arrival/detection of the organism and the start of the eradication campaign; (2) the spatial extent of the infestation; (3) the level of biological knowledge of the organism; and (4) insularity. Of these, only the spatial extent of the infestation was significantly related to the eradication outcome: local campaigns were more successful than regional or national campaigns. Reaction time, the level of knowledge and insularity were all unrelated to eradication success. Hence, some factors suggested as being crucial may be less important than previously thought, at least for the organisms tested here. We found no differences in success rates among taxonomic groups or geographic regions. We recommend that eradication measures should generally concentrate on the very early phase of invasions when infestations are still relatively small.","container-title":"Biological Invasions","DOI":"10.1007/s10530-011-0160-2","ISSN":"1387-3547, 1573-1464","issue":"7","journalAbbreviation":"Biol Invasions","language":"en","page":"1365-1378","source":"DOI.org (Crossref)","title":"When are eradication campaigns successful? A test of common assumptions","title-short":"When are eradication campaigns successful?","URL":"http://link.springer.com/10.1007/s10530-011-0160-2","volume":"14","author":[{"family":"Pluess","given":"Therese"},{"family":"Cannon","given":"Ray"},{"family":"Jarošík","given":"Vojtěch"},{"family":"Pergl","given":"Jan"},{"family":"Pyšek","given":"Petr"},{"family":"Bacher","given":"Sven"}],"accessed":{"date-parts":[["2019",11,4]]},"issued":{"date-parts":[["2012",7]]}}}],"schema":"https://github.com/citation-style-language/schema/raw/master/csl-citation.json"} </w:instrText>
      </w:r>
      <w:r w:rsidRPr="00837161">
        <w:fldChar w:fldCharType="separate"/>
      </w:r>
      <w:r w:rsidR="00271B78" w:rsidRPr="00271B78">
        <w:t>(Pluess, Cannon, et al., 2012)</w:t>
      </w:r>
      <w:r w:rsidRPr="00837161">
        <w:fldChar w:fldCharType="end"/>
      </w:r>
      <w:r w:rsidRPr="00837161">
        <w:t>. The eradicati</w:t>
      </w:r>
      <w:r w:rsidR="004E54B6">
        <w:t>on</w:t>
      </w:r>
      <w:r w:rsidRPr="00837161">
        <w:t xml:space="preserve"> </w:t>
      </w:r>
      <w:r w:rsidR="004E54B6" w:rsidRPr="00837161">
        <w:t xml:space="preserve">of </w:t>
      </w:r>
      <w:r w:rsidR="002921D6" w:rsidRPr="00837161">
        <w:rPr>
          <w:i/>
          <w:iCs/>
        </w:rPr>
        <w:t>Carcinus maenas</w:t>
      </w:r>
      <w:r w:rsidR="002921D6" w:rsidRPr="00837161">
        <w:t xml:space="preserve"> (European shore </w:t>
      </w:r>
      <w:r w:rsidRPr="00837161">
        <w:t xml:space="preserve">crab) was attempted in South Africa using different management techniques including traps, crab condos, diver collections </w:t>
      </w:r>
      <w:r w:rsidRPr="00837161">
        <w:lastRenderedPageBreak/>
        <w:t>and sediment dredging. However, after one year</w:t>
      </w:r>
      <w:r w:rsidR="1D19D29D" w:rsidRPr="00837161">
        <w:t>,</w:t>
      </w:r>
      <w:r w:rsidRPr="00837161">
        <w:t xml:space="preserve"> crabs were still present and numbers increased as soon as the eradication efforts ceased </w:t>
      </w:r>
      <w:r w:rsidRPr="00837161">
        <w:fldChar w:fldCharType="begin"/>
      </w:r>
      <w:r w:rsidR="000F35EB">
        <w:instrText xml:space="preserve"> ADDIN ZOTERO_ITEM CSL_CITATION {"citationID":"k0dl0TOe","properties":{"formattedCitation":"(Mabin et al., 2020)","plainCitation":"(Mabin et al., 2020)","noteIndex":0},"citationItems":[{"id":11403,"uris":["http://zotero.org/groups/2352922/items/TSSJ4XGE"],"itemData":{"id":11403,"type":"article-journal","abstract":"Biological invasions severely impact on marine ecosystems around the world, but to date management is rare and has not previously been attempted in Africa. This study documents a trial management programme aimed at informing a national management strategy for the invasive European shore crab, Carcinus maenas, in South Africa. The approach involved testing control methods used elsewhere (baited traps, crab condos, diver collec­ tions and sediment dredging) and adapting these to the local context. Following these trials, baited traps were deployed over the course of the year, and the catch per unit effort (CPUE) tracked. A total of 36,244 crabs were collected during the management period, six times more than a pre-management population estimate. The population was not extirpated and CPUE increased once trapping ceased. The cost of attempting nationwide eradication is prohibitive, particularly given the lack of current impacts by this crab in this region and the possibility of reintroduction. We highlight key administrative challenges encountered, and the importance of such pilot trials in setting long-term goals when attempting alien species management interventions.","container-title":"Journal of Environmental Management","DOI":"10.1016/j.jenvman.2020.110213","ISSN":"03014797","journalAbbreviation":"Journal of Environmental Management","language":"en","page":"110213","source":"DOI.org (Crossref)","title":"The first management of a marine invader in Africa: The importance of trials prior to setting long-term management goals","title-short":"The first management of a marine invader in Africa","URL":"https://linkinghub.elsevier.com/retrieve/pii/S0301479720301481","volume":"261","author":[{"family":"Mabin","given":"Clova A."},{"family":"Wilson","given":"John R.U."},{"family":"Le Roux","given":"Johannes J."},{"family":"Majiedt","given":"Prideel"},{"family":"Robinson","given":"Tamara B."}],"accessed":{"date-parts":[["2020",6,24]]},"issued":{"date-parts":[["2020",5]]}}}],"schema":"https://github.com/citation-style-language/schema/raw/master/csl-citation.json"} </w:instrText>
      </w:r>
      <w:r w:rsidRPr="00837161">
        <w:fldChar w:fldCharType="separate"/>
      </w:r>
      <w:r w:rsidR="00271B78" w:rsidRPr="00271B78">
        <w:t>(Mabin et al., 2020)</w:t>
      </w:r>
      <w:r w:rsidRPr="00837161">
        <w:fldChar w:fldCharType="end"/>
      </w:r>
      <w:r w:rsidRPr="00837161">
        <w:t>.</w:t>
      </w:r>
      <w:r w:rsidR="00F65C29">
        <w:t xml:space="preserve"> </w:t>
      </w:r>
    </w:p>
    <w:p w14:paraId="027BD96D" w14:textId="081CA74A" w:rsidR="00066A7E" w:rsidRPr="00837161" w:rsidRDefault="22FC4BE0" w:rsidP="00C11DFA">
      <w:pPr>
        <w:spacing w:before="240" w:after="120" w:line="240" w:lineRule="auto"/>
      </w:pPr>
      <w:r w:rsidRPr="00837161">
        <w:t xml:space="preserve">A global analysis of 173 eradication campaigns </w:t>
      </w:r>
      <w:r w:rsidR="2CCE4A05" w:rsidRPr="00837161">
        <w:t xml:space="preserve">in </w:t>
      </w:r>
      <w:r w:rsidR="00B47D3C" w:rsidRPr="00837161">
        <w:t>anthropogenic</w:t>
      </w:r>
      <w:r w:rsidR="2CCE4A05" w:rsidRPr="00837161">
        <w:t xml:space="preserve"> habitats</w:t>
      </w:r>
      <w:r w:rsidRPr="00837161">
        <w:t xml:space="preserve"> involving 94 species of invertebrates, plants and plant pathogens showed that only 50.9</w:t>
      </w:r>
      <w:r w:rsidR="006215F0" w:rsidRPr="00837161">
        <w:t xml:space="preserve"> per cent</w:t>
      </w:r>
      <w:r w:rsidRPr="00837161">
        <w:t xml:space="preserve"> of the program</w:t>
      </w:r>
      <w:r w:rsidR="6BF64B26" w:rsidRPr="00837161">
        <w:t>me</w:t>
      </w:r>
      <w:r w:rsidRPr="00837161">
        <w:t xml:space="preserve">s were successful </w:t>
      </w:r>
      <w:r w:rsidR="007C729C" w:rsidRPr="00837161">
        <w:t>(</w:t>
      </w:r>
      <w:r w:rsidR="76D49C0E" w:rsidRPr="00656716">
        <w:rPr>
          <w:b/>
          <w:iCs/>
        </w:rPr>
        <w:t>s</w:t>
      </w:r>
      <w:r w:rsidRPr="00656716">
        <w:rPr>
          <w:b/>
          <w:iCs/>
        </w:rPr>
        <w:t>ection 5.6.1.1</w:t>
      </w:r>
      <w:r w:rsidRPr="00837161">
        <w:t xml:space="preserve">). </w:t>
      </w:r>
      <w:r w:rsidRPr="00837161">
        <w:rPr>
          <w:rFonts w:eastAsia="Calibri"/>
        </w:rPr>
        <w:t>Both location- and context</w:t>
      </w:r>
      <w:r w:rsidR="007E6FFC">
        <w:rPr>
          <w:rFonts w:eastAsia="Calibri"/>
        </w:rPr>
        <w:t>-</w:t>
      </w:r>
      <w:r w:rsidRPr="00837161">
        <w:rPr>
          <w:rFonts w:eastAsia="Calibri"/>
        </w:rPr>
        <w:t>specific factors were important for success of eradication, while species-specific characteristics were of minor importance.</w:t>
      </w:r>
      <w:r w:rsidR="5522F9AA" w:rsidRPr="00837161">
        <w:rPr>
          <w:rFonts w:eastAsia="Calibri"/>
        </w:rPr>
        <w:t xml:space="preserve"> </w:t>
      </w:r>
      <w:r w:rsidR="46F85A2F" w:rsidRPr="00837161">
        <w:rPr>
          <w:rFonts w:eastAsia="Calibri"/>
        </w:rPr>
        <w:t>Invaded areas smaller than 5000 ha had more than 80</w:t>
      </w:r>
      <w:r w:rsidR="006215F0" w:rsidRPr="00837161">
        <w:t xml:space="preserve"> per cent</w:t>
      </w:r>
      <w:r w:rsidR="46F85A2F" w:rsidRPr="00837161">
        <w:rPr>
          <w:rFonts w:eastAsia="Calibri"/>
        </w:rPr>
        <w:t xml:space="preserve"> of successful eradication probability in man-made habitats</w:t>
      </w:r>
      <w:r w:rsidR="7820A71C" w:rsidRPr="00837161">
        <w:rPr>
          <w:rFonts w:eastAsia="Calibri"/>
        </w:rPr>
        <w:t xml:space="preserve"> </w:t>
      </w:r>
      <w:r w:rsidR="7C11C112" w:rsidRPr="00837161">
        <w:rPr>
          <w:rFonts w:eastAsia="Calibri"/>
        </w:rPr>
        <w:fldChar w:fldCharType="begin"/>
      </w:r>
      <w:r w:rsidR="000F35EB">
        <w:rPr>
          <w:rFonts w:eastAsia="Calibri"/>
        </w:rPr>
        <w:instrText xml:space="preserve"> ADDIN ZOTERO_ITEM CSL_CITATION {"citationID":"qYCmBtnx","properties":{"formattedCitation":"(Pluess, Cannon, et al., 2012)","plainCitation":"(Pluess, Cannon, et al., 2012)","dontUpdate":true,"noteIndex":0},"citationItems":[{"id":31630,"uris":["http://zotero.org/groups/2352922/items/6QL3ET38"],"itemData":{"id":31630,"type":"article-journal","abstract":"Eradication aims at eliminating populations of alien organisms from an area. Since not all eradications are successful, several factors have been proposed in the literature (mainly by referring to case studies) to be crucial for eradication success, such as infestation size or reaction time. To our knowledge, however, no study has statistically evaluated which factors affect eradication success and attempted to determine their relative importance. We established a unique global dataset on 136 eradication campaigns against 75 species (invasive alien invertebrates, plants and plant pathogens) and statistically tested whether the following factors, proposed by others were significantly related to eradication success: (1) the reaction time between the arrival/detection of the organism and the start of the eradication campaign; (2) the spatial extent of the infestation; (3) the level of biological knowledge of the organism; and (4) insularity. Of these, only the spatial extent of the infestation was significantly related to the eradication outcome: local campaigns were more successful than regional or national campaigns. Reaction time, the level of knowledge and insularity were all unrelated to eradication success. Hence, some factors suggested as being crucial may be less important than previously thought, at least for the organisms tested here. We found no differences in success rates among taxonomic groups or geographic regions. We recommend that eradication measures should generally concentrate on the very early phase of invasions when infestations are still relatively small.","container-title":"Biological Invasions","DOI":"10.1007/s10530-011-0160-2","ISSN":"1387-3547, 1573-1464","issue":"7","journalAbbreviation":"Biol Invasions","language":"en","page":"1365-1378","source":"DOI.org (Crossref)","title":"When are eradication campaigns successful? A test of common assumptions","title-short":"When are eradication campaigns successful?","URL":"http://link.springer.com/10.1007/s10530-011-0160-2","volume":"14","author":[{"family":"Pluess","given":"Therese"},{"family":"Cannon","given":"Ray"},{"family":"Jarošík","given":"Vojtěch"},{"family":"Pergl","given":"Jan"},{"family":"Pyšek","given":"Petr"},{"family":"Bacher","given":"Sven"}],"accessed":{"date-parts":[["2019",11,4]]},"issued":{"date-parts":[["2012",7]]}}}],"schema":"https://github.com/citation-style-language/schema/raw/master/csl-citation.json"} </w:instrText>
      </w:r>
      <w:r w:rsidR="7C11C112" w:rsidRPr="00837161">
        <w:rPr>
          <w:rFonts w:eastAsia="Calibri"/>
        </w:rPr>
        <w:fldChar w:fldCharType="separate"/>
      </w:r>
      <w:r w:rsidR="7820A71C" w:rsidRPr="00837161">
        <w:t>(Pluess et al., 2012)</w:t>
      </w:r>
      <w:r w:rsidR="7C11C112" w:rsidRPr="00837161">
        <w:rPr>
          <w:rFonts w:eastAsia="Calibri"/>
        </w:rPr>
        <w:fldChar w:fldCharType="end"/>
      </w:r>
      <w:r w:rsidR="46F85A2F" w:rsidRPr="00837161">
        <w:rPr>
          <w:rFonts w:eastAsia="Calibri"/>
        </w:rPr>
        <w:t>.</w:t>
      </w:r>
      <w:r w:rsidRPr="00837161">
        <w:t xml:space="preserve"> </w:t>
      </w:r>
      <w:r w:rsidR="3353DFAE" w:rsidRPr="00837161">
        <w:t xml:space="preserve">It is important to </w:t>
      </w:r>
      <w:r w:rsidR="69852730" w:rsidRPr="00837161">
        <w:t>prioritize</w:t>
      </w:r>
      <w:r w:rsidR="3353DFAE" w:rsidRPr="00837161">
        <w:t xml:space="preserve"> sites (such as protected areas) for targeting eradication </w:t>
      </w:r>
      <w:r w:rsidR="007C729C" w:rsidRPr="00837161">
        <w:t>(</w:t>
      </w:r>
      <w:r w:rsidR="76D49C0E" w:rsidRPr="00656716">
        <w:rPr>
          <w:b/>
          <w:iCs/>
        </w:rPr>
        <w:t>s</w:t>
      </w:r>
      <w:r w:rsidR="3353DFAE" w:rsidRPr="00656716">
        <w:rPr>
          <w:b/>
          <w:iCs/>
        </w:rPr>
        <w:t>ection 5.3.</w:t>
      </w:r>
      <w:r w:rsidR="00677F68" w:rsidRPr="00656716">
        <w:rPr>
          <w:b/>
          <w:iCs/>
        </w:rPr>
        <w:t>2</w:t>
      </w:r>
      <w:r w:rsidR="3353DFAE" w:rsidRPr="00837161">
        <w:t>)</w:t>
      </w:r>
      <w:r w:rsidR="1A256933" w:rsidRPr="00837161">
        <w:t>.</w:t>
      </w:r>
      <w:r w:rsidR="3353DFAE" w:rsidRPr="00837161">
        <w:t xml:space="preserve"> </w:t>
      </w:r>
      <w:r w:rsidRPr="00837161">
        <w:t xml:space="preserve">Lower success rates were recorded from natural or semi-natural habitats than man-made habitats where success was comparatively more </w:t>
      </w:r>
      <w:r w:rsidR="282CE788" w:rsidRPr="00837161">
        <w:t>like</w:t>
      </w:r>
      <w:r w:rsidRPr="00837161">
        <w:t xml:space="preserve">ly due to </w:t>
      </w:r>
      <w:r w:rsidRPr="00837161">
        <w:rPr>
          <w:rFonts w:eastAsia="Calibri"/>
        </w:rPr>
        <w:t xml:space="preserve">high economic impacts </w:t>
      </w:r>
      <w:r w:rsidR="007C729C" w:rsidRPr="00837161">
        <w:rPr>
          <w:rFonts w:eastAsia="Calibri"/>
        </w:rPr>
        <w:t>(</w:t>
      </w:r>
      <w:r w:rsidR="00656716">
        <w:rPr>
          <w:rFonts w:eastAsia="Calibri"/>
          <w:b/>
          <w:iCs/>
        </w:rPr>
        <w:t>C</w:t>
      </w:r>
      <w:r w:rsidRPr="00656716">
        <w:rPr>
          <w:rFonts w:eastAsia="Calibri"/>
          <w:b/>
          <w:iCs/>
        </w:rPr>
        <w:t>hapter</w:t>
      </w:r>
      <w:r w:rsidR="6A17386E" w:rsidRPr="00656716">
        <w:rPr>
          <w:rFonts w:eastAsia="Calibri"/>
          <w:b/>
          <w:iCs/>
        </w:rPr>
        <w:t xml:space="preserve"> 4</w:t>
      </w:r>
      <w:r w:rsidR="6A17386E" w:rsidRPr="00656716">
        <w:rPr>
          <w:rFonts w:eastAsia="Calibri"/>
          <w:iCs/>
        </w:rPr>
        <w:t>,</w:t>
      </w:r>
      <w:r w:rsidRPr="00656716">
        <w:rPr>
          <w:rFonts w:eastAsia="Calibri"/>
          <w:iCs/>
        </w:rPr>
        <w:t xml:space="preserve"> </w:t>
      </w:r>
      <w:r w:rsidR="00324FAF" w:rsidRPr="00656716">
        <w:rPr>
          <w:rFonts w:eastAsia="Calibri"/>
          <w:b/>
          <w:iCs/>
        </w:rPr>
        <w:t>Box 4.13</w:t>
      </w:r>
      <w:r w:rsidRPr="00837161">
        <w:rPr>
          <w:rFonts w:eastAsia="Calibri"/>
        </w:rPr>
        <w:t xml:space="preserve">) and the resultant greater commitments. Eradication success can be ensured </w:t>
      </w:r>
      <w:r w:rsidRPr="00837161">
        <w:t>with cross-border collaboration and greater cooperation amongst nations</w:t>
      </w:r>
      <w:r w:rsidR="27E15B08" w:rsidRPr="00837161">
        <w:t xml:space="preserve"> </w:t>
      </w:r>
      <w:r w:rsidR="7C11C112" w:rsidRPr="00837161">
        <w:rPr>
          <w:rFonts w:eastAsia="Calibri"/>
        </w:rPr>
        <w:fldChar w:fldCharType="begin"/>
      </w:r>
      <w:r w:rsidR="000F35EB">
        <w:rPr>
          <w:rFonts w:eastAsia="Calibri"/>
        </w:rPr>
        <w:instrText xml:space="preserve"> ADDIN ZOTERO_ITEM CSL_CITATION {"citationID":"tlbQBwlp","properties":{"formattedCitation":"(Pluess, Cannon, et al., 2012)","plainCitation":"(Pluess, Cannon, et al., 2012)","dontUpdate":true,"noteIndex":0},"citationItems":[{"id":31630,"uris":["http://zotero.org/groups/2352922/items/6QL3ET38"],"itemData":{"id":31630,"type":"article-journal","abstract":"Eradication aims at eliminating populations of alien organisms from an area. Since not all eradications are successful, several factors have been proposed in the literature (mainly by referring to case studies) to be crucial for eradication success, such as infestation size or reaction time. To our knowledge, however, no study has statistically evaluated which factors affect eradication success and attempted to determine their relative importance. We established a unique global dataset on 136 eradication campaigns against 75 species (invasive alien invertebrates, plants and plant pathogens) and statistically tested whether the following factors, proposed by others were significantly related to eradication success: (1) the reaction time between the arrival/detection of the organism and the start of the eradication campaign; (2) the spatial extent of the infestation; (3) the level of biological knowledge of the organism; and (4) insularity. Of these, only the spatial extent of the infestation was significantly related to the eradication outcome: local campaigns were more successful than regional or national campaigns. Reaction time, the level of knowledge and insularity were all unrelated to eradication success. Hence, some factors suggested as being crucial may be less important than previously thought, at least for the organisms tested here. We found no differences in success rates among taxonomic groups or geographic regions. We recommend that eradication measures should generally concentrate on the very early phase of invasions when infestations are still relatively small.","container-title":"Biological Invasions","DOI":"10.1007/s10530-011-0160-2","ISSN":"1387-3547, 1573-1464","issue":"7","journalAbbreviation":"Biol Invasions","language":"en","page":"1365-1378","source":"DOI.org (Crossref)","title":"When are eradication campaigns successful? A test of common assumptions","title-short":"When are eradication campaigns successful?","URL":"http://link.springer.com/10.1007/s10530-011-0160-2","volume":"14","author":[{"family":"Pluess","given":"Therese"},{"family":"Cannon","given":"Ray"},{"family":"Jarošík","given":"Vojtěch"},{"family":"Pergl","given":"Jan"},{"family":"Pyšek","given":"Petr"},{"family":"Bacher","given":"Sven"}],"accessed":{"date-parts":[["2019",11,4]]},"issued":{"date-parts":[["2012",7]]}}}],"schema":"https://github.com/citation-style-language/schema/raw/master/csl-citation.json"} </w:instrText>
      </w:r>
      <w:r w:rsidR="7C11C112" w:rsidRPr="00837161">
        <w:rPr>
          <w:rFonts w:eastAsia="Calibri"/>
        </w:rPr>
        <w:fldChar w:fldCharType="separate"/>
      </w:r>
      <w:r w:rsidRPr="00837161">
        <w:t>(Pluess et al., 2012)</w:t>
      </w:r>
      <w:r w:rsidR="7C11C112" w:rsidRPr="00837161">
        <w:rPr>
          <w:rFonts w:eastAsia="Calibri"/>
        </w:rPr>
        <w:fldChar w:fldCharType="end"/>
      </w:r>
      <w:r w:rsidRPr="00837161">
        <w:t xml:space="preserve">. </w:t>
      </w:r>
    </w:p>
    <w:p w14:paraId="6450D8FA" w14:textId="55032822" w:rsidR="00066A7E" w:rsidRPr="00837161" w:rsidRDefault="00066A7E" w:rsidP="002C46C8">
      <w:pPr>
        <w:spacing w:before="240" w:after="120"/>
      </w:pPr>
      <w:r w:rsidRPr="00837161">
        <w:t>Vertebrate eradication program</w:t>
      </w:r>
      <w:r w:rsidR="00CC130F" w:rsidRPr="00837161">
        <w:t>me</w:t>
      </w:r>
      <w:r w:rsidRPr="00837161">
        <w:t>s on islands have been particularly successful</w:t>
      </w:r>
      <w:r w:rsidR="0A09081B" w:rsidRPr="00837161">
        <w:t>, especially with rodents</w:t>
      </w:r>
      <w:r w:rsidRPr="00837161">
        <w:t xml:space="preserve"> </w:t>
      </w:r>
      <w:r w:rsidR="003567FF" w:rsidRPr="00837161">
        <w:fldChar w:fldCharType="begin"/>
      </w:r>
      <w:r w:rsidR="000F35EB">
        <w:instrText xml:space="preserve"> ADDIN ZOTERO_ITEM CSL_CITATION {"citationID":"NOfQ33Xx","properties":{"formattedCitation":"(Howald et al., 2007; Spatz et al., 2022)","plainCitation":"(Howald et al., 2007; Spatz et al., 2022)","noteIndex":0},"citationItems":[{"id":24119,"uris":["http://zotero.org/groups/2352922/items/ZKIYLW4K"],"itemData":{"id":24119,"type":"article-journal","abstract":"Abstract: Invasive mammals are the greatest threat to island biodiversity and invasive rodents are likely responsible for the greatest number of extinctions and ecosystem changes. Techniques for eradicating rodents from islands were developed over 2 decades ago. Since that time there has been a significant development and application of this conservation tool. We reviewed the literature on invasive rodent eradications to assess its current state and identify actions to make it more effective. Worldwide, 332 successful rodent eradications have been undertaken; we identified 35 failed eradications and 20 campaigns of unknown result. Invasive rodents have been eradicated from 284 islands (47,628 ha). With the exception of two small islands, rodenticides were used in all eradication campaigns. Brodifacoum was used in 71% of campaigns and 91% of the total area treated. The most frequent rodenticide distribution methods (from most to least) are bait stations, hand broadcasting, and aerial broadcasting. Nevertheless, campaigns using aerial broadcast made up 76% of the total area treated. Mortality of native vertebrates due to nontarget poisoning has been documented, but affected species quickly recover to pre-eradication population levels or higher. A variety of methods have been developed to mitigate nontarget impacts, and applied research can further aid in minimizing impacts. Land managers should routinely remove invasive rodents from islands &lt;100 ha that lack vertebrates susceptible to nontarget poisoning. For larger islands and those that require nontarget mitigation, expert consultation and greater planning effort are needed. With the exception of house mice (Mus musculus), island size may no longer be the limiting factor for rodent eradications; rather, social acceptance and funding may be the main challenges. To be successful, large-scale rodent campaigns should be integrated with programs to improve the livelihoods of residents, island biosecurity, and reinvasion response programs.","container-title":"Conservation Biology","DOI":"10.1111/j.1523-1739.2007.00755.x","ISSN":"1523-1739","issue":"5","language":"en","note":"_eprint: https://conbio.onlinelibrary.wiley.com/doi/pdf/10.1111/j.1523-1739.2007.00755.x","page":"1258-1268","source":"Wiley Online Library","title":"Invasive rodent eradication on islands","URL":"https://conbio.onlinelibrary.wiley.com/doi/abs/10.1111/j.1523-1739.2007.00755.x","volume":"21","author":[{"family":"Howald","given":"Gregg"},{"family":"Donlan","given":"C. Josh"},{"family":"Galván","given":"Juan Pablo"},{"family":"Russell","given":"James C."},{"family":"Parkes","given":"John"},{"family":"Samaniego","given":"Araceli"},{"family":"Wang","given":"Yiwei"},{"family":"Veitch","given":"Dick"},{"family":"Genovesi","given":"Piero"},{"family":"Pascal","given":"Michel"},{"family":"Saunders","given":"Alan"},{"family":"Tershy","given":"Bernie"}],"accessed":{"date-parts":[["2020",6,25]]},"issued":{"date-parts":[["2007"]]}}},{"id":53141,"uris":["http://zotero.org/groups/2352922/items/PG2EKGZ7","http://zotero.org/groups/2352922/items/YHT5JELT"],"itemData":{"id":53141,"type":"article-journal","abstract":"Islands are global hotspots for biodiversity and extinction, representing ~ 5% of Earth’s land area alongside 40% of globally threatened vertebrates and 61% of global extinctions since the 1500s. Invasive species are the primary driver of native biodiversity loss on islands, though eradication of invasive species from islands has been effective at halting or reversing these trends. A global compendium of this conservation tool is essential for scaling best-practices and enabling innovations to maximize biodiversity outcomes. Here, we synthesize over 100 years of invasive vertebrate eradications from islands, comprising 1550 eradication attempts on 998 islands, with an 88% success rate. We show a significant growth in eradication activity since the 1980s, primarily driven by rodent eradications. The annual number of eradications on islands peaked in the mid-2000s, but the annual area treated continues to rise dramatically. This trend reflects increases in removal efficacy and project complexity, generating increased conservation gains. Our synthesis demonstrates the collective contribution of national interventions towards global biodiversity outcomes. Further investment in invasive vertebrate eradications from islands will expand biodiversity conservation while strengthening biodiversity resilience to climate change and creating co-benefits for human societies.","container-title":"Scientific Reports","DOI":"10.1038/s41598-022-14982-5","ISSN":"2045-2322","issue":"1","journalAbbreviation":"Sci Rep","language":"en","license":"2022 The Author(s)","note":"number: 1\npublisher: Nature Publishing Group","page":"13391","source":"www.nature.com","title":"The global contribution of invasive vertebrate eradication as a key island restoration tool","URL":"https://www.nature.com/articles/s41598-022-14982-5","volume":"12","author":[{"family":"Spatz","given":"Dena R."},{"family":"Holmes","given":"Nick D."},{"family":"Will","given":"David J."},{"family":"Hein","given":"Stella"},{"family":"Carter","given":"Zachary T."},{"family":"Fewster","given":"Rachel M."},{"family":"Keitt","given":"Bradford"},{"family":"Genovesi","given":"Piero"},{"family":"Samaniego","given":"Araceli"},{"family":"Croll","given":"Donald A."},{"family":"Tershy","given":"Bernie R."},{"family":"Russell","given":"James C."}],"accessed":{"date-parts":[["2022",9,1]]},"issued":{"date-parts":[["2022",8,10]]}},"label":"page"}],"schema":"https://github.com/citation-style-language/schema/raw/master/csl-citation.json"} </w:instrText>
      </w:r>
      <w:r w:rsidR="003567FF" w:rsidRPr="00837161">
        <w:fldChar w:fldCharType="separate"/>
      </w:r>
      <w:r w:rsidR="00271B78" w:rsidRPr="00271B78">
        <w:t>(Howald et al., 2007; Spatz et al., 2022)</w:t>
      </w:r>
      <w:r w:rsidR="003567FF" w:rsidRPr="00837161">
        <w:fldChar w:fldCharType="end"/>
      </w:r>
      <w:r w:rsidR="00FA27AB">
        <w:t>,</w:t>
      </w:r>
      <w:r w:rsidR="003567FF" w:rsidRPr="00837161">
        <w:t xml:space="preserve"> </w:t>
      </w:r>
      <w:r w:rsidRPr="00837161">
        <w:t xml:space="preserve">with success numbers increasing exponentially </w:t>
      </w:r>
      <w:r w:rsidR="4117E1C7" w:rsidRPr="00837161">
        <w:t>since 1980</w:t>
      </w:r>
      <w:r w:rsidRPr="00837161">
        <w:t xml:space="preserve"> </w:t>
      </w:r>
      <w:r w:rsidRPr="00837161">
        <w:fldChar w:fldCharType="begin"/>
      </w:r>
      <w:r w:rsidR="000F35EB">
        <w:instrText xml:space="preserve"> ADDIN ZOTERO_ITEM CSL_CITATION {"citationID":"S81VhpK5","properties":{"unsorted":true,"formattedCitation":"(Towns et al., 2019; V. Carrion et al., 2011; Robertson et al., 2019)","plainCitation":"(Towns et al., 2019; V. Carrion et al., 2011; Robertson et al., 2019)","dontUpdate":true,"noteIndex":0},"citationItems":[{"id":24795,"uris":["http://zotero.org/groups/2352922/items/BAG47GZ9"],"itemData":{"id":24795,"type":"article-journal","abstract":"This special issue reviews the state of biodiversity conservation in New Zealand, following the establishment of the Department of Conservation (DOC) in 1987. Here we summarise events that led to the formation of DOC, and the unprecedented series of changes in how biodiversity conservation has been viewed and conducted. Subsequent papers in this issue outline the successes, failures and key technological shifts in biodiversity conservation in New Zealand in the past 30 years; how visionary people and institutions have instigated conservation at landscape scales and in urban areas; the growing roles of Māori and non-Māori communities; and audacious new goals that reﬂect continuing attitudinal changes to the conservation of native biodiversity alongside the global and local implications of climate change.","container-title":"Journal of the Royal Society of New Zealand","DOI":"10.1080/03036758.2019.1652192","ISSN":"0303-6758, 1175-8899","issue":"3","journalAbbreviation":"Journal of the Royal Society of New Zealand","language":"en","page":"243-258","source":"DOI.org (Crossref)","title":"The thirty-year conservation revolution in New Zealand: an introduction","title-short":"The thirty-year conservation revolution in New Zealand","URL":"https://www.tandfonline.com/doi/full/10.1080/03036758.2019.1652192","volume":"49","author":[{"family":"Towns","given":"David R."},{"family":"Daugherty","given":"Charles H."},{"family":"Broome","given":"Keith"},{"family":"Timmins","given":"Susan"},{"family":"Clout","given":"Mick"}],"accessed":{"date-parts":[["2021",3,2]]},"issued":{"date-parts":[["2019",7,3]]}}},{"id":11475,"uris":["http://zotero.org/groups/2352922/items/YXIR65GU"],"itemData":{"id":11475,"type":"article-journal","abstract":"Invasive alien mammals are the major driver of biodiversity loss and ecosystem degradation on islands. Over the past three decades, invasive mammal eradication from islands has become one of society’s most powerful tools for preventing extinction of insular endemics and restoring insular ecosystems. As practitioners tackle larger islands for restoration, three factors will heavily influence success and outcomes: the degree of local support, the ability to mitigate for non-target impacts, and the ability to eradicate non-native species more cost-effectively. Investments in removing invasive species, however, must be weighed against the risk of reintroduction. One way to reduce reintroduction risks is to eradicate the target invasive species from an entire archipelago, and thus eliminate readily available sources. We illustrate the costs and benefits of this approach with the efforts to remove invasive goats from the Gala´pagos Islands. Project Isabela, the world’s largest island restoration effort to date, removed .140,000 goats from .500,000 ha for a cost of US$10.5 million. Leveraging the capacity built during Project Isabela, and given that goat reintroductions have been common over the past decade, we implemented an archipelago-wide goat eradication strategy. Feral goats remain on three islands in the archipelago, and removal efforts are underway. Efforts on the Gala´pagos Islands demonstrate that for some species, island size is no longer the limiting factor with respect to eradication. Rather, bureaucratic processes, financing, political will, and stakeholder approval appear to be the new challenges. Eradication efforts have delivered a suite of biodiversity benefits that are in the process of revealing themselves. The costs of rectifying intentional reintroductions are high in terms of financial and human resources. Reducing the archipelago-wide goat density to low levels is a technical approach to reducing reintroduction risk in the short-term, and is being complemented with a longer-term social approach focused on education and governance.","container-title":"Plos ONE","DOI":"10.1371/journal.pone.0018835","ISSN":"1932-6203","issue":"5","journalAbbreviation":"PLoS ONE","page":"e18835","title":"Archipelago-Wide Island Restoration in the Galapagos Islands: Reducing Costs of Invasive Mammal Eradication Programs and Reinvasion Risk","URL":"https://dx.plos.org/10.1371/journal.pone.0018835","volume":"6","author":[{"family":"Carrion","given":"Victor"},{"family":"Donlan","given":"C. Josh"},{"family":"Campbell","given":"Karl J."},{"family":"Lavoie","given":"Christian"},{"family":"Cruz","given":"Felipe"}],"issued":{"date-parts":[["2011",5,11]]}}},{"id":30850,"uris":["http://zotero.org/groups/2352922/items/K5U3QNCX"],"itemData":{"id":30850,"type":"paper-conference","container-title":"Island invasives: scaling up to meet the challenge.: Proceedings of the international conference on island invasives.","DOI":"https://doi.org/10.2305/IUCN.CH.2019.SSC-OP.62.en","page":"687–691","publisher":"IUCN","source":"Google Scholar","title":"Invasive species removals and scale – contrasting island and mainland experience","volume":"62","author":[{"family":"Robertson","given":"Peter A."},{"family":"Roy","given":"Sugoto"},{"family":"Mill","given":"Aileen C."},{"family":"Shirley","given":"M."},{"family":"Adriaens","given":"Tim"},{"family":"Ward","given":"A. I."},{"family":"Tatayah","given":"V."},{"family":"Booy","given":"Olaf"}],"issued":{"date-parts":[["2019"]]}}}],"schema":"https://github.com/citation-style-language/schema/raw/master/csl-citation.json"} </w:instrText>
      </w:r>
      <w:r w:rsidRPr="00837161">
        <w:fldChar w:fldCharType="separate"/>
      </w:r>
      <w:r w:rsidRPr="00837161">
        <w:t>(Towns et al., 2019; Carrion et al., 2011; Robertson et al., 2019)</w:t>
      </w:r>
      <w:r w:rsidRPr="00837161">
        <w:fldChar w:fldCharType="end"/>
      </w:r>
      <w:r w:rsidRPr="00837161">
        <w:t xml:space="preserve">. </w:t>
      </w:r>
      <w:r w:rsidR="00015082" w:rsidRPr="00837161">
        <w:t xml:space="preserve">Details on successful eradication of invasive alien species on islands can be found in the </w:t>
      </w:r>
      <w:r w:rsidR="00401BB1" w:rsidRPr="00837161">
        <w:t xml:space="preserve">DIISE </w:t>
      </w:r>
      <w:r w:rsidR="007C729C" w:rsidRPr="00837161">
        <w:t>(</w:t>
      </w:r>
      <w:r w:rsidR="00191A6E">
        <w:rPr>
          <w:b/>
          <w:iCs/>
        </w:rPr>
        <w:t>Table 5.4</w:t>
      </w:r>
      <w:r w:rsidR="00015082" w:rsidRPr="00837161">
        <w:t xml:space="preserve">). </w:t>
      </w:r>
      <w:r w:rsidR="5E8B9494" w:rsidRPr="00837161">
        <w:t xml:space="preserve">Recent data show that </w:t>
      </w:r>
      <w:r w:rsidR="2CE4E611" w:rsidRPr="00837161">
        <w:t>the success rate was 88</w:t>
      </w:r>
      <w:r w:rsidR="006215F0" w:rsidRPr="00837161">
        <w:t xml:space="preserve"> per cent</w:t>
      </w:r>
      <w:r w:rsidR="2CE4E611" w:rsidRPr="00837161">
        <w:t xml:space="preserve"> </w:t>
      </w:r>
      <w:r w:rsidR="5E8B9494" w:rsidRPr="00837161">
        <w:t>from 1</w:t>
      </w:r>
      <w:r w:rsidR="00EA0967">
        <w:t>,</w:t>
      </w:r>
      <w:r w:rsidR="5E8B9494" w:rsidRPr="00837161">
        <w:t>550 attempts on 998 islands during the last 100 years</w:t>
      </w:r>
      <w:r w:rsidR="1B88ED90" w:rsidRPr="00837161">
        <w:t xml:space="preserve"> </w:t>
      </w:r>
      <w:r w:rsidR="00ED4D59" w:rsidRPr="00837161">
        <w:fldChar w:fldCharType="begin"/>
      </w:r>
      <w:r w:rsidR="000F35EB">
        <w:instrText xml:space="preserve"> ADDIN ZOTERO_ITEM CSL_CITATION {"citationID":"aqSMguHL","properties":{"formattedCitation":"(Spatz et al., 2022)","plainCitation":"(Spatz et al., 2022)","noteIndex":0},"citationItems":[{"id":53141,"uris":["http://zotero.org/groups/2352922/items/PG2EKGZ7","http://zotero.org/groups/2352922/items/YHT5JELT"],"itemData":{"id":53141,"type":"article-journal","abstract":"Islands are global hotspots for biodiversity and extinction, representing ~ 5% of Earth’s land area alongside 40% of globally threatened vertebrates and 61% of global extinctions since the 1500s. Invasive species are the primary driver of native biodiversity loss on islands, though eradication of invasive species from islands has been effective at halting or reversing these trends. A global compendium of this conservation tool is essential for scaling best-practices and enabling innovations to maximize biodiversity outcomes. Here, we synthesize over 100 years of invasive vertebrate eradications from islands, comprising 1550 eradication attempts on 998 islands, with an 88% success rate. We show a significant growth in eradication activity since the 1980s, primarily driven by rodent eradications. The annual number of eradications on islands peaked in the mid-2000s, but the annual area treated continues to rise dramatically. This trend reflects increases in removal efficacy and project complexity, generating increased conservation gains. Our synthesis demonstrates the collective contribution of national interventions towards global biodiversity outcomes. Further investment in invasive vertebrate eradications from islands will expand biodiversity conservation while strengthening biodiversity resilience to climate change and creating co-benefits for human societies.","container-title":"Scientific Reports","DOI":"10.1038/s41598-022-14982-5","ISSN":"2045-2322","issue":"1","journalAbbreviation":"Sci Rep","language":"en","license":"2022 The Author(s)","note":"number: 1\npublisher: Nature Publishing Group","page":"13391","source":"www.nature.com","title":"The global contribution of invasive vertebrate eradication as a key island restoration tool","URL":"https://www.nature.com/articles/s41598-022-14982-5","volume":"12","author":[{"family":"Spatz","given":"Dena R."},{"family":"Holmes","given":"Nick D."},{"family":"Will","given":"David J."},{"family":"Hein","given":"Stella"},{"family":"Carter","given":"Zachary T."},{"family":"Fewster","given":"Rachel M."},{"family":"Keitt","given":"Bradford"},{"family":"Genovesi","given":"Piero"},{"family":"Samaniego","given":"Araceli"},{"family":"Croll","given":"Donald A."},{"family":"Tershy","given":"Bernie R."},{"family":"Russell","given":"James C."}],"accessed":{"date-parts":[["2022",9,1]]},"issued":{"date-parts":[["2022",8,10]]}}}],"schema":"https://github.com/citation-style-language/schema/raw/master/csl-citation.json"} </w:instrText>
      </w:r>
      <w:r w:rsidR="00ED4D59" w:rsidRPr="00837161">
        <w:fldChar w:fldCharType="separate"/>
      </w:r>
      <w:r w:rsidR="00271B78" w:rsidRPr="00271B78">
        <w:t>(Spatz et al., 2022)</w:t>
      </w:r>
      <w:r w:rsidR="00ED4D59" w:rsidRPr="00837161">
        <w:fldChar w:fldCharType="end"/>
      </w:r>
      <w:r w:rsidR="00ED4D59" w:rsidRPr="00837161">
        <w:t xml:space="preserve">. </w:t>
      </w:r>
      <w:r w:rsidRPr="00837161">
        <w:t xml:space="preserve">These successes have been attributed to isolation and small surface area of the islands </w:t>
      </w:r>
      <w:r w:rsidRPr="00837161">
        <w:fldChar w:fldCharType="begin"/>
      </w:r>
      <w:r w:rsidR="000F35EB">
        <w:instrText xml:space="preserve"> ADDIN ZOTERO_ITEM CSL_CITATION {"citationID":"Akcg9HKp","properties":{"formattedCitation":"(Simberloff, 2001)","plainCitation":"(Simberloff, 2001)","noteIndex":0},"citationItems":[{"id":16682,"uris":["http://zotero.org/groups/2352922/items/ZVY8KSPK"],"itemData":{"id":16682,"type":"article-journal","container-title":"Trends in Ecology &amp; Evolution","DOI":"10.1016/S0169-5347(01)02154-1","ISSN":"01695347","issue":"6","language":"en","page":"273-274","title":"Eradication of island invasives: practical actions and results achieved","title-short":"Eradication of island invasives","URL":"https://linkinghub.elsevier.com/retrieve/pii/S0169534701021541","volume":"16","author":[{"family":"Simberloff","given":"Daniel"}],"accessed":{"date-parts":[["2019",10,23]]},"issued":{"date-parts":[["2001",6,1]]}}}],"schema":"https://github.com/citation-style-language/schema/raw/master/csl-citation.json"} </w:instrText>
      </w:r>
      <w:r w:rsidRPr="00837161">
        <w:fldChar w:fldCharType="separate"/>
      </w:r>
      <w:r w:rsidR="00271B78" w:rsidRPr="00271B78">
        <w:t>(Simberloff, 2001)</w:t>
      </w:r>
      <w:r w:rsidRPr="00837161">
        <w:fldChar w:fldCharType="end"/>
      </w:r>
      <w:r w:rsidRPr="00837161">
        <w:t xml:space="preserve">. With improved baiting technology </w:t>
      </w:r>
      <w:r w:rsidR="007C729C" w:rsidRPr="00837161">
        <w:t>(</w:t>
      </w:r>
      <w:r w:rsidR="6B33AC30" w:rsidRPr="00656716">
        <w:rPr>
          <w:b/>
          <w:iCs/>
        </w:rPr>
        <w:t>section</w:t>
      </w:r>
      <w:r w:rsidRPr="00656716">
        <w:rPr>
          <w:b/>
          <w:iCs/>
        </w:rPr>
        <w:t xml:space="preserve"> 5.4</w:t>
      </w:r>
      <w:r w:rsidRPr="00837161">
        <w:t xml:space="preserve">), eradications were also possible on larger islands which was considered impossible a decade ago </w:t>
      </w:r>
      <w:r w:rsidRPr="00837161">
        <w:fldChar w:fldCharType="begin"/>
      </w:r>
      <w:r w:rsidR="000F35EB">
        <w:instrText xml:space="preserve"> ADDIN ZOTERO_ITEM CSL_CITATION {"citationID":"U9Mlv1Mf","properties":{"formattedCitation":"(E. C. R. Veitch et al., 2011)","plainCitation":"(E. C. R. Veitch et al., 2011)","dontUpdate":true,"noteIndex":0},"citationItems":[{"id":31552,"uris":["http://zotero.org/groups/2352922/items/P74SS56E"],"itemData":{"id":31552,"type":"document","abstract":"pressing environment and development challenges. IUCN works on biodiversity, climate change, energy, human livelihoods and greening the world economy by supporting scientific research, managing field projects all over the world, and bringing governments, NGOs, the UN and companies together to develop policy, laws and best practice. IUCN is the world’s oldest and largest global environmental organization, with more than 1000 government and NGO members and almost 11,000 volunteer experts in some 160 countries. IUCN’s work is supported by over 1000 staff in 60 offices and hundreds of partners in public, NGO and private sectors around the world. www.iucn.org IUCN Species Survival Commission The Species Survival Commission (SSC) is one of six volunteer commissions of IUCN – the International Union for Conservation of Nature and Natural Resources- a union of sovereign states, government agencies and non-governmental organizations. IUCN has three basic conservation objectives: to secure the conservation of nature, and especially of biological diversity, as an essential foundation for the future; to ensure that where the earth’s natural resources are used this is done in a wise, equitable and sustainable way; and to guide the development of human communities towards ways of life that are both of good quality and in enduring harmony","archive_location":"https://policycommons.net/artifacts/1375054/island-invasives/1989310/","call-number":"IUCN-SSC-OP-no.042","note":"ISBN: 982-2-8317-1291-8","source":"CiteSeer","title":"Island Invasives: Eradication and Management Proceedings of the International Conference on Island Invasives","title-short":"Island Invasives","author":[{"family":"Veitch","given":"C. R."},{"family":"Clout","given":"M. N."},{"family":"Towns","given":"D. R."}],"issued":{"date-parts":[["2011"]]}}}],"schema":"https://github.com/citation-style-language/schema/raw/master/csl-citation.json"} </w:instrText>
      </w:r>
      <w:r w:rsidRPr="00837161">
        <w:fldChar w:fldCharType="separate"/>
      </w:r>
      <w:r w:rsidRPr="00837161">
        <w:t>(Veitch et al., 2011).</w:t>
      </w:r>
      <w:r w:rsidRPr="00837161">
        <w:fldChar w:fldCharType="end"/>
      </w:r>
      <w:r w:rsidRPr="00837161">
        <w:t xml:space="preserve"> This led to targeting human-inhabited islands and continental settings </w:t>
      </w:r>
      <w:r w:rsidRPr="00837161">
        <w:fldChar w:fldCharType="begin"/>
      </w:r>
      <w:r w:rsidR="000F35EB">
        <w:instrText xml:space="preserve"> ADDIN ZOTERO_ITEM CSL_CITATION {"citationID":"e00Yn8wx","properties":{"unsorted":true,"formattedCitation":"(Malmierca et al., 2011; Zabala et al., 2010; Glen et al., 2013)","plainCitation":"(Malmierca et al., 2011; Zabala et al., 2010; Glen et al., 2013)","noteIndex":0},"citationItems":[{"id":31550,"uris":["http://zotero.org/groups/2352922/items/PD8AWFNV"],"itemData":{"id":31550,"type":"paper-conference","container-title":"Island invasives: eradication and management, International Conference on Island Invasives","page":"87-90","title":"Eradication of beaver (&lt;i&gt;Castor canadensis&lt;/i&gt;), an ecosystem engineer and threat to southern Patagonia","URL":"https://www.researchgate.net/publication/288634952_Eradication_of_Beaver_Castor_canadensis_an_ecosystem_engineer_and_threat_to_southern_Patagonia","author":[{"family":"Malmierca","given":"L."},{"family":"Menvielle","given":"M. F."},{"family":"Ramadori","given":"D."},{"family":"Saavedra","given":"B."},{"family":"Saunders","given":"A."},{"family":"Soto","given":"N."},{"family":"Schiavini","given":"A."}],"issued":{"date-parts":[["2011"]]}}},{"id":31551,"uris":["http://zotero.org/groups/2352922/items/BQVV3ZVS"],"itemData":{"id":31551,"type":"article-journal","container-title":"Biological Invasions","DOI":"10.1007/s10530-010-9690-2","ISSN":"1387-3547, 1573-1464","issue":"9","journalAbbreviation":"Biol Invasions","language":"en","page":"2999-3012","source":"DOI.org (Crossref)","title":"Estimating costs and outcomes of invasive American mink (&lt;i&gt;Neovison vison&lt;/i&gt;) management in continental areas: a framework for evidence based control and eradication","title-short":"Estimating costs and outcomes of invasive American mink (Neovison vison) management in continental areas","URL":"http://link.springer.com/10.1007/s10530-010-9690-2","volume":"12","author":[{"family":"Zabala","given":"Jabi"},{"family":"Zuberogoitia","given":"Iñigo"},{"family":"González-Oreja","given":"Jose A."}],"accessed":{"date-parts":[["2021",11,22]]},"issued":{"date-parts":[["2010",9]]}}},{"id":23807,"uris":["http://zotero.org/groups/2352922/items/L4QVV74Z"],"itemData":{"id":23807,"type":"article-journal","abstract":"Invasive species are the greatest threat to island ecosystems, which harbour nearly half the world’s endangered biodiversity. However, eradication is more feasible on islands than on continents. We present a global analysis of 1,224 successful eradications of invasive plants and animals on 808 islands. Most involve single vertebrate species on uninhabited islands, but plant and invertebrate eradications occur more often on inhabited islands. Inhabited islands are often highly modiﬁed and support numerous introduced species. Consequently, targeting a single invasive species can be ineffective or counterproductive.","container-title":"Biological Invasions","DOI":"10.1007/s10530-013-0495-y","ISSN":"1387-3547, 1573-1464","issue":"12","journalAbbreviation":"Biol Invasions","language":"en","page":"2589-2603","source":"DOI.org (Crossref)","title":"Eradicating multiple invasive species on inhabited islands: the next big step in island restoration?","title-short":"Eradicating multiple invasive species on inhabited islands","URL":"http://link.springer.com/10.1007/s10530-013-0495-y","volume":"15","author":[{"family":"Glen","given":"A. S."},{"family":"Atkinson","given":"Rachel"},{"family":"Campbell","given":"Karl J."},{"family":"Hagen","given":"Erin"},{"family":"Holmes","given":"Nick D."},{"family":"Keitt","given":"Bradford S."},{"family":"Parkes","given":"John P."},{"family":"Saunders","given":"Alan"},{"family":"Sawyer","given":"John"},{"family":"Torres","given":"Hernán"}],"accessed":{"date-parts":[["2019",10,23]]},"issued":{"date-parts":[["2013",12]]}}}],"schema":"https://github.com/citation-style-language/schema/raw/master/csl-citation.json"} </w:instrText>
      </w:r>
      <w:r w:rsidRPr="00837161">
        <w:fldChar w:fldCharType="separate"/>
      </w:r>
      <w:r w:rsidR="00271B78" w:rsidRPr="00271B78">
        <w:t>(Malmierca et al., 2011; Zabala et al., 2010; Glen et al., 2013)</w:t>
      </w:r>
      <w:r w:rsidRPr="00837161">
        <w:fldChar w:fldCharType="end"/>
      </w:r>
      <w:r w:rsidRPr="00FC199D">
        <w:rPr>
          <w:lang w:val="de-DE"/>
        </w:rPr>
        <w:t xml:space="preserve">. </w:t>
      </w:r>
      <w:r w:rsidR="002418FD" w:rsidRPr="00FC199D">
        <w:rPr>
          <w:lang w:val="de-DE"/>
        </w:rPr>
        <w:t xml:space="preserve">Roberston et al. </w:t>
      </w:r>
      <w:r w:rsidR="00981962" w:rsidRPr="00837161">
        <w:fldChar w:fldCharType="begin"/>
      </w:r>
      <w:r w:rsidR="000F35EB">
        <w:rPr>
          <w:lang w:val="de-DE"/>
        </w:rPr>
        <w:instrText xml:space="preserve"> ADDIN ZOTERO_ITEM CSL_CITATION {"citationID":"pBK0l1ez","properties":{"formattedCitation":"(2017)","plainCitation":"(2017)","noteIndex":0},"citationItems":[{"id":28952,"uris":["http://zotero.org/groups/2352922/items/FT9DB7HI"],"itemData":{"id":28952,"type":"article-journal","abstract":"Numerous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M"},{"family":"Sutton-Croft","given":"Mike"}],"accessed":{"date-parts":[["2019",11,4]]},"issued":{"date-parts":[["2017",2]]}},"label":"page","suppress-author":true}],"schema":"https://github.com/citation-style-language/schema/raw/master/csl-citation.json"} </w:instrText>
      </w:r>
      <w:r w:rsidR="00981962" w:rsidRPr="00837161">
        <w:fldChar w:fldCharType="separate"/>
      </w:r>
      <w:r w:rsidR="00271B78" w:rsidRPr="00271B78">
        <w:t>(2017)</w:t>
      </w:r>
      <w:r w:rsidR="00981962" w:rsidRPr="00837161">
        <w:fldChar w:fldCharType="end"/>
      </w:r>
      <w:r w:rsidR="002418FD" w:rsidRPr="00837161">
        <w:t xml:space="preserve"> </w:t>
      </w:r>
      <w:r w:rsidR="00BB6EB9" w:rsidRPr="00837161">
        <w:t>found</w:t>
      </w:r>
      <w:r w:rsidR="00FA27AB">
        <w:t xml:space="preserve"> that</w:t>
      </w:r>
      <w:r w:rsidR="00BB6EB9" w:rsidRPr="00837161">
        <w:t xml:space="preserve"> twelve of </w:t>
      </w:r>
      <w:r w:rsidR="00D730DF" w:rsidRPr="00837161">
        <w:t xml:space="preserve">fifteen </w:t>
      </w:r>
      <w:r w:rsidR="00BB6EB9" w:rsidRPr="00837161">
        <w:t xml:space="preserve">(80%) </w:t>
      </w:r>
      <w:r w:rsidR="00D730DF" w:rsidRPr="00837161">
        <w:t xml:space="preserve">large-scale </w:t>
      </w:r>
      <w:r w:rsidR="003224E8" w:rsidRPr="00837161">
        <w:t xml:space="preserve">mammal </w:t>
      </w:r>
      <w:r w:rsidR="00D730DF" w:rsidRPr="00837161">
        <w:t xml:space="preserve">removals from Northern Europe since 1900 </w:t>
      </w:r>
      <w:r w:rsidR="00BB6EB9" w:rsidRPr="00837161">
        <w:t>were successful</w:t>
      </w:r>
      <w:r w:rsidR="00B20B7C" w:rsidRPr="00837161">
        <w:t xml:space="preserve"> </w:t>
      </w:r>
      <w:r w:rsidR="008D16A7" w:rsidRPr="00837161">
        <w:t>within defined management boundaries</w:t>
      </w:r>
      <w:r w:rsidR="00D86B55" w:rsidRPr="00837161">
        <w:t xml:space="preserve"> (mean area 2</w:t>
      </w:r>
      <w:r w:rsidR="00833FD5">
        <w:t>,</w:t>
      </w:r>
      <w:r w:rsidR="00D86B55" w:rsidRPr="00837161">
        <w:t>627 km</w:t>
      </w:r>
      <w:r w:rsidR="00D86B55" w:rsidRPr="00837161">
        <w:rPr>
          <w:vertAlign w:val="superscript"/>
        </w:rPr>
        <w:t>2</w:t>
      </w:r>
      <w:r w:rsidR="00D86B55" w:rsidRPr="00837161">
        <w:t>)</w:t>
      </w:r>
      <w:r w:rsidR="008D21C1" w:rsidRPr="00837161">
        <w:t xml:space="preserve">. </w:t>
      </w:r>
      <w:r w:rsidR="00D12D61" w:rsidRPr="00837161">
        <w:t>As such</w:t>
      </w:r>
      <w:r w:rsidR="00FA27AB">
        <w:t>,</w:t>
      </w:r>
      <w:r w:rsidR="00D12D61" w:rsidRPr="00837161">
        <w:t xml:space="preserve"> most</w:t>
      </w:r>
      <w:r w:rsidR="008764EB" w:rsidRPr="00837161">
        <w:t xml:space="preserve"> </w:t>
      </w:r>
      <w:r w:rsidR="00F250FB" w:rsidRPr="00837161">
        <w:t xml:space="preserve">programmes </w:t>
      </w:r>
      <w:r w:rsidR="008C4023" w:rsidRPr="00837161">
        <w:t xml:space="preserve">were </w:t>
      </w:r>
      <w:r w:rsidR="00D86B55" w:rsidRPr="00837161">
        <w:t>mostly no</w:t>
      </w:r>
      <w:r w:rsidR="00A32C26" w:rsidRPr="00837161">
        <w:t>t aimed at</w:t>
      </w:r>
      <w:r w:rsidR="001437C0" w:rsidRPr="00837161">
        <w:t xml:space="preserve"> eradication</w:t>
      </w:r>
      <w:r w:rsidR="00A32C26" w:rsidRPr="00837161">
        <w:t xml:space="preserve"> from large land masses</w:t>
      </w:r>
      <w:r w:rsidR="00BB6EB9" w:rsidRPr="00837161">
        <w:t>.</w:t>
      </w:r>
      <w:r w:rsidR="00B62203" w:rsidRPr="00837161">
        <w:t xml:space="preserve"> </w:t>
      </w:r>
    </w:p>
    <w:p w14:paraId="0CA0D960" w14:textId="4E4A864B" w:rsidR="006B44B1" w:rsidRPr="00837161" w:rsidRDefault="5E0197D3" w:rsidP="009C6EDA">
      <w:pPr>
        <w:spacing w:before="240" w:after="120" w:line="240" w:lineRule="auto"/>
        <w:rPr>
          <w:i/>
          <w:iCs/>
        </w:rPr>
      </w:pPr>
      <w:r w:rsidRPr="00837161">
        <w:t xml:space="preserve">Detailed information on successful eradication programmes (i.e., rate of removal of individuals and techniques applied to achieve results) is generally limited and even less information is available on unsuccessful attempts </w:t>
      </w:r>
      <w:r w:rsidR="00066A7E" w:rsidRPr="00837161">
        <w:fldChar w:fldCharType="begin"/>
      </w:r>
      <w:r w:rsidR="000F35EB">
        <w:instrText xml:space="preserve"> ADDIN ZOTERO_ITEM CSL_CITATION {"citationID":"PKjlhneY","properties":{"formattedCitation":"(S. Roy et al., 2009; Simberloff, 2020)","plainCitation":"(S. Roy et al., 2009; Simberloff, 2020)","dontUpdate":true,"noteIndex":0},"citationItems":[{"id":22889,"uris":["http://zotero.org/groups/2352922/items/25WMFIZ5"],"itemData":{"id":22889,"type":"article-journal","abstract":"Invasive alien species (IAS) threaten global biodiversity; they are the major cause of species extinction on offshore islands. Management of IAS requires data on the ecology of species in their new environment, how these species respond to management, and how these processes interact. Often, however, there is a paucity of information on key biological parameters that are critical to making management decisions. We sent a questionnaire to professionals and organizations managing invasive species and asked the respondents to prioritize a list of information they required to carry out eradication of invasive species. We analysed responses to assess the level of agreement among experts. Then, we compared them to a survey ranking available information in the peer-reviewed literature. We did this for 8 globally-important mammal species to identify gaps in available knowledge. We suggest that many of the shortfalls in knowledge can be best addressed through adaptive resource management (i.e., collecting data during the process of carrying out eradication itself, analyzing and processing these data, and using the information to make objective decisions that can be fed back into ﬁeld operations). We recommend a modelling approach to enable the forecasting and testing of different scenarios when manipulative experimentation is impossible. As this process evolves, it should assist successful eradication of IAS on larger islands.","container-title":"Human–Wildlife Conflicts","issue":"35","language":"en","page":"30–40","source":"Zotero","title":"The eradication of invasive mammal species: can adaptive resource management fill the gaps in our knowledge?","volume":"3","author":[{"family":"Roy","given":"Sugoto"},{"family":"Smith","given":"Graham C"},{"family":"Russell","given":"James C"}],"issued":{"date-parts":[["2009"]]}}},{"id":31697,"uris":["http://zotero.org/groups/2352922/items/CP5WZMAV"],"itemData":{"id":31697,"type":"article-journal","container-title":"Hydrobiologia","DOI":"10.1007/s10750-020-04352-5","ISSN":"0018-8158,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schema":"https://github.com/citation-style-language/schema/raw/master/csl-citation.json"} </w:instrText>
      </w:r>
      <w:r w:rsidR="00066A7E" w:rsidRPr="00837161">
        <w:fldChar w:fldCharType="separate"/>
      </w:r>
      <w:r w:rsidRPr="00837161">
        <w:t>(Roy et al., 2009; Simberloff, 2020</w:t>
      </w:r>
      <w:r w:rsidR="00066A7E" w:rsidRPr="00837161">
        <w:fldChar w:fldCharType="end"/>
      </w:r>
      <w:r w:rsidR="40DF0FF1" w:rsidRPr="00837161">
        <w:t xml:space="preserve">; </w:t>
      </w:r>
      <w:r w:rsidRPr="00656716">
        <w:rPr>
          <w:b/>
          <w:iCs/>
        </w:rPr>
        <w:t>section 5.6</w:t>
      </w:r>
      <w:r w:rsidR="5BCB0297" w:rsidRPr="00656716">
        <w:rPr>
          <w:b/>
          <w:iCs/>
        </w:rPr>
        <w:t>.2</w:t>
      </w:r>
      <w:r w:rsidRPr="00837161">
        <w:t>). In this situation, adaptive management is the most effective approach to eradication</w:t>
      </w:r>
      <w:r w:rsidR="00FA27AB">
        <w:t>,</w:t>
      </w:r>
      <w:r w:rsidRPr="00837161">
        <w:t xml:space="preserve"> esp</w:t>
      </w:r>
      <w:r w:rsidR="000AE3D1" w:rsidRPr="00837161">
        <w:t>e</w:t>
      </w:r>
      <w:r w:rsidRPr="00837161">
        <w:t>cially when there are data gaps and uncertainty on how best to continue the program</w:t>
      </w:r>
      <w:r w:rsidR="42FFD9F0" w:rsidRPr="00837161">
        <w:t>me</w:t>
      </w:r>
      <w:r w:rsidRPr="00837161">
        <w:t xml:space="preserve"> based on early results. A successful example is </w:t>
      </w:r>
      <w:r w:rsidR="00FA27AB">
        <w:t xml:space="preserve">the removal of </w:t>
      </w:r>
      <w:r w:rsidR="40DF0FF1" w:rsidRPr="00837161">
        <w:rPr>
          <w:i/>
          <w:iCs/>
        </w:rPr>
        <w:t>Capra hircus</w:t>
      </w:r>
      <w:r w:rsidR="40DF0FF1" w:rsidRPr="00837161">
        <w:t xml:space="preserve"> (</w:t>
      </w:r>
      <w:r w:rsidRPr="00837161">
        <w:t>goat</w:t>
      </w:r>
      <w:r w:rsidR="40DF0FF1" w:rsidRPr="00837161">
        <w:t>s</w:t>
      </w:r>
      <w:r w:rsidRPr="00837161">
        <w:t xml:space="preserve">) from </w:t>
      </w:r>
      <w:r w:rsidR="00CE2952" w:rsidRPr="00837161">
        <w:t>Santiago Island</w:t>
      </w:r>
      <w:r w:rsidRPr="00837161">
        <w:t xml:space="preserve"> </w:t>
      </w:r>
      <w:r w:rsidR="009C6EDA">
        <w:t>(</w:t>
      </w:r>
      <w:r w:rsidR="009C6EDA" w:rsidRPr="009C6EDA">
        <w:rPr>
          <w:b/>
          <w:bCs/>
        </w:rPr>
        <w:t>Box 5.17</w:t>
      </w:r>
      <w:r w:rsidR="009C6EDA">
        <w:t>).</w:t>
      </w:r>
      <w:bookmarkStart w:id="517" w:name="_Ref113007499"/>
      <w:bookmarkStart w:id="518" w:name="_Toc69314078"/>
      <w:bookmarkStart w:id="519" w:name="_Toc80708189"/>
      <w:bookmarkStart w:id="520" w:name="_Toc87623076"/>
    </w:p>
    <w:p w14:paraId="0000067D" w14:textId="07914D1C" w:rsidR="00A758FD" w:rsidRPr="00C0338D" w:rsidRDefault="00066A7E" w:rsidP="002F2F42">
      <w:pPr>
        <w:pBdr>
          <w:top w:val="single" w:sz="4" w:space="1" w:color="000000"/>
          <w:left w:val="single" w:sz="4" w:space="4" w:color="000000"/>
          <w:bottom w:val="single" w:sz="4" w:space="1" w:color="000000"/>
          <w:right w:val="single" w:sz="4" w:space="4" w:color="000000"/>
        </w:pBdr>
        <w:shd w:val="clear" w:color="auto" w:fill="E7E6E6"/>
        <w:spacing w:before="240" w:after="120" w:line="240" w:lineRule="auto"/>
        <w:rPr>
          <w:b/>
        </w:rPr>
      </w:pPr>
      <w:bookmarkStart w:id="521" w:name="_Toc147488952"/>
      <w:r w:rsidRPr="00837161">
        <w:rPr>
          <w:b/>
          <w:bCs/>
        </w:rPr>
        <w:t>Box 5.</w:t>
      </w:r>
      <w:r w:rsidRPr="00837161">
        <w:rPr>
          <w:b/>
          <w:bCs/>
        </w:rPr>
        <w:fldChar w:fldCharType="begin"/>
      </w:r>
      <w:r w:rsidRPr="00837161">
        <w:rPr>
          <w:b/>
          <w:bCs/>
        </w:rPr>
        <w:instrText>SEQ Box_5. \* ARABIC</w:instrText>
      </w:r>
      <w:r w:rsidRPr="00837161">
        <w:rPr>
          <w:b/>
          <w:bCs/>
        </w:rPr>
        <w:fldChar w:fldCharType="separate"/>
      </w:r>
      <w:r w:rsidR="00DC77F8">
        <w:rPr>
          <w:b/>
          <w:bCs/>
          <w:noProof/>
        </w:rPr>
        <w:t>17</w:t>
      </w:r>
      <w:r w:rsidRPr="00837161">
        <w:rPr>
          <w:b/>
          <w:bCs/>
        </w:rPr>
        <w:fldChar w:fldCharType="end"/>
      </w:r>
      <w:bookmarkEnd w:id="517"/>
      <w:r w:rsidR="00D00E43" w:rsidRPr="00837161">
        <w:rPr>
          <w:b/>
          <w:bCs/>
        </w:rPr>
        <w:t>.</w:t>
      </w:r>
      <w:bookmarkStart w:id="522" w:name="_heading=h.3qwpj7n" w:colFirst="0" w:colLast="0"/>
      <w:bookmarkStart w:id="523" w:name="_heading=h.261ztfg" w:colFirst="0" w:colLast="0"/>
      <w:bookmarkEnd w:id="522"/>
      <w:bookmarkEnd w:id="523"/>
      <w:r w:rsidR="00C81287" w:rsidRPr="00C0338D">
        <w:rPr>
          <w:b/>
        </w:rPr>
        <w:t xml:space="preserve"> Eradication </w:t>
      </w:r>
      <w:bookmarkEnd w:id="518"/>
      <w:bookmarkEnd w:id="519"/>
      <w:bookmarkEnd w:id="520"/>
      <w:r w:rsidR="00C81287" w:rsidRPr="00C0338D">
        <w:rPr>
          <w:b/>
        </w:rPr>
        <w:t>of goats on</w:t>
      </w:r>
      <w:r w:rsidR="00C81287" w:rsidRPr="00EA0967">
        <w:rPr>
          <w:b/>
          <w:color w:val="000000"/>
        </w:rPr>
        <w:t xml:space="preserve"> Santiago Island, Ecuador</w:t>
      </w:r>
      <w:bookmarkEnd w:id="521"/>
    </w:p>
    <w:p w14:paraId="0000067E" w14:textId="29982996" w:rsidR="00A758FD" w:rsidRPr="00C0338D" w:rsidRDefault="00C81287" w:rsidP="002F2F42">
      <w:pPr>
        <w:pBdr>
          <w:top w:val="single" w:sz="4" w:space="1" w:color="000000"/>
          <w:left w:val="single" w:sz="4" w:space="4" w:color="000000"/>
          <w:bottom w:val="single" w:sz="4" w:space="1" w:color="000000"/>
          <w:right w:val="single" w:sz="4" w:space="4" w:color="000000"/>
        </w:pBdr>
        <w:shd w:val="clear" w:color="auto" w:fill="E7E6E6"/>
        <w:spacing w:before="240" w:after="120" w:line="240" w:lineRule="auto"/>
      </w:pPr>
      <w:r w:rsidRPr="00C0338D">
        <w:t xml:space="preserve">The large-scale eradication of </w:t>
      </w:r>
      <w:r w:rsidRPr="00C0338D">
        <w:rPr>
          <w:i/>
        </w:rPr>
        <w:t>Capra hircus</w:t>
      </w:r>
      <w:r w:rsidRPr="00C0338D">
        <w:t xml:space="preserve"> (goats) from Santiago Island, Galápagos Islands, Ecuador </w:t>
      </w:r>
      <w:r w:rsidR="006B44B1" w:rsidRPr="00837161">
        <w:t>(</w:t>
      </w:r>
      <w:r w:rsidR="00191A6E">
        <w:rPr>
          <w:b/>
          <w:iCs/>
        </w:rPr>
        <w:t>Figure 5.22</w:t>
      </w:r>
      <w:r w:rsidR="006B44B1" w:rsidRPr="00837161">
        <w:t>)</w:t>
      </w:r>
      <w:r w:rsidRPr="00C0338D">
        <w:t xml:space="preserve"> is an excellent example of successful island eradication. Over 79,000 individual goats were removed from over 58,000 ha in 4.5 years (2001-2005) at a cost of </w:t>
      </w:r>
      <w:r w:rsidR="006F7501">
        <w:t>United States Dollar</w:t>
      </w:r>
      <w:r w:rsidR="006F7501" w:rsidRPr="00C0338D">
        <w:t xml:space="preserve"> </w:t>
      </w:r>
      <w:r w:rsidR="006F7501">
        <w:t xml:space="preserve">(US$) </w:t>
      </w:r>
      <w:r w:rsidRPr="00C0338D">
        <w:t xml:space="preserve">6.1 million. This adaptive management programme included ground hunting using specialized techniques, aerial hunting by helicopter, and the use of sterilized Judas (tagged goats used to find other goats through social behaviour; </w:t>
      </w:r>
      <w:r w:rsidRPr="00C0338D">
        <w:rPr>
          <w:b/>
        </w:rPr>
        <w:t>section 5.4.3.2</w:t>
      </w:r>
      <w:r w:rsidRPr="00C0338D">
        <w:t xml:space="preserve">) and Mata Hari (females with hormone implants) goats to find and remove the remaining individuals. Methods were constantly revised and adjusted. Different hunting methods were integrated, and hunting efficiencies and escape rates constantly evaluated, contributing to the success of the programme at reduced costs. </w:t>
      </w:r>
      <w:r w:rsidR="006B44B1" w:rsidRPr="00837161">
        <w:t xml:space="preserve">Removal of the last goats costed $2 million, while the monitoring costs to confirm eradication was </w:t>
      </w:r>
      <w:r w:rsidR="006F7501">
        <w:t>$</w:t>
      </w:r>
      <w:r w:rsidR="006B44B1" w:rsidRPr="00837161">
        <w:t xml:space="preserve">467,064 </w:t>
      </w:r>
      <w:r w:rsidR="006B44B1" w:rsidRPr="00837161">
        <w:fldChar w:fldCharType="begin"/>
      </w:r>
      <w:r w:rsidR="000F35EB">
        <w:instrText xml:space="preserve"> ADDIN ZOTERO_ITEM CSL_CITATION {"citationID":"CIThndk0","properties":{"formattedCitation":"(Cruz et al., 2009)","plainCitation":"(Cruz et al., 2009)","noteIndex":0},"citationItems":[{"id":15600,"uris":["http://zotero.org/groups/2352922/items/5ANGS2CA"],"itemData":{"id":15600,"type":"article-journal","abstract":"Invasive mammals are premier drivers of extinction and ecosystem change, particularly on islands. In the 1960s, conservation practitioners started developing techniques to eradicate invasive mammal populations from islands. Larger and more biologically complex islands are being targeted for restoration worldwide. We conducted a feral goat (Capra hircus) eradication campaign on Santiago Island in the Galápagos archipelago, which was an unprecedented advance in the ability to reverse biodiversity impacts by invasive species. We removed &gt;79,000 goats from Santiago Island (58,465 ha) in &lt;4.5 years, at an approximate cost of US$6.1 million. An eradication ethic combined with a suite of techniques and technologies made eradication possible. A field-based Geographic Information System facilitated an adaptive management strategy, including adjustment and integration of hunting methods. Specialized ground hunting techniques with dogs removed most of the goat population. Aerial hunting by helicopter and Judas goat techniques were also critical. Mata Hari goats, sterilized female Judas goats induced into a long-term estrus, removed males from the remnant feral population at an elevated rate, which likely decreased the length and cost of the eradication campaign. The last 1,000 goats cost US$2.0 million to remove; we spent an additional US$467,064 on monitoring to confirm eradication. Aerial hunting is cost-effective even in countries where labor is inexpensive. Local sociopolitical environments and best practices emerging from large-scale, fast-paced eradications should drive future strategies. For nonnative ungulate eradications, island size is arguably no longer the limiting factor. Future challenges will involve removing invasive mammals from large inhabited islands while increasing cost-effectiveness of removing low-density populations and confirming eradication. Those challenges will require leveraging technology and applying theory from other disciplines, along with conservation practitioners working alongside sociologists and educators.","container-title":"Journal of Wildlife Management","DOI":"10.2193/2007-551","ISSN":"0022-541X, 1937-2817","issue":"2","journalAbbreviation":"wild","page":"191-200","source":"bioone.org","title":"Bio-Economics of Large-Scale Eradication of Feral Goats From Santiago Island, Galápagos","URL":"https://bioone.org/journals/Journal-of-Wildlife-Management/volume-73/issue-2/2007-551/Bio-Economics-of-Large-Scale-Eradication-of-Feral-Goats-From/10.2193/2007-551.full","volume":"73","author":[{"family":"Cruz","given":"Felipe"},{"family":"Carrion","given":"Victor"},{"family":"Campbell","given":"Karl J."},{"family":"Lavoie","given":"Christian"},{"family":"Donlan","given":"C. Josh"}],"accessed":{"date-parts":[["2019",10,16]]},"issued":{"date-parts":[["2009",2]]}}}],"schema":"https://github.com/citation-style-language/schema/raw/master/csl-citation.json"} </w:instrText>
      </w:r>
      <w:r w:rsidR="006B44B1" w:rsidRPr="00837161">
        <w:fldChar w:fldCharType="separate"/>
      </w:r>
      <w:r w:rsidR="00271B78" w:rsidRPr="00271B78">
        <w:t>(Cruz et al., 2009)</w:t>
      </w:r>
      <w:r w:rsidR="006B44B1" w:rsidRPr="00837161">
        <w:fldChar w:fldCharType="end"/>
      </w:r>
      <w:r w:rsidR="006B44B1" w:rsidRPr="00837161">
        <w:t>.</w:t>
      </w:r>
      <w:r w:rsidR="003666A4">
        <w:t xml:space="preserve">     </w:t>
      </w:r>
      <w:r w:rsidRPr="00C0338D">
        <w:t xml:space="preserve"> </w:t>
      </w:r>
    </w:p>
    <w:p w14:paraId="0000067F" w14:textId="77777777" w:rsidR="00A758FD" w:rsidRDefault="00C81287">
      <w:pPr>
        <w:keepNext/>
        <w:pBdr>
          <w:top w:val="single" w:sz="4" w:space="1" w:color="000000"/>
          <w:left w:val="single" w:sz="4" w:space="4" w:color="000000"/>
          <w:bottom w:val="single" w:sz="4" w:space="1" w:color="000000"/>
          <w:right w:val="single" w:sz="4" w:space="4" w:color="000000"/>
        </w:pBdr>
        <w:shd w:val="clear" w:color="auto" w:fill="E7E6E6"/>
        <w:spacing w:before="240" w:after="120" w:line="240" w:lineRule="auto"/>
        <w:jc w:val="center"/>
        <w:rPr>
          <w:color w:val="000000"/>
        </w:rPr>
      </w:pPr>
      <w:r>
        <w:rPr>
          <w:noProof/>
          <w:color w:val="000000"/>
        </w:rPr>
        <w:lastRenderedPageBreak/>
        <w:drawing>
          <wp:inline distT="0" distB="0" distL="0" distR="0" wp14:anchorId="0B4A25B1" wp14:editId="3694BF02">
            <wp:extent cx="6115050" cy="3227070"/>
            <wp:effectExtent l="0" t="0" r="0" b="0"/>
            <wp:docPr id="1971555452" name="image10.png" descr="A group of goats in the wood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A group of goats in the woods&#10;&#10;Description automatically generated"/>
                    <pic:cNvPicPr preferRelativeResize="0"/>
                  </pic:nvPicPr>
                  <pic:blipFill>
                    <a:blip r:embed="rId106"/>
                    <a:srcRect/>
                    <a:stretch>
                      <a:fillRect/>
                    </a:stretch>
                  </pic:blipFill>
                  <pic:spPr>
                    <a:xfrm>
                      <a:off x="0" y="0"/>
                      <a:ext cx="6115050" cy="3227070"/>
                    </a:xfrm>
                    <a:prstGeom prst="rect">
                      <a:avLst/>
                    </a:prstGeom>
                    <a:ln/>
                  </pic:spPr>
                </pic:pic>
              </a:graphicData>
            </a:graphic>
          </wp:inline>
        </w:drawing>
      </w:r>
    </w:p>
    <w:p w14:paraId="00000680" w14:textId="6A899AF5" w:rsidR="00A758FD" w:rsidRPr="002F2F42" w:rsidRDefault="00C81287" w:rsidP="00EA0967">
      <w:pPr>
        <w:keepNext/>
        <w:pBdr>
          <w:top w:val="single" w:sz="4" w:space="1" w:color="000000"/>
          <w:left w:val="single" w:sz="4" w:space="4" w:color="000000"/>
          <w:bottom w:val="single" w:sz="4" w:space="1" w:color="000000"/>
          <w:right w:val="single" w:sz="4" w:space="4" w:color="000000"/>
          <w:between w:val="nil"/>
        </w:pBdr>
        <w:shd w:val="clear" w:color="auto" w:fill="E7E6E6"/>
        <w:spacing w:before="240" w:after="120" w:line="240" w:lineRule="auto"/>
        <w:rPr>
          <w:color w:val="000000"/>
        </w:rPr>
      </w:pPr>
      <w:bookmarkStart w:id="524" w:name="_heading=h.l7a3n9" w:colFirst="0" w:colLast="0"/>
      <w:bookmarkStart w:id="525" w:name="_Ref104970897"/>
      <w:bookmarkStart w:id="526" w:name="_Toc87623112"/>
      <w:bookmarkStart w:id="527" w:name="_Ref131084492"/>
      <w:bookmarkStart w:id="528" w:name="_Toc147489375"/>
      <w:bookmarkEnd w:id="524"/>
      <w:r w:rsidRPr="00EA0967">
        <w:rPr>
          <w:b/>
          <w:color w:val="000000"/>
        </w:rPr>
        <w:t>Figure 5</w:t>
      </w:r>
      <w:r w:rsidR="00066A7E" w:rsidRPr="002F2F42">
        <w:rPr>
          <w:b/>
          <w:bCs/>
        </w:rPr>
        <w:t>.</w:t>
      </w:r>
      <w:r w:rsidR="00975896" w:rsidRPr="002F2F42">
        <w:rPr>
          <w:b/>
          <w:bCs/>
        </w:rPr>
        <w:fldChar w:fldCharType="begin"/>
      </w:r>
      <w:r w:rsidR="00975896" w:rsidRPr="002F2F42">
        <w:rPr>
          <w:b/>
          <w:bCs/>
        </w:rPr>
        <w:instrText xml:space="preserve"> SEQ Figure_5. \* ARABIC </w:instrText>
      </w:r>
      <w:r w:rsidR="00975896" w:rsidRPr="002F2F42">
        <w:rPr>
          <w:b/>
          <w:bCs/>
        </w:rPr>
        <w:fldChar w:fldCharType="separate"/>
      </w:r>
      <w:r w:rsidR="00DC77F8" w:rsidRPr="002F2F42">
        <w:rPr>
          <w:b/>
          <w:bCs/>
          <w:noProof/>
        </w:rPr>
        <w:t>22</w:t>
      </w:r>
      <w:r w:rsidR="00975896" w:rsidRPr="002F2F42">
        <w:rPr>
          <w:b/>
          <w:bCs/>
        </w:rPr>
        <w:fldChar w:fldCharType="end"/>
      </w:r>
      <w:bookmarkEnd w:id="525"/>
      <w:r w:rsidR="00D00E43" w:rsidRPr="002F2F42">
        <w:rPr>
          <w:b/>
          <w:bCs/>
        </w:rPr>
        <w:t>.</w:t>
      </w:r>
      <w:r w:rsidRPr="002F2F42">
        <w:rPr>
          <w:b/>
          <w:color w:val="000000"/>
        </w:rPr>
        <w:t xml:space="preserve"> </w:t>
      </w:r>
      <w:r w:rsidRPr="002F2F42">
        <w:rPr>
          <w:i/>
          <w:color w:val="000000"/>
        </w:rPr>
        <w:t>Capra hircus</w:t>
      </w:r>
      <w:r w:rsidRPr="002F2F42">
        <w:rPr>
          <w:color w:val="000000"/>
        </w:rPr>
        <w:t xml:space="preserve"> (goats; cabras in Spanish) invading Santiago Island, Ecuador</w:t>
      </w:r>
      <w:bookmarkEnd w:id="526"/>
      <w:r w:rsidRPr="002F2F42">
        <w:rPr>
          <w:color w:val="000000"/>
        </w:rPr>
        <w:t xml:space="preserve">. </w:t>
      </w:r>
      <w:bookmarkEnd w:id="527"/>
      <w:r w:rsidRPr="002F2F42">
        <w:rPr>
          <w:color w:val="000000"/>
        </w:rPr>
        <w:t xml:space="preserve">Photo credit: Heidi Snell/CDF – </w:t>
      </w:r>
      <w:r w:rsidR="00E87F41">
        <w:t xml:space="preserve">under license </w:t>
      </w:r>
      <w:r w:rsidRPr="002F2F42">
        <w:rPr>
          <w:color w:val="000000"/>
        </w:rPr>
        <w:t>CC BY 4.0.</w:t>
      </w:r>
      <w:bookmarkEnd w:id="528"/>
    </w:p>
    <w:p w14:paraId="00000681" w14:textId="21307610" w:rsidR="00A758FD" w:rsidRPr="00C0338D" w:rsidRDefault="00C81287">
      <w:pPr>
        <w:spacing w:before="240" w:after="120" w:line="240" w:lineRule="auto"/>
      </w:pPr>
      <w:r w:rsidRPr="00C0338D">
        <w:t xml:space="preserve">Information on the costs of eradication programmes are necessary to evaluate the economically optimal strategies, however, cost-benefit analyses usually used to evaluate the feasibly of management plans are not frequently published </w:t>
      </w:r>
      <w:r w:rsidR="00066A7E" w:rsidRPr="00837161">
        <w:fldChar w:fldCharType="begin"/>
      </w:r>
      <w:r w:rsidR="000F35EB">
        <w:instrText xml:space="preserve"> ADDIN ZOTERO_ITEM CSL_CITATION {"citationID":"rKXIw67f","properties":{"formattedCitation":"(Pluess, Cannon, et al., 2012)","plainCitation":"(Pluess, Cannon, et al., 2012)","noteIndex":0},"citationItems":[{"id":31630,"uris":["http://zotero.org/groups/2352922/items/6QL3ET38"],"itemData":{"id":31630,"type":"article-journal","abstract":"Eradication aims at eliminating populations of alien organisms from an area. Since not all eradications are successful, several factors have been proposed in the literature (mainly by referring to case studies) to be crucial for eradication success, such as infestation size or reaction time. To our knowledge, however, no study has statistically evaluated which factors affect eradication success and attempted to determine their relative importance. We established a unique global dataset on 136 eradication campaigns against 75 species (invasive alien invertebrates, plants and plant pathogens) and statistically tested whether the following factors, proposed by others were significantly related to eradication success: (1) the reaction time between the arrival/detection of the organism and the start of the eradication campaign; (2) the spatial extent of the infestation; (3) the level of biological knowledge of the organism; and (4) insularity. Of these, only the spatial extent of the infestation was significantly related to the eradication outcome: local campaigns were more successful than regional or national campaigns. Reaction time, the level of knowledge and insularity were all unrelated to eradication success. Hence, some factors suggested as being crucial may be less important than previously thought, at least for the organisms tested here. We found no differences in success rates among taxonomic groups or geographic regions. We recommend that eradication measures should generally concentrate on the very early phase of invasions when infestations are still relatively small.","container-title":"Biological Invasions","DOI":"10.1007/s10530-011-0160-2","ISSN":"1387-3547, 1573-1464","issue":"7","journalAbbreviation":"Biol Invasions","language":"en","page":"1365-1378","source":"DOI.org (Crossref)","title":"When are eradication campaigns successful? A test of common assumptions","title-short":"When are eradication campaigns successful?","URL":"http://link.springer.com/10.1007/s10530-011-0160-2","volume":"14","author":[{"family":"Pluess","given":"Therese"},{"family":"Cannon","given":"Ray"},{"family":"Jarošík","given":"Vojtěch"},{"family":"Pergl","given":"Jan"},{"family":"Pyšek","given":"Petr"},{"family":"Bacher","given":"Sven"}],"accessed":{"date-parts":[["2019",11,4]]},"issued":{"date-parts":[["2012",7]]}}}],"schema":"https://github.com/citation-style-language/schema/raw/master/csl-citation.json"} </w:instrText>
      </w:r>
      <w:r w:rsidR="00066A7E" w:rsidRPr="00837161">
        <w:fldChar w:fldCharType="separate"/>
      </w:r>
      <w:r w:rsidR="00271B78" w:rsidRPr="00271B78">
        <w:t>(Pluess, Cannon, et al., 2012)</w:t>
      </w:r>
      <w:r w:rsidR="00066A7E" w:rsidRPr="00837161">
        <w:fldChar w:fldCharType="end"/>
      </w:r>
      <w:r w:rsidR="54772749" w:rsidRPr="00837161">
        <w:t>. While eradication program</w:t>
      </w:r>
      <w:r w:rsidR="3818A224" w:rsidRPr="00837161">
        <w:t>me</w:t>
      </w:r>
      <w:r w:rsidR="54772749" w:rsidRPr="00837161">
        <w:t xml:space="preserve">s </w:t>
      </w:r>
      <w:r w:rsidR="00A92E10" w:rsidRPr="00837161">
        <w:t>can only be achieved with access to</w:t>
      </w:r>
      <w:r w:rsidR="54772749" w:rsidRPr="00837161">
        <w:t xml:space="preserve"> high immediate costs, they are generally cheaper than long term and permanent control costs and impacts </w:t>
      </w:r>
      <w:r w:rsidR="00066A7E" w:rsidRPr="00837161">
        <w:fldChar w:fldCharType="begin"/>
      </w:r>
      <w:r w:rsidR="000F35EB">
        <w:instrText xml:space="preserve"> ADDIN ZOTERO_ITEM CSL_CITATION {"citationID":"578NpnTS","properties":{"formattedCitation":"(Bomford &amp; O\\uc0\\u8217{}Brien, 1995)","plainCitation":"(Bomford &amp; O’Brien, 1995)","noteIndex":0},"citationItems":[{"id":15602,"uris":["http://zotero.org/groups/2352922/items/QKICECJK"],"itemData":{"id":15602,"type":"article-journal","archive":"JSTOR","container-title":"Wildlife Society Bulletin (1973-2006)","ISSN":"0091-7648","issue":"2","page":"249-255","source":"JSTOR","title":"Eradication or Control for Vertebrate Pests?","URL":"https://www.jstor.org/stable/3782799","volume":"23","author":[{"family":"Bomford","given":"Mary"},{"family":"O'Brien","given":"Peter"}],"accessed":{"date-parts":[["2019",10,12]]},"issued":{"date-parts":[["1995"]]}}}],"schema":"https://github.com/citation-style-language/schema/raw/master/csl-citation.json"} </w:instrText>
      </w:r>
      <w:r w:rsidR="00066A7E" w:rsidRPr="00837161">
        <w:fldChar w:fldCharType="separate"/>
      </w:r>
      <w:r w:rsidR="00271B78" w:rsidRPr="00271B78">
        <w:t>(Bomford &amp; O’Brien, 1995)</w:t>
      </w:r>
      <w:r w:rsidR="00066A7E" w:rsidRPr="00837161">
        <w:fldChar w:fldCharType="end"/>
      </w:r>
      <w:r w:rsidR="54772749" w:rsidRPr="00837161">
        <w:t xml:space="preserve">. The eradication of well-established population of </w:t>
      </w:r>
      <w:r w:rsidR="54772749" w:rsidRPr="00837161">
        <w:rPr>
          <w:i/>
          <w:iCs/>
        </w:rPr>
        <w:t>Myocastor coypus</w:t>
      </w:r>
      <w:r w:rsidR="54772749" w:rsidRPr="00837161">
        <w:t xml:space="preserve"> (coypu) through trapping in Great Britain is another success story of eradication. An 11</w:t>
      </w:r>
      <w:r w:rsidR="26D66826" w:rsidRPr="00837161">
        <w:t>-</w:t>
      </w:r>
      <w:r w:rsidR="54772749" w:rsidRPr="00837161">
        <w:t xml:space="preserve"> year campaign (1981-1992) at a total cost of EUR 5 million </w:t>
      </w:r>
      <w:r w:rsidR="00066A7E" w:rsidRPr="00837161">
        <w:rPr>
          <w:rFonts w:eastAsia="Times New Roman"/>
        </w:rPr>
        <w:fldChar w:fldCharType="begin"/>
      </w:r>
      <w:r w:rsidR="00066A7E" w:rsidRPr="00837161">
        <w:rPr>
          <w:rFonts w:eastAsia="Times New Roman"/>
        </w:rPr>
        <w:instrText xml:space="preserve"> ADDIN ZOTERO_TEMP </w:instrText>
      </w:r>
      <w:r w:rsidR="00066A7E" w:rsidRPr="00837161">
        <w:rPr>
          <w:rFonts w:eastAsia="Times New Roman"/>
        </w:rPr>
        <w:fldChar w:fldCharType="end"/>
      </w:r>
      <w:r w:rsidR="54772749" w:rsidRPr="00837161">
        <w:t xml:space="preserve">included dynamic estimate of remaining populations which helped to understand trapping effects on coypu and the trap numbers </w:t>
      </w:r>
      <w:r w:rsidR="00066A7E" w:rsidRPr="00837161">
        <w:fldChar w:fldCharType="begin"/>
      </w:r>
      <w:r w:rsidR="000F35EB">
        <w:instrText xml:space="preserve"> ADDIN ZOTERO_ITEM CSL_CITATION {"citationID":"aYBhvxtP","properties":{"formattedCitation":"(Gosling &amp; Baker, 1989; Panzacchi et al., 2007)","plainCitation":"(Gosling &amp; Baker, 1989; Panzacchi et al., 2007)","noteIndex":0},"citationItems":[{"id":29931,"uris":["http://zotero.org/groups/2352922/items/JL9ED5WC"],"itemData":{"id":29931,"type":"article-journal","abstract":"Introduced vertebrates can cause massive environmental damage but most attempts to remove feral populations have failed. This paper discusses the eradication campaigns against feral muskrats, Ondatra Zibethicus and coypus, Myocastor coypus in Britain. Both specks were introduced in the 1920s to be farmed for pelts and feral populations became established following escapes. The risk of environmental damage by muskrats was well known from Europe and;in eradication campaign started promptly in 1932 making use of overseas expertise and a control strategy designed by pest control specialists. The campaign was brought to a successful conclusion in 1939 when at least 4388 muskrats had been killed. In the 1930s, few believed that coypus would cause significant environment damage and early trapping efforts were inadequate. An early campaign achieved only limited success partly because of the lack of biological information. The eradication campaign which started in 1981, was based on a long tem study of population ecology. The effect of trapping and cold weather was quantified and detailed population simulations were used to plan the numbers of trappers, the time needed for eradication arid thus the likely cost of the campaign. An incentive bonus scheme was designed to overcome the problem that trappers would be reluctant to work themselves out of a job. Trapper deployment was planned using capture/trapping effort ratios and progress was checked by Ministry of Agriculture field staff. The muskrat campaigns succeeded because technical information to help plan the work was available and because action was taken quickly. Where an introduced population is well established, as with coypus in Britain, a closely integrated programme involving applied population ecology and a well-planned control organization may he essential for succesful removal.","container-title":"Biological Journal of the Linnean Society","DOI":"10.1111/j.1095-8312.1989.tb01561.x","ISSN":"1095-8312","issue":"1","language":"en","note":"_eprint: https://onlinelibrary.wiley.com/doi/pdf/10.1111/j.1095-8312.1989.tb01561.x","page":"39-51","source":"Wiley Online Library","title":"The eradication of muskrats and coypus from Britain","URL":"https://onlinelibrary.wiley.com/doi/abs/10.1111/j.1095-8312.1989.tb01561.x","volume":"38","author":[{"family":"Gosling","given":"L. M."},{"family":"Baker","given":"S. J."}],"accessed":{"date-parts":[["2021",8,2]]},"issued":{"date-parts":[["1989"]]}}},{"id":15601,"uris":["http://zotero.org/groups/2352922/items/YGZUYIXA"],"itemData":{"id":15601,"type":"article-journal","abstract":"Invasive alien species rank among the world's greatest threats to biodiversity and cause huge economic losses. Eradication is a key management strategy for newly introduced pests, but it is frequently discarded due to the high costs. When populations become established and conflicts increase, policy-makers often resort to permanent population control. However, no cost-benefit analyses have been carried out so far to compare the two alternatives. We present the first cost-benefit analysis by comparing the permanent control campaign of coypu Myocastor coypus in Italy with the successful eradication carried out in UK in the 1980s. Data regarding the eradication came from literature, while costs and benefits of control were quantified through a national survey. In Italy, during 1995-2000, the damage amounted to € 11,631,721, control activities cost € 2,614,408, and 220,688 coypu were removed. Control campaigns did not stop the population expansion nor the increase in damage and economic losses at a national scale. However, the efficacy of local campaigns varied among different ecosystems. According to our predictions, the Italian coypu range may expand 2.5-3.3 times, and economic losses may reach € 9-12 millions/year. A comparison between the costs of the successful eradication carried out in East Anglia (€ five million over 11 years) and the permanent control campaign in Italy (€ 14 million over only six years) shows that even very costly eradications, if successful, may have a very positive cost-benefit ratio in the long term.","container-title":"Wildlife Biology","DOI":"10.2981/0909-6396(2007)13[159:PCOCMC]2.0.CO;2","issue":"2","journalAbbreviation":"Wildlife Biology","page":"159-171","title":"Population control of coypu &lt;i&gt;Myocastor coypus&lt;/i&gt; in Italy compared to eradication in UK: A cost-benefit analysis","volume":"13","author":[{"family":"Panzacchi","given":"Manuela"},{"family":"Cocchi","given":"Roberto"},{"family":"Genovesi","given":"Piero"},{"family":"Bertolino","given":"Sandro"}],"issued":{"date-parts":[["2007",6,1]]}}}],"schema":"https://github.com/citation-style-language/schema/raw/master/csl-citation.json"} </w:instrText>
      </w:r>
      <w:r w:rsidR="00066A7E" w:rsidRPr="00837161">
        <w:fldChar w:fldCharType="separate"/>
      </w:r>
      <w:r w:rsidR="00271B78" w:rsidRPr="00271B78">
        <w:t>(Gosling &amp; Baker, 1989; Panzacchi et al., 2007)</w:t>
      </w:r>
      <w:r w:rsidR="00066A7E" w:rsidRPr="00837161">
        <w:fldChar w:fldCharType="end"/>
      </w:r>
      <w:r w:rsidR="54772749" w:rsidRPr="00837161">
        <w:t>. This program</w:t>
      </w:r>
      <w:r w:rsidR="3818A224" w:rsidRPr="00837161">
        <w:t>me</w:t>
      </w:r>
      <w:r w:rsidR="54772749" w:rsidRPr="00837161">
        <w:t xml:space="preserve"> is comparable</w:t>
      </w:r>
      <w:r w:rsidR="39592F3F" w:rsidRPr="00837161">
        <w:t xml:space="preserve"> </w:t>
      </w:r>
      <w:r w:rsidR="54772749" w:rsidRPr="00837161">
        <w:t>to the long-term coypu control program</w:t>
      </w:r>
      <w:r w:rsidR="3818A224" w:rsidRPr="00837161">
        <w:t>me</w:t>
      </w:r>
      <w:r w:rsidR="54772749" w:rsidRPr="00837161">
        <w:t xml:space="preserve"> in Italy which costed EUR 14 million over six years </w:t>
      </w:r>
      <w:r w:rsidR="00066A7E" w:rsidRPr="00837161">
        <w:fldChar w:fldCharType="begin"/>
      </w:r>
      <w:r w:rsidR="000F35EB">
        <w:instrText xml:space="preserve"> ADDIN ZOTERO_ITEM CSL_CITATION {"citationID":"RkDxGRB1","properties":{"formattedCitation":"(Panzacchi et al., 2007)","plainCitation":"(Panzacchi et al., 2007)","noteIndex":0},"citationItems":[{"id":15601,"uris":["http://zotero.org/groups/2352922/items/YGZUYIXA"],"itemData":{"id":15601,"type":"article-journal","abstract":"Invasive alien species rank among the world's greatest threats to biodiversity and cause huge economic losses. Eradication is a key management strategy for newly introduced pests, but it is frequently discarded due to the high costs. When populations become established and conflicts increase, policy-makers often resort to permanent population control. However, no cost-benefit analyses have been carried out so far to compare the two alternatives. We present the first cost-benefit analysis by comparing the permanent control campaign of coypu Myocastor coypus in Italy with the successful eradication carried out in UK in the 1980s. Data regarding the eradication came from literature, while costs and benefits of control were quantified through a national survey. In Italy, during 1995-2000, the damage amounted to € 11,631,721, control activities cost € 2,614,408, and 220,688 coypu were removed. Control campaigns did not stop the population expansion nor the increase in damage and economic losses at a national scale. However, the efficacy of local campaigns varied among different ecosystems. According to our predictions, the Italian coypu range may expand 2.5-3.3 times, and economic losses may reach € 9-12 millions/year. A comparison between the costs of the successful eradication carried out in East Anglia (€ five million over 11 years) and the permanent control campaign in Italy (€ 14 million over only six years) shows that even very costly eradications, if successful, may have a very positive cost-benefit ratio in the long term.","container-title":"Wildlife Biology","DOI":"10.2981/0909-6396(2007)13[159:PCOCMC]2.0.CO;2","issue":"2","journalAbbreviation":"Wildlife Biology","page":"159-171","title":"Population control of coypu &lt;i&gt;Myocastor coypus&lt;/i&gt; in Italy compared to eradication in UK: A cost-benefit analysis","volume":"13","author":[{"family":"Panzacchi","given":"Manuela"},{"family":"Cocchi","given":"Roberto"},{"family":"Genovesi","given":"Piero"},{"family":"Bertolino","given":"Sandro"}],"issued":{"date-parts":[["2007",6,1]]}}}],"schema":"https://github.com/citation-style-language/schema/raw/master/csl-citation.json"} </w:instrText>
      </w:r>
      <w:r w:rsidR="00066A7E" w:rsidRPr="00837161">
        <w:fldChar w:fldCharType="separate"/>
      </w:r>
      <w:r w:rsidR="00271B78" w:rsidRPr="00271B78">
        <w:t>(Panzacchi et al., 2007)</w:t>
      </w:r>
      <w:r w:rsidR="00066A7E" w:rsidRPr="00837161">
        <w:fldChar w:fldCharType="end"/>
      </w:r>
      <w:r w:rsidR="54772749" w:rsidRPr="00837161">
        <w:t>. In most eradication program</w:t>
      </w:r>
      <w:r w:rsidR="3818A224" w:rsidRPr="00837161">
        <w:t>me</w:t>
      </w:r>
      <w:r w:rsidR="54772749" w:rsidRPr="00837161">
        <w:t xml:space="preserve">s, the costs of removing individuals escalates greatly based on the fact that the fewer the </w:t>
      </w:r>
      <w:r w:rsidR="5D079CC3" w:rsidRPr="00837161">
        <w:t>individu</w:t>
      </w:r>
      <w:r w:rsidR="588441D6" w:rsidRPr="00837161">
        <w:t>a</w:t>
      </w:r>
      <w:r w:rsidR="5D079CC3" w:rsidRPr="00837161">
        <w:t xml:space="preserve">ls </w:t>
      </w:r>
      <w:r w:rsidR="54772749" w:rsidRPr="00837161">
        <w:t xml:space="preserve">that are left, the final (remaining) individuals are harder to find. In the eradication of </w:t>
      </w:r>
      <w:r w:rsidR="664FF76C" w:rsidRPr="00837161">
        <w:rPr>
          <w:i/>
          <w:iCs/>
        </w:rPr>
        <w:t>Cyprinus carpio</w:t>
      </w:r>
      <w:r w:rsidR="664FF76C" w:rsidRPr="00837161">
        <w:t xml:space="preserve"> (</w:t>
      </w:r>
      <w:r w:rsidR="47AC5162" w:rsidRPr="00837161">
        <w:t xml:space="preserve">common </w:t>
      </w:r>
      <w:r w:rsidR="54772749" w:rsidRPr="00837161">
        <w:t>car</w:t>
      </w:r>
      <w:r w:rsidR="4D81FEE9" w:rsidRPr="00837161">
        <w:t>p</w:t>
      </w:r>
      <w:r w:rsidR="664FF76C" w:rsidRPr="00837161">
        <w:t>)</w:t>
      </w:r>
      <w:r w:rsidR="54772749" w:rsidRPr="00837161">
        <w:t xml:space="preserve"> from Tasmania,</w:t>
      </w:r>
      <w:r w:rsidR="00833FD5">
        <w:t xml:space="preserve"> Australia,</w:t>
      </w:r>
      <w:r w:rsidR="54772749" w:rsidRPr="00837161">
        <w:t xml:space="preserve"> it took just a few years to reduce carp numbers down to a few breeding females, but it took another ten years to track and remove the final individuals, which has only been successful in one of two lakes 25 years after the decision to eradicate was made. Complete success, therefore, has not yet been achieved </w:t>
      </w:r>
      <w:r w:rsidR="00066A7E" w:rsidRPr="00837161">
        <w:fldChar w:fldCharType="begin"/>
      </w:r>
      <w:r w:rsidR="000F35EB">
        <w:instrText xml:space="preserve"> ADDIN ZOTERO_ITEM CSL_CITATION {"citationID":"Xys4riPH","properties":{"formattedCitation":"(Yick et al., 2021)","plainCitation":"(Yick et al., 2021)","noteIndex":0},"citationItems":[{"id":31624,"uris":["http://zotero.org/groups/2352922/items/4Y5FQABY"],"itemData":{"id":31624,"type":"article-journal","abstract":"Common carp (Cyprinus carpio, L. 1758) are the most abundant pest fish species in Australia, detrimental to ecosystem integrity and values, and in need of suitable management solutions. In January 1995, this destructive pest was discovered in two large, connected Tasmanian lakes—Lakes Crescent (23 km2) and Sorell (54 km2). After an initial assessment, carp were immediately contained to these waters using screens to prevent their escape down-stream, followed by swift legislation to enforce closure of the lakes to the public. Assessment and evaluation of carp numbers occurred throughout the eradication program, with effort focused on Lake Crescent. Beginning with undirected removal, techniques progressively evolved to more sophisticated targeted removal with assistance from biotelemetry, in conjunction with gill netting and electro-fishing. Real-time population estimates and in situ observations resulted in a detailed cumulative understanding of carp population dynamics, behaviour and seasonal habitat choice. This allowed strategic deployment of fences to block access to marshes, and the installation of steel traps within the fences. These gears specifically prevented spawning opportunities, while concurrently capturing mature fish. Following 12 years of adaptive and integrated effort, 7797 carp (fry, juvenile and adult) were captured from Lake Crescent, with the last carp being caught in December 2007. The subsequent 14 years of monitoring has not resulted in the capture of any carp, confirming the successful eradication of carp from Lake Crescent. These management practices have been successfully replicated in the larger Lake Sorell, where 41,499 carp (fry, juvenile and adult) have been removed. It is now estimated that there are few, if any carp remaining. Collectively, the techniques and strategies described here were reliable, and can be applied as a model to control or eradicate pest populations of carp in freshwater lakes elsewhere.","container-title":"Fishes","DOI":"10.3390/fishes6010006","issue":"1","language":"en","license":"http://creativecommons.org/licenses/by/3.0/","note":"publisher: Multidisciplinary Digital Publishing Institute","page":"6","source":"www.mdpi.com","title":"Eradication of the Invasive Common Carp, &lt;i&gt;Cyprinus carpio&lt;/i&gt; from a Large Lake: Lessons and Insights from the Tasmanian Experience","title-short":"Eradication of the Invasive Common Carp, Cyprinus carpio from a Large Lake","URL":"https://www.mdpi.com/2410-3888/6/1/6","volume":"6","author":[{"family":"Yick","given":"Jonah L."},{"family":"Wisniewski","given":"Chris"},{"family":"Diggle","given":"John"},{"family":"Patil","given":"Jawahar G."}],"accessed":{"date-parts":[["2021",11,13]]},"issued":{"date-parts":[["2021",3]]}}}],"schema":"https://github.com/citation-style-language/schema/raw/master/csl-citation.json"} </w:instrText>
      </w:r>
      <w:r w:rsidR="00066A7E" w:rsidRPr="00837161">
        <w:fldChar w:fldCharType="separate"/>
      </w:r>
      <w:r w:rsidR="00271B78" w:rsidRPr="00271B78">
        <w:t>(Yick et al., 2021)</w:t>
      </w:r>
      <w:r w:rsidR="00066A7E" w:rsidRPr="00837161">
        <w:fldChar w:fldCharType="end"/>
      </w:r>
      <w:r w:rsidR="54772749" w:rsidRPr="00837161">
        <w:t>.</w:t>
      </w:r>
    </w:p>
    <w:p w14:paraId="00000682" w14:textId="3598B72C" w:rsidR="00A758FD" w:rsidRPr="00C0338D" w:rsidRDefault="00C81287">
      <w:pPr>
        <w:spacing w:before="240" w:after="120" w:line="240" w:lineRule="auto"/>
      </w:pPr>
      <w:r w:rsidRPr="00C0338D">
        <w:t xml:space="preserve">The costs of eradication can be very high when eradication is only considered as an option at the point when the negative impacts due to the species become visible </w:t>
      </w:r>
      <w:r w:rsidR="5140D151" w:rsidRPr="00837161">
        <w:fldChar w:fldCharType="begin"/>
      </w:r>
      <w:r w:rsidR="000F35EB">
        <w:instrText xml:space="preserve"> ADDIN ZOTERO_ITEM CSL_CITATION {"citationID":"b63wLCMC","properties":{"formattedCitation":"(Genovesi, 2001)","plainCitation":"(Genovesi, 2001)","noteIndex":0},"citationItems":[{"id":24993,"uris":["http://zotero.org/groups/2352922/items/XBG9XHNN"],"itemData":{"id":24993,"type":"report","collection-title":"Other Publications in Wildlife Management","language":"en","page":"29","source":"Zotero","title":"Guidelines for Eradication of Terrestrial Vertebrates: a European Contribution to the Invasive Alien Species Issue","URL":"https://digitalcommons.unl.edu/cgi/viewcontent.cgi?referer=&amp;httpsredir=1&amp;article=1023&amp;context=icwdmother","author":[{"family":"Genovesi","given":"Piero"}],"issued":{"date-parts":[["2001"]]}}}],"schema":"https://github.com/citation-style-language/schema/raw/master/csl-citation.json"} </w:instrText>
      </w:r>
      <w:r w:rsidR="5140D151" w:rsidRPr="00837161">
        <w:fldChar w:fldCharType="separate"/>
      </w:r>
      <w:r w:rsidR="00271B78" w:rsidRPr="00271B78">
        <w:t>(Genovesi, 2001)</w:t>
      </w:r>
      <w:r w:rsidR="5140D151" w:rsidRPr="00837161">
        <w:fldChar w:fldCharType="end"/>
      </w:r>
      <w:r w:rsidR="25A230D0" w:rsidRPr="00837161">
        <w:t>.</w:t>
      </w:r>
      <w:r w:rsidRPr="00C0338D">
        <w:t xml:space="preserve"> Several invasive alien species projects funded by the Global Environment Facility have focussed on eradication efforts. But, in many cases these were not cost</w:t>
      </w:r>
      <w:r w:rsidR="005D7B59">
        <w:t>-</w:t>
      </w:r>
      <w:r w:rsidRPr="00C0338D">
        <w:t xml:space="preserve">effective </w:t>
      </w:r>
      <w:r w:rsidR="5140D151" w:rsidRPr="00837161">
        <w:fldChar w:fldCharType="begin"/>
      </w:r>
      <w:r w:rsidR="000F35EB">
        <w:instrText xml:space="preserve"> ADDIN ZOTERO_ITEM CSL_CITATION {"citationID":"ztTJQRJe","properties":{"formattedCitation":"(GEF, 2007)","plainCitation":"(GEF, 2007)","dontUpdate":true,"noteIndex":0},"citationItems":[{"id":31360,"uris":["http://zotero.org/groups/2352922/items/KCEUGJBZ"],"itemData":{"id":31360,"type":"webpage","abstract":"The project will be responsible for achieving the following project objective: Increased capacities to prevent and control the introduction and spread of Invasive Alien Species through Trade, Travel and Transport across the Production landscape.","container-title":"Global Environment Facility","language":"en","title":"Mainstreaming Prevention and Control Measures for Invasive Alien Species into Trade, Transport and Travel Across the Production Landscape","URL":"https://www.thegef.org/project/mainstreaming-prevention-and-control-measures-invasive-alien-species-trade-transport-and","author":[{"literal":"GEF"}],"accessed":{"date-parts":[["2021",11,13]]},"issued":{"date-parts":[["2007"]]}}}],"schema":"https://github.com/citation-style-language/schema/raw/master/csl-citation.json"} </w:instrText>
      </w:r>
      <w:r w:rsidR="5140D151" w:rsidRPr="00837161">
        <w:fldChar w:fldCharType="separate"/>
      </w:r>
      <w:r w:rsidR="25A230D0" w:rsidRPr="00837161">
        <w:t>(GEF, 2007</w:t>
      </w:r>
      <w:r w:rsidR="5140D151" w:rsidRPr="00837161">
        <w:fldChar w:fldCharType="end"/>
      </w:r>
      <w:r w:rsidR="25A230D0" w:rsidRPr="00837161">
        <w:t xml:space="preserve">; </w:t>
      </w:r>
      <w:r w:rsidR="007A0E1E" w:rsidRPr="00656716">
        <w:rPr>
          <w:b/>
          <w:iCs/>
        </w:rPr>
        <w:t>section 5.3.2</w:t>
      </w:r>
      <w:r w:rsidR="25A230D0" w:rsidRPr="00837161">
        <w:t>).</w:t>
      </w:r>
      <w:r w:rsidRPr="00C0338D">
        <w:t xml:space="preserve"> The costs of multi-species eradication programmes can be lower than eradicating individual species if eradication approaches can simultaneously remove multiple species or the removal of some species facilitates removal of others. Such projects targeting eradication of multiples species in multi-sites</w:t>
      </w:r>
      <w:r w:rsidR="5140D151" w:rsidRPr="00837161">
        <w:rPr>
          <w:rFonts w:eastAsia="Times New Roman"/>
        </w:rPr>
        <w:fldChar w:fldCharType="begin"/>
      </w:r>
      <w:r w:rsidR="5140D151" w:rsidRPr="00837161">
        <w:rPr>
          <w:rFonts w:eastAsia="Times New Roman"/>
        </w:rPr>
        <w:instrText xml:space="preserve"> ADDIN ZOTERO_TEMP </w:instrText>
      </w:r>
      <w:r w:rsidR="5140D151" w:rsidRPr="00837161">
        <w:rPr>
          <w:rFonts w:eastAsia="Times New Roman"/>
        </w:rPr>
        <w:fldChar w:fldCharType="end"/>
      </w:r>
      <w:r w:rsidRPr="00C0338D">
        <w:t xml:space="preserve"> have been proven to be cost-effective. For example, in the Archipelago of French Polynesia, the project cost for eradication of various mammal species from six islands was only EUR 1.4 million while the total cost of actions on each island separately was estimated to be EUR 4.6 million. Savings were made on fixed costs such as the costs of helicopters, transport and staff travel </w:t>
      </w:r>
      <w:r w:rsidR="5140D151" w:rsidRPr="00837161">
        <w:rPr>
          <w:rFonts w:eastAsia="Times New Roman"/>
        </w:rPr>
        <w:fldChar w:fldCharType="begin"/>
      </w:r>
      <w:r w:rsidR="5140D151" w:rsidRPr="00837161">
        <w:rPr>
          <w:rFonts w:eastAsia="Times New Roman"/>
        </w:rPr>
        <w:instrText xml:space="preserve"> ADDIN ZOTERO_TEMP </w:instrText>
      </w:r>
      <w:r w:rsidR="5140D151" w:rsidRPr="00837161">
        <w:rPr>
          <w:rFonts w:eastAsia="Times New Roman"/>
        </w:rPr>
        <w:fldChar w:fldCharType="end"/>
      </w:r>
      <w:r w:rsidR="5140D151" w:rsidRPr="00837161">
        <w:fldChar w:fldCharType="begin"/>
      </w:r>
      <w:r w:rsidR="000F35EB">
        <w:instrText xml:space="preserve"> ADDIN ZOTERO_ITEM CSL_CITATION {"citationID":"GSWUVd7B","properties":{"formattedCitation":"(Griffiths et al., 2019)","plainCitation":"(Griffiths et al., 2019)","dontUpdate":true,"noteIndex":0},"citationItems":[{"id":10228,"uris":["http://zotero.org/groups/2352922/items/QZNGJ9LR"],"itemData":{"id":10228,"type":"chapter","collection-title":"Occasional Paper SSC no. 62","container-title":"Island invasives: scaling up to meet the challenge","event-place":"Gland, Switzerland and Cambridge, UK","page":"611–617","publisher":"IUCN SSC Invasive Species Specialist Group","publisher-place":"Gland, Switzerland and Cambridge, UK","title":"Multi island, multi invasive species eradication in French Polynesia demonstrates economies of scale","URL":"http://www.issg.org/pdf/publications/Island_Invasives/pdfHQprint/2Griffiths.pdf","author":[{"family":"Griffiths","given":"Richard"},{"family":"Cranwell","given":"Steve"},{"family":"Derand","given":"D"},{"family":"Ghestemme","given":"T"},{"family":"Will","given":"D"},{"family":"Zito","given":"J"},{"family":"Hall","given":"T"},{"family":"Pott","given":"M"},{"family":"Coulston","given":"G"}],"editor":[{"family":"Veitch","given":"C. R."},{"family":"Clout","given":"M. N."},{"family":"Martin","given":"A. R."},{"family":"Russell","given":"J. C."},{"family":"West","given":"C. J."}],"issued":{"date-parts":[["2019"]]}}}],"schema":"https://github.com/citation-style-language/schema/raw/master/csl-citation.json"} </w:instrText>
      </w:r>
      <w:r w:rsidR="5140D151" w:rsidRPr="00837161">
        <w:fldChar w:fldCharType="separate"/>
      </w:r>
      <w:r w:rsidR="25A230D0" w:rsidRPr="00837161">
        <w:t>(Griffiths et al., 2019;</w:t>
      </w:r>
      <w:r w:rsidR="5140D151" w:rsidRPr="00837161">
        <w:fldChar w:fldCharType="end"/>
      </w:r>
      <w:r w:rsidR="25A230D0" w:rsidRPr="00837161">
        <w:rPr>
          <w:rFonts w:eastAsia="Times New Roman"/>
        </w:rPr>
        <w:t xml:space="preserve"> </w:t>
      </w:r>
      <w:r w:rsidR="25A230D0" w:rsidRPr="00656716">
        <w:rPr>
          <w:rFonts w:eastAsia="Times New Roman"/>
          <w:b/>
          <w:iCs/>
        </w:rPr>
        <w:t>Box 5.8</w:t>
      </w:r>
      <w:r w:rsidR="25A230D0" w:rsidRPr="00837161">
        <w:rPr>
          <w:rFonts w:eastAsia="Times New Roman"/>
        </w:rPr>
        <w:t>).</w:t>
      </w:r>
      <w:r w:rsidRPr="00C0338D">
        <w:t xml:space="preserve"> </w:t>
      </w:r>
    </w:p>
    <w:p w14:paraId="00000683" w14:textId="5D2EAC2C" w:rsidR="00A758FD" w:rsidRPr="00C0338D" w:rsidRDefault="00C81287">
      <w:pPr>
        <w:spacing w:before="240" w:after="120" w:line="240" w:lineRule="auto"/>
      </w:pPr>
      <w:r w:rsidRPr="00C0338D">
        <w:lastRenderedPageBreak/>
        <w:t>A clear idea on the size of the area invaded is a pre-requisite to ensure the success of all eradication plans. This is exemplified by the success of species eradication from islands since the area is often smaller compared to large land masses. On large land masses, defining the extent of an invasive alien population may be compounded by the presence of multiple populations</w:t>
      </w:r>
      <w:r w:rsidR="00280A07">
        <w:t>,</w:t>
      </w:r>
      <w:r w:rsidRPr="00C0338D">
        <w:t xml:space="preserve"> especially when the populations are inter-connected. It is, therefore, essential to understand the meta-population context of a species targeted for eradication</w:t>
      </w:r>
      <w:r w:rsidR="00280A07">
        <w:t>,</w:t>
      </w:r>
      <w:r w:rsidRPr="00C0338D">
        <w:t xml:space="preserve"> which will help planning the programme and ensuring its efficacy </w:t>
      </w:r>
      <w:r w:rsidR="00066A7E" w:rsidRPr="00837161">
        <w:fldChar w:fldCharType="begin"/>
      </w:r>
      <w:r w:rsidR="000F35EB">
        <w:instrText xml:space="preserve"> ADDIN ZOTERO_ITEM CSL_CITATION {"citationID":"p5DiLKQr","properties":{"formattedCitation":"(Robertson et al., 2019)","plainCitation":"(Robertson et al., 2019)","noteIndex":0},"citationItems":[{"id":30850,"uris":["http://zotero.org/groups/2352922/items/K5U3QNCX"],"itemData":{"id":30850,"type":"paper-conference","container-title":"Island invasives: scaling up to meet the challenge.: Proceedings of the international conference on island invasives.","DOI":"https://doi.org/10.2305/IUCN.CH.2019.SSC-OP.62.en","page":"687–691","publisher":"IUCN","source":"Google Scholar","title":"Invasive species removals and scale – contrasting island and mainland experience","volume":"62","author":[{"family":"Robertson","given":"Peter A."},{"family":"Roy","given":"Sugoto"},{"family":"Mill","given":"Aileen C."},{"family":"Shirley","given":"M."},{"family":"Adriaens","given":"Tim"},{"family":"Ward","given":"A. I."},{"family":"Tatayah","given":"V."},{"family":"Booy","given":"Olaf"}],"issued":{"date-parts":[["2019"]]}}}],"schema":"https://github.com/citation-style-language/schema/raw/master/csl-citation.json"} </w:instrText>
      </w:r>
      <w:r w:rsidR="00066A7E" w:rsidRPr="00837161">
        <w:fldChar w:fldCharType="separate"/>
      </w:r>
      <w:r w:rsidR="00271B78" w:rsidRPr="00271B78">
        <w:t>(Robertson et al., 2019)</w:t>
      </w:r>
      <w:r w:rsidR="00066A7E" w:rsidRPr="00837161">
        <w:fldChar w:fldCharType="end"/>
      </w:r>
      <w:r w:rsidR="52D6C8B2" w:rsidRPr="00837161">
        <w:t>. A lack of this understanding given limited resources, is why most culling program</w:t>
      </w:r>
      <w:r w:rsidR="377D8874" w:rsidRPr="00837161">
        <w:t>me</w:t>
      </w:r>
      <w:r w:rsidR="52D6C8B2" w:rsidRPr="00837161">
        <w:t xml:space="preserve">s are ineffective and unsuccessful in the long-term </w:t>
      </w:r>
      <w:r w:rsidR="007C729C" w:rsidRPr="00837161">
        <w:t>(</w:t>
      </w:r>
      <w:r w:rsidR="52D6C8B2" w:rsidRPr="00656716">
        <w:rPr>
          <w:b/>
          <w:iCs/>
        </w:rPr>
        <w:t>section 5.4.</w:t>
      </w:r>
      <w:r w:rsidR="00493F47" w:rsidRPr="00656716">
        <w:rPr>
          <w:b/>
          <w:iCs/>
        </w:rPr>
        <w:t>3</w:t>
      </w:r>
      <w:r w:rsidR="52D6C8B2" w:rsidRPr="00656716">
        <w:rPr>
          <w:b/>
          <w:iCs/>
        </w:rPr>
        <w:t>.2</w:t>
      </w:r>
      <w:r w:rsidR="52D6C8B2" w:rsidRPr="00837161">
        <w:t>). The ongoing eradication program</w:t>
      </w:r>
      <w:r w:rsidR="377D8874" w:rsidRPr="00837161">
        <w:t>me</w:t>
      </w:r>
      <w:r w:rsidR="52D6C8B2" w:rsidRPr="00837161">
        <w:t xml:space="preserve"> of </w:t>
      </w:r>
      <w:r w:rsidR="0A6E3653" w:rsidRPr="00837161">
        <w:rPr>
          <w:i/>
          <w:iCs/>
        </w:rPr>
        <w:t>Oxyura jamaicensis</w:t>
      </w:r>
      <w:r w:rsidR="0A6E3653" w:rsidRPr="00837161">
        <w:t xml:space="preserve"> (</w:t>
      </w:r>
      <w:r w:rsidR="52D6C8B2" w:rsidRPr="00837161">
        <w:t>ruddy duck) from Europe covers 1,535,509 km</w:t>
      </w:r>
      <w:r w:rsidR="52D6C8B2" w:rsidRPr="00AC1F76">
        <w:rPr>
          <w:sz w:val="20"/>
          <w:szCs w:val="20"/>
          <w:vertAlign w:val="superscript"/>
        </w:rPr>
        <w:t>2</w:t>
      </w:r>
      <w:r w:rsidR="52D6C8B2" w:rsidRPr="00837161">
        <w:t xml:space="preserve"> requiring participation and investment from several countries </w:t>
      </w:r>
      <w:r w:rsidR="00066A7E" w:rsidRPr="00837161">
        <w:fldChar w:fldCharType="begin"/>
      </w:r>
      <w:r w:rsidR="000F35EB">
        <w:instrText xml:space="preserve"> ADDIN ZOTERO_ITEM CSL_CITATION {"citationID":"bJHBI42K","properties":{"formattedCitation":"(Robertson et al., 2015)","plainCitation":"(Robertson et al., 2015)","noteIndex":0},"citationItems":[{"id":26468,"uris":["http://zotero.org/groups/2352922/items/ZNRXXRPG"],"itemData":{"id":26468,"type":"article-journal","abstract":"The North American ruddy duck is an invasive alien species in Europe, which threatens the native white-headed duck through hybridisation. A substantial population established in the UK following escapes and releases beginning in the 1950s. The species then spread widely within Europe, with records across much of the continent, and viable populations established in Belgium, the Netherlands, France and Spain. An international plan to eradicate the species from Europe has been adopted, but the approaches and intensity of control have varied widely between countries. We report on progress towards eradication across the continent. Numbers in 2013 were less than 7 % of the 2000 population, although coordinated action is still required to achieve eradication. The European Union is considering a new legislative instrument on Invasive Alien Species, which is likely to place responsibilities on member states to control named species. Coordinated control across those member states with remaining ruddy duck populations is likely to be an early test of any new responsibilities, with the potential to achieve the first continental scale eradication of an invasive alien species.","container-title":"Biological Invasions","DOI":"10.1007/s10530-014-0704-3","ISSN":"1573-1464","issue":"1","journalAbbreviation":"Biol Invasions","language":"en","page":"9-12","source":"Springer Link","title":"Towards the European eradication of the North American ruddy duck","URL":"https://doi.org/10.1007/s10530-014-0704-3","volume":"17","author":[{"family":"Robertson","given":"Peter A."},{"family":"Adriaens","given":"T."},{"family":"Caizergues","given":"A."},{"family":"Cranswick","given":"P. A."},{"family":"Devos","given":"K."},{"family":"Gutiérrez-Expósito","given":"C."},{"family":"Henderson","given":"I."},{"family":"Hughes","given":"B."},{"family":"Mill","given":"A. C."},{"family":"Smith","given":"G. C."}],"accessed":{"date-parts":[["2020",8,5]]},"issued":{"date-parts":[["2015",1,1]]}}}],"schema":"https://github.com/citation-style-language/schema/raw/master/csl-citation.json"} </w:instrText>
      </w:r>
      <w:r w:rsidR="00066A7E" w:rsidRPr="00837161">
        <w:fldChar w:fldCharType="separate"/>
      </w:r>
      <w:r w:rsidR="00271B78" w:rsidRPr="00271B78">
        <w:t>(Robertson et al., 2015)</w:t>
      </w:r>
      <w:r w:rsidR="00066A7E" w:rsidRPr="00837161">
        <w:fldChar w:fldCharType="end"/>
      </w:r>
      <w:r w:rsidR="52D6C8B2" w:rsidRPr="00837161">
        <w:t xml:space="preserve">. The cost of eradication decreases slightly in proportion to the area targeted but there is an island size limit above which eradication may not be successful </w:t>
      </w:r>
      <w:r w:rsidR="00066A7E" w:rsidRPr="00837161">
        <w:rPr>
          <w:rFonts w:eastAsia="Calibri"/>
        </w:rPr>
        <w:fldChar w:fldCharType="begin"/>
      </w:r>
      <w:r w:rsidR="000F35EB">
        <w:rPr>
          <w:rFonts w:eastAsia="Calibri"/>
        </w:rPr>
        <w:instrText xml:space="preserve"> ADDIN ZOTERO_ITEM CSL_CITATION {"citationID":"Y96qRKtH","properties":{"formattedCitation":"(Brockerhoff et al., 2010; Robertson et al., 2017, 2019)","plainCitation":"(Brockerhoff et al., 2010; Robertson et al., 2017, 2019)","dontUpdate":true,"noteIndex":0},"citationItems":[{"id":25150,"uris":["http://zotero.org/groups/2352922/items/TBEG82AU"],"itemData":{"id":25150,"type":"article-journal","abstract":"Invasive exotic insects can cause substantial damage to trees and the environment, and may reduce biodiversity. They can have a large negative economic effect on the forest industry, urban amenity trees and numerous other sectors, and they may necessitate extensive management expenditures. For such high-impact invaders, eradication is desirable but also difficult and often highly controversial. It requires substantial input of resources and commitment from managers and stakeholders, including the general public. Appropriate tools for surveillance and control of the target species must be available if success is to be achieved. This review outlines the sequence of steps required in well-managed operations; examines characteristics of successful and unsuccessful eradication campaigns; describes methods and tools known to be effective against specific pests; and discusses the analysis of costs and benefits of eradication programmes.","container-title":"New Zealand Journal of Forestry Science","ISSN":"1179-5395","language":"en","page":"S117-S135","source":"www.fs.usda.gov","title":"Eradication of invasive forest insects: concepts, methods, costs and benefits","title-short":"Eradication of invasive forest insects","URL":"https://www.fs.usda.gov/treesearch/pubs/34736","volume":"40","author":[{"family":"Brockerhoff","given":"Eckehard G."},{"family":"Liebhold","given":"Andrew M."},{"family":"Richardson","given":"Brian"},{"family":"Suckling","given":"David M."}],"accessed":{"date-parts":[["2019",10,18]]},"issued":{"date-parts":[["2010"]]}}},{"id":28952,"uris":["http://zotero.org/groups/2352922/items/FT9DB7HI"],"itemData":{"id":28952,"type":"article-journal","abstract":"Numerous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M"},{"family":"Sutton-Croft","given":"Mike"}],"accessed":{"date-parts":[["2019",11,4]]},"issued":{"date-parts":[["2017",2]]}}},{"id":30850,"uris":["http://zotero.org/groups/2352922/items/K5U3QNCX"],"itemData":{"id":30850,"type":"paper-conference","container-title":"Island invasives: scaling up to meet the challenge.: Proceedings of the international conference on island invasives.","DOI":"https://doi.org/10.2305/IUCN.CH.2019.SSC-OP.62.en","page":"687–691","publisher":"IUCN","source":"Google Scholar","title":"Invasive species removals and scale – contrasting island and mainland experience","volume":"62","author":[{"family":"Robertson","given":"Peter A."},{"family":"Roy","given":"Sugoto"},{"family":"Mill","given":"Aileen C."},{"family":"Shirley","given":"M."},{"family":"Adriaens","given":"Tim"},{"family":"Ward","given":"A. I."},{"family":"Tatayah","given":"V."},{"family":"Booy","given":"Olaf"}],"issued":{"date-parts":[["2019"]]}}}],"schema":"https://github.com/citation-style-language/schema/raw/master/csl-citation.json"} </w:instrText>
      </w:r>
      <w:r w:rsidR="00066A7E" w:rsidRPr="00837161">
        <w:rPr>
          <w:rFonts w:eastAsia="Calibri"/>
        </w:rPr>
        <w:fldChar w:fldCharType="separate"/>
      </w:r>
      <w:r w:rsidR="00031B56" w:rsidRPr="00837161">
        <w:t>(Brockerhoff et al., 2010; Robertson et al., 2017, 2019</w:t>
      </w:r>
      <w:r w:rsidR="00066A7E" w:rsidRPr="00837161">
        <w:rPr>
          <w:rFonts w:eastAsia="Calibri"/>
        </w:rPr>
        <w:fldChar w:fldCharType="end"/>
      </w:r>
      <w:r w:rsidR="00031B56" w:rsidRPr="00837161">
        <w:rPr>
          <w:rFonts w:eastAsia="Calibri"/>
        </w:rPr>
        <w:t>;</w:t>
      </w:r>
      <w:r w:rsidR="00031B56" w:rsidRPr="00837161">
        <w:t xml:space="preserve"> </w:t>
      </w:r>
      <w:r w:rsidR="00031B56" w:rsidRPr="00294242">
        <w:rPr>
          <w:rFonts w:eastAsia="Calibri"/>
          <w:b/>
          <w:iCs/>
        </w:rPr>
        <w:t>Figure 5.23</w:t>
      </w:r>
      <w:r w:rsidR="00031B56" w:rsidRPr="00837161">
        <w:rPr>
          <w:rFonts w:eastAsia="Calibri"/>
        </w:rPr>
        <w:t>)</w:t>
      </w:r>
      <w:r w:rsidR="52D6C8B2" w:rsidRPr="00837161">
        <w:t>.</w:t>
      </w:r>
      <w:r w:rsidRPr="00C0338D">
        <w:t xml:space="preserve"> In general, the eradication cost per area seems to be similar for both islands and mainland programmes. This example indicates that large scale eradications can be successful. </w:t>
      </w:r>
    </w:p>
    <w:p w14:paraId="13768473" w14:textId="3BDFECF9" w:rsidR="00066A7E" w:rsidRPr="00837161" w:rsidRDefault="002F2F42" w:rsidP="00373995">
      <w:pPr>
        <w:spacing w:before="240" w:after="120" w:line="240" w:lineRule="auto"/>
        <w:jc w:val="center"/>
      </w:pPr>
      <w:r>
        <w:rPr>
          <w:noProof/>
        </w:rPr>
        <w:drawing>
          <wp:inline distT="0" distB="0" distL="0" distR="0" wp14:anchorId="1892E088" wp14:editId="0B60D9B9">
            <wp:extent cx="6115050" cy="3458845"/>
            <wp:effectExtent l="0" t="0" r="6350" b="0"/>
            <wp:docPr id="1971555453" name="image25.png" descr="A graph of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5.png" descr="A graph of different colored squares&#10;&#10;Description automatically generated"/>
                    <pic:cNvPicPr preferRelativeResize="0"/>
                  </pic:nvPicPr>
                  <pic:blipFill>
                    <a:blip r:embed="rId107"/>
                    <a:srcRect/>
                    <a:stretch>
                      <a:fillRect/>
                    </a:stretch>
                  </pic:blipFill>
                  <pic:spPr>
                    <a:xfrm>
                      <a:off x="0" y="0"/>
                      <a:ext cx="6115050" cy="3458845"/>
                    </a:xfrm>
                    <a:prstGeom prst="rect">
                      <a:avLst/>
                    </a:prstGeom>
                    <a:ln/>
                  </pic:spPr>
                </pic:pic>
              </a:graphicData>
            </a:graphic>
          </wp:inline>
        </w:drawing>
      </w:r>
    </w:p>
    <w:p w14:paraId="44C3DCBC" w14:textId="4A3D753A" w:rsidR="008D230C" w:rsidRPr="00837161" w:rsidRDefault="008D230C" w:rsidP="00C11DFA">
      <w:pPr>
        <w:rPr>
          <w:b/>
          <w:bCs/>
          <w:lang w:eastAsia="ko-KR"/>
        </w:rPr>
      </w:pPr>
      <w:bookmarkStart w:id="529" w:name="_Toc147489376"/>
      <w:bookmarkStart w:id="530" w:name="_Ref104970908"/>
      <w:bookmarkStart w:id="531" w:name="_Toc69314063"/>
      <w:bookmarkStart w:id="532" w:name="_Toc87623113"/>
      <w:r w:rsidRPr="00837161">
        <w:rPr>
          <w:b/>
          <w:bCs/>
        </w:rPr>
        <w:t>Figure 5.</w:t>
      </w:r>
      <w:r w:rsidRPr="00837161">
        <w:rPr>
          <w:b/>
          <w:bCs/>
        </w:rPr>
        <w:fldChar w:fldCharType="begin"/>
      </w:r>
      <w:r w:rsidRPr="00837161">
        <w:rPr>
          <w:b/>
          <w:bCs/>
        </w:rPr>
        <w:instrText>SEQ Figure_5. \* ARABIC</w:instrText>
      </w:r>
      <w:r w:rsidRPr="00837161">
        <w:rPr>
          <w:b/>
          <w:bCs/>
        </w:rPr>
        <w:fldChar w:fldCharType="separate"/>
      </w:r>
      <w:r w:rsidR="00DC77F8">
        <w:rPr>
          <w:b/>
          <w:bCs/>
          <w:noProof/>
        </w:rPr>
        <w:t>23</w:t>
      </w:r>
      <w:r w:rsidRPr="00837161">
        <w:rPr>
          <w:b/>
          <w:bCs/>
        </w:rPr>
        <w:fldChar w:fldCharType="end"/>
      </w:r>
      <w:r w:rsidR="00C11DFA" w:rsidRPr="00837161">
        <w:rPr>
          <w:b/>
          <w:bCs/>
        </w:rPr>
        <w:t>.</w:t>
      </w:r>
      <w:r w:rsidRPr="00837161">
        <w:rPr>
          <w:b/>
          <w:bCs/>
        </w:rPr>
        <w:t xml:space="preserve"> </w:t>
      </w:r>
      <w:r w:rsidRPr="00837161">
        <w:t>Successful eradication programmes; the relationship between area (km</w:t>
      </w:r>
      <w:r w:rsidRPr="00837161">
        <w:rPr>
          <w:vertAlign w:val="superscript"/>
        </w:rPr>
        <w:t>2</w:t>
      </w:r>
      <w:r w:rsidR="00845E44">
        <w:t>, x axis)</w:t>
      </w:r>
      <w:r w:rsidRPr="00837161">
        <w:t xml:space="preserve"> of successful </w:t>
      </w:r>
      <w:r w:rsidRPr="00837161">
        <w:rPr>
          <w:rFonts w:eastAsia="Calibri"/>
        </w:rPr>
        <w:t xml:space="preserve">eradication campaigns </w:t>
      </w:r>
      <w:r w:rsidRPr="00837161">
        <w:t>and eradication programme cost</w:t>
      </w:r>
      <w:r w:rsidR="00845E44">
        <w:t xml:space="preserve"> (y axis)</w:t>
      </w:r>
      <w:r w:rsidRPr="00837161">
        <w:t>.</w:t>
      </w:r>
      <w:r w:rsidRPr="00837161">
        <w:rPr>
          <w:b/>
          <w:bCs/>
        </w:rPr>
        <w:t xml:space="preserve"> </w:t>
      </w:r>
      <w:r w:rsidRPr="00837161">
        <w:t xml:space="preserve">Square symbols are island mammal eradications </w:t>
      </w:r>
      <w:r w:rsidRPr="00837161">
        <w:fldChar w:fldCharType="begin"/>
      </w:r>
      <w:r w:rsidR="000F35EB">
        <w:instrText xml:space="preserve"> ADDIN ZOTERO_ITEM CSL_CITATION {"citationID":"DPE1PoNW","properties":{"formattedCitation":"(Martins et al., 2006)","plainCitation":"(Martins et al., 2006)","noteIndex":0},"citationItems":[{"id":15693,"uris":["http://zotero.org/groups/2352922/items/VB8KN4E5"],"itemData":{"id":15693,"type":"article-journal","container-title":"Animal Conservation","DOI":"10.1111/j.1469-1795.2006.00058.x","ISSN":"1367-9430, 1469-1795","issue":"4","journalAbbreviation":"Animal Conservation","language":"en","page":"439-444","source":"DOI.org (Crossref)","title":"Costing eradications of alien mammals from islands","URL":"http://doi.wiley.com/10.1111/j.1469-1795.2006.00058.x","volume":"9","author":[{"family":"Martins","given":"T. L. F."},{"family":"Brooke","given":"M. de L."},{"family":"Hilton","given":"G. M."},{"family":"Farnsworth","given":"S."},{"family":"Gould","given":"J."},{"family":"Pain","given":"D. J."}],"accessed":{"date-parts":[["2019",11,5]]},"issued":{"date-parts":[["2006",11]]}}}],"schema":"https://github.com/citation-style-language/schema/raw/master/csl-citation.json"} </w:instrText>
      </w:r>
      <w:r w:rsidRPr="00837161">
        <w:fldChar w:fldCharType="separate"/>
      </w:r>
      <w:r w:rsidR="00271B78" w:rsidRPr="00271B78">
        <w:t>(Martins et al., 2006)</w:t>
      </w:r>
      <w:r w:rsidRPr="00837161">
        <w:fldChar w:fldCharType="end"/>
      </w:r>
      <w:r w:rsidRPr="00837161">
        <w:t>; circles are mammal eradication</w:t>
      </w:r>
      <w:r w:rsidR="00833FD5">
        <w:t>s</w:t>
      </w:r>
      <w:r w:rsidRPr="00837161">
        <w:t xml:space="preserve"> from larger land masses in Northern Europe </w:t>
      </w:r>
      <w:r w:rsidRPr="00837161">
        <w:fldChar w:fldCharType="begin"/>
      </w:r>
      <w:r w:rsidR="000F35EB">
        <w:instrText xml:space="preserve"> ADDIN ZOTERO_ITEM CSL_CITATION {"citationID":"ewm2jDDl","properties":{"formattedCitation":"(Robertson et al., 2017)","plainCitation":"(Robertson et al., 2017)","noteIndex":0},"citationItems":[{"id":28952,"uris":["http://zotero.org/groups/2352922/items/FT9DB7HI"],"itemData":{"id":28952,"type":"article-journal","abstract":"Numerous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M"},{"family":"Sutton-Croft","given":"Mike"}],"accessed":{"date-parts":[["2019",11,4]]},"issued":{"date-parts":[["2017",2]]}}}],"schema":"https://github.com/citation-style-language/schema/raw/master/csl-citation.json"} </w:instrText>
      </w:r>
      <w:r w:rsidRPr="00837161">
        <w:fldChar w:fldCharType="separate"/>
      </w:r>
      <w:r w:rsidR="00271B78" w:rsidRPr="00271B78">
        <w:t>(Robertson et al., 2017)</w:t>
      </w:r>
      <w:r w:rsidRPr="00837161">
        <w:fldChar w:fldCharType="end"/>
      </w:r>
      <w:r w:rsidRPr="00837161">
        <w:t xml:space="preserve">; diamond symbols are examples/predictions of large-scale mammal eradications from islands </w:t>
      </w:r>
      <w:r w:rsidRPr="00837161">
        <w:fldChar w:fldCharType="begin"/>
      </w:r>
      <w:r w:rsidR="000F35EB">
        <w:instrText xml:space="preserve"> ADDIN ZOTERO_ITEM CSL_CITATION {"citationID":"KvgFFFwJ","properties":{"formattedCitation":"(Cruz et al., 2009; Parkes et al., 2014; Piertney et al., 2016)","plainCitation":"(Cruz et al., 2009; Parkes et al., 2014; Piertney et al., 2016)","noteIndex":0},"citationItems":[{"id":15600,"uris":["http://zotero.org/groups/2352922/items/5ANGS2CA"],"itemData":{"id":15600,"type":"article-journal","abstract":"Invasive mammals are premier drivers of extinction and ecosystem change, particularly on islands. In the 1960s, conservation practitioners started developing techniques to eradicate invasive mammal populations from islands. Larger and more biologically complex islands are being targeted for restoration worldwide. We conducted a feral goat (Capra hircus) eradication campaign on Santiago Island in the Galápagos archipelago, which was an unprecedented advance in the ability to reverse biodiversity impacts by invasive species. We removed &gt;79,000 goats from Santiago Island (58,465 ha) in &lt;4.5 years, at an approximate cost of US$6.1 million. An eradication ethic combined with a suite of techniques and technologies made eradication possible. A field-based Geographic Information System facilitated an adaptive management strategy, including adjustment and integration of hunting methods. Specialized ground hunting techniques with dogs removed most of the goat population. Aerial hunting by helicopter and Judas goat techniques were also critical. Mata Hari goats, sterilized female Judas goats induced into a long-term estrus, removed males from the remnant feral population at an elevated rate, which likely decreased the length and cost of the eradication campaign. The last 1,000 goats cost US$2.0 million to remove; we spent an additional US$467,064 on monitoring to confirm eradication. Aerial hunting is cost-effective even in countries where labor is inexpensive. Local sociopolitical environments and best practices emerging from large-scale, fast-paced eradications should drive future strategies. For nonnative ungulate eradications, island size is arguably no longer the limiting factor. Future challenges will involve removing invasive mammals from large inhabited islands while increasing cost-effectiveness of removing low-density populations and confirming eradication. Those challenges will require leveraging technology and applying theory from other disciplines, along with conservation practitioners working alongside sociologists and educators.","container-title":"Journal of Wildlife Management","DOI":"10.2193/2007-551","ISSN":"0022-541X, 1937-2817","issue":"2","journalAbbreviation":"wild","page":"191-200","source":"bioone.org","title":"Bio-Economics of Large-Scale Eradication of Feral Goats From Santiago Island, Galápagos","URL":"https://bioone.org/journals/Journal-of-Wildlife-Management/volume-73/issue-2/2007-551/Bio-Economics-of-Large-Scale-Eradication-of-Feral-Goats-From/10.2193/2007-551.full","volume":"73","author":[{"family":"Cruz","given":"Felipe"},{"family":"Carrion","given":"Victor"},{"family":"Campbell","given":"Karl J."},{"family":"Lavoie","given":"Christian"},{"family":"Donlan","given":"C. Josh"}],"accessed":{"date-parts":[["2019",10,16]]},"issued":{"date-parts":[["2009",2]]}}},{"id":31576,"uris":["http://zotero.org/groups/2352922/items/YG6IL2PN"],"itemData":{"id":31576,"type":"article-journal","abstract":"Feral cats (Felis catus) are predators and competitors of native species on many islands and are therefore the target of control efforts. Cat eradication has been achieved on 83 islands worldwide. Six of these successes have been from large islands (over 2000 ha) and have reported sufficient data to examine how the eradication was achieved through combinations of aerial and ground-based poison baiting, fumigation in rabbit burrows used by cats, cage and leghold trapping, day and night shooting, and hunting with dogs. No common sequence of tactics was deployed although leghold traps were used in the latter phases of most projects. It took a mean reported effort of 543 ± 341 person-days per 1000 ha of island over 5.2 ± 1.6 years to completely remove cats and validate success from the six islands. These precedents may assist in planning future proposals to eradicate cats from other large islands.","container-title":"New Zealand Journal of Ecology","ISSN":"0110-6465","issue":"2","note":"publisher: New Zealand Ecological Society","page":"307-314","source":"JSTOR","title":"Eradication of feral cats from large islands: an assessment of the effort required for success","title-short":"Eradication of feral cats from large islands","URL":"https://www.jstor.org/stable/24060808","volume":"38","author":[{"family":"Parkes","given":"John"},{"family":"Fisher","given":"Penny"},{"family":"Robinson","given":"Sue"},{"family":"Aguirre-Muñoz","given":"Alfonso"}],"accessed":{"date-parts":[["2021",11,21]]},"issued":{"date-parts":[["2014"]]}}},{"id":31549,"uris":["http://zotero.org/groups/2352922/items/XKXIRQ4H"],"itemData":{"id":31549,"type":"article-journal","container-title":"Journal of Applied Ecology","DOI":"10.1111/1365-2664.12589","ISSN":"00218901","issue":"2","journalAbbreviation":"J Appl Ecol","language":"en","page":"332-339","source":"DOI.org (Crossref)","title":"Resolving patterns of population genetic and phylogeographic structure to inform control and eradication initiatives for brown rats &lt;i&gt;Rattus norvegicus&lt;/i&gt; on South Georgia","URL":"https://onlinelibrary.wiley.com/doi/10.1111/1365-2664.12589","volume":"53","author":[{"family":"Piertney","given":"Stuart B."},{"family":"Black","given":"Andy"},{"family":"Watt","given":"Laura"},{"family":"Christie","given":"Darren"},{"family":"Poncet","given":"Sally"},{"family":"Collins","given":"Martin A."}],"editor":[{"family":"Bieber","given":"Claudia"}],"accessed":{"date-parts":[["2021",11,22]]},"issued":{"date-parts":[["2016",4]]}}}],"schema":"https://github.com/citation-style-language/schema/raw/master/csl-citation.json"} </w:instrText>
      </w:r>
      <w:r w:rsidRPr="00837161">
        <w:fldChar w:fldCharType="separate"/>
      </w:r>
      <w:r w:rsidR="00271B78" w:rsidRPr="00271B78">
        <w:t>(Cruz et al., 2009; Parkes et al., 2014; Piertney et al., 2016)</w:t>
      </w:r>
      <w:r w:rsidRPr="00837161">
        <w:fldChar w:fldCharType="end"/>
      </w:r>
      <w:r w:rsidRPr="00837161">
        <w:t xml:space="preserve"> triangles are plant eradications from California </w:t>
      </w:r>
      <w:r w:rsidRPr="00837161">
        <w:fldChar w:fldCharType="begin"/>
      </w:r>
      <w:r w:rsidR="007746C5">
        <w:instrText xml:space="preserve"> ADDIN ZOTERO_ITEM CSL_CITATION {"citationID":"ZdnI30gP","properties":{"formattedCitation":"(Rejmanek &amp; Pitcairn, 2002)","plainCitation":"(Rejmanek &amp; Pitcairn, 2002)","noteIndex":0},"citationItems":[{"id":32196,"uris":["http://zotero.org/groups/2352922/items/5HHDLH6I"],"itemData":{"id":32196,"type":"chapter","collection-title":"Occasional Paper of the IUCN Species survival Commission No. 27","container-title":"Turning the tide: The eradication of invasive species: proceedings of the International Conference on eradication of Island Invasives","event-place":"Gland, Switzerland","language":"English","page":"249-253","publisher":"IUCN","publisher-place":"Gland, Switzerland","title":"When is eradication of exotic pest plants a realistic goal?","URL":"https://portals.iucn.org/library/efiles/documents/ssc-op-028.pdf","author":[{"family":"Rejmanek","given":"M"},{"family":"Pitcairn","given":"M J"}],"editor":[{"family":"Veitch","given":"C.R."},{"family":"Clout","given":"M.N."}],"issued":{"date-parts":[["2002"]]}}}],"schema":"https://github.com/citation-style-language/schema/raw/master/csl-citation.json"} </w:instrText>
      </w:r>
      <w:r w:rsidRPr="00837161">
        <w:fldChar w:fldCharType="separate"/>
      </w:r>
      <w:r w:rsidR="00271B78" w:rsidRPr="00271B78">
        <w:t>(Rejmanek &amp; Pitcairn, 2002)</w:t>
      </w:r>
      <w:r w:rsidRPr="00837161">
        <w:fldChar w:fldCharType="end"/>
      </w:r>
      <w:r w:rsidRPr="00837161">
        <w:t xml:space="preserve">. </w:t>
      </w:r>
      <w:r w:rsidR="00763E0E" w:rsidRPr="00837161">
        <w:t xml:space="preserve">Source: </w:t>
      </w:r>
      <w:r w:rsidR="007A7462" w:rsidRPr="00837161">
        <w:t xml:space="preserve">Robertson et al. </w:t>
      </w:r>
      <w:r w:rsidRPr="00837161">
        <w:fldChar w:fldCharType="begin"/>
      </w:r>
      <w:r w:rsidR="000F35EB">
        <w:instrText xml:space="preserve"> ADDIN ZOTERO_ITEM CSL_CITATION {"citationID":"i7xoZxNz","properties":{"formattedCitation":"(2019)","plainCitation":"(2019)","noteIndex":0},"citationItems":[{"id":30850,"uris":["http://zotero.org/groups/2352922/items/K5U3QNCX"],"itemData":{"id":30850,"type":"paper-conference","container-title":"Island invasives: scaling up to meet the challenge.: Proceedings of the international conference on island invasives.","DOI":"https://doi.org/10.2305/IUCN.CH.2019.SSC-OP.62.en","page":"687–691","publisher":"IUCN","source":"Google Scholar","title":"Invasive species removals and scale – contrasting island and mainland experience","volume":"62","author":[{"family":"Robertson","given":"Peter A."},{"family":"Roy","given":"Sugoto"},{"family":"Mill","given":"Aileen C."},{"family":"Shirley","given":"M."},{"family":"Adriaens","given":"Tim"},{"family":"Ward","given":"A. I."},{"family":"Tatayah","given":"V."},{"family":"Booy","given":"Olaf"}],"issued":{"date-parts":[["2019"]]}},"label":"page","suppress-author":true}],"schema":"https://github.com/citation-style-language/schema/raw/master/csl-citation.json"} </w:instrText>
      </w:r>
      <w:r w:rsidRPr="00837161">
        <w:fldChar w:fldCharType="separate"/>
      </w:r>
      <w:r w:rsidR="00271B78" w:rsidRPr="00271B78">
        <w:t>(2019)</w:t>
      </w:r>
      <w:r w:rsidRPr="00837161">
        <w:fldChar w:fldCharType="end"/>
      </w:r>
      <w:r w:rsidR="007456A9">
        <w:t xml:space="preserve">, </w:t>
      </w:r>
      <w:hyperlink r:id="rId108" w:history="1">
        <w:r w:rsidR="00B25A87" w:rsidRPr="006A0CE1">
          <w:rPr>
            <w:rStyle w:val="Hyperlink"/>
          </w:rPr>
          <w:t>https://doi.org/10.2305/IUCN.CH.2019.SSC-OP.62.en</w:t>
        </w:r>
      </w:hyperlink>
      <w:r w:rsidR="00B25A87">
        <w:t xml:space="preserve">, under license </w:t>
      </w:r>
      <w:r w:rsidR="007456A9" w:rsidRPr="007456A9">
        <w:t>CC BY-NC 4.0.</w:t>
      </w:r>
      <w:bookmarkEnd w:id="529"/>
      <w:r w:rsidRPr="00837161">
        <w:t xml:space="preserve"> </w:t>
      </w:r>
    </w:p>
    <w:p w14:paraId="00000686" w14:textId="39C671C5" w:rsidR="00A758FD" w:rsidRPr="00C0338D" w:rsidRDefault="00C81287">
      <w:pPr>
        <w:spacing w:before="240" w:after="120" w:line="240" w:lineRule="auto"/>
      </w:pPr>
      <w:bookmarkStart w:id="533" w:name="_heading=h.356xmb2" w:colFirst="0" w:colLast="0"/>
      <w:bookmarkEnd w:id="530"/>
      <w:bookmarkEnd w:id="531"/>
      <w:bookmarkEnd w:id="532"/>
      <w:bookmarkEnd w:id="533"/>
      <w:r w:rsidRPr="00C0338D">
        <w:t xml:space="preserve">Aquatic eradication programmes are more frequent in freshwater than marine ecosystems </w:t>
      </w:r>
      <w:r w:rsidR="5140D151" w:rsidRPr="00837161">
        <w:fldChar w:fldCharType="begin"/>
      </w:r>
      <w:r w:rsidR="000F35EB">
        <w:instrText xml:space="preserve"> ADDIN ZOTERO_ITEM CSL_CITATION {"citationID":"ABuYpjHb","properties":{"formattedCitation":"(Simberloff, 2021)","plainCitation":"(Simberloff, 2021)","noteIndex":0},"citationItems":[{"id":31697,"uris":["http://zotero.org/groups/2352922/items/CP5WZMAV"],"itemData":{"id":31697,"type":"article-journal","container-title":"Hydrobiologia","DOI":"10.1007/s10750-020-04352-5","ISSN":"0018-8158,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schema":"https://github.com/citation-style-language/schema/raw/master/csl-citation.json"} </w:instrText>
      </w:r>
      <w:r w:rsidR="5140D151" w:rsidRPr="00837161">
        <w:fldChar w:fldCharType="separate"/>
      </w:r>
      <w:r w:rsidR="00271B78" w:rsidRPr="00271B78">
        <w:t>(Simberloff, 2021)</w:t>
      </w:r>
      <w:r w:rsidR="5140D151" w:rsidRPr="00837161">
        <w:fldChar w:fldCharType="end"/>
      </w:r>
      <w:r w:rsidR="558760A3" w:rsidRPr="00837161">
        <w:t>.</w:t>
      </w:r>
      <w:r w:rsidRPr="00C0338D">
        <w:t xml:space="preserve"> In freshwater systems, such programmes are generally restricted to small rivers and lakes and within enclosed bays. Examples include eradication of freshwater bass (</w:t>
      </w:r>
      <w:r w:rsidRPr="00C0338D">
        <w:rPr>
          <w:i/>
        </w:rPr>
        <w:t>Micropterus</w:t>
      </w:r>
      <w:r w:rsidRPr="00C0338D">
        <w:t xml:space="preserve"> spp.) in a small river in South Africa </w:t>
      </w:r>
      <w:r w:rsidR="5140D151" w:rsidRPr="00837161">
        <w:fldChar w:fldCharType="begin"/>
      </w:r>
      <w:r w:rsidR="000F35EB">
        <w:instrText xml:space="preserve"> ADDIN ZOTERO_ITEM CSL_CITATION {"citationID":"TAVB2ihf","properties":{"formattedCitation":"(O. L. F. Weyl et al., 2013)","plainCitation":"(O. L. F. Weyl et al., 2013)","noteIndex":0},"citationItems":[{"id":31548,"uris":["http://zotero.org/groups/2352922/items/4Q3CDV3D"],"itemData":{"id":31548,"type":"article-journal","container-title":"African Journal of Aquatic Science","DOI":"10.2989/16085914.2012.753401","ISSN":"1608-5914, 1727-9364","issue":"2","journalAbbreviation":"African Journal of Aquatic Science","language":"en","page":"201-209","source":"DOI.org (Crossref)","title":"Fish distributions in the Rondegat River, Cape Floristic Region, South Africa, and the immediate impact of rotenone treatment in an invaded reach","URL":"http://www.tandfonline.com/doi/abs/10.2989/16085914.2012.753401","volume":"38","author":[{"family":"Weyl","given":"Olaf L. F."},{"family":"Ellender","given":"B R"},{"family":"Woodford","given":"D J"},{"family":"Jordaan","given":"M S"}],"accessed":{"date-parts":[["2021",11,22]]},"issued":{"date-parts":[["2013",8]]}}}],"schema":"https://github.com/citation-style-language/schema/raw/master/csl-citation.json"} </w:instrText>
      </w:r>
      <w:r w:rsidR="5140D151" w:rsidRPr="00837161">
        <w:fldChar w:fldCharType="separate"/>
      </w:r>
      <w:r w:rsidR="00271B78" w:rsidRPr="00271B78">
        <w:t>(O. L. F. Weyl et al., 2013)</w:t>
      </w:r>
      <w:r w:rsidR="5140D151" w:rsidRPr="00837161">
        <w:fldChar w:fldCharType="end"/>
      </w:r>
      <w:r w:rsidRPr="00C0338D">
        <w:t xml:space="preserve"> and programmes targeting species of invasive alien aquatic plants that applied different strategies </w:t>
      </w:r>
      <w:r w:rsidR="5140D151" w:rsidRPr="00837161">
        <w:fldChar w:fldCharType="begin"/>
      </w:r>
      <w:r w:rsidR="000F35EB">
        <w:instrText xml:space="preserve"> ADDIN ZOTERO_ITEM CSL_CITATION {"citationID":"lXaIUVZn","properties":{"formattedCitation":"(Simberloff, 2021)","plainCitation":"(Simberloff, 2021)","noteIndex":0},"citationItems":[{"id":31697,"uris":["http://zotero.org/groups/2352922/items/CP5WZMAV"],"itemData":{"id":31697,"type":"article-journal","container-title":"Hydrobiologia","DOI":"10.1007/s10750-020-04352-5","ISSN":"0018-8158,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schema":"https://github.com/citation-style-language/schema/raw/master/csl-citation.json"} </w:instrText>
      </w:r>
      <w:r w:rsidR="5140D151" w:rsidRPr="00837161">
        <w:fldChar w:fldCharType="separate"/>
      </w:r>
      <w:r w:rsidR="00271B78" w:rsidRPr="00271B78">
        <w:t>(Simberloff, 2021)</w:t>
      </w:r>
      <w:r w:rsidR="5140D151" w:rsidRPr="00837161">
        <w:fldChar w:fldCharType="end"/>
      </w:r>
      <w:r w:rsidR="558760A3" w:rsidRPr="00837161">
        <w:t>.</w:t>
      </w:r>
      <w:r w:rsidRPr="00C0338D">
        <w:t xml:space="preserve"> Eradication programmes with invertebrates and small taxa in aquatic ecosystems are less known and have poor success rates given the complex nature of these environments for implementing management procedures and the lack of visibility.</w:t>
      </w:r>
    </w:p>
    <w:p w14:paraId="00000687" w14:textId="2274AF66" w:rsidR="00A758FD" w:rsidRPr="00C0338D" w:rsidRDefault="00C81287">
      <w:pPr>
        <w:spacing w:before="240" w:after="120" w:line="240" w:lineRule="auto"/>
      </w:pPr>
      <w:r w:rsidRPr="00C0338D">
        <w:lastRenderedPageBreak/>
        <w:t>Evidence suggest</w:t>
      </w:r>
      <w:r w:rsidR="00833FD5">
        <w:t>s</w:t>
      </w:r>
      <w:r w:rsidRPr="00C0338D">
        <w:t xml:space="preserve"> that there have been no fully successful eradication programmes for well-established invasive alien species in marine ecosystems </w:t>
      </w:r>
      <w:r w:rsidR="00066A7E" w:rsidRPr="00837161">
        <w:rPr>
          <w:color w:val="000000" w:themeColor="text1"/>
        </w:rPr>
        <w:fldChar w:fldCharType="begin"/>
      </w:r>
      <w:r w:rsidR="000F35EB">
        <w:rPr>
          <w:color w:val="000000" w:themeColor="text1"/>
        </w:rPr>
        <w:instrText xml:space="preserve"> ADDIN ZOTERO_ITEM CSL_CITATION {"citationID":"B9xWfZfy","properties":{"formattedCitation":"(B. S. Galil et al., 2019)","plainCitation":"(B. S. Galil et al., 2019)","dontUpdate":true,"noteIndex":0},"citationItems":[{"id":29809,"uris":["http://zotero.org/groups/2352922/items/ZKNMZTLN"],"itemData":{"id":29809,"type":"article-journal","container-title":"Biological Invasions","DOI":"10.1007/s10530-018-1826-9","ISSN":"1387-3547, 1573-1464","issue":"2","journalAbbreviation":"Biol Invasions","language":"en","page":"281-288","source":"DOI.org (Crossref)","title":"Invasive biota in the deep-sea Mediterranean: an emerging issue in marine conservation and management","title-short":"Invasive biota in the deep-sea Mediterranean","URL":"http://link.springer.com/10.1007/s10530-018-1826-9","volume":"21","author":[{"family":"Galil","given":"Bella S."},{"family":"Danovaro","given":"R."},{"family":"Rothman","given":"S. B. S."},{"family":"Gevili","given":"R."},{"family":"Goren","given":"M."}],"accessed":{"date-parts":[["2019",10,30]]},"issued":{"date-parts":[["2019",2]]}}}],"schema":"https://github.com/citation-style-language/schema/raw/master/csl-citation.json"} </w:instrText>
      </w:r>
      <w:r w:rsidR="00066A7E" w:rsidRPr="00837161">
        <w:rPr>
          <w:color w:val="000000" w:themeColor="text1"/>
        </w:rPr>
        <w:fldChar w:fldCharType="separate"/>
      </w:r>
      <w:r w:rsidR="5140D151" w:rsidRPr="00837161">
        <w:t>(Galil et al., 2019)</w:t>
      </w:r>
      <w:r w:rsidR="00066A7E" w:rsidRPr="00837161">
        <w:rPr>
          <w:color w:val="000000" w:themeColor="text1"/>
        </w:rPr>
        <w:fldChar w:fldCharType="end"/>
      </w:r>
      <w:r w:rsidR="5140D151" w:rsidRPr="00837161">
        <w:rPr>
          <w:color w:val="000000" w:themeColor="text1"/>
        </w:rPr>
        <w:t>.</w:t>
      </w:r>
      <w:r w:rsidR="5140D151" w:rsidRPr="00837161">
        <w:t xml:space="preserve"> Where they have been attempted, targets have been restricted to very small initial populations, to sessile biota and small areas. An eradication program</w:t>
      </w:r>
      <w:r w:rsidR="7BB0482B" w:rsidRPr="00837161">
        <w:t>me</w:t>
      </w:r>
      <w:r w:rsidR="5140D151" w:rsidRPr="00837161">
        <w:t xml:space="preserve"> against </w:t>
      </w:r>
      <w:r w:rsidR="01F15E86" w:rsidRPr="00837161">
        <w:rPr>
          <w:i/>
          <w:iCs/>
        </w:rPr>
        <w:t>Mytilopsis sallei</w:t>
      </w:r>
      <w:r w:rsidR="01F15E86" w:rsidRPr="00837161">
        <w:t xml:space="preserve"> (Caribbean false</w:t>
      </w:r>
      <w:r w:rsidR="5140D151" w:rsidRPr="00837161">
        <w:t xml:space="preserve"> mussel)</w:t>
      </w:r>
      <w:r w:rsidR="00833FD5">
        <w:t>, which was</w:t>
      </w:r>
      <w:r w:rsidR="5140D151" w:rsidRPr="00837161">
        <w:t xml:space="preserve"> discovered in 1999 by local divers</w:t>
      </w:r>
      <w:r w:rsidR="00280A07">
        <w:t>,</w:t>
      </w:r>
      <w:r w:rsidR="5140D151" w:rsidRPr="00837161">
        <w:t xml:space="preserve"> </w:t>
      </w:r>
      <w:r w:rsidR="1DAC5430" w:rsidRPr="00837161">
        <w:t xml:space="preserve">occurring </w:t>
      </w:r>
      <w:r w:rsidR="5140D151" w:rsidRPr="00837161">
        <w:t xml:space="preserve">in large densities in three marinas in the port of Darwin in Australia used liquid chlorine and copper sulphate. This killed the mussels and other marine life </w:t>
      </w:r>
      <w:r w:rsidR="00066A7E" w:rsidRPr="00837161">
        <w:fldChar w:fldCharType="begin"/>
      </w:r>
      <w:r w:rsidR="000F35EB">
        <w:instrText xml:space="preserve"> ADDIN ZOTERO_ITEM CSL_CITATION {"citationID":"wZNSII1Z","properties":{"unsorted":true,"formattedCitation":"(Willan et al., 2000; F. E. Wells, 2019)","plainCitation":"(Willan et al., 2000; F. E. Wells, 2019)","noteIndex":0},"citationItems":[{"id":10835,"uris":["http://zotero.org/groups/2352922/items/H3LJRZRU"],"itemData":{"id":10835,"type":"article-journal","container-title":"Molluscan Research","DOI":"10.1080/13235818.2000.10673730","ISSN":"1323-5818","issue":"2","note":"publisher: Taylor &amp; Francis\n_eprint: https://doi.org/10.1080/13235818.2000.10673730","page":"25-30","source":"Taylor and Francis+NEJM","title":"Outbreak of &lt;i&gt;Mytilopsis sallei&lt;/i&gt; (Récluz, 1849) (Bivalvia: Dreissenidae) in Australia","title-short":"Outbreak of Mytilopsis sallei (Récluz, 1849) (Bivalvia","URL":"https://doi.org/10.1080/13235818.2000.10673730","volume":"20","author":[{"family":"Willan","given":"Richard C."},{"family":"Russell","given":"Barry C."},{"family":"Murfet","given":"Nicolas B."},{"family":"Moore","given":"Kirrily L."},{"family":"McEnnulty","given":"Felicity R."},{"family":"Horner","given":"Suzanne K."},{"family":"Hewitt","given":"Chad L."},{"family":"Dally","given":"Gavin M."},{"family":"Campbell","given":"Marnie L."},{"family":"Bourke","given":"Sean T."}],"accessed":{"date-parts":[["2021",6,16]]},"issued":{"date-parts":[["2000",1,1]]}}},{"id":10834,"uris":["http://zotero.org/groups/2352922/items/NC5J2APY"],"itemData":{"id":10834,"type":"article-journal","abstract":"No introduced marine pests, also known as invasive marine species, were detected in a dry season survey in August 1998 in Darwin Harbour, Northern Territory, Australia. A postwet-season survey in March 1999 found extensive populations of the false mussel Mytilopsis sallei (Récluz, 1849) in the Cullen Bay Marina. An environmental emergency was declared and M. sallei were eliminated. The present paper examines possible reasons for the failure of M. sallei to establish outside Cullen Bay. Mytilopsis sallei is a fresh/brackish water species that naturally lives in low salinities. It is hypothesized that the osmotic shock of rapid movement from low salinity water in Cullen Bay to much higher salinities outside the marina killed the veligers when they were discharged through the entrance lock when it was opened to allow vessel movements. If it entered the harbour, M. sallei could possibly have established in low salinity water in the arms leading into the harbour and possibly have spread in northern Australia.","container-title":"Malacologia","DOI":"10.4002/040.062.0205","ISSN":"0076-2997, 2168-9075","issue":"2","journalAbbreviation":"mala","note":"publisher: Institute of Malacology","page":"247-256","source":"bioone.org","title":"Environmental Emergency: Why Did the False Mussel &lt;i&gt;Mytilopsis sallei&lt;/i&gt; Not Invade Darwin Harbour, Australia?","title-short":"Environmental Emergency","URL":"https://bioone.org/journals/malacologia/volume-62/issue-2/040.062.0205/Environmental-Emergency--Why-Did-the-False-Mussel-Mytilopsis-sallei/10.4002/040.062.0205.full","volume":"62","author":[{"family":"Wells","given":"Fred E."}],"accessed":{"date-parts":[["2021",6,16]]},"issued":{"date-parts":[["2019",3]]}}}],"schema":"https://github.com/citation-style-language/schema/raw/master/csl-citation.json"} </w:instrText>
      </w:r>
      <w:r w:rsidR="00066A7E" w:rsidRPr="00837161">
        <w:fldChar w:fldCharType="separate"/>
      </w:r>
      <w:r w:rsidR="00271B78" w:rsidRPr="00271B78">
        <w:t>(Willan et al., 2000; F. E. Wells, 2019)</w:t>
      </w:r>
      <w:r w:rsidR="00066A7E" w:rsidRPr="00837161">
        <w:fldChar w:fldCharType="end"/>
      </w:r>
      <w:r w:rsidR="5140D151" w:rsidRPr="00837161">
        <w:t xml:space="preserve">. In 2000, </w:t>
      </w:r>
      <w:r w:rsidR="062AC0D6" w:rsidRPr="00837161">
        <w:rPr>
          <w:i/>
          <w:iCs/>
        </w:rPr>
        <w:t>Caulerpa taxifolia</w:t>
      </w:r>
      <w:r w:rsidR="062AC0D6" w:rsidRPr="00837161">
        <w:t xml:space="preserve"> (killer </w:t>
      </w:r>
      <w:r w:rsidR="5140D151" w:rsidRPr="00837161">
        <w:t xml:space="preserve">algae) was discovered in a lagoon and then in a </w:t>
      </w:r>
      <w:r w:rsidR="006B08F9" w:rsidRPr="00837161">
        <w:t>harbour</w:t>
      </w:r>
      <w:r w:rsidR="5140D151" w:rsidRPr="00837161">
        <w:t xml:space="preserve"> in California, United States. A rapid response was activated since this species was included in the Federal Noxious Weed List in 1999. Algal beds were treated with liquid chlorine and a monitoring program</w:t>
      </w:r>
      <w:r w:rsidR="7BB0482B" w:rsidRPr="00837161">
        <w:t>me</w:t>
      </w:r>
      <w:r w:rsidR="5140D151" w:rsidRPr="00837161">
        <w:t xml:space="preserve"> continued and by 2005 the species was considered fully eradicated </w:t>
      </w:r>
      <w:r w:rsidR="00066A7E" w:rsidRPr="00837161">
        <w:fldChar w:fldCharType="begin"/>
      </w:r>
      <w:r w:rsidR="00A4003D">
        <w:instrText xml:space="preserve"> ADDIN ZOTERO_ITEM CSL_CITATION {"citationID":"AWPOvdBR","properties":{"formattedCitation":"(L. W. Anderson, 2005)","plainCitation":"(L. W. Anderson, 2005)","dontUpdate":true,"noteIndex":0},"citationItems":[{"id":30408,"uris":["http://zotero.org/groups/2352922/items/ZZNW6IAX"],"itemData":{"id":30408,"type":"article-journal","abstract":"The invasive marine alga Caulerpa taxifolia was discovered June 12, 2000, in California at Agua Hedionda Lagoon. Due to a 15-year history of spread in the Mediterranean Sea, C. taxifolia had already been placed on the US Federal Noxious Weed list in 1999. Awareness of this threat greatly facilitated consensus building and setting clear eradication goals among a large number of state, federal and local agencies as well as private groups and non-governmental organizations (NGOs) that became the 'Southern California Caulerpa Action Team' (SCCAT). Field containment and treatments began 17 days after the discovery due to: (1) timely identification and notification of the infestation; (2) the proactive staff of the San Diego Regional Water Quality Control Board who deemed this invasion tantamount to an 'oil spill', thus freeing up emergency funding; (3) the mobilization of diver crews already working at the site. Three well-integrated components of this rapid response have resulted in an effective eradication program: (a) expertise and knowledge on the biology of C. taxifolia; (b) knowledge on the uses, 'ownership' and characteristics of the infested site; (c) knowledge and experience in the implementation of aquatic plant eradication. Together, with the requisite resources (approximately $US1.2 million per year), this approach has resulted in containment, treatment and excellent progress toward eradication of C. taxifolia. Successful rapid response to other aquatic invasive species will require similar readiness to act, and immediate access to adequate funding. © Springer 2005.","container-title":"Biological Invasions","DOI":"10.1007/s10530-004-3123-z","issue":"6","note":"publisher: Springer","page":"1003–1016","title":"California’s reaction to &lt;i&gt;Caulerpa taxifolia&lt;/i&gt;: a model for invasive species rapid response","title-short":"California’s reaction to Caulerpa taxifolia","URL":"https://www.scopus.com/inward/record.uri?eid=2-s2.0-27744519822&amp;doi=10.1007%2fs10530-004-3123-z&amp;partnerID=40&amp;md5=0a005688e8cc3cd0c2379f85435c52a6","volume":"7","author":[{"family":"Anderson","given":"Lars W J"}],"issued":{"date-parts":[["2005"]]}}}],"schema":"https://github.com/citation-style-language/schema/raw/master/csl-citation.json"} </w:instrText>
      </w:r>
      <w:r w:rsidR="00066A7E" w:rsidRPr="00837161">
        <w:fldChar w:fldCharType="separate"/>
      </w:r>
      <w:r w:rsidR="5140D151" w:rsidRPr="00837161">
        <w:t>(Anderson, 2005)</w:t>
      </w:r>
      <w:r w:rsidR="00066A7E" w:rsidRPr="00837161">
        <w:fldChar w:fldCharType="end"/>
      </w:r>
      <w:r w:rsidR="5140D151" w:rsidRPr="00837161">
        <w:t xml:space="preserve">. In both cases, eradication was possible because the managed area was </w:t>
      </w:r>
      <w:r w:rsidR="009A0B15" w:rsidRPr="00837161">
        <w:t>small,</w:t>
      </w:r>
      <w:r w:rsidR="5140D151" w:rsidRPr="00837161">
        <w:t xml:space="preserve"> and eradication was carried out soon after locating the species. It is critical to improve eradication program</w:t>
      </w:r>
      <w:r w:rsidR="7BB0482B" w:rsidRPr="00837161">
        <w:t>me</w:t>
      </w:r>
      <w:r w:rsidR="5140D151" w:rsidRPr="00837161">
        <w:t xml:space="preserve">s in marine ecosystems during the early detection stage, </w:t>
      </w:r>
      <w:r w:rsidR="00CF2B4F">
        <w:rPr>
          <w:color w:val="000000" w:themeColor="text1"/>
        </w:rPr>
        <w:t>as</w:t>
      </w:r>
      <w:r w:rsidR="00CF2B4F" w:rsidRPr="005B7D8C">
        <w:rPr>
          <w:color w:val="000000" w:themeColor="text1"/>
        </w:rPr>
        <w:t xml:space="preserve"> most attempts at eradicating or containing invasive alien species have been ineffective</w:t>
      </w:r>
      <w:r w:rsidR="00CF2B4F">
        <w:rPr>
          <w:color w:val="000000" w:themeColor="text1"/>
        </w:rPr>
        <w:t xml:space="preserve"> so far</w:t>
      </w:r>
      <w:r w:rsidR="00CF2B4F" w:rsidRPr="00837161">
        <w:t xml:space="preserve"> </w:t>
      </w:r>
      <w:r w:rsidR="00066A7E" w:rsidRPr="00837161">
        <w:rPr>
          <w:color w:val="000000" w:themeColor="text1"/>
        </w:rPr>
        <w:fldChar w:fldCharType="begin"/>
      </w:r>
      <w:r w:rsidR="000F35EB">
        <w:rPr>
          <w:color w:val="000000" w:themeColor="text1"/>
        </w:rPr>
        <w:instrText xml:space="preserve"> ADDIN ZOTERO_ITEM CSL_CITATION {"citationID":"jYm2QlMR","properties":{"formattedCitation":"(B. S. Galil et al., 2019)","plainCitation":"(B. S. Galil et al., 2019)","dontUpdate":true,"noteIndex":0},"citationItems":[{"id":29809,"uris":["http://zotero.org/groups/2352922/items/ZKNMZTLN"],"itemData":{"id":29809,"type":"article-journal","container-title":"Biological Invasions","DOI":"10.1007/s10530-018-1826-9","ISSN":"1387-3547, 1573-1464","issue":"2","journalAbbreviation":"Biol Invasions","language":"en","page":"281-288","source":"DOI.org (Crossref)","title":"Invasive biota in the deep-sea Mediterranean: an emerging issue in marine conservation and management","title-short":"Invasive biota in the deep-sea Mediterranean","URL":"http://link.springer.com/10.1007/s10530-018-1826-9","volume":"21","author":[{"family":"Galil","given":"Bella S."},{"family":"Danovaro","given":"R."},{"family":"Rothman","given":"S. B. S."},{"family":"Gevili","given":"R."},{"family":"Goren","given":"M."}],"accessed":{"date-parts":[["2019",10,30]]},"issued":{"date-parts":[["2019",2]]}}}],"schema":"https://github.com/citation-style-language/schema/raw/master/csl-citation.json"} </w:instrText>
      </w:r>
      <w:r w:rsidR="00066A7E" w:rsidRPr="00837161">
        <w:rPr>
          <w:color w:val="000000" w:themeColor="text1"/>
        </w:rPr>
        <w:fldChar w:fldCharType="separate"/>
      </w:r>
      <w:r w:rsidR="5140D151" w:rsidRPr="00837161">
        <w:t>(Galil et al., 2019)</w:t>
      </w:r>
      <w:r w:rsidR="00066A7E" w:rsidRPr="00837161">
        <w:rPr>
          <w:color w:val="000000" w:themeColor="text1"/>
        </w:rPr>
        <w:fldChar w:fldCharType="end"/>
      </w:r>
      <w:r w:rsidR="5140D151" w:rsidRPr="00837161">
        <w:rPr>
          <w:color w:val="000000" w:themeColor="text1"/>
        </w:rPr>
        <w:t>.</w:t>
      </w:r>
      <w:r w:rsidR="7F4C9667" w:rsidRPr="00837161">
        <w:t xml:space="preserve"> Thorough</w:t>
      </w:r>
      <w:r w:rsidR="5140D151" w:rsidRPr="00837161">
        <w:t xml:space="preserve"> knowledge of each system is needed to avoid failures</w:t>
      </w:r>
      <w:r w:rsidR="00C16EEB">
        <w:t xml:space="preserve"> and</w:t>
      </w:r>
      <w:r w:rsidR="5140D151" w:rsidRPr="00837161">
        <w:t xml:space="preserve"> </w:t>
      </w:r>
      <w:r w:rsidR="00C43852" w:rsidRPr="00837161">
        <w:t>non-target</w:t>
      </w:r>
      <w:r w:rsidR="5140D151" w:rsidRPr="00837161">
        <w:t xml:space="preserve"> impacts which will potentially degrade the ecosystems further and the high costs invo</w:t>
      </w:r>
      <w:r w:rsidR="5631322C" w:rsidRPr="00837161">
        <w:t>lved</w:t>
      </w:r>
      <w:r w:rsidR="00B62203" w:rsidRPr="00837161">
        <w:t xml:space="preserve"> </w:t>
      </w:r>
      <w:r w:rsidR="7F4C9667" w:rsidRPr="00837161">
        <w:t xml:space="preserve">for eradication </w:t>
      </w:r>
      <w:r w:rsidR="00066A7E" w:rsidRPr="00837161">
        <w:fldChar w:fldCharType="begin"/>
      </w:r>
      <w:r w:rsidR="000F35EB">
        <w:instrText xml:space="preserve"> ADDIN ZOTERO_ITEM CSL_CITATION {"citationID":"N0fjeCN3","properties":{"formattedCitation":"(Grosholz et al., 2021)","plainCitation":"(Grosholz et al., 2021)","noteIndex":0},"citationItems":[{"id":10086,"uris":["http://zotero.org/groups/2352922/items/MS36TBMB"],"itemData":{"id":10086,"type":"article-journal","abstract":"As biological invasions continue to increase globally, eradication programs have been undertaken at significant cost, often without consideration of relevant ecological theory. Theoretical fisheries models have shown that harvest can actually increase the equilibrium size of a population, and uncontrolled studies and anecdotal reports have documented population increases in response to invasive species removal (akin to fisheries harvest). Both findings may be driven by high levels of juvenile survival associated with low adult abundance, often referred to as overcompensation. Here we show that in a coastal marine ecosystem, an eradication program resulted in stage-specific overcompensation and a 30-fold, single-year increase in the population of an introduced predator. Data collected concurrently from four adjacent regional bays without eradication efforts showed no similar population increase, indicating a local and not a regional increase. Specifically, the eradication program had inadvertently reduced the control of recruitment by adults via cannibalism, thereby facilitating the population explosion. Mesocosm experiments confirmed that adult cannibalism of recruits was size-dependent and could control recruitment. Genomic data show substantial isolation of this population and implicate internal population dynamics for the increase, rather than recruitment from other locations. More broadly, this controlled experimental demonstration of stage-specific overcompensation in an aquatic system provides an important cautionary message for eradication efforts of species with limited connectivity and similar life histories.","container-title":"Proceedings of the National Academy of Sciences","DOI":"10.1073/pnas.2003955118","ISSN":"0027-8424, 1091-6490","issue":"12","journalAbbreviation":"Proc Natl Acad Sci USA","language":"en","page":"e2003955118","source":"DOI.org (Crossref)","title":"Stage-specific overcompensation, the hydra effect, and the failure to eradicate an invasive predator","URL":"http://www.pnas.org/lookup/doi/10.1073/pnas.2003955118","volume":"118","author":[{"family":"Grosholz","given":"Edwin"},{"family":"Ashton","given":"Gail"},{"family":"Bradley","given":"Marko"},{"family":"Brown","given":"Chris"},{"family":"Ceballos-Osuna","given":"Lina"},{"family":"Chang","given":"Andrew"},{"family":"Rivera","given":"Catherine","non-dropping-particle":"de"},{"family":"Gonzalez","given":"Julie"},{"family":"Heineke","given":"Marcella"},{"family":"Marraffini","given":"Michelle"},{"family":"McCann","given":"Linda"},{"family":"Pollard","given":"Erica"},{"family":"Pritchard","given":"Ian"},{"family":"Ruiz","given":"Gregory"},{"family":"Turner","given":"Brian"},{"family":"Tepolt","given":"Carolyn"}],"accessed":{"date-parts":[["2021",11,11]]},"issued":{"date-parts":[["2021",3,23]]}}}],"schema":"https://github.com/citation-style-language/schema/raw/master/csl-citation.json"} </w:instrText>
      </w:r>
      <w:r w:rsidR="00066A7E" w:rsidRPr="00837161">
        <w:fldChar w:fldCharType="separate"/>
      </w:r>
      <w:r w:rsidR="00271B78" w:rsidRPr="00271B78">
        <w:t>(Grosholz et al., 2021)</w:t>
      </w:r>
      <w:r w:rsidR="00066A7E" w:rsidRPr="00837161">
        <w:fldChar w:fldCharType="end"/>
      </w:r>
      <w:r w:rsidR="5140D151" w:rsidRPr="00837161">
        <w:t>.</w:t>
      </w:r>
    </w:p>
    <w:p w14:paraId="0BB63473" w14:textId="77777777" w:rsidR="00066A7E" w:rsidRPr="00837161" w:rsidRDefault="5140D151" w:rsidP="00C11DFA">
      <w:pPr>
        <w:spacing w:before="240" w:after="120" w:line="240" w:lineRule="auto"/>
        <w:rPr>
          <w:b/>
          <w:i/>
        </w:rPr>
      </w:pPr>
      <w:bookmarkStart w:id="534" w:name="_heading=h.1kc7wiv" w:colFirst="0" w:colLast="0"/>
      <w:bookmarkStart w:id="535" w:name="_Toc69314021"/>
      <w:bookmarkStart w:id="536" w:name="_Toc87606263"/>
      <w:bookmarkStart w:id="537" w:name="_Toc87623162"/>
      <w:bookmarkEnd w:id="534"/>
      <w:r w:rsidRPr="00837161">
        <w:rPr>
          <w:b/>
          <w:i/>
        </w:rPr>
        <w:t>Social aspects of eradication</w:t>
      </w:r>
      <w:bookmarkEnd w:id="535"/>
    </w:p>
    <w:bookmarkEnd w:id="536"/>
    <w:bookmarkEnd w:id="537"/>
    <w:p w14:paraId="6806C96F" w14:textId="6430C905" w:rsidR="00066A7E" w:rsidRPr="00837161" w:rsidRDefault="00066A7E" w:rsidP="00C11DFA">
      <w:pPr>
        <w:spacing w:before="240" w:after="120" w:line="240" w:lineRule="auto"/>
        <w:rPr>
          <w:rFonts w:eastAsia="Calibri"/>
        </w:rPr>
      </w:pPr>
      <w:r w:rsidRPr="00837161">
        <w:t>Successful eradication can lead to ecological and social benefits. In the Seychelles islands, where natural resources have supported the tourism industry (</w:t>
      </w:r>
      <w:r w:rsidR="009032FE" w:rsidRPr="00837161">
        <w:t xml:space="preserve">see </w:t>
      </w:r>
      <w:r w:rsidRPr="00294242">
        <w:rPr>
          <w:b/>
          <w:iCs/>
        </w:rPr>
        <w:t>section 5.3.2</w:t>
      </w:r>
      <w:r w:rsidRPr="00837161">
        <w:t xml:space="preserve"> </w:t>
      </w:r>
      <w:r w:rsidR="002F2F42">
        <w:t>on management in protected areas</w:t>
      </w:r>
      <w:r w:rsidRPr="00837161">
        <w:t>), eradication of invasive alien plants and vertebrates, and subsequent reintroduction of native species, has improved tourism</w:t>
      </w:r>
      <w:r w:rsidR="00D74958">
        <w:t>,</w:t>
      </w:r>
      <w:r w:rsidRPr="00837161">
        <w:t xml:space="preserve"> benefiting local people </w:t>
      </w:r>
      <w:r w:rsidRPr="00837161">
        <w:fldChar w:fldCharType="begin"/>
      </w:r>
      <w:r w:rsidR="000F35EB">
        <w:instrText xml:space="preserve"> ADDIN ZOTERO_ITEM CSL_CITATION {"citationID":"tzB7wuny","properties":{"formattedCitation":"(Samways et al., 2010)","plainCitation":"(Samways et al., 2010)","noteIndex":0},"citationItems":[{"id":16155,"uris":["http://zotero.org/groups/2352922/items/SD6ZW2JE"],"itemData":{"id":16155,"type":"article-journal","container-title":"Biodiversity and Conservation","DOI":"10.1007/s10531-008-9524-z","ISSN":"0960-3115, 1572-9710","issue":"2","journalAbbreviation":"Biodivers Conserv","language":"en","page":"425-434","source":"DOI.org (Crossref)","title":"Restoration of a tropical island: Cousine Island, Seychelles","title-short":"Restoration of a tropical island","URL":"http://link.springer.com/10.1007/s10531-008-9524-z","volume":"19","author":[{"family":"Samways","given":"Michael J."},{"family":"Hitchins","given":"Peter M."},{"family":"Bourquin","given":"Orty"},{"family":"Henwood","given":"Jock"}],"accessed":{"date-parts":[["2019",11,20]]},"issued":{"date-parts":[["2010",2]]}}}],"schema":"https://github.com/citation-style-language/schema/raw/master/csl-citation.json"} </w:instrText>
      </w:r>
      <w:r w:rsidRPr="00837161">
        <w:fldChar w:fldCharType="separate"/>
      </w:r>
      <w:r w:rsidR="00271B78" w:rsidRPr="00271B78">
        <w:t>(Samways et al., 2010)</w:t>
      </w:r>
      <w:r w:rsidRPr="00837161">
        <w:fldChar w:fldCharType="end"/>
      </w:r>
      <w:r w:rsidRPr="00837161">
        <w:t xml:space="preserve">. In North America, clearance of the invasive shrub </w:t>
      </w:r>
      <w:r w:rsidRPr="00837161">
        <w:rPr>
          <w:i/>
          <w:iCs/>
        </w:rPr>
        <w:t>Lonicera maackii</w:t>
      </w:r>
      <w:r w:rsidRPr="00837161">
        <w:t xml:space="preserve"> </w:t>
      </w:r>
      <w:r w:rsidR="00445455" w:rsidRPr="00837161">
        <w:t xml:space="preserve">(Amur honeysuckle) </w:t>
      </w:r>
      <w:r w:rsidRPr="00837161">
        <w:t xml:space="preserve">altered the </w:t>
      </w:r>
      <w:r w:rsidR="006B08F9" w:rsidRPr="00837161">
        <w:t>behaviour</w:t>
      </w:r>
      <w:r w:rsidRPr="00837161">
        <w:t xml:space="preserve"> of </w:t>
      </w:r>
      <w:r w:rsidR="00421D2D" w:rsidRPr="00837161">
        <w:rPr>
          <w:i/>
          <w:iCs/>
        </w:rPr>
        <w:t>Odocoileus virginianus</w:t>
      </w:r>
      <w:r w:rsidR="00421D2D" w:rsidRPr="00837161">
        <w:t xml:space="preserve"> (</w:t>
      </w:r>
      <w:r w:rsidRPr="00837161">
        <w:t xml:space="preserve">white-tailed deer) and its disease vector parasite </w:t>
      </w:r>
      <w:r w:rsidR="00421D2D" w:rsidRPr="00837161">
        <w:rPr>
          <w:i/>
          <w:iCs/>
        </w:rPr>
        <w:t>Amblyomma americanum</w:t>
      </w:r>
      <w:r w:rsidR="00421D2D" w:rsidRPr="00837161">
        <w:t xml:space="preserve"> (</w:t>
      </w:r>
      <w:r w:rsidRPr="00837161">
        <w:t>lone star tick)</w:t>
      </w:r>
      <w:r w:rsidR="00D74958">
        <w:t>,</w:t>
      </w:r>
      <w:r w:rsidRPr="00837161">
        <w:t xml:space="preserve"> reducing the risk of vector-borne diseases in humans </w:t>
      </w:r>
      <w:r w:rsidRPr="00837161">
        <w:fldChar w:fldCharType="begin"/>
      </w:r>
      <w:r w:rsidR="000F35EB">
        <w:instrText xml:space="preserve"> ADDIN ZOTERO_ITEM CSL_CITATION {"citationID":"uv6GPD2c","properties":{"formattedCitation":"(Allan et al., 2010)","plainCitation":"(Allan et al., 2010)","noteIndex":0},"citationItems":[{"id":16153,"uris":["http://zotero.org/groups/2352922/items/2TQL65AA"],"itemData":{"id":16153,"type":"article-journal","container-title":"Proceedings of the National Academy of Sciences","DOI":"10.1073/pnas.1008362107","ISSN":"0027-8424, 1091-6490","issue":"43","journalAbbreviation":"Proceedings of the National Academy of Sciences","language":"en","page":"18523-18527","source":"DOI.org (Crossref)","title":"Invasive honeysuckle eradication reduces tick-borne disease risk by altering host dynamics","URL":"http://www.pnas.org/cgi/doi/10.1073/pnas.1008362107","volume":"107","author":[{"family":"Allan","given":"B. F."},{"family":"Dutra","given":"H. P."},{"family":"Goessling","given":"L. S."},{"family":"Barnett","given":"K."},{"family":"Chase","given":"J. M."},{"family":"Marquis","given":"R. J."},{"family":"Pang","given":"G."},{"family":"Storch","given":"G. A."},{"family":"Thach","given":"R. E."},{"family":"Orrock","given":"J. L."}],"accessed":{"date-parts":[["2019",11,20]]},"issued":{"date-parts":[["2010",10,26]]}}}],"schema":"https://github.com/citation-style-language/schema/raw/master/csl-citation.json"} </w:instrText>
      </w:r>
      <w:r w:rsidRPr="00837161">
        <w:fldChar w:fldCharType="separate"/>
      </w:r>
      <w:r w:rsidR="00271B78" w:rsidRPr="00271B78">
        <w:t>(Allan et al., 2010)</w:t>
      </w:r>
      <w:r w:rsidRPr="00837161">
        <w:fldChar w:fldCharType="end"/>
      </w:r>
      <w:r w:rsidRPr="00837161">
        <w:t>. In the arid and semiarid climates of western United State</w:t>
      </w:r>
      <w:r w:rsidR="001550B3">
        <w:t>s</w:t>
      </w:r>
      <w:r w:rsidRPr="00837161">
        <w:t xml:space="preserve">, eradication of the invasive alien plant </w:t>
      </w:r>
      <w:r w:rsidRPr="00837161">
        <w:rPr>
          <w:i/>
        </w:rPr>
        <w:t>Tamarix</w:t>
      </w:r>
      <w:r w:rsidRPr="00837161">
        <w:t xml:space="preserve"> sp. </w:t>
      </w:r>
      <w:r w:rsidR="002B14A1" w:rsidRPr="00837161">
        <w:t xml:space="preserve">(tamarisk) </w:t>
      </w:r>
      <w:r w:rsidRPr="00837161">
        <w:t xml:space="preserve">from riparian areas, where it depleted water availability and increased river sedimentation, led to large social and economic benefits to municipalities, farmers, the hydropower industry and fishermen and reduced flood damage in invaded areas </w:t>
      </w:r>
      <w:r w:rsidRPr="00837161">
        <w:fldChar w:fldCharType="begin"/>
      </w:r>
      <w:r w:rsidR="000F35EB">
        <w:instrText xml:space="preserve"> ADDIN ZOTERO_ITEM CSL_CITATION {"citationID":"ZictB1bn","properties":{"formattedCitation":"(E. Zavaleta, 2000)","plainCitation":"(E. Zavaleta, 2000)","dontUpdate":true,"noteIndex":0},"citationItems":[{"id":24878,"uris":["http://zotero.org/groups/2352922/items/XUU42M76"],"itemData":{"id":24878,"type":"article-journal","abstract":"Recent interest in the valuation of ecosystem services has provided tools for assessing the costs of invasive species in natural areas. This study evaluates the economic impacts of tamarisk (Tamarix sp.), an invasive woody shrub, on societally-valued ecosystem services in its naturalized range. Tamarisk, intentionally introduced from Eurasia, has invaded most riparian areas of the arid and semiarid western United States. In its naturalized range, tamarisk consumes more water than native vegetation, with significant economic implications in a region marked by water scarcity. Tamarisk also increases sedimentation in river channels, leading to increased frequency and severity of flood damage. Conservative economic estimates of these impacts indicate that the annual costs of tamarisk to the western United States total USD 280–450 ha−1. Eradicating the invader and restoring native riparian communities throughout the region would cost approximately USD 7400 ha−1. Full recovery of these costs, even with a highly conservative benefits estimate, would occur in as few as 17 years, after which the societal, ecological, and economic benefits of restoration would continue to accrue indefinitely.","container-title":"AMBIO: A Journal of the Human Environment","DOI":"10.1579/0044-7447-29.8.462","ISSN":"0044-7447, 1654-7209","issue":"8","journalAbbreviation":"ambi","note":"publisher: Royal Swedish Academy of Sciences","page":"462-467","source":"bioone.org","title":"The Economic Value of Controlling an Invasive Shrub","URL":"https://bioone.org/journals/ambio-a-journal-of-the-human-environment/volume-29/issue-8/0044-7447-29.8.462/The-Economic-Value-of-Controlling-an-Invasive-Shrub/10.1579/0044-7447-29.8.462.full","volume":"29","author":[{"family":"Zavaleta","given":"Erika S."}],"accessed":{"date-parts":[["2021",3,10]]},"issued":{"date-parts":[["2000",12]]}}}],"schema":"https://github.com/citation-style-language/schema/raw/master/csl-citation.json"} </w:instrText>
      </w:r>
      <w:r w:rsidRPr="00837161">
        <w:fldChar w:fldCharType="separate"/>
      </w:r>
      <w:r w:rsidRPr="00837161">
        <w:t>(Zavaleta, 2000)</w:t>
      </w:r>
      <w:r w:rsidRPr="00837161">
        <w:fldChar w:fldCharType="end"/>
      </w:r>
      <w:r w:rsidRPr="00837161">
        <w:t xml:space="preserve">. On a local scale, therefore, eradication success can lead to </w:t>
      </w:r>
      <w:r w:rsidR="00D74958">
        <w:t xml:space="preserve">increased </w:t>
      </w:r>
      <w:r w:rsidRPr="00837161">
        <w:t xml:space="preserve">good quality of life when targeting invasive alien species causing significant negative impacts on economic wellbeing, human health and access to natural resources. Where invasive alien species have commercial, cultural or spiritual value, however, eradication is unlikely to be acceptable </w:t>
      </w:r>
      <w:r w:rsidRPr="00837161">
        <w:fldChar w:fldCharType="begin"/>
      </w:r>
      <w:r w:rsidR="000F35EB">
        <w:instrText xml:space="preserve"> ADDIN ZOTERO_ITEM CSL_CITATION {"citationID":"PTvB3x92","properties":{"formattedCitation":"(Kelsch et al., 2020; Oppel et al., 2011)","plainCitation":"(Kelsch et al., 2020; Oppel et al., 2011)","dontUpdate":true,"noteIndex":0},"citationItems":[{"id":56463,"uris":["http://zotero.org/groups/2352922/items/YVUTAHFF","http://zotero.org/groups/2352922/items/9JA37VSV"],"itemData":{"id":56463,"type":"article-journal","container-title":"Environmental Science &amp; Policy","DOI":"10.1016/j.envsci.2020.06.014","ISSN":"14629011","journalAbbreviation":"Environmental Science &amp; Policy","language":"en","page":"275-281","source":"DOI.org (Crossref)","title":"Invasive alien species and local communities in socio-ecological production landscapes and seascapes: A systematic review and analysis","title-short":"Invasive alien species and local communities in socio-ecological production landscapes and seascapes","URL":"https://linkinghub.elsevier.com/retrieve/pii/S1462901120300642","volume":"112","author":[{"family":"Kelsch","given":"Alexander"},{"family":"Takahashi","given":"Yasuo"},{"family":"Dasgupta","given":"Rajarshi"},{"family":"Mader","given":"André Derek"},{"family":"Johnson","given":"Brian Alan"},{"family":"Kumar","given":"Pankaj"}],"accessed":{"date-parts":[["2023",6,8]]},"issued":{"date-parts":[["2020",10]]}}},{"id":10334,"uris":["http://zotero.org/groups/2352922/items/TL5L9FJC"],"itemData":{"id":10334,"type":"article-journal","abstract":"Non-native invasive mammal species have caused major ecological change on many islands. To conserve native species diversity, invasive mammals have been eradicated from several islands not inhabited by humans. We reviewed the challenges associated with campaigns to eradicate invasive mammals from islands inhabited by humans and domestic animals. On these islands, detailed analyses of the social, cultural, and economic costs and benefits of eradication are required to increase the probability of local communities supporting the eradication campaign. The ecological benefits of eradication (e.g., improvement of endemic species’ probability of survival) are difficult to trade-off against social and economic costs due to the lack of a common currency. Local communities may oppose an eradication campaign because of perceived health hazards, inconvenience, financial burdens, religious beliefs, or other cultural reasons. Besides these social challenges, the presence of humans and domestic animals also complicates eradication and biosecurity procedures (measures taken to reduce the probability of unwanted organisms colonizing an island to near zero). For example, houses, garbage-disposal areas, and livestock-feeding areas can provide refuges for certain mammals and therefore can decrease the probability of a successful eradication. Transport of humans and goods to an island increases the probability of inadvertent reintroduction of invasive mammals, and the establishment of permanent quarantine measures is required to minimize the probability of unwanted recolonization after eradication. We recommend a close collaboration between island communities, managers, and social scientists from the inception of an eradication campaign to increase the probability of achieving and maintaining an island permanently free of invasive mammals.","container-title":"Conservation Biology","DOI":"10.1111/j.1523-1739.2010.01601.x","ISSN":"08888892","issue":"2","language":"en","page":"232-240","source":"DOI.org (Crossref)","title":"Eradication of Invasive Mammals on Islands Inhabited by Humans and Domestic Animals","title-short":"Eradication of Invasive Mammals on Islands Inhabited by Humans and Domestic Animals","URL":"http://doi.wiley.com/10.1111/j.1523-1739.2010.01601.x","volume":"25","author":[{"family":"Oppel","given":"Steffen"},{"family":"Beaven","given":"Brent M."},{"family":"Bolton","given":"Mark"},{"family":"Vickery","given":"Juliet"},{"family":"Bodey","given":"Thomas W."}],"accessed":{"date-parts":[["2019",11,20]]},"issued":{"date-parts":[["2011",4]]}}}],"schema":"https://github.com/citation-style-language/schema/raw/master/csl-citation.json"} </w:instrText>
      </w:r>
      <w:r w:rsidRPr="00837161">
        <w:fldChar w:fldCharType="separate"/>
      </w:r>
      <w:r w:rsidRPr="00837161">
        <w:t>(Kelsch et al., 2020; Oppel et al., 2011</w:t>
      </w:r>
      <w:r w:rsidRPr="00837161">
        <w:fldChar w:fldCharType="end"/>
      </w:r>
      <w:r w:rsidRPr="00837161">
        <w:t xml:space="preserve">; </w:t>
      </w:r>
      <w:r w:rsidRPr="00294242">
        <w:rPr>
          <w:b/>
          <w:iCs/>
        </w:rPr>
        <w:t>Box 5.18</w:t>
      </w:r>
      <w:r w:rsidRPr="00837161">
        <w:t>).</w:t>
      </w:r>
      <w:r w:rsidRPr="00837161">
        <w:rPr>
          <w:b/>
          <w:bCs/>
        </w:rPr>
        <w:t xml:space="preserve"> </w:t>
      </w:r>
      <w:r w:rsidRPr="00837161">
        <w:t xml:space="preserve">The eventual abandonment of </w:t>
      </w:r>
      <w:r w:rsidR="0096461A" w:rsidRPr="00837161">
        <w:rPr>
          <w:i/>
          <w:iCs/>
        </w:rPr>
        <w:t>Bubalus bubalis</w:t>
      </w:r>
      <w:r w:rsidR="0096461A" w:rsidRPr="00837161">
        <w:t xml:space="preserve"> (</w:t>
      </w:r>
      <w:r w:rsidR="00FF13F2">
        <w:t xml:space="preserve">Asian </w:t>
      </w:r>
      <w:r w:rsidR="004760AF" w:rsidRPr="00837161">
        <w:t>water buffalo</w:t>
      </w:r>
      <w:r w:rsidR="0096461A" w:rsidRPr="00837161">
        <w:t>)</w:t>
      </w:r>
      <w:r w:rsidRPr="00837161">
        <w:t xml:space="preserve"> eradication in Northern Australia, where the animals were valued by the </w:t>
      </w:r>
      <w:r w:rsidR="00875C95" w:rsidRPr="00837161">
        <w:t>Indigenous Peoples</w:t>
      </w:r>
      <w:r w:rsidRPr="00837161">
        <w:t xml:space="preserve"> and local </w:t>
      </w:r>
      <w:r w:rsidR="66C9CEFE" w:rsidRPr="00837161">
        <w:t>communities</w:t>
      </w:r>
      <w:r w:rsidRPr="00837161">
        <w:t>, is an</w:t>
      </w:r>
      <w:r w:rsidRPr="00837161">
        <w:rPr>
          <w:bCs/>
        </w:rPr>
        <w:t xml:space="preserve"> example</w:t>
      </w:r>
      <w:r w:rsidRPr="00837161">
        <w:t xml:space="preserve"> </w:t>
      </w:r>
      <w:r w:rsidR="00ED4D59" w:rsidRPr="00837161">
        <w:fldChar w:fldCharType="begin"/>
      </w:r>
      <w:r w:rsidR="000F35EB">
        <w:instrText xml:space="preserve"> ADDIN ZOTERO_ITEM CSL_CITATION {"citationID":"vgxPNAQh","properties":{"formattedCitation":"(Ridpath &amp; Waithman, 1988)","plainCitation":"(Ridpath &amp; Waithman, 1988)","noteIndex":0},"citationItems":[{"id":10065,"uris":["http://zotero.org/groups/2352922/items/IX9KCCWE"],"itemData":{"id":10065,"type":"article-journal","container-title":"Wildlife Society Bulletin (1973-2006)","ISSN":"0091-7648","issue":"4","note":"publisher: [Wiley, Wildlife Society]","page":"385-390","source":"JSTOR","title":"Controlling Feral Asian Water Buffalo in Australia","URL":"https://www.jstor.org/stable/3782438","volume":"16","author":[{"family":"Ridpath","given":"Michael G."},{"family":"Waithman","given":"John"}],"accessed":{"date-parts":[["2021",11,13]]},"issued":{"date-parts":[["1988"]]}},"label":"page"}],"schema":"https://github.com/citation-style-language/schema/raw/master/csl-citation.json"} </w:instrText>
      </w:r>
      <w:r w:rsidR="00ED4D59" w:rsidRPr="00837161">
        <w:fldChar w:fldCharType="separate"/>
      </w:r>
      <w:r w:rsidR="00271B78" w:rsidRPr="00271B78">
        <w:t>(Ridpath &amp; Waithman, 1988)</w:t>
      </w:r>
      <w:r w:rsidR="00ED4D59" w:rsidRPr="00837161">
        <w:fldChar w:fldCharType="end"/>
      </w:r>
      <w:r w:rsidR="00ED4D59" w:rsidRPr="00837161">
        <w:t xml:space="preserve">. </w:t>
      </w:r>
      <w:r w:rsidRPr="00837161">
        <w:t xml:space="preserve">Where </w:t>
      </w:r>
      <w:r w:rsidR="00875C95" w:rsidRPr="00837161">
        <w:t>Indigenous Peoples</w:t>
      </w:r>
      <w:r w:rsidRPr="00837161">
        <w:t xml:space="preserve"> and local communities use invasive alien species for practical, cultural and spiritual purposes eradication could lead to negative consequences on these communities </w:t>
      </w:r>
      <w:r w:rsidRPr="00837161">
        <w:fldChar w:fldCharType="begin"/>
      </w:r>
      <w:r w:rsidR="000F35EB">
        <w:instrText xml:space="preserve"> ADDIN ZOTERO_ITEM CSL_CITATION {"citationID":"cMFC1oEF","properties":{"formattedCitation":"(Atyosi et al., 2019; Haregeweyn et al., 2013; Maldonado Andrade, 2019)","plainCitation":"(Atyosi et al., 2019; Haregeweyn et al., 2013; Maldonado Andrade, 2019)","dontUpdate":true,"noteIndex":0},"citationItems":[{"id":24594,"uris":["http://zotero.org/groups/2352922/items/VZJ3NA4D"],"itemData":{"id":24594,"type":"article-journal","abstract":"Invasive alien plant species are plant species that establish themselves outside their native distributional range. The current study documented utilization of alien plant species in the Eastern Cape province in South Africa. Information about utilization of alien plant species was gathered through interviews conducted with 120 participants, which included 13 traditional healers, 27 herbalists, ten farmers and 70 laypeople. Ethnobotanical importance of documented species was assessed through evaluation of use value (UV), ﬁdelity level (FL) and relative frequency citation (RFC). A third of the participants (33.3%) perceived alien plant species as undesirable, while 71.1% of the participants argued that alien plant species had beneﬁcial eﬀects. A total of 26 alien plant species were recorded, seven species being fruit trees, followed by ornamental plants (ﬁve species), fodder and herbal medicines (four species each), construction materials, erosion control and vegetables (two species each). The popular alien plant species with UV &gt; 0.1, RFC &gt; 0.4 and FL &gt; 4.0% included Amaranthus spinosus, Cannabis sativa, Cereus jamaracu, Harrisia balansae, Opuntia engelmannii, Opuntia ﬁcus-indica, Opuntia monocantha and Prunus persica. Information on perceptions of local communities in the Eastern Cape province on the contributions of alien plant species to livelihood needs is an important stage of initiating a management protocol that incorporates public perceptions and values associated with alien plant species.","container-title":"Sustainability","DOI":"10.3390/su11185043","ISSN":"2071-1050","issue":"18","journalAbbreviation":"Sustainability","language":"en","page":"5043","source":"DOI.org (Crossref)","title":"Alien Plants in the Eastern Cape Province in South Africa: Perceptions of Their Contributions to Livelihoods of Local Communities","title-short":"Alien Plants in the Eastern Cape Province in South Africa","URL":"https://www.mdpi.com/2071-1050/11/18/5043","volume":"11","author":[{"family":"Atyosi","given":"Zizipho"},{"family":"Ramarumo","given":"Luambo Jeffrey"},{"family":"Maroyi","given":"Alfred"}],"accessed":{"date-parts":[["2021",2,25]]},"issued":{"date-parts":[["2019",9,16]]}}},{"id":22595,"uris":["http://zotero.org/groups/2352922/items/JAD3NMKW"],"itemData":{"id":22595,"type":"article-journal","container-title":"Environmental Monitoring and Assessment","DOI":"10.1007/s10661-013-3117-3","ISSN":"0167-6369, 1573-2959","issue":"9","journalAbbreviation":"Environ Monit Assess","language":"en","page":"7527-7542","source":"DOI.org (Crossref)","title":"Analysis of the invasion rate, impacts and control measures of &lt;i&gt;Prosopis juliflora&lt;/i&gt;: a case study of Amibara District, Eastern Ethiopia","title-short":"Analysis of the invasion rate, impacts and control measures of Prosopis juliflora","URL":"http://link.springer.com/10.1007/s10661-013-3117-3","volume":"185","author":[{"family":"Haregeweyn","given":"N."},{"family":"Tsunekawa","given":"A."},{"family":"Tsubo","given":"M."},{"family":"Meshesha","given":"D."},{"family":"Melkie","given":"A."}],"accessed":{"date-parts":[["2020",6,23]]},"issued":{"date-parts":[["2013",9]]}}},{"id":24756,"uris":["http://zotero.org/groups/2352922/items/VPYC7YSA"],"itemData":{"id":24756,"type":"thesis","abstract":"This study focuses on the cultural and local economic impacts of southern cattail, colloquially known as chuspatel (Typha domingensis), that inhabits the same space as the native southern bulrush, colloquially known as tule (Schoenoplectus californicus), on an indigenous community of Lake Pátzcuaro, Mexico. Southern cattail is an invasive species that experiences routine mechanical controlling in some regions of the lake. Southern bulrush, on the other hand, is native to the lake and has very similar ecological characteristics to southern cattail, creating competition for space. My primary goal was to explore the cultural impacts associated with the replacement of a native wetland species by an invasive species. Results suggest that there were cultural and local economic costs and benefits associated with the arrival of this invasive plant. Whether the costs outweigh the benefits is examined through ethnographic and ecological analysis. Interviews and participant observation provided the ethnographic data. Plant specimens, GPS points, and photos of the species in question were collected along the entirety of the lake to accompany the ethnographic data. Mapping with the GPS data suggests that the two species can co-exist and that the invasive species appears to provide enhanced habitat for an endemic garter snake. I argue that the voices of the indigenous people have been influenced by both cultural and local economic impacts.","event-place":"California, USA","genre":"M.A.","language":"English","note":"ISBN: 9781392893517","number-of-pages":"87","publisher":"California State University, Fullerton","publisher-place":"California, USA","source":"ProQuest","title":"The Paradox of Culturally Useful Invasive Species: Chuspatel (Typha domingensis) Crafts of Lake Patzcuaro, Mexico","URL":"https://www.proquest.com/openview/57f112edbe28563f7b45504b68086835/1?pq-origsite=gscholar&amp;cbl=18750&amp;diss=y","author":[{"family":"Maldonado Andrade","given":"Guadalupe"}],"accessed":{"date-parts":[["2021",3,4]]},"issued":{"date-parts":[["2019"]]}}}],"schema":"https://github.com/citation-style-language/schema/raw/master/csl-citation.json"} </w:instrText>
      </w:r>
      <w:r w:rsidRPr="00837161">
        <w:fldChar w:fldCharType="separate"/>
      </w:r>
      <w:r w:rsidR="003B11D5" w:rsidRPr="00837161">
        <w:t>(Atyosi et al., 2019; Haregeweyn et al., 2013; Maldonado Andrade, 2019</w:t>
      </w:r>
      <w:r w:rsidRPr="00837161">
        <w:fldChar w:fldCharType="end"/>
      </w:r>
      <w:r w:rsidR="003B11D5" w:rsidRPr="00837161">
        <w:t xml:space="preserve">; </w:t>
      </w:r>
      <w:r w:rsidR="003B11D5" w:rsidRPr="00294242">
        <w:rPr>
          <w:b/>
          <w:iCs/>
        </w:rPr>
        <w:t>section 5.3.1.3</w:t>
      </w:r>
      <w:r w:rsidR="00864289" w:rsidRPr="00D74958">
        <w:t>;</w:t>
      </w:r>
      <w:r w:rsidR="00864289" w:rsidRPr="00294242">
        <w:rPr>
          <w:b/>
        </w:rPr>
        <w:t xml:space="preserve"> </w:t>
      </w:r>
      <w:r w:rsidR="00294242">
        <w:rPr>
          <w:b/>
          <w:iCs/>
        </w:rPr>
        <w:t>C</w:t>
      </w:r>
      <w:r w:rsidR="00864289" w:rsidRPr="00294242">
        <w:rPr>
          <w:b/>
          <w:iCs/>
        </w:rPr>
        <w:t>hapter 1</w:t>
      </w:r>
      <w:r w:rsidR="00864289" w:rsidRPr="00294242">
        <w:rPr>
          <w:iCs/>
        </w:rPr>
        <w:t>,</w:t>
      </w:r>
      <w:r w:rsidR="00864289" w:rsidRPr="00294242">
        <w:rPr>
          <w:b/>
          <w:iCs/>
        </w:rPr>
        <w:t xml:space="preserve"> </w:t>
      </w:r>
      <w:r w:rsidR="003B11D5" w:rsidRPr="00294242">
        <w:rPr>
          <w:b/>
          <w:iCs/>
        </w:rPr>
        <w:t>section 1.</w:t>
      </w:r>
      <w:r w:rsidR="0051091F" w:rsidRPr="00294242">
        <w:rPr>
          <w:b/>
          <w:iCs/>
        </w:rPr>
        <w:t>6.7.1</w:t>
      </w:r>
      <w:r w:rsidR="00864289" w:rsidRPr="00294242">
        <w:t>;</w:t>
      </w:r>
      <w:r w:rsidR="00864289" w:rsidRPr="00294242">
        <w:rPr>
          <w:iCs/>
        </w:rPr>
        <w:t xml:space="preserve"> </w:t>
      </w:r>
      <w:r w:rsidR="00294242">
        <w:rPr>
          <w:b/>
          <w:iCs/>
        </w:rPr>
        <w:t>C</w:t>
      </w:r>
      <w:r w:rsidR="00864289" w:rsidRPr="00294242">
        <w:rPr>
          <w:b/>
          <w:iCs/>
        </w:rPr>
        <w:t>hapter 4</w:t>
      </w:r>
      <w:r w:rsidR="00864289" w:rsidRPr="00294242">
        <w:rPr>
          <w:iCs/>
        </w:rPr>
        <w:t>,</w:t>
      </w:r>
      <w:r w:rsidR="003B11D5" w:rsidRPr="00294242">
        <w:rPr>
          <w:b/>
          <w:iCs/>
        </w:rPr>
        <w:t xml:space="preserve"> section 4.6.4</w:t>
      </w:r>
      <w:r w:rsidR="003B11D5" w:rsidRPr="00837161">
        <w:t>).</w:t>
      </w:r>
    </w:p>
    <w:p w14:paraId="0000068A" w14:textId="170EB5FC" w:rsidR="00A758FD" w:rsidRPr="00AC1F76" w:rsidRDefault="00066A7E" w:rsidP="002F2F42">
      <w:pPr>
        <w:pStyle w:val="Caption"/>
        <w:pBdr>
          <w:top w:val="single" w:sz="4" w:space="1" w:color="auto"/>
          <w:left w:val="single" w:sz="4" w:space="1" w:color="auto"/>
          <w:bottom w:val="single" w:sz="4" w:space="1" w:color="auto"/>
          <w:right w:val="single" w:sz="4" w:space="1" w:color="auto"/>
        </w:pBdr>
        <w:shd w:val="clear" w:color="auto" w:fill="E7E6E6" w:themeFill="background2"/>
        <w:rPr>
          <w:color w:val="000000"/>
        </w:rPr>
      </w:pPr>
      <w:bookmarkStart w:id="538" w:name="_Toc69314079"/>
      <w:bookmarkStart w:id="539" w:name="_Toc80708190"/>
      <w:bookmarkStart w:id="540" w:name="_Toc87623077"/>
      <w:bookmarkStart w:id="541" w:name="_Toc147488953"/>
      <w:r w:rsidRPr="002F2F42">
        <w:rPr>
          <w:lang w:val="en-GB"/>
        </w:rPr>
        <w:t>Box 5.</w:t>
      </w:r>
      <w:r w:rsidRPr="002F2F42">
        <w:rPr>
          <w:lang w:val="en-GB"/>
        </w:rPr>
        <w:fldChar w:fldCharType="begin"/>
      </w:r>
      <w:r w:rsidRPr="002F2F42">
        <w:rPr>
          <w:lang w:val="en-GB"/>
        </w:rPr>
        <w:instrText xml:space="preserve"> SEQ Box_5. \* ARABIC </w:instrText>
      </w:r>
      <w:r w:rsidRPr="002F2F42">
        <w:rPr>
          <w:lang w:val="en-GB"/>
        </w:rPr>
        <w:fldChar w:fldCharType="separate"/>
      </w:r>
      <w:r w:rsidR="00DC77F8" w:rsidRPr="002F2F42">
        <w:rPr>
          <w:noProof/>
          <w:lang w:val="en-GB"/>
        </w:rPr>
        <w:t>18</w:t>
      </w:r>
      <w:r w:rsidRPr="002F2F42">
        <w:rPr>
          <w:lang w:val="en-GB"/>
        </w:rPr>
        <w:fldChar w:fldCharType="end"/>
      </w:r>
      <w:r w:rsidR="00C11DFA" w:rsidRPr="002F2F42">
        <w:rPr>
          <w:lang w:val="en-GB"/>
        </w:rPr>
        <w:t>.</w:t>
      </w:r>
      <w:bookmarkStart w:id="542" w:name="_heading=h.44bvf6o" w:colFirst="0" w:colLast="0"/>
      <w:bookmarkEnd w:id="542"/>
      <w:r w:rsidR="00C81287" w:rsidRPr="00AC1F76">
        <w:rPr>
          <w:color w:val="000000"/>
        </w:rPr>
        <w:t xml:space="preserve"> Local eradication of cacti </w:t>
      </w:r>
      <w:r w:rsidR="00C81287" w:rsidRPr="00AC1F76">
        <w:rPr>
          <w:i/>
          <w:color w:val="000000"/>
        </w:rPr>
        <w:t>Opuntia</w:t>
      </w:r>
      <w:r w:rsidR="00C81287" w:rsidRPr="00AC1F76">
        <w:rPr>
          <w:color w:val="000000"/>
        </w:rPr>
        <w:t xml:space="preserve"> sp. (pricklypear) improves good quality of life</w:t>
      </w:r>
      <w:bookmarkEnd w:id="538"/>
      <w:bookmarkEnd w:id="539"/>
      <w:bookmarkEnd w:id="540"/>
      <w:r w:rsidR="00C81287" w:rsidRPr="00AC1F76">
        <w:rPr>
          <w:color w:val="000000"/>
        </w:rPr>
        <w:t xml:space="preserve"> in Madagascar</w:t>
      </w:r>
      <w:bookmarkEnd w:id="541"/>
    </w:p>
    <w:p w14:paraId="0000068B" w14:textId="726C0DB0" w:rsidR="00A758FD" w:rsidRPr="00C0338D" w:rsidRDefault="00C81287"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C0338D">
        <w:rPr>
          <w:i/>
        </w:rPr>
        <w:t>Opuntia</w:t>
      </w:r>
      <w:r w:rsidRPr="00C0338D">
        <w:t xml:space="preserve"> sp. </w:t>
      </w:r>
      <w:r w:rsidR="0004659F">
        <w:t xml:space="preserve">cacti </w:t>
      </w:r>
      <w:r w:rsidR="00066A7E" w:rsidRPr="00837161">
        <w:t xml:space="preserve">from South America was first introduced into Madagascar as a defence barrier in the 1700 </w:t>
      </w:r>
      <w:r w:rsidR="00066A7E" w:rsidRPr="00837161">
        <w:fldChar w:fldCharType="begin"/>
      </w:r>
      <w:r w:rsidR="000F35EB">
        <w:instrText xml:space="preserve"> ADDIN ZOTERO_ITEM CSL_CITATION {"citationID":"HhLDsDep","properties":{"formattedCitation":"(Binggeli, 2003)","plainCitation":"(Binggeli, 2003)","noteIndex":0},"citationItems":[{"id":22681,"uris":["http://zotero.org/groups/2352922/items/75IREDFL"],"itemData":{"id":22681,"type":"chapter","container-title":"The natural history of Madagascar","event-place":"Chicago","language":"en","page":"335-339","publisher":"University of Chicago Press","publisher-place":"Chicago","source":"Zotero","title":"Cactaceae, &lt;i&gt;Opuntia&lt;/i&gt; spp., prickly pear, raiketa, rakaita, raketa","URL":"https://www.researchgate.net/publication/278848886","author":[{"family":"Binggeli","given":"Pierre"}],"collection-editor":[{"family":"Goodman","given":"S.M"},{"family":"Benstead","given":"J.P"}],"issued":{"date-parts":[["2003"]]}}}],"schema":"https://github.com/citation-style-language/schema/raw/master/csl-citation.json"} </w:instrText>
      </w:r>
      <w:r w:rsidR="00066A7E" w:rsidRPr="00837161">
        <w:fldChar w:fldCharType="separate"/>
      </w:r>
      <w:r w:rsidR="00271B78" w:rsidRPr="00271B78">
        <w:t>(Binggeli, 2003)</w:t>
      </w:r>
      <w:r w:rsidR="00066A7E" w:rsidRPr="00837161">
        <w:fldChar w:fldCharType="end"/>
      </w:r>
      <w:r w:rsidR="00066A7E" w:rsidRPr="00837161">
        <w:t>. Some species in this highly invasive</w:t>
      </w:r>
      <w:r w:rsidR="00215FD3" w:rsidRPr="00837161">
        <w:t xml:space="preserve"> alien</w:t>
      </w:r>
      <w:r w:rsidR="00066A7E" w:rsidRPr="00837161">
        <w:t xml:space="preserve"> genus</w:t>
      </w:r>
      <w:r w:rsidR="00066A7E" w:rsidRPr="00837161">
        <w:rPr>
          <w:i/>
          <w:iCs/>
        </w:rPr>
        <w:t xml:space="preserve"> </w:t>
      </w:r>
      <w:r w:rsidR="00066A7E" w:rsidRPr="00837161">
        <w:t xml:space="preserve">are also beneficial providing fodder and some have medicinal properties </w:t>
      </w:r>
      <w:r w:rsidR="00066A7E" w:rsidRPr="00837161">
        <w:fldChar w:fldCharType="begin"/>
      </w:r>
      <w:r w:rsidR="000F35EB">
        <w:instrText xml:space="preserve"> ADDIN ZOTERO_ITEM CSL_CITATION {"citationID":"9x05tlbA","properties":{"formattedCitation":"(R. T. Shackleton et al., 2017)","plainCitation":"(R. T. Shackleton et al., 2017)","dontUpdate":true,"noteIndex":0},"citationItems":[{"id":30416,"uris":["http://zotero.org/groups/2352922/items/D857AK2E"],"itemData":{"id":30416,"type":"article-journal","container-title":"Biological Invasions","DOI":"10.1007/s10530-017-1453-x","ISSN":"1387-3547, 1573-1464","issue":"8","journalAbbreviation":"Biol Invasions","language":"en","page":"2427-2441","source":"DOI.org (Crossref)","title":"Distribution and socio-ecological impacts of the invasive alien cactus &lt;i&gt;Opuntia stricta&lt;/i&gt; in eastern Africa","URL":"http://link.springer.com/10.1007/s10530-017-1453-x","volume":"19","author":[{"family":"Shackleton","given":"Ross T."},{"family":"Witt","given":"A.B.R."},{"family":"Piroris","given":"F.M."},{"family":"Wilgen","given":"Brian W.","non-dropping-particle":"van"}],"accessed":{"date-parts":[["2019",10,3]]},"issued":{"date-parts":[["2017",8]]}}}],"schema":"https://github.com/citation-style-language/schema/raw/master/csl-citation.json"} </w:instrText>
      </w:r>
      <w:r w:rsidR="00066A7E" w:rsidRPr="00837161">
        <w:fldChar w:fldCharType="separate"/>
      </w:r>
      <w:r w:rsidR="00066A7E" w:rsidRPr="00837161">
        <w:t>(Shackleton et al., 2017)</w:t>
      </w:r>
      <w:r w:rsidR="00066A7E" w:rsidRPr="00837161">
        <w:fldChar w:fldCharType="end"/>
      </w:r>
      <w:r w:rsidR="00066A7E" w:rsidRPr="00837161">
        <w:t xml:space="preserve">. Those species with fodder value quickly became a crucial resource for local pastoralists in Madagascar </w:t>
      </w:r>
      <w:r w:rsidR="00066A7E" w:rsidRPr="00837161">
        <w:fldChar w:fldCharType="begin"/>
      </w:r>
      <w:r w:rsidR="000F35EB">
        <w:instrText xml:space="preserve"> ADDIN ZOTERO_ITEM CSL_CITATION {"citationID":"DOgkkQX6","properties":{"formattedCitation":"(Kaufmann, 2004)","plainCitation":"(Kaufmann, 2004)","noteIndex":0},"citationItems":[{"id":24832,"uris":["http://zotero.org/groups/2352922/items/Y9AA5QUK"],"itemData":{"id":24832,"type":"article-journal","container-title":"Ethnology","DOI":"10.2307/3774032","ISSN":"00141828","issue":"4","language":"en","page":"345-361","source":"DOI.org (Crossref)","title":"Prickly Pear Cactus and Pastoralism in Southwest Madagascar","URL":"https://www.jstor.org/stable/10.2307/3774032?origin=crossref","volume":"43","author":[{"family":"Kaufmann","given":"Jeffrey C."}],"accessed":{"date-parts":[["2019",11,8]]},"issued":{"date-parts":[["2004",10,1]]}}}],"schema":"https://github.com/citation-style-language/schema/raw/master/csl-citation.json"} </w:instrText>
      </w:r>
      <w:r w:rsidR="00066A7E" w:rsidRPr="00837161">
        <w:fldChar w:fldCharType="separate"/>
      </w:r>
      <w:r w:rsidR="00271B78" w:rsidRPr="00271B78">
        <w:t>(Kaufmann, 2004)</w:t>
      </w:r>
      <w:r w:rsidR="00066A7E" w:rsidRPr="00837161">
        <w:fldChar w:fldCharType="end"/>
      </w:r>
      <w:r w:rsidR="00066A7E" w:rsidRPr="00837161">
        <w:t xml:space="preserve">, allowing them to have larger herds than the “natural” environmental capacity would allow </w:t>
      </w:r>
      <w:r w:rsidR="00066A7E" w:rsidRPr="00837161">
        <w:fldChar w:fldCharType="begin"/>
      </w:r>
      <w:r w:rsidR="000F35EB">
        <w:instrText xml:space="preserve"> ADDIN ZOTERO_ITEM CSL_CITATION {"citationID":"P4xrYYch","properties":{"formattedCitation":"(Middleton, 1999)","plainCitation":"(Middleton, 1999)","noteIndex":0},"citationItems":[{"id":24831,"uris":["http://zotero.org/groups/2352922/items/4CKZ3LSR"],"itemData":{"id":24831,"type":"article-journal","container-title":"Journal of Southern African Studies","issue":"2","language":"en","page":"215-248","source":"Zotero","title":"Who Killed 'Malagasy Cactus'? Science, Environment and Colonialism in Southern Madagascar (1924-1930)","URL":"http://www.jstor.org/stable/2637601","volume":"25","author":[{"family":"Middleton","given":"Karen"}],"issued":{"date-parts":[["1999"]]}}}],"schema":"https://github.com/citation-style-language/schema/raw/master/csl-citation.json"} </w:instrText>
      </w:r>
      <w:r w:rsidR="00066A7E" w:rsidRPr="00837161">
        <w:fldChar w:fldCharType="separate"/>
      </w:r>
      <w:r w:rsidR="00271B78" w:rsidRPr="00271B78">
        <w:t>(Middleton, 1999)</w:t>
      </w:r>
      <w:r w:rsidR="00066A7E" w:rsidRPr="00837161">
        <w:fldChar w:fldCharType="end"/>
      </w:r>
      <w:r w:rsidR="00066A7E" w:rsidRPr="00837161">
        <w:t xml:space="preserve">. The cacti also provided food and water for local communities during dry season. However, range expansion of dense thickets of the cacti reduced land available for crops and native </w:t>
      </w:r>
      <w:r w:rsidR="00066A7E" w:rsidRPr="00837161">
        <w:lastRenderedPageBreak/>
        <w:t xml:space="preserve">bushy plants </w:t>
      </w:r>
      <w:r w:rsidR="00066A7E" w:rsidRPr="00837161">
        <w:fldChar w:fldCharType="begin"/>
      </w:r>
      <w:r w:rsidR="000F35EB">
        <w:instrText xml:space="preserve"> ADDIN ZOTERO_ITEM CSL_CITATION {"citationID":"StUvJnGY","properties":{"formattedCitation":"(Binggeli, 2003)","plainCitation":"(Binggeli, 2003)","noteIndex":0},"citationItems":[{"id":22681,"uris":["http://zotero.org/groups/2352922/items/75IREDFL"],"itemData":{"id":22681,"type":"chapter","container-title":"The natural history of Madagascar","event-place":"Chicago","language":"en","page":"335-339","publisher":"University of Chicago Press","publisher-place":"Chicago","source":"Zotero","title":"Cactaceae, &lt;i&gt;Opuntia&lt;/i&gt; spp., prickly pear, raiketa, rakaita, raketa","URL":"https://www.researchgate.net/publication/278848886","author":[{"family":"Binggeli","given":"Pierre"}],"collection-editor":[{"family":"Goodman","given":"S.M"},{"family":"Benstead","given":"J.P"}],"issued":{"date-parts":[["2003"]]}}}],"schema":"https://github.com/citation-style-language/schema/raw/master/csl-citation.json"} </w:instrText>
      </w:r>
      <w:r w:rsidR="00066A7E" w:rsidRPr="00837161">
        <w:fldChar w:fldCharType="separate"/>
      </w:r>
      <w:r w:rsidR="00271B78" w:rsidRPr="00271B78">
        <w:t>(Binggeli, 2003)</w:t>
      </w:r>
      <w:r w:rsidR="00066A7E" w:rsidRPr="00837161">
        <w:fldChar w:fldCharType="end"/>
      </w:r>
      <w:r w:rsidR="00066A7E" w:rsidRPr="00837161">
        <w:t xml:space="preserve">. When </w:t>
      </w:r>
      <w:r w:rsidR="00066A7E" w:rsidRPr="00837161">
        <w:rPr>
          <w:i/>
          <w:iCs/>
        </w:rPr>
        <w:t>Opuntia</w:t>
      </w:r>
      <w:r w:rsidR="00066A7E" w:rsidRPr="00837161">
        <w:t xml:space="preserve"> was successfully controlled in southern Madagascar through biological control using </w:t>
      </w:r>
      <w:r w:rsidR="00C11DFA" w:rsidRPr="00837161">
        <w:rPr>
          <w:i/>
          <w:iCs/>
        </w:rPr>
        <w:t xml:space="preserve">Dactylopius </w:t>
      </w:r>
      <w:r w:rsidR="00C11DFA" w:rsidRPr="00837161">
        <w:t>spp</w:t>
      </w:r>
      <w:r w:rsidR="00C11DFA" w:rsidRPr="00837161">
        <w:rPr>
          <w:iCs/>
        </w:rPr>
        <w:t xml:space="preserve">. </w:t>
      </w:r>
      <w:r w:rsidR="00066A7E" w:rsidRPr="00837161">
        <w:t>(</w:t>
      </w:r>
      <w:r w:rsidR="00C11DFA" w:rsidRPr="00837161">
        <w:t>cochineal insect</w:t>
      </w:r>
      <w:r w:rsidR="00F43FA4" w:rsidRPr="00837161">
        <w:t>s</w:t>
      </w:r>
      <w:r w:rsidR="00066A7E" w:rsidRPr="00837161">
        <w:t xml:space="preserve">), positive outcomes were also </w:t>
      </w:r>
      <w:r w:rsidR="00FB1986">
        <w:t>achieved that benefitted</w:t>
      </w:r>
      <w:r w:rsidR="00066A7E" w:rsidRPr="00837161">
        <w:t xml:space="preserve"> people in the central highlands. However, loss of </w:t>
      </w:r>
      <w:r w:rsidR="00066A7E" w:rsidRPr="00837161">
        <w:rPr>
          <w:i/>
          <w:iCs/>
        </w:rPr>
        <w:t>Opuntia</w:t>
      </w:r>
      <w:r w:rsidR="00066A7E" w:rsidRPr="00837161">
        <w:t xml:space="preserve"> severely affected livelihoods of the pastoralists, who depended on it for food and fodder during droughts which led to migration from the area </w:t>
      </w:r>
      <w:r w:rsidR="00066A7E" w:rsidRPr="00837161">
        <w:fldChar w:fldCharType="begin"/>
      </w:r>
      <w:r w:rsidR="000F35EB">
        <w:instrText xml:space="preserve"> ADDIN ZOTERO_ITEM CSL_CITATION {"citationID":"k2VTwoSN","properties":{"formattedCitation":"(Binggeli, 2003; S. Shackleton et al., 2011)","plainCitation":"(Binggeli, 2003; S. Shackleton et al., 2011)","dontUpdate":true,"noteIndex":0},"citationItems":[{"id":22681,"uris":["http://zotero.org/groups/2352922/items/75IREDFL"],"itemData":{"id":22681,"type":"chapter","container-title":"The natural history of Madagascar","event-place":"Chicago","language":"en","page":"335-339","publisher":"University of Chicago Press","publisher-place":"Chicago","source":"Zotero","title":"Cactaceae, &lt;i&gt;Opuntia&lt;/i&gt; spp., prickly pear, raiketa, rakaita, raketa","URL":"https://www.researchgate.net/publication/278848886","author":[{"family":"Binggeli","given":"Pierre"}],"collection-editor":[{"family":"Goodman","given":"S.M"},{"family":"Benstead","given":"J.P"}],"issued":{"date-parts":[["2003"]]}}},{"id":11207,"uris":["http://zotero.org/groups/2352922/items/9IYXL4BB"],"itemData":{"id":11207,"type":"article-journal","abstract":"The negative impacts of invasive alien species on the environment are well documented. Despite the predominantly negative perceptions associated with invasive species, it is evident that a number of these plants have been part of the landscape for generations and have a myriad of both commercial and non-market uses. Consequently, there is a need for research that considers the impact of invasive species on the livelihoods and the well-being of local communities. We investigated the contribution that the trade in prickly pear (Opuntia ficusindica), an invasive alien species, makes to the household income streams of poor trading households. The research highlights the apparent conflict of interests and trade-offs that exists between local level traders, for whom the sale of the prickly pear provides a livelihood source, and the South African government, who are actively seeking to remove the plant from the landscape.","container-title":"Development Southern Africa","DOI":"10.1080/0376835X.2011.570065","ISSN":"0376-835X, 1470-3637","issue":"2","journalAbbreviation":"Development Southern Africa","language":"en","page":"177-193","source":"DOI.org (Crossref)","title":"Invasive plants – friends or foes? Contribution of prickly pear (&lt;i&gt;Opuntia ficus-indica&lt;/i&gt;) to livelihoods in Makana Municipality, Eastern Cape, South Africa","title-short":"Invasive plants – friends or foes?","URL":"https://www.tandfonline.com/doi/full/10.1080/0376835X.2011.570065","volume":"28","author":[{"family":"Shackleton","given":"Sheona"},{"family":"Kirby","given":"David"},{"family":"Gambiza","given":"James"}],"accessed":{"date-parts":[["2019",11,7]]},"issued":{"date-parts":[["2011",6]]}}}],"schema":"https://github.com/citation-style-language/schema/raw/master/csl-citation.json"} </w:instrText>
      </w:r>
      <w:r w:rsidR="00066A7E" w:rsidRPr="00837161">
        <w:fldChar w:fldCharType="separate"/>
      </w:r>
      <w:r w:rsidR="00066A7E" w:rsidRPr="00837161">
        <w:t>(Binggeli, 2003; Shackleton et al., 2011)</w:t>
      </w:r>
      <w:r w:rsidR="00066A7E" w:rsidRPr="00837161">
        <w:fldChar w:fldCharType="end"/>
      </w:r>
      <w:r w:rsidR="00066A7E" w:rsidRPr="00837161">
        <w:t>.</w:t>
      </w:r>
      <w:r w:rsidRPr="00C0338D">
        <w:t xml:space="preserve"> </w:t>
      </w:r>
    </w:p>
    <w:p w14:paraId="2DE0194F" w14:textId="77777777" w:rsidR="00066A7E" w:rsidRPr="00837161" w:rsidRDefault="00066A7E" w:rsidP="002F2F42">
      <w:pPr>
        <w:pStyle w:val="Heading2"/>
      </w:pPr>
      <w:bookmarkStart w:id="543" w:name="_Toc69314022"/>
      <w:bookmarkStart w:id="544" w:name="_Toc87623163"/>
      <w:bookmarkStart w:id="545" w:name="_Toc131681658"/>
      <w:bookmarkStart w:id="546" w:name="_Toc149555484"/>
      <w:r w:rsidRPr="00837161">
        <w:t>Containment</w:t>
      </w:r>
      <w:bookmarkEnd w:id="543"/>
      <w:bookmarkEnd w:id="544"/>
      <w:bookmarkEnd w:id="545"/>
      <w:bookmarkEnd w:id="546"/>
      <w:r w:rsidRPr="00837161">
        <w:t xml:space="preserve"> </w:t>
      </w:r>
    </w:p>
    <w:p w14:paraId="0937B86E" w14:textId="641ADE5F" w:rsidR="00066A7E" w:rsidRPr="00837161" w:rsidRDefault="00066A7E" w:rsidP="00C11DFA">
      <w:pPr>
        <w:spacing w:before="240" w:after="120" w:line="240" w:lineRule="auto"/>
        <w:rPr>
          <w:rFonts w:eastAsia="DengXian"/>
        </w:rPr>
      </w:pPr>
      <w:r w:rsidRPr="00837161">
        <w:rPr>
          <w:rFonts w:eastAsia="DengXian"/>
        </w:rPr>
        <w:t>Containment is a strategic option to prevent establishment, multiplication and spread of an invasive alien species outside a specific area</w:t>
      </w:r>
      <w:r w:rsidR="000143CE">
        <w:rPr>
          <w:rFonts w:eastAsia="DengXian"/>
        </w:rPr>
        <w:t>, often</w:t>
      </w:r>
      <w:r w:rsidRPr="00837161">
        <w:rPr>
          <w:rFonts w:eastAsia="DengXian"/>
        </w:rPr>
        <w:t xml:space="preserve"> when attempts at eradication become unsuccessful or abandoned </w:t>
      </w:r>
      <w:r w:rsidR="00C61110" w:rsidRPr="00837161">
        <w:rPr>
          <w:rFonts w:eastAsia="DengXian"/>
        </w:rPr>
        <w:fldChar w:fldCharType="begin"/>
      </w:r>
      <w:r w:rsidR="000F35EB">
        <w:rPr>
          <w:rFonts w:eastAsia="DengXian"/>
        </w:rPr>
        <w:instrText xml:space="preserve"> ADDIN ZOTERO_ITEM CSL_CITATION {"citationID":"LiHLzHWA","properties":{"formattedCitation":"(Grice et al., 2012, 2020)","plainCitation":"(Grice et al., 2012, 2020)","noteIndex":0},"citationItems":[{"id":53167,"uris":["http://zotero.org/groups/2352922/items/J2IJR2VN"],"itemData":{"id":53167,"type":"paper-conference","container-title":"Developing solutions to evolving weed problems. 18th Australasian Weeds Conference","event-place":"Melbourne, Victoria, Australia","event-title":"Developing solutions to evolving weed problems. 18th Australasian Weeds Conference","ISBN":"978-1-62993-288-0","page":"320-324","publisher":"Weed Science Society of Victoria Inc.","publisher-place":"Melbourne, Victoria, Australia","title":"Containment: the state of play","URL":"https://caws.org.nz/old-site/awc/2012/awc201213201.pdf","author":[{"family":"Grice","given":"A. C."},{"family":"Clarkson","given":"J. R."},{"family":"Friedel","given":"M. H."},{"family":"Murphy","given":"H. T."},{"family":"Fletcher","given":"C. S."},{"family":"Westcott","given":"D. A."}],"issued":{"date-parts":[["2012"]]}},"label":"page"},{"id":56744,"uris":["http://zotero.org/groups/2352922/items/2YJ34K8R"],"itemData":{"id":56744,"type":"article-journal","abstract":"Containment is a frequently advocated strategic objective for countering plant invasions. It is commonly perceived that it is the valid fall-back option when eradication has failed or is deemed impossible with the available resources. We reviewed management and research literature on containment. The lack of a clear, universally accepted definition of containment is problematic and containment practice is not well aligned with the limited research literature. Vague and inconsistent use of the term, poorly developed relationships between management practice and the ecological drivers of invasion, and frequent failure to specify appropriately scaled spatial configurations in management strategies make it difficult to evaluate containment as a strategy, generally or in specific cases. Management strategies rarely provide the basis for effective and efficient containment programs and this may reflect a lack of under-pinning scientific principles. We recommend that containment be defined as ‘deliberate action taken to prevent establishment and reproduction of a species beyond a predefined area’ and suggest that containment efforts should focus on individual infestations or populations but simultaneously cover all infestations or populations that are separated from one another by habitat suitable for the species. Containment units should be rigorously defined but the inevitability of breaches of these containment units, due to the stochastic nature of dispersal, implies that containment generally requires a capacity for local eradication (extirpation). This means that many infestations are no more amenable to containment than to eradication. The measures we propose would improve assessment of the feasibility and success of containment strategies.","container-title":"Australian Journal of Botany","DOI":"10.1071/BT20092","ISSN":"0067-1924","issue":"8","journalAbbreviation":"Aust. J. Bot.","language":"en","page":"602-616","source":"DOI.org (Crossref)","title":"A review and refinement of the concept of containment for the management of invasive plants","URL":"http://www.publish.csiro.au/?paper=BT20092","volume":"68","author":[{"family":"Grice","given":"A. C."},{"family":"Murphy","given":"H. T."},{"family":"Clarkson","given":"J. R."},{"family":"Friedel","given":"M. H."},{"family":"Fletcher","given":"C. S."},{"family":"Westcott","given":"D. A."}],"accessed":{"date-parts":[["2023",6,9]]},"issued":{"date-parts":[["2020"]]}},"label":"page"}],"schema":"https://github.com/citation-style-language/schema/raw/master/csl-citation.json"} </w:instrText>
      </w:r>
      <w:r w:rsidR="00C61110" w:rsidRPr="00837161">
        <w:rPr>
          <w:rFonts w:eastAsia="DengXian"/>
        </w:rPr>
        <w:fldChar w:fldCharType="separate"/>
      </w:r>
      <w:r w:rsidR="00271B78" w:rsidRPr="00271B78">
        <w:t>(Grice et al., 2012, 2020)</w:t>
      </w:r>
      <w:r w:rsidR="00C61110" w:rsidRPr="00837161">
        <w:rPr>
          <w:rFonts w:eastAsia="DengXian"/>
        </w:rPr>
        <w:fldChar w:fldCharType="end"/>
      </w:r>
      <w:r w:rsidRPr="00837161">
        <w:rPr>
          <w:rFonts w:eastAsia="DengXian"/>
        </w:rPr>
        <w:t xml:space="preserve">. </w:t>
      </w:r>
      <w:r w:rsidR="009C6EDA">
        <w:rPr>
          <w:rFonts w:eastAsia="DengXian"/>
        </w:rPr>
        <w:t xml:space="preserve">Containment </w:t>
      </w:r>
      <w:r w:rsidRPr="00837161">
        <w:rPr>
          <w:rFonts w:eastAsia="DengXian"/>
        </w:rPr>
        <w:t xml:space="preserve">aims at delimiting the spread of a species through various management measures though, at times, certain environmental factors may also restrict its spread. </w:t>
      </w:r>
      <w:r w:rsidR="66C9CEFE" w:rsidRPr="00837161">
        <w:rPr>
          <w:rFonts w:eastAsia="DengXian"/>
        </w:rPr>
        <w:t>This</w:t>
      </w:r>
      <w:r w:rsidRPr="00837161">
        <w:rPr>
          <w:rFonts w:eastAsia="DengXian"/>
        </w:rPr>
        <w:t xml:space="preserve"> method is </w:t>
      </w:r>
      <w:r w:rsidR="00507147">
        <w:rPr>
          <w:rFonts w:eastAsia="DengXian"/>
        </w:rPr>
        <w:t>often</w:t>
      </w:r>
      <w:r w:rsidR="00507147" w:rsidRPr="00837161">
        <w:rPr>
          <w:rFonts w:eastAsia="DengXian"/>
        </w:rPr>
        <w:t xml:space="preserve"> </w:t>
      </w:r>
      <w:r w:rsidRPr="00837161">
        <w:rPr>
          <w:rFonts w:eastAsia="DengXian"/>
        </w:rPr>
        <w:t xml:space="preserve">used to manage the spread of invasive alien plants. However, </w:t>
      </w:r>
      <w:r w:rsidR="00BE1DFC" w:rsidRPr="00837161">
        <w:rPr>
          <w:rFonts w:eastAsia="DengXian"/>
        </w:rPr>
        <w:t>“</w:t>
      </w:r>
      <w:r w:rsidRPr="00837161">
        <w:rPr>
          <w:rFonts w:eastAsia="DengXian"/>
        </w:rPr>
        <w:t>slowing the spread</w:t>
      </w:r>
      <w:r w:rsidR="00BE1DFC" w:rsidRPr="00837161">
        <w:rPr>
          <w:rFonts w:eastAsia="DengXian"/>
        </w:rPr>
        <w:t>”</w:t>
      </w:r>
      <w:r w:rsidRPr="00837161">
        <w:rPr>
          <w:rFonts w:eastAsia="DengXian"/>
        </w:rPr>
        <w:t xml:space="preserve"> is also an option for managing invasive alien pests </w:t>
      </w:r>
      <w:r w:rsidR="00C61110" w:rsidRPr="00837161">
        <w:rPr>
          <w:rFonts w:eastAsia="DengXian"/>
        </w:rPr>
        <w:fldChar w:fldCharType="begin"/>
      </w:r>
      <w:r w:rsidR="000F35EB">
        <w:rPr>
          <w:rFonts w:eastAsia="DengXian"/>
        </w:rPr>
        <w:instrText xml:space="preserve"> ADDIN ZOTERO_ITEM CSL_CITATION {"citationID":"WfPBXP9F","properties":{"formattedCitation":"(Sharov et al., 2002; Sharov &amp; Liebhold, 1998)","plainCitation":"(Sharov et al., 2002; Sharov &amp; Liebhold, 1998)","noteIndex":0},"citationItems":[{"id":53165,"uris":["http://zotero.org/groups/2352922/items/6FU2YQ34"],"itemData":{"id":53165,"type":"article-journal","abstract":"Invasions by alien species can cause substantial damage to our forest resources. The gypsy moth (Lymantria dispar) represents one example of this problem, and we present here a new strategy for its management that concentrates on containment rather than suppression of outbreaks. The “Slow the Spread” project is a combined federal and state government effort to slow gypsy moth spread by detecting isolated colonies in grids of pheromone-baited traps placed along the expanding population front from Wisconsin to North Carolina. Detected colonies are treated using Bacillus thuringiensis or mating disruption. Analyses to date indicate that this project has reduced spread by more than 50 percent.","container-title":"Journal of Forestry","DOI":"10.1093/jof/100.5.30","ISSN":"0022-1201","issue":"5","journalAbbreviation":"Journal of Forestry","page":"30-36","source":"Silverchair","title":"“Slow The Spread</w:instrText>
      </w:r>
      <w:r w:rsidR="000F35EB">
        <w:rPr>
          <w:rFonts w:eastAsia="DengXian" w:hint="eastAsia"/>
        </w:rPr>
        <w:instrText>”</w:instrText>
      </w:r>
      <w:r w:rsidR="000F35EB">
        <w:rPr>
          <w:rFonts w:eastAsia="DengXian"/>
        </w:rPr>
        <w:instrText xml:space="preserve">: A National Program to Contain the Gypsy Moth","title-short":"“Slow The Spread”","URL":"https://doi.org/10.1093/jof/100.5.30","volume":"100","author":[{"family":"Sharov","given":"A.A."},{"family":"Leonard","given":"D."},{"family":"Liebhold","given":"A.M."},{"family":"Roberts","given":"E.A."},{"family":"Dickerson","given":"W."}],"accessed":{"date-parts":[["2022",9,2]]},"issued":{"date-parts":[["2002",7,1]]}},"label":"page"},{"id":53164,"uris":["http://zotero.org/groups/2352922/items/B5BQV8UG"],"itemData":{"id":53164,"type":"article-journal","container-title":"Ecological applications","DOI":"10.2307/2640970","issue":"4","note":"ISBN: 1939-5582\npublisher: Wiley Online Library","page":"1170-1179","title":"Model of slowing the spread of gypsy moth (Lepidoptera: Lymantriidae) with a barrier zone","volume":"8","author":[{"family":"Sharov","given":"Alexei A."},{"family":"Liebhold","given":"Andrew M."}],"issued":{"date-parts":[["1998"]]}}}],"schema":"https://github.com/citation-style-language/schema/raw/master/csl-citation.json"} </w:instrText>
      </w:r>
      <w:r w:rsidR="00C61110" w:rsidRPr="00837161">
        <w:rPr>
          <w:rFonts w:eastAsia="DengXian"/>
        </w:rPr>
        <w:fldChar w:fldCharType="separate"/>
      </w:r>
      <w:r w:rsidR="00271B78" w:rsidRPr="00271B78">
        <w:t>(Sharov et al., 2002; Sharov &amp; Liebhold, 1998)</w:t>
      </w:r>
      <w:r w:rsidR="00C61110" w:rsidRPr="00837161">
        <w:rPr>
          <w:rFonts w:eastAsia="DengXian"/>
        </w:rPr>
        <w:fldChar w:fldCharType="end"/>
      </w:r>
      <w:r w:rsidRPr="00837161">
        <w:rPr>
          <w:rFonts w:eastAsia="DengXian"/>
        </w:rPr>
        <w:t>. W</w:t>
      </w:r>
      <w:r w:rsidR="005616B2">
        <w:rPr>
          <w:rFonts w:eastAsia="DengXian"/>
        </w:rPr>
        <w:t xml:space="preserve">hen </w:t>
      </w:r>
      <w:r w:rsidRPr="00837161">
        <w:rPr>
          <w:rFonts w:eastAsia="DengXian"/>
        </w:rPr>
        <w:t xml:space="preserve">opting </w:t>
      </w:r>
      <w:r w:rsidR="005616B2">
        <w:rPr>
          <w:rFonts w:eastAsia="DengXian"/>
        </w:rPr>
        <w:t xml:space="preserve">for </w:t>
      </w:r>
      <w:r w:rsidR="66C9CEFE" w:rsidRPr="00837161">
        <w:rPr>
          <w:rFonts w:eastAsia="DengXian"/>
        </w:rPr>
        <w:t>containment,</w:t>
      </w:r>
      <w:r w:rsidRPr="00837161">
        <w:rPr>
          <w:rFonts w:eastAsia="DengXian"/>
        </w:rPr>
        <w:t xml:space="preserve"> resources may be allocated to reduce propagule pressure in the zone dominated by the species and in the buffer zone to </w:t>
      </w:r>
      <w:r w:rsidR="66C9CEFE" w:rsidRPr="00837161">
        <w:rPr>
          <w:rFonts w:eastAsia="DengXian"/>
        </w:rPr>
        <w:t>delimit</w:t>
      </w:r>
      <w:r w:rsidRPr="00837161">
        <w:rPr>
          <w:rFonts w:eastAsia="DengXian"/>
        </w:rPr>
        <w:t xml:space="preserve"> long-distance dispersal </w:t>
      </w:r>
      <w:r w:rsidR="00C61110" w:rsidRPr="00837161">
        <w:rPr>
          <w:rFonts w:eastAsia="DengXian"/>
        </w:rPr>
        <w:fldChar w:fldCharType="begin"/>
      </w:r>
      <w:r w:rsidR="000F35EB">
        <w:rPr>
          <w:rFonts w:eastAsia="DengXian"/>
        </w:rPr>
        <w:instrText xml:space="preserve"> ADDIN ZOTERO_ITEM CSL_CITATION {"citationID":"xRBNow2H","properties":{"formattedCitation":"(Grice et al., 2013)","plainCitation":"(Grice et al., 2013)","noteIndex":0},"citationItems":[{"id":53166,"uris":["http://zotero.org/groups/2352922/items/L7QTT5ID"],"itemData":{"id":53166,"type":"article-journal","container-title":"Plant Protection Quarterly","ISSN":"0815-2195","issue":"3","note":"ISBN: 0815-2195","page":"62-65","title":"Containment as a strategic option for managing plant invasion","URL":"https://search.informit.org/doi/10.3316/ielapa.685341871862730","volume":"28","author":[{"family":"Grice","given":"A. C."},{"family":"Clarkson","given":"John D."},{"family":"Murphy","given":"Helen T."},{"family":"Fletcher","given":"Cameron S."},{"family":"Westcott","given":"David A."}],"issued":{"date-parts":[["2013"]]}}}],"schema":"https://github.com/citation-style-language/schema/raw/master/csl-citation.json"} </w:instrText>
      </w:r>
      <w:r w:rsidR="00C61110" w:rsidRPr="00837161">
        <w:rPr>
          <w:rFonts w:eastAsia="DengXian"/>
        </w:rPr>
        <w:fldChar w:fldCharType="separate"/>
      </w:r>
      <w:r w:rsidR="00271B78" w:rsidRPr="00271B78">
        <w:t>(Grice et al., 2013)</w:t>
      </w:r>
      <w:r w:rsidR="00C61110" w:rsidRPr="00837161">
        <w:rPr>
          <w:rFonts w:eastAsia="DengXian"/>
        </w:rPr>
        <w:fldChar w:fldCharType="end"/>
      </w:r>
      <w:r w:rsidRPr="00837161">
        <w:rPr>
          <w:rFonts w:eastAsia="DengXian"/>
        </w:rPr>
        <w:t xml:space="preserve">. </w:t>
      </w:r>
    </w:p>
    <w:p w14:paraId="0000068E" w14:textId="390808D8" w:rsidR="00A758FD" w:rsidRPr="00C0338D" w:rsidRDefault="00066A7E">
      <w:pPr>
        <w:spacing w:before="240" w:after="120" w:line="240" w:lineRule="auto"/>
      </w:pPr>
      <w:r w:rsidRPr="00837161">
        <w:t>Grice et al</w:t>
      </w:r>
      <w:r w:rsidR="66C9CEFE" w:rsidRPr="00837161">
        <w:t>.</w:t>
      </w:r>
      <w:r w:rsidRPr="00837161">
        <w:t xml:space="preserve"> </w:t>
      </w:r>
      <w:r w:rsidR="00C61110" w:rsidRPr="00837161">
        <w:fldChar w:fldCharType="begin"/>
      </w:r>
      <w:r w:rsidR="000F35EB">
        <w:instrText xml:space="preserve"> ADDIN ZOTERO_ITEM CSL_CITATION {"citationID":"XR1fNnf8","properties":{"formattedCitation":"(Grice et al., 2013)","plainCitation":"(Grice et al., 2013)","dontUpdate":true,"noteIndex":0},"citationItems":[{"id":53166,"uris":["http://zotero.org/groups/2352922/items/L7QTT5ID"],"itemData":{"id":53166,"type":"article-journal","container-title":"Plant Protection Quarterly","ISSN":"0815-2195","issue":"3","note":"ISBN: 0815-2195","page":"62-65","title":"Containment as a strategic option for managing plant invasion","URL":"https://search.informit.org/doi/10.3316/ielapa.685341871862730","volume":"28","author":[{"family":"Grice","given":"A. C."},{"family":"Clarkson","given":"John D."},{"family":"Murphy","given":"Helen T."},{"family":"Fletcher","given":"Cameron S."},{"family":"Westcott","given":"David A."}],"issued":{"date-parts":[["2013"]]}}}],"schema":"https://github.com/citation-style-language/schema/raw/master/csl-citation.json"} </w:instrText>
      </w:r>
      <w:r w:rsidR="00C61110" w:rsidRPr="00837161">
        <w:fldChar w:fldCharType="separate"/>
      </w:r>
      <w:r w:rsidR="00C61110" w:rsidRPr="00837161">
        <w:t>(2013)</w:t>
      </w:r>
      <w:r w:rsidR="00C61110" w:rsidRPr="00837161">
        <w:fldChar w:fldCharType="end"/>
      </w:r>
      <w:bookmarkStart w:id="547" w:name="_heading=h.ymfzma" w:colFirst="0" w:colLast="0"/>
      <w:bookmarkEnd w:id="547"/>
      <w:r w:rsidR="00C81287" w:rsidRPr="00C0338D">
        <w:t xml:space="preserve"> suggested that, for invasive alien plants, containment can be considered as a choice in two main contexts: 1) where an invasive alien species is also a commercially valuable species which can be exploited for that purpose and managed and 2) </w:t>
      </w:r>
      <w:r w:rsidR="00014466">
        <w:t>for</w:t>
      </w:r>
      <w:r w:rsidR="00014466" w:rsidRPr="00C0338D">
        <w:t xml:space="preserve"> </w:t>
      </w:r>
      <w:r w:rsidR="00C81287" w:rsidRPr="00C0338D">
        <w:t xml:space="preserve">a species with no commercial value especially when it has not fully occupied an invaded area. </w:t>
      </w:r>
      <w:bookmarkStart w:id="548" w:name="_Hlk113008204"/>
      <w:r w:rsidR="00C81287" w:rsidRPr="00C0338D">
        <w:t xml:space="preserve">For commercially valuable species, containment also depends on the traits of the species, the reason for its cultivation and the characteristics of the area where it is cultivated </w:t>
      </w:r>
      <w:r w:rsidR="006761FD" w:rsidRPr="00837161">
        <w:rPr>
          <w:rFonts w:eastAsia="DengXian"/>
        </w:rPr>
        <w:fldChar w:fldCharType="begin"/>
      </w:r>
      <w:r w:rsidR="000F35EB">
        <w:rPr>
          <w:rFonts w:eastAsia="DengXian"/>
        </w:rPr>
        <w:instrText xml:space="preserve"> ADDIN ZOTERO_ITEM CSL_CITATION {"citationID":"lDdvjMhC","properties":{"formattedCitation":"(Grice, 2006)","plainCitation":"(Grice, 2006)","noteIndex":0},"citationItems":[{"id":53211,"uris":["http://zotero.org/groups/2352922/items/J7CZSCKR"],"itemData":{"id":53211,"type":"article-journal","container-title":"Ecological Management &amp; Restoration","DOI":"10.1111/j.1442-8903.2006.00246.x","ISSN":"1442-8903","issue":"1","language":"en","note":"_eprint: https://onlinelibrary.wiley.com/doi/pdf/10.1111/j.1442-8903.2006.00246.x","page":"40-44","source":"Wiley Online Library","title":"Commercially valuable weeds: Can we eat our cake without choking on it?","title-short":"Commercially valuable weeds","URL":"https://onlinelibrary.wiley.com/doi/abs/10.1111/j.1442-8903.2006.00246.x","volume":"7","author":[{"family":"Grice","given":"A. C."}],"accessed":{"date-parts":[["2022",9,6]]},"issued":{"date-parts":[["2006"]]}}}],"schema":"https://github.com/citation-style-language/schema/raw/master/csl-citation.json"} </w:instrText>
      </w:r>
      <w:r w:rsidR="006761FD" w:rsidRPr="00837161">
        <w:rPr>
          <w:rFonts w:eastAsia="DengXian"/>
        </w:rPr>
        <w:fldChar w:fldCharType="separate"/>
      </w:r>
      <w:r w:rsidR="00271B78" w:rsidRPr="00271B78">
        <w:t>(Grice, 2006)</w:t>
      </w:r>
      <w:r w:rsidR="006761FD" w:rsidRPr="00837161">
        <w:rPr>
          <w:rFonts w:eastAsia="DengXian"/>
        </w:rPr>
        <w:fldChar w:fldCharType="end"/>
      </w:r>
      <w:r w:rsidRPr="00837161">
        <w:rPr>
          <w:rFonts w:eastAsia="DengXian"/>
        </w:rPr>
        <w:t>.</w:t>
      </w:r>
      <w:bookmarkEnd w:id="548"/>
      <w:r w:rsidR="00C81287" w:rsidRPr="00C0338D">
        <w:t xml:space="preserve"> Several methods are available to contain commercial and non-commercial species </w:t>
      </w:r>
      <w:r w:rsidR="00C61110" w:rsidRPr="00837161">
        <w:rPr>
          <w:rFonts w:eastAsia="DengXian"/>
        </w:rPr>
        <w:fldChar w:fldCharType="begin"/>
      </w:r>
      <w:r w:rsidR="000F35EB">
        <w:rPr>
          <w:rFonts w:eastAsia="DengXian"/>
        </w:rPr>
        <w:instrText xml:space="preserve"> ADDIN ZOTERO_ITEM CSL_CITATION {"citationID":"JrWFaypU","properties":{"formattedCitation":"(Grice et al., 2013)","plainCitation":"(Grice et al., 2013)","noteIndex":0},"citationItems":[{"id":53166,"uris":["http://zotero.org/groups/2352922/items/L7QTT5ID"],"itemData":{"id":53166,"type":"article-journal","container-title":"Plant Protection Quarterly","ISSN":"0815-2195","issue":"3","note":"ISBN: 0815-2195","page":"62-65","title":"Containment as a strategic option for managing plant invasion","URL":"https://search.informit.org/doi/10.3316/ielapa.685341871862730","volume":"28","author":[{"family":"Grice","given":"A. C."},{"family":"Clarkson","given":"John D."},{"family":"Murphy","given":"Helen T."},{"family":"Fletcher","given":"Cameron S."},{"family":"Westcott","given":"David A."}],"issued":{"date-parts":[["2013"]]}}}],"schema":"https://github.com/citation-style-language/schema/raw/master/csl-citation.json"} </w:instrText>
      </w:r>
      <w:r w:rsidR="00C61110" w:rsidRPr="00837161">
        <w:rPr>
          <w:rFonts w:eastAsia="DengXian"/>
        </w:rPr>
        <w:fldChar w:fldCharType="separate"/>
      </w:r>
      <w:r w:rsidR="00271B78" w:rsidRPr="00271B78">
        <w:t>(Grice et al., 2013)</w:t>
      </w:r>
      <w:r w:rsidR="00C61110" w:rsidRPr="00837161">
        <w:rPr>
          <w:rFonts w:eastAsia="DengXian"/>
        </w:rPr>
        <w:fldChar w:fldCharType="end"/>
      </w:r>
      <w:r w:rsidRPr="00837161">
        <w:rPr>
          <w:rFonts w:eastAsia="DengXian"/>
        </w:rPr>
        <w:t>.</w:t>
      </w:r>
      <w:r w:rsidR="00C81287" w:rsidRPr="00C0338D">
        <w:t xml:space="preserve"> However, the methods need to be adapted to the dispersal capacity of the species and containment of each infestation or population may have to be attempted separately. Most importantly, containment may be treated only as a short-term measure</w:t>
      </w:r>
      <w:r w:rsidR="00014466">
        <w:t>,</w:t>
      </w:r>
      <w:r w:rsidR="00C81287" w:rsidRPr="00C0338D">
        <w:t xml:space="preserve"> while other management methods are being developed for implementation. </w:t>
      </w:r>
    </w:p>
    <w:p w14:paraId="1A95C074" w14:textId="737A5261" w:rsidR="00066A7E" w:rsidRPr="00837161" w:rsidRDefault="00066A7E" w:rsidP="00C11DFA">
      <w:pPr>
        <w:spacing w:before="240" w:after="120" w:line="240" w:lineRule="auto"/>
        <w:rPr>
          <w:rFonts w:eastAsia="DengXian"/>
        </w:rPr>
      </w:pPr>
      <w:r w:rsidRPr="00837161">
        <w:rPr>
          <w:rFonts w:eastAsia="DengXian"/>
        </w:rPr>
        <w:t xml:space="preserve">The economic viability of </w:t>
      </w:r>
      <w:r w:rsidR="00BE1DFC" w:rsidRPr="00837161">
        <w:rPr>
          <w:rFonts w:eastAsia="DengXian"/>
        </w:rPr>
        <w:t>“</w:t>
      </w:r>
      <w:r w:rsidRPr="00837161">
        <w:rPr>
          <w:rFonts w:eastAsia="DengXian"/>
        </w:rPr>
        <w:t>slowing the spread</w:t>
      </w:r>
      <w:r w:rsidR="00BE1DFC" w:rsidRPr="00837161">
        <w:rPr>
          <w:rFonts w:eastAsia="DengXian"/>
        </w:rPr>
        <w:t>”</w:t>
      </w:r>
      <w:r w:rsidRPr="00837161">
        <w:rPr>
          <w:rFonts w:eastAsia="DengXian"/>
        </w:rPr>
        <w:t xml:space="preserve"> was demonstrated for the invasive alien pest </w:t>
      </w:r>
      <w:r w:rsidR="002640F2" w:rsidRPr="00837161">
        <w:rPr>
          <w:rFonts w:eastAsia="DengXian"/>
          <w:i/>
        </w:rPr>
        <w:t>Lymantria dispar</w:t>
      </w:r>
      <w:r w:rsidR="002640F2" w:rsidRPr="00837161">
        <w:rPr>
          <w:rFonts w:eastAsia="DengXian"/>
        </w:rPr>
        <w:t xml:space="preserve"> (</w:t>
      </w:r>
      <w:r w:rsidRPr="00837161">
        <w:rPr>
          <w:rFonts w:eastAsia="DengXian"/>
        </w:rPr>
        <w:t>gypsy moth) in North America</w:t>
      </w:r>
      <w:r w:rsidR="66C9CEFE" w:rsidRPr="00837161">
        <w:rPr>
          <w:rFonts w:eastAsia="DengXian"/>
        </w:rPr>
        <w:t xml:space="preserve"> </w:t>
      </w:r>
      <w:r w:rsidR="00C61110" w:rsidRPr="00837161">
        <w:rPr>
          <w:rFonts w:eastAsia="DengXian"/>
        </w:rPr>
        <w:fldChar w:fldCharType="begin"/>
      </w:r>
      <w:r w:rsidR="000F35EB">
        <w:rPr>
          <w:rFonts w:eastAsia="DengXian"/>
        </w:rPr>
        <w:instrText xml:space="preserve"> ADDIN ZOTERO_ITEM CSL_CITATION {"citationID":"VyqjcwnI","properties":{"formattedCitation":"(Sharov &amp; Liebhold, 1998)","plainCitation":"(Sharov &amp; Liebhold, 1998)","noteIndex":0},"citationItems":[{"id":53164,"uris":["http://zotero.org/groups/2352922/items/B5BQV8UG"],"itemData":{"id":53164,"type":"article-journal","container-title":"Ecological applications","DOI":"10.2307/2640970","issue":"4","note":"ISBN: 1939-5582\npublisher: Wiley Online Library","page":"1170-1179","title":"Model of slowing the spread of gypsy moth (Lepidoptera: Lymantriidae) with a barrier zone","volume":"8","author":[{"family":"Sharov","given":"Alexei A."},{"family":"Liebhold","given":"Andrew M."}],"issued":{"date-parts":[["1998"]]}}}],"schema":"https://github.com/citation-style-language/schema/raw/master/csl-citation.json"} </w:instrText>
      </w:r>
      <w:r w:rsidR="00C61110" w:rsidRPr="00837161">
        <w:rPr>
          <w:rFonts w:eastAsia="DengXian"/>
        </w:rPr>
        <w:fldChar w:fldCharType="separate"/>
      </w:r>
      <w:r w:rsidR="00271B78" w:rsidRPr="00271B78">
        <w:t>(Sharov &amp; Liebhold, 1998)</w:t>
      </w:r>
      <w:r w:rsidR="00C61110" w:rsidRPr="00837161">
        <w:rPr>
          <w:rFonts w:eastAsia="DengXian"/>
        </w:rPr>
        <w:fldChar w:fldCharType="end"/>
      </w:r>
      <w:r w:rsidR="66C9CEFE" w:rsidRPr="00837161">
        <w:rPr>
          <w:rFonts w:eastAsia="DengXian"/>
        </w:rPr>
        <w:t>.</w:t>
      </w:r>
      <w:r w:rsidRPr="00837161">
        <w:rPr>
          <w:rFonts w:eastAsia="DengXian"/>
        </w:rPr>
        <w:t xml:space="preserve"> In the forestry sector, </w:t>
      </w:r>
      <w:r w:rsidR="00014466">
        <w:rPr>
          <w:rFonts w:eastAsia="DengXian"/>
        </w:rPr>
        <w:t xml:space="preserve">the </w:t>
      </w:r>
      <w:r w:rsidRPr="00837161">
        <w:rPr>
          <w:rFonts w:eastAsia="DengXian"/>
        </w:rPr>
        <w:t xml:space="preserve">successful containment of gypsy moth was reported from the </w:t>
      </w:r>
      <w:r w:rsidR="00C61110" w:rsidRPr="00837161">
        <w:rPr>
          <w:rFonts w:eastAsia="DengXian"/>
        </w:rPr>
        <w:t>United States</w:t>
      </w:r>
      <w:r w:rsidRPr="00837161">
        <w:rPr>
          <w:rFonts w:eastAsia="DengXian"/>
        </w:rPr>
        <w:t xml:space="preserve"> (from Wisconsin to North Carolina) where pheromone traps were used to disrupt mating of the moth or alternatively treating the population with </w:t>
      </w:r>
      <w:r w:rsidRPr="00837161">
        <w:rPr>
          <w:rFonts w:eastAsia="DengXian"/>
          <w:i/>
        </w:rPr>
        <w:t>Bacillus thuringiensis</w:t>
      </w:r>
      <w:r w:rsidRPr="00837161">
        <w:rPr>
          <w:rFonts w:eastAsia="DengXian"/>
        </w:rPr>
        <w:t xml:space="preserve"> </w:t>
      </w:r>
      <w:r w:rsidR="00C61110" w:rsidRPr="00837161">
        <w:rPr>
          <w:rFonts w:eastAsia="DengXian"/>
        </w:rPr>
        <w:fldChar w:fldCharType="begin"/>
      </w:r>
      <w:r w:rsidR="000F35EB">
        <w:rPr>
          <w:rFonts w:eastAsia="DengXian"/>
        </w:rPr>
        <w:instrText xml:space="preserve"> ADDIN ZOTERO_ITEM CSL_CITATION {"citationID":"GPlTRkkO","properties":{"formattedCitation":"(Sharov et al., 2002)","plainCitation":"(Sharov et al., 2002)","noteIndex":0},"citationItems":[{"id":53165,"uris":["http://zotero.org/groups/2352922/items/6FU2YQ34"],"itemData":{"id":53165,"type":"article-journal","abstract":"Invasions by alien species can cause substantial damage to our forest resources. The gypsy moth (Lymantria dispar) represents one example of this problem, and we present here a new strategy for its management that concentrates on containment rather than suppression of outbreaks. The “Slow the Spread” project is a combined federal and state government effort to slow gypsy moth spread by detecting isolated colonies in grids of pheromone-baited traps placed along the expanding population front from Wisconsin to North Carolina. Detected colonies are treated using Bacillus thuringiensis or mating disruption. Analyses to date indicate that this project has reduced spread by more than 50 percent.","container-title":"Journal of Forestry","DOI":"10.1093/jof/100.5.30","ISSN":"0022-1201","issue":"5","journalAbbreviation":"Journal of Forestry","page":"30-36","source":"Silverchair","title":"“Slow The Spread”: A National Program to Contain the Gypsy Moth","title-short":"“Slow The Spread”","URL":"https://doi.org/10.1093/jof/100.5.30","volume":"100","author":[{"family":"Sharov","given":"A.A."},{"family":"Leonard","given":"D."},{"family":"Liebhold","given":"A.M."},{"family":"Roberts","given":"E.A."},{"family":"Dickerson","given":"W."}],"accessed":{"date-parts":[["2022",9,2]]},"issued":{"date-parts":[["2002",7,1]]}}}],"schema":"https://github.com/citation-style-language/schema/raw/master/csl-citation.json"} </w:instrText>
      </w:r>
      <w:r w:rsidR="00C61110" w:rsidRPr="00837161">
        <w:rPr>
          <w:rFonts w:eastAsia="DengXian"/>
        </w:rPr>
        <w:fldChar w:fldCharType="separate"/>
      </w:r>
      <w:r w:rsidR="00271B78" w:rsidRPr="00271B78">
        <w:t>(Sharov et al., 2002)</w:t>
      </w:r>
      <w:r w:rsidR="00C61110" w:rsidRPr="00837161">
        <w:rPr>
          <w:rFonts w:eastAsia="DengXian"/>
        </w:rPr>
        <w:fldChar w:fldCharType="end"/>
      </w:r>
      <w:r w:rsidRPr="00837161">
        <w:rPr>
          <w:rFonts w:eastAsia="DengXian"/>
        </w:rPr>
        <w:t>.</w:t>
      </w:r>
    </w:p>
    <w:p w14:paraId="7E04EC51" w14:textId="5E14E7FB" w:rsidR="00066A7E" w:rsidRPr="00837161" w:rsidRDefault="54772749" w:rsidP="00C11DFA">
      <w:pPr>
        <w:spacing w:before="240" w:after="120" w:line="240" w:lineRule="auto"/>
        <w:rPr>
          <w:rFonts w:eastAsia="DengXian"/>
        </w:rPr>
      </w:pPr>
      <w:r w:rsidRPr="00837161">
        <w:rPr>
          <w:rFonts w:eastAsia="DengXian"/>
        </w:rPr>
        <w:t xml:space="preserve">Similarly, in agriculture, sterile insect techniques </w:t>
      </w:r>
      <w:r w:rsidR="00865B4D">
        <w:rPr>
          <w:rFonts w:eastAsia="DengXian"/>
        </w:rPr>
        <w:t>may be</w:t>
      </w:r>
      <w:r w:rsidRPr="00837161">
        <w:rPr>
          <w:rFonts w:eastAsia="DengXian"/>
        </w:rPr>
        <w:t xml:space="preserve"> used to contain invasive alien pests </w:t>
      </w:r>
      <w:r w:rsidR="00197924" w:rsidRPr="00837161">
        <w:rPr>
          <w:rFonts w:eastAsia="DengXian"/>
        </w:rPr>
        <w:t>(</w:t>
      </w:r>
      <w:r w:rsidRPr="00294242">
        <w:rPr>
          <w:rFonts w:eastAsia="DengXian"/>
          <w:b/>
          <w:iCs/>
        </w:rPr>
        <w:t>section 5.4.</w:t>
      </w:r>
      <w:r w:rsidR="00D91C6B" w:rsidRPr="00294242">
        <w:rPr>
          <w:rFonts w:eastAsia="DengXian"/>
          <w:b/>
          <w:iCs/>
        </w:rPr>
        <w:t>3</w:t>
      </w:r>
      <w:r w:rsidRPr="00294242">
        <w:rPr>
          <w:rFonts w:eastAsia="DengXian"/>
          <w:b/>
          <w:iCs/>
        </w:rPr>
        <w:t>.2</w:t>
      </w:r>
      <w:r w:rsidRPr="00837161">
        <w:rPr>
          <w:rFonts w:eastAsia="DengXian"/>
        </w:rPr>
        <w:t xml:space="preserve">). Containment is a viable strategy when used within zoological or botanical gardens or when predator free fences are used to exclude invasive alien vertebrates from invading native wildlife reserves </w:t>
      </w:r>
      <w:r w:rsidR="00066A7E" w:rsidRPr="00837161">
        <w:rPr>
          <w:rFonts w:eastAsia="DengXian"/>
        </w:rPr>
        <w:fldChar w:fldCharType="begin"/>
      </w:r>
      <w:r w:rsidR="000F35EB">
        <w:rPr>
          <w:rFonts w:eastAsia="DengXian"/>
        </w:rPr>
        <w:instrText xml:space="preserve"> ADDIN ZOTERO_ITEM CSL_CITATION {"citationID":"8vSWpJ8B","properties":{"formattedCitation":"(Ringma et al., 2018)","plainCitation":"(Ringma et al., 2018)","noteIndex":0},"citationItems":[{"id":10064,"uris":["http://zotero.org/groups/2352922/items/5Z7463YM"],"itemData":{"id":10064,"type":"article-journal","container-title":"Nature Ecology &amp; Evolution","DOI":"10.1038/s41559-017-0456-4","ISSN":"2397-334X","issue":"3","journalAbbreviation":"Nat Ecol Evol","language":"en","license":"2018 The Publisher","note":"Bandiera_abtest: a\nCg_type: Nature Research Journals\nnumber: 3\nPrimary_atype: Correspondence\npublisher: Nature Publishing Group\nSubject_term: Conservation biology;Environmental impact\nSubject_term_id: conservation;environmental-impact","page":"410-411","source":"www.nature.com","title":"Australia’s mammal fauna requires a strategic and enhanced network of predator-free havens","URL":"https://www.nature.com/articles/s41559-017-0456-4","volume":"2","author":[{"family":"Ringma","given":"Jeremy"},{"family":"Legge","given":"Sarah"},{"family":"Woinarski","given":"John"},{"family":"Radford","given":"Jim"},{"family":"Wintle","given":"Brendan"},{"family":"Bode","given":"Michael"}],"accessed":{"date-parts":[["2021",11,13]]},"issued":{"date-parts":[["2018",3]]}}}],"schema":"https://github.com/citation-style-language/schema/raw/master/csl-citation.json"} </w:instrText>
      </w:r>
      <w:r w:rsidR="00066A7E" w:rsidRPr="00837161">
        <w:rPr>
          <w:rFonts w:eastAsia="DengXian"/>
        </w:rPr>
        <w:fldChar w:fldCharType="separate"/>
      </w:r>
      <w:r w:rsidR="00271B78" w:rsidRPr="00271B78">
        <w:t>(Ringma et al., 2018)</w:t>
      </w:r>
      <w:r w:rsidR="00066A7E" w:rsidRPr="00837161">
        <w:rPr>
          <w:rFonts w:eastAsia="DengXian"/>
        </w:rPr>
        <w:fldChar w:fldCharType="end"/>
      </w:r>
      <w:r w:rsidRPr="00837161">
        <w:rPr>
          <w:rFonts w:eastAsia="DengXian"/>
        </w:rPr>
        <w:t>. Use of th</w:t>
      </w:r>
      <w:r w:rsidR="00014466">
        <w:rPr>
          <w:rFonts w:eastAsia="DengXian"/>
        </w:rPr>
        <w:t>is</w:t>
      </w:r>
      <w:r w:rsidRPr="00837161">
        <w:rPr>
          <w:rFonts w:eastAsia="DengXian"/>
        </w:rPr>
        <w:t xml:space="preserve"> method in marine ecosystems may be ineffective in the long-term but has been used as a rapid response plan to manage diseases in aquaculture in disconnected water systems. In 1997, </w:t>
      </w:r>
      <w:r w:rsidR="38ED4687" w:rsidRPr="00837161">
        <w:rPr>
          <w:rFonts w:eastAsia="DengXian"/>
          <w:i/>
          <w:iCs/>
        </w:rPr>
        <w:t>Styela clava</w:t>
      </w:r>
      <w:r w:rsidR="38ED4687" w:rsidRPr="00837161">
        <w:rPr>
          <w:rFonts w:eastAsia="DengXian"/>
        </w:rPr>
        <w:t xml:space="preserve"> (Asian </w:t>
      </w:r>
      <w:r w:rsidRPr="00837161">
        <w:rPr>
          <w:rFonts w:eastAsia="DengXian"/>
        </w:rPr>
        <w:t xml:space="preserve">tunicate) was first noted invading an </w:t>
      </w:r>
      <w:r w:rsidR="5D079CC3" w:rsidRPr="00837161">
        <w:rPr>
          <w:rFonts w:eastAsia="DengXian"/>
        </w:rPr>
        <w:t>aqua</w:t>
      </w:r>
      <w:r w:rsidR="17A68814" w:rsidRPr="00837161">
        <w:rPr>
          <w:rFonts w:eastAsia="DengXian"/>
        </w:rPr>
        <w:t>-</w:t>
      </w:r>
      <w:r w:rsidR="5D079CC3" w:rsidRPr="00837161">
        <w:rPr>
          <w:rFonts w:eastAsia="DengXian"/>
        </w:rPr>
        <w:t>cultured</w:t>
      </w:r>
      <w:r w:rsidRPr="00837161">
        <w:rPr>
          <w:rFonts w:eastAsia="DengXian"/>
        </w:rPr>
        <w:t xml:space="preserve"> </w:t>
      </w:r>
      <w:r w:rsidR="38ED4687" w:rsidRPr="00837161">
        <w:rPr>
          <w:rFonts w:eastAsia="DengXian"/>
          <w:i/>
          <w:iCs/>
        </w:rPr>
        <w:t>Mytilus edulis</w:t>
      </w:r>
      <w:r w:rsidR="38ED4687" w:rsidRPr="00837161">
        <w:rPr>
          <w:rFonts w:eastAsia="DengXian"/>
        </w:rPr>
        <w:t xml:space="preserve"> (common </w:t>
      </w:r>
      <w:r w:rsidRPr="00837161">
        <w:rPr>
          <w:rFonts w:eastAsia="DengXian"/>
        </w:rPr>
        <w:t xml:space="preserve">blue mussel) in Prince Edward Island, Canada </w:t>
      </w:r>
      <w:r w:rsidR="00066A7E" w:rsidRPr="00837161">
        <w:rPr>
          <w:rFonts w:eastAsia="DengXian"/>
        </w:rPr>
        <w:fldChar w:fldCharType="begin"/>
      </w:r>
      <w:r w:rsidR="000F35EB">
        <w:rPr>
          <w:rFonts w:eastAsia="DengXian"/>
        </w:rPr>
        <w:instrText xml:space="preserve"> ADDIN ZOTERO_ITEM CSL_CITATION {"citationID":"3cndWU6n","properties":{"formattedCitation":"(Locke et al., 2009)","plainCitation":"(Locke et al., 2009)","noteIndex":0},"citationItems":[{"id":31664,"uris":["http://zotero.org/groups/2352922/items/XY5PB2YS"],"itemData":{"id":31664,"type":"article-journal","abstract":"The term “rapid response” refers to the steps taken upon the detection of a non-indigenous species and encompasses a range of possible actions ranging from eradication, management of population abundance or dispersal, to a decision against an active response. Rapid response to non-indigenous species in Canadian waters is in its infancy and has been carried out on ad hoc basis in the absence of formal rapid response plans. Even so, many of the essential elements of a rapid response plan were in fact implemented in the management of recent invasions of the non-indigenous tunicates Styela clava, Botryllus schlosseri, Botrylloides violaceus, and Ciona intestinalis in estuaries of Prince Edward Island (PEI), Canada. In this second of a three-part series, we examine case studies of the PEI tunicate invasions, as a step in formulating a rapid response framework that can be used in Canadian waters to manage future invasions by nuisance or noxious species.","container-title":"Aquatic Invasions","DOI":"10.3391/ai.2009.4.1.25","ISSN":"18185487","issue":"1","journalAbbreviation":"AI","language":"en","page":"249-258","source":"DOI.org (Crossref)","title":"Rapid response to non-indigenous species. 2. Case studies of invasive tunicates in Prince Edward Island","URL":"http://www.aquaticinvasions.net/2009/index1.html","volume":"4","author":[{"family":"Locke","given":"Andrea"},{"family":"Hanson","given":"John Mark"},{"family":"MacNair","given":"Neil G."},{"family":"Smith","given":"Arthur H."}],"accessed":{"date-parts":[["2019",11,27]]},"issued":{"date-parts":[["2009"]]}},"label":"page"}],"schema":"https://github.com/citation-style-language/schema/raw/master/csl-citation.json"} </w:instrText>
      </w:r>
      <w:r w:rsidR="00066A7E" w:rsidRPr="00837161">
        <w:rPr>
          <w:rFonts w:eastAsia="DengXian"/>
        </w:rPr>
        <w:fldChar w:fldCharType="separate"/>
      </w:r>
      <w:r w:rsidR="00271B78" w:rsidRPr="00271B78">
        <w:t>(Locke et al., 2009)</w:t>
      </w:r>
      <w:r w:rsidR="00066A7E" w:rsidRPr="00837161">
        <w:rPr>
          <w:rFonts w:eastAsia="DengXian"/>
        </w:rPr>
        <w:fldChar w:fldCharType="end"/>
      </w:r>
      <w:r w:rsidRPr="00837161">
        <w:rPr>
          <w:rFonts w:eastAsia="DengXian"/>
        </w:rPr>
        <w:t xml:space="preserve">. After confirming the identity of the species, a group of stakeholders implemented a containment strategy in 2001 to </w:t>
      </w:r>
      <w:r w:rsidR="7777726B" w:rsidRPr="00837161">
        <w:rPr>
          <w:rFonts w:eastAsia="DengXian"/>
        </w:rPr>
        <w:t>manage</w:t>
      </w:r>
      <w:r w:rsidRPr="00837161">
        <w:rPr>
          <w:rFonts w:eastAsia="DengXian"/>
        </w:rPr>
        <w:t xml:space="preserve"> the species </w:t>
      </w:r>
      <w:r w:rsidR="00066A7E" w:rsidRPr="00837161">
        <w:rPr>
          <w:rFonts w:eastAsia="DengXian"/>
        </w:rPr>
        <w:fldChar w:fldCharType="begin"/>
      </w:r>
      <w:r w:rsidR="000F35EB">
        <w:rPr>
          <w:rFonts w:eastAsia="DengXian"/>
        </w:rPr>
        <w:instrText xml:space="preserve"> ADDIN ZOTERO_ITEM CSL_CITATION {"citationID":"HSpHllUT","properties":{"formattedCitation":"(Locke et al., 2009)","plainCitation":"(Locke et al., 2009)","noteIndex":0},"citationItems":[{"id":31664,"uris":["http://zotero.org/groups/2352922/items/XY5PB2YS"],"itemData":{"id":31664,"type":"article-journal","abstract":"The term “rapid response” refers to the steps taken upon the detection of a non-indigenous species and encompasses a range of possible actions ranging from eradication, management of population abundance or dispersal, to a decision against an active response. Rapid response to non-indigenous species in Canadian waters is in its infancy and has been carried out on ad hoc basis in the absence of formal rapid response plans. Even so, many of the essential elements of a rapid response plan were in fact implemented in the management of recent invasions of the non-indigenous tunicates Styela clava, Botryllus schlosseri, Botrylloides violaceus, and Ciona intestinalis in estuaries of Prince Edward Island (PEI), Canada. In this second of a three-part series, we examine case studies of the PEI tunicate invasions, as a step in formulating a rapid response framework that can be used in Canadian waters to manage future invasions by nuisance or noxious species.","container-title":"Aquatic Invasions","DOI":"10.3391/ai.2009.4.1.25","ISSN":"18185487","issue":"1","journalAbbreviation":"AI","language":"en","page":"249-258","source":"DOI.org (Crossref)","title":"Rapid response to non-indigenous species. 2. Case studies of invasive tunicates in Prince Edward Island","URL":"http://www.aquaticinvasions.net/2009/index1.html","volume":"4","author":[{"family":"Locke","given":"Andrea"},{"family":"Hanson","given":"John Mark"},{"family":"MacNair","given":"Neil G."},{"family":"Smith","given":"Arthur H."}],"accessed":{"date-parts":[["2019",11,27]]},"issued":{"date-parts":[["2009"]]}},"label":"page"}],"schema":"https://github.com/citation-style-language/schema/raw/master/csl-citation.json"} </w:instrText>
      </w:r>
      <w:r w:rsidR="00066A7E" w:rsidRPr="00837161">
        <w:rPr>
          <w:rFonts w:eastAsia="DengXian"/>
        </w:rPr>
        <w:fldChar w:fldCharType="separate"/>
      </w:r>
      <w:r w:rsidR="00271B78" w:rsidRPr="00271B78">
        <w:t>(Locke et al., 2009)</w:t>
      </w:r>
      <w:r w:rsidR="00066A7E" w:rsidRPr="00837161">
        <w:rPr>
          <w:rFonts w:eastAsia="DengXian"/>
        </w:rPr>
        <w:fldChar w:fldCharType="end"/>
      </w:r>
      <w:r w:rsidRPr="00837161">
        <w:rPr>
          <w:rFonts w:eastAsia="DengXian"/>
        </w:rPr>
        <w:t xml:space="preserve">. Transfer and harvest of blue mussels were restricted in tunicate-infested areas and responsible practices were encouraged. Although no cost-benefit-risk analysis was done, the results proved that benefits outweighed the costs. The manual handling and disposal costs </w:t>
      </w:r>
      <w:r w:rsidR="007072D8" w:rsidRPr="00837161">
        <w:rPr>
          <w:rFonts w:eastAsia="DengXian"/>
        </w:rPr>
        <w:t>totalled</w:t>
      </w:r>
      <w:r w:rsidR="00A52F6E" w:rsidRPr="00837161">
        <w:rPr>
          <w:rFonts w:eastAsia="DengXian"/>
        </w:rPr>
        <w:t xml:space="preserve"> </w:t>
      </w:r>
      <w:r w:rsidRPr="00837161">
        <w:rPr>
          <w:rFonts w:eastAsia="DengXian"/>
        </w:rPr>
        <w:t>0.24</w:t>
      </w:r>
      <w:r w:rsidR="00A52F6E" w:rsidRPr="00837161">
        <w:rPr>
          <w:rFonts w:eastAsia="DengXian"/>
        </w:rPr>
        <w:t xml:space="preserve"> Canadian dollar per </w:t>
      </w:r>
      <w:r w:rsidRPr="00837161">
        <w:rPr>
          <w:rFonts w:eastAsia="DengXian"/>
        </w:rPr>
        <w:t>k</w:t>
      </w:r>
      <w:r w:rsidR="00A52F6E" w:rsidRPr="00837161">
        <w:rPr>
          <w:rFonts w:eastAsia="DengXian"/>
        </w:rPr>
        <w:t>ilo</w:t>
      </w:r>
      <w:r w:rsidRPr="00837161">
        <w:rPr>
          <w:rFonts w:eastAsia="DengXian"/>
        </w:rPr>
        <w:t>g</w:t>
      </w:r>
      <w:r w:rsidR="00A52F6E" w:rsidRPr="00837161">
        <w:rPr>
          <w:rFonts w:eastAsia="DengXian"/>
        </w:rPr>
        <w:t>ram</w:t>
      </w:r>
      <w:r w:rsidRPr="00837161">
        <w:rPr>
          <w:rFonts w:eastAsia="DengXian"/>
        </w:rPr>
        <w:t xml:space="preserve"> of harvested mussel </w:t>
      </w:r>
      <w:r w:rsidR="00066A7E" w:rsidRPr="00837161">
        <w:rPr>
          <w:rFonts w:eastAsia="DengXian"/>
        </w:rPr>
        <w:fldChar w:fldCharType="begin"/>
      </w:r>
      <w:r w:rsidR="000F35EB">
        <w:rPr>
          <w:rFonts w:eastAsia="DengXian"/>
        </w:rPr>
        <w:instrText xml:space="preserve"> ADDIN ZOTERO_ITEM CSL_CITATION {"citationID":"RkWTzqnL","properties":{"formattedCitation":"(Locke et al., 2009)","plainCitation":"(Locke et al., 2009)","noteIndex":0},"citationItems":[{"id":31664,"uris":["http://zotero.org/groups/2352922/items/XY5PB2YS"],"itemData":{"id":31664,"type":"article-journal","abstract":"The term “rapid response” refers to the steps taken upon the detection of a non-indigenous species and encompasses a range of possible actions ranging from eradication, management of population abundance or dispersal, to a decision against an active response. Rapid response to non-indigenous species in Canadian waters is in its infancy and has been carried out on ad hoc basis in the absence of formal rapid response plans. Even so, many of the essential elements of a rapid response plan were in fact implemented in the management of recent invasions of the non-indigenous tunicates Styela clava, Botryllus schlosseri, Botrylloides violaceus, and Ciona intestinalis in estuaries of Prince Edward Island (PEI), Canada. In this second of a three-part series, we examine case studies of the PEI tunicate invasions, as a step in formulating a rapid response framework that can be used in Canadian waters to manage future invasions by nuisance or noxious species.","container-title":"Aquatic Invasions","DOI":"10.3391/ai.2009.4.1.25","ISSN":"18185487","issue":"1","journalAbbreviation":"AI","language":"en","page":"249-258","source":"DOI.org (Crossref)","title":"Rapid response to non-indigenous species. 2. Case studies of invasive tunicates in Prince Edward Island","URL":"http://www.aquaticinvasions.net/2009/index1.html","volume":"4","author":[{"family":"Locke","given":"Andrea"},{"family":"Hanson","given":"John Mark"},{"family":"MacNair","given":"Neil G."},{"family":"Smith","given":"Arthur H."}],"accessed":{"date-parts":[["2019",11,27]]},"issued":{"date-parts":[["2009"]]}},"label":"page"}],"schema":"https://github.com/citation-style-language/schema/raw/master/csl-citation.json"} </w:instrText>
      </w:r>
      <w:r w:rsidR="00066A7E" w:rsidRPr="00837161">
        <w:rPr>
          <w:rFonts w:eastAsia="DengXian"/>
        </w:rPr>
        <w:fldChar w:fldCharType="separate"/>
      </w:r>
      <w:r w:rsidR="00271B78" w:rsidRPr="00271B78">
        <w:t>(Locke et al., 2009)</w:t>
      </w:r>
      <w:r w:rsidR="00066A7E" w:rsidRPr="00837161">
        <w:rPr>
          <w:rFonts w:eastAsia="DengXian"/>
        </w:rPr>
        <w:fldChar w:fldCharType="end"/>
      </w:r>
      <w:r w:rsidRPr="00837161">
        <w:rPr>
          <w:rFonts w:eastAsia="DengXian"/>
        </w:rPr>
        <w:t xml:space="preserve">. </w:t>
      </w:r>
      <w:r w:rsidRPr="00951F18">
        <w:rPr>
          <w:rFonts w:eastAsia="DengXian"/>
        </w:rPr>
        <w:t>This forms a good example of a successful containment program</w:t>
      </w:r>
      <w:r w:rsidR="3818A224" w:rsidRPr="00951F18">
        <w:t>me</w:t>
      </w:r>
      <w:r w:rsidRPr="00951F18">
        <w:rPr>
          <w:rFonts w:eastAsia="DengXian"/>
        </w:rPr>
        <w:t xml:space="preserve"> but was effective only in the short term. </w:t>
      </w:r>
      <w:r w:rsidR="00014466">
        <w:rPr>
          <w:rFonts w:eastAsia="DengXian"/>
        </w:rPr>
        <w:t>The u</w:t>
      </w:r>
      <w:r w:rsidRPr="00951F18">
        <w:rPr>
          <w:rFonts w:eastAsia="DengXian"/>
        </w:rPr>
        <w:t>se of a combination of methods (including chemical</w:t>
      </w:r>
      <w:r w:rsidR="11BCC8D6" w:rsidRPr="00951F18">
        <w:rPr>
          <w:rFonts w:eastAsia="DengXian"/>
        </w:rPr>
        <w:t xml:space="preserve"> control</w:t>
      </w:r>
      <w:r w:rsidRPr="00951F18">
        <w:rPr>
          <w:rFonts w:eastAsia="DengXian"/>
        </w:rPr>
        <w:t>) and long-term monitoring may be necessary to mitigate tunicate impacts and develop a sustainable mussel aquaculture industry</w:t>
      </w:r>
      <w:r w:rsidRPr="00837161">
        <w:rPr>
          <w:rFonts w:eastAsia="DengXian"/>
        </w:rPr>
        <w:t xml:space="preserve"> </w:t>
      </w:r>
      <w:r w:rsidR="004668A1" w:rsidRPr="00837161">
        <w:rPr>
          <w:rFonts w:eastAsia="DengXian"/>
        </w:rPr>
        <w:fldChar w:fldCharType="begin"/>
      </w:r>
      <w:r w:rsidR="000F35EB">
        <w:rPr>
          <w:rFonts w:eastAsia="DengXian"/>
        </w:rPr>
        <w:instrText xml:space="preserve"> ADDIN ZOTERO_ITEM CSL_CITATION {"citationID":"2cBeBSIm","properties":{"formattedCitation":"(ACRDP, 2010)","plainCitation":"(ACRDP, 2010)","noteIndex":0},"citationItems":[{"id":54401,"uris":["http://zotero.org/groups/2352922/items/W73HS7AY"],"itemData":{"id":54401,"type":"report","event-place":"Canada","genre":"Fact Sheet","number":"6","publisher":"Aquaculture Collaborative Research and Development Program","publisher-place":"Canada","title":"Containment and Mitigation of Nuisance Tunicates on Prince Edward Island to Improve Mussel Farm Productivity","URL":"https://waves-vagues.dfo-mpo.gc.ca/library-bibliotheque/346732.pdf","author":[{"literal":"ACRDP"}],"accessed":{"date-parts":[["2023",2,7]]},"issued":{"date-parts":[["2010"]]}}}],"schema":"https://github.com/citation-style-language/schema/raw/master/csl-citation.json"} </w:instrText>
      </w:r>
      <w:r w:rsidR="004668A1" w:rsidRPr="00837161">
        <w:rPr>
          <w:rFonts w:eastAsia="DengXian"/>
        </w:rPr>
        <w:fldChar w:fldCharType="separate"/>
      </w:r>
      <w:r w:rsidR="00271B78" w:rsidRPr="00271B78">
        <w:t>(ACRDP, 2010)</w:t>
      </w:r>
      <w:r w:rsidR="004668A1" w:rsidRPr="00837161">
        <w:rPr>
          <w:rFonts w:eastAsia="DengXian"/>
        </w:rPr>
        <w:fldChar w:fldCharType="end"/>
      </w:r>
      <w:r w:rsidRPr="00837161">
        <w:rPr>
          <w:rFonts w:eastAsia="DengXian"/>
        </w:rPr>
        <w:t>.</w:t>
      </w:r>
      <w:r w:rsidR="00066A7E" w:rsidRPr="00837161">
        <w:fldChar w:fldCharType="begin"/>
      </w:r>
      <w:r w:rsidR="000F35EB">
        <w:instrText xml:space="preserve"> ADDIN ZOTERO_ITEM CSL_CITATION {"citationID":"fmz5ogfc","properties":{"formattedCitation":"(Ringma et al., 2018)","plainCitation":"(Ringma et al., 2018)","dontUpdate":true,"noteIndex":0},"citationItems":[{"id":10064,"uris":["http://zotero.org/groups/2352922/items/5Z7463YM"],"itemData":{"id":10064,"type":"article-journal","container-title":"Nature Ecology &amp; Evolution","DOI":"10.1038/s41559-017-0456-4","ISSN":"2397-334X","issue":"3","journalAbbreviation":"Nat Ecol Evol","language":"en","license":"2018 The Publisher","note":"Bandiera_abtest: a\nCg_type: Nature Research Journals\nnumber: 3\nPrimary_atype: Correspondence\npublisher: Nature Publishing Group\nSubject_term: Conservation biology;Environmental impact\nSubject_term_id: conservation;environmental-impact","page":"410-411","source":"www.nature.com","title":"Australia’s mammal fauna requires a strategic and enhanced network of predator-free havens","URL":"https://www.nature.com/articles/s41559-017-0456-4","volume":"2","author":[{"family":"Ringma","given":"Jeremy"},{"family":"Legge","given":"Sarah"},{"family":"Woinarski","given":"John"},{"family":"Radford","given":"Jim"},{"family":"Wintle","given":"Brendan"},{"family":"Bode","given":"Michael"}],"accessed":{"date-parts":[["2021",11,13]]},"issued":{"date-parts":[["2018",3]]}}}],"schema":"https://github.com/citation-style-language/schema/raw/master/csl-citation.json"} </w:instrText>
      </w:r>
      <w:r w:rsidR="00066A7E" w:rsidRPr="00837161">
        <w:fldChar w:fldCharType="end"/>
      </w:r>
      <w:r w:rsidR="00066A7E" w:rsidRPr="00837161">
        <w:rPr>
          <w:color w:val="000000" w:themeColor="text1"/>
        </w:rPr>
        <w:fldChar w:fldCharType="begin"/>
      </w:r>
      <w:r w:rsidR="000F35EB">
        <w:rPr>
          <w:color w:val="000000" w:themeColor="text1"/>
        </w:rPr>
        <w:instrText xml:space="preserve"> ADDIN ZOTERO_ITEM CSL_CITATION {"citationID":"z3FIvZvD","properties":{"formattedCitation":"(Locke, 2009)","plainCitation":"(Locke, 2009)","dontUpdate":true,"noteIndex":0},"citationItems":[{"id":31664,"uris":["http://zotero.org/groups/2352922/items/XY5PB2YS"],"itemData":{"id":31664,"type":"article-journal","abstract":"The term “rapid response” refers to the steps taken upon the detection of a non-indigenous species and encompasses a range of possible actions ranging from eradication, management of population abundance or dispersal, to a decision against an active response. Rapid response to non-indigenous species in Canadian waters is in its infancy and has been carried out on ad hoc basis in the absence of formal rapid response plans. Even so, many of the essential elements of a rapid response plan were in fact implemented in the management of recent invasions of the non-indigenous tunicates Styela clava, Botryllus schlosseri, Botrylloides violaceus, and Ciona intestinalis in estuaries of Prince Edward Island (PEI), Canada. In this second of a three-part series, we examine case studies of the PEI tunicate invasions, as a step in formulating a rapid response framework that can be used in Canadian waters to manage future invasions by nuisance or noxious species.","container-title":"Aquatic Invasions","DOI":"10.3391/ai.2009.4.1.25","ISSN":"18185487","issue":"1","journalAbbreviation":"AI","language":"en","page":"249-258","source":"DOI.org (Crossref)","title":"Rapid response to non-indigenous species. 2. Case studies of invasive tunicates in Prince Edward Island","URL":"http://www.aquaticinvasions.net/2009/index1.html","volume":"4","author":[{"family":"Locke","given":"Andrea"},{"family":"Hanson","given":"John Mark"},{"family":"MacNair","given":"Neil G."},{"family":"Smith","given":"Arthur H."}],"accessed":{"date-parts":[["2019",11,27]]},"issued":{"date-parts":[["2009"]]}}}],"schema":"https://github.com/citation-style-language/schema/raw/master/csl-citation.json"} </w:instrText>
      </w:r>
      <w:r w:rsidR="00066A7E" w:rsidRPr="00837161">
        <w:rPr>
          <w:color w:val="000000" w:themeColor="text1"/>
        </w:rPr>
        <w:fldChar w:fldCharType="end"/>
      </w:r>
      <w:r w:rsidR="00066A7E" w:rsidRPr="00837161">
        <w:fldChar w:fldCharType="begin"/>
      </w:r>
      <w:r w:rsidR="000F35EB">
        <w:instrText xml:space="preserve"> ADDIN ZOTERO_ITEM CSL_CITATION {"citationID":"AU2ByLJX","properties":{"formattedCitation":"(Locke, 2009)","plainCitation":"(Locke, 2009)","dontUpdate":true,"noteIndex":0},"citationItems":[{"id":31664,"uris":["http://zotero.org/groups/2352922/items/XY5PB2YS"],"itemData":{"id":31664,"type":"article-journal","abstract":"The term “rapid response” refers to the steps taken upon the detection of a non-indigenous species and encompasses a range of possible actions ranging from eradication, management of population abundance or dispersal, to a decision against an active response. Rapid response to non-indigenous species in Canadian waters is in its infancy and has been carried out on ad hoc basis in the absence of formal rapid response plans. Even so, many of the essential elements of a rapid response plan were in fact implemented in the management of recent invasions of the non-indigenous tunicates Styela clava, Botryllus schlosseri, Botrylloides violaceus, and Ciona intestinalis in estuaries of Prince Edward Island (PEI), Canada. In this second of a three-part series, we examine case studies of the PEI tunicate invasions, as a step in formulating a rapid response framework that can be used in Canadian waters to manage future invasions by nuisance or noxious species.","container-title":"Aquatic Invasions","DOI":"10.3391/ai.2009.4.1.25","ISSN":"18185487","issue":"1","journalAbbreviation":"AI","language":"en","page":"249-258","source":"DOI.org (Crossref)","title":"Rapid response to non-indigenous species. 2. Case studies of invasive tunicates in Prince Edward Island","URL":"http://www.aquaticinvasions.net/2009/index1.html","volume":"4","author":[{"family":"Locke","given":"Andrea"},{"family":"Hanson","given":"John Mark"},{"family":"MacNair","given":"Neil G."},{"family":"Smith","given":"Arthur H."}],"accessed":{"date-parts":[["2019",11,27]]},"issued":{"date-parts":[["2009"]]}}}],"schema":"https://github.com/citation-style-language/schema/raw/master/csl-citation.json"}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{"citationID":"IkvolKgy","properties":{"formattedCitation":"(Locke, 2009)","plainCitation":"(Locke, 2009)","dontUpdate":true,"noteIndex":0},"citationItems":[{"id":31664,"uris":["http://zotero.org/groups/2352922/items/XY5PB2YS"],"itemData":{"id":31664,"type":"article-journal","abstract":"The term “rapid response” refers to the steps taken upon the detection of a non-indigenous species and encompasses a range of possible actions ranging from eradication, management of population abundance or dispersal, to a decision against an active response. Rapid response to non-indigenous species in Canadian waters is in its infancy and has been carried out on ad hoc basis in the absence of formal rapid response plans. Even so, many of the essential elements of a rapid response plan were in fact implemented in the management of recent invasions of the non-indigenous tunicates Styela clava, Botryllus schlosseri, Botrylloides violaceus, and Ciona intestinalis in estuaries of Prince Edward Island (PEI), Canada. In this second of a three-part series, we examine case studies of the PEI tunicate invasions, as a step in formulating a rapid response framework that can be used in Canadian waters to manage future invasions by nuisance or noxious species.","container-title":"Aquatic Invasions","DOI":"10.3391/ai.2009.4.1.25","ISSN":"18185487","issue":"1","journalAbbreviation":"AI","language":"en","page":"249-258","source":"DOI.org (Crossref)","title":"Rapid response to non-indigenous species. 2. Case studies of invasive tunicates in Prince Edward Island","URL":"http://www.aquaticinvasions.net/2009/index1.html","volume":"4","author":[{"family":"Locke","given":"Andrea"},{"family":"Hanson","given":"John Mark"},{"family":"MacNair","given":"Neil G."},{"family":"Smith","given":"Arthur H."}],"accessed":{"date-parts":[["2019",11,27]]},"issued":{"date-parts":[["2009"]]}}}],"schema":"https://github.com/citation-style-language/schema/raw/master/csl-citation.json"} </w:instrText>
      </w:r>
      <w:r w:rsidR="00066A7E" w:rsidRPr="00837161">
        <w:fldChar w:fldCharType="end"/>
      </w:r>
    </w:p>
    <w:p w14:paraId="00000691" w14:textId="77777777" w:rsidR="00A758FD" w:rsidRPr="00C0338D" w:rsidRDefault="00C81287" w:rsidP="002F2F42">
      <w:pPr>
        <w:pStyle w:val="Heading2"/>
      </w:pPr>
      <w:bookmarkStart w:id="549" w:name="_Toc146810120"/>
      <w:bookmarkStart w:id="550" w:name="_Toc69314023"/>
      <w:bookmarkStart w:id="551" w:name="_Toc87623164"/>
      <w:bookmarkStart w:id="552" w:name="_Toc131681659"/>
      <w:bookmarkStart w:id="553" w:name="_Toc149555485"/>
      <w:r w:rsidRPr="00C0338D">
        <w:lastRenderedPageBreak/>
        <w:t>Control</w:t>
      </w:r>
      <w:bookmarkEnd w:id="549"/>
      <w:bookmarkEnd w:id="550"/>
      <w:bookmarkEnd w:id="551"/>
      <w:bookmarkEnd w:id="552"/>
      <w:bookmarkEnd w:id="553"/>
      <w:r w:rsidRPr="00C0338D">
        <w:t xml:space="preserve"> </w:t>
      </w:r>
    </w:p>
    <w:p w14:paraId="00000692" w14:textId="63147B92" w:rsidR="00A758FD" w:rsidRPr="00C0338D" w:rsidRDefault="00C81287">
      <w:pPr>
        <w:spacing w:before="240" w:after="120" w:line="240" w:lineRule="auto"/>
      </w:pPr>
      <w:bookmarkStart w:id="554" w:name="_heading=h.1xrdshw" w:colFirst="0" w:colLast="0"/>
      <w:bookmarkEnd w:id="554"/>
      <w:r w:rsidRPr="00C0338D">
        <w:t>Successful invasive alien species control is generally assessed as the levels of invasive alien species suppression. Objective-driven invasive alien species management may also measure improvements to biodiversity and ecosystem services in the context of sustained ecosystem restoration (</w:t>
      </w:r>
      <w:r w:rsidR="1D32FFDC" w:rsidRPr="00294242">
        <w:rPr>
          <w:b/>
          <w:iCs/>
        </w:rPr>
        <w:t>Box</w:t>
      </w:r>
      <w:r w:rsidRPr="00C0338D">
        <w:rPr>
          <w:b/>
        </w:rPr>
        <w:t xml:space="preserve"> 5.19</w:t>
      </w:r>
      <w:r w:rsidRPr="00C0338D">
        <w:t>). Invasive alien species control requires long-term monitoring for continued management actions so as to ensure sustained control. Long-term monitoring is also essential to assess efficacy and outcomes of management actions</w:t>
      </w:r>
      <w:r w:rsidR="0065630A">
        <w:t xml:space="preserve">, and </w:t>
      </w:r>
      <w:r w:rsidRPr="00C0338D">
        <w:t xml:space="preserve">assess return on investments and benefits to local communities. </w:t>
      </w:r>
      <w:bookmarkStart w:id="555" w:name="_Toc69314080"/>
      <w:bookmarkStart w:id="556" w:name="_Toc80708191"/>
    </w:p>
    <w:p w14:paraId="00000693" w14:textId="6542868C" w:rsidR="00A758FD" w:rsidRPr="002F2F42" w:rsidRDefault="00C81287" w:rsidP="002F2F42">
      <w:pPr>
        <w:keepNext/>
        <w:pBdr>
          <w:top w:val="single" w:sz="4" w:space="1" w:color="auto"/>
          <w:left w:val="single" w:sz="4" w:space="1" w:color="auto"/>
          <w:bottom w:val="single" w:sz="4" w:space="1" w:color="auto"/>
          <w:right w:val="single" w:sz="4" w:space="1" w:color="auto"/>
          <w:between w:val="nil"/>
        </w:pBdr>
        <w:shd w:val="clear" w:color="auto" w:fill="E7E6E6" w:themeFill="background2"/>
        <w:spacing w:before="240" w:after="120" w:line="240" w:lineRule="auto"/>
        <w:rPr>
          <w:b/>
          <w:color w:val="000000"/>
        </w:rPr>
      </w:pPr>
      <w:bookmarkStart w:id="557" w:name="_heading=h.4hr1b5p" w:colFirst="0" w:colLast="0"/>
      <w:bookmarkStart w:id="558" w:name="_Ref131085973"/>
      <w:bookmarkStart w:id="559" w:name="_Toc87623078"/>
      <w:bookmarkStart w:id="560" w:name="_Toc147488954"/>
      <w:bookmarkEnd w:id="557"/>
      <w:r w:rsidRPr="002F2F42">
        <w:rPr>
          <w:b/>
          <w:color w:val="000000"/>
        </w:rPr>
        <w:t>Box 5</w:t>
      </w:r>
      <w:r w:rsidR="00066A7E" w:rsidRPr="002F2F42">
        <w:rPr>
          <w:b/>
        </w:rPr>
        <w:t>.</w:t>
      </w:r>
      <w:r w:rsidR="00975896" w:rsidRPr="002F2F42">
        <w:rPr>
          <w:b/>
        </w:rPr>
        <w:fldChar w:fldCharType="begin"/>
      </w:r>
      <w:r w:rsidR="00975896" w:rsidRPr="002F2F42">
        <w:rPr>
          <w:b/>
        </w:rPr>
        <w:instrText xml:space="preserve"> SEQ Box_5. \* ARABIC </w:instrText>
      </w:r>
      <w:r w:rsidR="00975896" w:rsidRPr="002F2F42">
        <w:rPr>
          <w:b/>
        </w:rPr>
        <w:fldChar w:fldCharType="separate"/>
      </w:r>
      <w:r w:rsidR="00DC77F8" w:rsidRPr="002F2F42">
        <w:rPr>
          <w:b/>
          <w:noProof/>
        </w:rPr>
        <w:t>19</w:t>
      </w:r>
      <w:r w:rsidR="00975896" w:rsidRPr="002F2F42">
        <w:rPr>
          <w:b/>
        </w:rPr>
        <w:fldChar w:fldCharType="end"/>
      </w:r>
      <w:bookmarkEnd w:id="558"/>
      <w:r w:rsidR="00C11DFA" w:rsidRPr="002F2F42">
        <w:rPr>
          <w:b/>
        </w:rPr>
        <w:t>.</w:t>
      </w:r>
      <w:r w:rsidRPr="002F2F42">
        <w:rPr>
          <w:b/>
          <w:color w:val="000000"/>
        </w:rPr>
        <w:t xml:space="preserve"> The Working for Water programme: Social benefits from controlling invasive alien </w:t>
      </w:r>
      <w:bookmarkEnd w:id="555"/>
      <w:bookmarkEnd w:id="556"/>
      <w:bookmarkEnd w:id="559"/>
      <w:r w:rsidRPr="002F2F42">
        <w:rPr>
          <w:b/>
          <w:color w:val="000000"/>
        </w:rPr>
        <w:t>plants</w:t>
      </w:r>
      <w:bookmarkEnd w:id="560"/>
    </w:p>
    <w:p w14:paraId="73B8A4FE" w14:textId="095B11BA" w:rsidR="00066A7E" w:rsidRPr="00837161" w:rsidRDefault="00066A7E"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837161">
        <w:t xml:space="preserve">Control of widespread invasive alien species requires large-scale and continuous efforts to reduce their density. South Africa’s Working for Water </w:t>
      </w:r>
      <w:r w:rsidR="008201D9" w:rsidRPr="00837161">
        <w:t>p</w:t>
      </w:r>
      <w:r w:rsidRPr="00837161">
        <w:t>rogram</w:t>
      </w:r>
      <w:r w:rsidR="00CC130F" w:rsidRPr="00837161">
        <w:t>me</w:t>
      </w:r>
      <w:r w:rsidRPr="00837161">
        <w:t>, introduced in 1995, took advantage of the need to clear invasive alien vegetation as part of a water conservation campaign and poverty relief program</w:t>
      </w:r>
      <w:r w:rsidR="00CC130F" w:rsidRPr="00837161">
        <w:t>me</w:t>
      </w:r>
      <w:r w:rsidRPr="00837161">
        <w:t xml:space="preserve"> by creating job opportunities for thousands of local people (e.g., 20,000 jobs per year over the first 15 years of the program</w:t>
      </w:r>
      <w:r w:rsidR="00CC130F" w:rsidRPr="00837161">
        <w:t>me</w:t>
      </w:r>
      <w:r w:rsidR="0075181B" w:rsidRPr="00837161">
        <w:t>;</w:t>
      </w:r>
      <w:r w:rsidRPr="00837161">
        <w:t xml:space="preserve"> </w:t>
      </w:r>
      <w:r w:rsidRPr="00837161">
        <w:fldChar w:fldCharType="begin"/>
      </w:r>
      <w:r w:rsidR="000F35EB">
        <w:instrText xml:space="preserve"> ADDIN ZOTERO_ITEM CSL_CITATION {"citationID":"1x97oF3g","properties":{"formattedCitation":"(Lukey &amp; Hall, 2020; B. W. van Wilgen et al., 2012)","plainCitation":"(Lukey &amp; Hall, 2020; B. W. van Wilgen et al., 2012)","dontUpdate":true,"noteIndex":0},"citationItems":[{"id":29721,"uris":["http://zotero.org/groups/2352922/items/ZD7CDVWX"],"itemData":{"id":29721,"type":"chapter","container-title":"Biological Invasions in South Africa","event-place":"Cham","ISBN":"978-3-030-32393-6","language":"en","note":"DOI: 10.1007/978-3-030-32394-3_18","page":"515-551","publisher":"Springer International Publishing","publisher-place":"Cham","source":"DOI.org (Crossref)","title":"Biological Invasion Policy and Legislation Development and Implementation in South Africa","URL":"http://link.springer.com/10.1007/978-3-030-32394-3_18","volume":"14","editor":[{"family":"Wilgen","given":"Brian W.","non-dropping-particle":"van"},{"family":"Measey","given":"John"},{"family":"Richardson","given":"David M."},{"family":"Wilson","given":"John R."},{"family":"Zengeya","given":"Tsungai A."}],"author":[{"family":"Lukey","given":"Peter"},{"family":"Hall","given":"Jenny"}],"accessed":{"date-parts":[["2021",8,16]]},"issued":{"date-parts":[["2020"]]}},"label":"page"},{"id":29776,"uris":["http://zotero.org/groups/2352922/items/G2URTP2U"],"itemData":{"id":29776,"type":"article-journal","abstract":"This paper presents an assessment of a large, national-scale alien plant control program that has operated in South Africa for 15 years. We reviewed data from three national-level estimates of the extent of invasion, records of the costs and spatial extent of invasive species control operations, assessments of the effectiveness of biological control, and smaller-scale studies. The 19 most important invasive taxa, mainly trees, in terrestrial biomes were identiﬁed. The effectiveness of control efforts on the extent of invasion of these taxa was assessed. Control costs over 15 years amounted to 3.2 billion rands (US$457 million), more than half of which was spent on 10 taxa, the most prominent being in the genera Acacia, Prosopis, Pinus and Eucalyptus. Despite substantial spending, control operations were in many cases applied to a relatively small portion of the estimated invaded area, and invasions appear to have increased, and remain a serious threat, in many biomes. Our ﬁndings suggest that South Africa’s national-scale strategy to clear invasive alien plants should be substantially modiﬁed if impacts are to be effectively mitigated. Rather than attempting to control all species, and to operate in all areas, a more focused approach is called for. This would include prioritising both the species and the areas, and setting goals and monitoring the degree to which they are achieved, within a framework of adaptive management. A greater portion of funding should also be directed towards biological control, where successes have been most notable.","container-title":"Biological Conservation","DOI":"10.1016/j.biocon.2011.12.035","ISSN":"00063207","issue":"1","journalAbbreviation":"Biological Conservation","language":"en","page":"28-38","source":"DOI.org (Crossref)","title":"An assessment of the effectiveness of a large, national-scale invasive alien plant control strategy in South Africa","URL":"https://linkinghub.elsevier.com/retrieve/pii/S0006320712000808","volume":"148","author":[{"family":"Wilgen","given":"Brian W.","non-dropping-particle":"van"},{"family":"Forsyth","given":"Greg G."},{"family":"Le Maitre","given":"David C."},{"family":"Wannenburgh","given":"Andrew"},{"family":"Kotzé","given":"Johann D.F."},{"family":"Berg","given":"Elna","non-dropping-particle":"van den"},{"family":"Henderson","given":"Lesley"}],"accessed":{"date-parts":[["2019",11,4]]},"issued":{"date-parts":[["2012",4]]}},"label":"page"}],"schema":"https://github.com/citation-style-language/schema/raw/master/csl-citation.json"} </w:instrText>
      </w:r>
      <w:r w:rsidRPr="00837161">
        <w:fldChar w:fldCharType="separate"/>
      </w:r>
      <w:r w:rsidRPr="00837161">
        <w:t>Lukey &amp; Hall, 2020; van Wilgen et al., 2012)</w:t>
      </w:r>
      <w:r w:rsidRPr="00837161">
        <w:fldChar w:fldCharType="end"/>
      </w:r>
      <w:r w:rsidRPr="00837161">
        <w:t xml:space="preserve">. The </w:t>
      </w:r>
      <w:r w:rsidR="008201D9" w:rsidRPr="00837161">
        <w:t>p</w:t>
      </w:r>
      <w:r w:rsidRPr="00837161">
        <w:t>rogram</w:t>
      </w:r>
      <w:r w:rsidR="00CC130F" w:rsidRPr="00837161">
        <w:t>me</w:t>
      </w:r>
      <w:r w:rsidRPr="00837161">
        <w:t xml:space="preserve"> also provided training in entrepreneurial and management skills and a sense of community among workers, especially women </w:t>
      </w:r>
      <w:r w:rsidRPr="00837161">
        <w:fldChar w:fldCharType="begin"/>
      </w:r>
      <w:r w:rsidR="000F35EB">
        <w:instrText xml:space="preserve"> ADDIN ZOTERO_ITEM CSL_CITATION {"citationID":"FMX5B8Nc","properties":{"formattedCitation":"(Binns et al., 2001)","plainCitation":"(Binns et al., 2001)","noteIndex":0},"citationItems":[{"id":16152,"uris":["http://zotero.org/groups/2352922/items/NQP7LAV2"],"itemData":{"id":16152,"type":"article-journal","abstract":"In the post-apartheid era, South Africa is experiencing a serious water supply crisis as demand increases from both rural areas and rapidly growing towns and cities. New dams and water transfer schemes are being constructed, but they are both controversial and unlikely to fully satisfy demand. Alien species of trees and plants have invaded many parts of the country, taking over land from indigenous species. These alien species consume much more water than the indigenous vegetation, as well as threatening biodiversity and constituting a signi®cant ®re hazard. The Working for Water Programme, established in 1995, and working in partnership with local communities, aims to clear invasive alien species and thus increase water supply. The programme is examined in terms of its impact on environment and the livelihoods of predominantly poor rural communities. Questions are raised about the future sustainability of the programme. Copyright # 2001 John Wiley &amp; Sons, Ltd.","container-title":"Land Degradation &amp; Development","DOI":"10.1002/ldr.455","ISSN":"1085-3278, 1099-145X","issue":"4","journalAbbreviation":"Land Degrad. Dev.","language":"en","page":"341-355","source":"DOI.org (Crossref)","title":"Water shortage, deforestation and development: South Africa's working for water programme","title-short":"Water shortage, deforestation and development","URL":"http://doi.wiley.com/10.1002/ldr.455","volume":"12","author":[{"family":"Binns","given":"J. A."},{"family":"Illgner","given":"P. M."},{"family":"Nel","given":"E. L."}],"accessed":{"date-parts":[["2019",11,20]]},"issued":{"date-parts":[["2001",7]]}}}],"schema":"https://github.com/citation-style-language/schema/raw/master/csl-citation.json"} </w:instrText>
      </w:r>
      <w:r w:rsidRPr="00837161">
        <w:fldChar w:fldCharType="separate"/>
      </w:r>
      <w:r w:rsidR="00271B78" w:rsidRPr="00271B78">
        <w:t>(Binns et al., 2001)</w:t>
      </w:r>
      <w:r w:rsidRPr="00837161">
        <w:fldChar w:fldCharType="end"/>
      </w:r>
      <w:r w:rsidRPr="00837161">
        <w:t xml:space="preserve">. The </w:t>
      </w:r>
      <w:r w:rsidR="008201D9" w:rsidRPr="00837161">
        <w:t>p</w:t>
      </w:r>
      <w:r w:rsidRPr="00837161">
        <w:t>rogram</w:t>
      </w:r>
      <w:r w:rsidR="00CC130F" w:rsidRPr="00837161">
        <w:t>me</w:t>
      </w:r>
      <w:r w:rsidRPr="00837161">
        <w:t xml:space="preserve"> </w:t>
      </w:r>
      <w:r w:rsidR="2B2A841A" w:rsidRPr="00837161">
        <w:t>ad</w:t>
      </w:r>
      <w:r w:rsidR="314C2753" w:rsidRPr="00837161">
        <w:t>d</w:t>
      </w:r>
      <w:r w:rsidR="2B2A841A" w:rsidRPr="00837161">
        <w:t>ressed</w:t>
      </w:r>
      <w:r w:rsidRPr="00837161">
        <w:t xml:space="preserve"> a national imperative to improve good quality of life of </w:t>
      </w:r>
      <w:r w:rsidR="67C8E1E5" w:rsidRPr="00837161">
        <w:t>predominantly</w:t>
      </w:r>
      <w:r w:rsidRPr="00837161">
        <w:t xml:space="preserve"> poor rural communities, while managing the spread of many invasive alien plants, and for some species, reducing the area of invasion </w:t>
      </w:r>
      <w:r w:rsidRPr="00837161">
        <w:fldChar w:fldCharType="begin"/>
      </w:r>
      <w:r w:rsidR="000F35EB">
        <w:instrText xml:space="preserve"> ADDIN ZOTERO_ITEM CSL_CITATION {"citationID":"tqQk8TQ3","properties":{"formattedCitation":"(J. R. U. Wilson et al., 2013)","plainCitation":"(J. R. U. Wilson et al., 2013)","dontUpdate":true,"noteIndex":0},"citationItems":[{"id":24828,"uris":["http://zotero.org/groups/2352922/items/2EQIYZQ2"],"itemData":{"id":24828,"type":"article-journal","container-title":"South African Journal of Science","DOI":"10.1590/sajs.2013/20120111","ISSN":"00382353, 19967489","issue":"5/6","journalAbbreviation":"SAJS","language":"en","page":"1-13","source":"DOI.org (Crossref)","title":"A new national unit for invasive species detection, assessment and eradication planning","URL":"http://sajs.co.za/article/view/3891","volume":"109","author":[{"family":"Wilson","given":"John R. U."},{"family":"Ivey","given":"Philip"},{"family":"Manyama","given":"Phetole"},{"family":"Nänni","given":"Ingrid"}],"accessed":{"date-parts":[["2021",3,12]]},"issued":{"date-parts":[["2013"]]}}}],"schema":"https://github.com/citation-style-language/schema/raw/master/csl-citation.json"} </w:instrText>
      </w:r>
      <w:r w:rsidRPr="00837161">
        <w:fldChar w:fldCharType="separate"/>
      </w:r>
      <w:r w:rsidRPr="00837161">
        <w:t>(Wilson et al., 2013)</w:t>
      </w:r>
      <w:r w:rsidRPr="00837161">
        <w:fldChar w:fldCharType="end"/>
      </w:r>
      <w:r w:rsidRPr="00837161">
        <w:t>. Although sustainability of the program</w:t>
      </w:r>
      <w:r w:rsidR="00CC130F" w:rsidRPr="00837161">
        <w:t>me</w:t>
      </w:r>
      <w:r w:rsidRPr="00837161">
        <w:t xml:space="preserve"> has been a concern </w:t>
      </w:r>
      <w:r w:rsidRPr="00837161">
        <w:fldChar w:fldCharType="begin"/>
      </w:r>
      <w:r w:rsidR="000F35EB">
        <w:instrText xml:space="preserve"> ADDIN ZOTERO_ITEM CSL_CITATION {"citationID":"lQq1ad1i","properties":{"formattedCitation":"(Binns et al., 2001)","plainCitation":"(Binns et al., 2001)","noteIndex":0},"citationItems":[{"id":16152,"uris":["http://zotero.org/groups/2352922/items/NQP7LAV2"],"itemData":{"id":16152,"type":"article-journal","abstract":"In the post-apartheid era, South Africa is experiencing a serious water supply crisis as demand increases from both rural areas and rapidly growing towns and cities. New dams and water transfer schemes are being constructed, but they are both controversial and unlikely to fully satisfy demand. Alien species of trees and plants have invaded many parts of the country, taking over land from indigenous species. These alien species consume much more water than the indigenous vegetation, as well as threatening biodiversity and constituting a signi®cant ®re hazard. The Working for Water Programme, established in 1995, and working in partnership with local communities, aims to clear invasive alien species and thus increase water supply. The programme is examined in terms of its impact on environment and the livelihoods of predominantly poor rural communities. Questions are raised about the future sustainability of the programme. Copyright # 2001 John Wiley &amp; Sons, Ltd.","container-title":"Land Degradation &amp; Development","DOI":"10.1002/ldr.455","ISSN":"1085-3278, 1099-145X","issue":"4","journalAbbreviation":"Land Degrad. Dev.","language":"en","page":"341-355","source":"DOI.org (Crossref)","title":"Water shortage, deforestation and development: South Africa's working for water programme","title-short":"Water shortage, deforestation and development","URL":"http://doi.wiley.com/10.1002/ldr.455","volume":"12","author":[{"family":"Binns","given":"J. A."},{"family":"Illgner","given":"P. M."},{"family":"Nel","given":"E. L."}],"accessed":{"date-parts":[["2019",11,20]]},"issued":{"date-parts":[["2001",7]]}}}],"schema":"https://github.com/citation-style-language/schema/raw/master/csl-citation.json"} </w:instrText>
      </w:r>
      <w:r w:rsidRPr="00837161">
        <w:fldChar w:fldCharType="separate"/>
      </w:r>
      <w:r w:rsidR="00271B78" w:rsidRPr="00271B78">
        <w:t>(Binns et al., 2001)</w:t>
      </w:r>
      <w:r w:rsidRPr="00837161">
        <w:fldChar w:fldCharType="end"/>
      </w:r>
      <w:r w:rsidRPr="00837161">
        <w:t xml:space="preserve">, the Working for Water </w:t>
      </w:r>
      <w:r w:rsidR="008201D9" w:rsidRPr="00837161">
        <w:t>p</w:t>
      </w:r>
      <w:r w:rsidRPr="00837161">
        <w:t>rogram</w:t>
      </w:r>
      <w:r w:rsidR="00CC130F" w:rsidRPr="00837161">
        <w:t>me</w:t>
      </w:r>
      <w:r w:rsidRPr="00837161">
        <w:t xml:space="preserve"> has been ongoing for more than 25 years and is seen as a successful example of invasive alien species control which has brought ecological and social benefits in partnership with various stakeholders </w:t>
      </w:r>
      <w:r w:rsidRPr="00837161">
        <w:fldChar w:fldCharType="begin"/>
      </w:r>
      <w:r w:rsidR="000F35EB">
        <w:instrText xml:space="preserve"> ADDIN ZOTERO_ITEM CSL_CITATION {"citationID":"vJyXJgG2","properties":{"formattedCitation":"(Lukey &amp; Hall, 2020)","plainCitation":"(Lukey &amp; Hall, 2020)","noteIndex":0},"citationItems":[{"id":29721,"uris":["http://zotero.org/groups/2352922/items/ZD7CDVWX"],"itemData":{"id":29721,"type":"chapter","container-title":"Biological Invasions in South Africa","event-place":"Cham","ISBN":"978-3-030-32393-6","language":"en","note":"DOI: 10.1007/978-3-030-32394-3_18","page":"515-551","publisher":"Springer International Publishing","publisher-place":"Cham","source":"DOI.org (Crossref)","title":"Biological Invasion Policy and Legislation Development and Implementation in South Africa","URL":"http://link.springer.com/10.1007/978-3-030-32394-3_18","volume":"14","editor":[{"family":"Wilgen","given":"Brian W.","non-dropping-particle":"van"},{"family":"Measey","given":"John"},{"family":"Richardson","given":"David M."},{"family":"Wilson","given":"John R."},{"family":"Zengeya","given":"Tsungai A."}],"author":[{"family":"Lukey","given":"Peter"},{"family":"Hall","given":"Jenny"}],"accessed":{"date-parts":[["2021",8,16]]},"issued":{"date-parts":[["2020"]]}},"label":"page"}],"schema":"https://github.com/citation-style-language/schema/raw/master/csl-citation.json"} </w:instrText>
      </w:r>
      <w:r w:rsidRPr="00837161">
        <w:fldChar w:fldCharType="separate"/>
      </w:r>
      <w:r w:rsidR="00271B78" w:rsidRPr="00271B78">
        <w:t>(Lukey &amp; Hall, 2020)</w:t>
      </w:r>
      <w:r w:rsidRPr="00837161">
        <w:fldChar w:fldCharType="end"/>
      </w:r>
      <w:r w:rsidRPr="00837161">
        <w:t>. The program</w:t>
      </w:r>
      <w:r w:rsidR="00CC130F" w:rsidRPr="00837161">
        <w:t>me</w:t>
      </w:r>
      <w:r w:rsidRPr="00837161">
        <w:t xml:space="preserve"> contributed primarily to employment</w:t>
      </w:r>
      <w:r w:rsidR="436EDAE7" w:rsidRPr="00837161">
        <w:t xml:space="preserve"> </w:t>
      </w:r>
      <w:r w:rsidR="7E6A8FAF" w:rsidRPr="00837161">
        <w:t>generation</w:t>
      </w:r>
      <w:r w:rsidR="436EDAE7" w:rsidRPr="00837161">
        <w:t>,</w:t>
      </w:r>
      <w:r w:rsidR="00F26EC4" w:rsidRPr="00837161">
        <w:t xml:space="preserve"> </w:t>
      </w:r>
      <w:r w:rsidRPr="00837161">
        <w:t>rural development</w:t>
      </w:r>
      <w:r w:rsidR="00C16EEB">
        <w:t xml:space="preserve"> and</w:t>
      </w:r>
      <w:r w:rsidRPr="00837161">
        <w:t xml:space="preserve"> water s</w:t>
      </w:r>
      <w:r w:rsidR="66D9CE49" w:rsidRPr="00837161">
        <w:t>ecurity</w:t>
      </w:r>
      <w:r w:rsidRPr="00837161">
        <w:t xml:space="preserve">. </w:t>
      </w:r>
    </w:p>
    <w:p w14:paraId="00000695" w14:textId="55F7443A" w:rsidR="00A758FD" w:rsidRPr="00C0338D" w:rsidRDefault="004E5B63">
      <w:pPr>
        <w:spacing w:before="240" w:after="120" w:line="240" w:lineRule="auto"/>
      </w:pPr>
      <w:r w:rsidRPr="00837161">
        <w:rPr>
          <w:i/>
          <w:iCs/>
        </w:rPr>
        <w:t>Lissachatina fulica</w:t>
      </w:r>
      <w:r w:rsidRPr="00837161">
        <w:t xml:space="preserve"> (g</w:t>
      </w:r>
      <w:r w:rsidR="00066A7E" w:rsidRPr="00837161">
        <w:t xml:space="preserve">iant African </w:t>
      </w:r>
      <w:r w:rsidRPr="00837161">
        <w:t>land s</w:t>
      </w:r>
      <w:r w:rsidR="00066A7E" w:rsidRPr="00837161">
        <w:t>nail), native to East Africa,</w:t>
      </w:r>
      <w:r w:rsidR="442F0A5E" w:rsidRPr="00837161">
        <w:t xml:space="preserve"> is</w:t>
      </w:r>
      <w:r w:rsidR="00066A7E" w:rsidRPr="00837161">
        <w:t xml:space="preserve"> listed as one among 100 of the world’s worst invasive alien species </w:t>
      </w:r>
      <w:r w:rsidR="00066A7E" w:rsidRPr="00837161">
        <w:fldChar w:fldCharType="begin"/>
      </w:r>
      <w:r w:rsidR="000F35EB">
        <w:instrText xml:space="preserve"> ADDIN ZOTERO_ITEM CSL_CITATION {"citationID":"LNXm16sj","properties":{"formattedCitation":"(Lowe et al., 2000)","plainCitation":"(Lowe et al., 2000)","noteIndex":0},"citationItems":[{"id":26554,"uris":["http://zotero.org/groups/2352922/items/I3XN7PAC"],"itemData":{"id":26554,"type":"book","number-of-pages":"12","publisher":"Invasive Species Specialist Group Auckland, New Zealand","title":"100 of the world's worst invasive alien species: a selection from the global invasive species database","URL":"www.issg.org/booklet.pdf","author":[{"family":"Lowe","given":"Sarah"},{"family":"Browne","given":"Michael"},{"family":"Boudjelas","given":"Souyad"},{"family":"De Poorter","given":"M"}],"issued":{"date-parts":[["2000"]]}},"label":"page"}],"schema":"https://github.com/citation-style-language/schema/raw/master/csl-citation.json"} </w:instrText>
      </w:r>
      <w:r w:rsidR="00066A7E" w:rsidRPr="00837161">
        <w:fldChar w:fldCharType="separate"/>
      </w:r>
      <w:r w:rsidR="00271B78" w:rsidRPr="00271B78">
        <w:t>(Lowe et al., 2000)</w:t>
      </w:r>
      <w:r w:rsidR="00066A7E" w:rsidRPr="00837161">
        <w:fldChar w:fldCharType="end"/>
      </w:r>
      <w:r w:rsidR="00066A7E" w:rsidRPr="00837161">
        <w:t>.</w:t>
      </w:r>
      <w:r w:rsidR="00C81287" w:rsidRPr="00C0338D">
        <w:t xml:space="preserve"> Recorded from over 50 countries in all continents except Antarctica</w:t>
      </w:r>
      <w:r w:rsidR="0065630A">
        <w:t>,</w:t>
      </w:r>
      <w:r w:rsidR="00C81287" w:rsidRPr="00C0338D">
        <w:t xml:space="preserve"> it causes significant impacts on crops </w:t>
      </w:r>
      <w:r w:rsidR="00066A7E" w:rsidRPr="00837161">
        <w:fldChar w:fldCharType="begin"/>
      </w:r>
      <w:r w:rsidR="000F35EB">
        <w:instrText xml:space="preserve"> ADDIN ZOTERO_ITEM CSL_CITATION {"citationID":"0jYG9ht4","properties":{"formattedCitation":"(Sankaran, 2008)","plainCitation":"(Sankaran, 2008)","noteIndex":0},"citationItems":[{"id":10085,"uris":["http://zotero.org/groups/2352922/items/8962C5E8"],"itemData":{"id":10085,"type":"document","title":"Giant African Snail. Pest Fact Sheet. Asia-Pacific Forest Invasive Species Network, FAO, Bangkok, apfisn.net","URL":"https://apfisn.net/wp-content/uploads/2018/07/Achatina-fulica_0.pdf","author":[{"family":"Sankaran","given":"K. V."}],"accessed":{"date-parts":[["2021",11,11]]},"issued":{"date-parts":[["2008"]]}},"label":"page"}],"schema":"https://github.com/citation-style-language/schema/raw/master/csl-citation.json"} </w:instrText>
      </w:r>
      <w:r w:rsidR="00066A7E" w:rsidRPr="00837161">
        <w:fldChar w:fldCharType="separate"/>
      </w:r>
      <w:r w:rsidR="00271B78" w:rsidRPr="00271B78">
        <w:t>(Sankaran, 2008)</w:t>
      </w:r>
      <w:r w:rsidR="00066A7E" w:rsidRPr="00837161">
        <w:fldChar w:fldCharType="end"/>
      </w:r>
      <w:r w:rsidR="00066A7E" w:rsidRPr="00837161">
        <w:t>.</w:t>
      </w:r>
      <w:r w:rsidR="00C81287" w:rsidRPr="00C0338D">
        <w:t xml:space="preserve"> Physical and chemical methods were unsuccessful in managing the snail. Common molluscicides are useful for short term control but resulted in soil and water pollution and affected non-target snails. The Kerala Forest Research Institute, India has since developed a non-polluting method</w:t>
      </w:r>
      <w:r w:rsidR="0065630A">
        <w:t>,</w:t>
      </w:r>
      <w:r w:rsidR="00C81287" w:rsidRPr="00C0338D">
        <w:t xml:space="preserve"> which is effective for </w:t>
      </w:r>
      <w:r w:rsidR="00C81287" w:rsidRPr="00C0338D">
        <w:rPr>
          <w:i/>
        </w:rPr>
        <w:t>Lissachatina fulica</w:t>
      </w:r>
      <w:r w:rsidR="00C81287" w:rsidRPr="00C0338D">
        <w:t xml:space="preserve"> management in the longer term. The control method involves two stages 1) baiting and 2) point chemical treatment, resulting in 100 per cent mortality without non-target impacts. Dead snails are buried in soil. Local communities have accepted this method and are now practicing it </w:t>
      </w:r>
      <w:r w:rsidR="00066A7E" w:rsidRPr="00837161">
        <w:fldChar w:fldCharType="begin"/>
      </w:r>
      <w:r w:rsidR="000F35EB">
        <w:instrText xml:space="preserve"> ADDIN ZOTERO_ITEM CSL_CITATION {"citationID":"5OqzjMjx","properties":{"formattedCitation":"(Maneetha et al., 2017)","plainCitation":"(Maneetha et al., 2017)","noteIndex":0},"citationItems":[{"id":31359,"uris":["http://zotero.org/groups/2352922/items/RVBUQUI5"],"itemData":{"id":31359,"type":"article-journal","abstract":"An article on Giant African Snail","container-title":"Envis Newsletter","issue":"1","language":"en","page":"2-8","title":"Prediction modeling of Giant African Snail (&lt;i&gt;Achatina fulica&lt;/i&gt;) infestation and evaluation of institutional mechanism for its management in Kerala","URL":"https://www.scribd.com/document/430630061/Envis-Paper-Maneetha","volume":"23","author":[{"family":"Maneetha","given":"T. K."},{"family":"Sajeev","given":"T. V."},{"family":"Suganthasakthivel","given":"R."}],"accessed":{"date-parts":[["2021",11,18]]},"issued":{"date-parts":[["2017"]]}},"label":"page"}],"schema":"https://github.com/citation-style-language/schema/raw/master/csl-citation.json"} </w:instrText>
      </w:r>
      <w:r w:rsidR="00066A7E" w:rsidRPr="00837161">
        <w:fldChar w:fldCharType="separate"/>
      </w:r>
      <w:r w:rsidR="00271B78" w:rsidRPr="00271B78">
        <w:t>(Maneetha et al., 2017)</w:t>
      </w:r>
      <w:r w:rsidR="00066A7E" w:rsidRPr="00837161">
        <w:fldChar w:fldCharType="end"/>
      </w:r>
      <w:r w:rsidR="00066A7E" w:rsidRPr="00837161">
        <w:t>.</w:t>
      </w:r>
    </w:p>
    <w:p w14:paraId="00000696" w14:textId="23D585C1" w:rsidR="00A758FD" w:rsidRPr="002F2F42" w:rsidRDefault="00C81287">
      <w:pPr>
        <w:spacing w:before="240" w:after="120" w:line="240" w:lineRule="auto"/>
        <w:rPr>
          <w:lang w:val="es-ES"/>
        </w:rPr>
      </w:pPr>
      <w:r w:rsidRPr="00C0338D">
        <w:t>China has lost millions of native pine trees (</w:t>
      </w:r>
      <w:r w:rsidRPr="00C0338D">
        <w:rPr>
          <w:i/>
        </w:rPr>
        <w:t>Pinus tabuliformis</w:t>
      </w:r>
      <w:r w:rsidRPr="00C0338D">
        <w:t xml:space="preserve"> (Chinese pine) and </w:t>
      </w:r>
      <w:r w:rsidRPr="00C0338D">
        <w:rPr>
          <w:i/>
        </w:rPr>
        <w:t>Pinus bungeana</w:t>
      </w:r>
      <w:r w:rsidRPr="00C0338D">
        <w:t xml:space="preserve"> (lace bark pine))</w:t>
      </w:r>
      <w:r w:rsidRPr="00C0338D">
        <w:rPr>
          <w:i/>
        </w:rPr>
        <w:t xml:space="preserve"> </w:t>
      </w:r>
      <w:r w:rsidRPr="00C0338D">
        <w:t xml:space="preserve">to </w:t>
      </w:r>
      <w:r w:rsidRPr="00C0338D">
        <w:rPr>
          <w:i/>
        </w:rPr>
        <w:t>Dendroctonus valens</w:t>
      </w:r>
      <w:r w:rsidRPr="00C0338D">
        <w:t xml:space="preserve"> (red turpentine beetle) introduced from North America in logs in the 1980s</w:t>
      </w:r>
      <w:r w:rsidR="0065630A">
        <w:t>,</w:t>
      </w:r>
      <w:r w:rsidRPr="00C0338D">
        <w:t xml:space="preserve"> </w:t>
      </w:r>
      <w:r w:rsidR="0065630A">
        <w:t>which</w:t>
      </w:r>
      <w:r w:rsidR="0065630A" w:rsidRPr="00C0338D">
        <w:t xml:space="preserve"> </w:t>
      </w:r>
      <w:r w:rsidRPr="00C0338D">
        <w:t xml:space="preserve">has led to loss of tree cover leading to ecosystem change, lost carbon sequestration and biodiversity. To manage this invasive alien species, China has adopted an adaptive integrated management approach built on strong regulatory controls on timber movement and silvicultural, insecticidal and semiochemical trapping. The programme has limited the rapid pest spread and further impact on the native pine trees </w:t>
      </w:r>
      <w:r w:rsidR="00066A7E" w:rsidRPr="00837161">
        <w:fldChar w:fldCharType="begin"/>
      </w:r>
      <w:r w:rsidR="000F35EB">
        <w:instrText xml:space="preserve"> ADDIN ZOTERO_ITEM CSL_CITATION {"citationID":"H3zK0JcH","properties":{"unsorted":true,"formattedCitation":"(Yan et al., 2005; J. Sun et al., 2013; Wan et al., 2017)","plainCitation":"(Yan et al., 2005; J. Sun et al., 2013; Wan et al., 2017)","noteIndex":0},"citationItems":[{"id":10063,"uris":["http://zotero.org/groups/2352922/items/K9IJK6SN"],"itemData":{"id":10063,"type":"article-journal","abstract":"An exotic invasive pest of pines, the red turpentine beetle, Dendroctonus valens LeConte (Scolytidae) (RTB), was first detected in Shanxi Province, northern China, in 1998 and started causing widespread tree mortality there in 1999. This outbreak continues and has spread to three adjacent provinces, causing unprecedented tree mortality. Although it is considered a minor pest of pines in North America, RTB has proven to be an aggressive and destructive pest of Pinus tabuliformis, China’s most widely planted pine species. The bionomics and occurrence, distribution, response to host volatiles, and host preference of this pine beetle in China are compared with what is known of the beetle in its native range in North America. Factors likely contributing to D. valens success in China and control of the beetle outbreak are discussed. (−)-β-pinene was shown to be the most attractive host volatile for D. valens from the Sierra Nevada of California, whereas 3-(+)-carene is the most attractive host volatile for beetles in China. Monocultures of Pinus tabuliformis, several consecutive years of drought conditions and warm winters have apparently factored D. valens invasion and establishment in China.","container-title":"Biodiversity &amp; Conservation","DOI":"10.1007/s10531-004-0697-9","ISSN":"1572-9710","issue":"7","journalAbbreviation":"Biodivers Conserv","language":"en","page":"1735-1760","source":"Springer Link","title":"The red turpentine beetle, &lt;i&gt;Dendroctonus valens&lt;/i&gt; LeConte (Scolytidae): an exotic invasive pest of pine in China","title-short":"The red turpentine beetle, Dendroctonus valens LeConte (Scolytidae)","URL":"https://doi.org/10.1007/s10531-004-0697-9","volume":"14","author":[{"family":"Yan","given":"Zhengliang"},{"family":"Sun","given":"Jianghua"},{"family":"Don","given":"Owen"},{"family":"Zhang","given":"Zhongning"}],"accessed":{"date-parts":[["2021",11,13]]},"issued":{"date-parts":[["2005",6,1]]}},"label":"page"},{"id":31358,"uris":["http://zotero.org/groups/2352922/items/92X8WNHJ"],"itemData":{"id":31358,"type":"article-journal","abstract":"The red turpentine beetle (RTB), Dendroctonus valens LeConte (Coleoptera: Curculionidae: Scolytinae), is a secondary pest of pines in its native range in North and Central America. Outbreaks and tree mortality attributed to RTB alone are rare in its native range. RTB was introduced into China in the early 1980s and spread rapidly from Shanxi Province to four adjacent provinces; it has infested over 500,000 ha of pine forest and has caused extensive tree mortality since 1999. We provide a historical background on RTB outbreaks, explanations for its invasive success, management options, and economic impacts of RTB in China. Genetic variation in RTB fungal associates, interactions between RTB and its associated fungi, behavioral differences in Chinese RTB, and other factors favoring RTB outbreaks are considered in an effort to explain the invasiveness of RTB in China. The promise of semiochemicals as a management tool is also discussed.","container-title":"Annual Review of Entomology","DOI":"10.1146/annurev-ento-120811-153624","ISSN":"0066-4170, 1545-4487","issue":"1","journalAbbreviation":"Annu. Rev. Entomol.","language":"en","page":"293-311","source":"DOI.org (Crossref)","title":"Red Turpentine Beetle: Innocuous Native Becomes Invasive Tree Killer in China","title-short":"Red Turpentine Beetle","URL":"https://www.annualreviews.org/doi/10.1146/annurev-ento-120811-153624","volume":"58","author":[{"family":"Sun","given":"Jianghua"},{"family":"Lu","given":"Min"},{"family":"Gillette","given":"Nancy E."},{"family":"Wingfield","given":"Michael J."}],"accessed":{"date-parts":[["2021",11,18]]},"issued":{"date-parts":[["2013",1,7]]}},"label":"page"},{"id":10003,"uris":["http://zotero.org/groups/2352922/items/XJ5K72D6"],"itemData":{"id":10003,"type":"book","call-number":"QH353 .B562 2017","collection-number":"volume 11, 13","collection-title":"Invading nature","event-place":"Dordrecht, The Netherlands","ISBN":"978-94-024-0946-8","number-of-pages":"2","publisher":"Springer","publisher-place":"Dordrecht, The Netherlands","source":"Library Catalog (Blacklight)","title":"Biological invasions and its management in China","editor":[{"family":"Wan","given":"Fanghao"},{"family":"Jiang","given":"Mingxing"},{"family":"Zhan","given":"Aibin"}],"issued":{"date-parts":[["2017"]]}},"label":"page"}],"schema":"https://github.com/citation-style-language/schema/raw/master/csl-citation.json"} </w:instrText>
      </w:r>
      <w:r w:rsidR="00066A7E" w:rsidRPr="00837161">
        <w:fldChar w:fldCharType="separate"/>
      </w:r>
      <w:r w:rsidR="00271B78" w:rsidRPr="00271B78">
        <w:t>(Yan et al., 2005; J. Sun et al., 2013; Wan et al., 2017)</w:t>
      </w:r>
      <w:r w:rsidR="00066A7E" w:rsidRPr="00837161">
        <w:fldChar w:fldCharType="end"/>
      </w:r>
      <w:r w:rsidR="00066A7E" w:rsidRPr="00767086">
        <w:rPr>
          <w:lang w:val="es-ES"/>
        </w:rPr>
        <w:t>.</w:t>
      </w:r>
      <w:r w:rsidRPr="002F2F42">
        <w:rPr>
          <w:lang w:val="es-ES"/>
        </w:rPr>
        <w:t xml:space="preserve"> </w:t>
      </w:r>
    </w:p>
    <w:p w14:paraId="00000697" w14:textId="386ED2F5" w:rsidR="00A758FD" w:rsidRPr="00C0338D" w:rsidRDefault="00C81287">
      <w:pPr>
        <w:spacing w:before="240" w:after="120" w:line="240" w:lineRule="auto"/>
      </w:pPr>
      <w:r w:rsidRPr="00C0338D">
        <w:t xml:space="preserve">Most Indigenous Peoples and local communities control invasive alien species through physical removal, especially invasive alien plants. Managing crop weeds on smallholder cropping lands in Africa is largely done by women and children, and is often their most time-consuming activity </w:t>
      </w:r>
      <w:r w:rsidR="00066A7E" w:rsidRPr="00837161">
        <w:fldChar w:fldCharType="begin"/>
      </w:r>
      <w:r w:rsidR="000F35EB">
        <w:instrText xml:space="preserve"> ADDIN ZOTERO_ITEM CSL_CITATION {"citationID":"pqs6oyhe","properties":{"formattedCitation":"(Chikoye et al., 2006; Orr et al., 2002; Terefe et al., 2020; Vissoh et al., 2004)","plainCitation":"(Chikoye et al., 2006; Orr et al., 2002; Terefe et al., 2020; Vissoh et al., 2004)","noteIndex":0},"citationItems":[{"id":25582,"uris":["http://zotero.org/groups/2352922/items/HX5MLJ9V"],"itemData":{"id":25582,"type":"article-journal","abstract":"Speargrass severely constraints crop production in the sub-humid lowlands of West Africa. Researchers have identified and demonstrated effective management techniques but the adoption rate among farmers is still low. Data were collected from 41 communities in Cross River, Kogi and Benue States in Nigeria using rural rapid appraisal techniques. The objectives were to assess the importance of agriculture in the livelihoods of each community, identify priority crops, assess perceptions of the speargrass problem, identify existing speargrass control strategies and local institutions/farmers with the capacity to implement speargrass control trials. Crop production was the main source of livelihood for all households. The most important crops from the perspectives of both food security and cash sale were cassava and yam, and these were most affected by the weed. Speargrass was the major constraint to crop production because of lack of capital for hiring labour and purchasing inputs, declining soil fertility, bush burning, deforestation, continuous cropping and lack of required skills. Slashing, hand-pulling, burning, deep digging and fallowing were the most common control methods used by farmers, but these were very labour intensive and ultimately not effective. Farmers assessed speargrass control measures through labour and cash requirements, material availability, effectiveness, time span to achieve control and crop yields. They rated chemical control most highly. Longer fallow periods and re-afforestation were effective but impractical as pressure on land intensifies from population growth. From the results of this study, we conclude that the use of community-based participatory approaches is essential to identify various technologies for combating speargrass.","container-title":"Journal of Food, Agriculture &amp; Environment","issue":"3&amp;4","language":"en","page":"118-126","source":"Zotero","title":"Farmers’ perceptions of the speargrass (&lt;i&gt;Imperata cylindrica&lt;/i&gt;) problem and its control in the lowland sub-humid savannah of Nigeria","URL":"https://www.academia.edu/48826875/Farmers_perceptions_of_the_speargrass_Imperata_cylindrica_problem_and_its_control_in_the_lowland_sub_humid_savannah_of_Nigeria","volume":"4","author":[{"family":"Chikoye","given":"David"},{"family":"Ellis-Jones","given":"Jim"},{"family":"Tarawali","given":"Gbassey"},{"family":"Kormawa","given":"Patrick"},{"family":"Nielsen","given":"Ole"},{"family":"Ibana","given":"Simon"},{"family":"Avav","given":"Ter-Rumun"}],"issued":{"date-parts":[["2006"]]}},"label":"page"},{"id":11288,"uris":["http://zotero.org/groups/2352922/items/SD66GEQT"],"itemData":{"id":11288,"type":"article-journal","abstract":"The concept of agricultural `performance’ is explored through a case study of smallholder weed management in Southern Malawi. Weeding performance was analysed at the aggregate, farm and field level using survey data for three crop seasons. Farmer decisionmaking for weeding was modelled using a hierarchical decision-tree. Rainfall, termites, fertilizer use and labour supply were identified as the main determinants of timely weeding. Farmers had developed specific weeding techniques to cope with these contingencies. Understanding weeding as a farmer `performance’ highlights the importance of diagnostic research to codify farmer knowledge and exposes the limitations of prescriptive research recommendations based on a fixed, predetermined plan. We argue that in the short- to medium-term, the most effective strategy for improving the timeliness of weeding is to increase the effective demand for hired labour. This will require crop management interventions that improve the ability of the farming system to generate cash income for reinvestment.","container-title":"International Journal of Pest Management","DOI":"10.1080/09670870210149808","ISSN":"0967-0874, 1366-5863","issue":"4","journalAbbreviation":"International Journal of Pest Management","language":"en","page":"265-278","source":"DOI.org (Crossref)","title":"Modelling agricultural 'performance': Smallholder weed management in Southern Malawi","title-short":"Modelling agricultural 'performance'","URL":"http://www.tandfonline.com/doi/abs/10.1080/09670870210149808","volume":"48","author":[{"family":"Orr","given":"A."},{"family":"Mwale","given":"B."},{"family":"Saiti","given":"D."}],"accessed":{"date-parts":[["2019",11,10]]},"issued":{"date-parts":[["2002",1]]}},"label":"page"},{"id":56656,"uris":["http://zotero.org/groups/2352922/items/P8MM8AHW","http://zotero.org/groups/2352922/items/7R88LVNA"],"itemData":{"id":56656,"type":"report","note":"DOI: 10.1079/CABICOMM-62-8140","publisher":"CABI","source":"DOI.org (Crossref)","title":"Invasive species management - Integrating a gender perspective","URL":"https://www.cabi.org/wp-content/uploads/Final_AOI_and_Gender_Briefing.pdf","author":[{"family":"Terefe","given":"Bethel"},{"family":"Williams","given":"Frances"},{"family":"Lamontagne-Godwin","given":"Julien"}],"accessed":{"date-parts":[["2023",6,8]]},"issued":{"date-parts":[["2020",9]]}},"label":"page"},{"id":15814,"uris":["http://zotero.org/groups/2352922/items/CBYPB6DM"],"itemData":{"id":15814,"type":"article-journal","abstract":"Weeds are an emerging constraint on crop production, as a result of population pressure and more intensive use of cultivated land. A diagnostic study was carried out from June through August 2002 in the five agro-ecological zones of Benin (1) to identify the relative importance of weeds among major production constraints, (2) to better understand farmers’ perceptions of weed problems, and (3) to take cognizance of their reactions and the different actors involved in weed management technology development. The study also aimed at suggesting the development of weed management strategies that work and are acceptable under small-scale farmers’ conditions. Data were collected through semi-structured and unstructured group and/or individual interviews, and through participant observation, transect studies and weed identification during field visits. The results show considerable diversity in biophysical constraints and socio-economic conditions. Population density has led to high pressure on arable land, resulting in land degradation and weed problems. In all situations, pernicious (Imperata cylindrica, Cyperus spp., Commelina spp.) and parasitic (Striga spp.) weeds are difficult to eradicate, causing substantial food crop yield losses and threatening the livelihood of people. Land and labour shortage, low commodity prices and lack of credit were the main constraints hindering weed management. Causes, effects and consequences were analysed, taking into account the socio-economic context. The study’s findings with respect to weed management measures, and their adaptation and constraints in using them, suggest that effective and acceptable weed management strategies should be developed, taking into account both biological and social science perspectives with a focus on adding value to indigenous knowledge. Promising strategies for discovery learning about weed management were identified, in order to foster sustainable crop production in Benin.","container-title":"NJAS - Wageningen Journal of Life Sciences","DOI":"10.1016/S1573-5214(04)80019-8","ISSN":"15735214","issue":"3-4","journalAbbreviation":"NJAS - Wageningen Journal of Life Sciences","language":"en","page":"305-329","source":"DOI.org (Crossref)","title":"Weeds as agricultural constraint to farmers in Benin: results of a diagnostic study","title-short":"Weeds as agricultural constraint to farmers in Benin","URL":"https://linkinghub.elsevier.com/retrieve/pii/S1573521404800198","volume":"52","author":[{"family":"Vissoh","given":"P.V."},{"family":"Gbèhounou","given":"G."},{"family":"Ahanchédé","given":"A."},{"family":"Kuyper","given":"T.W."},{"family":"Röling","given":"N.G."}],"accessed":{"date-parts":[["2019",11,7]]},"issued":{"date-parts":[["2004"]]}},"label":"page"}],"schema":"https://github.com/citation-style-language/schema/raw/master/csl-citation.json"} </w:instrText>
      </w:r>
      <w:r w:rsidR="00066A7E" w:rsidRPr="00837161">
        <w:fldChar w:fldCharType="separate"/>
      </w:r>
      <w:r w:rsidR="00271B78" w:rsidRPr="00271B78">
        <w:t>(Chikoye et al., 2006; Orr et al., 2002; Terefe et al., 2020; Vissoh et al., 2004)</w:t>
      </w:r>
      <w:r w:rsidR="00066A7E" w:rsidRPr="00837161">
        <w:fldChar w:fldCharType="end"/>
      </w:r>
      <w:r w:rsidR="442F0A5E" w:rsidRPr="00837161">
        <w:t>;</w:t>
      </w:r>
      <w:r w:rsidR="00066A7E" w:rsidRPr="00837161">
        <w:t xml:space="preserve"> for example</w:t>
      </w:r>
      <w:r w:rsidR="00520F17" w:rsidRPr="00837161">
        <w:t>,</w:t>
      </w:r>
      <w:r w:rsidR="00066A7E" w:rsidRPr="00837161">
        <w:rPr>
          <w:rStyle w:val="normaltextrun"/>
          <w:color w:val="000000"/>
          <w:shd w:val="clear" w:color="auto" w:fill="FFFFFF"/>
        </w:rPr>
        <w:t> </w:t>
      </w:r>
      <w:r w:rsidR="00066A7E" w:rsidRPr="00837161">
        <w:rPr>
          <w:rStyle w:val="normaltextrun"/>
          <w:i/>
          <w:iCs/>
          <w:color w:val="000000"/>
          <w:shd w:val="clear" w:color="auto" w:fill="FFFFFF"/>
        </w:rPr>
        <w:t xml:space="preserve">Opuntia </w:t>
      </w:r>
      <w:r w:rsidR="00066A7E" w:rsidRPr="00837161">
        <w:rPr>
          <w:rStyle w:val="normaltextrun"/>
          <w:color w:val="000000"/>
          <w:shd w:val="clear" w:color="auto" w:fill="FFFFFF"/>
        </w:rPr>
        <w:t>spp.</w:t>
      </w:r>
      <w:r w:rsidR="00F43FA4" w:rsidRPr="00837161">
        <w:rPr>
          <w:rStyle w:val="normaltextrun"/>
          <w:color w:val="000000"/>
          <w:shd w:val="clear" w:color="auto" w:fill="FFFFFF"/>
        </w:rPr>
        <w:t xml:space="preserve"> (pricklypear)</w:t>
      </w:r>
      <w:r w:rsidR="00066A7E" w:rsidRPr="00837161">
        <w:rPr>
          <w:rStyle w:val="normaltextrun"/>
          <w:color w:val="000000"/>
          <w:shd w:val="clear" w:color="auto" w:fill="FFFFFF"/>
        </w:rPr>
        <w:t xml:space="preserve"> in East Africa </w:t>
      </w:r>
      <w:r w:rsidR="00066A7E" w:rsidRPr="00837161">
        <w:rPr>
          <w:rStyle w:val="normaltextrun"/>
          <w:color w:val="000000"/>
          <w:shd w:val="clear" w:color="auto" w:fill="FFFFFF"/>
        </w:rPr>
        <w:fldChar w:fldCharType="begin"/>
      </w:r>
      <w:r w:rsidR="000F35EB">
        <w:rPr>
          <w:rStyle w:val="normaltextrun"/>
          <w:color w:val="000000"/>
          <w:shd w:val="clear" w:color="auto" w:fill="FFFFFF"/>
        </w:rPr>
        <w:instrText xml:space="preserve"> ADDIN ZOTERO_ITEM CSL_CITATION {"citationID":"fHL6iIUZ","properties":{"formattedCitation":"(R. T. Shackleton et al., 2017)","plainCitation":"(R. T. Shackleton et al., 2017)","noteIndex":0},"citationItems":[{"id":30416,"uris":["http://zotero.org/groups/2352922/items/D857AK2E"],"itemData":{"id":30416,"type":"article-journal","container-title":"Biological Invasions","DOI":"10.1007/s10530-017-1453-x","ISSN":"1387-3547, 1573-1464","issue":"8","journalAbbreviation":"Biol Invasions","language":"en","page":"2427-2441","source":"DOI.org (Crossref)","title":"Distribution and socio-ecological impacts of the invasive alien cactus &lt;i&gt;Opuntia stricta&lt;/i&gt; in eastern Africa","URL":"http://link.springer.com/10.1007/s10530-017-1453-x","volume":"19","author":[{"family":"Shackleton","given":"Ross T."},{"family":"Witt","given":"A.B.R."},{"family":"Piroris","given":"F.M."},{"family":"Wilgen","given":"Brian W.","non-dropping-particle":"van"}],"accessed":{"date-parts":[["2019",10,3]]},"issued":{"date-parts":[["2017",8]]}},"label":"page"}],"schema":"https://github.com/citation-style-language/schema/raw/master/csl-citation.json"} </w:instrText>
      </w:r>
      <w:r w:rsidR="00066A7E" w:rsidRPr="00837161">
        <w:rPr>
          <w:rStyle w:val="normaltextrun"/>
          <w:color w:val="000000"/>
          <w:shd w:val="clear" w:color="auto" w:fill="FFFFFF"/>
        </w:rPr>
        <w:fldChar w:fldCharType="separate"/>
      </w:r>
      <w:r w:rsidR="00271B78" w:rsidRPr="00271B78">
        <w:t>(R. T. Shackleton et al., 2017)</w:t>
      </w:r>
      <w:r w:rsidR="00066A7E" w:rsidRPr="00837161">
        <w:rPr>
          <w:rStyle w:val="normaltextrun"/>
          <w:color w:val="000000"/>
          <w:shd w:val="clear" w:color="auto" w:fill="FFFFFF"/>
        </w:rPr>
        <w:fldChar w:fldCharType="end"/>
      </w:r>
      <w:r w:rsidR="00066A7E" w:rsidRPr="00837161">
        <w:t xml:space="preserve"> as repeat weeding </w:t>
      </w:r>
      <w:r w:rsidR="00066A7E" w:rsidRPr="00837161">
        <w:lastRenderedPageBreak/>
        <w:t xml:space="preserve">is required. For </w:t>
      </w:r>
      <w:r w:rsidR="00E94CB3" w:rsidRPr="00837161">
        <w:rPr>
          <w:i/>
          <w:iCs/>
        </w:rPr>
        <w:t>Pontederia crassipes</w:t>
      </w:r>
      <w:r w:rsidR="00D8749F" w:rsidRPr="00837161">
        <w:rPr>
          <w:iCs/>
        </w:rPr>
        <w:t xml:space="preserve"> </w:t>
      </w:r>
      <w:r w:rsidR="00D8749F" w:rsidRPr="00837161">
        <w:t>(</w:t>
      </w:r>
      <w:r w:rsidR="00066A7E" w:rsidRPr="00837161">
        <w:t>water hyacinth</w:t>
      </w:r>
      <w:r w:rsidR="00D8749F" w:rsidRPr="00837161">
        <w:t>)</w:t>
      </w:r>
      <w:r w:rsidR="00066A7E" w:rsidRPr="00837161">
        <w:t>, physical removal has proved futile as the plant quicky grows back</w:t>
      </w:r>
      <w:r w:rsidR="696DCD2D" w:rsidRPr="00837161">
        <w:t xml:space="preserve"> and</w:t>
      </w:r>
      <w:r w:rsidR="00F26EC4" w:rsidRPr="00837161">
        <w:t xml:space="preserve"> </w:t>
      </w:r>
      <w:r w:rsidR="00066A7E" w:rsidRPr="00837161">
        <w:t>seeds</w:t>
      </w:r>
      <w:r w:rsidR="6FABE457" w:rsidRPr="00837161">
        <w:t>, which remain viable for 15 years, can</w:t>
      </w:r>
      <w:r w:rsidR="00066A7E" w:rsidRPr="00837161">
        <w:t xml:space="preserve"> spread through animal faec</w:t>
      </w:r>
      <w:r w:rsidR="00F91756" w:rsidRPr="00837161">
        <w:t>e</w:t>
      </w:r>
      <w:r w:rsidR="00066A7E" w:rsidRPr="00837161">
        <w:t>s</w:t>
      </w:r>
      <w:r w:rsidR="00F26EC4" w:rsidRPr="00837161">
        <w:t xml:space="preserve"> </w:t>
      </w:r>
      <w:r w:rsidR="00066A7E" w:rsidRPr="00837161">
        <w:fldChar w:fldCharType="begin"/>
      </w:r>
      <w:r w:rsidR="00E25D54">
        <w:instrText xml:space="preserve"> ADDIN ZOTERO_ITEM CSL_CITATION {"citationID":"Gk01tIdg","properties":{"unsorted":true,"formattedCitation":"(Heuz\\uc0\\u233{} et al., 2015; Gopal et al., 2019)","plainCitation":"(Heuzé et al., 2015; Gopal et al., 2019)","noteIndex":0},"citationItems":[{"id":22856,"uris":["http://zotero.org/groups/2352922/items/NLQEUMN6"],"itemData":{"id":22856,"type":"document","title":"Water hyacinth (&lt;i&gt;Eichhornia crassipes&lt;/i&gt;). Feedipedia, a programme by INRA, CIRAD, AFZ and FAO.","URL":"https://www.feedipedia.org/node/160 Last updated on October 13, 2015, 16:25","author":[{"family":"Heuzé","given":"V."},{"family":"Tran","given":"G."},{"family":"Hassoun","given":"P."},{"family":"Régnier","given":"C."},{"family":"Bastianelli","given":"D."},{"family":"Lebas","given":"F."}],"issued":{"date-parts":[["2015"]]}},"label":"page"},{"id":31545,"uris":["http://zotero.org/groups/2352922/items/SXSCHIRC"],"itemData":{"id":31545,"type":"article-journal","container-title":"Acta Geophysica","DOI":"https://doi.org/10.1007/s11600-018-0237-8","issue":"1","note":"ISBN: 1895-7455\npublisher: Springer","page":"231-246","title":"Investigation of infiltration rate for soil-biochar composites of water hyacinth","volume":"67","author":[{"family":"Gopal","given":"Phani"},{"family":"Bordoloi","given":"Sanandam"},{"family":"Ratnam","given":"Raval"},{"family":"Lin","given":"Peng"},{"family":"Cai","given":"Weiling"},{"family":"Buragohain","given":"Poly"},{"family":"Garg","given":"Ankit"},{"family":"Sreedeep","given":"S."}],"issued":{"date-parts":[["2019"]]}},"label":"page"}],"schema":"https://github.com/citation-style-language/schema/raw/master/csl-citation.json"} </w:instrText>
      </w:r>
      <w:r w:rsidR="00066A7E" w:rsidRPr="00837161">
        <w:fldChar w:fldCharType="separate"/>
      </w:r>
      <w:r w:rsidR="00271B78" w:rsidRPr="00271B78">
        <w:t>(Heuzé et al., 2015; Gopal et al., 2019)</w:t>
      </w:r>
      <w:r w:rsidR="00066A7E" w:rsidRPr="00837161">
        <w:fldChar w:fldCharType="end"/>
      </w:r>
      <w:r w:rsidR="00066A7E" w:rsidRPr="00837161">
        <w:t xml:space="preserve">. </w:t>
      </w:r>
      <w:r w:rsidR="00875C95" w:rsidRPr="00837161">
        <w:t>Indigenous Peoples</w:t>
      </w:r>
      <w:r w:rsidR="00066A7E" w:rsidRPr="00837161">
        <w:t xml:space="preserve"> and local communities from western Kenya uproot the parasitic </w:t>
      </w:r>
      <w:r w:rsidR="00520F17" w:rsidRPr="00837161">
        <w:rPr>
          <w:i/>
          <w:iCs/>
        </w:rPr>
        <w:t>Striga hermonthica</w:t>
      </w:r>
      <w:r w:rsidR="00520F17" w:rsidRPr="00837161">
        <w:t xml:space="preserve"> (</w:t>
      </w:r>
      <w:r w:rsidR="00066A7E" w:rsidRPr="00837161">
        <w:t xml:space="preserve">witchweed) from maize plantations but control is ineffective </w:t>
      </w:r>
      <w:r w:rsidR="00066A7E" w:rsidRPr="00837161">
        <w:fldChar w:fldCharType="begin"/>
      </w:r>
      <w:r w:rsidR="000F35EB">
        <w:instrText xml:space="preserve"> ADDIN ZOTERO_ITEM CSL_CITATION {"citationID":"ItVCW5rq","properties":{"formattedCitation":"(Oswald, 2005)","plainCitation":"(Oswald, 2005)","noteIndex":0},"citationItems":[{"id":11558,"uris":["http://zotero.org/groups/2352922/items/3JGW57AV"],"itemData":{"id":11558,"type":"article-journal","abstract":"Striga spp. are endemic in Sub-Saharan Africa and pose one of the most severe biological constraints to cereal production in low-potential areas. Although the level of Striga infestation and damage is increasing, farmers rarely adopt Striga control methods. The paper discusses various Striga control methods for their effectiveness and adoption potential by small-scale farmers. It further addresses the specific constraints to the adoption of improved farming techniques in low-potential areas. A Striga control program in western Kenya is presented, which tackled various aspects of the development of a Striga control strategy, including adapted control methods, training materials and concepts for farmers and extension agents, the implementation of technology diffusion approaches and the implementation of stakeholder fora to raise awareness.","container-title":"Crop Protection","DOI":"10.1016/j.cropro.2004.09.003","ISSN":"0261-2194","issue":"4","journalAbbreviation":"Crop Protection","language":"en","page":"333-342","source":"ScienceDirect","title":"&lt;i&gt;Striga&lt;/i&gt; control—technologies and their dissemination","URL":"http://www.sciencedirect.com/science/article/pii/S0261219404002248","volume":"24","author":[{"family":"Oswald","given":"A."}],"accessed":{"date-parts":[["2020",7,31]]},"issued":{"date-parts":[["2005",4,1]]}},"label":"page"}],"schema":"https://github.com/citation-style-language/schema/raw/master/csl-citation.json"} </w:instrText>
      </w:r>
      <w:r w:rsidR="00066A7E" w:rsidRPr="00837161">
        <w:fldChar w:fldCharType="separate"/>
      </w:r>
      <w:r w:rsidR="00271B78" w:rsidRPr="00271B78">
        <w:t>(Oswald, 2005)</w:t>
      </w:r>
      <w:r w:rsidR="00066A7E" w:rsidRPr="00837161">
        <w:fldChar w:fldCharType="end"/>
      </w:r>
      <w:r w:rsidR="00066A7E" w:rsidRPr="00837161">
        <w:t xml:space="preserve">. Ineffective management strategies can also have social impacts. Pastoralists of Baadu (Ethiopia) failed in the efforts to remove </w:t>
      </w:r>
      <w:r w:rsidR="00066A7E" w:rsidRPr="00837161">
        <w:rPr>
          <w:i/>
          <w:iCs/>
        </w:rPr>
        <w:t>Prosopis juliflora</w:t>
      </w:r>
      <w:r w:rsidR="005E4131" w:rsidRPr="00837161">
        <w:rPr>
          <w:iCs/>
        </w:rPr>
        <w:t xml:space="preserve"> </w:t>
      </w:r>
      <w:r w:rsidR="005E4131" w:rsidRPr="00837161">
        <w:t>(mesquite)</w:t>
      </w:r>
      <w:r w:rsidR="00066A7E" w:rsidRPr="00837161">
        <w:t xml:space="preserve">, and this has led to changes in the good quality of life including social conflicts </w:t>
      </w:r>
      <w:r w:rsidR="00066A7E" w:rsidRPr="00837161">
        <w:fldChar w:fldCharType="begin"/>
      </w:r>
      <w:r w:rsidR="007746C5">
        <w:instrText xml:space="preserve"> ADDIN ZOTERO_ITEM CSL_CITATION {"citationID":"szeRuMnF","properties":{"formattedCitation":"(Rettberg, 2010; Rettberg &amp; M\\uc0\\u252{}ller-Mahn, 2012)","plainCitation":"(Rettberg, 2010; Rettberg &amp; Müller-Mahn, 2012)","noteIndex":0},"citationItems":[{"id":15882,"uris":["http://zotero.org/groups/2352922/items/2ELAFJ42"],"itemData":{"id":15882,"type":"article-journal","abstract":"This paper emphasises the role of local knowledge, risk perceptions and decision patterns in analyzing changing pastoral livelihood strategies. Based on an intensive empirical case study within the Middle Awash Basin of Ethiopia’s Afar region it is argued that the main concern for Afar pastoralists are political risks evolving from recurrent violent conﬂicts and increasing governmental development interventions, while drought plays only a minor role within local narratives of risk. Special attention is drawn to the strategic instrumentalization of heterogeneous governmental and pastoral risk narratives and the impact of conﬂicting narratives on the current pastoral livelihood crisis, shaped by an increasing vulnerability and an ongoing political and economic marginalization of pastoralists in Ethiopia.","container-title":"Pastoralism - Research, policy and practice","DOI":"10.3362/2041-7136.2010.014","ISSN":"2041-7128,  2041-7136","issue":"2","language":"en","page":"248-273","source":"Zotero","title":"Contested narratives of pastoral vulnerability and risk in Ethiopia’s Afar region","URL":"https://www.humanitarianlibrary.org/sites/default/files/2013/07/s7.pdf","volume":"1","author":[{"family":"Rettberg","given":"Simone"}],"issued":{"date-parts":[["2010"]]}},"label":"page"},{"id":25334,"uris":["http://zotero.org/groups/2352922/items/V4SMHNQQ"],"itemData":{"id":25334,"type":"chapter","container-title":"Changing Deserts – Integrating People and their Environments.","event-place":"Cambridge","page":"297-316.","publisher":"Whitehorse Press","publisher-place":"Cambridge","title":"Human Environment Interactions: The invasion of &lt;i&gt;Prosopis juliflora&lt;/i&gt; in the Drylands of Northeast Ethiopia","URL":"http://dx.doi.org/10.3197/9781912186310.ch15","author":[{"family":"Rettberg","given":"Simone"},{"family":"Müller-Mahn","given":"Detlef"}],"editor":[{"family":"Mol","given":"Lisa"},{"family":"Sternberg","given":"Troy"}],"issued":{"date-parts":[["2012"]]}},"label":"page"}],"schema":"https://github.com/citation-style-language/schema/raw/master/csl-citation.json"} </w:instrText>
      </w:r>
      <w:r w:rsidR="00066A7E" w:rsidRPr="00837161">
        <w:fldChar w:fldCharType="separate"/>
      </w:r>
      <w:r w:rsidR="00271B78" w:rsidRPr="00271B78">
        <w:t>(Rettberg, 2010; Rettberg &amp; Müller-Mahn, 2012)</w:t>
      </w:r>
      <w:r w:rsidR="00066A7E" w:rsidRPr="00837161">
        <w:fldChar w:fldCharType="end"/>
      </w:r>
      <w:r w:rsidR="00066A7E" w:rsidRPr="00837161">
        <w:t>.</w:t>
      </w:r>
    </w:p>
    <w:p w14:paraId="00000698" w14:textId="32659342" w:rsidR="00A758FD" w:rsidRPr="00C0338D" w:rsidRDefault="00C81287">
      <w:pPr>
        <w:spacing w:before="240" w:after="120" w:line="240" w:lineRule="auto"/>
      </w:pPr>
      <w:r w:rsidRPr="00C0338D">
        <w:t xml:space="preserve">Indigenous Peoples and local communities have attempted multiple methods to control </w:t>
      </w:r>
      <w:r w:rsidRPr="00C0338D">
        <w:rPr>
          <w:i/>
        </w:rPr>
        <w:t>Spodoptera frugiperda</w:t>
      </w:r>
      <w:r w:rsidRPr="00C0338D">
        <w:t xml:space="preserve"> (fall armyworm) as it spread across Africa and Asia from the Americas to save their livelihoods, but often to little effect. In Ghana, some Indigenous Akan People applied So Klin (a washing detergent solution) to reduce the negative impacts of fall armyworm </w:t>
      </w:r>
      <w:r w:rsidR="00066A7E" w:rsidRPr="00837161">
        <w:fldChar w:fldCharType="begin"/>
      </w:r>
      <w:r w:rsidR="0044454C">
        <w:instrText xml:space="preserve"> ADDIN ZOTERO_ITEM CSL_CITATION {"citationID":"J6aDYrdZ","properties":{"formattedCitation":"(Asare-Nuamah, 2020)","plainCitation":"(Asare-Nuamah, 2020)","dontUpdate":true,"noteIndex":0},"citationItems":[{"id":24733,"uris":["http://zotero.org/groups/2352922/items/YW2MUDJQ"],"itemData":{"id":24733,"type":"article-journal","abstract":"This study examined smallholder farmers' adaptation strategies in managing fall armyworm (Spodoptera frugiperda) in rural Ghana. Using mixed methods, 378 smallholder farmers were randomly selected and surveyed, while 41 key informants were interviewed. The majority of smallholder farmers (83.1%) had experienced fall armyworm invasion with widespread and rapid invasion particularly in maize, which often led to a considerable reduction in crop yields. Pesticides (88%) and washing detergent solution (44%) applications were the common pest management practices. Male farmers were more positive in applying pesticides than female farmers. Integrated pest management practices and education among farmer should be improved. © 2020, © 2020 Informa UK Limited, trading as Taylor &amp; Francis Group.","container-title":"International Journal of Pest Management","DOI":"10.1080/09670874.2020.1787552","issue":"1","page":"8-18","title":"Smallholder farmers’ adaptation strategies for the management of fall armyworm (&lt;i&gt;Spodoptera frugiperda&lt;/i&gt;) in rural Ghana","URL":"https://www.scopus.com/inward/record.uri?eid=2-s2.0-85087555352&amp;doi=10.1080%2f09670874.2020.1787552&amp;partnerID=40&amp;md5=460e683a5b59c4582a9452e2af08625a","volume":"68","author":[{"family":"Asare-Nuamah","given":"P."}],"issued":{"date-parts":[["2022"]]}},"label":"page"}],"schema":"https://github.com/citation-style-language/schema/raw/master/csl-citation.json"} </w:instrText>
      </w:r>
      <w:r w:rsidR="00066A7E" w:rsidRPr="00837161">
        <w:fldChar w:fldCharType="separate"/>
      </w:r>
      <w:r w:rsidR="00CB59D1" w:rsidRPr="00837161">
        <w:t>(Asare-Nuamah, 2020</w:t>
      </w:r>
      <w:r w:rsidR="00066A7E" w:rsidRPr="00837161">
        <w:fldChar w:fldCharType="end"/>
      </w:r>
      <w:r w:rsidR="00864289" w:rsidRPr="00837161">
        <w:t>;</w:t>
      </w:r>
      <w:r w:rsidR="005E4131" w:rsidRPr="00294242">
        <w:rPr>
          <w:b/>
        </w:rPr>
        <w:t xml:space="preserve"> </w:t>
      </w:r>
      <w:r w:rsidR="00066A7E" w:rsidRPr="00294242">
        <w:rPr>
          <w:b/>
          <w:iCs/>
        </w:rPr>
        <w:t>Box 5.20</w:t>
      </w:r>
      <w:r w:rsidRPr="00C0338D">
        <w:t xml:space="preserve">; </w:t>
      </w:r>
      <w:r w:rsidR="002F2F42">
        <w:rPr>
          <w:b/>
        </w:rPr>
        <w:t>S</w:t>
      </w:r>
      <w:r w:rsidRPr="00C0338D">
        <w:rPr>
          <w:b/>
        </w:rPr>
        <w:t>upplementary material 5.11</w:t>
      </w:r>
      <w:r w:rsidRPr="00C0338D">
        <w:t xml:space="preserve">). More traditional approaches included cultural and spiritual practices and management by fire. </w:t>
      </w:r>
      <w:r w:rsidR="0065630A">
        <w:t xml:space="preserve">The </w:t>
      </w:r>
      <w:r w:rsidRPr="00C0338D">
        <w:t xml:space="preserve">Yellomundee Aboriginal Bushcare in Australia </w:t>
      </w:r>
      <w:r w:rsidR="00066A7E" w:rsidRPr="00837161">
        <w:fldChar w:fldCharType="begin"/>
      </w:r>
      <w:r w:rsidR="000F35EB">
        <w:instrText xml:space="preserve"> ADDIN ZOTERO_ITEM CSL_CITATION {"citationID":"cjlBsf0X","properties":{"formattedCitation":"(Barber &amp; Glass, 2015)","plainCitation":"(Barber &amp; Glass, 2015)","noteIndex":0},"citationItems":[{"id":22860,"uris":["http://zotero.org/groups/2352922/items/I9PCWG2Q"],"itemData":{"id":22860,"type":"chapter","container-title":"Indigenous people and invasive species: Perceptions, management, challenges and uses","publisher":"IUCN Commission on Ecosystem Management Community Report","title":"Yellomundee Firesticks","URL":"https://ipm.ifas.ufl.edu/pdfs/ens_et_al_2015_indigenous_people_and_invasive_species_iucn_cem_ecosystems_and_invasiv.pdf","author":[{"family":"Barber","given":"Den"},{"family":"Glass","given":"Paul"}],"editor":[{"family":"Ens","given":"E. J."},{"family":"Fisher","given":"J."},{"family":"Costello","given":"O."}],"issued":{"date-parts":[["2015"]]}},"label":"page"}],"schema":"https://github.com/citation-style-language/schema/raw/master/csl-citation.json"} </w:instrText>
      </w:r>
      <w:r w:rsidR="00066A7E" w:rsidRPr="00837161">
        <w:fldChar w:fldCharType="separate"/>
      </w:r>
      <w:r w:rsidR="00271B78" w:rsidRPr="00271B78">
        <w:t>(Barber &amp; Glass, 2015)</w:t>
      </w:r>
      <w:r w:rsidR="00066A7E" w:rsidRPr="00837161">
        <w:fldChar w:fldCharType="end"/>
      </w:r>
      <w:r w:rsidRPr="00C0338D">
        <w:t xml:space="preserve"> believe that it is “a cool fire that burns the invasive alien plants but allows native species to regenerate”. Early season patch fire management removes biomass and stimulates native seedlings while not burning surrounding trees. This traditional approach to fire management is now widely recognized, supported and practiced across Northern Australia. In the Kimberley, Western Australia, the place-based (a type of site-based) invasive alien plant management approach, developed by </w:t>
      </w:r>
      <w:r w:rsidR="0065630A">
        <w:t>r</w:t>
      </w:r>
      <w:r w:rsidRPr="00C0338D">
        <w:t>angers on behalf of</w:t>
      </w:r>
      <w:r w:rsidR="0065630A">
        <w:t xml:space="preserve"> the</w:t>
      </w:r>
      <w:r w:rsidRPr="00C0338D">
        <w:t xml:space="preserve"> Bunuba </w:t>
      </w:r>
      <w:r w:rsidR="0065630A">
        <w:t>P</w:t>
      </w:r>
      <w:r w:rsidRPr="00C0338D">
        <w:t xml:space="preserve">eople, protects sacred sites </w:t>
      </w:r>
      <w:r w:rsidR="00066A7E" w:rsidRPr="00837161">
        <w:fldChar w:fldCharType="begin"/>
      </w:r>
      <w:r w:rsidR="000F35EB">
        <w:instrText xml:space="preserve"> ADDIN ZOTERO_ITEM CSL_CITATION {"citationID":"h1ZKLCzv","properties":{"formattedCitation":"(Aiken et al., 2015)","plainCitation":"(Aiken et al., 2015)","noteIndex":0},"citationItems":[{"id":31557,"uris":["http://zotero.org/groups/2352922/items/7H3GJW69"],"itemData":{"id":31557,"type":"document","language":"en","source":"Zotero","title":"Managing Weeds on Bunuba Country in the Kimberley, Western Australia","URL":"https://christiankull.files.wordpress.com/2016/01/aiken-et-al-2015-bunuba-weeds.pdf","author":[{"family":"Aiken","given":"Clive"},{"family":"Davey","given":"Natalie"},{"family":"Chungul","given":"Kendrick"},{"family":"Bach","given":"Tom"},{"family":"Rangan","given":"Haripriya"},{"family":"Kull","given":"Christian"}],"issued":{"date-parts":[["2015"]]}},"label":"page"}],"schema":"https://github.com/citation-style-language/schema/raw/master/csl-citation.json"} </w:instrText>
      </w:r>
      <w:r w:rsidR="00066A7E" w:rsidRPr="00837161">
        <w:fldChar w:fldCharType="separate"/>
      </w:r>
      <w:r w:rsidR="00271B78" w:rsidRPr="00271B78">
        <w:t>(Aiken et al., 2015)</w:t>
      </w:r>
      <w:r w:rsidR="00066A7E" w:rsidRPr="00837161">
        <w:fldChar w:fldCharType="end"/>
      </w:r>
      <w:r w:rsidR="00066A7E" w:rsidRPr="00837161">
        <w:t>.</w:t>
      </w:r>
      <w:r w:rsidRPr="00C0338D">
        <w:t xml:space="preserve"> The Rajbanshi </w:t>
      </w:r>
      <w:r w:rsidR="0065630A">
        <w:t>P</w:t>
      </w:r>
      <w:r w:rsidRPr="00C0338D">
        <w:t>eople from North Bengal in India practice</w:t>
      </w:r>
      <w:r w:rsidR="0065630A">
        <w:t>s</w:t>
      </w:r>
      <w:r w:rsidRPr="00C0338D">
        <w:t xml:space="preserve"> sacred bathing in winter and autumn</w:t>
      </w:r>
      <w:r w:rsidR="0065630A">
        <w:t>,</w:t>
      </w:r>
      <w:r w:rsidRPr="00C0338D">
        <w:t xml:space="preserve"> such as Maghali sinan and Bauni sinan and also worship</w:t>
      </w:r>
      <w:r w:rsidR="0065630A">
        <w:t>s</w:t>
      </w:r>
      <w:r w:rsidRPr="00C0338D">
        <w:t xml:space="preserve"> rivers at the onset of monsoon season to get timely rains</w:t>
      </w:r>
      <w:r w:rsidR="0065630A">
        <w:t>,</w:t>
      </w:r>
      <w:r w:rsidRPr="00C0338D">
        <w:t xml:space="preserve"> which will help the fight against invasive alien invertebrates </w:t>
      </w:r>
      <w:r w:rsidR="00066A7E" w:rsidRPr="00837161">
        <w:fldChar w:fldCharType="begin"/>
      </w:r>
      <w:r w:rsidR="000F35EB">
        <w:instrText xml:space="preserve"> ADDIN ZOTERO_ITEM CSL_CITATION {"citationID":"Y4PwkzeW","properties":{"formattedCitation":"(A. D. Gupta, 2015)","plainCitation":"(A. D. Gupta, 2015)","noteIndex":0},"citationItems":[{"id":22857,"uris":["http://zotero.org/groups/2352922/items/G6DL8SUS"],"itemData":{"id":22857,"type":"chapter","container-title":"Indigenous people and invasive species: Perceptions, management, challenges and uses. IUCN Commission on Ecosystem Management Community Report.","title":"Invasive Pest Attack in North Bengal","URL":"https://ipm.ifas.ufl.edu/pdfs/ens_et_al_2015_indigenous_people_and_invasive_species_iucn_cem_ecosystems_and_invasiv.pdf","author":[{"family":"Gupta","given":"Ashok Das"}],"editor":[{"family":"Ens","given":"E."},{"family":"Fisher","given":"J."},{"family":"Costello","given":"O."}],"issued":{"date-parts":[["2015"]]}},"label":"page"}],"schema":"https://github.com/citation-style-language/schema/raw/master/csl-citation.json"} </w:instrText>
      </w:r>
      <w:r w:rsidR="00066A7E" w:rsidRPr="00837161">
        <w:fldChar w:fldCharType="separate"/>
      </w:r>
      <w:r w:rsidR="00271B78" w:rsidRPr="00271B78">
        <w:t>(A. D. Gupta, 2015)</w:t>
      </w:r>
      <w:r w:rsidR="00066A7E" w:rsidRPr="00837161">
        <w:fldChar w:fldCharType="end"/>
      </w:r>
      <w:r w:rsidR="00066A7E" w:rsidRPr="00837161">
        <w:t>.</w:t>
      </w:r>
      <w:r w:rsidRPr="00C0338D">
        <w:t xml:space="preserve"> Local farmers in Lao</w:t>
      </w:r>
      <w:r w:rsidR="00D2715A">
        <w:t xml:space="preserve"> People’s Democratic Republic</w:t>
      </w:r>
      <w:r w:rsidRPr="00C0338D">
        <w:t xml:space="preserve"> use wood ashes for coating stems of crops to protect them from invasive alien invertebrates </w:t>
      </w:r>
      <w:r w:rsidR="00066A7E" w:rsidRPr="00837161">
        <w:fldChar w:fldCharType="begin"/>
      </w:r>
      <w:r w:rsidR="000F35EB">
        <w:instrText xml:space="preserve"> ADDIN ZOTERO_ITEM CSL_CITATION {"citationID":"fltpI3NW","properties":{"formattedCitation":"(Upadhyay et al., 2020)","plainCitation":"(Upadhyay et al., 2020)","noteIndex":0},"citationItems":[{"id":24538,"uris":["http://zotero.org/groups/2352922/items/9RQUH2UM"],"itemData":{"id":24538,"type":"article-journal","abstract":"Farmers’ knowledge, attitudes, and beliefs are of paramount importance in shaping the on-farm adoption and diffusion of integrated pest management (IPM). In particular, for invasive pests, this (gendered) knowledge base can dictate how fast and effective farmers respond to emerging threats. In this study, we employ qualitative and quantitative methods to assess agro-ecological knowledge and pest management behavior of small-scale cassava growers in rural Vietnam and Laos, when faced with two new biotic threats, i.e., the invasive cassava mealybug Phenacoccus manihoti and cassava witches broom disease. Despite their pronounced impact on crop yields, farmers overall had limited knowledge of recent invaders and regularly ascribed their appearance to “climate change\". Growers were largely unaware of preventative tactics for pest control, and resorted to curative measures (e.g., unguided pesticide sprays) at the P. manihoti invasion front. Farmers’ attitudes toward invasive pests were highly context- and locality-dependent, and knowledge scores differed between households positioned along a gender continuum. Though women assumed a minor role in IPM decision-making and possessed comparatively deficient knowledge, they favored agro-ecological approaches and took on key tasks in the selection of propagation material. Gender roles in cassava crop protection are equally context-dependent, yet women may be well-positioned to promote IPM practices such as the use of disease-free planting material. Future extension should thus pay attention to (a) strengthening (women) farmers’ knowledge base, to empower them as change agents and drive IPM adoption, and (b) transferring local innovations between sites, eventually through visual educational aids. Given the increasing importance of invasive pests in many developing countries, our work emphasizes how adult education and (adaptive) co-learning should become core components of mitigation programs.","container-title":"Environment, Development and Sustainability","DOI":"10.1007/s10668-018-0208-x","ISSN":"1387-585X, 1573-2975","issue":"1","journalAbbreviation":"Environ Dev Sustain","language":"en","page":"425-445","source":"DOI.org (Crossref)","title":"Caught off guard: folk knowledge proves deficient when addressing invasive pests in Asian cassava systems","title-short":"Caught off guard","URL":"http://link.springer.com/10.1007/s10668-018-0208-x","volume":"22","author":[{"family":"Upadhyay","given":"Bhawana"},{"family":"Burra","given":"Dharani D."},{"family":"Nguyen","given":"Than Thi"},{"family":"Wyckhuys","given":"Kris A. G."}],"accessed":{"date-parts":[["2021",2,25]]},"issued":{"date-parts":[["2020",1]]}},"label":"page"}],"schema":"https://github.com/citation-style-language/schema/raw/master/csl-citation.json"} </w:instrText>
      </w:r>
      <w:r w:rsidR="00066A7E" w:rsidRPr="00837161">
        <w:fldChar w:fldCharType="separate"/>
      </w:r>
      <w:r w:rsidR="00271B78" w:rsidRPr="00271B78">
        <w:t>(Upadhyay et al., 2020)</w:t>
      </w:r>
      <w:r w:rsidR="00066A7E" w:rsidRPr="00837161">
        <w:fldChar w:fldCharType="end"/>
      </w:r>
      <w:r w:rsidR="00066A7E" w:rsidRPr="00837161">
        <w:t>.</w:t>
      </w:r>
      <w:r w:rsidRPr="00C0338D">
        <w:t xml:space="preserve"> A community-led approach often results in success. The Holok system of customary law and other cultural practices of the Ifugao people of Hingyon utilizes parts of more than 25 plants to produce a biopesticide against several invasive alien invertebrates. The holok, as traditionally practiced, was part of the hongan di pageh, the system of Ifugao rituals on rice culture </w:t>
      </w:r>
      <w:r w:rsidR="00066A7E" w:rsidRPr="00837161">
        <w:fldChar w:fldCharType="begin"/>
      </w:r>
      <w:r w:rsidR="000F35EB">
        <w:instrText xml:space="preserve"> ADDIN ZOTERO_ITEM CSL_CITATION {"citationID":"r7lxi0xp","properties":{"formattedCitation":"(IPBES, 2020)","plainCitation":"(IPBES, 2020)","noteIndex":0},"citationItems":[{"id":32563,"uris":["http://zotero.org/groups/2352922/items/IWBEQCCY","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schema":"https://github.com/citation-style-language/schema/raw/master/csl-citation.json"} </w:instrText>
      </w:r>
      <w:r w:rsidR="00066A7E" w:rsidRPr="00837161">
        <w:fldChar w:fldCharType="separate"/>
      </w:r>
      <w:r w:rsidR="00271B78" w:rsidRPr="00271B78">
        <w:t>(IPBES, 2020)</w:t>
      </w:r>
      <w:r w:rsidR="00066A7E" w:rsidRPr="00837161">
        <w:fldChar w:fldCharType="end"/>
      </w:r>
      <w:r w:rsidR="00066A7E" w:rsidRPr="00837161">
        <w:t>.</w:t>
      </w:r>
    </w:p>
    <w:p w14:paraId="00000699" w14:textId="2458FE57" w:rsidR="00A758FD" w:rsidRPr="002F2F42" w:rsidRDefault="00C81287" w:rsidP="002F2F42">
      <w:pPr>
        <w:keepNext/>
        <w:pBdr>
          <w:top w:val="single" w:sz="4" w:space="1" w:color="auto"/>
          <w:left w:val="single" w:sz="4" w:space="1" w:color="auto"/>
          <w:bottom w:val="single" w:sz="4" w:space="1" w:color="auto"/>
          <w:right w:val="single" w:sz="4" w:space="1" w:color="auto"/>
          <w:between w:val="nil"/>
        </w:pBdr>
        <w:shd w:val="clear" w:color="auto" w:fill="E7E6E6" w:themeFill="background2"/>
        <w:spacing w:before="240" w:after="120" w:line="240" w:lineRule="auto"/>
        <w:rPr>
          <w:b/>
          <w:color w:val="000000"/>
        </w:rPr>
      </w:pPr>
      <w:bookmarkStart w:id="561" w:name="_heading=h.2wwbldi" w:colFirst="0" w:colLast="0"/>
      <w:bookmarkStart w:id="562" w:name="_Toc87623079"/>
      <w:bookmarkStart w:id="563" w:name="_Toc147488955"/>
      <w:bookmarkEnd w:id="561"/>
      <w:r w:rsidRPr="002F2F42">
        <w:rPr>
          <w:b/>
          <w:color w:val="000000"/>
        </w:rPr>
        <w:t>Box 5</w:t>
      </w:r>
      <w:r w:rsidR="00066A7E" w:rsidRPr="002F2F42">
        <w:rPr>
          <w:b/>
        </w:rPr>
        <w:t>.</w:t>
      </w:r>
      <w:r w:rsidR="00975896" w:rsidRPr="002F2F42">
        <w:rPr>
          <w:b/>
        </w:rPr>
        <w:fldChar w:fldCharType="begin"/>
      </w:r>
      <w:r w:rsidR="00975896" w:rsidRPr="002F2F42">
        <w:rPr>
          <w:b/>
        </w:rPr>
        <w:instrText xml:space="preserve"> SEQ Box_5. \* ARABIC </w:instrText>
      </w:r>
      <w:r w:rsidR="00975896" w:rsidRPr="002F2F42">
        <w:rPr>
          <w:b/>
        </w:rPr>
        <w:fldChar w:fldCharType="separate"/>
      </w:r>
      <w:r w:rsidR="00DC77F8" w:rsidRPr="002F2F42">
        <w:rPr>
          <w:b/>
          <w:noProof/>
        </w:rPr>
        <w:t>20</w:t>
      </w:r>
      <w:r w:rsidR="00975896" w:rsidRPr="002F2F42">
        <w:rPr>
          <w:b/>
        </w:rPr>
        <w:fldChar w:fldCharType="end"/>
      </w:r>
      <w:r w:rsidR="00C11DFA" w:rsidRPr="002F2F42">
        <w:rPr>
          <w:b/>
        </w:rPr>
        <w:t>.</w:t>
      </w:r>
      <w:r w:rsidRPr="002F2F42">
        <w:rPr>
          <w:b/>
          <w:color w:val="000000"/>
        </w:rPr>
        <w:t xml:space="preserve"> African smallholder farmer management of the recent </w:t>
      </w:r>
      <w:r w:rsidRPr="002F2F42">
        <w:rPr>
          <w:b/>
          <w:i/>
          <w:color w:val="000000"/>
        </w:rPr>
        <w:t>Spodoptera frugiperda</w:t>
      </w:r>
      <w:r w:rsidRPr="002F2F42">
        <w:rPr>
          <w:b/>
          <w:color w:val="000000"/>
        </w:rPr>
        <w:t xml:space="preserve"> (fall armyworm) </w:t>
      </w:r>
      <w:bookmarkEnd w:id="562"/>
      <w:r w:rsidRPr="002F2F42">
        <w:rPr>
          <w:b/>
          <w:color w:val="000000"/>
        </w:rPr>
        <w:t>invasion</w:t>
      </w:r>
      <w:bookmarkEnd w:id="563"/>
    </w:p>
    <w:p w14:paraId="14100434" w14:textId="7333B1F4" w:rsidR="00066A7E" w:rsidRPr="00767086" w:rsidRDefault="09FB7FC6"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rPr>
          <w:lang w:val="es-ES"/>
        </w:rPr>
      </w:pPr>
      <w:r w:rsidRPr="00837161">
        <w:t>Fall armyworm management adopted by African farmers uses combinations of chemical, physical, cultural or traditional methods (</w:t>
      </w:r>
      <w:r w:rsidR="00191A6E">
        <w:rPr>
          <w:b/>
          <w:iCs/>
        </w:rPr>
        <w:t>Figure 5.24</w:t>
      </w:r>
      <w:r w:rsidR="024A1C8A" w:rsidRPr="002F2F42">
        <w:t>;</w:t>
      </w:r>
      <w:r w:rsidR="024A1C8A" w:rsidRPr="00837161">
        <w:rPr>
          <w:b/>
          <w:bCs/>
        </w:rPr>
        <w:t xml:space="preserve"> </w:t>
      </w:r>
      <w:r w:rsidR="00066A7E" w:rsidRPr="00837161">
        <w:fldChar w:fldCharType="begin"/>
      </w:r>
      <w:r w:rsidR="00A4003D">
        <w:instrText xml:space="preserve"> ADDIN ZOTERO_ITEM CSL_CITATION {"citationID":"HGrBMaZh","properties":{"unsorted":true,"formattedCitation":"(FAO, 2018b; Kansiime et al., 2019; Tambo et al., 2019; Murray et al., 2019; Rwomushana et al., 2018; Asare-Nuamah, 2020; Koffi et al., 2020; Gebreziher et al., 2021; Houngbo et al., 2020; Tambo, Day, et al., 2020; Tambo, Kansiime, et al., 2020; Bariw et al., 2020)","plainCitation":"(FAO, 2018b; Kansiime et al., 2019; Tambo et al., 2019; Murray et al., 2019; Rwomushana et al., 2018; Asare-Nuamah, 2020; Koffi et al., 2020; Gebreziher et al., 2021; Houngbo et al., 2020; Tambo, Day, et al., 2020; Tambo, Kansiime, et al., 2020; Bariw et al., 2020)","dontUpdate":true,"noteIndex":0},"citationItems":[{"id":29567,"uris":["http://zotero.org/groups/2352922/items/RH7BIWGC"],"itemData":{"id":29567,"type":"report","event-place":"Rome, Italy","language":"en","note":"Licence: CC BY-NC-SA 3.0 IGO","page":"52","publisher":"Food and Agriculture Organisation of the United Nations","publisher-place":"Rome, Italy","source":"Zotero","title":"The Republic of Namibia: Fall armyworm impact and needs assessment, 2018","URL":"https://www.fao.org/documents/card/ru/c/I9556EN/","author":[{"literal":"FAO"}],"issued":{"date-parts":[["2018"]]}},"label":"page"},{"id":24881,"uris":["http://zotero.org/groups/2352922/items/VBJC3RXP"],"itemData":{"id":24881,"type":"article-journal","abstract":"BACKGROUND: This paper documents farmer perceptions and management practices for fall armyworm (Spodoptera frugiderda J.E. Smith), providing a baseline for the development of sustainable pest management strategies.\nRESULTS: 91% of farmers correctly identiﬁed fall armyworm, and reported it as the most important maize pest during 2016/2017 cropping season, aﬀecting nearly half of cultivated area. Estimated maize yield loss during the season, attributed to fall armyworm was 28%. A majority of farmers (60%) used pesticides for fall armyworm control, along with other cultural/physical practices – hand picking and crushing egg masses/caterpillars (36%), and application of ash/sand in the funnel (19%). Farmers used various pesticide active ingredients, and protective measures were inadequate; &gt;50% of farmers did not use any protective measures while spraying. Signiﬁcantly more male than female farmers used pesticides (P = 0.05), and the reverse was true for cultural practices. Signiﬁcant maize yield diﬀerences (P = 0.001) were observed by gender, attributed to diﬀerences in utilization of production inputs/practices. At least 77% of farmers received and shared agricultural advice, which can be optimized to spread information on fall armyworm management options.\nCONCLUSION: Increased use of pesticides to manage fall armyworm poses health and environmental risks, besides the high cost for farmers and governments. Research into cultural and indigenous practices used by farmers will oﬀer opportunities for alternative and sustainable management practices. Research eﬀorts should pay attention to gender diﬀerences in access to resources and inputs. Tackling fall armyworm at the farm level, and averting yield losses will require integrated messaging addressing other production risks.","container-title":"Pest Management Science","DOI":"10.1002/ps.5504","ISSN":"1526-498X, 1526-4998","issue":"10","journalAbbrevia</w:instrText>
      </w:r>
      <w:r w:rsidR="00A4003D">
        <w:rPr>
          <w:rFonts w:hint="eastAsia"/>
        </w:rPr>
        <w:instrText>tion":"Pest. Manag. Sci.","language":"en","page":"2840-2850","source":"DOI.org (Crossref)","title":"Farmer perception of fall armyworm (&lt;i&gt;Spodoptera frugiderda&lt;/i&gt; J.E. Smith) and farm</w:instrText>
      </w:r>
      <w:r w:rsidR="00A4003D">
        <w:rPr>
          <w:rFonts w:hint="eastAsia"/>
        </w:rPr>
        <w:instrText>‐</w:instrText>
      </w:r>
      <w:r w:rsidR="00A4003D">
        <w:rPr>
          <w:rFonts w:hint="eastAsia"/>
        </w:rPr>
        <w:instrText>level management practices in Zambia","URL":"https://onlinelibrary.wiley.com/doi/abs/10.1002/ps.5504","volume":"75","author":[{"family":"Kansiime","given":"Monica K"},{"family":"Mugambi","given":"Idah"},{"family":"Rwomushana","given":"Ivan"},{"family":"Nunda","given":"Winnie"},{"family":"Lamontagne</w:instrText>
      </w:r>
      <w:r w:rsidR="00A4003D">
        <w:rPr>
          <w:rFonts w:hint="eastAsia"/>
        </w:rPr>
        <w:instrText>‐</w:instrText>
      </w:r>
      <w:r w:rsidR="00A4003D">
        <w:rPr>
          <w:rFonts w:hint="eastAsia"/>
        </w:rPr>
        <w:instrText>Godwin","given":"Julien"</w:instrText>
      </w:r>
      <w:r w:rsidR="00A4003D">
        <w:instrText xml:space="preserve">},{"family":"Rware","given":"Harrison"},{"family":"Phiri","given":"Noah A"},{"family":"Chipabika","given":"Gilson"},{"family":"Ndlovu","given":"Mathias"},{"family":"Day","given":"Roger"}],"accessed":{"date-parts":[["2021",2,24]]},"issued":{"date-parts":[["2019",10]]}},"label":"page"},{"id":24732,"uris":["http://zotero.org/groups/2352922/items/UCEMRHXY"],"itemData":{"id":24732,"type":"article-journal","abstract":"This study evaluates the unique and combined effects of three complementary ICT-based extension methods ― interactive radio, mobile SMS messages and village-based video screenings ― on farmers’ knowledge and management of fall armyworm (FAW), an invasive pest of maize that is threatening food security in sub-Saharan Africa and Asia. Building on a survey of maize farmers in western Uganda and using various selection-on-observables estimators, we find consistent evidence that participation in the ICT-based extension campaigns significantly increases farmers’ knowledge about FAW and stimulates the adoption of agricultural technologies and practices for the management of the pest. We also show that exposure to multiple campaign channels yields significantly higher outcomes than exposure to a single channel, with some evidence of additive effects. These results are robust to alternative estimators and also to hidden bias. Results further suggest that among the three ICT channels, radio has greater reach, video exerts a stronger impact on the outcome measures, and greater gains are achieved when video is complemented by radio. Our findings imply that complementary ICT-based extension campaigns (particularly those that allow both verbal and visual communication) hold great potential to improve farmers’ knowledge and trigger behavioural changes in the identification, monitoring and sustainable management of a new invasive pest, such as FAW. © 2019 Tambo et al. This is an open access article distributed under the terms of the Creative Commons Attribution License, which permits unrestricted use, distribution, and reproduction in any medium, provided the original author and source are credited.","container-title":"PLoS ONE","DOI":"10.1371/journal.pone.0220844","issue":"8","page":"e0220844","title":"The impact of ICT-enabled extension campaign on farmers’ knowledge and management of fall armyworm in Uganda","URL":"https://www.scopus.com/inward/record.uri?eid=2-s2.0-85071111415&amp;doi=10.1371%2fjournal.pone.0220844&amp;partnerID=40&amp;md5=5e79fae8dbffb875a685a655d380c68e","volume":"14","author":[{"family":"Tambo","given":"Justice A."},{"family":"Aliamo","given":"C."},{"family":"Davis","given":"T."},{"family":"Mugambi","given":"I."},{"family":"Romney","given":"D."},{"family":"Onyango","given":"D.O."},{"family":"Kansiime","given":"M."},{"family":"Alokit","given":"C."},{"family":"Byantwale","given":"S.T."}],"issued":{"date-parts":[["2019"]]}},"label":"page"},{"id":29569,"uris":["http://zotero.org/groups/2352922/items/53JRFIBA"],"itemData":{"id":29569,"type":"report","event-place":"Mexico","publisher":"CDMX, CIMMYT","publisher-place":"Mexico","title":"Fall Armyworm Management for Maize Smallholders in Malawi: An Integrated Pest Management Strategic Plan","URL":"https://repository.cimmyt.org/handle/10883/20170","author":[{"family":"Murray","given":"K."},{"family":"Jepson","given":"P.C."},{"family":"Chaola","given":"M."}],"issued":{"date-parts":[["2019",2]]}},"label":"page"},{"id":24921,"uris":["http://zotero.org/groups/2352922/items/6RHX4W2G"],"itemData":{"id":24921,"type":"report","publisher":"CABI","title":"Fall armyworm: impacts and implications for Africa. Evidence Note Update, October 2018","URL":"https://www.invasive-species.org/wp-content/uploads/sites/2/2019/02/FAW-Evidence-Note-October-2018.pdf","author":[{"family":"Rwomushana","given":"I"},{"family":"Bateman","given":"M"},{"family":"Beale","given":"T"},{"family":"Beseh","given":"P"},{"family":"Cameron","given":"K"},{"family":"Chiluba","given":"M"},{"family":"Clottey","given":"V"},{"family":"Davis","given":"T"},{"family":"Day","given":"R"},{"family":"Early","given":"R"},{"family":"Godwin","given":"J"},{"family":"Gonzalez-Moreno","given":"P"},{"family":"Kansiime","given":"M"},{"family":"Kenis","given":"M"},{"family":"Makale","given":"F"},{"family":"Mugambi","given":"I"},{"family":"Murphy","given":"S"},{"family":"Nunda","given":"W"},{"family":"Phiri","given":"N"},{"family":"Pratt","given":"C"},{"family":"Tambo","given":"J"}],"issued":{"date-parts":[["2018"]]}},"label":"page"},{"id":24733,"uris":["http://zotero.org/groups/2352922/items/YW2MUDJQ"],"itemData":{"id":24733,"type":"article-journal","abstract":"This study examined smallholder farmers' adaptation strategies in managing fall armyworm (Spodoptera frugiperda) in rural Ghana. Using mixed methods, 378 smallholder farmers were randomly selected and surveyed, while 41 key informants were interviewed. The majority of smallholder farmers (83.1%) had experienced fall armyworm invasion with widespread and rapid invasion particularly in maize, which often led to a considerable reduction in crop yields. Pesticides (88%) and washing detergent solution (44%) applications were the common pest management practices. Male farmers were more positive in applying pesticides than female farmers. Integrated pest management practices and education among farmer should be improved. © 2020, © 2020 Informa UK Limited, trading as Taylor &amp; Francis Group.","container-title":"International Journal of Pest Management","DOI":"10.1080/09670874.2020.1787552","issue":"1","page":"8-18","title":"Smallholder farmers’ adaptation strategies for the management of fall armyworm (&lt;i&gt;Spodoptera frugiperda&lt;/i&gt;) in rural Ghana","URL":"https://www.scopus.com/inward/record.uri?eid=2-s2.0-85087555352&amp;doi=10.1080%2f09670874.2020.1787552&amp;partnerID=40&amp;md5=460e683a5b59c4582a9452e2af08625a","volume":"68","author":[{"family":"Asare-Nuamah","given":"P."}],"issued":{"date-parts":[["2022"]]}},"label":"page"},{"id":10005,"uris":["http://zotero.org/groups/2352922/items/MQEH38TC"],"itemData":{"id":10005,"type":"article-journal","abstract":"Abstract\n            Spodoptera frugiperda was considered an insect pest only in the Americas until its first report in African countries in 2016. In this study, farmers and agricultural officials in Ghana were interviewed on their perceptions and knowledge of the pest, on infestation and maize yield variations across years, and on management practices. Farms were inspected to determine the infestation level of 100 plants per hectare. Interviews revealed that farmers were familiar with the larval stages of this pest and noticed that the pest occurred throughout the year, but populations of S. frugiperda increased only during cropping seasons. Infestation levels reported by farmers in surveys were much lower in 2018 (30.38%) than in 2017 (80.92%). Farm inspections confirmed that infestation levels were much lower in 2018 (20.90%) than 2017 (73.70%). The belt formed by Guinea Savannah, Transitional Zone, and Semi-Deciduous Forest Agro-Ecological Zones (AEZs) recorded the highest infestations while the lowest were observed from the Sudan Savannah and Tropical Rain Forest AEZs. Insecticides were the most commonly used tactic to manage populations of this new pest. Maize yields increased across Ghana between 2013 and 2015 from 1.52 to 1.73 t/ha, decreased between 2015 and 2017 to 1.55 t/ha, and increased to 1.69 t/ha in 2018. The impact of fall armyworm injury to maize production is discussed.","container-title":"Journal of Integrated Pest Management","DOI":"10.1093/jipm/pmaa015","ISSN":"2155-7470","issue":"1","language":"en","page":"20","source":"DOI.org (Crossref)","title":"Assessment of impacts of fall armyworm, &lt;i&gt;Spodoptera frugiperda&lt;/i&gt; (Lepidoptera: Noctuidae) on maize production in Ghana","title-short":"Assessment of impacts of fall armyworm, &lt;i&gt;Spodoptera frugiperda&lt;/i&gt; (Lepidoptera","URL":"https://academic.oup.com/jipm/article/doi/10.1093/jipm/pmaa015/5923828","volume":"11","author":[{"family":"Koffi","given":"Djima"},{"family":"Kyerematen","given":"Rosina"},{"family":"Eziah","given":"Vincent Y"},{"family":"Osei-Mensah","given":"Yaa Oguabi"},{"family":"Afreh-Nuamah","given":"Kwame"},{"family":"Aboagye","given":"Ebenezer"},{"family":"Osae","given":"Michael"},{"family":"Meagher","given":"Robert L"}],"accessed":{"date-parts":[["2021",11,18]]},"issued":{"date-parts":[["2020",1,1]]}},"label":"page"},{"id":26506,"uris":["http://zotero.org/groups/2352922/items/NNQD95PI"],"itemData":{"id":26506,"type":"article-journal","abstract":"Recently, maize (Zea mays L.) production by smallholder farmers in Ethiopia has been threatened by an exotic pest called fall armyworm (FAW) (Spodoptera frugiperda J.E. Smith; Lepidoptera, Noctuidae). Devising or adopting sustainable, effective, affordable and smallholder farmers-friendly management strategies for the control of this pest are, therefore, vital. Push-Pull Technology (PPT) is considered one of the management methods for the control of FAW in East Africa. Therefore, the aim of this study is to determine pre- and post-training perceptions of smallholder farmers on FAW and PPT, and evaluate the status of the pest and plant damage on PPT adopted maize fields through rain-fed and irrigated farming. We found that the smallholder farmers had little or no knowledge of biology, identification, and management methods of FAW and about PPT before training. However, the farmers responded to the acquisition of adequate knowledge and skills on these topics after training. The FAW eggs and larvae and the proportion of plant damages were significantly lower in PPT treated maize plots relative to maize monocrop plots. This study depicts the adoption of PPT by smallholder farmers along with training resulted in the reduction of FAW.  Thus, adoption and extension of PPT are expected to play a vital role in the management of FAW mainly in the smallholder farming system.","container-title":"Future of Food: Journal on Food, Agriculture and Society","DOI":"10.17170/KOBRA-202011192210","issue":"1","language":"en","license":"Copyright (c) 2020 Future of Food: Journal on Food, Agriculture and Society","note":"number: 1","source":"www.thefutureoffoodjournal.com","title":"Awareness creation of smallholder farmers on and adoption of push-pull technology reduces fall armyworm (&lt;i&gt;Spodoptera frugiperda&lt;/i&gt;) infestation on maize in Hawzien Woreda, Northern Ethiopia","URL":"http://www.thefutureoffoodjournal.com/index.php/FOFJ/article/view/329","volume":"9","author":[{"family":"Gebreziher","given":"Haftay Gebreyesus"},{"family":"Gebreazgaabher","given":"Fissiha Gebreyesus"},{"family":"Berhe","given":"Yemane Kahsay"}],"accessed":{"date-parts":[["2021",4,22]]},"issued":{"date-parts":[["2021"]]}},"label":"page"},{"id":24742,"uris":["http://zotero.org/groups/2352922/items/44CEGQT9"],"itemData":{"id":24742,"type":"article-journal","abstract":"Spodoptera frugiperda has caused significant losses of farmer income in sub-Saharan countries since 2016. This study assessed farmers’ knowledge of S. frugiperda, their perceptions and management practices in Benin. Data were collected through a national survey of 1237 maize farmers. Ninety-one point eight percent of farmers recognized S. frugiperda damage, 78.9% of them were able to identify its larvae, and 93.9% of the maize fields were infested. According to farmers, the perceived yield losses amounted to 797.2 kg/ha of maize, representing 49% of the average maize yield commonly obtained by farmers. Chi-square tests revealed that the severity of the pest attacks was significantly associated with cropping practices and types of grown maize varieties. About 16% of farmers identified francolin (Francolinus bicalcaratus), village weaver (Ploceus cucullatus), and common wasp (Vespula vulgaris) as natural enemies and 5% of them identified yellow nutsedge, chan, shea tree, neem, tamarind, and soybean as repellent plants of S. frugiperda. Most farmers (91.4%) used synthetic pesticides and 1.9% of them used botanical pesticides, which they found more effective than synthetic pesticides. Significant relationships exist between farmers’ management practices, their knowledge, organization membership, and contact with research and extension services. More research is required to further understand the effectiveness of botanical pesticides made by farmers against S. frugiperda and to refine them for scaling-up. © 2020 by the authors. Licensee MDPI, Basel, Switzerland.","container-title":"Agriculture (Switzerland)","DOI":"10.3390/agriculture10100430","issue":"10","page":"1-15","title":"Farmers’ knowledge and management practices of fall armyworm, &lt;i&gt;Spodoptera frugiperda&lt;/i&gt; (J.E. Smith) in Benin, West Africa","URL":"https://www.scopus.com/inward/record.uri?eid=2-s2.0-85091563470&amp;doi=10.3390%2fagriculture10100430&amp;partnerID=40&amp;md5=60d1df78d85dc7e7b12a5a8641ccebb1","volume":"10","author":[{"family":"Houngbo","given":"S."},{"family":"Zannou","given":"A."},{"family":"Aoudji","given":"A."},{"family":"Sossou","given":"H.C."},{"family":"Sinzogan","given":"A."},{"family":"Sikirou","given":"R."},{"family":"Zossou","given":"E."},{"family":"Totin Vodounon","given":"H.S."},{"family":"Adomou","given":"A."},{"family":"Ahanchédé","given":"A."}],"issued":{"date-parts":[["2020"]]}},"label":"page"},{"id":24743,"uris":["http://zotero.org/groups/2352922/items/3FQLBCIA"],"itemData":{"id":24743,"type":"article-journal","abstract":"Since its emergence in Africa in 2016, fall armyworm (FAW) has spread rapidly and poses a severe threat to the food security and livelihood of millions of smallholder farmers in the continent. Using survey data from Ghana and Zambia, we examined FAW prevention and control methods implemented by farm households and their impacts on maize output and household consumption of self-produced maize. The main control methods used included pesticide application and handpicking of larvae, while access to information on FAW was a key driver behind the implementation of the control methods. Results from an endogenous switching regression showed that the implementation of a FAW management strategy significantly enhanced maize yield and households’ own maize consumption. When disentangling the impacts of the main control methods, we found that the combination of pesticide application and handpicking of larvae produced the highest yield gain of 125%. We concluded that the current interventions put in place by farmers to tackle FAW infestations are providing positive outcomes, but successful management of the pest will require more actions, including raising awareness to enhance the adoption of control interventions and exploring other control options. © 2019, © 2019 The Author(s). Published by Informa UK Limited, trading as Taylor &amp; Francis Group.","container-title":"International Journal of Pest Management","DOI":"10.1080/09670874.2019.1646942","issue":"4","page":"298-310","title":"Tackling fall armyworm (&lt;i&gt;Spodoptera frugiperda&lt;/i&gt;) outbreak in Africa: an analysis of farmers’ control actions","URL":"https://www.scopus.com/inward/record.uri?eid=2-s2.0-85071327717&amp;doi=10.1080%2f09670874.2019.1646942&amp;partnerID=40&amp;md5=43131a8ae5a106b1ad1021c57c884472","volume":"66","author":[{"family":"Tambo","given":"Justice A."},{"family":"Day","given":"R.K."},{"family":"Lamontagne-Godwin","given":"J."},{"family":"Silvestri","given":"S."},{"family":"Beseh","given":"P.K."},{"family":"Oppong-Mensah","given":"B."},{"family":"Phiri","given":"N.A."},{"family":"Matimelo","given":"M."}],"issued":{"date-parts":[["2020"]]}},"label":"page"},{"id":24744,"uris":["http://zotero.org/groups/2352922/items/5VH7H6JY"],"itemData":{"id":24744,"type":"article-journal","abstract":"Fall armyworm (FAW) is a new invasive pest that is causing devastating effects on maize production and threatening the livelihoods of millions of poor smallholders across sub-Saharan Africa and Asia. Using unique survey data from 2356 maize-growing households in Ghana, Rwanda, Uganda, Zambia and Zimbabwe, we examined how smallholder farmers are fighting this voracious pest. In particular, we assessed the FAW management strategies used by smallholders, socio-economic factors driving the choice of the management options, the complementarities or tradeoffs among the management options, and the (un)safe pesticide use practices of farmers. Results showed that smallholder farm households have adopted a variety of cultural, physical, chemical and local options to mitigate the effects of FAW, but the use of synthetic pesticides remains the most popular option. Results from multivariate probit regressions indicated that the extensive use of synthetic pesticides is driven by household asset wealth, and access to subsidised farm inputs and extension information. We observed that farm households are using a wide range of pesticides, including highly hazardous and banned products. Unfortunately, a majority of the households do not use personal protective equipment while handling the pesticides, resulting in reports of acute pesticide-related illness. Our findings have important implications for policies and interventions aimed at promoting environmentally friendly and sustainable ways of managing invasive pests in smallholder farming systems. © 2018","container-title":"Science of the Total Environment","DOI":"10.1016/j.scitotenv.2020.140015","page":"140015","title":"Understanding smallholders' responses to fall armyworm (&lt;i&gt;Spodoptera frugiperda&lt;/i&gt;) invasion: Evidence from five African countries","URL":"https://www.scopus.com/inward/record.uri?eid=2-s2.0-85086633452&amp;doi=10.1016%2fj.scitotenv.2020.140015&amp;partnerID=40&amp;md5=e8854b61877002fa6b95154a9f953104","volume":"740","author":[{"family":"Tambo","given":"Justice A."},{"family":"Kansiime","given":"M.K."},{"family":"Mugambi","given":"I."},{"family":"Rwomushana","given":"I."},{"family":"Kenis","given":"M."},{"family":"Day","given":"R.K."},{"family":"Lamontagne-Godwin","given":"J."}],"issued":{"date-parts":[["2020"]]}},"label":"page"},{"id":29570,"uris":["http://zotero.org/groups/2352922/items/6IN3K7RS"],"itemData":{"id":29570,"type":"article-journal","abstract":"Fall Army Worm (FAW) emerged in Ghana in 2017 as a major threat to maize production in the country. Considering that maize is the staple crop of the country, any major shock in its prodcution can have negative consequences on the food security of the entire country. Therefore, this study analysed the prevalence of FAW, control strategies and its effect on output in a highly infested area, the Nkoranza South Municipality of Bono East region. A total of 200 farmers who cultivated maize in the 2018 production season were selected using multistage sampling procedure. The data was analysed using descriptive statistics and Kendall’s coefficient of concordance. From the result, FAW prevalence is as high as 79.5%. A total of 96.3% of farmers who experienced FAW had at least half of their farms infested. There is a significant output gap among infested farms and noninfested farms of about 17%. The strategies adopted to control FAW were chemicals (pesticides), neem extract, detergents, hand picking and burning of affected farm areas. The study concluded that among the control strategies, burning affected farm areas leads to higher output. However, to achieve a higher output, a combi­ nation of neem extracts with the burning of affected farm areas is recommended.","container-title":"Cogent Food &amp; Agriculture","DOI":"10.1080/23311932.2020.1800239","ISSN":"2331-1932","issue":"1","journalAbbreviation":"Cogent Food &amp; Agriculture","language":"en","page":"1800239","source":"DOI.org (Crossref)","title":"Prevalence, effects and management of fall army worm in the Nkoranza South Municipality, Bono East region of Ghana","URL":"https://www.tandfonline.com/doi/full/10.1080/23311932.2020.1800239","volume":"6","author":[{"family":"Bariw","given":"Shaibu Abdul"},{"family":"Kudadze","given":"Solace"},{"family":"Adzawla","given":"William"}],"editor":[{"family":"Yildiz","given":"Fatih"}],"accessed":{"date-parts":[["2021",7,28]]},"issued":{"date-parts":[["2020",1,1]]}},"label":"page"}],"schema":"https://github.com/citation-style-language/schema/raw/master/csl-citation.json"} </w:instrText>
      </w:r>
      <w:r w:rsidR="00066A7E" w:rsidRPr="00837161">
        <w:fldChar w:fldCharType="separate"/>
      </w:r>
      <w:r w:rsidR="00CB59D1" w:rsidRPr="00767086">
        <w:rPr>
          <w:lang w:val="es-ES"/>
        </w:rPr>
        <w:t>FAO, 2018b; Kansiime et al., 2019; Tambo et al., 2019; Murray et al., 2019; Rwomushana et al., 2018; Asare-Nuamah, 2020; Koffi et al., 2020; Gebreziher et al., 2021; Houngbo et al., 2020; Tambo, Day, et al., 2020; Tambo, Kansiime, et al., 2020; Bariw et al., 2020)</w:t>
      </w:r>
      <w:r w:rsidR="00066A7E" w:rsidRPr="00837161">
        <w:fldChar w:fldCharType="end"/>
      </w:r>
      <w:r w:rsidR="7F8C5507" w:rsidRPr="00767086">
        <w:rPr>
          <w:lang w:val="es-ES"/>
        </w:rPr>
        <w:t>.</w:t>
      </w:r>
    </w:p>
    <w:p w14:paraId="457DEBFF" w14:textId="545FF75F" w:rsidR="0054363D" w:rsidRPr="0054363D" w:rsidRDefault="002F2F42" w:rsidP="002F2F42">
      <w:pPr>
        <w:pStyle w:val="BodyText"/>
        <w:pBdr>
          <w:top w:val="single" w:sz="4" w:space="1" w:color="auto"/>
          <w:left w:val="single" w:sz="4" w:space="1" w:color="auto"/>
          <w:bottom w:val="single" w:sz="4" w:space="1" w:color="auto"/>
          <w:right w:val="single" w:sz="4" w:space="1" w:color="auto"/>
        </w:pBdr>
        <w:shd w:val="clear" w:color="auto" w:fill="E7E6E6" w:themeFill="background2"/>
        <w:jc w:val="center"/>
        <w:rPr>
          <w:highlight w:val="green"/>
          <w:lang w:val="en-GB" w:eastAsia="ja-JP"/>
        </w:rPr>
      </w:pPr>
      <w:r>
        <w:rPr>
          <w:rFonts w:cs="Calibri"/>
          <w:noProof/>
        </w:rPr>
        <w:lastRenderedPageBreak/>
        <w:drawing>
          <wp:inline distT="0" distB="0" distL="0" distR="0" wp14:anchorId="00A1DB8C" wp14:editId="4C7DB1DF">
            <wp:extent cx="6115050" cy="2877185"/>
            <wp:effectExtent l="0" t="0" r="6350" b="5715"/>
            <wp:docPr id="1971555454" name="image24.png" descr="A graph of a farm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4.png" descr="A graph of a farmer&#10;&#10;Description automatically generated with medium confidence"/>
                    <pic:cNvPicPr preferRelativeResize="0"/>
                  </pic:nvPicPr>
                  <pic:blipFill>
                    <a:blip r:embed="rId109"/>
                    <a:srcRect/>
                    <a:stretch>
                      <a:fillRect/>
                    </a:stretch>
                  </pic:blipFill>
                  <pic:spPr>
                    <a:xfrm>
                      <a:off x="0" y="0"/>
                      <a:ext cx="6115050" cy="2877185"/>
                    </a:xfrm>
                    <a:prstGeom prst="rect">
                      <a:avLst/>
                    </a:prstGeom>
                    <a:ln/>
                  </pic:spPr>
                </pic:pic>
              </a:graphicData>
            </a:graphic>
          </wp:inline>
        </w:drawing>
      </w:r>
    </w:p>
    <w:p w14:paraId="0000069A" w14:textId="5A724DC1" w:rsidR="00A758FD" w:rsidRDefault="00066A7E"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bookmarkStart w:id="564" w:name="_Ref104970943"/>
      <w:bookmarkStart w:id="565" w:name="_Toc147489377"/>
      <w:bookmarkStart w:id="566" w:name="_Toc87623114"/>
      <w:r w:rsidRPr="002F2F42">
        <w:rPr>
          <w:rFonts w:eastAsia="DengXian"/>
          <w:b/>
          <w:bCs/>
        </w:rPr>
        <w:t>Figure 5</w:t>
      </w:r>
      <w:r w:rsidRPr="002F2F42">
        <w:rPr>
          <w:b/>
          <w:bCs/>
        </w:rPr>
        <w:t>.</w:t>
      </w:r>
      <w:r w:rsidR="00975896" w:rsidRPr="002F2F42">
        <w:rPr>
          <w:b/>
          <w:bCs/>
        </w:rPr>
        <w:fldChar w:fldCharType="begin"/>
      </w:r>
      <w:r w:rsidR="00975896" w:rsidRPr="002F2F42">
        <w:rPr>
          <w:b/>
          <w:bCs/>
        </w:rPr>
        <w:instrText xml:space="preserve"> SEQ Figure_5. \* ARABIC </w:instrText>
      </w:r>
      <w:r w:rsidR="00975896" w:rsidRPr="002F2F42">
        <w:rPr>
          <w:b/>
          <w:bCs/>
        </w:rPr>
        <w:fldChar w:fldCharType="separate"/>
      </w:r>
      <w:r w:rsidR="00DC77F8" w:rsidRPr="002F2F42">
        <w:rPr>
          <w:b/>
          <w:bCs/>
          <w:noProof/>
        </w:rPr>
        <w:t>24</w:t>
      </w:r>
      <w:r w:rsidR="00975896" w:rsidRPr="002F2F42">
        <w:rPr>
          <w:b/>
          <w:bCs/>
        </w:rPr>
        <w:fldChar w:fldCharType="end"/>
      </w:r>
      <w:bookmarkEnd w:id="564"/>
      <w:r w:rsidR="00C11DFA" w:rsidRPr="002F2F42">
        <w:rPr>
          <w:b/>
          <w:bCs/>
        </w:rPr>
        <w:t>.</w:t>
      </w:r>
      <w:r w:rsidR="00191A6E">
        <w:rPr>
          <w:b/>
          <w:bCs/>
        </w:rPr>
        <w:t xml:space="preserve"> </w:t>
      </w:r>
      <w:r w:rsidR="00C81287">
        <w:t>Fall armyworm management adopted by African farmers uses combinations of chemical, physical, cultural or traditional methods (FAO, 2018b; Kansiime et al., 2019; Tambo et al., 2019; Murray et al., 2019; Rwomushana et al., 2018; Asare-Nuamah, 2020; Koffi et al., 2020; Gebreziher et al., 2021; Houngbo et al., 2020; Tambo, Day, et al., 2020; Tambo, Kansiime, et al., 2020; Bariw et al., 2020).</w:t>
      </w:r>
      <w:bookmarkEnd w:id="565"/>
    </w:p>
    <w:bookmarkEnd w:id="566"/>
    <w:p w14:paraId="0000069D" w14:textId="28F6699F" w:rsidR="00A758FD" w:rsidRPr="00C0338D" w:rsidRDefault="00C81287"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rPr>
          <w:u w:val="single"/>
        </w:rPr>
      </w:pPr>
      <w:r w:rsidRPr="00C0338D">
        <w:t>Synthetic pesticides were the most commonly used control method (64 per cent of studies). Cultural methods (36 per cent of studies) involve</w:t>
      </w:r>
      <w:r w:rsidR="00385737">
        <w:t>d</w:t>
      </w:r>
      <w:r w:rsidRPr="00C0338D">
        <w:t xml:space="preserve"> agronomic practices such as early planting, intercropping with non-host plants, weeding of the field constantly to remove alternative host plants, push-pull technology</w:t>
      </w:r>
      <w:r w:rsidR="00C16EEB">
        <w:t xml:space="preserve"> and</w:t>
      </w:r>
      <w:r w:rsidRPr="00C0338D">
        <w:t xml:space="preserve"> fertilization to produce healthy plants that are resilient to attack. Traditional methods (52 per cent of studies) included the application of household detergents, soaps, ash, sand or urea on larvae. Integrated pest management consisted of regular monitoring of maize fields for fall armyworm with the use of pheromone traps to monitor or capture the adults. </w:t>
      </w:r>
    </w:p>
    <w:p w14:paraId="0000069E" w14:textId="1F3738F8" w:rsidR="00A758FD" w:rsidRPr="00C0338D" w:rsidRDefault="00C81287"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rPr>
          <w:i/>
        </w:rPr>
      </w:pPr>
      <w:r w:rsidRPr="00C0338D">
        <w:t>As fall armyworm was a new pest, farmers needed information on identification, biology, monitoring and effective control,</w:t>
      </w:r>
      <w:r w:rsidR="00385737">
        <w:t xml:space="preserve"> </w:t>
      </w:r>
      <w:r w:rsidRPr="00C0338D">
        <w:t>including information on pesticide use and safety</w:t>
      </w:r>
      <w:r w:rsidR="00385737">
        <w:t>,</w:t>
      </w:r>
      <w:r w:rsidRPr="00C0338D">
        <w:t xml:space="preserve"> </w:t>
      </w:r>
      <w:r w:rsidR="00385737" w:rsidRPr="00C0338D">
        <w:t xml:space="preserve">but this was largely unavailable or inadequate </w:t>
      </w:r>
      <w:r w:rsidR="00066A7E" w:rsidRPr="00837161">
        <w:fldChar w:fldCharType="begin"/>
      </w:r>
      <w:r w:rsidR="00A4003D">
        <w:instrText xml:space="preserve"> ADDIN ZOTERO_ITEM CSL_CITATION {"citationID":"OaEDG3cE","properties":{"unsorted":true,"formattedCitation":"(Nyangau et al., 2020; Girsang et al., 2020; Murray et al., 2021; Tambo et al., 2021)","plainCitation":"(Nyangau et al., 2020; Girsang et al., 2020; Murray et al., 2021; Tambo et al., 2021)","noteIndex":0},"citationItems":[{"id":24735,"uris":["http://zotero.org/groups/2352922/items/LRZ4LDAS"],"itemData":{"id":24735,"type":"article-journal","abstract":"We utilized data from cereal, legume, and vegetable growers in Kenya and Uganda to assess their knowledge and management practices of common pests and willingness to pay (WTP) for biopesticides. The contingent valuation method was used to assess the WTP and associated factors among 600 and 700 farmers in Kenya and Uganda, respectively. Fall armyworm (Spodoptera frugiperda) was reported as the major maize pest in both countries, while aphids (Aphis spp.) and Tuta absoluta were ranked as the main legume and vegetable pests, respectively. Most farmers (&gt;65%) used chemical pesticides as the main method to control pests, with most of them (&gt;70%) being aware of the negative effects of chemical pesticides on human health. A higher proportion of vegetable farmers (&gt;80%) were WTP a premium price for biopesticides compared to 60% and 50% of the maize and legume farmers, respectively. On average the WTP price was estimated at US$23.33, US$18.27, and US$15.74 per acre among the vegetable, maize, and legume growers, respectively. Being a male, more educated, with higher income, aware of the negative effects of chemical pesticide use, and a risk-taker increased WTP for biopesticides. On the flip side, old age, big family size, and having trust to other community members decreased WTP for biopesticides. Our findings provide insights into the market opportunities of biopesticides in Kenya and Uganda. Training farmers on the benefits of biopesticides may promote their attitude towards the utilization of this kind of pesticides and consequently reduce the use of chemical pesticides. © 2020 Informa UK Limited, trading as Taylor &amp; Francis Group.","container-title":"International Journal of Pest Management","DOI":"10.1080/09670874.2020.1817621","issue":"3","page":"204-216","title":"Farmers’ knowledge and management practices of cereal, legume and vegetable insect pests, and willingness to pay for biopesticides","URL":"https://www.tandfonline.com/doi/abs/10.1080/09670874.2020.1817621","volume":"68","author":[{"family":"Nyangau","given":"Paul"},{"family":"Muriithi","given":"Beatrice"},{"family":"Diiro","given":"Gracious"},{"family":"Akutse","given":"Komivi Senyo"},{"family":"Subramanian","given":"Sevgan"}],"issued":{"date-parts":[["2020"]]}},"label":"page"},{"id":24740,"uris":["http://zotero.org/groups/2352922/items/XI6KLSYU"],"itemData":{"id":24740,"type":"paper-conference","abstract":"Maize is the second most important cereal crop in the world after wheat, contributing substantially to the total cereal grain production in the world economy as a trade, food, feed, and industrial grain crop. The presence of S. frugiperda or Fall Armyworm (FAW) and climate change has affected the corn productivity in North Sumatra. The objective is to determine the distribution and impact of FAW on maize production in North Sumatra. The method used was a survey, observation, and interview farmers and extensions, also secondary data of the FAW attacked from the North Sumatra Food Crops and Horticulture Protection unit (January to August 2019). Sampling was done by simple random sampling with 30 respondents. Analysis data in the form of agronomic advantages and FAW distribution were mapped by overlaying the district administration map with the corn area that was attacked using ArcView GIS. The results showed that the heaviest attack in Karo District was 1,729.9 ha started at 25 days after planting until flowering. The effect of FAW is an increase in production costs by 4.2%, reduction production by 26.6% wherein labour is the highest cost production. Rainfall and wind speed factors have a positive and negative influence on the development of FAW in North Sumatra, early anticipation at the beginning of the plant growth period can reduce the impact on corn production and cost. © 2020 Published under licence by IOP Publishing Ltd.","container-title":"IOP Conference Series: Earth and Environmental Science","DOI":"10.1088/1755-1315/484/1/012099","event-title":"International Conference on Sustainable Cereals and Crops Production Systems in the Tropics 23-25 September 2019, Makassar City, Indonesia","note":"issue: 1","page":"012099","title":"The distribution and impact of fall army worm (&lt;i&gt;Spodoptera frugiperda&lt;/i&gt;) on maize production in North Sumatera","URL":"https://iopscience.iop.org/article/10.1088/1755-1315/484/1/012099/meta","volume":"484","author":[{"family":"Girsang","given":"Setia S"},{"family":"Nurzannah","given":"Sri Endah"},{"family":"Girsang","given":"Moral A"},{"family":"Effendi","given":"Roy"}],"issued":{"date-parts":[["2020"]]}},"label":"page"},{"id":30687,"uris":["http://zotero.org/groups/2352922/items/YIH79J8S"],"itemData":{"id":30687,"type":"report","publisher":"USAID, CIMMYT","title":"Fall armyworm for maize smallholders in Kenya: an integrated pest management strategic plan","URL":"https://repository.cimmyt.org/handle/10883/21259","author":[{"family":"Murray","given":"K."},{"family":"Jepson","given":"P.C."},{"family":"Huesing","given":"J."}],"issued":{"date-parts":[["2021"]]}},"label":"page"},{"id":26524,"uris":["http://zotero.org/groups/2352922/items/6NVN3N58"],"itemData":{"id":26524,"type":"article-journal","abstract":"Recent outbreaks of crop pests such as fall armyworm and desert locusts are threatening food security and have spurred increased use of pesticides in sub-Saharan Africa. While pesticides can prevent crop losses, they can also have adverse effects on human health and the environment, if not used judiciously. In this article, we examine whether plant clinics–an innovative extension approach of providing plant health diagnostic and advisory ser­ vices to smallholder farmers–can enhance judicious use of pesticides, measured by intensity of pesticide use, adoption of alternative and more environmentally friendly pest management practices, safe pesticide use prac­ tices, and incidence of pesticide-related illness. We use data from a sample of 1474 farm households in Rwanda and Zambia. Propensity score matching estimates suggest that although plant clinic participants exhibit a higher probability of opting for pesticides for pest control, they do not use pesticides intensively and are more likely to adopt alternatives to chemical pest control. On the other hand, plant clinic users and non-users are equally likely to use restricted pesticides and inappropriate methods of disposing of pesticide wastes, which can lead to pesticide poisoning. Overall, our results imply that the plant clinic extension approach can promote sustainable pest management in smallholder agriculture, but additional training of plant clinic staff and clients on pesticide safety would be necessary.","container-title":"Food Policy","DOI":"10.1016/j.foodpol.2021.102073","ISSN":"03069192","journalAbbreviation":"Food Policy","language":"en","page":"102073","source":"DOI.org (Crossref)","title":"Can plant clinics enhance judicious use of pesticides? Evidence from Rwanda and Zambia","title-short":"Can plant clinics enhance judicious use of pesticides?","URL":"https://linkinghub.elsevier.com/retrieve/pii/S0306919221000506","volume":"101","author":[{"family":"Tambo","given":"Justice A."},{"family":"Romney","given":"Dannie"},{"family":"Mugambi","given":"Idah"},{"family":"Mbugua","given":"Fredrick"},{"family":"Bundi","given":"Mary"},{"family":"Uzayisenga","given":"Bellancile"},{"family":"Matimelo","given":"Mathews"},{"family":"Ndhlovu","given":"Mathias"}],"accessed":{"date-parts":[["2021",4,22]]},"issued":{"date-parts":[["2021",3]]}},"label":"page"}],"schema":"https://github.com/citation-style-language/schema/raw/master/csl-citation.json"} </w:instrText>
      </w:r>
      <w:r w:rsidR="00066A7E" w:rsidRPr="00837161">
        <w:fldChar w:fldCharType="separate"/>
      </w:r>
      <w:r w:rsidR="00A4003D" w:rsidRPr="00A4003D">
        <w:t>(Nyangau et al., 2020; Girsang et al., 2020; Murray et al., 2021; Tambo et al., 2021)</w:t>
      </w:r>
      <w:r w:rsidR="00066A7E" w:rsidRPr="00837161">
        <w:fldChar w:fldCharType="end"/>
      </w:r>
      <w:r w:rsidR="00066A7E" w:rsidRPr="00767086">
        <w:rPr>
          <w:lang w:val="es-ES"/>
        </w:rPr>
        <w:t xml:space="preserve">. </w:t>
      </w:r>
      <w:r w:rsidR="00066A7E" w:rsidRPr="00837161">
        <w:t>Pesticide cost was high</w:t>
      </w:r>
      <w:r w:rsidR="00C16EEB">
        <w:t xml:space="preserve"> and</w:t>
      </w:r>
      <w:r w:rsidR="00066A7E" w:rsidRPr="00837161">
        <w:t xml:space="preserve"> supplies and resources were low </w:t>
      </w:r>
      <w:r w:rsidR="00066A7E" w:rsidRPr="00837161">
        <w:fldChar w:fldCharType="begin"/>
      </w:r>
      <w:r w:rsidR="000F35EB">
        <w:instrText xml:space="preserve"> ADDIN ZOTERO_ITEM CSL_CITATION {"citationID":"cW7lD2qT","properties":{"formattedCitation":"(Bariw et al., 2020)","plainCitation":"(Bariw et al., 2020)","noteIndex":0},"citationItems":[{"id":29570,"uris":["http://zotero.org/groups/2352922/items/6IN3K7RS"],"itemData":{"id":29570,"type":"article-journal","abstract":"Fall Army Worm (FAW) emerged in Ghana in 2017 as a major threat to maize production in the country. Considering that maize is the staple crop of the country, any major shock in its prodcution can have negative consequences on the food security of the entire country. Therefore, this study analysed the prevalence of FAW, control strategies and its effect on output in a highly infested area, the Nkoranza South Municipality of Bono East region. A total of 200 farmers who cultivated maize in the 2018 production season were selected using multistage sampling procedure. The data was analysed using descriptive statistics and Kendall’s coefficient of concordance. From the result, FAW prevalence is as high as 79.5%. A total of 96.3% of farmers who experienced FAW had at least half of their farms infested. There is a significant output gap among infested farms and noninfested farms of about 17%. The strategies adopted to control FAW were chemicals (pesticides), neem extract, detergents, hand picking and burning of affected farm areas. The study concluded that among the control strategies, burning affected farm areas leads to higher output. However, to achieve a higher output, a combi­ nation of neem extracts with the burning of affected farm areas is recommended.","container-title":"Cogent Food &amp; Agriculture","DOI":"10.1080/23311932.2020.1800239","ISSN":"2331-1932","issue":"1","journalAbbreviation":"Cogent Food &amp; Agriculture","language":"en","page":"1800239","source":"DOI.org (Crossref)","title":"Prevalence, effects and management of fall army worm in the Nkoranza South Municipality, Bono East region of Ghana","URL":"https://www.tandfonline.com/doi/full/10.1080/23311932.2020.1800239","volume":"6","author":[{"family":"Bariw","given":"Shaibu Abdul"},{"family":"Kudadze","given":"Solace"},{"family":"Adzawla","given":"William"}],"editor":[{"family":"Yildiz","given":"Fatih"}],"accessed":{"date-parts":[["2021",7,28]]},"issued":{"date-parts":[["2020",1,1]]}},"label":"page"}],"schema":"https://github.com/citation-style-language/schema/raw/master/csl-citation.json"} </w:instrText>
      </w:r>
      <w:r w:rsidR="00066A7E" w:rsidRPr="00837161">
        <w:fldChar w:fldCharType="separate"/>
      </w:r>
      <w:r w:rsidR="00271B78" w:rsidRPr="00271B78">
        <w:t>(Bariw et al., 2020)</w:t>
      </w:r>
      <w:r w:rsidR="00066A7E" w:rsidRPr="00837161">
        <w:fldChar w:fldCharType="end"/>
      </w:r>
      <w:r w:rsidR="00066A7E" w:rsidRPr="00837161">
        <w:t>. Handpicking of larvae was labour</w:t>
      </w:r>
      <w:r w:rsidR="00385737">
        <w:t>-</w:t>
      </w:r>
      <w:r w:rsidR="00066A7E" w:rsidRPr="00837161">
        <w:t xml:space="preserve">intensive </w:t>
      </w:r>
      <w:r w:rsidR="00066A7E" w:rsidRPr="00837161">
        <w:fldChar w:fldCharType="begin"/>
      </w:r>
      <w:r w:rsidR="00E25D54">
        <w:instrText xml:space="preserve"> ADDIN ZOTERO_ITEM CSL_CITATION {"citationID":"G0AhNscJ","properties":{"formattedCitation":"(Chimweta et al., 2020)","plainCitation":"(Chimweta et al., 2020)","noteIndex":0},"citationItems":[{"id":24736,"uris":["http://zotero.org/groups/2352922/items/7QM8ZTCF"],"itemData":{"id":24736,"type":"article-journal","abstract":"We determined fall armyworm abundance, infestation and damage on maize in smallholder farmers’ fields in the Zambezi Valley in northern Zimbabwe. Data were collected through field measurements at four sites and interviews with 101 farmers. Fall armyworm abundance ranged from 13.7 to 33.3 larvae per 30 plants, with infestation exceeding 94% and leaf, silk and tassel damage levels ranging between 25 and 50%. Most larvae on maize plants (P &lt; 0.05) were at instar stages 2 to 3. Estimated grain yield decrease was 58%. Echinochloa colona and Amaranthus spp. were also damaged by fall armyworm. Farmers experimented with 28 combinations of pesticides, ash, and washing powders. Sixty five percent of the farmers used restricted to highly restricted pesticides. High fall armyworm abundance, infestation and maize damage levels suggest that the Zambezi Valley could become a fall armyworm hotspot. Sequential damage of plant parts signified the persistence of this pest in the study area. We recommend large-scale interventions that include chemical and biological control methods as well as destroying ratoon hosts, publishing information about locally available pesticides for the control of fall armyworm, and farmer training on fall armyworm biology and correct use of pesticides. © 2019, © 2019 Informa UK Limited, trading as Taylor &amp; Francis Group.","container-title":"International Journal of Pest Management","DOI":"10.1080/09670874.2019.1577514","issue":"2","page":"142-154","title":"Fall armyworm [&lt;i&gt;Spodoptera frugiperda&lt;/i&gt; (J.E. Smith)] damage in maize: management options for flood-recession cropping smallholder farmers","URL":"https://www.scopus.com/inward/record.uri?eid=2-s2.0-85062774872&amp;doi=10.1080%2f09670874.2019.1577514&amp;partnerID=40&amp;md5=2d1a51586ca56b465ea67316aabce6ff","volume":"66","author":[{"family":"Chimweta","given":"Moreblessing"},{"family":"Nyakudya","given":"Innocent Wadzanayi"},{"family":"Jimu","given":"Luke"},{"family":"Mashingaidze","given":"Arnold Bray"}],"issued":{"date-parts":[["2020"]]}},"label":"page"}],"schema":"https://github.com/citation-style-language/schema/raw/master/csl-citation.json"} </w:instrText>
      </w:r>
      <w:r w:rsidR="00066A7E" w:rsidRPr="00837161">
        <w:fldChar w:fldCharType="separate"/>
      </w:r>
      <w:r w:rsidR="00271B78" w:rsidRPr="00271B78">
        <w:t>(Chimweta et al., 2020)</w:t>
      </w:r>
      <w:r w:rsidR="00066A7E" w:rsidRPr="00837161">
        <w:fldChar w:fldCharType="end"/>
      </w:r>
      <w:r w:rsidR="00066A7E" w:rsidRPr="00837161">
        <w:t>.</w:t>
      </w:r>
      <w:r w:rsidRPr="00C0338D">
        <w:t xml:space="preserve"> </w:t>
      </w:r>
    </w:p>
    <w:p w14:paraId="1DCC280C" w14:textId="65A28727" w:rsidR="402F75F0" w:rsidRPr="00837161" w:rsidRDefault="00066A7E" w:rsidP="002F2F42">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837161">
        <w:t xml:space="preserve">In terms of effectiveness, pesticides were most effective </w:t>
      </w:r>
      <w:r w:rsidRPr="00837161">
        <w:fldChar w:fldCharType="begin"/>
      </w:r>
      <w:r w:rsidR="000F35EB">
        <w:instrText xml:space="preserve"> ADDIN ZOTERO_ITEM CSL_CITATION {"citationID":"3tyZOJ6n","properties":{"formattedCitation":"(Rwomushana et al., 2018)","plainCitation":"(Rwomushana et al., 2018)","noteIndex":0},"citationItems":[{"id":24921,"uris":["http://zotero.org/groups/2352922/items/6RHX4W2G"],"itemData":{"id":24921,"type":"report","publisher":"CABI","title":"Fall armyworm: impacts and implications for Africa. Evidence Note Update, October 2018","URL":"https://www.invasive-species.org/wp-content/uploads/sites/2/2019/02/FAW-Evidence-Note-October-2018.pdf","author":[{"family":"Rwomushana","given":"I"},{"family":"Bateman","given":"M"},{"family":"Beale","given":"T"},{"family":"Beseh","given":"P"},{"family":"Cameron","given":"K"},{"family":"Chiluba","given":"M"},{"family":"Clottey","given":"V"},{"family":"Davis","given":"T"},{"family":"Day","given":"R"},{"family":"Early","given":"R"},{"family":"Godwin","given":"J"},{"family":"Gonzalez-Moreno","given":"P"},{"family":"Kansiime","given":"M"},{"family":"Kenis","given":"M"},{"family":"Makale","given":"F"},{"family":"Mugambi","given":"I"},{"family":"Murphy","given":"S"},{"family":"Nunda","given":"W"},{"family":"Phiri","given":"N"},{"family":"Pratt","given":"C"},{"family":"Tambo","given":"J"}],"issued":{"date-parts":[["2018"]]}},"label":"page"}],"schema":"https://github.com/citation-style-language/schema/raw/master/csl-citation.json"} </w:instrText>
      </w:r>
      <w:r w:rsidRPr="00837161">
        <w:fldChar w:fldCharType="separate"/>
      </w:r>
      <w:r w:rsidR="00271B78" w:rsidRPr="00271B78">
        <w:t>(Rwomushana et al., 2018)</w:t>
      </w:r>
      <w:r w:rsidRPr="00837161">
        <w:fldChar w:fldCharType="end"/>
      </w:r>
      <w:r w:rsidRPr="00837161">
        <w:t>,</w:t>
      </w:r>
      <w:r w:rsidR="00385737">
        <w:t xml:space="preserve"> while</w:t>
      </w:r>
      <w:r w:rsidRPr="00837161">
        <w:t xml:space="preserve"> early planting, handpicking, planting resistant varieties, crop rotation and replanting were all perceived as highly to moderately effective in Namibia. Early planting and handpicking were considered relatively ineffective by farmers in Benin </w:t>
      </w:r>
      <w:r w:rsidRPr="00837161">
        <w:fldChar w:fldCharType="begin"/>
      </w:r>
      <w:r w:rsidR="0044454C">
        <w:instrText xml:space="preserve"> ADDIN ZOTERO_ITEM CSL_CITATION {"citationID":"awAvJjK7","properties":{"formattedCitation":"(Houngbo et al., 2020)","plainCitation":"(Houngbo et al., 2020)","noteIndex":0},"citationItems":[{"id":24742,"uris":["http://zotero.org/groups/2352922/items/44CEGQT9"],"itemData":{"id":24742,"type":"article-journal","abstract":"Spodoptera frugiperda has caused significant losses of farmer income in sub-Saharan countries since 2016. This study assessed farmers’ knowledge of S. frugiperda, their perceptions and management practices in Benin. Data were collected through a national survey of 1237 maize farmers. Ninety-one point eight percent of farmers recognized S. frugiperda damage, 78.9% of them were able to identify its larvae, and 93.9% of the maize fields were infested. According to farmers, the perceived yield losses amounted to 797.2 kg/ha of maize, representing 49% of the average maize yield commonly obtained by farmers. Chi-square tests revealed that the severity of the pest attacks was significantly associated with cropping practices and types of grown maize varieties. About 16% of farmers identified francolin (Francolinus bicalcaratus), village weaver (Ploceus cucullatus), and common wasp (Vespula vulgaris) as natural enemies and 5% of them identified yellow nutsedge, chan, shea tree, neem, tamarind, and soybean as repellent plants of S. frugiperda. Most farmers (91.4%) used synthetic pesticides and 1.9% of them used botanical pesticides, which they found more effective than synthetic pesticides. Significant relationships exist between farmers’ management practices, their knowledge, organization membership, and contact with research and extension services. More research is required to further understand the effectiveness of botanical pesticides made by farmers against S. frugiperda and to refine them for scaling-up. © 2020 by the authors. Licensee MDPI, Basel, Switzerland.","container-title":"Agriculture (Switzerland)","DOI":"10.3390/agriculture10100430","issue":"10","page":"1-15","title":"Farmers’ knowledge and management practices of fall armyworm, &lt;i&gt;Spodoptera frugiperda&lt;/i&gt; (J.E. Smith) in Benin, West Africa","URL":"https://www.scopus.com/inward/record.uri?eid=2-s2.0-85091563470&amp;doi=10.3390%2fagriculture10100430&amp;partnerID=40&amp;md5=60d1df78d85dc7e7b12a5a8641ccebb1","volume":"10","author":[{"family":"Houngbo","given":"S."},{"family":"Zannou","given":"A."},{"family":"Aoudji","given":"A."},{"family":"Sossou","given":"H.C."},{"family":"Sinzogan","given":"A."},{"family":"Sikirou","given":"R."},{"family":"Zossou","given":"E."},{"family":"Totin Vodounon","given":"H.S."},{"family":"Adomou","given":"A."},{"family":"Ahanchédé","given":"A."}],"issued":{"date-parts":[["2020"]]}},"label":"page"}],"schema":"https://github.com/citation-style-language/schema/raw/master/csl-citation.json"} </w:instrText>
      </w:r>
      <w:r w:rsidRPr="00837161">
        <w:fldChar w:fldCharType="separate"/>
      </w:r>
      <w:r w:rsidR="00271B78" w:rsidRPr="00271B78">
        <w:t>(Houngbo et al., 2020)</w:t>
      </w:r>
      <w:r w:rsidRPr="00837161">
        <w:fldChar w:fldCharType="end"/>
      </w:r>
      <w:r w:rsidRPr="00837161">
        <w:t xml:space="preserve">. Ash application was considered ineffective in Namibia </w:t>
      </w:r>
      <w:r w:rsidRPr="00837161">
        <w:fldChar w:fldCharType="begin"/>
      </w:r>
      <w:r w:rsidR="000F35EB">
        <w:instrText xml:space="preserve"> ADDIN ZOTERO_ITEM CSL_CITATION {"citationID":"MbxiixQL","properties":{"formattedCitation":"(FAO, 2018b)","plainCitation":"(FAO, 2018b)","noteIndex":0},"citationItems":[{"id":29567,"uris":["http://zotero.org/groups/2352922/items/RH7BIWGC"],"itemData":{"id":29567,"type":"report","event-place":"Rome, Italy","language":"en","note":"Licence: CC BY-NC-SA 3.0 IGO","page":"52","publisher":"Food and Agriculture Organisation of the United Nations","publisher-place":"Rome, Italy","source":"Zotero","title":"The Republic of Namibia: Fall armyworm impact and needs assessment, 2018","URL":"https://www.fao.org/documents/card/ru/c/I9556EN/","author":[{"literal":"FAO"}],"issued":{"date-parts":[["2018"]]}},"label":"page"}],"schema":"https://github.com/citation-style-language/schema/raw/master/csl-citation.json"} </w:instrText>
      </w:r>
      <w:r w:rsidRPr="00837161">
        <w:fldChar w:fldCharType="separate"/>
      </w:r>
      <w:r w:rsidR="00271B78" w:rsidRPr="00271B78">
        <w:t>(FAO, 2018b)</w:t>
      </w:r>
      <w:r w:rsidRPr="00837161">
        <w:fldChar w:fldCharType="end"/>
      </w:r>
      <w:r w:rsidRPr="00837161">
        <w:t xml:space="preserve"> and Benin </w:t>
      </w:r>
      <w:r w:rsidRPr="00837161">
        <w:fldChar w:fldCharType="begin"/>
      </w:r>
      <w:r w:rsidR="0044454C">
        <w:instrText xml:space="preserve"> ADDIN ZOTERO_ITEM CSL_CITATION {"citationID":"MzMZ2iH0","properties":{"formattedCitation":"(Houngbo et al., 2020)","plainCitation":"(Houngbo et al., 2020)","noteIndex":0},"citationItems":[{"id":24742,"uris":["http://zotero.org/groups/2352922/items/44CEGQT9"],"itemData":{"id":24742,"type":"article-journal","abstract":"Spodoptera frugiperda has caused significant losses of farmer income in sub-Saharan countries since 2016. This study assessed farmers’ knowledge of S. frugiperda, their perceptions and management practices in Benin. Data were collected through a national survey of 1237 maize farmers. Ninety-one point eight percent of farmers recognized S. frugiperda damage, 78.9% of them were able to identify its larvae, and 93.9% of the maize fields were infested. According to farmers, the perceived yield losses amounted to 797.2 kg/ha of maize, representing 49% of the average maize yield commonly obtained by farmers. Chi-square tests revealed that the severity of the pest attacks was significantly associated with cropping practices and types of grown maize varieties. About 16% of farmers identified francolin (Francolinus bicalcaratus), village weaver (Ploceus cucullatus), and common wasp (Vespula vulgaris) as natural enemies and 5% of them identified yellow nutsedge, chan, shea tree, neem, tamarind, and soybean as repellent plants of S. frugiperda. Most farmers (91.4%) used synthetic pesticides and 1.9% of them used botanical pesticides, which they found more effective than synthetic pesticides. Significant relationships exist between farmers’ management practices, their knowledge, organization membership, and contact with research and extension services. More research is required to further understand the effectiveness of botanical pesticides made by farmers against S. frugiperda and to refine them for scaling-up. © 2020 by the authors. Licensee MDPI, Basel, Switzerland.","container-title":"Agriculture (Switzerland)","DOI":"10.3390/agriculture10100430","issue":"10","page":"1-15","title":"Farmers’ knowledge and management practices of fall armyworm, &lt;i&gt;Spodoptera frugiperda&lt;/i&gt; (J.E. Smith) in Benin, West Africa","URL":"https://www.scopus.com/inward/record.uri?eid=2-s2.0-85091563470&amp;doi=10.3390%2fagriculture10100430&amp;partnerID=40&amp;md5=60d1df78d85dc7e7b12a5a8641ccebb1","volume":"10","author":[{"family":"Houngbo","given":"S."},{"family":"Zannou","given":"A."},{"family":"Aoudji","given":"A."},{"family":"Sossou","given":"H.C."},{"family":"Sinzogan","given":"A."},{"family":"Sikirou","given":"R."},{"family":"Zossou","given":"E."},{"family":"Totin Vodounon","given":"H.S."},{"family":"Adomou","given":"A."},{"family":"Ahanchédé","given":"A."}],"issued":{"date-parts":[["2020"]]}}}],"schema":"https://github.com/citation-style-language/schema/raw/master/csl-citation.json"} </w:instrText>
      </w:r>
      <w:r w:rsidRPr="00837161">
        <w:fldChar w:fldCharType="separate"/>
      </w:r>
      <w:r w:rsidR="00271B78" w:rsidRPr="00271B78">
        <w:t>(Houngbo et al., 2020)</w:t>
      </w:r>
      <w:r w:rsidRPr="00837161">
        <w:fldChar w:fldCharType="end"/>
      </w:r>
      <w:r w:rsidRPr="00837161">
        <w:t xml:space="preserve">. Further information can be found in </w:t>
      </w:r>
      <w:r w:rsidR="002F2F42">
        <w:rPr>
          <w:b/>
          <w:bCs/>
          <w:iCs/>
        </w:rPr>
        <w:t>S</w:t>
      </w:r>
      <w:r w:rsidRPr="00294242">
        <w:rPr>
          <w:b/>
          <w:bCs/>
          <w:iCs/>
        </w:rPr>
        <w:t>upplementary material 5.1</w:t>
      </w:r>
      <w:r w:rsidR="005538CD" w:rsidRPr="00294242">
        <w:rPr>
          <w:b/>
          <w:bCs/>
          <w:iCs/>
        </w:rPr>
        <w:t>1</w:t>
      </w:r>
      <w:r w:rsidRPr="00837161">
        <w:t>.</w:t>
      </w:r>
    </w:p>
    <w:p w14:paraId="3C292761" w14:textId="7A9CD10D" w:rsidR="005B6D37" w:rsidRPr="00837161" w:rsidRDefault="43D72303" w:rsidP="002F2F42">
      <w:pPr>
        <w:pStyle w:val="Heading3"/>
      </w:pPr>
      <w:bookmarkStart w:id="567" w:name="_Toc131681660"/>
      <w:r w:rsidRPr="00837161">
        <w:t>Mechanical, manual and chemical methods</w:t>
      </w:r>
      <w:bookmarkEnd w:id="567"/>
      <w:r w:rsidRPr="00837161">
        <w:t xml:space="preserve"> </w:t>
      </w:r>
    </w:p>
    <w:p w14:paraId="11D897F9" w14:textId="77777777" w:rsidR="402F75F0" w:rsidRPr="00837161" w:rsidRDefault="0DC39613" w:rsidP="00C11DFA">
      <w:pPr>
        <w:spacing w:before="240" w:after="120" w:line="240" w:lineRule="auto"/>
      </w:pPr>
      <w:r w:rsidRPr="00837161">
        <w:t xml:space="preserve">See </w:t>
      </w:r>
      <w:r w:rsidRPr="00294242">
        <w:rPr>
          <w:b/>
          <w:iCs/>
        </w:rPr>
        <w:t>section 5.4.</w:t>
      </w:r>
      <w:r w:rsidR="00F969DA" w:rsidRPr="00294242">
        <w:rPr>
          <w:b/>
          <w:iCs/>
        </w:rPr>
        <w:t>3</w:t>
      </w:r>
      <w:r w:rsidRPr="00294242">
        <w:rPr>
          <w:b/>
          <w:iCs/>
        </w:rPr>
        <w:t>.2</w:t>
      </w:r>
      <w:r w:rsidRPr="00837161">
        <w:t xml:space="preserve"> </w:t>
      </w:r>
      <w:r w:rsidR="00D0009D" w:rsidRPr="00837161">
        <w:t>for more information</w:t>
      </w:r>
      <w:r w:rsidR="00F969DA" w:rsidRPr="00837161">
        <w:t>.</w:t>
      </w:r>
    </w:p>
    <w:p w14:paraId="3D4AD5DE" w14:textId="194DDE01" w:rsidR="00066A7E" w:rsidRPr="00837161" w:rsidRDefault="00066A7E" w:rsidP="002F2F42">
      <w:pPr>
        <w:pStyle w:val="Heading3"/>
      </w:pPr>
      <w:bookmarkStart w:id="568" w:name="_Toc131681661"/>
      <w:bookmarkStart w:id="569" w:name="_Toc87623165"/>
      <w:bookmarkStart w:id="570" w:name="_Toc87606266"/>
      <w:r w:rsidRPr="00837161">
        <w:t>Lethal control program</w:t>
      </w:r>
      <w:r w:rsidR="7365A65C" w:rsidRPr="00837161">
        <w:t>me</w:t>
      </w:r>
      <w:r w:rsidRPr="00837161">
        <w:t>s</w:t>
      </w:r>
      <w:bookmarkEnd w:id="568"/>
    </w:p>
    <w:p w14:paraId="000006A3" w14:textId="2F0472AB" w:rsidR="00A758FD" w:rsidRPr="00C0338D" w:rsidRDefault="00EC476D">
      <w:pPr>
        <w:spacing w:before="240" w:after="120" w:line="240" w:lineRule="auto"/>
      </w:pPr>
      <w:r w:rsidRPr="00837161">
        <w:rPr>
          <w:color w:val="000000" w:themeColor="text1"/>
        </w:rPr>
        <w:t xml:space="preserve">There is a </w:t>
      </w:r>
      <w:r w:rsidR="00066A7E" w:rsidRPr="00837161">
        <w:rPr>
          <w:color w:val="000000" w:themeColor="text1"/>
        </w:rPr>
        <w:t>very high success rate of invasive alien vertebrate eradication program</w:t>
      </w:r>
      <w:r w:rsidR="00CC130F" w:rsidRPr="00837161">
        <w:t>me</w:t>
      </w:r>
      <w:r w:rsidR="00066A7E" w:rsidRPr="00837161">
        <w:rPr>
          <w:color w:val="000000" w:themeColor="text1"/>
        </w:rPr>
        <w:t xml:space="preserve">s on islands </w:t>
      </w:r>
      <w:r w:rsidR="00197924" w:rsidRPr="00837161">
        <w:rPr>
          <w:color w:val="000000" w:themeColor="text1"/>
        </w:rPr>
        <w:t>(</w:t>
      </w:r>
      <w:r w:rsidR="000A587A" w:rsidRPr="00294242">
        <w:rPr>
          <w:b/>
          <w:iCs/>
          <w:color w:val="000000" w:themeColor="text1"/>
        </w:rPr>
        <w:t xml:space="preserve">section </w:t>
      </w:r>
      <w:r w:rsidR="00186DB4" w:rsidRPr="00294242">
        <w:rPr>
          <w:b/>
          <w:iCs/>
          <w:color w:val="000000" w:themeColor="text1"/>
        </w:rPr>
        <w:t>5.5.3</w:t>
      </w:r>
      <w:r w:rsidR="00066A7E" w:rsidRPr="00837161">
        <w:rPr>
          <w:color w:val="000000" w:themeColor="text1"/>
        </w:rPr>
        <w:t>)</w:t>
      </w:r>
      <w:r w:rsidR="00385737">
        <w:rPr>
          <w:color w:val="000000" w:themeColor="text1"/>
        </w:rPr>
        <w:t>,</w:t>
      </w:r>
      <w:r w:rsidR="00C16EEB">
        <w:rPr>
          <w:color w:val="000000" w:themeColor="text1"/>
        </w:rPr>
        <w:t xml:space="preserve"> and</w:t>
      </w:r>
      <w:r w:rsidR="0039215D" w:rsidRPr="00837161">
        <w:rPr>
          <w:color w:val="000000" w:themeColor="text1"/>
        </w:rPr>
        <w:t xml:space="preserve"> </w:t>
      </w:r>
      <w:r w:rsidR="004D01FE">
        <w:rPr>
          <w:color w:val="000000" w:themeColor="text1"/>
        </w:rPr>
        <w:t xml:space="preserve">there are </w:t>
      </w:r>
      <w:r w:rsidR="00BD56A3" w:rsidRPr="00837161">
        <w:rPr>
          <w:color w:val="000000" w:themeColor="text1"/>
        </w:rPr>
        <w:t>some</w:t>
      </w:r>
      <w:r w:rsidR="0039215D" w:rsidRPr="00837161">
        <w:rPr>
          <w:color w:val="000000" w:themeColor="text1"/>
        </w:rPr>
        <w:t xml:space="preserve"> successful </w:t>
      </w:r>
      <w:r w:rsidR="004A40E5" w:rsidRPr="00837161">
        <w:rPr>
          <w:color w:val="000000" w:themeColor="text1"/>
        </w:rPr>
        <w:t xml:space="preserve">programmes </w:t>
      </w:r>
      <w:r w:rsidR="0033557B" w:rsidRPr="00837161">
        <w:rPr>
          <w:color w:val="000000" w:themeColor="text1"/>
        </w:rPr>
        <w:t xml:space="preserve">removing mammals from within defined </w:t>
      </w:r>
      <w:r w:rsidR="00026CD4" w:rsidRPr="00837161">
        <w:rPr>
          <w:color w:val="000000" w:themeColor="text1"/>
        </w:rPr>
        <w:t xml:space="preserve">larger </w:t>
      </w:r>
      <w:r w:rsidR="0033557B" w:rsidRPr="00837161">
        <w:rPr>
          <w:color w:val="000000" w:themeColor="text1"/>
        </w:rPr>
        <w:t>land mass boun</w:t>
      </w:r>
      <w:r w:rsidR="001A5565" w:rsidRPr="00837161">
        <w:rPr>
          <w:color w:val="000000" w:themeColor="text1"/>
        </w:rPr>
        <w:t xml:space="preserve">daries </w:t>
      </w:r>
      <w:r w:rsidR="001A6927" w:rsidRPr="00837161">
        <w:rPr>
          <w:color w:val="000000" w:themeColor="text1"/>
        </w:rPr>
        <w:fldChar w:fldCharType="begin"/>
      </w:r>
      <w:r w:rsidR="000F35EB">
        <w:rPr>
          <w:color w:val="000000" w:themeColor="text1"/>
        </w:rPr>
        <w:instrText xml:space="preserve"> ADDIN ZOTERO_ITEM CSL_CITATION {"citationID":"AydO9mGz","properties":{"formattedCitation":"(Robertson et al., 2017)","plainCitation":"(Robertson et al., 2017)","noteIndex":0},"citationItems":[{"id":28952,"uris":["http://zotero.org/groups/2352922/items/FT9DB7HI"],"itemData":{"id":28952,"type":"article-journal","abstract":"Numerous examples exist of successful mammalian invasive alien species (IAS) eradications from small islands (&lt;10 km2), but few from more extensive areas. We review 15 large-scale removals (mean area 2627 km2) from Northern Europe since 1900, including edible dormouse, muskrat, coypu, Himalayan porcupine, Pallas' and grey squirrels and American mink, each primarily based on daily checking of static traps. Objectives included true eradication or complete removal to a buffer zone, as distinct from other programmes that involved local control to limit damage or spread. Twelve eradication/removal programmes (80%) were successful. Cost increased with and was best predicted by area, while the cost per unit area decreased; the number of individual animals removed did not add significantly to the model. Doubling the area controlled reduced cost per unit area by 10%, but there was no evidence that cost effectiveness had increased through time. Compared with small islands, larger-scale programmes followed similar patterns of effort in relation to area. However, they brought challenges when defining boundaries and consequent uncertainties around costs, the definition of their objectives, confirmation of success and different considerations for managing recolonisation. Novel technologies or increased use of volunteers may reduce costs. Rapid response to new incursions is recommended as best practice rather than large-scale control to reduce the environmental, financial and welfare costs. © 2016 Crown copyright. Pest Management Science published by John Wiley &amp; Sons Ltd on behalf of Society of Chemical Industry.","container-title":"Pest Management Science","DOI":"10.1002/ps.4224","ISSN":"1526498X","issue":"2","journalAbbreviation":"Pest. Manag. Sci.","language":"en","page":"273-279","source":"DOI.org (Crossref)","title":"The large-scale removal of mammalian invasive alien species in Northern Europe","title-short":"The large-scale removal of mammalian invasive alien species in Northern Europe","URL":"http://doi.wiley.com/10.1002/ps.4224","volume":"73","author":[{"family":"Robertson","given":"Peter A."},{"family":"Adriaens","given":"Tim"},{"family":"Lambin","given":"Xavier"},{"family":"Mill","given":"Aileen"},{"family":"Roy","given":"Sugoto"},{"family":"Shuttleworth","given":"Craig M"},{"family":"Sutton-Croft","given":"Mike"}],"accessed":{"date-parts":[["2019",11,4]]},"issued":{"date-parts":[["2017",2]]}},"label":"page"}],"schema":"https://github.com/citation-style-language/schema/raw/master/csl-citation.json"} </w:instrText>
      </w:r>
      <w:r w:rsidR="001A6927" w:rsidRPr="00837161">
        <w:rPr>
          <w:color w:val="000000" w:themeColor="text1"/>
        </w:rPr>
        <w:fldChar w:fldCharType="separate"/>
      </w:r>
      <w:r w:rsidR="00271B78" w:rsidRPr="00271B78">
        <w:t>(Robertson et al., 2017)</w:t>
      </w:r>
      <w:r w:rsidR="001A6927" w:rsidRPr="00837161">
        <w:rPr>
          <w:color w:val="000000" w:themeColor="text1"/>
        </w:rPr>
        <w:fldChar w:fldCharType="end"/>
      </w:r>
      <w:r w:rsidR="001A6927" w:rsidRPr="00837161">
        <w:rPr>
          <w:color w:val="000000" w:themeColor="text1"/>
        </w:rPr>
        <w:t>.</w:t>
      </w:r>
      <w:bookmarkStart w:id="571" w:name="_heading=h.2b6jogx" w:colFirst="0" w:colLast="0"/>
      <w:bookmarkStart w:id="572" w:name="_heading=h.qbtyoq" w:colFirst="0" w:colLast="0"/>
      <w:bookmarkEnd w:id="571"/>
      <w:bookmarkEnd w:id="572"/>
      <w:r w:rsidR="00C81287" w:rsidRPr="002F2F42">
        <w:rPr>
          <w:color w:val="000000"/>
        </w:rPr>
        <w:t xml:space="preserve"> The vast majority</w:t>
      </w:r>
      <w:r w:rsidR="00C81287" w:rsidRPr="00C0338D">
        <w:t xml:space="preserve"> mainland landscape </w:t>
      </w:r>
      <w:r w:rsidR="00C81287" w:rsidRPr="00C0338D">
        <w:lastRenderedPageBreak/>
        <w:t>management programmes to suppress uncontained</w:t>
      </w:r>
      <w:r w:rsidR="00C81287" w:rsidRPr="002F2F42">
        <w:rPr>
          <w:color w:val="000000"/>
        </w:rPr>
        <w:t xml:space="preserve"> invasive alien vertebrate</w:t>
      </w:r>
      <w:r w:rsidR="00C81287" w:rsidRPr="00C0338D">
        <w:t xml:space="preserve"> based on culling (lethal population suppression) have however been ineffective (reviewed by </w:t>
      </w:r>
      <w:r w:rsidR="00066A7E" w:rsidRPr="00837161">
        <w:fldChar w:fldCharType="begin"/>
      </w:r>
      <w:r w:rsidR="000F35EB">
        <w:instrText xml:space="preserve"> ADDIN ZOTERO_ITEM CSL_CITATION {"citationID":"yfXrXufd","properties":{"formattedCitation":"(Hone, 2007)","plainCitation":"(Hone, 2007)","dontUpdate":true,"noteIndex":0},"citationItems":[{"id":31353,"uris":["http://zotero.org/groups/2352922/items/9TPARZNH"],"itemData":{"id":31353,"type":"book","abstract":"Booktopia has Analysis of Vertebrate Pest Control, Cambridge Studies in Applied Ecology and Resource Management by Jim Hone. Buy a discounted Paperback of Analysis of Vertebrate Pest Control online from Australia's leading online bookstore.","ISBN":"978-0-521-03897-3","title":"Analysis of Vertebrate Pest Control, Cambridge Studies in Applied Ecology and Resource Management","URL":"https://www.booktopia.com.au/analysis-of-vertebrate-pest-control-jim-hone/book/9780521038973.html","author":[{"family":"Hone","given":"Jim"}],"accessed":{"date-parts":[["2021",11,18]]},"issued":{"date-parts":[["2007"]]}},"label":"page"}],"schema":"https://github.com/citation-style-language/schema/raw/master/csl-citation.json"} </w:instrText>
      </w:r>
      <w:r w:rsidR="00066A7E" w:rsidRPr="00837161">
        <w:fldChar w:fldCharType="separate"/>
      </w:r>
      <w:r w:rsidR="007626AF" w:rsidRPr="00837161">
        <w:t>Hone, 2007</w:t>
      </w:r>
      <w:r w:rsidR="00066A7E" w:rsidRPr="00837161">
        <w:fldChar w:fldCharType="end"/>
      </w:r>
      <w:r w:rsidR="00864289" w:rsidRPr="00837161">
        <w:t>;</w:t>
      </w:r>
      <w:r w:rsidR="000A587A" w:rsidRPr="00837161">
        <w:t xml:space="preserve"> </w:t>
      </w:r>
      <w:r w:rsidR="00066A7E" w:rsidRPr="00294242">
        <w:rPr>
          <w:b/>
          <w:iCs/>
        </w:rPr>
        <w:t>section 5.4.</w:t>
      </w:r>
      <w:r w:rsidR="00A14B5C" w:rsidRPr="00294242">
        <w:rPr>
          <w:b/>
          <w:iCs/>
        </w:rPr>
        <w:t>3.2</w:t>
      </w:r>
      <w:r w:rsidR="00067F02" w:rsidRPr="00294242">
        <w:rPr>
          <w:b/>
          <w:iCs/>
        </w:rPr>
        <w:t>d</w:t>
      </w:r>
      <w:r w:rsidR="00066A7E" w:rsidRPr="00837161">
        <w:t>).</w:t>
      </w:r>
      <w:r w:rsidR="00C81287" w:rsidRPr="00C0338D">
        <w:t xml:space="preserve"> This is because lethal control programmes are generally poorly planned and implemented based on:</w:t>
      </w:r>
    </w:p>
    <w:p w14:paraId="000006A4" w14:textId="77777777" w:rsidR="00A758FD" w:rsidRPr="002F2F42" w:rsidRDefault="00C81287" w:rsidP="00AC1F76">
      <w:pPr>
        <w:numPr>
          <w:ilvl w:val="0"/>
          <w:numId w:val="7"/>
        </w:numPr>
        <w:pBdr>
          <w:top w:val="nil"/>
          <w:left w:val="nil"/>
          <w:bottom w:val="nil"/>
          <w:right w:val="nil"/>
          <w:between w:val="nil"/>
        </w:pBdr>
        <w:spacing w:line="240" w:lineRule="auto"/>
      </w:pPr>
      <w:r w:rsidRPr="002F2F42">
        <w:t xml:space="preserve"> inadequate understanding of population sizes, distributions and metapopulation dynamics of the target in time and space, </w:t>
      </w:r>
    </w:p>
    <w:p w14:paraId="000006A5" w14:textId="77777777" w:rsidR="00A758FD" w:rsidRPr="002F2F42" w:rsidRDefault="00C81287" w:rsidP="00AC1F76">
      <w:pPr>
        <w:numPr>
          <w:ilvl w:val="0"/>
          <w:numId w:val="7"/>
        </w:numPr>
        <w:pBdr>
          <w:top w:val="nil"/>
          <w:left w:val="nil"/>
          <w:bottom w:val="nil"/>
          <w:right w:val="nil"/>
          <w:between w:val="nil"/>
        </w:pBdr>
        <w:spacing w:line="240" w:lineRule="auto"/>
      </w:pPr>
      <w:r w:rsidRPr="002F2F42">
        <w:t>ineffective tracking of populations in hunting programmes leading to culling mainly being concentrated where and in seasons when the target is most abundant (minimizing the chance of suppressing a population below an ecological impact threshold), limiting effectiveness of removal with respect to environmental impacts;</w:t>
      </w:r>
    </w:p>
    <w:p w14:paraId="000006A6" w14:textId="77777777" w:rsidR="00A758FD" w:rsidRPr="002F2F42" w:rsidRDefault="00C81287" w:rsidP="00AC1F76">
      <w:pPr>
        <w:numPr>
          <w:ilvl w:val="0"/>
          <w:numId w:val="7"/>
        </w:numPr>
        <w:pBdr>
          <w:top w:val="nil"/>
          <w:left w:val="nil"/>
          <w:bottom w:val="nil"/>
          <w:right w:val="nil"/>
          <w:between w:val="nil"/>
        </w:pBdr>
        <w:spacing w:line="240" w:lineRule="auto"/>
      </w:pPr>
      <w:r w:rsidRPr="002F2F42">
        <w:t xml:space="preserve">lack of sustained investment and activity leading to only temporary population suppression; and </w:t>
      </w:r>
    </w:p>
    <w:p w14:paraId="000006A7" w14:textId="77777777" w:rsidR="00A758FD" w:rsidRPr="002F2F42" w:rsidRDefault="00C81287" w:rsidP="00AC1F76">
      <w:pPr>
        <w:numPr>
          <w:ilvl w:val="0"/>
          <w:numId w:val="7"/>
        </w:numPr>
        <w:pBdr>
          <w:top w:val="nil"/>
          <w:left w:val="nil"/>
          <w:bottom w:val="nil"/>
          <w:right w:val="nil"/>
          <w:between w:val="nil"/>
        </w:pBdr>
        <w:spacing w:line="240" w:lineRule="auto"/>
      </w:pPr>
      <w:r w:rsidRPr="002F2F42">
        <w:t xml:space="preserve">failure to use as part of integrated management including fencing to protect cleared areas and sustain the short-term management benefits. </w:t>
      </w:r>
    </w:p>
    <w:p w14:paraId="000006A8" w14:textId="18D8E2B7" w:rsidR="00A758FD" w:rsidRPr="00C0338D" w:rsidRDefault="00C81287">
      <w:pPr>
        <w:spacing w:before="240" w:after="120" w:line="240" w:lineRule="auto"/>
      </w:pPr>
      <w:r w:rsidRPr="00C0338D">
        <w:t xml:space="preserve">Developing effective selective baits and trapping is also a strong criterion for success, particularly for shy and hard to track feral animals such as cats. Public opinion is also likely to affect management programme success. In the United States, advocates for feral </w:t>
      </w:r>
      <w:r w:rsidRPr="00C0338D">
        <w:rPr>
          <w:i/>
        </w:rPr>
        <w:t>Felis catus</w:t>
      </w:r>
      <w:r w:rsidRPr="00C0338D">
        <w:t xml:space="preserve"> (cat), listed as one of the 100 worst invasive alien species, blocked federal legislation that would have funded removal of various invasive alien species, potentially including cats, from national wildlife refuges </w:t>
      </w:r>
      <w:r w:rsidR="00066A7E" w:rsidRPr="00837161">
        <w:fldChar w:fldCharType="begin"/>
      </w:r>
      <w:r w:rsidR="000F35EB">
        <w:rPr>
          <w:lang w:eastAsia="ja-JP"/>
        </w:rPr>
        <w:instrText xml:space="preserve"> ADDIN ZOTERO_ITEM CSL_CITATION {"citationID":"anKTPAxY","properties":{"formattedCitation":"(Longcore et al., 2009)","plainCitation":"(Longcore et al., 2009)","noteIndex":0},"citationItems":[{"id":15487,"uris":["http://zotero.org/groups/2352922/items/667DX8B4"],"itemData":{"id":15487,"type":"article-journal","abstract":"Many jurisdictions have adopted programs to manage feral cats by trap–neuter–return (TNR), in which cats are trapped and sterilized, then returned to the environment to be fed and cared for by volunteer caretakers. Most conservation biologists probably do not realize the extent and growth of this practice and that the goal of some leading TNR advocates is that cats ultimately be recognized and treated as “protected wildlife.” We compared the arguments put forth in support of TNR by many feral cat advocates with the scientific literature. Advocates promoting TNR often claim that feral cats harm wildlife only on islands and not on continents; fill a natural or realized niche; do not contribute to the decline of native species; and are insignificant vectors or reservoirs of disease. Advocates also frequently make claims about the effectiveness of TNR, including claims that colonies of feral cats are eventually eliminated by TNR and that managed colonies resist invasion by other cats. The scientific literature contradicts each of these claims. TNR of feral cats is primarily viewed and regulated as an animal welfare issue, but it should be seen as an environmental issue, and decisions to implement it should receive formal environmental assessment. Conservation scientists have a role to play by conducting additional research on the effects of feral cats on wildlife and by communicating sound scientific information about this problem to policy makers.","container-title":"Conservation Biology","DOI":"10.1111/j.1523-1739.2009.01174.x","ISSN":"08888892, 15231739","issue":"4","language":"en","page":"887-894","source":"DOI.org (Crossref)","title":"Critical Assessment of Claims Regarding Management of Feral Cats by Trap-Neuter-Return","URL":"http://doi.wiley.com/10.1111/j.1523-1739.2009.01174.x","volume":"23","author":[{"family":"Longcore","given":"Travis"},{"family":"Rich","given":"Catherine"},{"family":"Sullivan","given":"Lauren M."}],"accessed":{"date-parts":[["2019",10,7]]},"issued":{"date-parts":[["2009",8]]}},"label":"page"}],"schema":"https://github.com/citation-style-language/schema/raw/master/csl-citation.json"} </w:instrText>
      </w:r>
      <w:r w:rsidR="00066A7E" w:rsidRPr="00837161">
        <w:rPr>
          <w:lang w:eastAsia="ja-JP"/>
        </w:rPr>
        <w:fldChar w:fldCharType="separate"/>
      </w:r>
      <w:r w:rsidR="00271B78" w:rsidRPr="00271B78">
        <w:t>(Longcore et al., 2009)</w:t>
      </w:r>
      <w:r w:rsidR="00066A7E" w:rsidRPr="00837161">
        <w:fldChar w:fldCharType="end"/>
      </w:r>
      <w:r w:rsidR="00066A7E" w:rsidRPr="00837161">
        <w:rPr>
          <w:lang w:eastAsia="ja-JP"/>
        </w:rPr>
        <w:t xml:space="preserve">. </w:t>
      </w:r>
      <w:r w:rsidR="00066A7E" w:rsidRPr="00837161">
        <w:t xml:space="preserve">In Italy, management of invasive </w:t>
      </w:r>
      <w:r w:rsidR="00406092" w:rsidRPr="00837161">
        <w:rPr>
          <w:i/>
          <w:iCs/>
        </w:rPr>
        <w:t>Sciurus carolinensis</w:t>
      </w:r>
      <w:r w:rsidR="00406092" w:rsidRPr="00837161">
        <w:t xml:space="preserve"> (</w:t>
      </w:r>
      <w:r w:rsidR="00066A7E" w:rsidRPr="00837161">
        <w:t xml:space="preserve">grey squirrel) was hindered by a lack of public acceptance </w:t>
      </w:r>
      <w:r w:rsidR="00066A7E" w:rsidRPr="00837161">
        <w:fldChar w:fldCharType="begin"/>
      </w:r>
      <w:r w:rsidR="000F35EB">
        <w:rPr>
          <w:lang w:eastAsia="ja-JP"/>
        </w:rPr>
        <w:instrText xml:space="preserve"> ADDIN ZOTERO_ITEM CSL_CITATION {"citationID":"aSKFbbkX","properties":{"formattedCitation":"(Hulme, 2006)","plainCitation":"(Hulme, 2006)","noteIndex":0},"citationItems":[{"id":32675,"uris":["http://zotero.org/groups/2352922/items/NVSTIA5W"],"itemData":{"id":32675,"type":"article-journal","abstract":"1 Government departments, environmental managers and conservationists are all facing escalating pressure to address and resolve a diversity of invasive alien species (IAS) problems. Yet much research to date is primarily concerned with quantifying the scale of the problem rather than delivering robust solutions and has not adequately addressed all stages of the invasion process, and only a few studies embrace the ecosystem approach. 2 Three successive steps, prevention, eradication and control, form the cornerstones of recommended best practices aimed at managing IAS. The goal of such actions is the restoration of ecosystems to preserve or re-establish native biodiversity and functions. 3 Prevention is widely promoted as being a more environmentally desirable strategy than actions undertaken after IAS establishment, yet is hindered by the difficulty in separating invasive from non-invasive alien species. Furthermore, the high number of candidate IAS, the investment required in taxonomic support and inspection capacity, and the expense of individual risk assessments may act against the net benefits of prevention. More rewarding avenues may be found by pursuing neural networks to predict the potential composition of pest assemblages in different regions and/or model introduction pathways to identify likely invasion hubs. 4 Rapid response should be consequent on early detection but, when IAS are rare, detection rates are compromised by low occurrence and limited power to discern significant changes in abundance. Power could be increased by developing composite indicators that track trends in a suite of IAS with similar life histories, shared pathways and/or habitat preferences. 5 The assessment of management options will benefit from an ecosystem perspective that considers the manipulation of native competitors, consumers and mutualists, and reviews existing management practices as well as mitigates other environmental pressures. The ease with which an IAS can be targeted should not only address the direct management effects on population dynamics but also indirect effects on community diversity and structure. Where the goal is to safeguard native biodiversity, such activities should take into account the need to re-establish native species and/or restore ecosystem function in the previously affected area. 6 Synthesis and applications. A comprehensive approach to IAS management should include consideration of the: (i) expected impacts; (ii) technical options available; (iii) ease with which the species can be targeted; (iv) risks associated with management; (v) likelihood of success; and (vi) extent of public concern and stakeholder interest. For each of these issues, in addition to targeting an individual species, the management of biological invasions must also incorporate an appreciation of other environmental pressures, the importance of landscape structure, and the role of existing management activities and restoration efforts.","container-title":"Journal of Applied Ecology","DOI":"10.1111/j.1365-2664.2006.01227.x","ISSN":"1365-2664","issue":"5","language":"en","note":"_eprint: https://onlinelibrary.wiley.com/doi/pdf/10.1111/j.1365-2664.2006.01227.x","page":"835-847","source":"Wiley Online Library","title":"Beyond control: wider implications for the management of biological invasions","title-short":"Beyond control","URL":"https://onlinelibrary.wiley.com/doi/abs/10.1111/j.1365-2664.2006.01227.x","volume":"43","author":[{"family":"Hulme","given":"Philip E."}],"accessed":{"date-parts":[["2021",12,8]]},"issued":{"date-parts":[["2006"]]}},"label":"page"}],"schema":"https://github.com/citation-style-language/schema/raw/master/csl-citation.json"} </w:instrText>
      </w:r>
      <w:r w:rsidR="00066A7E" w:rsidRPr="00837161">
        <w:rPr>
          <w:lang w:eastAsia="ja-JP"/>
        </w:rPr>
        <w:fldChar w:fldCharType="separate"/>
      </w:r>
      <w:r w:rsidR="00271B78" w:rsidRPr="00271B78">
        <w:t>(Hulme, 2006)</w:t>
      </w:r>
      <w:r w:rsidR="00066A7E" w:rsidRPr="00837161">
        <w:fldChar w:fldCharType="end"/>
      </w:r>
      <w:r w:rsidR="00066A7E" w:rsidRPr="00837161">
        <w:t xml:space="preserve">. Although most non-government organizations supported management using humane euthanasia of the squirrel, strong opposition from animal rights organizations interrupted the activities allowing subsequent squirrel range expansion </w:t>
      </w:r>
      <w:r w:rsidR="00066A7E" w:rsidRPr="00837161">
        <w:fldChar w:fldCharType="begin"/>
      </w:r>
      <w:r w:rsidR="000F35EB">
        <w:instrText xml:space="preserve"> ADDIN ZOTERO_ITEM CSL_CITATION {"citationID":"7EcZmzwB","properties":{"formattedCitation":"(Genovesi &amp; Bertolino, 2001)","plainCitation":"(Genovesi &amp; Bertolino, 2001)","noteIndex":0},"citationItems":[{"id":24269,"uris":["http://zotero.org/groups/2352922/items/IFVDXC8B"],"itemData":{"id":24269,"type":"chapter","abstract":"The American grey squirrel, introduced to Italy and the British Isles as a pet species, replaces the native red squirrel through competitive exclusion. The potential expansion of the Italian population to the Alps and to a large portion of Eurasia represents a major threat to biodiversity at a continental scale. An eradication project of the Italian population, supported by most non-government organisations, failed because of the strong opposition by radical animal rights groups. In mainland eradications, time is constrained and delays caused by opposition can determine the failure of the entire campaign. Information\nmay be irrelevant for reducing conflicts, because primary differences exist between animal rights and conservation groups. In these cases, a political decision needs to be taken. Awareness raising, revision of the legal framework, consultation  rocesses, and the creation of biosecurity agencies, appear fundamental steps for effectively\naddressing the threats posed by invasive alien species.","container-title":"The Great Reshuffling: Human Dimensions of Invasive Alien Species","ISBN":"2-8317-0602-5","page":"113-119","publisher":"IUCN – The World Conservation Union","title":"Human dimension aspects in invasive alien species issues: the case of the failure of the grey squirrel eradication project in Italy","URL":"https://www.researchgate.net/publication/233809634_Human_dimension_aspects_in_invasive_alien_species_issues_the_case_of_the_failure_of_the_grey_squirrel_eradication_project_in_Italy","author":[{"family":"Genovesi","given":"Piero"},{"family":"Bertolino","given":"Sandro"}],"editor":[{"family":"McNeely","given":"Jeffrey A."}],"issued":{"date-parts":[["2001"]]}},"label":"page"}],"schema":"https://github.com/citation-style-language/schema/raw/master/csl-citation.json"} </w:instrText>
      </w:r>
      <w:r w:rsidR="00066A7E" w:rsidRPr="00837161">
        <w:fldChar w:fldCharType="separate"/>
      </w:r>
      <w:r w:rsidR="00271B78" w:rsidRPr="00271B78">
        <w:t>(Genovesi &amp; Bertolino, 2001)</w:t>
      </w:r>
      <w:r w:rsidR="00066A7E" w:rsidRPr="00837161">
        <w:fldChar w:fldCharType="end"/>
      </w:r>
      <w:r w:rsidR="00066A7E" w:rsidRPr="00837161">
        <w:t xml:space="preserve">. Effective invasive alien predator management has led to increased abundance of native animals in Australia </w:t>
      </w:r>
      <w:r w:rsidR="00066A7E" w:rsidRPr="00837161">
        <w:fldChar w:fldCharType="begin"/>
      </w:r>
      <w:r w:rsidR="000F35EB">
        <w:instrText xml:space="preserve"> ADDIN ZOTERO_ITEM CSL_CITATION {"citationID":"YfcyhYc9","properties":{"formattedCitation":"(Bengsen et al., 2012; Doherty et al., 2017)","plainCitation":"(Bengsen et al., 2012; Doherty et al., 2017)","noteIndex":0},"citationItems":[{"id":10046,"uris":["http://zotero.org/groups/2352922/items/HNWNU5A2"],"itemData":{"id":10046,"type":"article-journal","abstract":"Context Effective feral-cat (Felis silvestris catus) management requires a sound understanding of the ways cats use their environment. Key characteristics of landscape use by cats vary widely among different regions and different conditions. Aims The present study aimed to describe the most important characteristics of landscape use by feral cats on a large, human-populated island, and to use this information to guide the development of feral-cat management programs. Methods We used GPS tracking collars to record the movements of 13 feral cats at two sites on Kangaroo Island, South Australia, for between 20 and 106 days. We described home-range extents by using local convex hulls, and derived management suggestions from examination of home-range and movement data. Key results Median feral-cat home range was 5.11 km2, and this did not differ between sexes or sites. Cats at a fragmented pastoral site tended to favour woody vegetation over open paddocks, but habitat preferences were less clear at a bushland site. Cats that preferentially used treelines at the pastoral site were almost twice as likely to be recorded close to a tree-line junction as expected. Conclusions Control programs for feral cats on Kangaroo Island should deploy control devices at a density no less than 1.7 devices km–2. Spatial coverage should be as large as practicable or repeated frequently. Infrequent programs covering small areas can be expected only to provide short-term reductions in cat abundance. Implications The information gained from the present study will contribute to the development of strategic sustained management plans for feral cats on Kangaroo Island. The principles from which we inferred management guidelines are applicable to other regions and species.","container-title":"Wildlife Research","DOI":"10.1071/WR11097","ISSN":"1448-5494, 1448-5494","issue":"3","journalAbbreviation":"Wildl. Res.","language":"en","note":"publisher: CSIRO PUBLISHING","page":"258-265","source":"www.publish.csiro.au","title":"Applying home-range and landscape-use data to design effective feral-cat control programs","URL":"https://www.publish.csiro.au/wr/WR11097","volume":"39","author":[{"family":"Bengsen","given":"Andrew J."},{"family":"Butler","given":"John A."},{"family":"Masters","given":"Pip"},{"family":"Bengsen","given":"Andrew J."},{"family":"Butler","given":"John A."},{"family":"Masters","given":"Pip"}],"accessed":{"date-parts":[["2021",11,14]]},"issued":{"date-parts":[["2012",4,5]]}},"label":"page"},{"id":31675,"uris":["http://zotero.org/groups/2352922/items/BLTHNQI4"],"itemData":{"id":31675,"type":"article-journal","abstract":"1. Feral cats are among the most damaging invasive species worldwide, andare implicated in many extinctions, especially in Australia, New Zealand andother islands. Understanding and reducing their impacts is a global conservationpriority.2. We review knowledge about the impacts and management of feral cats inAustralia, and identify priorities for research and management.3. In Australia, the most well understood and significant impact of feral catsis predation on threatened mammals. Other impacts include predation onother vertebrates, resource competition, and disease transmission, but knowledgeof these impacts remains limited.4. Lethal control is the most common form of management, particularly viaspecifically designed poison baits. Non-lethal techniques include the managementof fire, grazing, food, and trophic cascades. Managing interactions betweenthese processes is key to success.5. Given limitations on the efficacy of feral cat management, conservation ofthreatened mammals has required the establishment of insurance populationson predator-free islands and in fenced mainland enclosures.6. Research and management priorities are to: prevent feral cats from drivingthreatened species to extinction; assess the efficacy of new management tools;trial options for control via ecosystem management; and increase the potentialfor native fauna to coexist with feral cats.","container-title":"Mammal Review","DOI":"10.1111/mam.12080","ISSN":"0305-1838","issue":"2","note":"publisher-place: 9600 Garsington Rd, Oxford, England, Oxon, Ox4 2Dg\npublisher: Blackwell Publishing Ltd","page":"83-97","source":"eprints.utas.edu.au","title":"Impacts and management of feral cats &lt;i&gt;Felis catus&lt;/i&gt; in Australia","URL":"http://dx.doi.org/10.1111/mam.12080","volume":"47","author":[{"family":"Doherty","given":"Tim S."},{"family":"Dickman","given":"C. R."},{"family":"Johnson","given":"C. N."},{"family":"Legge","given":"S. M."},{"family":"Ritchie","given":"E. G."},{"family":"Woinarski","given":"J. C. Z."}],"accessed":{"date-parts":[["2021",11,17]]},"issued":{"date-parts":[["2017"]]}},"label":"page"}],"schema":"https://github.com/citation-style-language/schema/raw/master/csl-citation.json"} </w:instrText>
      </w:r>
      <w:r w:rsidR="00066A7E" w:rsidRPr="00837161">
        <w:fldChar w:fldCharType="separate"/>
      </w:r>
      <w:r w:rsidR="00271B78" w:rsidRPr="00271B78">
        <w:t>(Bengsen et al., 2012; Doherty et al., 2017)</w:t>
      </w:r>
      <w:r w:rsidR="00066A7E" w:rsidRPr="00837161">
        <w:fldChar w:fldCharType="end"/>
      </w:r>
      <w:r w:rsidR="00066A7E" w:rsidRPr="00837161">
        <w:t xml:space="preserve"> and New Zealand </w:t>
      </w:r>
      <w:r w:rsidR="003B11D5" w:rsidRPr="00837161">
        <w:fldChar w:fldCharType="begin"/>
      </w:r>
      <w:r w:rsidR="000F35EB">
        <w:instrText xml:space="preserve"> ADDIN ZOTERO_ITEM CSL_CITATION {"citationID":"ViXG0uFO","properties":{"formattedCitation":"(O\\uc0\\u8217{}Donnell et al., 1996; PREDATOR Free NZ, 2021)","plainCitation":"(O’Donnell et al., 1996; PREDATOR Free NZ, 2021)","noteIndex":0},"citationItems":[{</w:instrText>
      </w:r>
      <w:r w:rsidR="000F35EB">
        <w:rPr>
          <w:rFonts w:hint="eastAsia"/>
        </w:rPr>
        <w:instrText>"id":10045,"uris":["http://zotero.org/groups/2352922/items/PWF93NZU"],"itemData":{"id":10045,"type":"article-journal","abstract":"The mohua or yellowhead (Mohoua ochrocephala) is an endangered, hole</w:instrText>
      </w:r>
      <w:r w:rsidR="000F35EB">
        <w:rPr>
          <w:rFonts w:hint="eastAsia"/>
        </w:rPr>
        <w:instrText>‐</w:instrText>
      </w:r>
      <w:r w:rsidR="000F35EB">
        <w:rPr>
          <w:rFonts w:hint="eastAsia"/>
        </w:rPr>
        <w:instrText>nesting forest bird endemic to New Zealand. Mohua suffer</w:instrText>
      </w:r>
      <w:r w:rsidR="000F35EB">
        <w:instrText xml:space="preserve"> periodic population crashes due to severe predation by the introduced stoat (Mustela erminea). In 1990, a stoat population irruption provided an opportunity to reassess the impact of stoat predation on mohua and to test two linked hypotheses: that adaquate control of stoats by trapping is possible, and that it is a viable management option to assist mohua recovery. The primary experiment (summer 1990/91) was repeated in the summers of 1991/92 and 1992/93 when stoat numbers were lower. Mohua productivity </w:instrText>
      </w:r>
      <w:r w:rsidR="000F35EB">
        <w:rPr>
          <w:rFonts w:hint="eastAsia"/>
        </w:rPr>
        <w:instrText>and adult female mortality were compared in two study areas, one trapped and one untrapped, in the Eglinton Valley, Fiordland. Sixty</w:instrText>
      </w:r>
      <w:r w:rsidR="000F35EB">
        <w:rPr>
          <w:rFonts w:hint="eastAsia"/>
        </w:rPr>
        <w:instrText>‐</w:instrText>
      </w:r>
      <w:r w:rsidR="000F35EB">
        <w:rPr>
          <w:rFonts w:hint="eastAsia"/>
        </w:rPr>
        <w:instrText>two stoats were caught in the 50 ha trapped area during summer 1990/91. The fledging of many first clutches, and the layin</w:instrText>
      </w:r>
      <w:r w:rsidR="000F35EB">
        <w:instrText xml:space="preserve">g of second clutches, coincided closely with the period when high numbers of stoats were being caught in traps. Eighty percent of the nests in the trapped area fledged young, compared with only 36% in the untrapped area. Pairs produced nearly twice as many young in the trapped area. A higher proportion of breeding females disappeared from the untrapped area. In the two subsequent summers, 29 and 14 stoats were caught, and breeding success was higher than previously recorded in both trapped and untrapped areas. We suggest that trapping in the year following a stoat irruption may also be warranted.","container-title":"New Zealand Journal of Zoology","DOI":"10.1080/03014223.1996.9518086","ISSN":"0301-4223","issue":"3","note":"publisher: Taylor &amp; Francis\n_eprint: https://doi.org/10.1080/03014223.1996.9518086","page":"279-286","source":"Taylor and Francis+NEJM","title":"Control of a stoat &lt;i&gt;(Mustela erminea&lt;/i&gt;) population irruption to enhance mohua (yellowhead) (&lt;i&gt;Mohoua ochrocephala&lt;/i&gt;) breeding success in New Zealand","URL":"https://doi.org/10.1080/03014223.1996.9518086","volume":"23","author":[{"family":"O'Donnell","given":"Colin F. J."},{"family":"Dilks","given":"Peter J."},{"family":"Elliott","given":"Graeme P."}],"accessed":{"date-parts":[["2021",11,14]]},"issued":{"date-parts":[["1996",1,1]]}}},{"id":54342,"uris":["http://zotero.org/groups/2352922/items/FJ35CXDI"],"itemData":{"id":54342,"type":"webpage","abstract":"Trapping in your backyard has loads of benefits. It can help get rid of rats from your compost bin, save your roses and fruit trees from possums, but most importantly it can make your garden a safe place for our unique native wildlife to live and feed.","container-title":"Predator Free NZ Trust","language":"en-US","title":"Home","URL":"https://predatorfreenz.org/","author":[{"literal":"PREDATOR Free NZ"}],"accessed":{"date-parts":[["2023",2,2]]},"issued":{"date-parts":[["2021"]]}},"label":"page"}],"schema":"https://github.com/citation-style-language/schema/raw/master/csl-citation.json"} </w:instrText>
      </w:r>
      <w:r w:rsidR="003B11D5" w:rsidRPr="00837161">
        <w:fldChar w:fldCharType="separate"/>
      </w:r>
      <w:r w:rsidR="00271B78" w:rsidRPr="00271B78">
        <w:t>(O’Donnell et al., 1996; PREDATOR Free NZ, 2021)</w:t>
      </w:r>
      <w:r w:rsidR="003B11D5" w:rsidRPr="00837161">
        <w:fldChar w:fldCharType="end"/>
      </w:r>
      <w:r w:rsidR="00066A7E" w:rsidRPr="00837161">
        <w:t>.</w:t>
      </w:r>
      <w:r w:rsidRPr="00C0338D">
        <w:t xml:space="preserve"> </w:t>
      </w:r>
    </w:p>
    <w:p w14:paraId="000006A9" w14:textId="77777777" w:rsidR="00A758FD" w:rsidRPr="002F2F42" w:rsidRDefault="00C81287" w:rsidP="002F2F42">
      <w:pPr>
        <w:pStyle w:val="Heading3"/>
      </w:pPr>
      <w:bookmarkStart w:id="573" w:name="_heading=h.3abhhcj" w:colFirst="0" w:colLast="0"/>
      <w:bookmarkEnd w:id="573"/>
      <w:r w:rsidRPr="002F2F42">
        <w:t xml:space="preserve"> </w:t>
      </w:r>
      <w:bookmarkStart w:id="574" w:name="_Toc131681662"/>
      <w:r w:rsidRPr="002F2F42">
        <w:t>Classical biological control programmes: successes and failures</w:t>
      </w:r>
      <w:bookmarkEnd w:id="569"/>
      <w:bookmarkEnd w:id="570"/>
      <w:bookmarkEnd w:id="574"/>
      <w:r w:rsidRPr="002F2F42">
        <w:t xml:space="preserve"> </w:t>
      </w:r>
    </w:p>
    <w:p w14:paraId="000006AA" w14:textId="0E94E491" w:rsidR="00A758FD" w:rsidRPr="00C0338D" w:rsidRDefault="00C81287">
      <w:pPr>
        <w:spacing w:before="240" w:after="120" w:line="240" w:lineRule="auto"/>
      </w:pPr>
      <w:r w:rsidRPr="00C0338D">
        <w:t>The practice of classical biological control to suppress populations of invasive alien species has a successful history of well over 100 years (</w:t>
      </w:r>
      <w:r w:rsidRPr="00C0338D">
        <w:rPr>
          <w:b/>
        </w:rPr>
        <w:t>section 5.4.3.2f</w:t>
      </w:r>
      <w:r w:rsidRPr="00C0338D">
        <w:t xml:space="preserve">). Biological control is a widely used invasive alien species management approach in many countries and continues to be applied to manage a range of invasive alien plants, invertebrates and to a lesser extent plant microbes and a few invasive alien vertebrates </w:t>
      </w:r>
      <w:r w:rsidR="00066A7E" w:rsidRPr="00837161">
        <w:fldChar w:fldCharType="begin"/>
      </w:r>
      <w:r w:rsidR="000F35EB">
        <w:instrText xml:space="preserve"> ADDIN ZOTERO_ITEM CSL_CITATION {"citationID":"pqZ6jBTX","properties":{"formattedCitation":"(Cock et al., 2016)","plainCitation":"(Cock et al., 2016)","noteIndex":0},"citationItems":[{"id":23979,"uris":["http://zotero.org/groups/2352922/items/UE8PG9CQ"],"itemData":{"id":23979,"type":"article-journal","abstract":"The BIOCAT database of introductions of insect biological control agents for the control of insect pests was updated to the end of 2010 to include 6158 introductions, using 2384 different insect biological control agents against 588 pest species in 148 countries. Of the introductions, 2007 (32.6 %) led to establishment, and 620 (10.1 %) resulted in satisfactory control being reported against 172 (29.3 %) different pest species. The number of introductions has decreased each decade since the 1970s, but in the same period a higher proportion of introductions became established and contributed to successful control of target pests, and the number of countries implementing classical biological control increased. These positive trends reflect the greater research effort now made to optimize the chances of successful outcomes and increased confidence in classical biological control as a viable pest management strategy against a backdrop of a risk-averse culture that has developed in some key countries in recent years.","container-title":"BioControl","DOI":"10.1007/s10526-016-9726-3","ISSN":"1573-8248","issue":"4","journalAbbreviation":"BioControl","language":"en","page":"349-363","source":"Springer Link","title":"Trends in the classical biological control of insect pests by insects: an update of the BIOCAT database","title-short":"Trends in the classical biological control of insect pests by insects","URL":"https://doi.org/10.1007/s10526-016-9726-3","volume":"61","author":[{"family":"Cock","given":"Matthew J. W."},{"family":"Murphy","given":"Sean T."},{"family":"Kairo","given":"Moses T. K."},{"family":"Thompson","given":"Emma"},{"family":"Murphy","given":"Rebecca J."},{"family":"Francis","given":"Antonio W."}],"accessed":{"date-parts":[["2019",3,12]]},"issued":{"date-parts":[["2016",8,1]]}},"label":"page"}],"schema":"https://github.com/citation-style-language/schema/raw/master/csl-citation.json"} </w:instrText>
      </w:r>
      <w:r w:rsidR="00066A7E" w:rsidRPr="00837161">
        <w:fldChar w:fldCharType="separate"/>
      </w:r>
      <w:r w:rsidR="00271B78" w:rsidRPr="00271B78">
        <w:t>(Cock et al., 2016)</w:t>
      </w:r>
      <w:r w:rsidR="00066A7E" w:rsidRPr="00837161">
        <w:fldChar w:fldCharType="end"/>
      </w:r>
      <w:r w:rsidR="00066A7E" w:rsidRPr="00837161">
        <w:t>.</w:t>
      </w:r>
      <w:r w:rsidRPr="00C0338D">
        <w:t xml:space="preserve"> </w:t>
      </w:r>
    </w:p>
    <w:p w14:paraId="000006AB" w14:textId="323B9C2A" w:rsidR="00A758FD" w:rsidRPr="00C0338D" w:rsidRDefault="00C81287">
      <w:pPr>
        <w:spacing w:before="240" w:after="120" w:line="240" w:lineRule="auto"/>
      </w:pPr>
      <w:r w:rsidRPr="00C0338D">
        <w:t>For invertebrate targets, the BIOCAT database shows that there have been 6158 biocontrol agents released to control invasive alien invertebrates before 2010</w:t>
      </w:r>
      <w:r w:rsidR="004D01FE">
        <w:t>,</w:t>
      </w:r>
      <w:r w:rsidRPr="00C0338D">
        <w:t xml:space="preserve"> and the probability of successful establishment and impact of introductions continues to improve </w:t>
      </w:r>
      <w:r w:rsidR="00066A7E" w:rsidRPr="00837161">
        <w:fldChar w:fldCharType="begin"/>
      </w:r>
      <w:r w:rsidR="000F35EB">
        <w:instrText xml:space="preserve"> ADDIN ZOTERO_ITEM CSL_CITATION {"citationID":"ea99pCZ6","properties":{"formattedCitation":"(Cock et al., 2016)","plainCitation":"(Cock et al., 2016)","noteIndex":0},"citationItems":[{"id":23979,"uris":["http://zotero.org/groups/2352922/items/UE8PG9CQ"],"itemData":{"id":23979,"type":"article-journal","abstract":"The BIOCAT database of introductions of insect biological control agents for the control of insect pests was updated to the end of 2010 to include 6158 introductions, using 2384 different insect biological control agents against 588 pest species in 148 countries. Of the introductions, 2007 (32.6 %) led to establishment, and 620 (10.1 %) resulted in satisfactory control being reported against 172 (29.3 %) different pest species. The number of introductions has decreased each decade since the 1970s, but in the same period a higher proportion of introductions became established and contributed to successful control of target pests, and the number of countries implementing classical biological control increased. These positive trends reflect the greater research effort now made to optimize the chances of successful outcomes and increased confidence in classical biological control as a viable pest management strategy against a backdrop of a risk-averse culture that has developed in some key countries in recent years.","container-title":"BioControl","DOI":"10.1007/s10526-016-9726-3","ISSN":"1573-8248","issue":"4","journalAbbreviation":"BioControl","language":"en","page":"349-363","source":"Springer Link","title":"Trends in the classical biological control of insect pests by insects: an update of the BIOCAT database","title-short":"Trends in the classical biological control of insect pests by insects","URL":"https://doi.org/10.1007/s10526-016-9726-3","volume":"61","author":[{"family":"Cock","given":"Matthew J. W."},{"family":"Murphy","given":"Sean T."},{"family":"Kairo","given":"Moses T. K."},{"family":"Thompson","given":"Emma"},{"family":"Murphy","given":"Rebecca J."},{"family":"Francis","given":"Antonio W."}],"accessed":{"date-parts":[["2019",3,12]]},"issued":{"date-parts":[["2016",8,1]]}},"label":"page"}],"schema":"https://github.com/citation-style-language/schema/raw/master/csl-citation.json"} </w:instrText>
      </w:r>
      <w:r w:rsidR="00066A7E" w:rsidRPr="00837161">
        <w:fldChar w:fldCharType="separate"/>
      </w:r>
      <w:r w:rsidR="00271B78" w:rsidRPr="00271B78">
        <w:t>(Cock et al., 2016)</w:t>
      </w:r>
      <w:r w:rsidR="00066A7E" w:rsidRPr="00837161">
        <w:fldChar w:fldCharType="end"/>
      </w:r>
      <w:r w:rsidR="78A02C33" w:rsidRPr="00837161">
        <w:t xml:space="preserve">. This led to the successful management of 172 different target organisms. Van Driesche et al. </w:t>
      </w:r>
      <w:r w:rsidR="00066A7E" w:rsidRPr="00837161">
        <w:fldChar w:fldCharType="begin"/>
      </w:r>
      <w:r w:rsidR="000F35EB">
        <w:instrText xml:space="preserve"> ADDIN ZOTERO_ITEM CSL_CITATION {"citationID":"Tx7VwxWH","properties":{"formattedCitation":"(2010)","plainCitation":"(2010)","noteIndex":0},"citationItems":[{"id":11269,"uris":["http://zotero.org/groups/2352922/items/WDGAUXFA"],"itemData":{"id":11269,"type":"article-journal","abstract":"Of the 70 cases of classical biological control for the protection of nature found in our review, there were fewer projects against insect targets (21) than against invasive plants (49), in part, because many insect biological control projects were carried out against agricultural pests, while nearly all projects against plants targeted invasive plants in natural ecosystems. Of 21 insect projects, 81% (17) provided beneﬁts to protection of biodiversity, while 48% (10) protected products harvested from natural systems, and 5% (1) preserved ecosystem services, with many projects contributing to more than one goal. In contrast, of the 49 projects against invasive plants, 98% (48) provided beneﬁts to protection of biodiversity, while 47% (23) protected products, and 25% (12) preserved ecosystem services, again with many projects contributing to several goals. We classiﬁed projects into complete control (pest generally no longer important), partial control (control in some areas but not others), and ‘‘in progress,” for projects in development for which outcomes do not yet exist. For insects, of the 21 projects discussed, 62% (13) achieved complete control of the target pest, 19% (4) provided partial control, and 43% (9) are still in progress. By comparison, of the 49 invasive plant projects considered, 27% (13) achieved complete control, while 33% (16) provided partial control, and 49% (24) are still in progress. For both categories of pests, some projects’ success ratings were scored twice when results varied by region. We found approximately twice as many projects directed against invasive plants than insects and that protection of biodiversity was the most frequent beneﬁt of both insect and plant projects. Ecosystem service protection was provided in the fewest cases by either insect or plant biological control agents, but was more likely to be provided by projects directed against invasive plants, likely because of the strong effects plants exert on landscapes. Rates of complete success appeared to be higher for insect than plant targets (62% vs 27%), perhaps because most often herbivores gradually weaken, rather than outright kill, their hosts, which is not the case for natural enemies directed against pest insects. For both insect and plant biological control, nearly half of all projects reviewed were listed as currently in progress, suggesting that the use of biological control for the protection of wildlands is currently very active.","collection-title":"Classical Biological Control for the Protection of Natural Ecosystems","container-title":"Biological Control","DOI":"10.1016/j.biocontrol.2010.03.003","ISSN":"10499644","issue":"Supplement 1","journalAbbreviation":"Biological Control","language":"en","page":"S2-S33","source":"DOI.org (Crossref)","title":"Classical biological control for the protection of natural ecosystems","URL":"https://linkinghub.elsevier.com/retrieve/pii/S1049964410000599","volume":"54","author":[{"family":"Van Driesche","given":"R.G."},{"family":"Carruthers","given":"R.I."},{"family":"Center","given":"T."},{"family":"Hoddle","given":"M.S."},{"family":"Hough-Goldstein","given":"J."},{"family":"Morin","given":"L."},{"family":"Smith","given":"L."},{"family":"Wagner","given":"D.L."},{"family":"Blossey","given":"B."},{"family":"Brancatini","given":"V."},{"family":"Casagrande","given":"R."},{"family":"Causton","given":"C.E."},{"family":"Coetzee","given":"J.A."},{"family":"Cuda","given":"J."},{"family":"Ding","given":"J."},{"family":"Fowler","given":"S.V."},{"family":"Frank","given":"J.H."},{"family":"Fuester","given":"R."},{"family":"Goolsby","given":"J."},{"family":"Grodowitz","given":"M."},{"family":"Heard","given":"T.A."},{"family":"Hill","given":"M.P."},{"family":"Hoffmann","given":"J.H."},{"family":"Huber","given":"J."},{"family":"Julien","given":"M."},{"family":"Kairo","given":"M.T.K."},{"family":"Kenis","given":"M."},{"family":"Mason","given":"P."},{"family":"Medal","given":"J."},{"family":"Messing","given":"R."},{"family":"Miller","given":"R."},{"family":"Moore","given":"A."},{"family":"Neuenschwander","given":"P."},{"family":"Newman","given":"R."},{"family":"Norambuena","given":"H."},{"family":"Palmer","given":"W.A."},{"family":"Pemberton","given":"R."},{"family":"Perez Panduro","given":"A."},{"family":"Pratt","given":"P.D."},{"family":"Rayamajhi","given":"M."},{"family":"Salom","given":"S."},{"family":"Sands","given":"D."},{"family":"Schooler","given":"S."},{"family":"Schwarzländer","given":"M."},{"family":"Sheppard","given":"A."},{"family":"Shaw","given":"R."},{"family":"Tipping","given":"P.W."},{"family":"Klinken","given":"R.D.","non-dropping-particle":"van"}],"accessed":{"date-parts":[["2019",11,3]]},"issued":{"date-parts":[["2010",8]]}},"label":"page","suppress-author":true}],"schema":"https://github.com/citation-style-language/schema/raw/master/csl-citation.json"} </w:instrText>
      </w:r>
      <w:r w:rsidR="00066A7E" w:rsidRPr="00837161">
        <w:fldChar w:fldCharType="separate"/>
      </w:r>
      <w:r w:rsidR="00271B78" w:rsidRPr="00271B78">
        <w:t>(2010)</w:t>
      </w:r>
      <w:r w:rsidR="00066A7E" w:rsidRPr="00837161">
        <w:fldChar w:fldCharType="end"/>
      </w:r>
      <w:r w:rsidR="78A02C33" w:rsidRPr="00837161">
        <w:t xml:space="preserve"> reviewed releases against environmental targets and found a 62</w:t>
      </w:r>
      <w:r w:rsidR="006215F0" w:rsidRPr="00837161">
        <w:t xml:space="preserve"> per cent</w:t>
      </w:r>
      <w:r w:rsidR="78A02C33" w:rsidRPr="00837161">
        <w:t xml:space="preserve"> success rate for complete control with a further 19</w:t>
      </w:r>
      <w:r w:rsidR="006215F0" w:rsidRPr="00837161">
        <w:t xml:space="preserve"> per cent</w:t>
      </w:r>
      <w:r w:rsidR="78A02C33" w:rsidRPr="00837161">
        <w:t xml:space="preserve"> partially controlled. </w:t>
      </w:r>
      <w:r w:rsidR="6E792FA8" w:rsidRPr="00837161">
        <w:rPr>
          <w:rStyle w:val="named-content"/>
          <w:i/>
          <w:iCs/>
        </w:rPr>
        <w:t>Oryctes rhinoceros</w:t>
      </w:r>
      <w:r w:rsidR="6E792FA8" w:rsidRPr="00837161">
        <w:t xml:space="preserve"> (</w:t>
      </w:r>
      <w:r w:rsidR="78A02C33" w:rsidRPr="00837161">
        <w:t>coconut rhinoceros beetle</w:t>
      </w:r>
      <w:r w:rsidR="78A02C33" w:rsidRPr="00837161">
        <w:rPr>
          <w:rStyle w:val="named-content"/>
        </w:rPr>
        <w:t>)</w:t>
      </w:r>
      <w:r w:rsidR="78A02C33" w:rsidRPr="00837161">
        <w:t xml:space="preserve"> is a major pest across the Pacific islands that has been widely managed using a well-established classical biocontrol agent, </w:t>
      </w:r>
      <w:r w:rsidR="78A02C33" w:rsidRPr="009A7E0E">
        <w:rPr>
          <w:i/>
          <w:iCs/>
        </w:rPr>
        <w:t>Oryctes rhinoceros</w:t>
      </w:r>
      <w:r w:rsidR="78A02C33" w:rsidRPr="00837161">
        <w:t xml:space="preserve"> nudivirus (OrNV)</w:t>
      </w:r>
      <w:r w:rsidR="004D01FE">
        <w:t>,</w:t>
      </w:r>
      <w:r w:rsidR="78A02C33" w:rsidRPr="00837161">
        <w:t xml:space="preserve"> for many years, however recently beetle numbers have been rapidly increasing</w:t>
      </w:r>
      <w:r w:rsidR="004D01FE">
        <w:t>,</w:t>
      </w:r>
      <w:r w:rsidR="78A02C33" w:rsidRPr="00837161">
        <w:t xml:space="preserve"> severely disrupting nature’s contributions to </w:t>
      </w:r>
      <w:r w:rsidR="00875C95" w:rsidRPr="00837161">
        <w:t>Indigenous Peoples</w:t>
      </w:r>
      <w:r w:rsidR="78A02C33" w:rsidRPr="00837161">
        <w:t xml:space="preserve"> and local communities through free access to coconuts across many islands in the Pacific. This resulted in Vanuatu declaring a national emergency. Recent research suggests the effectiveness of the virus has declined and this may be a rare example where the invasive alien species target has generated resistance to the biocontrol agent </w:t>
      </w:r>
      <w:r w:rsidR="00066A7E" w:rsidRPr="00837161">
        <w:fldChar w:fldCharType="begin"/>
      </w:r>
      <w:r w:rsidR="000F35EB">
        <w:instrText xml:space="preserve"> ADDIN ZOTERO_ITEM CSL_CITATION {"citationID":"H63YmIlF","properties":{"formattedCitation":"(Etebari et al., 2021)","plainCitation":"(Etebari et al., 2021)","noteIndex":0},"citationItems":[{"id":31352,"uris":["http://zotero.org/groups/2352922/items/6LPXUMPV"],"itemData":{"id":31352,"type":"article-journal","container-title":"Microbiology Spectrum","DOI":"10.1128/Spectrum.00686-21","issue":"2","note":"publisher: American Society for Microbiology","page":"e00686-21","source":"journals.asm.org (Atypon)","title":"Diverse Host Immune Responses of Different Geographical Populations of the Coconut Rhinoceros Beetle to &lt;i&gt;Oryctes rhinoceros&lt;/i&gt; Nudivirus (OrNV) Infection","URL":"https://journals.asm.org/doi/full/10.1128/Spectrum.00686-21","volume":"9","author":[{"family":"Etebari","given":"Kayvan"},{"family":"Gharuka","given":"Maria"},{"family":"Asgari","given":"Sassan"},{"family":"Furlong","given":"Michael J."}],"accessed":{"date-parts":[["2021",11,14]]},"issued":{"date-parts":[["2021"]]}},"label":"page"}],"schema":"https://github.com/citation-style-language/schema/raw/master/csl-citation.json"} </w:instrText>
      </w:r>
      <w:r w:rsidR="00066A7E" w:rsidRPr="00837161">
        <w:fldChar w:fldCharType="separate"/>
      </w:r>
      <w:r w:rsidR="00271B78" w:rsidRPr="00271B78">
        <w:t>(Etebari et al., 2021)</w:t>
      </w:r>
      <w:r w:rsidR="00066A7E" w:rsidRPr="00837161">
        <w:fldChar w:fldCharType="end"/>
      </w:r>
      <w:r w:rsidR="78A02C33" w:rsidRPr="00837161">
        <w:t>.</w:t>
      </w:r>
      <w:r w:rsidRPr="00C0338D">
        <w:t xml:space="preserve"> </w:t>
      </w:r>
    </w:p>
    <w:p w14:paraId="5BFAFEE7" w14:textId="573F63C7" w:rsidR="00066A7E" w:rsidRPr="00837161" w:rsidRDefault="00066A7E" w:rsidP="00C11DFA">
      <w:pPr>
        <w:spacing w:before="240" w:after="120" w:line="240" w:lineRule="auto"/>
      </w:pPr>
      <w:r w:rsidRPr="00837161">
        <w:t>The global catalogue of biocontrol agents and their use against target alien invasive plants</w:t>
      </w:r>
      <w:r w:rsidR="00B62203" w:rsidRPr="00837161">
        <w:t xml:space="preserve"> </w:t>
      </w:r>
      <w:r w:rsidRPr="00837161">
        <w:t>shows that up to 2018, 468 biocontrol agents have been released against 175 species of invasive alien plants across 48 families and 90 countries. Some form of successful control was achieved against 65.7</w:t>
      </w:r>
      <w:r w:rsidR="006215F0" w:rsidRPr="00837161">
        <w:t xml:space="preserve"> per cent</w:t>
      </w:r>
      <w:r w:rsidRPr="00837161">
        <w:t xml:space="preserve"> of the plant species targeted, for which sufficient time has elapsed to assess effectiveness. One third of targets no longer required any other form of control </w:t>
      </w:r>
      <w:r w:rsidRPr="00837161">
        <w:fldChar w:fldCharType="begin"/>
      </w:r>
      <w:r w:rsidR="000F35EB">
        <w:instrText xml:space="preserve"> ADDIN ZOTERO_ITEM CSL_CITATION {"citationID":"Dera2U6c","properties":{"formattedCitation":"(Schwarzl\\uc0\\u228{}nder et al., 2018)","plainCitation":"(Schwarzländer et al., 2018)","dontUpdate":true,"noteIndex":0},"citationItems":[{"id":53066,"uris":["http://zotero.org/groups/2352922/items/97RIQSYL","http://zotero.org/groups/2352922/items/4W5BW4YF"],"itemData":{"id":53066,"type":"article-journal","abstract":"The foremost document that comprehensively reports on biological control introductions against weeds—‘Biological control of weeds: a world catalogue of agents and their target weeds’—has been updated and now includes all deliberate releases made through 2012. It includes data on 1555 intentional releases of 468 biological control agent species used against 175 species of target weeds in 48 plant families, in 90 countries. For 55 (31.4%) of the target weed species, only one biocontrol agent was introduced. The largest number of agent species (44) was introduced for the biological control of Lantana camara (Verbenaceae). Three insect orders (Coleoptera, Lepidoptera and Diptera) comprised about 80% of all biocontrol agent species released and releases made. Of the 468 biocontrol agent species introduced, 332 (70.9%) established in at least one instance. Of the 313 species, for which impact could be categorized, 172 (55.0%) caused medium, variable or heavy levels of damage (impacts). Of all releases made through 2012, 982 (63.2%) led to establishment. Forty-two releases were judged too early post-release to categorize impact, leaving 940 releases for which impact analyses were conducted. Similar to agent species, approximately half of the established releases (503 or 53.5%) caused medium, variable or heavy levels of damage on the target weeds, and almost a quarter of releases (225 or 23.9%) caused heavy impact. Across all countries and regions, 65.7% of the weeds targeted for biological control experienced some level of control. These data indicate the value of this practice, on its own, or as a supplement to other methods, in the management of invasive plants.","container-title":"BioControl","DOI":"10.1007/s10526-018-9890-8","ISSN":"1573-8248","issue":"3","journalAbbreviation":"BioControl","language":"en","page":"319-331","source":"Springer Link","title":"Biological control of weeds: an analysis of introductions, rates of establishment and estimates of success, worldwide","title-short":"Biological control of weeds","URL":"https://doi.org/10.1007/s10526-018-9890-8","volume":"63","author":[{"family":"Schwarzländer","given":"M."},{"family":"Hinz","given":"Hariet L."},{"family":"Winston","given":"R. L."},{"family":"Day","given":"M. D."}],"accessed":{"date-parts":[["2022",8,31]]},"issued":{"date-parts":[["2018",6,1]]}},"label":"page"}],"schema":"https://github.com/citation-style-language/schema/raw/master/csl-citation.json"} </w:instrText>
      </w:r>
      <w:r w:rsidRPr="00837161">
        <w:fldChar w:fldCharType="separate"/>
      </w:r>
      <w:r w:rsidR="00765C39" w:rsidRPr="00837161">
        <w:t xml:space="preserve">(Schwarzländer et </w:t>
      </w:r>
      <w:r w:rsidR="00765C39" w:rsidRPr="00837161">
        <w:lastRenderedPageBreak/>
        <w:t>al., 2018</w:t>
      </w:r>
      <w:r w:rsidRPr="00837161">
        <w:fldChar w:fldCharType="end"/>
      </w:r>
      <w:r w:rsidR="0075181B" w:rsidRPr="00837161">
        <w:t>; e</w:t>
      </w:r>
      <w:r w:rsidRPr="00837161">
        <w:t xml:space="preserve">.g., </w:t>
      </w:r>
      <w:r w:rsidRPr="00294242">
        <w:rPr>
          <w:b/>
          <w:iCs/>
        </w:rPr>
        <w:t>Box 5.21</w:t>
      </w:r>
      <w:r w:rsidRPr="00837161">
        <w:t>). The biological control program</w:t>
      </w:r>
      <w:r w:rsidR="00CC130F" w:rsidRPr="00837161">
        <w:t>me</w:t>
      </w:r>
      <w:r w:rsidRPr="00837161">
        <w:t xml:space="preserve"> against </w:t>
      </w:r>
      <w:r w:rsidR="006D7168" w:rsidRPr="00837161">
        <w:rPr>
          <w:i/>
          <w:iCs/>
        </w:rPr>
        <w:t>Ambrosia artemisiifolia</w:t>
      </w:r>
      <w:r w:rsidR="006D7168" w:rsidRPr="00837161">
        <w:t xml:space="preserve"> (</w:t>
      </w:r>
      <w:r w:rsidRPr="00837161">
        <w:t>common ragweed) in China, the pollen of which has a very high allergy rate in humans leading to high medical costs, has released two biological control agents (</w:t>
      </w:r>
      <w:r w:rsidR="00B12900" w:rsidRPr="00837161">
        <w:rPr>
          <w:i/>
          <w:iCs/>
        </w:rPr>
        <w:t>Ophraella communa</w:t>
      </w:r>
      <w:r w:rsidR="00B12900" w:rsidRPr="00837161">
        <w:t xml:space="preserve"> </w:t>
      </w:r>
      <w:r w:rsidR="009F1FD8" w:rsidRPr="00837161">
        <w:t>(</w:t>
      </w:r>
      <w:r w:rsidR="006F5960" w:rsidRPr="00837161">
        <w:t xml:space="preserve">ragweed </w:t>
      </w:r>
      <w:r w:rsidRPr="00837161">
        <w:t>leaf beetle</w:t>
      </w:r>
      <w:r w:rsidR="009F1FD8" w:rsidRPr="00837161">
        <w:t xml:space="preserve">) </w:t>
      </w:r>
      <w:r w:rsidRPr="00837161">
        <w:t xml:space="preserve">and </w:t>
      </w:r>
      <w:r w:rsidR="006F5960" w:rsidRPr="00837161">
        <w:rPr>
          <w:i/>
          <w:iCs/>
        </w:rPr>
        <w:t>Epiblema strenuana</w:t>
      </w:r>
      <w:r w:rsidR="006F5960" w:rsidRPr="00837161">
        <w:t xml:space="preserve"> </w:t>
      </w:r>
      <w:r w:rsidR="009F1FD8" w:rsidRPr="00837161">
        <w:t>(</w:t>
      </w:r>
      <w:r w:rsidR="006F5960" w:rsidRPr="00837161">
        <w:t>ragweed borer</w:t>
      </w:r>
      <w:r w:rsidR="009F1FD8" w:rsidRPr="00837161">
        <w:t>)</w:t>
      </w:r>
      <w:r w:rsidRPr="00837161">
        <w:t>)</w:t>
      </w:r>
      <w:r w:rsidR="002B5918" w:rsidRPr="00837161">
        <w:t>. These biocontrol agents</w:t>
      </w:r>
      <w:r w:rsidRPr="00837161">
        <w:t xml:space="preserve"> successfully suppressed the target in southern China, however in colder northern China biological control needs to be supplemented by chemical control and restoration with native plants </w:t>
      </w:r>
      <w:r w:rsidRPr="00837161">
        <w:fldChar w:fldCharType="begin"/>
      </w:r>
      <w:r w:rsidR="000F35EB">
        <w:instrText xml:space="preserve"> ADDIN ZOTERO_ITEM CSL_CITATION {"citationID":"FeYlVz69","properties":{"formattedCitation":"(Wan et al., 2017)","plainCitation":"(Wan et al., 2017)","noteIndex":0},"citationItems":[{"id":10003,"uris":["http://zotero.org/groups/2352922/items/XJ5K72D6"],"itemData":{"id":10003,"type":"book","call-number":"QH353 .B562 2017","collection-number":"volume 11, 13","collection-title":"Invading nature","event-place":"Dordrecht, The Netherlands","ISBN":"978-94-024-0946-8","number-of-pages":"2","publisher":"Springer","publisher-place":"Dordrecht, The Netherlands","source":"Library Catalog (Blacklight)","title":"Biological invasions and its management in China","editor":[{"family":"Wan","given":"Fanghao"},{"family":"Jiang","given":"Mingxing"},{"family":"Zhan","given":"Aibin"}],"issued":{"date-parts":[["2017"]]}},"label":"page"}],"schema":"https://github.com/citation-style-language/schema/raw/master/csl-citation.json"} </w:instrText>
      </w:r>
      <w:r w:rsidRPr="00837161">
        <w:fldChar w:fldCharType="separate"/>
      </w:r>
      <w:r w:rsidR="00271B78" w:rsidRPr="00271B78">
        <w:t>(Wan et al., 2017)</w:t>
      </w:r>
      <w:r w:rsidRPr="00837161">
        <w:fldChar w:fldCharType="end"/>
      </w:r>
      <w:r w:rsidRPr="00837161">
        <w:t>. Biological control effectiveness is related to the level of abundance of the target plant in the native range, the mode of reproduction (sexual versus asexual) and the habitat type (aquatic versus terrestrial</w:t>
      </w:r>
      <w:r w:rsidR="006F5960" w:rsidRPr="00837161">
        <w:t>;</w:t>
      </w:r>
      <w:r w:rsidRPr="00837161">
        <w:t xml:space="preserve"> </w:t>
      </w:r>
      <w:r w:rsidRPr="00837161">
        <w:fldChar w:fldCharType="begin"/>
      </w:r>
      <w:r w:rsidR="000F35EB">
        <w:instrText xml:space="preserve"> ADDIN ZOTERO_ITEM CSL_CITATION {"citationID":"LP0IQEQf","properties":{"formattedCitation":"(Paynter et al., 2012)","plainCitation":"(Paynter et al., 2012)","dontUpdate":true,"noteIndex":0},"citationItems":[{"id":24013,"uris":["http://zotero.org/groups/2352922/items/HCFSRH49"],"itemData":{"id":24013,"type":"article-journal","abstract":"Biological control (biocontrol) can provide permanent cost-effective control of plant pests, but has variable success. The ability to predict the success of weed biocontrol should improve target prioritisation and the cost-benefit ratio of weed biocontrol. We compiled a data base of the quantitative impacts of weed biocontrol programmes against 80 weed species and tested hypotheses regarding weed traits that contribute to weed biocontrol success using generalised additive models. Modelling and cross-validation indicated that a model with three traits provided good ability to predict the responses of novel species in novel regions. Biocontrol impact varied according to whether a weed was reported to be a major weed in its native range, mode of reproduction (sexual or asexual) and ecosystem (aquatic or wetland versus terrestrial). Biocontrol appears to be highly effective against weeds with the best combination of factors for success (aquatic, asexual species that are not major weeds in their native ranges), whereas most, but not all, programmes against ‘difficult targets’, which possess the worst combination of factors for success, have failed to result in a substantial impact. An additional analysis provides a preliminary indication that the success of pioneering programmes predicts the success of repeat programmes against the same target weed in other regions. Synthesis and applications. Predictions generated by our model will assist weed prioritisation by improving the ability to predict the success of weed biocontrol. Nevertheless, prioritisation must also consider the importance of the candidate target weeds. Species that are predicted to be difficult targets could be targeted for biocontrol, provided that they are sufficiently important to offset the increased risk of failure against the greater benefits of successful control. Further investigation is needed to assess the ability of successful pioneering programmes to predict the success of repeat programmes in other locations, particularly in conjunction with plant traits.","container-title":"Journal of Applied Ecology","DOI":"10.1111/j.1365-2664.2012.02178.x","ISSN":"1365-2664","issue":"5","language":"en","license":"</w:instrText>
      </w:r>
      <w:r w:rsidR="000F35EB">
        <w:rPr>
          <w:rFonts w:hint="eastAsia"/>
        </w:rPr>
        <w:instrText>©</w:instrText>
      </w:r>
      <w:r w:rsidR="000F35EB">
        <w:instrText xml:space="preserve"> 2012 The Authors. Journal of Applied Ecology © 2012 British Ecological Society","note":"_eprint: https://besjournals.onlinelibrary.wiley.com/doi/pdf/10.1111/j.1365-2664.2012.02178.x","page":"1140-1148","source":"Wiley Online Library","title":"Plant traits predict the success of weed biocontrol","URL":"https://besjournals.onlinelibrary.wiley.com/doi/abs/10.1111/j.1365-2664.2012.02178.x","volume":"49","author":[{"family":"Paynter","given":"Quentin"},{"family":"Overton","given":"Jacob McC"},{"family":"Hill","given":"Richard L."},{"family":"Bellgard","given":"Stanley E."},{"family":"Dawson","given":"Murray I."}],"accessed":{"date-parts":[["2020",8,21]]},"issued":{"date-parts":[["2012"]]}},"label":"page"}],"schema":"https://github.com/citation-style-language/schema/raw/master/csl-citation.json"} </w:instrText>
      </w:r>
      <w:r w:rsidRPr="00837161">
        <w:fldChar w:fldCharType="separate"/>
      </w:r>
      <w:r w:rsidR="00765C39" w:rsidRPr="00837161">
        <w:t>Paynter et al., 2012)</w:t>
      </w:r>
      <w:r w:rsidRPr="00837161">
        <w:fldChar w:fldCharType="end"/>
      </w:r>
      <w:r w:rsidRPr="00837161">
        <w:t>. Although many biological control program</w:t>
      </w:r>
      <w:r w:rsidR="00CC130F" w:rsidRPr="00837161">
        <w:t>me</w:t>
      </w:r>
      <w:r w:rsidRPr="00837161">
        <w:t xml:space="preserve">s targeting invasive alien species take many years with no guarantee of success, this approach remains very cost-effective because the control benefits, when they occur, are generally high and self-sustaining </w:t>
      </w:r>
      <w:r w:rsidRPr="00837161">
        <w:fldChar w:fldCharType="begin"/>
      </w:r>
      <w:r w:rsidR="000F35EB">
        <w:instrText xml:space="preserve"> ADDIN ZOTERO_ITEM CSL_CITATION {"citationID":"6LDi7ky9","properties":{"formattedCitation":"(Briese, 2000)","plainCitation":"(Briese, 2000)","noteIndex":0},"citationItems":[{"id":23988,"uris":["http://zotero.org/groups/2352922/items/Z4IL7RA9"],"itemData":{"id":23988,"type":"chapter","container-title":"Australian Weed Management Systems","event-place":"Australia","ISBN":"0-9587439-4-0","page":"161–192","publisher":"R.G. and F.J. Richardson","publisher-place":"Australia","source":"Google Scholar","title":"Classical biological control","URL":"https://www.cabdirect.org/cabdirect/abstract/20023012716","author":[{"family":"Briese","given":"David T."}],"editor":[{"family":"Sindel","given":"B. M."}],"issued":{"date-parts":[["2000"]]}},"label":"page"}],"schema":"https://github.com/citation-style-language/schema/raw/master/csl-citation.json"} </w:instrText>
      </w:r>
      <w:r w:rsidRPr="00837161">
        <w:fldChar w:fldCharType="separate"/>
      </w:r>
      <w:r w:rsidR="00271B78" w:rsidRPr="00271B78">
        <w:t>(Briese, 2000)</w:t>
      </w:r>
      <w:r w:rsidRPr="00837161">
        <w:fldChar w:fldCharType="end"/>
      </w:r>
      <w:r w:rsidRPr="00837161">
        <w:t>. For invasive alien plants, a third of program</w:t>
      </w:r>
      <w:r w:rsidR="00CC130F" w:rsidRPr="00837161">
        <w:t>me</w:t>
      </w:r>
      <w:r w:rsidRPr="00837161">
        <w:t xml:space="preserve">s only release one biocontrol agent and often one agent provides the necessary control, but as selecting agents based </w:t>
      </w:r>
      <w:r w:rsidR="007D42C7" w:rsidRPr="00837161">
        <w:t xml:space="preserve">on </w:t>
      </w:r>
      <w:r w:rsidRPr="00837161">
        <w:t xml:space="preserve">likely future effectiveness is hard, the release of multiple agents is often required </w:t>
      </w:r>
      <w:r w:rsidRPr="00837161">
        <w:fldChar w:fldCharType="begin"/>
      </w:r>
      <w:r w:rsidR="000F35EB">
        <w:instrText xml:space="preserve"> ADDIN ZOTERO_ITEM CSL_CITATION {"citationID":"wamqAc1A","properties":{"formattedCitation":"(Schwarzl\\uc0\\u228{}nder et al., 2018)","plainCitation":"(Schwarzländer et al., 2018)","noteIndex":0},"citationItems":[{"id":53066,"uris":["http://zotero.org/groups/2352922/items/97RIQSYL","http://zotero.org/groups/2352922/items/4W5BW4YF"],"itemData":{"id":53066,"type":"article-journal","abstract":"The foremost document that comprehensively reports on biological control introductions against weeds—‘Biological control of weeds: a world catalogue of agents and their target weeds’—has been updated and now includes all deliberate releases made through 2012. It includes data on 1555 intentional releases of 468 biological control agent species used against 175 species of target weeds in 48 plant families, in 90 countries. For 55 (31.4%) of the target weed species, only one biocontrol agent was introduced. The largest number of agent species (44) was introduced for the biological control of Lantana camara (Verbenaceae). Three insect orders (Coleoptera, Lepidoptera and Diptera) comprised about 80% of all biocontrol agent species released and releases made. Of the 468 biocontrol agent species introduced, 332 (70.9%) established in at least one instance. Of the 313 species, for which impact could be categorized, 172 (55.0%) caused medium, variable or heavy levels of damage (impacts). Of all releases made through 2012, 982 (63.2%) led to establishment. Forty-two releases were judged too early post-release to categorize impact, leaving 940 releases for which impact analyses were conducted. Similar to agent species, approximately half of the established releases (503 or 53.5%) caused medium, variable or heavy levels of damage on the target weeds, and almost a quarter of releases (225 or 23.9%) caused heavy impact. Across all countries and regions, 65.7% of the weeds targeted for biological control experienced some level of control. These data indicate the value of this practice, on its own, or as a supplement to other methods, in the management of invasive plants.","container-title":"BioControl","DOI":"10.1007/s10526-018-9890-8","ISSN":"1573-8248","issue":"3","journalAbbreviation":"BioControl","language":"en","page":"319-331","source":"Springer Link","title":"Biological control of weeds: an analysis of introductions, rates of establishment and estimates of success, worldwide","title-short":"Biological control of weeds","URL":"https://doi.org/10.1007/s10526-018-9890-8","volume":"63","author":[{"family":"Schwarzländer","given":"M."},{"family":"Hinz","given":"Hariet L."},{"family":"Winston","given":"R. L."},{"family":"Day","given":"M. D."}],"accessed":{"date-parts":[["2022",8,31]]},"issued":{"date-parts":[["2018",6,1]]}},"label":"page"}],"schema":"https://github.com/citation-style-language/schema/raw/master/csl-citation.json"} </w:instrText>
      </w:r>
      <w:r w:rsidRPr="00837161">
        <w:fldChar w:fldCharType="separate"/>
      </w:r>
      <w:r w:rsidR="00271B78" w:rsidRPr="00271B78">
        <w:t>(Schwarzländer et al., 2018)</w:t>
      </w:r>
      <w:r w:rsidRPr="00837161">
        <w:fldChar w:fldCharType="end"/>
      </w:r>
      <w:r w:rsidRPr="00837161">
        <w:t>. When such program</w:t>
      </w:r>
      <w:r w:rsidR="00CC130F" w:rsidRPr="00837161">
        <w:t>me</w:t>
      </w:r>
      <w:r w:rsidRPr="00837161">
        <w:t xml:space="preserve">s are unsuccessful, termination is generally more to do with perceived levels of risk to non-target native species, failed agent establishment or lack of funding and political will than that all biocontrol agent options have been exhausted </w:t>
      </w:r>
      <w:r w:rsidRPr="00837161">
        <w:fldChar w:fldCharType="begin"/>
      </w:r>
      <w:r w:rsidR="00E25D54">
        <w:instrText xml:space="preserve"> ADDIN ZOTERO_ITEM CSL_CITATION {"citationID":"0b3S4MQd","properties":{"formattedCitation":"(Fowler, 2000; Sankaran &amp; Suresh, 2013)","plainCitation":"(Fowler, 2000; Sankaran &amp; Suresh, 2013)","noteIndex":0},"citationItems":[{"id":23716,"uris":["http://zotero.org/groups/2352922/items/Y8EA6IDZ"],"itemData":{"id":23716,"type":"paper-conference","container-title":"Proceedings of the X International Symposium on Biological Control of Weeds","event-place":"Montana State University Bozeman, Montana, USA","page":"169–172","publisher-place":"Montana State University Bozeman, Montana, USA","source":"Google Scholar","title":"Trivial and political reasons for the failure of classical biological control of weeds: a personal view","title-short":"Trivial and political reasons for the failure of classical biological control of weeds","URL":"http://bugwoodcloud.org/ibiocontrol/proceedings/pdf/10_169-172.pdf","author":[{"family":"Fowler","given":"S. V."}],"issued":{"date-parts":[["2000"]]}},"label":"page"},{"id":24695,"uris":["http://zotero.org/groups/2352922/items/K8WR4IIM"],"itemData":{"id":24695,"type":"report","genre":"Final report of research project no.416/2003","note":"No unique identifier","number":"KFRI Research report No.472/2013","publisher":"Kerala Forest Research Institute","title":"Evaluation of Classical Biological Control of &lt;i&gt;Mikania micrantha&lt;/i&gt; with &lt;i&gt;Puccinia spegazzinii&lt;/i&gt;","author":[{"family":"Sankaran","given":"K. V."},{"family":"Suresh","given":"T. A."}],"issued":{"date-parts":[["2013"]]}},"label":"page"}],"schema":"https://github.com/citation-style-language/schema/raw/master/csl-citation.json"} </w:instrText>
      </w:r>
      <w:r w:rsidRPr="00837161">
        <w:fldChar w:fldCharType="separate"/>
      </w:r>
      <w:r w:rsidR="00271B78" w:rsidRPr="00271B78">
        <w:t>(Fowler, 2000; Sankaran &amp; Suresh, 2013)</w:t>
      </w:r>
      <w:r w:rsidRPr="00837161">
        <w:fldChar w:fldCharType="end"/>
      </w:r>
      <w:r w:rsidRPr="00837161">
        <w:t>.</w:t>
      </w:r>
    </w:p>
    <w:p w14:paraId="4711CC85" w14:textId="094E811B" w:rsidR="00066A7E" w:rsidRPr="00837161" w:rsidRDefault="00066A7E" w:rsidP="00C11DFA">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575" w:name="_Toc87623080"/>
      <w:bookmarkStart w:id="576" w:name="_Toc147488956"/>
      <w:r w:rsidRPr="00837161">
        <w:rPr>
          <w:lang w:val="en-GB"/>
        </w:rPr>
        <w:t>Box 5.</w:t>
      </w:r>
      <w:r w:rsidRPr="00837161">
        <w:rPr>
          <w:lang w:val="en-GB"/>
        </w:rPr>
        <w:fldChar w:fldCharType="begin"/>
      </w:r>
      <w:r w:rsidRPr="00837161">
        <w:rPr>
          <w:lang w:val="en-GB"/>
        </w:rPr>
        <w:instrText xml:space="preserve"> SEQ Box_5. \* ARABIC </w:instrText>
      </w:r>
      <w:r w:rsidRPr="00837161">
        <w:rPr>
          <w:lang w:val="en-GB"/>
        </w:rPr>
        <w:fldChar w:fldCharType="separate"/>
      </w:r>
      <w:r w:rsidR="00DC77F8">
        <w:rPr>
          <w:noProof/>
          <w:lang w:val="en-GB"/>
        </w:rPr>
        <w:t>21</w:t>
      </w:r>
      <w:r w:rsidRPr="00837161">
        <w:rPr>
          <w:lang w:val="en-GB"/>
        </w:rPr>
        <w:fldChar w:fldCharType="end"/>
      </w:r>
      <w:r w:rsidR="00C11DFA" w:rsidRPr="00837161">
        <w:rPr>
          <w:lang w:val="en-GB"/>
        </w:rPr>
        <w:t>.</w:t>
      </w:r>
      <w:r w:rsidRPr="00837161">
        <w:rPr>
          <w:lang w:val="en-GB"/>
        </w:rPr>
        <w:t xml:space="preserve"> </w:t>
      </w:r>
      <w:r w:rsidR="33F6ABDA" w:rsidRPr="00837161">
        <w:rPr>
          <w:lang w:val="en-GB"/>
        </w:rPr>
        <w:t xml:space="preserve">Case study of biological control of </w:t>
      </w:r>
      <w:r w:rsidR="00FC692E" w:rsidRPr="00837161">
        <w:rPr>
          <w:i/>
          <w:iCs/>
          <w:lang w:val="en-GB"/>
        </w:rPr>
        <w:t xml:space="preserve">Mikania </w:t>
      </w:r>
      <w:r w:rsidR="00120791" w:rsidRPr="00837161">
        <w:rPr>
          <w:i/>
          <w:iCs/>
          <w:lang w:val="en-GB"/>
        </w:rPr>
        <w:t>micrantha</w:t>
      </w:r>
      <w:r w:rsidR="00FC692E" w:rsidRPr="00837161">
        <w:rPr>
          <w:lang w:val="en-GB"/>
        </w:rPr>
        <w:t xml:space="preserve"> </w:t>
      </w:r>
      <w:r w:rsidRPr="00837161">
        <w:rPr>
          <w:lang w:val="en-GB"/>
        </w:rPr>
        <w:t>(</w:t>
      </w:r>
      <w:r w:rsidR="002A33FC" w:rsidRPr="00837161">
        <w:rPr>
          <w:lang w:val="en-GB"/>
        </w:rPr>
        <w:t>bitter vine</w:t>
      </w:r>
      <w:r w:rsidRPr="00837161">
        <w:rPr>
          <w:lang w:val="en-GB"/>
        </w:rPr>
        <w:t xml:space="preserve">) </w:t>
      </w:r>
      <w:r w:rsidR="4050D244" w:rsidRPr="00837161">
        <w:rPr>
          <w:lang w:val="en-GB"/>
        </w:rPr>
        <w:t xml:space="preserve">in </w:t>
      </w:r>
      <w:r w:rsidRPr="00837161">
        <w:rPr>
          <w:lang w:val="en-GB"/>
        </w:rPr>
        <w:t>the Asia-Pacific region</w:t>
      </w:r>
      <w:bookmarkEnd w:id="575"/>
      <w:bookmarkEnd w:id="576"/>
    </w:p>
    <w:p w14:paraId="10DFD3AD" w14:textId="1C26526B" w:rsidR="00066A7E" w:rsidRPr="00837161" w:rsidRDefault="00215FD3" w:rsidP="00C11DFA">
      <w:pPr>
        <w:pBdr>
          <w:top w:val="single" w:sz="4" w:space="1" w:color="auto"/>
          <w:left w:val="single" w:sz="4" w:space="1" w:color="auto"/>
          <w:bottom w:val="single" w:sz="4" w:space="1" w:color="auto"/>
          <w:right w:val="single" w:sz="4" w:space="1" w:color="auto"/>
        </w:pBdr>
        <w:shd w:val="clear" w:color="auto" w:fill="E7E6E6" w:themeFill="background2"/>
        <w:spacing w:before="240" w:after="120" w:line="240" w:lineRule="auto"/>
      </w:pPr>
      <w:r w:rsidRPr="00837161">
        <w:rPr>
          <w:i/>
          <w:iCs/>
        </w:rPr>
        <w:t>Mikania micrantha</w:t>
      </w:r>
      <w:r w:rsidRPr="00837161">
        <w:t xml:space="preserve"> </w:t>
      </w:r>
      <w:r w:rsidR="00066A7E" w:rsidRPr="00837161">
        <w:t xml:space="preserve">is a </w:t>
      </w:r>
      <w:r w:rsidR="00B0050C" w:rsidRPr="00837161">
        <w:t>fast-growing</w:t>
      </w:r>
      <w:r w:rsidR="00066A7E" w:rsidRPr="00837161">
        <w:t xml:space="preserve"> invasive alien plant native to Central and South America. It invades plantations and </w:t>
      </w:r>
      <w:r w:rsidR="7817C367" w:rsidRPr="00837161">
        <w:t>agricultural</w:t>
      </w:r>
      <w:r w:rsidR="00066A7E" w:rsidRPr="00837161">
        <w:t xml:space="preserve"> systems, thereby reducing productivity threatening the livelihood of rural commun</w:t>
      </w:r>
      <w:r w:rsidR="3C9F0CDB" w:rsidRPr="00837161">
        <w:t>i</w:t>
      </w:r>
      <w:r w:rsidR="00066A7E" w:rsidRPr="00837161">
        <w:t>ties in the Asia-Pac</w:t>
      </w:r>
      <w:r w:rsidR="773A34F4" w:rsidRPr="00837161">
        <w:t>i</w:t>
      </w:r>
      <w:r w:rsidR="00066A7E" w:rsidRPr="00837161">
        <w:t xml:space="preserve">fic region </w:t>
      </w:r>
      <w:r w:rsidR="00066A7E" w:rsidRPr="00837161">
        <w:fldChar w:fldCharType="begin"/>
      </w:r>
      <w:r w:rsidR="00A4003D">
        <w:instrText xml:space="preserve"> ADDIN ZOTERO_ITEM CSL_CITATION {"citationID":"NuweZF1p","properties":{"formattedCitation":"(Anitha et al., 2017; Day et al., 2016; Ellison &amp; Sankaran, 2017)","plainCitation":"(Anitha et al., 2017; Day et al., 2016; Ellison &amp; Sankaran, 2017)","noteIndex":0},"citationItems":[{"id":31544,"uris":["http://zotero.org/groups/2352922/items/NP33TZF5"],"itemData":{"id":31544,"type":"chapter","container-title":"Invasive alien plants: impacts on development and options for management","ISBN":"978-1-78639-135-3","note":"DOI: 10.1079/9781780646275.0029\nISBN: 1780646275","page":"29-38","publisher":"CABI","title":"Social and economic implications of &lt;i&gt;Mikania micrantha&lt;/i&gt; in the Kerala Western Ghats.","URL":"https://www.cabidigitallibrary.org/doi/epdf/10.1079/9781780646275.0000","author":[{"family":"Anitha","given":"V."},{"family":"Santheep","given":"K. V."},{"literal":"Jyotsna Krishnakumar"}],"editor":[{"family":"Ellison","given":"Carol A."},{"family":"Sankaran","given":"K.V."},{"family":"Murphy","given":"Sean T."}],"issued":{"date-parts":[["2017"]]}},"label":"page"},{"id":23902,"uris":["http://zotero.org/groups/2352922/items/T9J8BG3P"],"itemData":{"id":23902,"type":"article-journal","abstract":"Mikania micrantha Kunth, commonly known as bitter vine, American rope, or mile-a-minute, is a rapidly growing vine, native to tropical America. Mikania micrantha is present in 20 Pacific island countries and territories, including Australia, the Cook Islands, Fiji, French Polynesia, Micronesia, Papua New Guinea, Samoa, Solomon Islands, and Vanuatu. A CLIMEX model based on native distribution of M. micrantha suggests that most of the islands in the P­ acific, southern Asia, and parts of southern and central Africa are climatically suitable for M. micrantha, leaving these areas vulnerable to new or further incursions. Its rapid spread is a threat to both natural and agricultural environments, where it kills or reduces growth of preferred species, severely impacting on biodiversity and production. Large numbers of wind-dispersed seeds and ability to propagate vegetatively from stem fragments facilitate rapid invasion. Management of M. micrantha is difficult. Several postemergence herbicides exhibit some efficacy, but manual control via hand pulling and slashing is more commonly practiced. However, slashing may result in increased growth from fragments, and plants may regenerate from roots after herbicide application. Cultural techniques such as fallowing or burning may also help limit spread. Competitors that produce ample vegetation such as sweet potato ( Ipomoea batatas [L.] Lam.) may be effective for suppression in some situations. Various studies have shown that Mikania micrantha exhibits some genetic diversity across biotypes encountered in southern Asia. Although little is currently known about its population genetics across the South Pacific, more information will undoubtedly facilitate potential for f­uture biological control. A rust pathogen, Puccinia spegazzinii, introduced from South America was established in Taiwan in 2008, in Papua New Guinea and Fiji in 2009, and in Vanuatu in 2012 for biological control. The dodder Cuscuta campestris Yuncker has also shown some efficacy against M. micrantha, but its status as a known pest limits its use as a biological control agent. Recent research into the mikania wilt virus as a biocontrol agent is in its infancy, and it is too early to recommend it to assist with the management of M. micrantha. Given the difficulty of controlling M. micrantha once established and the early stages of research into biological control, high priority must be given to preventing colonization of Pacific islands where M. micrantha is not yet present, through early detection and rapid response to new incursions.","container-title":"Pacific Science","DOI":"10.2984/70.3.1","ISSN":"0030-8870, 1534-6188","issue":"3","journalAbbreviation":"Pacific Science","language":"en","page":"257-285","source":"DOI.org (Crossref)","title":"Biology and Impacts of Pacific Islands Invasive Species. 13. &lt;i&gt;Mikania micrantha&lt;/i&gt; Kunth (Asteraceae)","URL":"http://www.bioone.org/doi/10.2984/70.3.1","volume":"70","author":[{"family":"Day","given":"Michael D."},{"family":"Clements","given":"David R."},{"family":"Gile","given":"Christine"},{"family":"Senaratne","given":"Wilmot K. A. D."},{"family":"Shen","given":"Shicai"},{"family":"Weston","given":"Leslie A."},{"family":"Zhang","given":"Fudou"}],"accessed":{"date-parts":[["2020",8,19]]},"issued":{"date-parts":[["2016",7]]}},"label":"page"},{"id":25122,"uris":["http://zotero.org/groups/2352922/items/AWTLCZ6K"],"itemData":{"id":25122,"type":"chapter","container-title":"Invasive alien plants: impacts on development and options for management.","event-place":"Wallingford, UK","ISBN":"978-1-78064-627-5","page":"18–28","publisher":"CABI","publisher-place":"Wallingford, UK","source":"Google Scholar","title":"Profile of an invasive plant: &lt;i&gt;Mikania micrantha&lt;/i&gt;","title-short":"Profile of an invasive plant","URL":"http://dx.doi.org/10.1079/9781780646275.0018","author":[{"family":"Ellison","given":"Carol A."},{"family":"Sankaran","given":"K. V."}],"editor":[{"family":"Ellison","given":"C. A."},{"family":"Sankaran","given":"K. V."},{"family":"Murphy","given":"S. T."}],"issued":{"date-parts":[["2017"]]}},"label":"page"}],"schema":"https://github.com/citation-style-language/schema/raw/master/csl-citation.json"} </w:instrText>
      </w:r>
      <w:r w:rsidR="00066A7E" w:rsidRPr="00837161">
        <w:fldChar w:fldCharType="separate"/>
      </w:r>
      <w:r w:rsidR="00A4003D" w:rsidRPr="00A4003D">
        <w:t>(Anitha et al., 2017; Day et al., 2016; Ellison &amp; Sankaran, 2017)</w:t>
      </w:r>
      <w:r w:rsidR="00066A7E" w:rsidRPr="00837161">
        <w:fldChar w:fldCharType="end"/>
      </w:r>
      <w:r w:rsidR="00F70AD0" w:rsidRPr="00837161">
        <w:t>.</w:t>
      </w:r>
      <w:r w:rsidR="00066A7E" w:rsidRPr="00837161">
        <w:t xml:space="preserve"> </w:t>
      </w:r>
      <w:r w:rsidR="005665CE" w:rsidRPr="00837161">
        <w:t>A</w:t>
      </w:r>
      <w:r w:rsidR="00066A7E" w:rsidRPr="00837161">
        <w:t xml:space="preserve"> microcyclic rust fungus (</w:t>
      </w:r>
      <w:r w:rsidR="00066A7E" w:rsidRPr="00837161">
        <w:rPr>
          <w:i/>
          <w:iCs/>
        </w:rPr>
        <w:t>Puccinia spegazzinii</w:t>
      </w:r>
      <w:r w:rsidR="00066A7E" w:rsidRPr="00837161">
        <w:t xml:space="preserve">), which causes necrosis of leaves and cankers on the stem and petioles in the native range of the species, was introduced into India in 2006 and then </w:t>
      </w:r>
      <w:r w:rsidR="00833FD5">
        <w:t>in</w:t>
      </w:r>
      <w:r w:rsidR="00066A7E" w:rsidRPr="00837161">
        <w:t xml:space="preserve"> China, Papua New Guinea, Fiji, Guam, Palau, Vanuatu and the Cook Islands (2006 – 2012) </w:t>
      </w:r>
      <w:r w:rsidR="00066A7E" w:rsidRPr="00837161">
        <w:fldChar w:fldCharType="begin"/>
      </w:r>
      <w:r w:rsidR="00A4003D">
        <w:instrText xml:space="preserve"> ADDIN ZOTERO_ITEM CSL_CITATION {"citationID":"UIZMrJVM","properties":{"formattedCitation":"(Day, Kawi, Fidelis, et al., 2011; Day et al., 2016; Orapa, 2017)","plainCitation":"(Day, Kawi, Fidelis, et al., 2011; Day et al., 2016; Orapa, 2017)","noteIndex":0},"citationItems":[{"id":23902,"uris":["http://zotero.org/groups/2352922/items/T9J8BG3P"],"itemData":{"id":23902,"type":"article-journal","abstract":"Mikania micrantha Kunth, commonly known as bitter vine, American rope, or mile-a-minute, is a rapidly growing vine, native to tropical America. Mikania micrantha is present in 20 Pacific island countries and territories, including Australia, the Cook Islands, Fiji, French Polynesia, Micronesia, Papua New Guinea, Samoa, Solomon Islands, and Vanuatu. A CLIMEX model based on native distribution of M. micrantha suggests that most of the islands in the P­ acific, southern Asia, and parts of southern and central Africa are climatically suitable for M. micrantha, leaving these areas vulnerable to new or further incursions. Its rapid spread is a threat to both natural and agricultural environments, where it kills or reduces growth of preferred species, severely impacting on biodiversity and production. Large numbers of wind-dispersed seeds and ability to propagate vegetatively from stem fragments facilitate rapid invasion. Management of M. micrantha is difficult. Several postemergence herbicides exhibit some efficacy, but manual control via hand pulling and slashing is more commonly practiced. However, slashing may result in increased growth from fragments, and plants may regenerate from roots after herbicide application. Cultural techniques such as fallowing or burning may also help limit spread. Competitors that produce ample vegetation such as sweet potato ( Ipomoea batatas [L.] Lam.) may be effective for suppression in some situations. Various studies have shown that Mikania micrantha exhibits some genetic diversity across biotypes encountered in southern Asia. Although little is currently known about its population genetics across the South Pacific, more information will undoubtedly facilitate potential for f­uture biological control. A rust pathogen, Puccinia spegazzinii, introduced from South America was established in Taiwan in 2008, in Papua New Guinea and Fiji in 2009, and in Vanuatu in 2012 for biological control. The dodder Cuscuta campestris Yuncker has also shown some efficacy against M. micrantha, but its status as a known pest limits its use as a biological control agent. Recent research into the mikania wilt virus as a biocontrol agent is in its infancy, and it is too early to recommend it to assist with the management of M. micrantha. Given the difficulty of controlling M. micrantha once established and the early stages of research into biological control, high priority must be given to preventing colonization of Pacific islands where M. micrantha is not yet present, through early detection and rapid response to new incursions.","container-title":"Pacific Science","DOI":"10.2984/70.3.1","ISSN":"0030-8870, 1534-6188","issue":"3","journalAbbreviation":"Pacific Science","language":"en","page":"257-285","source":"DOI.org (Crossref)","title":"Biology and Impacts of Pacific Islands Invasive Species. 13. &lt;i&gt;Mikania micrantha&lt;/i&gt; Kunth (Asteraceae)","URL":"http://www.bioone.org/doi/10.2984/70.3.1","volume":"70","author":[{"family":"Day","given":"Michael D."},{"family":"Clements","given":"David R."},{"family":"Gile","given":"Christine"},{"family":"Senaratne","given":"Wilmot K. A. D."},{"family":"Shen","given":"Shicai"},{"family":"Weston","given":"Leslie A."},{"family":"Zhang","given":"Fudou"}],"accessed":{"date-parts":[["2020",8,19]]},"issued":{"date-parts":[["2016",7]]}},"label":"page"},{"id":11327,"uris":["http://zotero.org/groups/2352922/items/CMYDEKKT"],"itemData":{"id":11327,"type":"paper-conference","abstract":"Mikania micrantha Kunth (Asteraceae), mikania or mile-a-minute, is a neotropical plant species now found in all lowland provinces of Papua New Guinea (PNG) and all major islands of Fiji. The weed invades plantations and cropping areas, thereby reducing productivity and threatening food security of rural communities. As part of an Australian Government-funded biological control program, the rust fungus Puccinia spegazzinii de Toni was imported into PNG and Fiji in 2008 and released. Life cycle studies were conducted in PNG and inoculation techniques were evaluated. Field releases were made in areas where M. micrantha was abundant and monthly sampling at three sites determined the impact of the rust on M. micrantha in the field. P. spegazzinii is a microcyclic, autoecious rust, with a life cycle of 15-21 days. The most efficient inoculation method was to place 3-4 week old plants under infected plants in a perspex inoculation chamber for 48 hours at 26±1°C and 98% relative humidity. The most efficient field release method was to transplant about five infected 3-4 week old plants in amongst M. micrantha growing densely under canopy or in gullies where there is adequate water and humidity. The rust fungus has now been released at nearly 560 sites in 15 provinces in PNG and over 80 sites on four islands in Fiji. In PNG, the rust has established at over 180 sites in 11 provinces, spreading up to 40 km from some sites; while in Fiji, it has established at 25 sites on two islands. Detailed field monitoring has shown that P. spegazzinii reduces mikania density and therefore has the potential to control this weed in many parts of both countries.","container-title":"Proceedings of the XIII International Symposium on Biological Control of Weeds","event-place":"Waikoloa, Hawaii, USA","event-title":"XIII International Symposium on Biological Control of Weeds","language":"en","page":"211-217","publisher":"U.S. Forest Service","publisher-place":"Waikoloa, Hawaii, USA","source":"Zotero","title":"Biology, Field Release and Monitoring of the Rust Fungus &lt;i&gt;Puccinia spegazzinii&lt;/i&gt; (Pucciniales: Pucciniaceae), a Biological Control Agent of &lt;i&gt;Mikania micrantha&lt;/i&gt; (Asteraceae) in Papua New Guinea and Fiji","URL":"http://bugwoodcloud.org/ibiocontrol/proceedings/pdf/Day.pdf","author":[{"family":"Day","given":"Michael D."},{"family":"Kawi","given":"A P"},{"family":"Fidelis","given":"J"},{"family":"Tunabuna","given":"A"},{"family":"Orapa","given":"W"},{"family":"Swamy","given":"B"},{"family":"Ratutini","given":"J"},{"family":"Saul-Maora","given":"J"},{"family":"Dewhurst","given":"C F"}],"issued":{"date-parts":[["2011"]]}},"label":"page"},{"id":10772,"uris":["http://zotero.org/groups/2352922/items/YR77ZLY8"],"itemData":{"id":10772,"type":"chapter","container-title":"Invasive alien plants: impacts on development and options for management","event-place":"Wallingford","ISBN":"978-1-78064-627-5","language":"en","note":"DOI: 10.1079/9781780646275.0073","page":"73-108","publisher":"CABI","publisher-place":"Wallingford","source":"DOI.org (Crossref)","title":"Impact and management of invasive alien plants in Pacific Island communities.","URL":"http://www.cabi.org/cabebooks/ebook/20173322107","editor":[{"family":"Ellison","given":"C. A."},{"family":"Sankaran","given":"K. V."},{"family":"Murphy","given":"S. T."}],"author":[{"family":"Orapa","given":"W."}],"accessed":{"date-parts":[["2021",6,11]]},"issued":{"date-parts":[["2017"]]}},"label":"page"}],"schema":"https://github.com/citation-style-language/schema/raw/master/csl-citation.json"} </w:instrText>
      </w:r>
      <w:r w:rsidR="00066A7E" w:rsidRPr="00837161">
        <w:fldChar w:fldCharType="separate"/>
      </w:r>
      <w:r w:rsidR="00A4003D" w:rsidRPr="00A4003D">
        <w:t>(Day, Kawi, Fidelis, et al., 2011; Day et al., 2016; Orapa, 2017)</w:t>
      </w:r>
      <w:r w:rsidR="00066A7E" w:rsidRPr="00837161">
        <w:fldChar w:fldCharType="end"/>
      </w:r>
      <w:r w:rsidR="00066A7E" w:rsidRPr="00837161">
        <w:t xml:space="preserve">. The rust established in five countries (Taiwan, </w:t>
      </w:r>
      <w:r w:rsidR="00066A7E" w:rsidRPr="00837161">
        <w:rPr>
          <w:rFonts w:eastAsia="Times New Roman"/>
          <w:color w:val="000000" w:themeColor="text1"/>
        </w:rPr>
        <w:t>Province of China</w:t>
      </w:r>
      <w:r w:rsidR="00066A7E" w:rsidRPr="00837161">
        <w:t xml:space="preserve">, Papua New Guinea, Fiji, Vanuatu and the Cook Islands) and has kept the spread of the bitter vine well under control, especially in Papua New Guinea and Vanuatu </w:t>
      </w:r>
      <w:r w:rsidR="00066A7E" w:rsidRPr="00837161">
        <w:fldChar w:fldCharType="begin"/>
      </w:r>
      <w:r w:rsidR="000F35EB">
        <w:instrText xml:space="preserve"> ADDIN ZOTERO_ITEM CSL_CITATION {"citationID":"EI7t82vQ","properties":{"formattedCitation":"(Ellison &amp; Cock, 2017)","plainCitation":"(Ellison &amp; Cock, 2017)","noteIndex":0},"citationItems":[{"id":25143,"uris":["http://zotero.org/groups/2352922/items/ZK7XSM3H"],"itemData":{"id":25143,"type":"chapter","container-title":"Invasive alien plants: impacts on development and options for management.","event-place":"Wallingford, UK","ISBN":"978-1-78064-627-5","language":"en","note":"10.1079/9781780646275.0162","page":"162-190","publisher":"CABI","publisher-place":"Wallingford, UK","source":"Zotero","title":"Classical Biological Control of &lt;i&gt;Mikania micrantha&lt;/i&gt;: the Sustainable Solution","URL":"https://www.cabi.org/VetMedResource/ebook/20173322111","author":[{"family":"Ellison","given":"Carol A."},{"family":"Cock","given":"Matthew J W"}],"editor":[{"family":"Ellison","given":"C. A."},{"family":"Sankaran","given":"K. V."},{"family":"Murphy","given":"S. T."}],"issued":{"date-parts":[["2017"]]}},"label":"page"}],"schema":"https://github.com/citation-style-language/schema/raw/master/csl-citation.json"} </w:instrText>
      </w:r>
      <w:r w:rsidR="00066A7E" w:rsidRPr="00837161">
        <w:fldChar w:fldCharType="separate"/>
      </w:r>
      <w:r w:rsidR="00271B78" w:rsidRPr="00271B78">
        <w:t>(Ellison &amp; Cock, 2017)</w:t>
      </w:r>
      <w:r w:rsidR="00066A7E" w:rsidRPr="00837161">
        <w:fldChar w:fldCharType="end"/>
      </w:r>
      <w:r w:rsidR="00066A7E" w:rsidRPr="00837161">
        <w:t xml:space="preserve">. However, in India, the rust fungus failed to survive in the field apparently due to a low inoculum load and inappropriate time of release </w:t>
      </w:r>
      <w:r w:rsidR="00066A7E" w:rsidRPr="00837161">
        <w:fldChar w:fldCharType="begin"/>
      </w:r>
      <w:r w:rsidR="00E25D54">
        <w:instrText xml:space="preserve"> ADDIN ZOTERO_ITEM CSL_CITATION {"citationID":"ktbtIBf6","properties":{"formattedCitation":"(Sankaran &amp; Suresh, 2013)","plainCitation":"(Sankaran &amp; Suresh, 2013)","noteIndex":0},"citationItems":[{"id":24695,"uris":["http://zotero.org/groups/2352922/items/K8WR4IIM"],"itemData":{"id":24695,"type":"report","genre":"Final report of research project no.416/2003","note":"No unique identifier","number":"KFRI Research report No.472/2013","publisher":"Kerala Forest Research Institute","title":"Evaluation of Classical Biological Control of &lt;i&gt;Mikania micrantha&lt;/i&gt; with &lt;i&gt;Puccinia spegazzinii&lt;/i&gt;","author":[{"family":"Sankaran","given":"K. V."},{"family":"Suresh","given":"T. A."}],"issued":{"date-parts":[["2013"]]}},"label":"page"}],"schema":"https://github.com/citation-style-language/schema/raw/master/csl-citation.json"} </w:instrText>
      </w:r>
      <w:r w:rsidR="00066A7E" w:rsidRPr="00837161">
        <w:fldChar w:fldCharType="separate"/>
      </w:r>
      <w:r w:rsidR="00271B78" w:rsidRPr="00271B78">
        <w:t>(Sankaran &amp; Suresh, 2013)</w:t>
      </w:r>
      <w:r w:rsidR="00066A7E" w:rsidRPr="00837161">
        <w:fldChar w:fldCharType="end"/>
      </w:r>
      <w:r w:rsidR="00066A7E" w:rsidRPr="00837161">
        <w:t xml:space="preserve">. </w:t>
      </w:r>
      <w:r w:rsidR="326A7995" w:rsidRPr="00837161">
        <w:t xml:space="preserve">Paucity of </w:t>
      </w:r>
      <w:r w:rsidR="0F4BF755" w:rsidRPr="00837161">
        <w:t xml:space="preserve">resources prevented further </w:t>
      </w:r>
      <w:r w:rsidR="7AAF4D7C" w:rsidRPr="00837161">
        <w:t>releases in India</w:t>
      </w:r>
      <w:r w:rsidR="7791D5AA" w:rsidRPr="00837161">
        <w:t>.</w:t>
      </w:r>
      <w:r w:rsidR="0F4BF755" w:rsidRPr="00837161">
        <w:t xml:space="preserve"> </w:t>
      </w:r>
    </w:p>
    <w:p w14:paraId="75C840A7" w14:textId="53ED422D" w:rsidR="00066A7E" w:rsidRPr="00837161" w:rsidRDefault="54772749" w:rsidP="00C11DFA">
      <w:pPr>
        <w:spacing w:before="240" w:after="120" w:line="240" w:lineRule="auto"/>
      </w:pPr>
      <w:r w:rsidRPr="00837161">
        <w:t>Approximately 50</w:t>
      </w:r>
      <w:r w:rsidR="006215F0" w:rsidRPr="00837161">
        <w:t xml:space="preserve"> per cent</w:t>
      </w:r>
      <w:r w:rsidRPr="00837161">
        <w:t xml:space="preserve"> of classical biological control program</w:t>
      </w:r>
      <w:r w:rsidR="3818A224" w:rsidRPr="00837161">
        <w:t>me</w:t>
      </w:r>
      <w:r w:rsidRPr="00837161">
        <w:t xml:space="preserve">s for invasive alien plant or invertebrate species do not deliver much effective return on investment </w:t>
      </w:r>
      <w:r w:rsidR="00066A7E" w:rsidRPr="00837161">
        <w:fldChar w:fldCharType="begin"/>
      </w:r>
      <w:r w:rsidR="000F35EB">
        <w:instrText xml:space="preserve"> ADDIN ZOTERO_ITEM CSL_CITATION {"citationID":"eRcrAAhp","properties":{"formattedCitation":"(Cooke et al., 2013; Julien et al., 2012; Waterhouse &amp; Sands, 2001)","plainCitation":"(Cooke et al., 2013; Julien et al., 2012; Waterhouse &amp; Sands, 2001)","noteIndex":0},"citationItems":[{"id":23955,"uris":["http://zotero.org/groups/2352922/items/I8HUQ5WC"],"itemData":{"id":23955,"type":"article-journal","abstract":"Wild European rabbits are serious agricultural and environmental pests in Australia; myxoma virus and rabbit haemorrhagic disease virus have been used as biocontrol agents to reduce impacts. We review the literature on changes in rabbit numbers together with associated reports on the economic benefits from controlling rabbits on agricultural production. By using loss–expenditure frontier models in with and without biocontrol scenarios, it is conservatively estimated that biological control of rabbits produced a benefit of A$70 billion (2011 A$ terms) for agricultural industries over the last 60 years. The consequences for ongoing rabbit control and research investment are discussed.","container-title":"Australian Economic History Review","DOI":"10.1111/aehr.12000","ISSN":"1467-8446","issue":"1","language":"en","license":"© 2013 The Authors. Australian Economic History Review © 2013 Wiley Publishing Asia Pty Ltd and the Economic History Society of Australia and New Zealand","page":"91-107","source":"Wiley Online Library","title":"The Economic Benefits of the Biological Control of Rabbits in Australia, 1950–2011","URL":"https://onlinelibrary.wiley.com/doi/abs/10.1111/aehr.12000","volume":"53","author":[{"family":"Cooke","given":"Brian Douglas"},{"family":"Chudleigh","given":"Peter"},{"family":"Simpson","given":"Sarah"},{"family":"Saunders","given":"Glen"}],"accessed":{"date-parts":[["2019",12,9]]},"issued":{"date-parts":[["2013"]]}},"label":"page"},{"id":26180,"uris":["http://zotero.org/groups/2352922/items/R675IJBG"],"itemData":{"id":26180,"type":"book","abstract":"Biological control of weeds has been practised for over 100 years and Australia has been a leader in this weed management technique. The classical example of control of prickly pears in Australia by the cactus moth Cactoblastis cactorum, which was imported from the Americas, helped to set the future for biocontrol of weeds in many countries. Since then there have been many projects using Classical Biological Control to manage numerous weed species, many of which have been successful. Importantly, there have been no serious negative non-target impacts - the technique, when practised as it is in Australia, is safe and environmentally friendly. Economic assessments have shown that biocontrol of weeds in Australia has provided exceedingly high benefit-to-cost ratios. This book reviews biological control of weeds in Australia to 2011, covering over 90 weed species and a multitude of biological control agents and potential agents. Each chapter has been written by practising biological control of weeds researchers and provides details of the weed, the history of its biological control, exploration for agents, potential agents studied and agents released and the outcomes of those releases. Many weeds were successfully controlled, some were not, many projects are still underway, some have just begun, however all are reported in detail in this book. Biological Control of Weeds in Australia will provide invaluable information for biological control researchers in Australia and elsewhere. Agents used in Australia could be of immense value to other countries that suffer from the same weeds as Australia. The studies reported here provide direction to future research and provide examples and knowledge for researchers and students.","event-place":"Collingwood, Vic.","ISBN":"978-0-643-10420-4","language":"English","note":"OCLC: 758465418","publisher":"CSIRO Publishing","publisher-place":"Collingwood, Vic.","source":"Open WorldCat","title":"Biological control of weeds in Australia","URL":"http://public.eblib.com/choice/publicfullrecord.aspx?p=871257","editor":[{"family":"Julien","given":"M. H."},{"family":"McFadyen","given":"R. E"},{"family":"Cullen","given":"J. M"}],"accessed":{"date-parts":[["2019",12,9]]},"issued":{"date-parts":[["2012"]]}},"label":"page"},{"id":30388,"uris":["http://zotero.org/groups/2352922/items/YBVWHESV"],"itemData":{"id":30388,"type":"report","event-place":"Canberra, Australia","publisher":"CSIRO Entomology, Australian Centre for International Agricultural Research","publisher-place":"Canberra, Australia","source":"Google Scholar","title":"Classical biological control of arthropods in Australia. ACIAR monograph No. 77","author":[{"family":"Waterhouse","given":"D. F."},{"family":"Sands","given":"D. P. A."}],"issued":{"date-parts":[["2001"]]}},"label":"page"}],"schema":"https://github.com/citation-style-language/schema/raw/master/csl-citation.json"} </w:instrText>
      </w:r>
      <w:r w:rsidR="00066A7E" w:rsidRPr="00837161">
        <w:fldChar w:fldCharType="separate"/>
      </w:r>
      <w:r w:rsidR="00271B78" w:rsidRPr="00271B78">
        <w:t>(Cooke et al., 2013; Julien et al., 2012; Waterhouse &amp; Sands, 2001)</w:t>
      </w:r>
      <w:r w:rsidR="00066A7E" w:rsidRPr="00837161">
        <w:fldChar w:fldCharType="end"/>
      </w:r>
      <w:r w:rsidRPr="00837161">
        <w:t>. The benefits of successful program</w:t>
      </w:r>
      <w:r w:rsidR="3818A224" w:rsidRPr="00837161">
        <w:t>me</w:t>
      </w:r>
      <w:r w:rsidRPr="00837161">
        <w:t>s, however, can more than pay for projects that were not successful. In Australia, where a total benefit</w:t>
      </w:r>
      <w:r w:rsidR="472D7155" w:rsidRPr="00837161">
        <w:t>-</w:t>
      </w:r>
      <w:r w:rsidRPr="00837161">
        <w:t>cost assessment has been undertaken for classical biological control against invasive plants in agricultural systems, the national effort over 100 years gave a return on investment of 23:1 including the costs of both successful and unsuccessful program</w:t>
      </w:r>
      <w:r w:rsidR="3818A224" w:rsidRPr="00837161">
        <w:t>me</w:t>
      </w:r>
      <w:r w:rsidRPr="00837161">
        <w:t xml:space="preserve">s. This was an annual benefit of </w:t>
      </w:r>
      <w:r w:rsidR="00D0443E" w:rsidRPr="00837161">
        <w:t xml:space="preserve">95.3 million </w:t>
      </w:r>
      <w:r w:rsidRPr="00837161">
        <w:t xml:space="preserve">Australian </w:t>
      </w:r>
      <w:r w:rsidR="00B36F04" w:rsidRPr="00837161">
        <w:t>d</w:t>
      </w:r>
      <w:r w:rsidRPr="00837161">
        <w:t>ollar (AU</w:t>
      </w:r>
      <w:r w:rsidR="008E75A9" w:rsidRPr="00837161">
        <w:t>$</w:t>
      </w:r>
      <w:r w:rsidRPr="00837161">
        <w:t xml:space="preserve">) a year in 2006 </w:t>
      </w:r>
      <w:r w:rsidR="00066A7E" w:rsidRPr="00837161">
        <w:fldChar w:fldCharType="begin"/>
      </w:r>
      <w:r w:rsidR="00115E42">
        <w:instrText xml:space="preserve"> ADDIN ZOTERO_ITEM CSL_CITATION {"citationID":"Vq6emaOB","properties":{"formattedCitation":"(Page &amp; Lacey, 2006)","plainCitation":"(Page &amp; Lacey, 2006)","noteIndex":0},"citationItems":[{"id":24003,"uris":["http://zotero.org/groups/2352922/items/2RNPV8KR"],"itemData":{"id":24003,"type":"book","abstract":"The report examines the return on investment of the Australian weed biological control (biocontrol) effort. The study has been funded by the Cooperative Research Centre for Australian Weed Management (Weeds CRC). The findings of this study are reported in two sections: Section I - Overview of methodology and findings; and Section II - Detailed cost benefit analysis (CBA) of biocontrol projects.","ISBN":"978-1-920932-55-8","language":"en","note":"Google-Books-ID: LrHkAAAACAAJ","number-of-pages":"151","publisher":"CRC for Australian Weed Management","source":"Google Books","title":"Economic Impact Assessment of Australian Weed Biological Control: Report to the CRC for Australian Weed Management","title-short":"Economic Impact Assessment of Australian Weed Biological Control","URL":"https://books.google.com.au/books?id=LrHkAAAACAAJ","author":[{"family":"Page","given":"A. R."},{"family":"Lacey","given":"K. L."}],"issued":{"date-parts":[["2006"]]}},"label":"page"}],"schema":"https://github.com/citation-style-language/schema/raw/master/csl-citation.json"} </w:instrText>
      </w:r>
      <w:r w:rsidR="00066A7E" w:rsidRPr="00837161">
        <w:fldChar w:fldCharType="separate"/>
      </w:r>
      <w:r w:rsidR="00115E42" w:rsidRPr="00115E42">
        <w:t>(Page &amp; Lacey, 2006)</w:t>
      </w:r>
      <w:r w:rsidR="00066A7E" w:rsidRPr="00837161">
        <w:fldChar w:fldCharType="end"/>
      </w:r>
      <w:r w:rsidRPr="00837161">
        <w:t>. As the monetary benefits cannot easily be measured for the impacts of invasive alien plant targets in natural ecosystems, based on the number and benefit magnitudes of successful program</w:t>
      </w:r>
      <w:r w:rsidR="3818A224" w:rsidRPr="00837161">
        <w:t>me</w:t>
      </w:r>
      <w:r w:rsidRPr="00837161">
        <w:t xml:space="preserve">s, the returns on investment were considered at least equivalent against invasive plants. Benefit-cost ratios of six programmes in South Africa ranged from 34:1 to 4333:1 </w:t>
      </w:r>
      <w:r w:rsidR="00066A7E" w:rsidRPr="00837161">
        <w:fldChar w:fldCharType="begin"/>
      </w:r>
      <w:r w:rsidR="007746C5">
        <w:instrText xml:space="preserve"> ADDIN ZOTERO_ITEM CSL_CITATION {"citationID":"zJOXPP2v","properties":{"formattedCitation":"(van Wilgen et al., 2004)","plainCitation":"(van Wilgen et al., 2004)","noteIndex":0},"citationItems":[{"id":24015,"uris":["http://zotero.org/groups/2352922/items/HQ4I23GB"],"itemData":{"id":24015,"type":"article-journal","abstract":"Invasive alien species can have significant negative environmental and economic impacts. Such species are often controlled biologically by means of introducing host-specific insects or pathogens that can reduce the species&amp;apos; invasive potential. In many cases, plants are brought under complete control. In this paper, we describe an attempt to estimate the costs and benefits of the biocontrol of six weed species in South Africa. We estimated the costs of biological control research that was conducted on the plants, the rate at which each of these species spreads in the absence of biological control, and the degree to which spread has been arrested or reversed by biological control. This, in turn, was used to estimate the extent to which the species would have spread had biological control not been introduced. We then estimated the most likely levels of consequences associated with uncontrolled spread. The effects were expressed in the form of three categories of benefits associated with the prevention of invasion: the loss of water due to excessive transpiration by invasive plants; reductions in the values of land that became invaded; and reductions in value added by biodiversity to ecosystem services. We compared these benefits with the costs of biological control research in order to derive cost:benefit ratios. The economic benefits of preventing invasion ranged from R300 ha&amp;amp;lt;sup&amp;amp;gt;-1&amp;amp;lt;/sup&amp;amp;gt; yr&amp;amp;lt;sup&amp;amp;gt;-1&amp;amp;lt;/sup&amp;amp;gt; for jointed cactus (&amp;lt;I&amp;gt;Opuntia aurantiaca&amp;lt;/I&amp;gt;) to R3600 ha&amp;amp;lt;sup&amp;amp;gt;-1&amp;amp;lt;/sup&amp;amp;gt; yr&amp;amp;lt;sup&amp;amp;gt;-1&amp;amp;lt;/sup&amp;amp;gt; for golden wattle (&amp;lt;I&amp;gt;Acacia longifolia&amp;lt;/I&amp;gt;) (values are discounted to the year 2000). The economic value of water accounted for 70% of the combined benefits. Benefit:cost ratios for the historical analysis (from the release of the biocontrol agent to the year 2000) ranged from 8:1 for lantana (&amp;lt;I&amp;gt;Lantana camara&amp;lt;/I&amp;gt;) to 709:1 for jointed cactus. When future estimates of benefits were considered, benefit:cost ratios were greater, and ranged from 34:1 for lantana to 4333:1 for golden wattle. These large differences can be attributed to the length of time that the biocontrol agents have been released (this ranged from 13 to 65 years for different weed species) as well as to the 30-fold differences in the potential area that different weed species would eventually invade. A sensitivity analysis revealed that the model was sensitive to changes in the estimated rate of spread. The sensitivity analysis also showed that the returns on investment in biological control research generally remain positive with some variations between species.","container-title":"South African Journal of Science","ISSN":"0038-2353, 1996-7489","issue":"1-2","language":"en","note":"publisher: Academy of Science for South Africa (ASSAf)","page":"113-122","source":"journals.co.za","title":"Costs and benefits of biological control of invasive alien plants : case studies from South Africa","title-short":"Costs and benefits of biological control of invasive alien plants","URL":"https://www.dws.gov.za/wfw/docs/VanWilgenetal.,2004.pdf","volume":"100","author":[{"family":"Wilgen","given":"B. W.","non-dropping-particle":"van"},{"family":"De Wit","given":"M. P."},{"family":"Anderson","given":"H. J."},{"family":"Le Maitre","given":"D. C."},{"family":"Kotze","given":"I. M."},{"family":"Ndala","given":"S."},{"family":"Brown","given":"B."},{"family":"Rapholo","given":"M. B."}],"accessed":{"date-parts":[["2020",8,21]]},"issued":{"date-parts":[["2004",1,1]]}},"label":"page"}],"schema":"https://github.com/citation-style-language/schema/raw/master/csl-citation.json"} </w:instrText>
      </w:r>
      <w:r w:rsidR="00066A7E" w:rsidRPr="00837161">
        <w:fldChar w:fldCharType="separate"/>
      </w:r>
      <w:r w:rsidR="00271B78" w:rsidRPr="00271B78">
        <w:t>(van Wilgen et al., 2004)</w:t>
      </w:r>
      <w:r w:rsidR="00066A7E" w:rsidRPr="00837161">
        <w:fldChar w:fldCharType="end"/>
      </w:r>
      <w:r w:rsidRPr="00837161">
        <w:t xml:space="preserve">. Some invasive alien plant species are best managed by integrating biological control with other management practices </w:t>
      </w:r>
      <w:r w:rsidR="00066A7E" w:rsidRPr="00837161">
        <w:rPr>
          <w:u w:val="dash"/>
        </w:rPr>
        <w:fldChar w:fldCharType="begin"/>
      </w:r>
      <w:r w:rsidR="000F35EB">
        <w:rPr>
          <w:u w:val="dash"/>
        </w:rPr>
        <w:instrText xml:space="preserve"> ADDIN ZOTERO_ITEM CSL_CITATION {"citationID":"EWX46VO1","properties":{"formattedCitation":"(Moran et al., 2005)","plainCitation":"(Moran et al., 2005)","noteIndex":0},"citationItems":[{"id":11239,"uris":["http://zotero.org/groups/2352922/items/X4PQSSSS"],"itemData":{"id":11239,"type":"article-journal","abstract":"The negative impacts of invasive alien plants on the biodiversity, water supplies, and economy of South Africa are severe. Thousands of people are employed to clear the landscape of these invasive alien species, particularly trees, from conservation and riparian areas. The long-term suppression of the most virulent invasive plants in South Africa will never be possible without the intervention of biological control. Furthermore, the use of specially selected and carefully tested plant-feeding insects, mites, and pathogens as biological control agents is very safe, albeit never completely risk free. We present examples and data from South Africa to support these assertions and to show that biological control is often extremely successful and highly cost effective.","container-title":"Frontiers in Ecology and the Environment","DOI":"10.1890/1540-9295(2005)003[0071:BCOIAP]2.0.CO;2","ISSN":"1540-9309","issue":"2","language":"en","page":"71-77","source":"Wiley Online Library","title":"Biological control of invasive alien plants in South Africa: necessity, circumspection, and success","title-short":"Biological control of invasive alien plants in South Africa","URL":"https://esajournals.onlinelibrary.wiley.com/doi/abs/10.1890/1540-9295%282005%29003%5B0071%3ABCOIAP%5D2.0.CO%3B2","volume":"3","author":[{"family":"Moran","given":"V. Cliff"},{"family":"Hoffmann","given":"John H."},{"family":"Zimmermann","given":"Helmuth G."}],"accessed":{"date-parts":[["2019",10,2]]},"issued":{"date-parts":[["2005"]]}},"label":"page"}],"schema":"https://github.com/citation-style-language/schema/raw/master/csl-citation.json"} </w:instrText>
      </w:r>
      <w:r w:rsidR="00066A7E" w:rsidRPr="00837161">
        <w:rPr>
          <w:u w:val="dash"/>
        </w:rPr>
        <w:fldChar w:fldCharType="separate"/>
      </w:r>
      <w:r w:rsidR="00271B78" w:rsidRPr="00271B78">
        <w:t>(Moran et al., 2005)</w:t>
      </w:r>
      <w:r w:rsidR="00066A7E" w:rsidRPr="00837161">
        <w:rPr>
          <w:u w:val="dash"/>
        </w:rPr>
        <w:fldChar w:fldCharType="end"/>
      </w:r>
      <w:r w:rsidRPr="00837161">
        <w:t>. Evidence indicate</w:t>
      </w:r>
      <w:r w:rsidR="009E10EF">
        <w:t>s</w:t>
      </w:r>
      <w:r w:rsidRPr="00837161">
        <w:t xml:space="preserve"> that bi</w:t>
      </w:r>
      <w:r w:rsidR="595532B1" w:rsidRPr="00837161">
        <w:t xml:space="preserve">ological </w:t>
      </w:r>
      <w:r w:rsidRPr="00837161">
        <w:t xml:space="preserve">control alone may not be efficient to manage some of the invasive alien plants where integrated management is the most viable option. </w:t>
      </w:r>
    </w:p>
    <w:p w14:paraId="1E653856" w14:textId="4B0AED25" w:rsidR="00066A7E" w:rsidRPr="00837161" w:rsidRDefault="1D32FFDC" w:rsidP="00C11DFA">
      <w:pPr>
        <w:spacing w:before="240" w:after="120" w:line="240" w:lineRule="auto"/>
      </w:pPr>
      <w:r w:rsidRPr="00837161">
        <w:t>A viral-based classical biological control program</w:t>
      </w:r>
      <w:r w:rsidR="10E1B481" w:rsidRPr="00837161">
        <w:t>me</w:t>
      </w:r>
      <w:r w:rsidRPr="00837161">
        <w:t xml:space="preserve"> against </w:t>
      </w:r>
      <w:r w:rsidR="0008773B" w:rsidRPr="00837161">
        <w:rPr>
          <w:i/>
        </w:rPr>
        <w:t>Oryctolagus cuniculus</w:t>
      </w:r>
      <w:r w:rsidR="0008773B" w:rsidRPr="00837161">
        <w:t xml:space="preserve"> </w:t>
      </w:r>
      <w:r w:rsidR="0008773B">
        <w:t>(r</w:t>
      </w:r>
      <w:r w:rsidRPr="00837161">
        <w:t>abbits</w:t>
      </w:r>
      <w:r w:rsidR="0008773B">
        <w:t>)</w:t>
      </w:r>
      <w:r w:rsidRPr="00837161">
        <w:t xml:space="preserve"> in Australia has also been highly successful and also had the support of the local peak body on the prevention of cruelty to animals (RSPCA</w:t>
      </w:r>
      <w:r w:rsidR="70B15C6B" w:rsidRPr="00837161">
        <w:t xml:space="preserve"> Australia</w:t>
      </w:r>
      <w:r w:rsidR="00197924" w:rsidRPr="00837161">
        <w:t>;</w:t>
      </w:r>
      <w:r w:rsidR="00197924" w:rsidRPr="00BC303B">
        <w:rPr>
          <w:b/>
        </w:rPr>
        <w:t xml:space="preserve"> </w:t>
      </w:r>
      <w:r w:rsidR="336CE50C" w:rsidRPr="00BC303B">
        <w:rPr>
          <w:b/>
          <w:iCs/>
        </w:rPr>
        <w:t>section</w:t>
      </w:r>
      <w:r w:rsidRPr="00BC303B">
        <w:rPr>
          <w:b/>
          <w:iCs/>
        </w:rPr>
        <w:t xml:space="preserve"> 5.4.</w:t>
      </w:r>
      <w:r w:rsidR="00067F02" w:rsidRPr="00BC303B">
        <w:rPr>
          <w:b/>
          <w:iCs/>
        </w:rPr>
        <w:t>3.2f</w:t>
      </w:r>
      <w:r w:rsidRPr="00837161">
        <w:t xml:space="preserve">). Since the release of the first </w:t>
      </w:r>
      <w:r w:rsidRPr="00837161">
        <w:lastRenderedPageBreak/>
        <w:t>biological control agent in the late 1940s the program</w:t>
      </w:r>
      <w:r w:rsidR="10E1B481" w:rsidRPr="00837161">
        <w:t>me</w:t>
      </w:r>
      <w:r w:rsidRPr="00837161">
        <w:t xml:space="preserve"> ha</w:t>
      </w:r>
      <w:r w:rsidR="0048612A">
        <w:t>d</w:t>
      </w:r>
      <w:r w:rsidRPr="00837161">
        <w:t xml:space="preserve"> delivered AU</w:t>
      </w:r>
      <w:r w:rsidR="008E75A9" w:rsidRPr="00837161">
        <w:t>$</w:t>
      </w:r>
      <w:r w:rsidRPr="00837161">
        <w:t xml:space="preserve"> 70 </w:t>
      </w:r>
      <w:r w:rsidR="3C843E69" w:rsidRPr="00837161">
        <w:t>billion</w:t>
      </w:r>
      <w:r w:rsidR="28A02828" w:rsidRPr="00837161">
        <w:t>s</w:t>
      </w:r>
      <w:r w:rsidRPr="00837161">
        <w:t xml:space="preserve"> of benefit by 2011 </w:t>
      </w:r>
      <w:r w:rsidR="0F5BFF17" w:rsidRPr="00837161">
        <w:fldChar w:fldCharType="begin"/>
      </w:r>
      <w:r w:rsidR="00E25D54">
        <w:instrText xml:space="preserve"> ADDIN ZOTERO_ITEM CSL_CITATION {"citationID":"iT1GIVsU","properties":{"formattedCitation":"(Cooke et al., 2013)","plainCitation":"(Cooke et al., 2013)","dontUpdate":true,"noteIndex":0},"citationItems":[{"id":23955,"uris":["http://zotero.org/groups/2352922/items/I8HUQ5WC"],"itemData":{"id":23955,"type":"article-journal","abstract":"Wild European rabbits are serious agricultural and environmental pests in Australia; myxoma virus and rabbit haemorrhagic disease virus have been used as biocontrol agents to reduce impacts. We review the literature on changes in rabbit numbers together with associated reports on the economic benefits from controlling rabbits on agricultural production. By using loss–expenditure frontier models in with and without biocontrol scenarios, it is conservatively estimated that biological control of rabbits produced a benefit of A$70 billion (2011 A$ terms) for agricultural industries over the last 60 years. The consequences for ongoing rabbit control and research investment are discussed.","container-title":"Australian Economic History Review","DOI":"10.1111/aehr.12000","ISSN":"1467-8446","issue":"1","language":"en","license":"© 2013 The Authors. Australian Economic History Review © 2013 Wiley Publishing Asia Pty Ltd and the Economic History Society of Australia and New Zealand","page":"91-107","source":"Wiley Online Library","title":"The Economic Benefits of the Biological Control of Rabbits in Australia, 1950–2011","URL":"https://onlinelibrary.wiley.com/doi/abs/10.1111/aehr.12000","volume":"53","author":[{"family":"Cooke","given":"Brian Douglas"},{"family":"Chudleigh","given":"Peter"},{"family":"Simpson","given":"Sarah"},{"family":"Saunders","given":"Glen"}],"accessed":{"date-parts":[["2019",12,9]]},"issued":{"date-parts":[["2013"]]}},"label":"page"}],"schema":"https://github.com/citation-style-language/schema/raw/master/csl-citation.json"} </w:instrText>
      </w:r>
      <w:r w:rsidR="0F5BFF17" w:rsidRPr="00837161">
        <w:fldChar w:fldCharType="separate"/>
      </w:r>
      <w:r w:rsidR="00E25D54" w:rsidRPr="00E25D54">
        <w:t>(Cooke et al., 2013</w:t>
      </w:r>
      <w:r w:rsidR="0F5BFF17" w:rsidRPr="00837161">
        <w:fldChar w:fldCharType="end"/>
      </w:r>
      <w:r w:rsidR="00D9145D" w:rsidRPr="00837161">
        <w:t>;</w:t>
      </w:r>
      <w:r w:rsidRPr="00837161">
        <w:t xml:space="preserve"> </w:t>
      </w:r>
      <w:r w:rsidR="002F2F42">
        <w:rPr>
          <w:b/>
          <w:iCs/>
        </w:rPr>
        <w:t>S</w:t>
      </w:r>
      <w:r w:rsidRPr="00F16770">
        <w:rPr>
          <w:b/>
          <w:iCs/>
        </w:rPr>
        <w:t>upplementary material 5.1</w:t>
      </w:r>
      <w:r w:rsidR="00133719" w:rsidRPr="00F16770">
        <w:rPr>
          <w:b/>
          <w:iCs/>
        </w:rPr>
        <w:t>2</w:t>
      </w:r>
      <w:r w:rsidRPr="00837161">
        <w:t xml:space="preserve">). Classical biological control has been considered but not adopted against other invasive mammals, invasive alien fish, amphibians, reptiles and birds </w:t>
      </w:r>
      <w:r w:rsidR="00372A34" w:rsidRPr="00837161">
        <w:fldChar w:fldCharType="begin"/>
      </w:r>
      <w:r w:rsidR="007746C5">
        <w:instrText xml:space="preserve"> ADDIN ZOTERO_ITEM CSL_CITATION {"citationID":"cpuQrTFI","properties":{"formattedCitation":"(CBD, 2019; Sheppard et al., 2019)","plainCitation":"(CBD, 2019; Sheppard et al., 2019)","noteIndex":0},"citationItems":[{"id":31369,"uris":["http://zotero.org/groups/2352922/items/NNJIACHI"],"itemData":{"id":31369,"type":"paper-conference","collection-title":"CBD/IAS/AHTEG/2019/1/INF/1","event-place":"Montreal, Canada","event-title":"Ad hoc technical expert group on invasive alien species","publisher-place":"Montreal, Canada","title":"Synthesis report of the online forum on invasive alien species","URL":"https://www.cbd.int/doc/c/d56b/254f/f263e27be6e1bb97f564e21d/ias-ahteg-2019-01-inf-01-en.pdf","author":[{"literal":"CBD"}],"accessed":{"date-parts":[["2021",11,18]]},"issued":{"date-parts":[["2019"]]}}},{"id":54179,"uris":["http://zotero.org/groups/2352922/items/R7434DS6"],"itemData":{"id":54179,"type":"paper-conference","container-title":"The Application of Biological Control for the Management of Established Invasive Alien Species Causing Environmental Impacts. The Secretariat of the Convention on Biological Diversity Technical Series","note":"issue: 91","publisher":"The Secretariat of the Convention on Biological Diversity","title":"IUCN SSC Invasive Species Specialist Group. The Application of Biological Control for the Management of Established Invasive Alien Species Causing Environmental Impacts.","URL":"https://www.cbd.int/doc/publications/cbd-ts-91-en.pdf","volume":"Technical Series No. 91. Montreal, Canada 88 pages.","author":[{"family":"Sheppard","given":"A. W."},{"family":"Paynter","given":"Q."},{"family":"Mason","given":"P."},{"family":"Murphy","given":"S."},{"family":"Stoett","given":"P."},{"family":"Cowan","given":"P."},{"family":"Brodeur","given":"J."},{"family":"Warner","given":"K."},{"family":"Villegas","given":"C."},{"family":"Shaw","given":"R."},{"family":"Hinz","given":"H."},{"family":"Hill","given":"M."},{"family":"Genovesi","given":"P."}],"issued":{"date-parts":[["2019"]]}},"label":"page"}],"schema":"https://github.com/citation-style-language/schema/raw/master/csl-citation.json"} </w:instrText>
      </w:r>
      <w:r w:rsidR="00372A34" w:rsidRPr="00837161">
        <w:fldChar w:fldCharType="separate"/>
      </w:r>
      <w:r w:rsidR="007746C5" w:rsidRPr="007746C5">
        <w:t>(CBD, 2019; Sheppard et al., 2019)</w:t>
      </w:r>
      <w:r w:rsidR="00372A34" w:rsidRPr="00837161">
        <w:fldChar w:fldCharType="end"/>
      </w:r>
      <w:r w:rsidR="00372A34" w:rsidRPr="00837161">
        <w:t>.</w:t>
      </w:r>
      <w:r w:rsidRPr="00837161">
        <w:t xml:space="preserve"> Marine invasive alien species have not been targeted for biological control although the approach has been considered </w:t>
      </w:r>
      <w:r w:rsidR="0F5BFF17" w:rsidRPr="00837161">
        <w:fldChar w:fldCharType="begin"/>
      </w:r>
      <w:r w:rsidR="000F35EB">
        <w:instrText xml:space="preserve"> ADDIN ZOTERO_ITEM CSL_CITATION {"citationID":"6criVIHY","properties":{"formattedCitation":"(Simberloff, 2021)","plainCitation":"(Simberloff, 2021)","noteIndex":0},"citationItems":[{"id":31697,"uris":["http://zotero.org/groups/2352922/items/CP5WZMAV"],"itemData":{"id":31697,"type":"article-journal","container-title":"Hydrobiologia","DOI":"10.1007/s10750-020-04352-5","ISSN":"0018-8158,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label":"page"}],"schema":"https://github.com/citation-style-language/schema/raw/master/csl-citation.json"} </w:instrText>
      </w:r>
      <w:r w:rsidR="0F5BFF17" w:rsidRPr="00837161">
        <w:fldChar w:fldCharType="separate"/>
      </w:r>
      <w:r w:rsidR="00271B78" w:rsidRPr="00271B78">
        <w:t>(Simberloff, 2021)</w:t>
      </w:r>
      <w:r w:rsidR="0F5BFF17" w:rsidRPr="00837161">
        <w:fldChar w:fldCharType="end"/>
      </w:r>
      <w:r w:rsidRPr="00837161">
        <w:t xml:space="preserve">. </w:t>
      </w:r>
      <w:r w:rsidR="00372A34" w:rsidRPr="00837161">
        <w:t xml:space="preserve">Secord </w:t>
      </w:r>
      <w:r w:rsidR="0F5BFF17" w:rsidRPr="00837161">
        <w:fldChar w:fldCharType="begin"/>
      </w:r>
      <w:r w:rsidR="000F35EB">
        <w:instrText xml:space="preserve"> ADDIN ZOTERO_ITEM CSL_CITATION {"citationID":"TJojiOL1","properties":{"formattedCitation":"(2003)","plainCitation":"(2003)","noteIndex":0},"citationItems":[{"id":30118,"uris":["http://zotero.org/groups/2352922/items/DNGLYD6N"],"itemData":{"id":30118,"type":"article-journal","container-title":"Biological Invasions","DOI":"10.1023/A:1024054909052","ISSN":"13873547","issue":"1/2","page":"117-131","source":"DOI.org (Crossref)","title":"Biological control of marine invasive species: cautionary tales and land-based lessons","URL":"http://link.springer.com/10.1023/A:1024054909052","volume":"5","author":[{"family":"Secord","given":"David"}],"accessed":{"date-parts":[["2021",7,21]]},"issued":{"date-parts":[["2003"]]}},"label":"page","suppress-author":true}],"schema":"https://github.com/citation-style-language/schema/raw/master/csl-citation.json"} </w:instrText>
      </w:r>
      <w:r w:rsidR="0F5BFF17" w:rsidRPr="00837161">
        <w:fldChar w:fldCharType="separate"/>
      </w:r>
      <w:r w:rsidR="00271B78" w:rsidRPr="00271B78">
        <w:t>(2003)</w:t>
      </w:r>
      <w:r w:rsidR="0F5BFF17" w:rsidRPr="00837161">
        <w:fldChar w:fldCharType="end"/>
      </w:r>
      <w:r w:rsidRPr="00837161">
        <w:t xml:space="preserve"> and </w:t>
      </w:r>
      <w:r w:rsidR="00372A34" w:rsidRPr="00837161">
        <w:t xml:space="preserve">Lafferty and Kuris </w:t>
      </w:r>
      <w:r w:rsidR="0F5BFF17" w:rsidRPr="00837161">
        <w:fldChar w:fldCharType="begin"/>
      </w:r>
      <w:r w:rsidR="000F35EB">
        <w:instrText xml:space="preserve"> ADDIN ZOTERO_ITEM CSL_CITATION {"citationID":"Aews7hmP","properties":{"formattedCitation":"(1996)","plainCitation":"(1996)","noteIndex":0},"citationItems":[{"id":31153,"uris":["http://zotero.org/groups/2352922/items/QCQPFXJT"],"itemData":{"id":31153,"type":"article-journal","abstract":"Biological control, as used in terrestrial systems, may hold promise for use against exotic marine species. We first review some marine pests, displaying their diversity, the damage they cause, and possible controls. We then contrast approaches for marine and terrestrial pest control, providing guidelines for adapting terrestrial controls to the marine environment. Although several of the same principles apply in terrestrial and marine environments, marine systems differ with respect to the types of control agents available, the degree of pest-population reduction needed for effective control, the spatial scale over which biological control must operate effectively, the practicality of implementation, and the nature and degree of concern over safety. As an example, we propose a strategy for developing a biological control program against the European green crab, Carcinus maenas, which has had substantial negative impacts where previously introduced (New England, Atlantic Canada, South Africa, south Australia) and which has recently been introduced to central California, and to Tasmania. We conclude that biological control may be possible for some marine pests, but that existing strategies and expectations will require modification. Key words: biological control; biocontrol agents, safety testing of; Carcinus maenas; green crab; host specificity; introduced species; marine pests, biological control of; natural enemies; parasitic castrator; recruitment, importance of; Rhizocephala.","container-title":"Ecology","DOI":"10.2307/2265695","ISSN":"00129658","issue":"7","language":"en","page":"1989-2000","source":"DOI.org (Crossref)","title":"Biological Control of Marine Pests","URL":"http://doi.wiley.com/10.2307/2265695","volume":"77","author":[{"family":"Lafferty","given":"Kevin D."},{"family":"Kuris","given":"Armand M."}],"accessed":{"date-parts":[["2021",10,31]]},"issued":{"date-parts":[["1996",10]]}},"label":"page","suppress-author":true}],"schema":"https://github.com/citation-style-language/schema/raw/master/csl-citation.json"} </w:instrText>
      </w:r>
      <w:r w:rsidR="0F5BFF17" w:rsidRPr="00837161">
        <w:fldChar w:fldCharType="separate"/>
      </w:r>
      <w:r w:rsidR="00271B78" w:rsidRPr="00271B78">
        <w:t>(1996)</w:t>
      </w:r>
      <w:r w:rsidR="0F5BFF17" w:rsidRPr="00837161">
        <w:fldChar w:fldCharType="end"/>
      </w:r>
      <w:r w:rsidRPr="00837161">
        <w:t xml:space="preserve"> have undertaken reviews of the opportunities and the risks and doubt its relevance.</w:t>
      </w:r>
    </w:p>
    <w:p w14:paraId="000006B1" w14:textId="52C3B2BA" w:rsidR="00A758FD" w:rsidRPr="00C0338D" w:rsidRDefault="00066A7E">
      <w:pPr>
        <w:spacing w:before="240" w:after="120" w:line="240" w:lineRule="auto"/>
      </w:pPr>
      <w:r w:rsidRPr="00837161">
        <w:t>The application of rigorous and internationally agreed risk analys</w:t>
      </w:r>
      <w:r w:rsidR="0008773B">
        <w:t>e</w:t>
      </w:r>
      <w:r w:rsidRPr="00837161">
        <w:t>s starting in the 1950s has reduced incidents of unpredicted non-target impacts to a very low and largely predictable level, a trend that may continue with the systematic inclusion of molecular tools, behavioural studies, chemical ecology</w:t>
      </w:r>
      <w:r w:rsidR="00C16EEB">
        <w:t xml:space="preserve"> and</w:t>
      </w:r>
      <w:r w:rsidRPr="00837161">
        <w:t xml:space="preserve"> future scientific and analytical advancements</w:t>
      </w:r>
      <w:r w:rsidR="006502C1" w:rsidRPr="00837161">
        <w:t xml:space="preserve"> </w:t>
      </w:r>
      <w:r w:rsidR="00197924" w:rsidRPr="00837161">
        <w:t>(</w:t>
      </w:r>
      <w:r w:rsidR="00F16770">
        <w:rPr>
          <w:b/>
          <w:iCs/>
        </w:rPr>
        <w:t>C</w:t>
      </w:r>
      <w:r w:rsidR="006502C1" w:rsidRPr="00F16770">
        <w:rPr>
          <w:b/>
          <w:iCs/>
        </w:rPr>
        <w:t xml:space="preserve">hapter </w:t>
      </w:r>
      <w:r w:rsidR="00EC710B" w:rsidRPr="00F16770">
        <w:rPr>
          <w:b/>
          <w:iCs/>
        </w:rPr>
        <w:t>3</w:t>
      </w:r>
      <w:r w:rsidR="00EC710B" w:rsidRPr="00F16770">
        <w:rPr>
          <w:iCs/>
        </w:rPr>
        <w:t>,</w:t>
      </w:r>
      <w:r w:rsidR="00EC710B" w:rsidRPr="00F16770">
        <w:rPr>
          <w:b/>
          <w:iCs/>
        </w:rPr>
        <w:t xml:space="preserve"> </w:t>
      </w:r>
      <w:r w:rsidR="006502C1" w:rsidRPr="00F16770">
        <w:rPr>
          <w:b/>
          <w:iCs/>
        </w:rPr>
        <w:t>section 3.3.5.2</w:t>
      </w:r>
      <w:r w:rsidR="006502C1" w:rsidRPr="00837161">
        <w:t>)</w:t>
      </w:r>
      <w:r w:rsidRPr="00837161">
        <w:t xml:space="preserve">. There are exceptions, such as </w:t>
      </w:r>
      <w:r w:rsidRPr="00837161">
        <w:rPr>
          <w:i/>
          <w:iCs/>
        </w:rPr>
        <w:t>Harmonia axyridis</w:t>
      </w:r>
      <w:r w:rsidRPr="00837161">
        <w:t xml:space="preserve"> </w:t>
      </w:r>
      <w:r w:rsidR="00EC710B" w:rsidRPr="00837161">
        <w:t xml:space="preserve">(harlequin ladybird) </w:t>
      </w:r>
      <w:r w:rsidRPr="00837161">
        <w:t xml:space="preserve">in Europe </w:t>
      </w:r>
      <w:r w:rsidRPr="00837161">
        <w:fldChar w:fldCharType="begin"/>
      </w:r>
      <w:r w:rsidR="000F35EB">
        <w:instrText xml:space="preserve"> ADDIN ZOTERO_ITEM CSL_CITATION {"citationID":"dC24wF2A","properties":{"formattedCitation":"(Brown et al., 2008)","plainCitation":"(Brown et al., 2008)","dontUpdate":true,"noteIndex":0},"citationItems":[{"id":16759,"uris":["http://zotero.org/groups/2352922/items/48QENUKV"],"itemData":{"id":16759,"type":"chapter","abstract":"Native to Asia, Harmonia axyridis (Pallas) (Coleoptera: Coccinellidae) is considered an invasive alien ladybird in Europe and North America, where it was widely introduced as a biological control agent of aphids and coccids. In Europe, H. axyridis was sold by various biological control companies from 1995 in France, Belgium and the Netherlands, and was also intentionally released in at least nine other countries. It has spread very rapidly, particularly since 2002, and is now regarded as established in thirteen European countries. The established range extends from Denmark in the north to southern France in the south, and from Czech Republic in the east to Great Britain in the west. In this paper we map the spread and distribution of H. axyridis in Europe, and examine the situation on a country-by-country basis. We report first records of the species in five countries; Spain, Sweden, Denmark, Czech Republic and Italy; and first evidence of H. axyridis establishment in the latter three countries. Despite releases of H. axyridis in Portugal, Spain and Greece, there is little evidence of establishment in southern Europe. It is predicted that the spread and increase within Europe will continue and that H. axyridis will become one of the most widely distributed coccinellids in the continent.","container-title":"From Biological Control to Invasion: the Ladybird Harmonia axyridis as a Model Species","event-place":"Dordrecht","ISBN":"978-1-4020-6939-0","language":"en","note":"DOI: 10.1007/978-1-4020-6939-0_2","page":"5-21","publisher":"Springer Netherlands","publisher-place":"Dordrecht","source":"Springer Link","title":"&lt;i&gt;Harmonia axyridis&lt;/i&gt; in Europe: spread and distribution of a non-native coccinellid","title-short":"Harmonia axyridis in Europe","URL":"https://doi.org/10.1007/978-1-4020-6939-0_2","author":[{"family":"Brown","given":"P. M. J."},{"family":"Adriaens","given":"T."},{"family":"Bathon","given":"H."},{"family":"Cuppen","given":"J."},{"family":"Goldarazena","given":"A."},{"family":"Hägg","given":"T."},{"family":"Kenis","given":"M."},{"family":"Klausnitzer","given":"B. E. M."},{"family":"Kovář","given":"I."},{"family":"Loomans","given":"A. J. M."},{"family":"Majerus","given":"M. E. N."},{"family":"Nedved","given":"O."},{"family":"Pedersen","given":"J."},{"family":"Rabitsch","given":"W."},{"family":"Roy","given":"H. E."},{"family":"Ternois","given":"V."},{"family":"Zakharov","given":"I. A."},{"family":"Roy","given":"D. B."}],"editor":[{"family":"Roy","given":"Helen E."},{"family":"Wajnberg","given":"Eric"}],"accessed":{"date-parts":[["2019",12,9]]},"issued":{"date-parts":[["2008"]]}},"label":"page"}],"schema":"https://github.com/citation-style-language/schema/raw/master/csl-citation.json"} </w:instrText>
      </w:r>
      <w:r w:rsidRPr="00837161">
        <w:fldChar w:fldCharType="separate"/>
      </w:r>
      <w:r w:rsidR="00640845" w:rsidRPr="00837161">
        <w:t>(Brown et al., 2008</w:t>
      </w:r>
      <w:r w:rsidRPr="00837161">
        <w:fldChar w:fldCharType="end"/>
      </w:r>
      <w:r w:rsidR="00D9145D" w:rsidRPr="00837161">
        <w:t>;</w:t>
      </w:r>
      <w:r w:rsidRPr="00837161">
        <w:rPr>
          <w:i/>
          <w:iCs/>
        </w:rPr>
        <w:t xml:space="preserve"> </w:t>
      </w:r>
      <w:r w:rsidRPr="00F16770">
        <w:rPr>
          <w:b/>
          <w:iCs/>
        </w:rPr>
        <w:t>section 5.4.</w:t>
      </w:r>
      <w:r w:rsidR="00807D75" w:rsidRPr="00F16770">
        <w:rPr>
          <w:b/>
          <w:iCs/>
        </w:rPr>
        <w:t>3.2</w:t>
      </w:r>
      <w:r w:rsidRPr="00837161">
        <w:rPr>
          <w:i/>
          <w:iCs/>
        </w:rPr>
        <w:t xml:space="preserve"> </w:t>
      </w:r>
      <w:r w:rsidRPr="00837161">
        <w:t>for other non-target impacts).</w:t>
      </w:r>
      <w:bookmarkStart w:id="577" w:name="_heading=h.1pgrrkc" w:colFirst="0" w:colLast="0"/>
      <w:bookmarkEnd w:id="577"/>
      <w:r w:rsidR="00C81287" w:rsidRPr="00C0338D">
        <w:t xml:space="preserve"> Direct non-target impacts from biological control programmes have been repeatedly reviewed and found to be predictable and minor compared to the native ecosystems</w:t>
      </w:r>
      <w:r w:rsidR="0008773B">
        <w:t>’</w:t>
      </w:r>
      <w:r w:rsidR="00C81287" w:rsidRPr="00C0338D">
        <w:t xml:space="preserve"> benefits from control, except for some early unregulated releases of generalist predators (e.g., the release of cats and mongoose on islands). Indirect impacts have received much less attention being less obvious and more difficult to measure. Where studied they are minor and ephemeral if control is achieved and generally confined to areas in close proximity to the target invasive alien plant for biocontrol agents that have undergone rigorous risk assessment. The completely unregulated introduction of </w:t>
      </w:r>
      <w:r w:rsidR="00C81287" w:rsidRPr="00C0338D">
        <w:rPr>
          <w:i/>
        </w:rPr>
        <w:t>Tyto alba</w:t>
      </w:r>
      <w:r w:rsidR="00C81287" w:rsidRPr="00C0338D">
        <w:t xml:space="preserve"> (</w:t>
      </w:r>
      <w:r w:rsidR="00C81287">
        <w:t>barn</w:t>
      </w:r>
      <w:r w:rsidR="00C81287" w:rsidRPr="00C0338D">
        <w:t xml:space="preserve"> owl) in Hawaii in the late 1950s to control rats is a rare</w:t>
      </w:r>
      <w:r w:rsidR="0008773B">
        <w:t xml:space="preserve"> but </w:t>
      </w:r>
      <w:r w:rsidR="00C81287" w:rsidRPr="00C0338D">
        <w:t xml:space="preserve">unsurprising counter example, although this release did not follow the precautionary </w:t>
      </w:r>
      <w:r w:rsidR="003967F9">
        <w:t>approach</w:t>
      </w:r>
      <w:r w:rsidR="00C81287" w:rsidRPr="00C0338D">
        <w:t xml:space="preserve"> now applied in the context of modern classical biological control programmes. By 1966, the owls were established and breeding and a recent review found these owls were an important avian predator of at least eight seabird species </w:t>
      </w:r>
      <w:r w:rsidRPr="00837161">
        <w:fldChar w:fldCharType="begin"/>
      </w:r>
      <w:r w:rsidR="000F35EB">
        <w:instrText xml:space="preserve"> ADDIN ZOTERO_ITEM CSL_CITATION {"citationID":"HaJP8mCK","properties":{"formattedCitation":"(Raine et al., 2019)","plainCitation":"(Raine et al., 2019)","noteIndex":0},"citationItems":[{"id":24002,"uris":["http://zotero.org/groups/2352922/items/EYS5YCMQ"],"itemData":{"id":24002,"type":"article-journal","container-title":"Marine Ornithology","page":"33–38","source":"Google Scholar","title":"The impact of an introduced avian predator, the Barn Owl &lt;i&gt;Tyto alba&lt;/i&gt;, on Hawaiian seabirds","volume":"47","author":[{"family":"Raine","given":"Andre F."},{"family":"Vynne","given":"Megan"},{"family":"Driskill","given":"Scott"}],"issued":{"date-parts":[["2019"]]}},"label":"page"}],"schema":"https://github.com/citation-style-language/schema/raw/master/csl-citation.json"} </w:instrText>
      </w:r>
      <w:r w:rsidRPr="00837161">
        <w:fldChar w:fldCharType="separate"/>
      </w:r>
      <w:r w:rsidR="00271B78" w:rsidRPr="00271B78">
        <w:t>(Raine et al., 2019)</w:t>
      </w:r>
      <w:r w:rsidRPr="00837161">
        <w:fldChar w:fldCharType="end"/>
      </w:r>
      <w:r w:rsidRPr="00837161">
        <w:t>.</w:t>
      </w:r>
      <w:r w:rsidR="00C81287" w:rsidRPr="00C0338D">
        <w:t xml:space="preserve"> A management programme to control owl populations has been undertaken </w:t>
      </w:r>
      <w:r w:rsidR="0008773B">
        <w:t>in</w:t>
      </w:r>
      <w:r w:rsidR="0008773B" w:rsidRPr="00C0338D">
        <w:t xml:space="preserve"> </w:t>
      </w:r>
      <w:r w:rsidR="00C81287" w:rsidRPr="00C0338D">
        <w:t xml:space="preserve">2015. </w:t>
      </w:r>
      <w:r w:rsidR="00532A59" w:rsidRPr="00837161">
        <w:t>B</w:t>
      </w:r>
      <w:r w:rsidRPr="00837161">
        <w:t>iological control</w:t>
      </w:r>
      <w:r w:rsidR="00532A59" w:rsidRPr="00837161">
        <w:t xml:space="preserve"> in any form</w:t>
      </w:r>
      <w:r w:rsidRPr="00837161">
        <w:t>, like most other management tools</w:t>
      </w:r>
      <w:r w:rsidR="004F2F66" w:rsidRPr="00837161">
        <w:t>,</w:t>
      </w:r>
      <w:r w:rsidRPr="00837161">
        <w:t xml:space="preserve"> is not risk</w:t>
      </w:r>
      <w:r w:rsidR="0008773B">
        <w:t>-</w:t>
      </w:r>
      <w:r w:rsidRPr="00837161">
        <w:t xml:space="preserve">free </w:t>
      </w:r>
      <w:r w:rsidRPr="00837161">
        <w:fldChar w:fldCharType="begin"/>
      </w:r>
      <w:r w:rsidR="000F35EB">
        <w:instrText xml:space="preserve"> ADDIN ZOTERO_ITEM CSL_CITATION {"citationID":"UpyzxZ0B","properties":{"formattedCitation":"(CBD, 2018)","plainCitation":"(CBD, 2018)","noteIndex":0},"citationItems":[{"id":9998,"uris":["http://zotero.org/groups/2352922/items/97MHPTMS"],"itemData":{"id":9998,"type":"paper-conference","collection-title":"CBD/COP/14/INF/9","event-place":"Sharm El-Sheikh, Egypt","event-title":"Fourteenth meeting of Conference of the parties to the Convention on Biological Diversity","language":"en","publisher-place":"Sharm El-Sheikh, Egypt","source":"Zotero","title":"Invasive alien species: The application of classical biological control for the management of established invasive alien species causing environmental impacts","URL":"https://www.cbd.int/doc/c/0c6f/7a35/eb8815eff54c3bc4a02139fd/cop-14-inf-09-en.pdf","author":[{"literal":"CBD"}],"issued":{"date-parts":[["2018"]]}},"label":"page"}],"schema":"https://github.com/citation-style-language/schema/raw/master/csl-citation.json"} </w:instrText>
      </w:r>
      <w:r w:rsidRPr="00837161">
        <w:fldChar w:fldCharType="separate"/>
      </w:r>
      <w:r w:rsidR="00271B78" w:rsidRPr="00271B78">
        <w:t>(CBD, 2018)</w:t>
      </w:r>
      <w:r w:rsidRPr="00837161">
        <w:fldChar w:fldCharType="end"/>
      </w:r>
      <w:r w:rsidRPr="00837161">
        <w:t>.</w:t>
      </w:r>
    </w:p>
    <w:p w14:paraId="000006B2" w14:textId="77777777" w:rsidR="00A758FD" w:rsidRPr="00C0338D" w:rsidRDefault="00C81287" w:rsidP="002F2F42">
      <w:pPr>
        <w:pStyle w:val="Heading2"/>
      </w:pPr>
      <w:bookmarkStart w:id="578" w:name="_Toc146810121"/>
      <w:bookmarkStart w:id="579" w:name="_Toc69314024"/>
      <w:bookmarkStart w:id="580" w:name="_Toc87623166"/>
      <w:bookmarkStart w:id="581" w:name="_Toc131681663"/>
      <w:bookmarkStart w:id="582" w:name="_Toc149555486"/>
      <w:r w:rsidRPr="00C0338D">
        <w:t>Management in an ecosystem restoration context</w:t>
      </w:r>
      <w:bookmarkEnd w:id="578"/>
      <w:bookmarkEnd w:id="579"/>
      <w:bookmarkEnd w:id="580"/>
      <w:bookmarkEnd w:id="581"/>
      <w:bookmarkEnd w:id="582"/>
      <w:r w:rsidRPr="00C0338D">
        <w:t xml:space="preserve"> </w:t>
      </w:r>
    </w:p>
    <w:p w14:paraId="000006B3" w14:textId="3690AE71" w:rsidR="00A758FD" w:rsidRPr="00C0338D" w:rsidRDefault="00C81287">
      <w:pPr>
        <w:spacing w:before="240" w:after="120" w:line="240" w:lineRule="auto"/>
      </w:pPr>
      <w:r w:rsidRPr="00C0338D">
        <w:t>Restoration of an ecosystem after invasive alien species control is both expensive and hard to achieve</w:t>
      </w:r>
      <w:r w:rsidR="0008773B">
        <w:t>,</w:t>
      </w:r>
      <w:r w:rsidRPr="00C0338D">
        <w:t xml:space="preserve"> unless the ecosystem retains a strong regeneration potential. This is especially true in marine ecosystems where invasive alien species management has prove</w:t>
      </w:r>
      <w:r w:rsidR="0008773B">
        <w:t>n</w:t>
      </w:r>
      <w:r w:rsidRPr="00C0338D">
        <w:t xml:space="preserve"> to be largely ineffective </w:t>
      </w:r>
      <w:r w:rsidR="00F876ED" w:rsidRPr="00837161">
        <w:rPr>
          <w:rFonts w:eastAsia="Times New Roman"/>
        </w:rPr>
        <w:fldChar w:fldCharType="begin"/>
      </w:r>
      <w:r w:rsidR="000F35EB">
        <w:rPr>
          <w:rFonts w:eastAsia="Times New Roman"/>
        </w:rPr>
        <w:instrText xml:space="preserve"> ADDIN ZOTERO_ITEM CSL_CITATION {"citationID":"s5DKSC1G","properties":{"formattedCitation":"(Lopez et al., 2006)","plainCitation":"(Lopez et al., 2006)","noteIndex":0},"citationItems":[{"id":31351,"uris":["http://zotero.org/groups/2352922/items/3PIHQRQD"],"itemData":{"id":31351,"type":"article-journal","container-title":"Ecosystems","DOI":"10.1007/s10021-005-0113-7","ISSN":"1432-9840, 1435-0629","issue":"3","journalAbbreviation":"Ecosystems","language":"en","page":"422-440","source":"DOI.org (Crossref)","title":"Ecological Values of Shallow-Water Habitats: Implications for the Restoration of Disturbed Ecosystems","title-short":"Ecological Values of Shallow-Water Habitats","URL":"http://link.springer.com/10.1007/s10021-005-0113-7","volume":"9","author":[{"family":"Lopez","given":"Cary B."},{"family":"Cloern","given":"James E."},{"family":"Schraga","given":"Tara S."},{"family":"Little","given":"Amy J."},{"family":"Lucas","given":"Lisa V."},{"family":"Thompson","given":"Janet K."},{"family":"Burau","given":"Jon R."}],"accessed":{"date-parts":[["2021",11,18]]},"issued":{"date-parts":[["2006",4]]}},"label":"page"}],"schema":"https://github.com/citation-style-language/schema/raw/master/csl-citation.json"} </w:instrText>
      </w:r>
      <w:r w:rsidR="00F876ED" w:rsidRPr="00837161">
        <w:rPr>
          <w:rFonts w:eastAsia="Times New Roman"/>
        </w:rPr>
        <w:fldChar w:fldCharType="separate"/>
      </w:r>
      <w:r w:rsidR="00271B78" w:rsidRPr="00271B78">
        <w:t>(Lopez et al., 2006)</w:t>
      </w:r>
      <w:r w:rsidR="00F876ED" w:rsidRPr="00837161">
        <w:rPr>
          <w:rFonts w:eastAsia="Times New Roman"/>
        </w:rPr>
        <w:fldChar w:fldCharType="end"/>
      </w:r>
      <w:r w:rsidR="3E01ED8E" w:rsidRPr="00837161">
        <w:rPr>
          <w:rFonts w:eastAsia="Times New Roman"/>
        </w:rPr>
        <w:t>. Integrating management and restoration into an adaptive management approach requires long-term monitoring to assess efficacy</w:t>
      </w:r>
      <w:r w:rsidR="0008773B">
        <w:rPr>
          <w:rFonts w:eastAsia="Times New Roman"/>
        </w:rPr>
        <w:t>,</w:t>
      </w:r>
      <w:r w:rsidR="3E01ED8E" w:rsidRPr="00837161">
        <w:rPr>
          <w:rFonts w:eastAsia="Times New Roman"/>
        </w:rPr>
        <w:t xml:space="preserve"> outcomes and timely detection of lost resilience and reinvasion. Benefits of management</w:t>
      </w:r>
      <w:r w:rsidR="00215FD3" w:rsidRPr="00837161">
        <w:rPr>
          <w:rFonts w:eastAsia="Times New Roman"/>
        </w:rPr>
        <w:t>,</w:t>
      </w:r>
      <w:r w:rsidR="3E01ED8E" w:rsidRPr="00837161">
        <w:rPr>
          <w:rFonts w:eastAsia="Times New Roman"/>
        </w:rPr>
        <w:t xml:space="preserve"> particularly to local communit</w:t>
      </w:r>
      <w:r w:rsidR="0008773B">
        <w:rPr>
          <w:rFonts w:eastAsia="Times New Roman"/>
        </w:rPr>
        <w:t>ies</w:t>
      </w:r>
      <w:r w:rsidR="00215FD3" w:rsidRPr="00837161">
        <w:rPr>
          <w:rFonts w:eastAsia="Times New Roman"/>
        </w:rPr>
        <w:t>,</w:t>
      </w:r>
      <w:r w:rsidR="00F26EC4" w:rsidRPr="00837161">
        <w:rPr>
          <w:rFonts w:eastAsia="Times New Roman"/>
        </w:rPr>
        <w:t xml:space="preserve"> </w:t>
      </w:r>
      <w:r w:rsidR="3E01ED8E" w:rsidRPr="00837161">
        <w:rPr>
          <w:rFonts w:eastAsia="Times New Roman"/>
        </w:rPr>
        <w:t>also need to be evaluated. In successful cases of restoration in terrestrial ecosystems, efforts are limited in space and time</w:t>
      </w:r>
      <w:r w:rsidR="00C16EEB">
        <w:rPr>
          <w:rFonts w:eastAsia="Times New Roman"/>
        </w:rPr>
        <w:t xml:space="preserve"> and</w:t>
      </w:r>
      <w:r w:rsidR="3E01ED8E" w:rsidRPr="00837161">
        <w:rPr>
          <w:rFonts w:eastAsia="Times New Roman"/>
        </w:rPr>
        <w:t xml:space="preserve"> goals are clearly defined and achievable with available resources </w:t>
      </w:r>
      <w:r w:rsidR="00F876ED" w:rsidRPr="00837161">
        <w:rPr>
          <w:rFonts w:eastAsia="Times New Roman"/>
        </w:rPr>
        <w:fldChar w:fldCharType="begin"/>
      </w:r>
      <w:r w:rsidR="000F35EB">
        <w:rPr>
          <w:rFonts w:eastAsia="Times New Roman"/>
        </w:rPr>
        <w:instrText xml:space="preserve"> ADDIN ZOTERO_ITEM CSL_CITATION {"citationID":"6PfPKMSy","properties":{"formattedCitation":"(IPBES, 2018)","plainCitation":"(IPBES, 2018)","noteIndex":0},"citationItems":[{"id":26990,"uris":["http://zotero.org/groups/2352922/items/GAJA8JQR"],"itemData":{"id":26990,"type":"report","abstract":"The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label":"page"}],"schema":"https://github.com/citation-style-language/schema/raw/master/csl-citation.json"} </w:instrText>
      </w:r>
      <w:r w:rsidR="00F876ED" w:rsidRPr="00837161">
        <w:rPr>
          <w:rFonts w:eastAsia="Times New Roman"/>
        </w:rPr>
        <w:fldChar w:fldCharType="separate"/>
      </w:r>
      <w:r w:rsidR="00271B78" w:rsidRPr="00271B78">
        <w:t>(IPBES, 2018)</w:t>
      </w:r>
      <w:r w:rsidR="00F876ED" w:rsidRPr="00837161">
        <w:rPr>
          <w:rFonts w:eastAsia="Times New Roman"/>
        </w:rPr>
        <w:fldChar w:fldCharType="end"/>
      </w:r>
      <w:r w:rsidR="3E01ED8E" w:rsidRPr="00837161">
        <w:rPr>
          <w:rFonts w:eastAsia="Times New Roman"/>
        </w:rPr>
        <w:t>.</w:t>
      </w:r>
      <w:r w:rsidRPr="00C0338D">
        <w:t xml:space="preserve"> See </w:t>
      </w:r>
      <w:r w:rsidRPr="00C0338D">
        <w:rPr>
          <w:b/>
        </w:rPr>
        <w:t>section 5.4.3.3</w:t>
      </w:r>
      <w:r w:rsidRPr="00C0338D">
        <w:t xml:space="preserve"> for a description of site-based integrated invasive alien species management with ecosystem restoration strategies. China has been attempting an ecosystem restoration project for controlling </w:t>
      </w:r>
      <w:r w:rsidRPr="00C0338D">
        <w:rPr>
          <w:i/>
        </w:rPr>
        <w:t>Sporobolus alterniflorus</w:t>
      </w:r>
      <w:r w:rsidRPr="00C0338D">
        <w:t xml:space="preserve"> (smooth cordgrass) introduced in 1979</w:t>
      </w:r>
      <w:r w:rsidR="0008773B">
        <w:t>,</w:t>
      </w:r>
      <w:r w:rsidRPr="00C0338D">
        <w:t xml:space="preserve"> which now covers hundreds of thousands of hectares in the Yangtze River estuary. The Shanghai government is spending 1.3 billion Yuan to control </w:t>
      </w:r>
      <w:r w:rsidRPr="00C0338D">
        <w:rPr>
          <w:i/>
        </w:rPr>
        <w:t>Sporobolus alterniflorus</w:t>
      </w:r>
      <w:r w:rsidRPr="00C0338D">
        <w:t xml:space="preserve"> invasion and restore habitats for migratory birds </w:t>
      </w:r>
      <w:r w:rsidR="00383764" w:rsidRPr="00837161">
        <w:rPr>
          <w:rFonts w:eastAsia="Times New Roman"/>
        </w:rPr>
        <w:fldChar w:fldCharType="begin"/>
      </w:r>
      <w:r w:rsidR="000F35EB">
        <w:rPr>
          <w:rFonts w:eastAsia="Times New Roman"/>
        </w:rPr>
        <w:instrText xml:space="preserve"> ADDIN ZOTERO_ITEM CSL_CITATION {"citationID":"J38W5Jc3","properties":{"formattedCitation":"(Wan et al., 2017)","plainCitation":"(Wan et al., 2017)","noteIndex":0},"citationItems":[{"id":10003,"uris":["http://zotero.org/groups/2352922/items/XJ5K72D6"],"itemData":{"id":10003,"type":"book","call-number":"QH353 .B562 2017","collection-number":"volume 11, 13","collection-title":"Invading nature","event-place":"Dordrecht, The Netherlands","ISBN":"978-94-024-0946-8","number-of-pages":"2","publisher":"Springer","publisher-place":"Dordrecht, The Netherlands","source":"Library Catalog (Blacklight)","title":"Biological invasions and its management in China","editor":[{"family":"Wan","given":"Fanghao"},{"family":"Jiang","given":"Mingxing"},{"family":"Zhan","given":"Aibin"}],"issued":{"date-parts":[["2017"]]}},"label":"page"}],"schema":"https://github.com/citation-style-language/schema/raw/master/csl-citation.json"} </w:instrText>
      </w:r>
      <w:r w:rsidR="00383764" w:rsidRPr="00837161">
        <w:rPr>
          <w:rFonts w:eastAsia="Times New Roman"/>
        </w:rPr>
        <w:fldChar w:fldCharType="separate"/>
      </w:r>
      <w:r w:rsidR="00271B78" w:rsidRPr="00271B78">
        <w:t>(Wan et al., 2017)</w:t>
      </w:r>
      <w:r w:rsidR="00383764" w:rsidRPr="00837161">
        <w:rPr>
          <w:rFonts w:eastAsia="Times New Roman"/>
        </w:rPr>
        <w:fldChar w:fldCharType="end"/>
      </w:r>
      <w:r w:rsidR="3E01ED8E" w:rsidRPr="00837161">
        <w:rPr>
          <w:rFonts w:eastAsia="Times New Roman"/>
        </w:rPr>
        <w:t>.</w:t>
      </w:r>
      <w:r w:rsidRPr="00C0338D">
        <w:t xml:space="preserve"> The integrated management includes cofferdam construction for containment, mechanical harvesting, flooding, revegetating with native plants and managing water levels </w:t>
      </w:r>
      <w:r w:rsidR="00383764" w:rsidRPr="00837161">
        <w:rPr>
          <w:rFonts w:eastAsia="Times New Roman"/>
        </w:rPr>
        <w:fldChar w:fldCharType="begin"/>
      </w:r>
      <w:r w:rsidR="000F35EB">
        <w:rPr>
          <w:rFonts w:eastAsia="Times New Roman"/>
        </w:rPr>
        <w:instrText xml:space="preserve"> ADDIN ZOTERO_ITEM CSL_CITATION {"citationID":"TBywjZMi","properties":{"formattedCitation":"(Xiao et al., 2011)","plainCitation":"(Xiao et al., 2011)","noteIndex":0},"citationItems":[{"id":31350,"uris":["http://zotero.org/groups/2352922/items/7ZCCCL7E"],"itemData":{"id":31350,"type":"article-journal","issue":"20","journalAbbreviation":"Ecol Environ Sci","language":"Chinese","page":"1681-1686","title":"Response of seed production and viability of &lt;i&gt;Spartina alternifolia&lt;/i&gt; to cutting at Shanghai Chongming DongTan, China.","URL":"http://www.alljournals.cn/view_abstract.aspx?pcid=3FF3ABA7486768130C3FF830376F43B398E0C97F0FF2DD53&amp;cid=BEC1F4700DD66C14D137590A0896A0AD&amp;jid=1CB67BEB88F124F56F6BC6645431F032&amp;aid=42BF0787407D9153CB0AD4178164EB22&amp;yid=9377ED8094509821","author":[{"family":"Xiao","given":"D. R."},{"family":"Zhang","given":"L. Q."},{"family":"Zhu","given":"Z. C."},{"family":"Tian","given":"K."}],"issued":{"date-parts":[["2011"]]}},"label":"page"}],"schema":"https://github.com/citation-style-language/schema/raw/master/csl-citation.json"} </w:instrText>
      </w:r>
      <w:r w:rsidR="00383764" w:rsidRPr="00837161">
        <w:rPr>
          <w:rFonts w:eastAsia="Times New Roman"/>
        </w:rPr>
        <w:fldChar w:fldCharType="separate"/>
      </w:r>
      <w:r w:rsidR="00271B78" w:rsidRPr="00271B78">
        <w:t>(Xiao et al., 2011)</w:t>
      </w:r>
      <w:r w:rsidR="00383764" w:rsidRPr="00837161">
        <w:rPr>
          <w:rFonts w:eastAsia="Times New Roman"/>
        </w:rPr>
        <w:fldChar w:fldCharType="end"/>
      </w:r>
      <w:r w:rsidR="3E01ED8E" w:rsidRPr="00837161">
        <w:rPr>
          <w:rFonts w:eastAsia="Times New Roman"/>
        </w:rPr>
        <w:t>.</w:t>
      </w:r>
    </w:p>
    <w:p w14:paraId="000006B4" w14:textId="21935D76" w:rsidR="00A758FD" w:rsidRPr="00C0338D" w:rsidRDefault="00C81287">
      <w:pPr>
        <w:spacing w:before="240" w:after="120" w:line="240" w:lineRule="auto"/>
      </w:pPr>
      <w:r w:rsidRPr="00C0338D">
        <w:t xml:space="preserve">In a review on site restoration as a part of controlling invasive alien species, </w:t>
      </w:r>
      <w:r w:rsidRPr="002F2F42">
        <w:rPr>
          <w:color w:val="000000" w:themeColor="text1"/>
        </w:rPr>
        <w:t xml:space="preserve">Kettenring and Adams </w:t>
      </w:r>
      <w:r w:rsidR="00383764" w:rsidRPr="00837161">
        <w:rPr>
          <w:rFonts w:eastAsia="Times New Roman"/>
          <w:color w:val="000000" w:themeColor="text1"/>
        </w:rPr>
        <w:fldChar w:fldCharType="begin"/>
      </w:r>
      <w:r w:rsidR="007746C5">
        <w:rPr>
          <w:rFonts w:eastAsia="Times New Roman"/>
          <w:color w:val="000000" w:themeColor="text1"/>
        </w:rPr>
        <w:instrText xml:space="preserve"> ADDIN ZOTERO_ITEM CSL_CITATION {"citationID":"y5EdCb0S","properties":{"formattedCitation":"(2011)","plainCitation":"(2011)","noteIndex":0},"citationItems":[{"id":24140,"uris":["http://zotero.org/groups/2352922/items/X7TEF7FE","http://zotero.org/groups/2352922/items/Y2S375LU"],"itemData":{"id":24140,"type":"article-journal","abstract":"Summary 1.?Invasive plants can reduce biodiversity, alter ecosystem functions and have considerable economic impacts. Invasive plant control is therefore the focus of restoration research in invader-dominated ecosystems. Increasing the success of restoration practice requires analysis and synthesis of research findings and assessment of how experiments can be improved. 2.?In a systematic review and meta-analysis of invasive plant control research papers, we asked: (i) what control efforts have been most successful; and (ii) what invasive plant control research best translates into successful restoration application? 3.?The literature evaluated typically described experiments that were limited in scope. Most plot sizes were small (&lt;1?m2), time frames were brief (51% evaluated control for one growing season or less) and few species and ecosystems (predominantly grasslands) were studied throughout much of the literature. The scale at which most experiments were conducted potentially limits relevance to the large scales at which restorations typically occur. 4.?Most studies focused on invasive species removal and lacked an evaluation of native revegetation following removal. Few studies (33%) included active revegetation even though native species propagule limitation was common. Restoration success was frequently complicated by re-invasion or establishment of a novel invader. 5.?Few studies (29%) evaluated the costs of invasive species control. Additionally, control sometimes had undesirable effects, including negative impacts to native species. 6.?Synthesis and applications. Despite a sizeable literature on invasive plant control experiments, many large-scale invasive plant management efforts have had only moderate restoration success. We identified several limitations to successful invasive species control including: minimal focus on revegetation with natives after invasive removal, limited spatial and temporal scope of invasive plant control research, and incomplete evaluation of costs and benefits associated with invasive species management actions. We suggest that information needed to inform invasive plant management can be better provided if researchers specifically address these limitations. Many limitations can be addressed by involving managers in research, particularly through adaptive management.","container-title":"Journal of Applied Ecology","DOI":"10.1111/j.1365-2664.2011.01979.x","ISSN":"0021-8901","issue":"4","journalAbbreviation":"Journal of Applied Ecology","language":"en","page":"970-979","source":"DOI.org (Crossref)","title":"Lessons learned from invasive plant control experiments: a systematic review and meta-analysis","title-short":"Lessons learned from invasive plant control experiments","URL":"https://doi.org/10.1111/j.1365-2664.2011.01979.x","volume":"48","author":[{"family":"Kettenring","given":"Karin M."},{"family":"Adams","given":"Carrie Reinhardt"}],"accessed":{"date-parts":[["2019",8,21]]},"issued":{"date-parts":[["2011"]]}},"label":"page","suppress-author":true}],"schema":"https://github.com/citation-style-language/schema/raw/master/csl-citation.json"} </w:instrText>
      </w:r>
      <w:r w:rsidR="00383764" w:rsidRPr="00837161">
        <w:rPr>
          <w:rFonts w:eastAsia="Times New Roman"/>
          <w:color w:val="000000" w:themeColor="text1"/>
        </w:rPr>
        <w:fldChar w:fldCharType="separate"/>
      </w:r>
      <w:r w:rsidR="00271B78" w:rsidRPr="00271B78">
        <w:t>(2011)</w:t>
      </w:r>
      <w:r w:rsidR="00383764" w:rsidRPr="00837161">
        <w:rPr>
          <w:rFonts w:eastAsia="Times New Roman"/>
          <w:color w:val="000000" w:themeColor="text1"/>
        </w:rPr>
        <w:fldChar w:fldCharType="end"/>
      </w:r>
      <w:r w:rsidRPr="00C0338D">
        <w:t xml:space="preserve"> observed that, a) </w:t>
      </w:r>
      <w:r w:rsidR="0008773B">
        <w:t xml:space="preserve">the </w:t>
      </w:r>
      <w:r w:rsidRPr="00C0338D">
        <w:t xml:space="preserve">use of herbicides effectively but temporarily controlled invasive alien plants but did not lead to significant native revegetation; b) prescribed fire reduced the biomass of native species and increased the biomass of the invasive alien species; and c) cutting/removal of the invasive alien species slightly decreased invasive alien species biomass but not that of native species. However, most studies failed to quantify the effectiveness of ecosystem restoration since </w:t>
      </w:r>
      <w:r w:rsidRPr="00C0338D">
        <w:lastRenderedPageBreak/>
        <w:t xml:space="preserve">they </w:t>
      </w:r>
      <w:r w:rsidR="0008773B">
        <w:t xml:space="preserve">had </w:t>
      </w:r>
      <w:r w:rsidRPr="00C0338D">
        <w:t xml:space="preserve">failed to measure the initial status of native vegetation. This has led to inconsistent conclusions regarding the best invasive alien plant control option </w:t>
      </w:r>
      <w:r w:rsidR="0008773B">
        <w:t>that</w:t>
      </w:r>
      <w:r w:rsidR="0008773B" w:rsidRPr="00C0338D">
        <w:t xml:space="preserve"> </w:t>
      </w:r>
      <w:r w:rsidRPr="00C0338D">
        <w:t xml:space="preserve">may lead to the most effective ecosystem restoration. </w:t>
      </w:r>
    </w:p>
    <w:p w14:paraId="000006B5" w14:textId="5C12733D" w:rsidR="00A758FD" w:rsidRPr="00C0338D" w:rsidRDefault="00C81287">
      <w:pPr>
        <w:spacing w:before="240" w:after="120" w:line="240" w:lineRule="auto"/>
      </w:pPr>
      <w:r w:rsidRPr="00C0338D">
        <w:t xml:space="preserve">One of the common methods to restore terrestrial ecosystems invaded by invasive alien plants is to plant fast-growing native (annual/perennial) species or disperse seeds of such species following effective management of the </w:t>
      </w:r>
      <w:r w:rsidR="002F2F42">
        <w:t>invasive alien species. Though such ecosystem restoration attempts may not be sufficiently efficient to enhance resistance to invasive alien species, growth and spread of planted native species may help to suppress regeneration of the invasive alien species community by filling recruitment niches</w:t>
      </w:r>
      <w:r w:rsidR="6353E735" w:rsidRPr="00837161">
        <w:rPr>
          <w:rFonts w:eastAsia="Times New Roman"/>
        </w:rPr>
        <w:t xml:space="preserve"> </w:t>
      </w:r>
      <w:r w:rsidR="00383764" w:rsidRPr="00837161">
        <w:rPr>
          <w:rFonts w:eastAsia="Times New Roman"/>
        </w:rPr>
        <w:fldChar w:fldCharType="begin"/>
      </w:r>
      <w:r w:rsidR="000F35EB">
        <w:rPr>
          <w:rFonts w:eastAsia="Times New Roman"/>
        </w:rPr>
        <w:instrText xml:space="preserve"> ADDIN ZOTERO_ITEM CSL_CITATION {"citationID":"OWRGAJpg","properties":{"formattedCitation":"(Byun et al., 2013; Byun, Oh, et al., 2020)","plainCitation":"(Byun et al., 2013; Byun, Oh, et al., 2020)","noteIndex":0},"citationItems":[{"id":10812,"uris":["http://zotero.org/groups/2352922/items/6H348UI7"],"itemData":{"id":10812,"type":"article-journal","abstract":"Biotic resistance, the ability of species in a community to limit invasion, is central to our understanding of how communities at risk of invasion assemble after disturbances, but it has yet to translate into guiding principles for the restoration of invasion-resistant plant communities. We combined experimental, functional, and modelling approaches to investigate processes of community assembly contributing to biotic resistance to an introduced lineage of Phragmites australis, a model invasive species in North America. We hypothesized that (i) functional group identity would be a good predictor of biotic resistance to P. australis, while species identity effect would be redundant within functional group (ii) mixtures of species would be more invasion resistant than monocultures. We classified 36 resident wetland plants into four functional groups based on eight functional traits. We conducted two competition experiments based on the additive competition design with P. australis and monocultures or mixtures of wetland plants. As an indicator of biotic resistance, we calculated a relative competition index (RCIavg) based on the average performance of P. australis in competition treatment compared with control. To explain diversity effect further, we partitioned it into selection effect and complementarity effect and tested several diversity–interaction models. In monoculture treatments, RCIavg of wetland plants was significantly different among functional groups, but not within each functional group. We found the highest RCIavg for fast-growing annuals, suggesting priority effect. RCIavg of wetland plants was significantly greater in mixture than in monoculture mainly due to complementarity–diversity effect among functional groups. In diversity–interaction models, species interaction patterns in mixtures were described best by interactions between functional groups when fitted to RCIavg or biomass, implying niche partitioning. Synthesis. Functional group identity and diversity of resident plant communities are good indicators of biotic resistance to invasion by introduced Phragmites australis, suggesting niche pre-emption (priority effect) and niche partitioning (diversity effect) as underlying mechanisms. Guiding principles to understand and/or manage biological invasion could emerge from advances in community theory and the use of a functional framework. Targeting widely distributed invasive plants in different contexts and scaling up to field situations will facilitate generalization.","container-title":"Journal of Ecology","DOI":"10.1111/1365-2745.12016","ISSN":"1365-2745","issue":"1","language":"en","license":"© 2012 The Authors. Journal of Ecology © 2012 British Ecological Society","note":"_eprint: https://besjournals.onlinelibrary.wiley.com/doi/pdf/10.1111/1365-2745.12016","page":"128-139","source":"Wiley Online Library","title":"Plant functional group identity and diversity determine biotic resistance to invasion by an exotic grass","URL":"https://besjournals.onlinelibrary.wiley.com/doi/abs/10.1111/1365-2745.12016","volume":"101","author":[{"family":"Byun","given":"Chaeho"},{"family":"Blois","given":"Sylvie","non-dropping-particle":"de"},{"family":"Brisson","given":"Jacques"}],"accessed":{"date-parts":[["2021",6,7]]},"issued":{"date-parts":[["2013"]]}}},{"id":9775,"uris":["http://zotero.org/groups/2352922/items/GAW9SLMY"],"itemData":{"id":9775,"type":"article-journal","abstract":"Restoring invasion-resistant plant communities is critical for the successful control of invasive plant species. It is based on ecological principles, such as limiting similarity, and the diversity–invasibility hypothesis, which can be used to select optimal combinations of species and determine appropriate plant density for the effective suppression of invasion due to propagule pressure. However, no attempt has been made to combine these factors in a single research framework. Here, we show for the first time the relative importance of all significant factors, including seed density, limiting similarity, diversity effect, and propagule pressure, in the invasion mechanism of Sicyos angulatus, an invasive plant species. Our results suggest that seed density, rarely explored in previous studies, is as important a determinant of invasion success as limiting similarity, diversity effect, and propagule pressure. Thus, the density-mediated mechanism must be given careful consideration for the restoration of strong invasion-resistant native plant communities.","container-title":"Ecological Engineering","DOI":"10.1016/j.ecoleng.2019.105712","ISSN":"0925-8574","journalAbbreviation":"Ecological Engineering","language":"en","page":"105712","source":"ScienceDirect","title":"Seed density is as important as limiting similarity, diversity effect, and propagule pressure in plant restoration to control invasion","URL":"https://www.sciencedirect.com/science/article/pii/S0925857419304367","volume":"144","author":[{"family":"Byun","given":"Chaeho"},{"family":"Oh","given":"Minwoo"},{"family":"Lee","given":"Eun Ju"},{"family":"Kang","given":"Hojeong"}],"accessed":{"date-parts":[["2021",6,7]]},"issued":{"date-parts":[["2020",2,1]]}},"label":"page"}],"schema":"https://github.com/citation-style-language/schema/raw/master/csl-citation.json"} </w:instrText>
      </w:r>
      <w:r w:rsidR="00383764" w:rsidRPr="00837161">
        <w:rPr>
          <w:rFonts w:eastAsia="Times New Roman"/>
        </w:rPr>
        <w:fldChar w:fldCharType="separate"/>
      </w:r>
      <w:r w:rsidR="00271B78" w:rsidRPr="00271B78">
        <w:t>(Byun et al., 2013; Byun, Oh, et al., 2020)</w:t>
      </w:r>
      <w:r w:rsidR="00383764" w:rsidRPr="00837161">
        <w:rPr>
          <w:rFonts w:eastAsia="Times New Roman"/>
        </w:rPr>
        <w:fldChar w:fldCharType="end"/>
      </w:r>
      <w:r w:rsidR="61AFB01C" w:rsidRPr="00837161">
        <w:rPr>
          <w:rFonts w:eastAsia="Times New Roman"/>
          <w:color w:val="000000" w:themeColor="text1"/>
        </w:rPr>
        <w:t>.</w:t>
      </w:r>
      <w:r w:rsidR="6353E735" w:rsidRPr="00837161">
        <w:rPr>
          <w:rFonts w:eastAsia="Times New Roman"/>
        </w:rPr>
        <w:t xml:space="preserve"> However, large seedbanks of the </w:t>
      </w:r>
      <w:r w:rsidR="00445DE5" w:rsidRPr="00837161">
        <w:rPr>
          <w:rFonts w:eastAsia="Times New Roman"/>
        </w:rPr>
        <w:t>invasive alien species</w:t>
      </w:r>
      <w:r w:rsidR="6353E735" w:rsidRPr="00837161">
        <w:rPr>
          <w:rFonts w:eastAsia="Times New Roman"/>
        </w:rPr>
        <w:t xml:space="preserve"> may often </w:t>
      </w:r>
      <w:r w:rsidR="007E5874">
        <w:rPr>
          <w:rFonts w:eastAsia="Times New Roman"/>
        </w:rPr>
        <w:t>interfere with</w:t>
      </w:r>
      <w:r w:rsidR="007E5874" w:rsidRPr="00837161">
        <w:rPr>
          <w:rFonts w:eastAsia="Times New Roman"/>
        </w:rPr>
        <w:t xml:space="preserve"> </w:t>
      </w:r>
      <w:r w:rsidR="6353E735" w:rsidRPr="00837161">
        <w:rPr>
          <w:rFonts w:eastAsia="Times New Roman"/>
        </w:rPr>
        <w:t xml:space="preserve">these attempts. Therefore, success of </w:t>
      </w:r>
      <w:r w:rsidR="00875B60">
        <w:rPr>
          <w:rFonts w:eastAsia="Times New Roman"/>
        </w:rPr>
        <w:t xml:space="preserve">ecosystem </w:t>
      </w:r>
      <w:r w:rsidR="6353E735" w:rsidRPr="00837161">
        <w:rPr>
          <w:rFonts w:eastAsia="Times New Roman"/>
        </w:rPr>
        <w:t>restoration depends on ensuring a well-established seed bank of native plants at the site and</w:t>
      </w:r>
      <w:r w:rsidR="0008773B">
        <w:rPr>
          <w:rFonts w:eastAsia="Times New Roman"/>
        </w:rPr>
        <w:t xml:space="preserve"> on</w:t>
      </w:r>
      <w:r w:rsidR="6353E735" w:rsidRPr="00837161">
        <w:rPr>
          <w:rFonts w:eastAsia="Times New Roman"/>
        </w:rPr>
        <w:t xml:space="preserve"> long-term monitoring of the restored habitats to ensure establishment of the planted seedlings and </w:t>
      </w:r>
      <w:r w:rsidR="008E20AF">
        <w:rPr>
          <w:rFonts w:eastAsia="Times New Roman"/>
        </w:rPr>
        <w:t xml:space="preserve">to </w:t>
      </w:r>
      <w:r w:rsidR="6353E735" w:rsidRPr="00837161">
        <w:rPr>
          <w:rFonts w:eastAsia="Times New Roman"/>
        </w:rPr>
        <w:t>manag</w:t>
      </w:r>
      <w:r w:rsidR="008E20AF">
        <w:rPr>
          <w:rFonts w:eastAsia="Times New Roman"/>
        </w:rPr>
        <w:t>e</w:t>
      </w:r>
      <w:r w:rsidR="6353E735" w:rsidRPr="00837161">
        <w:rPr>
          <w:rFonts w:eastAsia="Times New Roman"/>
        </w:rPr>
        <w:t xml:space="preserve"> re-invasions </w:t>
      </w:r>
      <w:r w:rsidR="00383764" w:rsidRPr="00837161">
        <w:rPr>
          <w:rFonts w:eastAsia="Times New Roman"/>
        </w:rPr>
        <w:fldChar w:fldCharType="begin"/>
      </w:r>
      <w:r w:rsidR="000F35EB">
        <w:rPr>
          <w:rFonts w:eastAsia="Times New Roman"/>
        </w:rPr>
        <w:instrText xml:space="preserve"> ADDIN ZOTERO_ITEM CSL_CITATION {"citationID":"yR0glRwh","properties":{"formattedCitation":"(Byun, de Blois, et al., 2020; Byun et al., 2018)","plainCitation":"(Byun, de Blois, et al., 2020; Byun et al., 2018)","noteIndex":0},"citationItems":[{"id":10811,"uris":["http://zotero.org/groups/2352922/items/NBUJ6447"],"itemData":{"id":10811,"type":"article-journal","abstract":"Understanding how plant communities reassemble is particularly relevant when invaders are part of the species pool and can compromise restoration or conservation goals. If initial species composition has a lasting impact on community dynamics, it may be possible to enhance biotic resistance to invasion, particularly through diversity effects, by manipulating early community composition. Diversity effects have been investigated much less in wetlands than in uplands. We conducted a large plant community restoration experiment in a freshwater wetland to investigate species and functional diversity effects on biotic resistance to invasion during early community assembly. The wetland was under propagule pressure mostly from Phragmites australis (common reed), but all species not sown in this experiment that established in the plots were treated as ‘invaders’, whether exotic or native. We used a two-step model selection approach and a diversity-interaction model framework to test hypotheses about the contribution to invasion success of abiotic conditions, species richness, as well as functional group richness, identity and pairwise interactions, providing a rare test of diversity effects against multiple invaders in wetlands. In all, 20 species invaded the plots. They were grouped for analysis to evaluate the overall resistance of resident communities. The three main invaders, P. australis and two native taxa (Salix spp., Populus deltoides), were also analysed separately. Diversity-interaction models revealed invader-specific responses. Functional group identity determined resistance to P. australis, whereas pairwise interactions between functional groups explained resistance to Salix spp. Both effects were retained when grouping all invaders. Resistance to P. deltoides was determined by abiotic conditions. The contribution of specific functional groups varied with invader. Annuals and clonal perennials explained resistance to P. australis, suggesting priority and limiting similarity effects. Interactions, when significant, mostly included fast-growing annuals. When considering all invaders, identity effects were detected for all functional groups. Synthesis. Diversity effects on invasion resistance vary with invaders in early assembly of restored wetland communities. Restoring functionally diverse communities provides resistance against multiple invaders. Consistent responses between this field experiment and previous pot experiments with the same species suggest that results are robust enough to inform management.","container-title":"Journal of Ecology","DOI":"https://doi.org/10.1111/1365-2745.13419","ISSN":"1365-2745","issue":"6","language":"en","license":"© 2020 British Ecological Society","note":"_eprint: https://besjournals.onlinelibrary.wiley.com/doi/pdf/10.1111/1365-2745.13419","page":"2485-2498","source":"Wiley Online Library","title":"Restoring functionally diverse communities enhances invasion resistance in a freshwater wetland","URL":"https://besjournals.onlinelibrary.wiley.com/doi/abs/10.1111/1365-2745.13419","volume":"108","author":[{"family":"Byun","given":"Chaeho"},{"family":"Blois","given":"Sylvie","non-dropping-particle":"de"},{"family":"Brisson","given":"Jacques"}],"accessed":{"date-parts":[["2021",6,7]]},"issued":{"date-parts":[["2020"]]}}},{"id":31922,"uris":["http://zotero.org/groups/2352922/items/F4LWKWMF"],"itemData":{"id":31922,"type":"article-journal","abstract":"Despite debates on the real impact of plant invasion on native biodiversity, there remain many situations where exotic invasive plants must be managed and habitats restored. Restoration practices that build on plant community assembly principles could be useful to delay or prevent re-invasion after control, but there are still few syntheses of the biodiversity theory, ecological mechanisms and experimental evidence relevant to invasive plant management, possibly delaying applications. To provide such a synthesis, we review current knowledge on three key determinants of invasion success: biotic resistance, abiotic constraints, and propagule pressure. We elaborate on the ecological mechanisms at play for each determinant and emphasize, using case studies, their relevance for invasive plant management and ecological restoration. We find evidence that restoring a plant cover can enhance invasion resistance, but the challenge for both research and field applications is to understand how multiple determinants interact in relation to species traits in the fields. Failure to recognize these interactions and their effect on community assembly processes may explain some of the mixed species responses observed. While we need control and restoration case studies with local species at different sites, the development of a coherent, dynamic and adaptive framework around biotic/ecological resistance will have to go beyond the idiosyncrasy of the many species and systems being tested. Emphasizing the functional diversity of the restored community seems a promising approach when facing potentially multiple invaders and/or fluctuating abiotic conditions.","container-title":"Biological Invasions","DOI":"10.1007/s10530-017-1529-7","ISSN":"1573-1464","issue":"1","journalAbbreviation":"Biol Invasions","language":"en","page":"13-27","source":"Springer Link","title":"Management of invasive plants through ecological resistance","URL":"https://doi.org/10.1007/s10530-017-1529-7","volume":"20","author":[{"family":"Byun","given":"Chaeho"},{"family":"Blois","given":"Sylvie","non-dropping-particle":"de"},{"family":"Brisson","given":"Jacques"}],"accessed":{"date-parts":[["2021",6,7]]},"issued":{"date-parts":[["2018",1,1]]}},"label":"page"}],"schema":"https://github.com/citation-style-language/schema/raw/master/csl-citation.json"} </w:instrText>
      </w:r>
      <w:r w:rsidR="00383764" w:rsidRPr="00837161">
        <w:rPr>
          <w:rFonts w:eastAsia="Times New Roman"/>
        </w:rPr>
        <w:fldChar w:fldCharType="separate"/>
      </w:r>
      <w:r w:rsidR="00271B78" w:rsidRPr="00271B78">
        <w:t>(Byun, de Blois, et al., 2020; Byun et al., 2018)</w:t>
      </w:r>
      <w:r w:rsidR="00383764" w:rsidRPr="00837161">
        <w:rPr>
          <w:rFonts w:eastAsia="Times New Roman"/>
        </w:rPr>
        <w:fldChar w:fldCharType="end"/>
      </w:r>
      <w:r w:rsidR="6353E735" w:rsidRPr="00837161">
        <w:rPr>
          <w:rFonts w:eastAsia="Times New Roman"/>
          <w:color w:val="000000" w:themeColor="text1"/>
        </w:rPr>
        <w:t>.</w:t>
      </w:r>
      <w:r w:rsidRPr="00C0338D">
        <w:t xml:space="preserve"> Assisted natural regeneration of native plants by protecting the area from grazing, fire</w:t>
      </w:r>
      <w:r w:rsidR="00C16EEB">
        <w:t xml:space="preserve"> and</w:t>
      </w:r>
      <w:r w:rsidRPr="00C0338D">
        <w:t xml:space="preserve"> other interventions may also help successful ecosystem restoration. Local community cooperation is essential for the success of assisted regeneration. </w:t>
      </w:r>
    </w:p>
    <w:p w14:paraId="1C7C80C7" w14:textId="6D12351E" w:rsidR="00066A7E" w:rsidRPr="00837161" w:rsidRDefault="3E01ED8E" w:rsidP="00C11DFA">
      <w:pPr>
        <w:spacing w:before="240" w:after="120" w:line="240" w:lineRule="auto"/>
      </w:pPr>
      <w:r w:rsidRPr="00837161">
        <w:rPr>
          <w:rFonts w:eastAsia="Times New Roman"/>
        </w:rPr>
        <w:t xml:space="preserve">Field experiments have shown that a good knowledge of the functional-trait-based biotic resistance and diversity-resistance in the community will help to achieve successful restoration of native communities on sites where invasive alien plants were </w:t>
      </w:r>
      <w:r w:rsidR="507851EC" w:rsidRPr="00837161">
        <w:rPr>
          <w:rFonts w:eastAsia="Times New Roman"/>
        </w:rPr>
        <w:t>succe</w:t>
      </w:r>
      <w:r w:rsidR="3921E641" w:rsidRPr="00837161">
        <w:rPr>
          <w:rFonts w:eastAsia="Times New Roman"/>
        </w:rPr>
        <w:t>ss</w:t>
      </w:r>
      <w:r w:rsidR="507851EC" w:rsidRPr="00837161">
        <w:rPr>
          <w:rFonts w:eastAsia="Times New Roman"/>
        </w:rPr>
        <w:t>fully</w:t>
      </w:r>
      <w:r w:rsidRPr="00837161">
        <w:rPr>
          <w:rFonts w:eastAsia="Times New Roman"/>
        </w:rPr>
        <w:t xml:space="preserve"> managed. </w:t>
      </w:r>
      <w:r w:rsidR="00445DE5" w:rsidRPr="00837161">
        <w:rPr>
          <w:rFonts w:eastAsia="Times New Roman"/>
        </w:rPr>
        <w:t xml:space="preserve">Resistance to </w:t>
      </w:r>
      <w:r w:rsidR="002F2F42">
        <w:t xml:space="preserve">invasive alien species </w:t>
      </w:r>
      <w:r w:rsidR="00445DE5" w:rsidRPr="00837161">
        <w:rPr>
          <w:rFonts w:eastAsia="Times New Roman"/>
        </w:rPr>
        <w:t xml:space="preserve">may be </w:t>
      </w:r>
      <w:r w:rsidRPr="00837161">
        <w:rPr>
          <w:rFonts w:eastAsia="Times New Roman"/>
        </w:rPr>
        <w:t xml:space="preserve">associated with community functional diversity </w:t>
      </w:r>
      <w:r w:rsidR="00383764" w:rsidRPr="00837161">
        <w:rPr>
          <w:rFonts w:eastAsia="Times New Roman"/>
        </w:rPr>
        <w:fldChar w:fldCharType="begin"/>
      </w:r>
      <w:r w:rsidR="000F35EB">
        <w:rPr>
          <w:rFonts w:eastAsia="Times New Roman"/>
        </w:rPr>
        <w:instrText xml:space="preserve"> ADDIN ZOTERO_ITEM CSL_CITATION {"citationID":"DRd56pu0","properties":{"formattedCitation":"(Byun, Blois, et al., 2020; Byun et al., 2013, 2018)","plainCitation":"(Byun, Blois, et al., 2020; Byun et al., 2013, 2018)","dontUpdate":true,"noteIndex":0},"citationItems":[{"id":10811,"uris":["http://zotero.org/groups/2352922/items/NBUJ6447"],"itemData":{"id":10811,"type":"article-journal","abstract":"Understanding how plant communities reassemble is particularly relevant when invaders are part of the species pool and can compromise restoration or conservation goals. If initial species composition has a lasting impact on community dynamics, it may be possible to enhance biotic resistance to invasion, particularly through diversity effects, by manipulating early community composition. Diversity effects have been investigated much less in wetlands than in uplands. We conducted a large plant community restoration experiment in a freshwater wetland to investigate species and functional diversity effects on biotic resistance to invasion during early community assembly. The wetland was under propagule pressure mostly from Phragmites australis (common reed), but all species not sown in this experiment that established in the plots were treated as ‘invaders’, whether exotic or native. We used a two-step model selection approach and a diversity-interaction model framework to test hypotheses about the contribution to invasion success of abiotic conditions, species richness, as well as functional group richness, identity and pairwise interactions, providing a rare test of diversity effects against multiple invaders in wetlands. In all, 20 species invaded the plots. They were grouped for analysis to evaluate the overall resistance of resident communities. The three main invaders, P. australis and two native taxa (Salix spp., Populus deltoides), were also analysed separately. Diversity-interaction models revealed invader-specific responses. Functional group identity determined resistance to P. australis, whereas pairwise interactions between functional groups explained resistance to Salix spp. Both effects were retained when grouping all invaders. Resistance to P. deltoides was determined by abiotic conditions. The contribution of specific functional groups varied with invader. Annuals and clonal perennials explained resistance to P. australis, suggesting priority and limiting similarity effects. Interactions, when significant, mostly included fast-growing annuals. When considering all invaders, identity effects were detected for all functional groups. Synthesis. Diversity effects on invasion resistance vary with invaders in early assembly of restored wetland communities. Restoring functionally diverse communities provides resistance against multiple invaders. Consistent responses between this field experiment and previous pot experiments with the same species suggest that results are robust enough to inform management.","container-title":"Journal of Ecology","DOI":"https://doi.org/10.1111/1365-2745.13419","ISSN":"1365-2745","issue":"6","language":"en","license":"© 2020 British Ecological Society","note":"_eprint: https://besjournals.onlinelibrary.wiley.com/doi/pdf/10.1111/1365-2745.13419","page":"2485-2498","source":"Wiley Online Library","title":"Restoring functionally diverse communities enhances invasion resistance in a freshwater wetland","URL":"https://besjournals.onlinelibrary.wiley.com/doi/abs/10.1111/1365-2745.13419","volume":"108","author":[{"family":"Byun","given":"Chaeho"},{"family":"Blois","given":"Sylvie","non-dropping-particle":"de"},{"family":"Brisson","given":"Jacques"}],"accessed":{"date-parts":[["2021",6,7]]},"issued":{"date-parts":[["2020"]]}}},{"id":10812,"uris":["http://zotero.org/groups/2352922/items/6H348UI7"],"itemData":{"id":10812,"type":"article-journal","abstract":"Biotic resistance, the ability of species in a community to limit invasion, is central to our understanding of how communities at risk of invasion assemble after disturbances, but it has yet to translate into guiding principles for the restoration of invasion-resistant plant communities. We combined experimental, functional, and modelling approaches to investigate processes of community assembly contributing to biotic resistance to an introduced lineage of Phragmites australis, a model invasive species in North America. We hypothesized that (i) functional group identity would be a good predictor of biotic resistance to P. australis, while species identity effect would be redundant within functional group (ii) mixtures of species would be more invasion resistant than monocultures. We classified 36 resident wetland plants into four functional groups based on eight functional traits. We conducted two competition experiments based on the additive competition design with P. australis and monocultures or mixtures of wetland plants. As an indicator of biotic resistance, we calculated a relative competition index (RCIavg) based on the average performance of P. australis in competition treatment compared with control. To explain diversity effect further, we partitioned it into selection effect and complementarity effect and tested several diversity–interaction models. In monoculture treatments, RCIavg of wetland plants was significantly different among functional groups, but not within each functional group. We found the highest RCIavg for fast-growing annuals, suggesting priority effect. RCIavg of wetland plants was significantly greater in mixture than in monoculture mainly due to complementarity–diversity effect among functional groups. In diversity–interaction models, species interaction patterns in mixtures were described best by interactions between functional groups when fitted to RCIavg or biomass, implying niche partitioning. Synthesis. Functional group identity and diversity of resident plant communities are good indicators of biotic resistance to invasion by introduced Phragmites australis, suggesting niche pre-emption (priority effect) and niche partitioning (diversity effect) as underlying mechanisms. Guiding principles to understand and/or manage biological invasion could emerge from advances in community theory and the use of a functional framework. Targeting widely distributed invasive plants in different contexts and scaling up to field situations will facilitate generalization.","container-title":"Journal of Ecology","DOI":"10.1111/1365-2745.12016","ISSN":"1365-2745","issue":"1","language":"en","license":"© 2012 The Authors. Journal of Ecology © 2012 British Ecological Society","note":"_eprint: https://besjournals.onlinelibrary.wiley.com/doi/pdf/10.1111/1365-2745.12016","page":"128-139","source":"Wiley Online Library","title":"Plant functional group identity and diversity determine biotic resistance to invasion by an exotic grass","URL":"https://besjournals.onlinelibrary.wiley.com/doi/abs/10.1111/1365-2745.12016","volume":"101","author":[{"family":"Byun","given":"Chaeho"},{"family":"Blois","given":"Sylvie","non-dropping-particle":"de"},{"family":"Brisson","given":"Jacques"}],"accessed":{"date-parts":[["2021",6,7]]},"issued":{"date-parts":[["2013"]]}}},{"id":31922,"uris":["http://zotero.org/groups/2352922/items/F4LWKWMF"],"itemData":{"id":31922,"type":"article-journal","abstract":"Despite debates on the real impact of plant invasion on native biodiversity, there remain many situations where exotic invasive plants must be managed and habitats restored. Restoration practices that build on plant community assembly principles could be useful to delay or prevent re-invasion after control, but there are still few syntheses of the biodiversity theory, ecological mechanisms and experimental evidence relevant to invasive plant management, possibly delaying applications. To provide such a synthesis, we review current knowledge on three key determinants of invasion success: biotic resistance, abiotic constraints, and propagule pressure. We elaborate on the ecological mechanisms at play for each determinant and emphasize, using case studies, their relevance for invasive plant management and ecological restoration. We find evidence that restoring a plant cover can enhance invasion resistance, but the challenge for both research and field applications is to understand how multiple determinants interact in relation to species traits in the fields. Failure to recognize these interactions and their effect on community assembly processes may explain some of the mixed species responses observed. While we need control and restoration case studies with local species at different sites, the development of a coherent, dynamic and adaptive framework around biotic/ecological resistance will have to go beyond the idiosyncrasy of the many species and systems being tested. Emphasizing the functional diversity of the restored community seems a promising approach when facing potentially multiple invaders and/or fluctuating abiotic conditions.","container-title":"Biological Invasions","DOI":"10.1007/s10530-017-1529-7","ISSN":"1573-1464","issue":"1","journalAbbreviation":"Biol Invasions","language":"en","page":"13-27","source":"Springer Link","title":"Management of invasive plants through ecological resistance","URL":"https://doi.org/10.1007/s10530-017-1529-7","volume":"20","author":[{"family":"Byun","given":"Chaeho"},{"family":"Blois","given":"Sylvie","non-dropping-particle":"de"},{"family":"Brisson","given":"Jacques"}],"accessed":{"date-parts":[["2021",6,7]]},"issued":{"date-parts":[["2018",1,1]]}}}],"schema":"https://github.com/citation-style-language/schema/raw/master/csl-citation.json"} </w:instrText>
      </w:r>
      <w:r w:rsidR="00383764" w:rsidRPr="00837161">
        <w:rPr>
          <w:rFonts w:eastAsia="Times New Roman"/>
        </w:rPr>
        <w:fldChar w:fldCharType="separate"/>
      </w:r>
      <w:r w:rsidR="00383764" w:rsidRPr="00837161">
        <w:t>(Byun, Blois, et al., 2020; Byun et al., 2013, 2018</w:t>
      </w:r>
      <w:r w:rsidR="00383764" w:rsidRPr="00837161">
        <w:rPr>
          <w:rFonts w:eastAsia="Times New Roman"/>
        </w:rPr>
        <w:fldChar w:fldCharType="end"/>
      </w:r>
      <w:r w:rsidR="0096461A" w:rsidRPr="00837161">
        <w:rPr>
          <w:rFonts w:eastAsia="Times New Roman"/>
        </w:rPr>
        <w:t xml:space="preserve">; </w:t>
      </w:r>
      <w:r w:rsidR="00F16770" w:rsidRPr="00E32D13">
        <w:rPr>
          <w:rFonts w:eastAsia="Times New Roman"/>
          <w:b/>
          <w:iCs/>
        </w:rPr>
        <w:t>C</w:t>
      </w:r>
      <w:r w:rsidR="0096461A" w:rsidRPr="00E32D13">
        <w:rPr>
          <w:rFonts w:eastAsia="Times New Roman"/>
          <w:b/>
          <w:iCs/>
        </w:rPr>
        <w:t>hapter 1</w:t>
      </w:r>
      <w:r w:rsidR="0096461A" w:rsidRPr="00E32D13">
        <w:rPr>
          <w:rFonts w:eastAsia="Times New Roman"/>
          <w:iCs/>
        </w:rPr>
        <w:t>,</w:t>
      </w:r>
      <w:r w:rsidR="0096461A" w:rsidRPr="00E32D13">
        <w:rPr>
          <w:rFonts w:eastAsia="Times New Roman"/>
          <w:b/>
          <w:iCs/>
        </w:rPr>
        <w:t xml:space="preserve"> section 1.4.3</w:t>
      </w:r>
      <w:r w:rsidR="0096461A" w:rsidRPr="00E32D13">
        <w:rPr>
          <w:rFonts w:eastAsia="Times New Roman"/>
        </w:rPr>
        <w:t>)</w:t>
      </w:r>
      <w:r w:rsidR="0008773B">
        <w:rPr>
          <w:rFonts w:eastAsia="Times New Roman"/>
        </w:rPr>
        <w:t>,</w:t>
      </w:r>
      <w:r w:rsidRPr="00E32D13">
        <w:rPr>
          <w:rFonts w:eastAsia="Times New Roman"/>
        </w:rPr>
        <w:t xml:space="preserve"> </w:t>
      </w:r>
      <w:r w:rsidRPr="00A400AB">
        <w:rPr>
          <w:rFonts w:eastAsia="Times New Roman"/>
        </w:rPr>
        <w:t>and</w:t>
      </w:r>
      <w:r w:rsidR="00004F30" w:rsidRPr="00A400AB">
        <w:rPr>
          <w:rFonts w:eastAsia="Times New Roman"/>
        </w:rPr>
        <w:t xml:space="preserve"> functional diversity</w:t>
      </w:r>
      <w:r w:rsidRPr="00A400AB">
        <w:rPr>
          <w:rFonts w:eastAsia="Times New Roman"/>
        </w:rPr>
        <w:t xml:space="preserve"> could be (based on trait complementarity) a good indicator of </w:t>
      </w:r>
      <w:r w:rsidR="00445DE5" w:rsidRPr="00A400AB">
        <w:rPr>
          <w:rFonts w:eastAsia="Times New Roman"/>
        </w:rPr>
        <w:t>invasibility</w:t>
      </w:r>
      <w:r w:rsidR="005B6FD3" w:rsidRPr="00A400AB">
        <w:rPr>
          <w:rFonts w:eastAsia="Times New Roman"/>
        </w:rPr>
        <w:t>.</w:t>
      </w:r>
      <w:r w:rsidRPr="00A400AB">
        <w:rPr>
          <w:rFonts w:eastAsia="Times New Roman"/>
        </w:rPr>
        <w:t xml:space="preserve"> </w:t>
      </w:r>
      <w:r w:rsidR="005B6FD3" w:rsidRPr="00A400AB">
        <w:rPr>
          <w:rFonts w:eastAsia="Times New Roman"/>
        </w:rPr>
        <w:t xml:space="preserve">A recent study of communities invaded by </w:t>
      </w:r>
      <w:r w:rsidR="0F493B5D" w:rsidRPr="00A400AB">
        <w:rPr>
          <w:rFonts w:eastAsia="Times New Roman"/>
          <w:i/>
          <w:iCs/>
        </w:rPr>
        <w:t>Phragmites australis</w:t>
      </w:r>
      <w:r w:rsidR="0F493B5D" w:rsidRPr="00A400AB">
        <w:rPr>
          <w:rFonts w:eastAsia="Times New Roman"/>
        </w:rPr>
        <w:t xml:space="preserve"> (</w:t>
      </w:r>
      <w:r w:rsidRPr="00A400AB">
        <w:rPr>
          <w:rFonts w:eastAsia="Times New Roman"/>
        </w:rPr>
        <w:t>common reed) in Canada</w:t>
      </w:r>
      <w:r w:rsidRPr="00837161">
        <w:rPr>
          <w:rFonts w:eastAsia="Times New Roman"/>
        </w:rPr>
        <w:t xml:space="preserve"> </w:t>
      </w:r>
      <w:r w:rsidR="001B5F33" w:rsidRPr="00837161">
        <w:rPr>
          <w:rFonts w:eastAsia="Times New Roman"/>
        </w:rPr>
        <w:fldChar w:fldCharType="begin"/>
      </w:r>
      <w:r w:rsidR="000F35EB">
        <w:rPr>
          <w:rFonts w:eastAsia="Times New Roman"/>
        </w:rPr>
        <w:instrText xml:space="preserve"> ADDIN ZOTERO_ITEM CSL_CITATION {"citationID":"2aGyE2PK","properties":{"formattedCitation":"(Byun, de Blois, et al., 2020; Byun et al., 2013)","plainCitation":"(Byun, de Blois, et al., 2020; Byun et al., 2013)","noteIndex":0},"citationItems":[{"id":10811,"uris":["http://zotero.org/groups/2352922/items/NBUJ6447"],"itemData":{"id":10811,"type":"article-journal","abstract":"Understanding how plant communities reassemble is particularly relevant when invaders are part of the species pool and can compromise restoration or conservation goals. If initial species composition has a lasting impact on community dynamics, it may be possible to enhance biotic resistance to invasion, particularly through diversity effects, by manipulating early community composition. Diversity effects have been investigated much less in wetlands than in uplands. We conducted a large plant community restoration experiment in a freshwater wetland to investigate species and functional diversity effects on biotic resistance to invasion during early community assembly. The wetland was under propagule pressure mostly from Phragmites australis (common reed), but all species not sown in this experiment that established in the plots were treated as ‘invaders’, whether exotic or native. We used a two-step model selection approach and a diversity-interaction model framework to test hypotheses about the contribution to invasion success of abiotic conditions, species richness, as well as functional group richness, identity and pairwise interactions, providing a rare test of diversity effects against multiple invaders in wetlands. In all, 20 species invaded the plots. They were grouped for analysis to evaluate the overall resistance of resident communities. The three main invaders, P. australis and two native taxa (Salix spp., Populus deltoides), were also analysed separately. Diversity-interaction models revealed invader-specific responses. Functional group identity determined resistance to P. australis, whereas pairwise interactions between functional groups explained resistance to Salix spp. Both effects were retained when grouping all invaders. Resistance to P. deltoides was determined by abiotic conditions. The contribution of specific functional groups varied with invader. Annuals and clonal perennials explained resistance to P. australis, suggesting priority and limiting similarity effects. Interactions, when significant, mostly included fast-growing annuals. When considering all invaders, identity effects were detected for all functional groups. Synthesis. Diversity effects on invasion resistance vary with invaders in early assembly of restored wetland communities. Restoring functionally diverse communities provides resistance against multiple invaders. Consistent responses between this field experiment and previous pot experiments with the same species suggest that results are robust enough to inform management.","container-title":"Journal of Ecology","DOI":"https://doi.org/10.1111/1365-2745.13419","ISSN":"1365-2745","issue":"6","language":"en","license":"© 2020 British Ecological Society","note":"_eprint: https://besjournals.onlinelibrary.wiley.com/doi/pdf/10.1111/1365-2745.13419","page":"2485-2498","source":"Wiley Online Library","title":"Restoring functionally diverse communities enhances invasion resistance in a freshwater wetland","URL":"https://besjournals.onlinelibrary.wiley.com/doi/abs/10.1111/1365-2745.13419","volume":"108","author":[{"family":"Byun","given":"Chaeho"},{"family":"Blois","given":"Sylvie","non-dropping-particle":"de"},{"family":"Brisson","given":"Jacques"}],"accessed":{"date-parts":[["2021",6,7]]},"issued":{"date-parts":[["2020"]]}},"label":"page"},{"id":10812,"uris":["http://zotero.org/groups/2352922/items/6H348UI7"],"itemData":{"id":10812,"type":"article-journal","abstract":"Biotic resistance, the ability of species in a community to limit invasion, is central to our understanding of how communities at risk of invasion assemble after disturbances, but it has yet to translate into guiding principles for the restoration of invasion-resistant plant communities. We combined experimental, functional, and modelling approaches to investigate processes of community assembly contributing to biotic resistance to an introduced lineage of Phragmites australis, a model invasive species in North America. We hypothesized that (i) functional group identity would be a good predictor of biotic resistance to P. australis, while species identity effect would be redundant within functional group (ii) mixtures of species would be more invasion resistant than monocultures. We classified 36 resident wetland plants into four functional groups based on eight functional traits. We conducted two competition experiments based on the additive competition design with P. australis and monocultures or mixtures of wetland plants. As an indicator of biotic resistance, we calculated a relative competition index (RCIavg) based on the average performance of P. australis in competition treatment compared with control. To explain diversity effect further, we partitioned it into selection effect and complementarity effect and tested several diversity–interaction models. In monoculture treatments, RCIavg of wetland plants was significantly different among functional groups, but not within each functional group. We found the highest RCIavg for fast-growing annuals, suggesting priority effect. RCIavg of wetland plants was significantly greater in mixture than in monoculture mainly due to complementarity–diversity effect among functional groups. In diversity–interaction models, species interaction patterns in mixtures were described best by interactions between functional groups when fitted to RCIavg or biomass, implying niche partitioning. Synthesis. Functional group identity and diversity of resident plant communities are good indicators of biotic resistance to invasion by introduced Phragmites australis, suggesting niche pre-emption (priority effect) and niche partitioning (diversity effect) as underlying mechanisms. Guiding principles to understand and/or manage biological invasion could emerge from advances in community theory and the use of a functional framework. Targeting widely distributed invasive plants in different contexts and scaling up to field situations will facilitate generalization.","container-title":"Journal of Ecology","DOI":"10.1111/1365-2745.12016","ISSN":"1365-2745","issue":"1","language":"en","license":"© 2012 The Authors. Journal of Ecology © 2012 British Ecological Society","note":"_eprint: https://besjournals.onlinelibrary.wiley.com/doi/pdf/10.1111/1365-2745.12016","page":"128-139","source":"Wiley Online Library","title":"Plant functional group identity and diversity determine biotic resistance to invasion by an exotic grass","URL":"https://besjournals.onlinelibrary.wiley.com/doi/abs/10.1111/1365-2745.12016","volume":"101","author":[{"family":"Byun","given":"Chaeho"},{"family":"Blois","given":"Sylvie","non-dropping-particle":"de"},{"family":"Brisson","given":"Jacques"}],"accessed":{"date-parts":[["2021",6,7]]},"issued":{"date-parts":[["2013"]]}},"label":"page"}],"schema":"https://github.com/citation-style-language/schema/raw/master/csl-citation.json"} </w:instrText>
      </w:r>
      <w:r w:rsidR="001B5F33" w:rsidRPr="00837161">
        <w:rPr>
          <w:rFonts w:eastAsia="Times New Roman"/>
        </w:rPr>
        <w:fldChar w:fldCharType="separate"/>
      </w:r>
      <w:r w:rsidR="00271B78" w:rsidRPr="00271B78">
        <w:t>(Byun, de Blois, et al., 2020; Byun et al., 2013)</w:t>
      </w:r>
      <w:r w:rsidR="001B5F33" w:rsidRPr="00837161">
        <w:rPr>
          <w:rFonts w:eastAsia="Times New Roman"/>
        </w:rPr>
        <w:fldChar w:fldCharType="end"/>
      </w:r>
      <w:r w:rsidRPr="00837161">
        <w:rPr>
          <w:rFonts w:eastAsia="Times New Roman"/>
        </w:rPr>
        <w:t xml:space="preserve"> proved that functional diversity-based </w:t>
      </w:r>
      <w:r w:rsidR="004643B2" w:rsidRPr="00837161">
        <w:rPr>
          <w:rFonts w:eastAsia="Times New Roman"/>
        </w:rPr>
        <w:t xml:space="preserve">resistance to </w:t>
      </w:r>
      <w:r w:rsidR="002F2F42">
        <w:t xml:space="preserve">invasive alien species </w:t>
      </w:r>
      <w:r w:rsidR="004643B2" w:rsidRPr="00837161">
        <w:rPr>
          <w:rFonts w:eastAsia="Times New Roman"/>
        </w:rPr>
        <w:t>differs between invasive alien species</w:t>
      </w:r>
      <w:r w:rsidR="0008773B">
        <w:rPr>
          <w:rFonts w:eastAsia="Times New Roman"/>
        </w:rPr>
        <w:t>,</w:t>
      </w:r>
      <w:r w:rsidR="004643B2" w:rsidRPr="00837161">
        <w:rPr>
          <w:rFonts w:eastAsia="Times New Roman"/>
        </w:rPr>
        <w:t xml:space="preserve"> and restoring functional diversity could provide resistance against multiple invasive alien species</w:t>
      </w:r>
      <w:r w:rsidRPr="00837161">
        <w:rPr>
          <w:rFonts w:eastAsia="Times New Roman"/>
        </w:rPr>
        <w:t xml:space="preserve">. It is certainly prudent to restore functional diversity as part of </w:t>
      </w:r>
      <w:r w:rsidR="00875B60">
        <w:rPr>
          <w:rFonts w:eastAsia="Times New Roman"/>
        </w:rPr>
        <w:t xml:space="preserve">ecosystem </w:t>
      </w:r>
      <w:r w:rsidRPr="00837161">
        <w:rPr>
          <w:rFonts w:eastAsia="Times New Roman"/>
        </w:rPr>
        <w:t>restoration since the process of restoration will be easier if functional diversity is not lost.</w:t>
      </w:r>
      <w:r w:rsidR="00066A7E" w:rsidRPr="00837161">
        <w:fldChar w:fldCharType="begin"/>
      </w:r>
      <w:r w:rsidR="000F35EB">
        <w:instrText xml:space="preserve"> ADDIN ZOTERO_ITEM CSL_CITATION {"citationID":"ykucSJuO","properties":{"formattedCitation":"(Lopez et al., 2006)","plainCitation":"(Lopez et al., 2006)","dontUpdate":true,"noteIndex":0},"citationItems":[{"id":31351,"uris":["http://zotero.org/groups/2352922/items/3PIHQRQD"],"itemData":{"id":31351,"type":"article-journal","container-title":"Ecosystems","DOI":"10.1007/s10021-005-0113-7","ISSN":"1432-9840, 1435-0629","issue":"3","journalAbbreviation":"Ecosystems","language":"en","page":"422-440","source":"DOI.org (Crossref)","title":"Ecological Values of Shallow-Water Habitats: Implications for the Restoration of Disturbed Ecosystems","title-short":"Ecological Values of Shallow-Water Habitats","URL":"http://link.springer.com/10.1007/s10021-005-0113-7","volume":"9","author":[{"family":"Lopez","given":"Cary B."},{"family":"Cloern","given":"James E."},{"family":"Schraga","given":"Tara S."},{"family":"Little","given":"Amy J."},{"family":"Lucas","given":"Lisa V."},{"family":"Thompson","given":"Janet K."},{"family":"Burau","given":"Jon R."}],"accessed":{"date-parts":[["2021",11,18]]},"issued":{"date-parts":[["2006",4]]}}}],"schema":"https://github.com/citation-style-language/schema/raw/master/csl-citation.json"}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{"citationID":"RtbyxZmt","properties":{"formattedCitation":"(IPBES, 2018)","plainCitation":"(IPBES, 2018)","dontUpdate":true,"noteIndex":0},"citationItems":[{"id":26990,"uris":["http://zotero.org/groups/2352922/items/GAJA8JQR"],"itemData":{"id":26990,"type":"report","abstract":"The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{"citationID":"WlU1Scds","properties":{"formattedCitation":"(Xiao et al., 2011)","plainCitation":"(Xiao et al., 2011)","dontUpdate":true,"noteIndex":0},"citationItems":[{"id":31350,"uris":["http://zotero.org/groups/2352922/items/7ZCCCL7E"],"itemData":{"id":31350,"type":"article-journal","issue":"20","journalAbbreviation":"Ecol Environ Sci","language":"Chinese","page":"1681-1686","title":"Response of seed production and viability of &lt;i&gt;Spartina alternifolia&lt;/i&gt; to cutting at Shanghai Chongming DongTan, China.","URL":"http://www.alljournals.cn/view_abstract.aspx?pcid=3FF3ABA7486768130C3FF830376F43B398E0C97F0FF2DD53&amp;cid=BEC1F4700DD66C14D137590A0896A0AD&amp;jid=1CB67BEB88F124F56F6BC6645431F032&amp;aid=42BF0787407D9153CB0AD4178164EB22&amp;yid=9377ED8094509821","author":[{"family":"Xiao","given":"D. R."},{"family":"Zhang","given":"L. Q."},{"family":"Zhu","given":"Z. C."},{"family":"Tian","given":"K."}],"issued":{"date-parts":[["2011"]]}}}],"schema":"https://github.com/citation-style-language/schema/raw/master/csl-citation.json"}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{"citationID":"2QGmmj3L","properties":{"formattedCitation":"(Byun et al., 2013, 2018; Byun, Blois, et al., 2020)","plainCitation":"(Byun et al., 2013, 2018; Byun, Blois, et al., 2020)","dontUpdate":true,"noteIndex":0},"citationItems":[{"id":10812,"uris":["http://zotero.org/groups/2352922/items/6H348UI7"],"itemData":{"id":10812,"type":"article-journal","abstract":"Biotic resistance, the ability of species in a community to limit invasion, is central to our understanding of how communities at risk of invasion assemble after disturbances, but it has yet to translate into guiding principles for the restoration of invasion-resistant plant communities. We combined experimental, functional, and modelling approaches to investigate processes of community assembly contributing to biotic resistance to an introduced lineage of Phragmites australis, a model invasive species in North America. We hypothesized that (i) functional group identity would be a good predictor of biotic resistance to P. australis, while species identity effect would be redundant within functional group (ii) mixtures of species would be more invasion resistant than monocultures. We classified 36 resident wetland plants into four functional groups based on eight functional traits. We conducted two competition experiments based on the additive competition design with P. australis and monocultures or mixtures of wetland plants. As an indicator of biotic resistance, we calculated a relative competition index (RCIavg) based on the average performance of P. australis in competition treatment compared with control. To explain diversity effect further, we partitioned it into selection effect and complementarity effect and tested several diversity–interaction models. In monoculture treatments, RCIavg of wetland plants was significantly different among functional groups, but not within each functional group. We found the highest RCIavg for fast-growing annuals, suggesting priority effect. RCIavg of wetland plants was significantly greater in mixture than in monoculture mainly due to complementarity–diversity effect among functional groups. In diversity–interaction models, species interaction patterns in mixtures were described best by interactions between functional groups when fitted to RCIavg or biomass, implying niche partitioning. Synthesis. Functional group identity and diversity of resident plant communities are good indicators of biotic resistance to invasion by introduced Phragmites australis, suggesting niche pre-emption (priority effect) and niche partitioning (diversity effect) as underlying mechanisms. Guiding principles to understand and/or manage biological invasion could emerge from advances in community theory and the use of a functional framework. Targeting widely distributed invasive plants in different contexts and scaling up to field situations will facilitate generalization.","container-title":"Journal of Ecology","DOI":"10.1111/1365-2745.12016","ISSN":"1365-2745","issue":"1","language":"en","license":"</w:instrText>
      </w:r>
      <w:r w:rsidR="000F35EB">
        <w:rPr>
          <w:rFonts w:hint="eastAsia"/>
        </w:rPr>
        <w:instrText>©</w:instrText>
      </w:r>
      <w:r w:rsidR="000F35EB">
        <w:instrText xml:space="preserve"> 2012 The Authors. Journal of Ecology © 2012 British Ecological Society","note":"_eprint: https://besjournals.onlinelibrary.wiley.com/doi/pdf/10.1111/1365-2745.12016","page":"128-139","source":"Wiley Online Library","title":"Plant functional group identity and diversity determine biotic resistance to invasion by an exotic grass","URL":"https://besjournals.onlinelibrary.wiley.com/doi/abs/10.1111/1365-2745.12016","volume":"101","author":[{"family":"Byun","given":"Chaeho"},{"family":"Blois","given":"Sylvie","non-dropping-particle":"de"},{"family":"Brisson","given":"Jacques"}],"accessed":{"date-parts":[["2021",6,7]]},"issued":{"date-parts":[["2013"]]}}},{"id":31922,"uris":["http://zotero.org/groups/2352922/items/F4LWKWMF"],"itemData":{"id":31922,"type":"article-journal","abstract":"Despite debates on the real impact of plant invasion on native biodiversity, there remain many situations where exotic invasive plants must be managed and habitats restored. Restoration practices that build on plant community assembly principles could be useful to delay or prevent re-invasion after control, but there are still few syntheses of the biodiversity theory, ecological mechanisms and experimental evidence relevant to invasive plant management, possibly delaying applications. To provide such a synthesis, we review current knowledge on three key determinants of invasion success: biotic resistance, abiotic constraints, and propagule pressure. We elaborate on the ecological mechanisms at play for each determinant and emphasize, using case studies, their relevance for invasive plant management and ecological restoration. We find evidence that restoring a plant cover can enhance invasion resistance, but the challenge for both research and field applications is to understand how multiple determinants interact in relation to species traits in the fields. Failure to recognize these interactions and their effect on community assembly processes may explain some of the mixed species responses observed. While we need control and restoration case studies with local species at different sites, the development of a coherent, dynamic and adaptive framework around biotic/ecological resistance will have to go beyond the idiosyncrasy of the many species and systems being tested. Emphasizing the functional diversity of the restored community seems a promising approach when facing potentially multiple invaders and/or fluctuating abiotic conditions.","container-title":"Biological Invasions","DOI":"10.1007/s10530-017-1529-7","ISSN":"1573-1464","issue":"1","journalAbbreviation":"Biol Invasions","language":"en","page":"13-27","source":"Springer Link","title":"Management of invasive plants through ecological resistance","URL":"https://doi.org/10.1007/s10530-017-1529-7","volume":"20","author":[{"family":"Byun","given":"Chaeho"},{"family":"Blois","given":"Sylvie","non-dropping-particle":"de"},{"family":"Brisson","given":"Jacques"}],"accessed":{"date-parts":[["2021",6,7]]},"issued":{"date-parts":[["2018",1,1]]}}},{"id":10811,"uris":["http://zotero.org/groups/2352922/items/NBUJ6447"],"itemData":{"id":10811,"type":"article-journal","abstract":"Understanding how plant communities reassemble is particularly relevant when invaders are part of the species pool and can compromise restoration or conservation goals. If initial species composition has a lasting impact on community dynamics, it may be possible to enhance biotic resistance to invasion, particularly through diversity effects, by manipulating early community composition. Diversity effects have been investigated much less in wetlands than in uplands. We conducted a large plant community restoration experiment in a freshwater wetland to investigate species and functional diversity effects on biotic resistance to invasion during early community assembly. The wetland was under propagule pressure mostly from Phragmites australis (common reed), but all species not sown in this experiment that established in the plots were treated as ‘invaders’, whether exotic or native. We used a two-step model selection approach and a diversity-interaction model framework to test hypotheses about the contribution to invasion success of abiotic conditions, species richness, as well as functional group richness, identity and pairwise interactions, providing a rare test of diversity effects against multiple invaders in wetlands. In all, 20 species invaded the plots. They were grouped for analysis to evaluate the overall resistance of resident communities. The three main invaders, P. australis and two native taxa (Salix spp., Populus deltoides), were also analysed separately. Diversity-interaction models revealed invader-specific responses. Functional group identity determined resistance to P. australis, whereas pairwise interactions between functional groups explained resistance to Salix spp. Both effects were retained when grouping all invaders. Resistance to P. deltoides was determined by abiotic conditions. The contribution of specific functional groups varied with invader. Annuals and clonal perennials explained resistance to P. australis, suggesting priority and limiting similarity effects. Interactions, when significant, mostly included fast-growing annuals. When considering all invaders, identity effects were detected for all functional groups. Synthesis. Diversity effects on invasion resistance vary with invaders in early assembly of restored wetland communities. Restoring functionally diverse communities provides resistance against multiple invaders. Consistent responses between this field experiment and previous pot experiments with the same species suggest that results are robust enough to inform management.","container-title":"Journal of Ecology","DOI":"https://doi.org/10.1111/1365-2745.13419","ISSN":"1365-2745","issue":"6","language":"en","license":"© 2020 British Ecological Society","note":"_eprint: https://besjournals.onlinelibrary.wiley.com/doi/pdf/10.1111/1365-2745.13419","page":"2485-2498","source":"Wiley Online Library","title":"Restoring functionally diverse communities enhances invasion resistance in a freshwater wetland","URL":"https://besjournals.onlinelibrary.wiley.com/doi/abs/10.1111/1365-2745.13419","volume":"108","author":[{"family":"Byun","given":"Chaeho"},{"family":"Blois","given":"Sylvie","non-dropping-particle":"de"},{"family":"Brisson","given":"Jacques"}],"accessed":{"date-parts":[["2021",6,7]]},"issued":{"date-parts":[["2020"]]}}}],"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{"citationID":"RsdADCUU","properties":{"formattedCitation":"(Byun, Blois, et al., 2020)","plainCitation":"(Byun, Blois, et al., 2020)","dontUpdate":true,"noteIndex":0},"citationItems":[{"id":10811,"uris":["http://zotero.org/groups/2352922/items/NBUJ6447"],"itemData":{"id":10811,"type":"article-journal","abstract":"Understanding how plant communities reassemble is particularly relevant when invaders are part of the species pool and can compromise restoration or conservation goals. If initial species composition has a lasting impact on community dynamics, it may be possible to enhance biotic resistance to invasion, particularly through diversity effects, by manipulating early community composition. Diversity effects have been investigated much less in wetlands than in uplands. We conducted a large plant community restoration experiment in a freshwater wetland to investigate species and functional diversity effects on biotic resistance to invasion during early community assembly. The wetland was under propagule pressure mostly from Phragmites australis (common reed), but all species not sown in this experiment that established in the plots were treated as ‘invaders’, whether exotic or native. We used a two-step model selection approach and a diversity-interaction model framework to test hypotheses about the contribution to invasion success of abiotic conditions, species richness, as well as functional group richness, identity and pairwise interactions, providing a rare test of diversity effects against multiple invaders in wetlands. In all, 20 species invaded the plots. They were grouped for analysis to evaluate the overall resistance of resident communities. The three main invaders, P. australis and two native taxa (Salix spp., Populus deltoides), were also analysed separately. Diversity-interaction models revealed invader-specific responses. Functional group identity determined resistance to P. australis, whereas pairwise interactions between functional groups explained resistance to Salix spp. Both effects were retained when grouping all invaders. Resistance to P. deltoides was determined by abiotic conditions. The contribution of specific functional groups varied with invader. Annuals and clonal perennials explained resistance to P. australis, suggesting priority and limiting similarity effects. Interactions, when significant, mostly included fast-growing annuals. When considering all invaders, identity effects were detected for all functional groups. Synthesis. Diversity effects on invasion resistance vary with invaders in early assembly of restored wetland communities. Restoring functionally diverse communities provides resistance against multiple invaders. Consistent responses between this field experiment and previous pot experiments with the same species suggest that results are robust enough to inform management.","container-title":"Journal of Ecology","DOI":"https://doi.org/10.1111/1365-2745.13419","ISSN":"1365-2745","issue":"6","language":"en","license":"© 2020 British Ecological Society","note":"_eprint: https://besjournals.onlinelibrary.wiley.com/doi/pdf/10.1111/1365-2745.13419","page":"2485-2498","source":"Wiley Online Library","title":"Restoring functionally diverse communities enhances invasion resistance in a freshwater wetland","URL":"https://besjournals.onlinelibrary.wiley.com/doi/abs/10.1111/1365-2745.13419","volume":"108","author":[{"family":"Byun","given":"Chaeho"},{"family":"Blois","given":"Sylvie","non-dropping-particle":"de"},{"family":"Brisson","given":"Jacques"}],"accessed":{"date-parts":[["2021",6,7]]},"issued":{"date-parts":[["2020"]]}}}],"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{"citationID":"1qzRNl5E","properties":{"formattedCitation":"(Byun et al., 2013; Byun, Oh, et al., 2020)","plainCitation":"(Byun et al., 2013; Byun, Oh, et al., 2020)","dontUpdate":true,"noteIndex":0},"citationItems":[{"id":10812,"uris":["http://zotero.org/groups/2352922/items/6H348UI7"],"itemData":{"id":10812,"type":"article-journal","abstract":"Biotic resistance, the ability of species in a community to limit invasion, is central to our understanding of how communities at risk of invasion assemble after disturbances, but it has yet to translate into guiding principles for the restoration of invasion-resistant plant communities. We combined experimental, functional, and modelling approaches to investigate processes of community assembly contributing to biotic resistance to an introduced lineage of Phragmites australis, a model invasive species in North America. We hypothesized that (i) functional group identity would be a good predictor of biotic resistance to P. australis, while species identity effect would be redundant within functional group (ii) mixtures of species would be more invasion resistant than monocultures. We classified 36 resident wetland plants into four functional groups based on eight functional traits. We conducted two competition experiments based on the additive competition design with P. australis and monocultures or mixtures of wetland plants. As an indicator of biotic resistance, we calculated a relative competition index (RCIavg) based on the average performance of P. australis in competition treatment compared with control. To explain diversity effect further, we partitioned it into selection effect and complementarity effect and tested several diversity–interaction models. In monoculture treatments, RCIavg of wetland plants was significantly different among functional groups, but not within each functional group. We found the highest RCIavg for fast-growing annuals, suggesting priority effect. RCIavg of wetland plants was significantly greater in mixture than in monoculture mainly due to complementarity–diversity effect among functional groups. In diversity–interaction models, species interaction patterns in mixtures were described best by interactions between functional groups when fitted to RCIavg or biomass, implying niche partitioning. Synthesis. Functional group identity and diversity of resident plant communities are good indicators of biotic resistance to invasion by introduced Phragmites australis, suggesting niche pre-emption (priority effect) and niche partitioning (diversity effect) as underlying mechanisms. Guiding principles to understand and/or manage biological invasion could emerge from advances in community theory and the use of a functional framework. Targeting widely distributed invasive plants in different contexts and scaling up to field situations will facilitate generalization.","container-title":"Journal of Ecology","DOI":"10.1111/1365-2745.12016","ISSN":"1365-2745","issue":"1","language":"en","license":"© 2012 The Authors. Journal of Ecology © 2012 British Ecological Society","note":"_eprint: https://besjournals.onlinelibrary.wiley.com/doi/pdf/10.1111/1365-2745.12016","page":"128-139","source":"Wiley Online Library","title":"Plant functional group identity and diversity determine biotic resistance to invasion by an exotic grass","URL":"https://besjournals.onlinelibrary.wiley.com/doi/abs/10.1111/1365-2745.12016","volume":"101","author":[{"family":"Byun","given":"Chaeho"},{"family":"Blois","given":"Sylvie","non-dropping-particle":"de"},{"family":"Brisson","given":"Jacques"}],"accessed":{"date-parts":[["2021",6,7]]},"issued":{"date-parts":[["2013"]]}}},{"id":9775,"uris":["http://zotero.org/groups/2352922/items/GAW9SLMY"],"itemData":{"id":9775,"type":"article-journal","abstract":"Restoring invasion-resistant plant communities is critical for the successful control of invasive plant species. It is based on ecological principles, such as limiting similarity, and the diversity–invasibility hypothesis, which can be used to select optimal combinations of species and determine appropriate plant density for the effective suppression of invasion due to propagule pressure. However, no attempt has been made to combine these factors in a single research framework. Here, we show for the first time the relative importance of all significant factors, including seed density, limiting similarity, diversity effect, and propagule pressure, in the invasion mechanism of Sicyos angulatus, an invasive plant species. Our results suggest that seed density, rarely explored in previous studies, is as important a determinant of invasion success as limiting similarity, diversity effect, and propagule pressure. Thus, the density-mediated mechanism must be given careful consideration for the restoration of strong invasion-resistant native plant communities.","container-title":"Ecological Engineering","DOI":"10.1016/j.ecoleng.2019.105712","ISSN":"0925-8574","journalAbbreviation":"Ecological Engineering","language":"en","page":"105712","source":"ScienceDirect","title":"Seed density is as important as limiting similarity, diversity effect, and propagule pressure in plant restoration to control invasion","URL":"https://www.sciencedirect.com/science/article/pii/S0925857419304367","volume":"144","author":[{"family":"Byun","given":"Chaeho"},{"family":"Oh","given":"Minwoo"},{"family":"Lee","given":"Eun Ju"},{"family":"Kang","given":"Hojeong"}],"accessed":{"date-parts":[["2021",6,7]]},"issued":{"date-parts":[["2020",2,1]]}}}],"schema":"https://github.com/citation-style-language/schema/raw/master/csl-citation.json"} </w:instrText>
      </w:r>
      <w:r w:rsidR="00066A7E" w:rsidRPr="00837161">
        <w:fldChar w:fldCharType="end"/>
      </w:r>
      <w:r w:rsidR="00066A7E" w:rsidRPr="00837161">
        <w:fldChar w:fldCharType="begin"/>
      </w:r>
      <w:r w:rsidR="000F35EB">
        <w:instrText xml:space="preserve"> ADDIN ZOTERO_ITEM CSL_CITATION {"citationID":"UOAlHzTb","properties":{"formattedCitation":"(Byun et al., 2018)","plainCitation":"(Byun et al., 2018)","dontUpdate":true,"noteIndex":0},"citationItems":[{"id":31922,"uris":["http://zotero.org/groups/2352922/items/F4LWKWMF"],"itemData":{"id":31922,"type":"article-journal","abstract":"Despite debates on the real impact of plant invasion on native biodiversity, there remain many situations where exotic invasive plants must be managed and habitats restored. Restoration practices that build on plant community assembly principles could be useful to delay or prevent re-invasion after control, but there are still few syntheses of the biodiversity theory, ecological mechanisms and experimental evidence relevant to invasive plant management, possibly delaying applications. To provide such a synthesis, we review current knowledge on three key determinants of invasion success: biotic resistance, abiotic constraints, and propagule pressure. We elaborate on the ecological mechanisms at play for each determinant and emphasize, using case studies, their relevance for invasive plant management and ecological restoration. We find evidence that restoring a plant cover can enhance invasion resistance, but the challenge for both research and field applications is to understand how multiple determinants interact in relation to species traits in the fields. Failure to recognize these interactions and their effect on community assembly processes may explain some of the mixed species responses observed. While we need control and restoration case studies with local species at different sites, the development of a coherent, dynamic and adaptive framework around biotic/ecological resistance will have to go beyond the idiosyncrasy of the many species and systems being tested. Emphasizing the functional diversity of the restored community seems a promising approach when facing potentially multiple invaders and/or fluctuating abiotic conditions.","container-title":"Biological Invasions","DOI":"10.1007/s10530-017-1529-7","ISSN":"1573-1464","issue":"1","journalAbbreviation":"Biol Invasions","language":"en","page":"13-27","source":"Springer Link","title":"Management of invasive plants through ecological resistance","URL":"https://doi.org/10.1007/s10530-017-1529-7","volume":"20","author":[{"family":"Byun","given":"Chaeho"},{"family":"Blois","given":"Sylvie","non-dropping-particle":"de"},{"family":"Brisson","given":"Jacques"}],"accessed":{"date-parts":[["2021",6,7]]},"issued":{"date-parts":[["2018",1,1]]}}}],"schema":"https://github.com/citation-style-language/schema/raw/master/csl-citation.json"} </w:instrText>
      </w:r>
      <w:r w:rsidR="00066A7E" w:rsidRPr="00837161">
        <w:fldChar w:fldCharType="end"/>
      </w:r>
    </w:p>
    <w:p w14:paraId="000006B7" w14:textId="77777777" w:rsidR="00A758FD" w:rsidRPr="00C0338D" w:rsidRDefault="00C81287" w:rsidP="002F2F42">
      <w:pPr>
        <w:pStyle w:val="Heading2"/>
      </w:pPr>
      <w:bookmarkStart w:id="583" w:name="_Toc146810122"/>
      <w:bookmarkStart w:id="584" w:name="_Toc69314025"/>
      <w:bookmarkStart w:id="585" w:name="_Toc87623167"/>
      <w:bookmarkStart w:id="586" w:name="_Toc131681664"/>
      <w:bookmarkStart w:id="587" w:name="_Toc149555487"/>
      <w:r w:rsidRPr="00C0338D">
        <w:t>Management costs</w:t>
      </w:r>
      <w:bookmarkEnd w:id="583"/>
      <w:bookmarkEnd w:id="584"/>
      <w:bookmarkEnd w:id="585"/>
      <w:bookmarkEnd w:id="586"/>
      <w:bookmarkEnd w:id="587"/>
      <w:r w:rsidRPr="00C0338D">
        <w:t xml:space="preserve"> </w:t>
      </w:r>
    </w:p>
    <w:p w14:paraId="6F651A5F" w14:textId="76E8C833" w:rsidR="00066A7E" w:rsidRPr="00837161" w:rsidRDefault="3E01ED8E" w:rsidP="00C11DFA">
      <w:pPr>
        <w:spacing w:before="240" w:after="120" w:line="240" w:lineRule="auto"/>
        <w:rPr>
          <w:rFonts w:eastAsia="Calibri"/>
        </w:rPr>
      </w:pPr>
      <w:r w:rsidRPr="00837161">
        <w:t xml:space="preserve">The global economic cost of invasive alien species is over </w:t>
      </w:r>
      <w:r w:rsidR="006F7501">
        <w:t>$</w:t>
      </w:r>
      <w:r w:rsidRPr="00837161">
        <w:t xml:space="preserve">1 trillion and </w:t>
      </w:r>
      <w:r w:rsidR="038472D9" w:rsidRPr="00837161">
        <w:t xml:space="preserve">the cost is </w:t>
      </w:r>
      <w:r w:rsidRPr="00837161">
        <w:t xml:space="preserve">rising </w:t>
      </w:r>
      <w:r w:rsidR="00197924" w:rsidRPr="00837161">
        <w:t>(</w:t>
      </w:r>
      <w:r w:rsidR="00F16770">
        <w:rPr>
          <w:b/>
          <w:iCs/>
        </w:rPr>
        <w:t>C</w:t>
      </w:r>
      <w:r w:rsidRPr="00F16770">
        <w:rPr>
          <w:b/>
          <w:iCs/>
        </w:rPr>
        <w:t>hapter</w:t>
      </w:r>
      <w:r w:rsidR="451D2EA2" w:rsidRPr="00F16770">
        <w:rPr>
          <w:b/>
          <w:iCs/>
        </w:rPr>
        <w:t xml:space="preserve"> 4</w:t>
      </w:r>
      <w:r w:rsidR="451D2EA2" w:rsidRPr="00F16770">
        <w:rPr>
          <w:iCs/>
        </w:rPr>
        <w:t>,</w:t>
      </w:r>
      <w:r w:rsidRPr="00F16770">
        <w:rPr>
          <w:b/>
          <w:iCs/>
        </w:rPr>
        <w:t xml:space="preserve"> </w:t>
      </w:r>
      <w:r w:rsidR="3C1F7221" w:rsidRPr="00F16770">
        <w:rPr>
          <w:b/>
          <w:iCs/>
        </w:rPr>
        <w:t>Box 4.1</w:t>
      </w:r>
      <w:r w:rsidR="00F7796B" w:rsidRPr="00F16770">
        <w:rPr>
          <w:b/>
          <w:iCs/>
        </w:rPr>
        <w:t>3</w:t>
      </w:r>
      <w:r w:rsidRPr="00837161">
        <w:t xml:space="preserve">; </w:t>
      </w:r>
      <w:r w:rsidR="00066A7E" w:rsidRPr="00837161">
        <w:fldChar w:fldCharType="begin"/>
      </w:r>
      <w:r w:rsidR="000F35EB">
        <w:instrText xml:space="preserve"> ADDIN ZOTERO_ITEM CSL_CITATION {"citationID":"XlQyDaXb","properties":{"formattedCitation":"(Diagne et al., 2021)","plainCitation":"(Diagne et al., 2021)","noteIndex":0},"citationItems":[{"id":31652,"uris":["http://zotero.org/groups/2352922/items/QP3BVTGW"],"itemData":{"id":31652,"type":"article-journal","abstract":"Biological invasions are responsible for substantial biodiversity declines as well as high economic losses to society and monetary expenditures associated with the management of these invasions1,2. The InvaCost database has enabled the generation of a reliable, comprehensive, standardized and easily updatable synthesis of the monetary costs of biological invasions worldwide3. Here we found that the total reported costs of invasions reached a minimum of US$1.288 trillion (2017 US dollars) over the past few decades (1970–2017), with an annual mean cost of US$26.8 billion. Moreover, we estimate that the annual mean cost could reach US$162.7 billion in 2017. These costs remain strongly underestimated and do not show any sign of slowing down, exhibiting a consistent threefold increase per decade. We show that the documented costs are widely distributed and have strong gaps at regional and taxonomic scales, with damage costs being an order of magnitude higher than management expenditures. Research approaches that document the costs of biological invasions need to be further improved. Nonetheless, our findings call for the implementation of consistent management actions and international policy agreements that aim to reduce the burden of invasive alien species.","container-title":"Nature","DOI":"10.1038/s41586-021-03405-6","ISSN":"0028-0836, 1476-4687","issue":"7855","journalAbbreviation":"Nature","language":"en","page":"571-576","source":"DOI.org (Crossref)","title":"High and rising economic costs of biological invasions worldwide","URL":"http://www.nature.com/articles/s41586-021-03405-6","volume":"592","author":[{"family":"Diagne","given":"Christophe"},{"family":"Leroy","given":"Boris"},{"family":"Vaissière","given":"Anne-Charlotte"},{"family":"Gozlan","given":"Rodolphe E."},{"family":"Roiz","given":"David"},{"family":"Jarić","given":"Ivan"},{"family":"Salles","given":"Jean-Michel"},{"family":"Bradshaw","given":"Corey J. A."},{"family":"Courchamp","given":"Franck"}],"accessed":{"date-parts":[["2021",8,10]]},"issued":{"date-parts":[["2021",4,22]]}},"label":"page"}],"schema":"https://github.com/citation-style-language/schema/raw/master/csl-citation.json"} </w:instrText>
      </w:r>
      <w:r w:rsidR="00066A7E" w:rsidRPr="00837161">
        <w:fldChar w:fldCharType="separate"/>
      </w:r>
      <w:r w:rsidR="00271B78" w:rsidRPr="00271B78">
        <w:t>(Diagne et al., 2021)</w:t>
      </w:r>
      <w:r w:rsidR="00066A7E" w:rsidRPr="00837161">
        <w:fldChar w:fldCharType="end"/>
      </w:r>
      <w:r w:rsidRPr="00837161">
        <w:t>. This cost represents documented expenditures with management of biological invasions (e.g.</w:t>
      </w:r>
      <w:r w:rsidR="2F039F62" w:rsidRPr="00837161">
        <w:t>,</w:t>
      </w:r>
      <w:r w:rsidRPr="00837161">
        <w:t xml:space="preserve"> prevention, control</w:t>
      </w:r>
      <w:r w:rsidR="00C16EEB">
        <w:t xml:space="preserve"> and</w:t>
      </w:r>
      <w:r w:rsidRPr="00837161">
        <w:t xml:space="preserve"> monitoring) and economic losses associated with the impact of invasive alien species. </w:t>
      </w:r>
      <w:r w:rsidR="002F2F42">
        <w:t xml:space="preserve">The global reported costs of management of biological invasions (excluding impacts of invasive alien species) totalled </w:t>
      </w:r>
      <w:r w:rsidR="006F7501">
        <w:t>$</w:t>
      </w:r>
      <w:r w:rsidR="002F2F42">
        <w:t xml:space="preserve">120.5 billion (2017 </w:t>
      </w:r>
      <w:r w:rsidR="006F7501">
        <w:t xml:space="preserve">US$ </w:t>
      </w:r>
      <w:r w:rsidR="002F2F42">
        <w:t xml:space="preserve">values) over the last 50 years </w:t>
      </w:r>
      <w:r w:rsidRPr="00837161">
        <w:t>(</w:t>
      </w:r>
      <w:r w:rsidR="00191A6E">
        <w:rPr>
          <w:b/>
          <w:iCs/>
        </w:rPr>
        <w:t>Figure 5.25</w:t>
      </w:r>
      <w:r w:rsidRPr="00837161">
        <w:rPr>
          <w:b/>
          <w:bCs/>
        </w:rPr>
        <w:t>;</w:t>
      </w:r>
      <w:r w:rsidRPr="00837161">
        <w:t xml:space="preserve"> </w:t>
      </w:r>
      <w:r w:rsidR="00066A7E" w:rsidRPr="00837161">
        <w:fldChar w:fldCharType="begin"/>
      </w:r>
      <w:r w:rsidR="000F35EB">
        <w:instrText xml:space="preserve"> ADDIN ZOTERO_ITEM CSL_CITATION {"citationID":"tTOIIUkl","properties":{"formattedCitation":"(Diagne et al., 2020)","plainCitation":"(Diagne et al., 2020)","noteIndex":0},"citationItems":[{"id":56302,"uris":["http://zotero.org/groups/2352922/items/FTEQGJV7","http://zotero.org/groups/2352922/items/GG993XIJ"],"itemData":{"id":56302,"type":"article-journal","abstract":"Abstract\n            Biological invasions are responsible for tremendous impacts globally, including huge economic losses and management expenditures. Efficiently mitigating this major driver of global change requires the improvement of public awareness and policy regarding its substantial impacts on our socio-ecosystems. One option to contribute to this overall objective is to inform people on the economic costs linked to these impacts; however, until now, a reliable synthesis of invasion costs has never been produced at a global scale. Here, we introduce InvaCost as the most up-to-date, comprehensive, harmonised and robust compilation and description of economic cost estimates associated with biological invasions worldwide. We have developed a systematic, standardised methodology to collect information from peer-reviewed articles and grey literature, while ensuring data validity and method repeatability for further transparent inputs. Our manuscript presents the methodology and tools used to build and populate this living and publicly available database. InvaCost provides an essential basis (2419 cost estimates currently compiled) for worldwide research, management efforts and, ultimately, for data-driven and evidence-based policymaking.","container-title":"Scientific Data","DOI":"10.1038/s41597-020-00586-z","ISSN":"2052-4463","issue":"1","journalAbbreviation":"Sci Data","language":"en","page":"277","source":"DOI.org (Crossref)","title":"InvaCost, a public database of the economic costs of biological invasions worldwide","URL":"https://www.nature.com/articles/s41597-020-00586-z","volume":"7","author":[{"family":"Diagne","given":"C."},{"family":"Leroy","given":"B."},{"family":"Gozlan","given":"R. E."},{"family":"Vaissière","given":"A.-C."},{"family":"Assailly","given":"C."},{"family":"Nuninger","given":"L."},{"family":"Roiz","given":"D."},{"family":"Jourdain","given":"F."},{"family":"Jarić","given":"I."},{"family":"Courchamp","given":"F."}],"accessed":{"date-parts":[["2023",6,8]]},"issued":{"date-parts":[["2020",9,8]]}},"label":"page"}],"schema":"https://github.com/citation-style-language/schema/raw/master/csl-citation.json"} </w:instrText>
      </w:r>
      <w:r w:rsidR="00066A7E" w:rsidRPr="00837161">
        <w:fldChar w:fldCharType="separate"/>
      </w:r>
      <w:r w:rsidR="00271B78" w:rsidRPr="00271B78">
        <w:t>(Diagne et al., 2020)</w:t>
      </w:r>
      <w:r w:rsidR="00066A7E" w:rsidRPr="00837161">
        <w:fldChar w:fldCharType="end"/>
      </w:r>
      <w:r w:rsidRPr="00837161">
        <w:t>. The geographic distribution of management costs (</w:t>
      </w:r>
      <w:r w:rsidR="00191A6E">
        <w:rPr>
          <w:b/>
          <w:iCs/>
        </w:rPr>
        <w:t>Figure 5.26</w:t>
      </w:r>
      <w:r w:rsidRPr="00837161">
        <w:t>) shows that the documented costs were highest in the Americas (</w:t>
      </w:r>
      <w:r w:rsidR="006F7501">
        <w:t>$</w:t>
      </w:r>
      <w:r w:rsidRPr="00837161">
        <w:t>103.5 billion), followed by Asia</w:t>
      </w:r>
      <w:r w:rsidR="004C56A9">
        <w:t>-</w:t>
      </w:r>
      <w:r w:rsidRPr="00837161">
        <w:t>Pacific (</w:t>
      </w:r>
      <w:r w:rsidR="006F7501">
        <w:t>$</w:t>
      </w:r>
      <w:r w:rsidRPr="00837161">
        <w:t>6 billion) and Africa (</w:t>
      </w:r>
      <w:r w:rsidR="006F7501">
        <w:t>$</w:t>
      </w:r>
      <w:r w:rsidRPr="00837161">
        <w:t>5 billion). Management costs for invasive invertebrates were the highest (</w:t>
      </w:r>
      <w:r w:rsidR="006F7501">
        <w:t>$</w:t>
      </w:r>
      <w:r w:rsidRPr="00837161">
        <w:t>29 billion), followed by plants (</w:t>
      </w:r>
      <w:r w:rsidR="006F7501">
        <w:t>$</w:t>
      </w:r>
      <w:r w:rsidRPr="00837161">
        <w:t xml:space="preserve">5.7 billion) and </w:t>
      </w:r>
      <w:r w:rsidR="7B7985F1" w:rsidRPr="00837161">
        <w:t>the management</w:t>
      </w:r>
      <w:r w:rsidRPr="00837161">
        <w:t xml:space="preserve"> costs were highest for terrestrial ecosystems (</w:t>
      </w:r>
      <w:r w:rsidR="006F7501">
        <w:t>$</w:t>
      </w:r>
      <w:r w:rsidRPr="00837161">
        <w:t xml:space="preserve">107.8 billion). </w:t>
      </w:r>
      <w:r w:rsidR="002F2F42">
        <w:t>Data on whether higher management costs were spent on prevention versus management were equivocal, but funds being spent globally on research for the management of biological invasions were low</w:t>
      </w:r>
      <w:r w:rsidRPr="00837161">
        <w:t xml:space="preserve"> (</w:t>
      </w:r>
      <w:r w:rsidR="006F7501">
        <w:t>$</w:t>
      </w:r>
      <w:r w:rsidRPr="00837161">
        <w:t xml:space="preserve">2.78 billion). </w:t>
      </w:r>
      <w:r w:rsidRPr="00837161">
        <w:rPr>
          <w:rFonts w:eastAsia="Calibri"/>
        </w:rPr>
        <w:t xml:space="preserve">On a global scale, a study showed that eradication of invasive alien species can make substantial savings on costs devoted to the protection of threatened native species </w:t>
      </w:r>
      <w:r w:rsidR="00066A7E" w:rsidRPr="00837161">
        <w:rPr>
          <w:rFonts w:eastAsia="Calibri"/>
        </w:rPr>
        <w:fldChar w:fldCharType="begin"/>
      </w:r>
      <w:r w:rsidR="000F35EB">
        <w:rPr>
          <w:rFonts w:eastAsia="Calibri"/>
        </w:rPr>
        <w:instrText xml:space="preserve"> ADDIN ZOTERO_ITEM CSL_CITATION {"citationID":"zYGTOflr","properties":{"formattedCitation":"(H. P. Jones et al., 2016)","plainCitation":"(H. P. Jones et al., 2016)","dontUpdate":true,"noteIndex":0},"citationItems":[{"id":30455,"uris":["http://zotero.org/groups/2352922/items/M2IGIBMJ"],"itemData":{"id":30455,"type":"article-journal","abstract":"More than US$21 billion is spent annually on biodiversity conservation. Despite their importance for preventing or slowing extinctions and preserving biodiversity, conservation interventions are rarely assessed systematically for their global impact. Islands house a disproportionately higher amount of biodiversity compared with mainlands, much of which is highly threatened with extinction. Indeed, island species make up nearly two-thirds of recent extinctions. Islands therefore are critical targets of conservation. We used an extensive literature and database review paired with expert interviews to estimate the global benefits of an increasingly used conservation action to stem biodiversity loss: eradication of invasive mammals on islands. We found 236 native terrestrial insular faunal species (596 populations) that benefitted through positive demographic and/or distributional responses from 251 eradications of invasive mammals on 181 islands. Seven native species (eight populations) were negatively impacted by invasive mammal eradication. Four threatened species had their International Union for the Conservation of Nature (IUCN) Red List extinction-risk categories reduced as a direct result of invasive mammal eradication, and no species moved to a higher extinction-risk category. We predict that 107 highly threatened birds, mammals, and reptiles on the IUCN Red List—6% of all these highly threatened species—likely have benefitted from invasive mammal eradications on islands. Because monitoring of eradication outcomes is sporadic and limited, the impacts of global eradications are likely greater than we report here. Our results highlight the importance of invasive mammal eradication on islands for protecting the world's most imperiled fauna.","container-title":"Proceedings of the National Academy of Sciences","DOI":"10.1073/pnas.1521179113","ISSN":"0027-8424, 1091-6490","issue":"15","journalAbbreviation":"Proc Natl Acad Sci USA","language":"en","page":"4033-4038","source":"DOI.org (Crossref)","title":"Invasive mammal eradication on islands results in substantial conservation gains","URL":"http://www.pnas.org/lookup/doi/10.1073/pnas.1521179113","volume":"113","author":[{"family":"Jones","given":"Holly P."},{"family":"Holmes","given":"Nick D."},{"family":"Butchart","given":"Stuart H. M."},{"family":"Tershy","given":"Bernie R."},{"family":"Kappes","given":"Peter J."},{"family":"Corkery","given":"Ilse"},{"family":"Aguirre-Muñoz","given":"Alfonso"},{"family":"Armstrong","given":"Doug P."},{"family":"Bonnaud","given":"Elsa"},{"family":"Burbidge","given":"Andrew A."},{"family":"Campbell","given":"Karl"},{"family":"Courchamp","given":"Franck"},{"family":"Cowan","given":"Philip E."},{"family":"Cuthbert","given":"Richard J."},{"family":"Ebbert","given":"Steve"},{"family":"Genovesi","given":"Piero"},{"family":"Howald","given":"Gregg R."},{"family":"Keitt","given":"Bradford S."},{"family":"Kress","given":"Stephen W."},{"family":"Miskelly","given":"Colin M."},{"family":"Oppel","given":"Steffen"},{"family":"Poncet","given":"Sally"},{"family":"Rauzon","given":"Mark J."},{"family":"Rocamora","given":"Gérard"},{"family":"Russell","given":"James C."},{"family":"Samaniego-Herrera","given":"Araceli"},{"family":"Seddon","given":"Philip J."},{"family":"Spatz","given":"Dena R."},{"family":"Towns","given":"David R."},{"family":"Croll","given":"Donald A."}],"accessed":{"date-parts":[["2020",5,8]]},"issued":{"date-parts":[["2016",4,12]]}}}],"schema":"https://github.com/citation-style-language/schema/raw/master/csl-citation.json"} </w:instrText>
      </w:r>
      <w:r w:rsidR="00066A7E" w:rsidRPr="00837161">
        <w:rPr>
          <w:rFonts w:eastAsia="Calibri"/>
        </w:rPr>
        <w:fldChar w:fldCharType="separate"/>
      </w:r>
      <w:r w:rsidRPr="00837161">
        <w:t>(Jones et al., 2016)</w:t>
      </w:r>
      <w:r w:rsidR="00066A7E" w:rsidRPr="00837161">
        <w:rPr>
          <w:rFonts w:eastAsia="Calibri"/>
        </w:rPr>
        <w:fldChar w:fldCharType="end"/>
      </w:r>
      <w:r w:rsidRPr="00837161">
        <w:rPr>
          <w:rFonts w:eastAsia="Calibri"/>
        </w:rPr>
        <w:t>, suggesting that eradication of invasive alien species is a very cost-effective investment for protecting threatened and endangered species in comparison.</w:t>
      </w:r>
    </w:p>
    <w:p w14:paraId="14B1A4AD" w14:textId="37554F78" w:rsidR="00066A7E" w:rsidRPr="00837161" w:rsidRDefault="002F2F42" w:rsidP="00FE6A42">
      <w:pPr>
        <w:keepNext/>
        <w:jc w:val="center"/>
        <w:rPr>
          <w:color w:val="000000"/>
        </w:rPr>
      </w:pPr>
      <w:r>
        <w:rPr>
          <w:noProof/>
          <w:color w:val="000000"/>
        </w:rPr>
        <w:lastRenderedPageBreak/>
        <w:drawing>
          <wp:inline distT="0" distB="0" distL="0" distR="0" wp14:anchorId="5ED68A14" wp14:editId="677C1926">
            <wp:extent cx="5565338" cy="4087605"/>
            <wp:effectExtent l="0" t="0" r="0" b="0"/>
            <wp:docPr id="101250729" name="image6.png" descr="A graph showing the average of the average of the yea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A graph showing the average of the average of the year&#10;&#10;Description automatically generated"/>
                    <pic:cNvPicPr preferRelativeResize="0"/>
                  </pic:nvPicPr>
                  <pic:blipFill>
                    <a:blip r:embed="rId110"/>
                    <a:srcRect/>
                    <a:stretch>
                      <a:fillRect/>
                    </a:stretch>
                  </pic:blipFill>
                  <pic:spPr>
                    <a:xfrm>
                      <a:off x="0" y="0"/>
                      <a:ext cx="5565338" cy="4087605"/>
                    </a:xfrm>
                    <a:prstGeom prst="rect">
                      <a:avLst/>
                    </a:prstGeom>
                    <a:ln/>
                  </pic:spPr>
                </pic:pic>
              </a:graphicData>
            </a:graphic>
          </wp:inline>
        </w:drawing>
      </w:r>
    </w:p>
    <w:p w14:paraId="7E07458E" w14:textId="34F9CB9B" w:rsidR="00066A7E" w:rsidRPr="00837161" w:rsidRDefault="00066A7E" w:rsidP="00C11DFA">
      <w:pPr>
        <w:pStyle w:val="Caption"/>
        <w:rPr>
          <w:lang w:val="en-GB"/>
        </w:rPr>
      </w:pPr>
      <w:bookmarkStart w:id="588" w:name="_Ref104970955"/>
      <w:bookmarkStart w:id="589" w:name="_Toc147489378"/>
      <w:bookmarkStart w:id="590" w:name="_Toc87623115"/>
      <w:r w:rsidRPr="00837161">
        <w:rPr>
          <w:lang w:val="en-GB"/>
        </w:rPr>
        <w:t>Figure 5.</w:t>
      </w:r>
      <w:r w:rsidRPr="00837161">
        <w:rPr>
          <w:lang w:val="en-GB"/>
        </w:rPr>
        <w:fldChar w:fldCharType="begin"/>
      </w:r>
      <w:r w:rsidRPr="00837161">
        <w:rPr>
          <w:lang w:val="en-GB"/>
        </w:rPr>
        <w:instrText>SEQ Figure_5. \* ARABIC</w:instrText>
      </w:r>
      <w:r w:rsidRPr="00837161">
        <w:rPr>
          <w:lang w:val="en-GB"/>
        </w:rPr>
        <w:fldChar w:fldCharType="separate"/>
      </w:r>
      <w:r w:rsidR="00DC77F8">
        <w:rPr>
          <w:noProof/>
          <w:lang w:val="en-GB"/>
        </w:rPr>
        <w:t>25</w:t>
      </w:r>
      <w:r w:rsidRPr="00837161">
        <w:rPr>
          <w:lang w:val="en-GB"/>
        </w:rPr>
        <w:fldChar w:fldCharType="end"/>
      </w:r>
      <w:bookmarkEnd w:id="588"/>
      <w:r w:rsidR="0078558E" w:rsidRPr="00837161">
        <w:rPr>
          <w:lang w:val="en-GB"/>
        </w:rPr>
        <w:t>.</w:t>
      </w:r>
      <w:r w:rsidRPr="002F2F42">
        <w:rPr>
          <w:b w:val="0"/>
          <w:bCs w:val="0"/>
          <w:lang w:val="en-GB"/>
        </w:rPr>
        <w:t xml:space="preserve"> </w:t>
      </w:r>
      <w:r w:rsidR="002F2F42" w:rsidRPr="002F2F42">
        <w:rPr>
          <w:b w:val="0"/>
          <w:bCs w:val="0"/>
          <w:color w:val="000000" w:themeColor="text1"/>
        </w:rPr>
        <w:t xml:space="preserve">Annual cost reported globally with the management </w:t>
      </w:r>
      <w:r w:rsidR="002F2F42" w:rsidRPr="002F2F42">
        <w:rPr>
          <w:b w:val="0"/>
          <w:bCs w:val="0"/>
        </w:rPr>
        <w:t xml:space="preserve">of biological invasions </w:t>
      </w:r>
      <w:r w:rsidR="002F2F42" w:rsidRPr="002F2F42">
        <w:rPr>
          <w:b w:val="0"/>
          <w:bCs w:val="0"/>
          <w:color w:val="000000" w:themeColor="text1"/>
        </w:rPr>
        <w:t xml:space="preserve">between 1960 and 2020 (2017 monetary values). Light dots represent annual average cost reports and dark dots (with lines on each side) connected by dashed lines represent the decade averages. Data source: </w:t>
      </w:r>
      <w:r w:rsidR="001B5F33" w:rsidRPr="00837161">
        <w:rPr>
          <w:b w:val="0"/>
          <w:bCs w:val="0"/>
          <w:lang w:val="en-GB"/>
        </w:rPr>
        <w:t xml:space="preserve">Diagne et al. </w:t>
      </w:r>
      <w:r w:rsidR="00DB5CE4" w:rsidRPr="00AC1F76">
        <w:rPr>
          <w:b w:val="0"/>
          <w:bCs w:val="0"/>
          <w:lang w:val="en-GB"/>
        </w:rPr>
        <w:fldChar w:fldCharType="begin"/>
      </w:r>
      <w:r w:rsidR="000F35EB" w:rsidRPr="00252353">
        <w:rPr>
          <w:b w:val="0"/>
          <w:bCs w:val="0"/>
          <w:lang w:val="en-GB"/>
        </w:rPr>
        <w:instrText xml:space="preserve"> ADDIN ZOTERO_ITEM CSL_CITATION {"citationID":"IHnFnO6x","properties":{"formattedCitation":"(2020)","plainCitation":"(2020)","noteIndex":0},"citationItems":[{"id":56302,"uris":["http://zotero.org/groups/2352922/items/FTEQGJV7","http://zotero.org/groups/2352922/items/GG993XIJ"],"itemData":{"id":56302,"type":"article-journal","abstract":"Abstract\n            Biological invasions are responsible for tremendous impacts globally, including huge economic losses and management expenditures. Efficiently mitigating this major driver of global change requires the improvement of public awareness and policy regarding its substantial impacts on our socio-ecosystems. One option to contribute to this overall objective is to inform people on the economic costs linked to these impacts; however, until now, a reliable synthesis of invasion costs has never been produced at a global scale. Here, we introduce InvaCost as the most up-to-date, comprehensive, harmonised and robust compilation and description of economic cost estimates associated with biological invasions worldwide. We have developed a systematic, standardised methodology to collect information from peer-reviewed articles and grey literature, while ensuring data validity and method repeatability for further transparent inputs. Our manuscript presents the methodology and tools used to build and populate this living and publicly available database. InvaCost provides an essential basis (2419 cost estimates currently compiled) for worldwide research, management efforts and, ultimately, for data-driven and evidence-based policymaking.","container-title":"Scientific Data","DOI":"10.1038/s41597-020-00586-z","ISSN":"2052-4463","issue":"1","journalAbbreviation":"Sci Data","language":"en","page":"277","source":"DOI.org (Crossref)","title":"InvaCost, a public database of the economic costs of biological invasions worldwide","URL":"https://www.nature.com/articles/s41597-020-00586-z","volume":"7","author":[{"family":"Diagne","given":"C."},{"family":"Leroy","given":"B."},{"family":"Gozlan","given":"R. E."},{"family":"Vaissière","given":"A.-C."},{"family":"Assailly","given":"C."},{"family":"Nuninger","given":"L."},{"family":"Roiz","given":"D."},{"family":"Jourdain","given":"F."},{"family":"Jarić","given":"I."},{"family":"Courchamp","given":"F."}],"accessed":{"date-parts":[["2023",6,8]]},"issued":{"date-parts":[["2020",9,8]]}},"label":"page","suppress-author":true}],"schema":"https://github.com/citation-style-language/schema/raw/master/csl-citation.json"} </w:instrText>
      </w:r>
      <w:r w:rsidR="00DB5CE4" w:rsidRPr="00AC1F76">
        <w:rPr>
          <w:b w:val="0"/>
          <w:bCs w:val="0"/>
          <w:lang w:val="en-GB"/>
        </w:rPr>
        <w:fldChar w:fldCharType="separate"/>
      </w:r>
      <w:bookmarkEnd w:id="589"/>
      <w:r w:rsidR="00271B78" w:rsidRPr="00AC1F76">
        <w:rPr>
          <w:b w:val="0"/>
        </w:rPr>
        <w:t>(2020)</w:t>
      </w:r>
      <w:r w:rsidR="00DB5CE4" w:rsidRPr="00AC1F76">
        <w:rPr>
          <w:b w:val="0"/>
          <w:bCs w:val="0"/>
          <w:lang w:val="en-GB"/>
        </w:rPr>
        <w:fldChar w:fldCharType="end"/>
      </w:r>
      <w:bookmarkEnd w:id="590"/>
      <w:r w:rsidR="00B14625">
        <w:rPr>
          <w:b w:val="0"/>
          <w:bCs w:val="0"/>
          <w:lang w:val="en-GB"/>
        </w:rPr>
        <w:t>.</w:t>
      </w:r>
    </w:p>
    <w:p w14:paraId="78044813" w14:textId="58F747B3" w:rsidR="00066A7E" w:rsidRPr="00837161" w:rsidRDefault="00315FE0" w:rsidP="00FE6A42">
      <w:pPr>
        <w:jc w:val="center"/>
      </w:pPr>
      <w:r w:rsidRPr="00315FE0">
        <w:rPr>
          <w:noProof/>
        </w:rPr>
        <w:drawing>
          <wp:inline distT="0" distB="0" distL="0" distR="0" wp14:anchorId="21867AF1" wp14:editId="63D8FB11">
            <wp:extent cx="6115050" cy="3371215"/>
            <wp:effectExtent l="0" t="0" r="6350" b="0"/>
            <wp:docPr id="32" name="Picture 32" descr="A map of the world with different colored conti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map of the world with different colored continents&#10;&#10;Description automatically generated"/>
                    <pic:cNvPicPr/>
                  </pic:nvPicPr>
                  <pic:blipFill>
                    <a:blip r:embed="rId111"/>
                    <a:stretch>
                      <a:fillRect/>
                    </a:stretch>
                  </pic:blipFill>
                  <pic:spPr>
                    <a:xfrm>
                      <a:off x="0" y="0"/>
                      <a:ext cx="6115050" cy="3371215"/>
                    </a:xfrm>
                    <a:prstGeom prst="rect">
                      <a:avLst/>
                    </a:prstGeom>
                  </pic:spPr>
                </pic:pic>
              </a:graphicData>
            </a:graphic>
          </wp:inline>
        </w:drawing>
      </w:r>
    </w:p>
    <w:p w14:paraId="574E0BE5" w14:textId="18D39998" w:rsidR="00383764" w:rsidRPr="00837161" w:rsidRDefault="00066A7E" w:rsidP="00C11DFA">
      <w:pPr>
        <w:pStyle w:val="Caption"/>
        <w:rPr>
          <w:lang w:val="en-GB"/>
        </w:rPr>
      </w:pPr>
      <w:bookmarkStart w:id="591" w:name="_Ref104970957"/>
      <w:bookmarkStart w:id="592" w:name="_Toc87623116"/>
      <w:bookmarkStart w:id="593" w:name="_Toc147489379"/>
      <w:r w:rsidRPr="00837161">
        <w:rPr>
          <w:lang w:val="en-GB"/>
        </w:rPr>
        <w:t>Figure 5.</w:t>
      </w:r>
      <w:r w:rsidRPr="00837161">
        <w:rPr>
          <w:lang w:val="en-GB"/>
        </w:rPr>
        <w:fldChar w:fldCharType="begin"/>
      </w:r>
      <w:r w:rsidRPr="00837161">
        <w:rPr>
          <w:lang w:val="en-GB"/>
        </w:rPr>
        <w:instrText>SEQ Figure_5. \* ARABIC</w:instrText>
      </w:r>
      <w:r w:rsidRPr="00837161">
        <w:rPr>
          <w:lang w:val="en-GB"/>
        </w:rPr>
        <w:fldChar w:fldCharType="separate"/>
      </w:r>
      <w:r w:rsidR="00DC77F8">
        <w:rPr>
          <w:noProof/>
          <w:lang w:val="en-GB"/>
        </w:rPr>
        <w:t>26</w:t>
      </w:r>
      <w:r w:rsidRPr="00837161">
        <w:rPr>
          <w:lang w:val="en-GB"/>
        </w:rPr>
        <w:fldChar w:fldCharType="end"/>
      </w:r>
      <w:bookmarkEnd w:id="591"/>
      <w:r w:rsidR="00AD74A5" w:rsidRPr="00837161">
        <w:rPr>
          <w:lang w:val="en-GB"/>
        </w:rPr>
        <w:t>.</w:t>
      </w:r>
      <w:r w:rsidRPr="00837161">
        <w:rPr>
          <w:lang w:val="en-GB"/>
        </w:rPr>
        <w:t xml:space="preserve"> </w:t>
      </w:r>
      <w:r w:rsidR="00443C5F" w:rsidRPr="00837161">
        <w:rPr>
          <w:b w:val="0"/>
          <w:bCs w:val="0"/>
          <w:lang w:val="en-GB"/>
        </w:rPr>
        <w:t>Total reported economic cost of</w:t>
      </w:r>
      <w:r w:rsidR="00443C5F" w:rsidRPr="002F2F42">
        <w:rPr>
          <w:b w:val="0"/>
          <w:bCs w:val="0"/>
          <w:lang w:val="en-GB"/>
        </w:rPr>
        <w:t xml:space="preserve"> </w:t>
      </w:r>
      <w:r w:rsidR="002F2F42" w:rsidRPr="002F2F42">
        <w:rPr>
          <w:b w:val="0"/>
          <w:bCs w:val="0"/>
          <w:color w:val="000000" w:themeColor="text1"/>
        </w:rPr>
        <w:t xml:space="preserve">management </w:t>
      </w:r>
      <w:r w:rsidR="002F2F42" w:rsidRPr="002F2F42">
        <w:rPr>
          <w:b w:val="0"/>
          <w:bCs w:val="0"/>
        </w:rPr>
        <w:t xml:space="preserve">of biological invasions </w:t>
      </w:r>
      <w:r w:rsidR="002F2F42" w:rsidRPr="002F2F42">
        <w:rPr>
          <w:b w:val="0"/>
          <w:bCs w:val="0"/>
          <w:color w:val="000000" w:themeColor="text1"/>
        </w:rPr>
        <w:t xml:space="preserve">actions across all IPBES regions </w:t>
      </w:r>
      <w:r w:rsidR="00443C5F" w:rsidRPr="00837161">
        <w:rPr>
          <w:b w:val="0"/>
          <w:bCs w:val="0"/>
          <w:lang w:val="en-GB"/>
        </w:rPr>
        <w:t>(in USD) between 1960 and 2020 (2017 monetary values).</w:t>
      </w:r>
      <w:r w:rsidR="00B62203" w:rsidRPr="00837161">
        <w:rPr>
          <w:b w:val="0"/>
          <w:bCs w:val="0"/>
          <w:lang w:val="en-GB"/>
        </w:rPr>
        <w:t xml:space="preserve"> </w:t>
      </w:r>
      <w:r w:rsidR="00443C5F" w:rsidRPr="00837161">
        <w:rPr>
          <w:b w:val="0"/>
          <w:bCs w:val="0"/>
          <w:lang w:val="en-GB"/>
        </w:rPr>
        <w:t xml:space="preserve">Data </w:t>
      </w:r>
      <w:r w:rsidR="005D2735">
        <w:rPr>
          <w:b w:val="0"/>
          <w:bCs w:val="0"/>
          <w:lang w:val="en-GB"/>
        </w:rPr>
        <w:t>source:</w:t>
      </w:r>
      <w:r w:rsidR="00443C5F" w:rsidRPr="00837161">
        <w:rPr>
          <w:b w:val="0"/>
          <w:bCs w:val="0"/>
          <w:lang w:val="en-GB"/>
        </w:rPr>
        <w:t xml:space="preserve"> </w:t>
      </w:r>
      <w:bookmarkEnd w:id="592"/>
      <w:r w:rsidR="001B5F33" w:rsidRPr="00837161">
        <w:rPr>
          <w:b w:val="0"/>
          <w:bCs w:val="0"/>
          <w:lang w:val="en-GB"/>
        </w:rPr>
        <w:t>Diagne et al.</w:t>
      </w:r>
      <w:r w:rsidR="001B5F33" w:rsidRPr="00B14625">
        <w:rPr>
          <w:b w:val="0"/>
          <w:bCs w:val="0"/>
          <w:lang w:val="en-GB"/>
        </w:rPr>
        <w:t xml:space="preserve"> </w:t>
      </w:r>
      <w:r w:rsidR="001B5F33" w:rsidRPr="00AC1F76">
        <w:rPr>
          <w:b w:val="0"/>
          <w:bCs w:val="0"/>
          <w:lang w:val="en-GB"/>
        </w:rPr>
        <w:fldChar w:fldCharType="begin"/>
      </w:r>
      <w:r w:rsidR="000F35EB" w:rsidRPr="00B14625">
        <w:rPr>
          <w:b w:val="0"/>
          <w:bCs w:val="0"/>
          <w:lang w:val="en-GB"/>
        </w:rPr>
        <w:instrText xml:space="preserve"> ADDIN ZOTERO_ITEM CSL_CITATION {"citationID":"DcP8ula4","properties":{"formattedCitation":"(2020)","plainCitation":"(2020)","noteIndex":0},"citationItems":[{"id":56302,"uris":["http://zotero.org/groups/2352922/items/FTEQGJV7","http://zotero.org/groups/2352922/items/GG993XIJ"],"itemData":{"id":56302,"type":"article-journal","abstract":"Abstract\n            Biological invasions are responsible for tremendous impacts globally, including huge economic losses and management expenditures. Efficiently mitigating this major driver of global change requires the improvement of public awareness and policy regarding its substantial impacts on our socio-ecosystems. One option to contribute to this overall objective is to inform people on the economic costs linked to these impacts; however, until now, a reliable synthesis of invasion costs has never been produced at a global scale. Here, we introduce InvaCost as the most up-to-date, comprehensive, harmonised and robust compilation and description of economic cost estimates associated with biological invasions worldwide. We have developed a systematic, standardised methodology to collect information from peer-reviewed articles and grey literature, while ensuring data validity and method repeatability for further transparent inputs. Our manuscript presents the methodology and tools used to build and populate this living and publicly available database. InvaCost provides an essential basis (2419 cost estimates currently compiled) for worldwide research, management efforts and, ultimately, for data-driven and evidence-based policymaking.","container-title":"Scientific Data","DOI":"10.1038/s41597-020-00586-z","ISSN":"2052-4463","issue":"1","journalAbbreviation":"Sci Data","language":"en","page":"277","source":"DOI.org (Crossref)","title":"InvaCost, a public database of the economic costs of biological invasions worldwide","URL":"https://www.nature.com/articles/s41597-020-00586-z","volume":"7","author":[{"family":"Diagne","given":"C."},{"family":"Leroy","given":"B."},{"family":"Gozlan","given":"R. E."},{"family":"Vaissière","given":"A.-C."},{"family":"Assailly","given":"C."},{"family":"Nuninger","given":"L."},{"family":"Roiz","given":"D."},{"family":"Jourdain","given":"F."},{"family":"Jarić","given":"I."},{"family":"Courchamp","given":"F."}],"accessed":{"date-parts":[["2023",6,8]]},"issued":{"date-parts":[["2020",9,8]]}},"label":"page","suppress-author":true}],"schema":"https://github.com/citation-style-language/schema/raw/master/csl-citation.json"} </w:instrText>
      </w:r>
      <w:r w:rsidR="001B5F33" w:rsidRPr="00AC1F76">
        <w:rPr>
          <w:b w:val="0"/>
          <w:bCs w:val="0"/>
          <w:lang w:val="en-GB"/>
        </w:rPr>
        <w:fldChar w:fldCharType="separate"/>
      </w:r>
      <w:r w:rsidR="00271B78" w:rsidRPr="00AC1F76">
        <w:rPr>
          <w:b w:val="0"/>
        </w:rPr>
        <w:t>(2020)</w:t>
      </w:r>
      <w:r w:rsidR="001B5F33" w:rsidRPr="00AC1F76">
        <w:rPr>
          <w:b w:val="0"/>
          <w:bCs w:val="0"/>
          <w:lang w:val="en-GB"/>
        </w:rPr>
        <w:fldChar w:fldCharType="end"/>
      </w:r>
      <w:r w:rsidR="001B5F33" w:rsidRPr="00B14625">
        <w:rPr>
          <w:b w:val="0"/>
          <w:bCs w:val="0"/>
          <w:lang w:val="en-GB"/>
        </w:rPr>
        <w:t>.</w:t>
      </w:r>
      <w:bookmarkEnd w:id="593"/>
      <w:r w:rsidR="00383764" w:rsidRPr="00837161">
        <w:rPr>
          <w:lang w:val="en-GB"/>
        </w:rPr>
        <w:br w:type="page"/>
      </w:r>
    </w:p>
    <w:p w14:paraId="682B27EE" w14:textId="77777777" w:rsidR="00383764" w:rsidRPr="00837161" w:rsidRDefault="00383764" w:rsidP="002F2F42">
      <w:pPr>
        <w:pStyle w:val="Heading1"/>
      </w:pPr>
      <w:bookmarkStart w:id="594" w:name="_Toc48994192"/>
      <w:bookmarkStart w:id="595" w:name="_Toc49154737"/>
      <w:bookmarkStart w:id="596" w:name="_Toc49154847"/>
      <w:bookmarkStart w:id="597" w:name="_Toc48994193"/>
      <w:bookmarkStart w:id="598" w:name="_Toc49154738"/>
      <w:bookmarkStart w:id="599" w:name="_Toc49154848"/>
      <w:bookmarkStart w:id="600" w:name="_Toc48994194"/>
      <w:bookmarkStart w:id="601" w:name="_Toc49154739"/>
      <w:bookmarkStart w:id="602" w:name="_Toc49154849"/>
      <w:bookmarkStart w:id="603" w:name="_Toc48994195"/>
      <w:bookmarkStart w:id="604" w:name="_Toc49154740"/>
      <w:bookmarkStart w:id="605" w:name="_Toc49154850"/>
      <w:bookmarkStart w:id="606" w:name="_Toc131681665"/>
      <w:bookmarkStart w:id="607" w:name="_Toc149555488"/>
      <w:bookmarkStart w:id="608" w:name="_Toc69314030"/>
      <w:bookmarkStart w:id="609" w:name="_Toc87623172"/>
      <w:bookmarkEnd w:id="594"/>
      <w:bookmarkEnd w:id="595"/>
      <w:bookmarkEnd w:id="596"/>
      <w:bookmarkEnd w:id="597"/>
      <w:bookmarkEnd w:id="598"/>
      <w:bookmarkEnd w:id="599"/>
      <w:bookmarkEnd w:id="600"/>
      <w:bookmarkEnd w:id="601"/>
      <w:bookmarkEnd w:id="602"/>
      <w:bookmarkEnd w:id="603"/>
      <w:bookmarkEnd w:id="604"/>
      <w:bookmarkEnd w:id="605"/>
      <w:r w:rsidRPr="00837161">
        <w:lastRenderedPageBreak/>
        <w:t>Context specific challenges and knowledge gaps in management</w:t>
      </w:r>
      <w:bookmarkEnd w:id="606"/>
      <w:bookmarkEnd w:id="607"/>
      <w:r w:rsidRPr="00837161">
        <w:t xml:space="preserve"> </w:t>
      </w:r>
      <w:bookmarkEnd w:id="608"/>
      <w:bookmarkEnd w:id="609"/>
    </w:p>
    <w:p w14:paraId="5AA7CA33" w14:textId="77777777" w:rsidR="00383764" w:rsidRPr="00837161" w:rsidRDefault="00383764" w:rsidP="00191A6E">
      <w:pPr>
        <w:pStyle w:val="Heading2"/>
      </w:pPr>
      <w:bookmarkStart w:id="610" w:name="_Toc69314031"/>
      <w:bookmarkStart w:id="611" w:name="_Toc87623173"/>
      <w:bookmarkStart w:id="612" w:name="_Toc131681666"/>
      <w:bookmarkStart w:id="613" w:name="_Toc149555489"/>
      <w:r w:rsidRPr="00837161">
        <w:t>Context specific challenges</w:t>
      </w:r>
      <w:bookmarkEnd w:id="610"/>
      <w:bookmarkEnd w:id="611"/>
      <w:bookmarkEnd w:id="612"/>
      <w:bookmarkEnd w:id="613"/>
      <w:r w:rsidRPr="00837161">
        <w:t xml:space="preserve"> </w:t>
      </w:r>
    </w:p>
    <w:p w14:paraId="000006BF" w14:textId="6B7E7BAE" w:rsidR="00A758FD" w:rsidRPr="002F2F42" w:rsidRDefault="00383764" w:rsidP="002F2F42">
      <w:pPr>
        <w:pStyle w:val="Heading3"/>
      </w:pPr>
      <w:bookmarkStart w:id="614" w:name="_Toc69314032"/>
      <w:r w:rsidRPr="00837161">
        <w:t xml:space="preserve"> </w:t>
      </w:r>
      <w:bookmarkStart w:id="615" w:name="_heading=h.3nqndbk" w:colFirst="0" w:colLast="0"/>
      <w:bookmarkStart w:id="616" w:name="_heading=h.320vgez" w:colFirst="0" w:colLast="0"/>
      <w:bookmarkStart w:id="617" w:name="_Toc131681667"/>
      <w:bookmarkEnd w:id="615"/>
      <w:bookmarkEnd w:id="616"/>
      <w:r w:rsidR="00C81287" w:rsidRPr="002F2F42">
        <w:t>Challenges to management success across taxa and ecosystems</w:t>
      </w:r>
      <w:bookmarkEnd w:id="614"/>
      <w:bookmarkEnd w:id="617"/>
      <w:r w:rsidR="00C81287" w:rsidRPr="002F2F42">
        <w:t xml:space="preserve"> </w:t>
      </w:r>
    </w:p>
    <w:p w14:paraId="6E11E71B" w14:textId="70EB5F67" w:rsidR="00383764" w:rsidRPr="00837161" w:rsidRDefault="00383764" w:rsidP="00C11DFA">
      <w:pPr>
        <w:spacing w:before="240" w:after="120" w:line="240" w:lineRule="auto"/>
        <w:rPr>
          <w:b/>
          <w:bCs/>
          <w:spacing w:val="-10"/>
          <w:kern w:val="28"/>
        </w:rPr>
      </w:pPr>
      <w:r w:rsidRPr="00837161">
        <w:rPr>
          <w:lang w:eastAsia="en-ZA"/>
        </w:rPr>
        <w:t xml:space="preserve">The </w:t>
      </w:r>
      <w:r w:rsidR="003B1549" w:rsidRPr="00837161">
        <w:rPr>
          <w:lang w:eastAsia="en-ZA"/>
        </w:rPr>
        <w:t>conceptualized</w:t>
      </w:r>
      <w:r w:rsidRPr="00837161">
        <w:rPr>
          <w:lang w:eastAsia="en-ZA"/>
        </w:rPr>
        <w:t xml:space="preserve"> invasion management</w:t>
      </w:r>
      <w:r w:rsidR="003B1549" w:rsidRPr="00837161">
        <w:rPr>
          <w:lang w:eastAsia="en-ZA"/>
        </w:rPr>
        <w:t>-invasion</w:t>
      </w:r>
      <w:r w:rsidRPr="00837161">
        <w:rPr>
          <w:lang w:eastAsia="en-ZA"/>
        </w:rPr>
        <w:t xml:space="preserve"> continuum (</w:t>
      </w:r>
      <w:r w:rsidR="004C56A9" w:rsidRPr="00AC1F76">
        <w:rPr>
          <w:b/>
          <w:bCs/>
          <w:lang w:eastAsia="en-ZA"/>
        </w:rPr>
        <w:t>Figure 5.1</w:t>
      </w:r>
      <w:r w:rsidRPr="00837161">
        <w:rPr>
          <w:lang w:eastAsia="en-ZA"/>
        </w:rPr>
        <w:t xml:space="preserve">) provides a simplified schematic of the typical process and potential </w:t>
      </w:r>
      <w:r w:rsidR="002F2F42">
        <w:t xml:space="preserve">management options for biological invasions. </w:t>
      </w:r>
      <w:r w:rsidRPr="00837161">
        <w:rPr>
          <w:lang w:eastAsia="en-ZA"/>
        </w:rPr>
        <w:t xml:space="preserve">However, the context (where in the invasion continuum), invasive alien species type </w:t>
      </w:r>
      <w:r w:rsidRPr="00837161">
        <w:rPr>
          <w:lang w:eastAsia="en-ZA"/>
        </w:rPr>
        <w:fldChar w:fldCharType="begin"/>
      </w:r>
      <w:r w:rsidR="000F35EB">
        <w:rPr>
          <w:lang w:eastAsia="en-ZA"/>
        </w:rPr>
        <w:instrText xml:space="preserve"> ADDIN ZOTERO_ITEM CSL_CITATION {"citationID":"Q2Kkrb0R","properties":{"formattedCitation":"(Booy et al., 2020)","plainCitation":"(Booy et al., 2020)","noteIndex":0},"citationItems":[{"id":52439,"uris":["http://zotero.org/groups/2352922/items/XKFD66H3"],"itemData":{"id":52439,"type":"article-journal","container-title":"Global Change Biology","DOI":"10.1111/gcb.15280","ISSN":"1354-1013, 1365-2486","issue":"11","journalAbbreviation":"Global Change Biology","language":"en","page":"6235-6250","source":"DOI.org (Crossref)","title":"Using structured eradication feasibility assessment to prioritize the management of new and emerging invasive alien species in Europe","URL":"https://onlinelibrary.wiley.com/doi/10.1111/gcb.15280","volume":"26","author":[{"family":"Booy","given":"Olaf"},{"family":"Robertson","given":"Pete A."},{"family":"Moore","given":"Niall"},{"family":"Ward","given":"Jess"},{"family":"Roy","given":"Helen E."},{"family":"Adriaens","given":"Tim"},{"family":"Shaw","given":"Richard"},{"family":"Van Valkenburg","given":"Johan"},{"family":"Wyn","given":"Gabrielle"},{"family":"Bertolino","given":"Sandro"},{"family":"Blight","given":"Olivier"},{"family":"Branquart","given":"Etienne"},{"family":"Brundu","given":"Giuseppe"},{"family":"Caffrey","given":"Joe"},{"family":"Capizzi","given":"Dario"},{"family":"Casaer","given":"Jim"},{"family":"De Clerck","given":"Olivier"},{"family":"Coughlan","given":"Neil E."},{"family":"Davis","given":"Eithne"},{"family":"Dick","given":"Jaimie T. A."},{"family":"Essl","given</w:instrText>
      </w:r>
      <w:r w:rsidR="000F35EB">
        <w:rPr>
          <w:rFonts w:hint="eastAsia"/>
          <w:lang w:eastAsia="en-ZA"/>
        </w:rPr>
        <w:instrText>":"Franz"},{"family":"Fried","given":"Guillaume"},{"family":"Genovesi","given":"Piero"},{"family":"González</w:instrText>
      </w:r>
      <w:r w:rsidR="000F35EB">
        <w:rPr>
          <w:rFonts w:hint="eastAsia"/>
          <w:lang w:eastAsia="en-ZA"/>
        </w:rPr>
        <w:instrText>‐</w:instrText>
      </w:r>
      <w:r w:rsidR="000F35EB">
        <w:rPr>
          <w:rFonts w:hint="eastAsia"/>
          <w:lang w:eastAsia="en-ZA"/>
        </w:rPr>
        <w:instrText>Moreno","given":"Pablo"},{"family":"Huysentruyt","given":"Frank"},{"family":"Jenkins","given":"Stuart R."},{"family":"Kerckhof","given":"Francis"},</w:instrText>
      </w:r>
      <w:r w:rsidR="000F35EB">
        <w:rPr>
          <w:lang w:eastAsia="en-ZA"/>
        </w:rPr>
        <w:instrText>{"family":"Lucy","given":"Frances E."},{"family":"Nentwig","given":"Wolfgang"},{"family":"Newman","given":"Jonathan"},{"family":"Rabitsch","given":"Wolfgang"},{"family":"Roy","given":"Sugoto"},{"family":"Starfinger","given":"Uwe"},{"family":"Stebbing","gi</w:instrText>
      </w:r>
      <w:r w:rsidR="000F35EB">
        <w:rPr>
          <w:rFonts w:hint="eastAsia"/>
          <w:lang w:eastAsia="en-ZA"/>
        </w:rPr>
        <w:instrText>ven":"Paul D."},{"family":"Stuyck","given":"Jan"},{"family":"Sutton</w:instrText>
      </w:r>
      <w:r w:rsidR="000F35EB">
        <w:rPr>
          <w:rFonts w:hint="eastAsia"/>
          <w:lang w:eastAsia="en-ZA"/>
        </w:rPr>
        <w:instrText>‐</w:instrText>
      </w:r>
      <w:r w:rsidR="000F35EB">
        <w:rPr>
          <w:rFonts w:hint="eastAsia"/>
          <w:lang w:eastAsia="en-ZA"/>
        </w:rPr>
        <w:instrText>Croft","given":"Mike"},{"family":"Tricarico","given":"Elena"},{"family":"Vanderhoeven","given":"Sonia"},{"family":"Verreycken","given":"Hugo"},{"family":"Mill","given":"Aileen C."}],"acce</w:instrText>
      </w:r>
      <w:r w:rsidR="000F35EB">
        <w:rPr>
          <w:lang w:eastAsia="en-ZA"/>
        </w:rPr>
        <w:instrText xml:space="preserve">ssed":{"date-parts":[["2022",6,3]]},"issued":{"date-parts":[["2020",11]]}}}],"schema":"https://github.com/citation-style-language/schema/raw/master/csl-citation.json"} </w:instrText>
      </w:r>
      <w:r w:rsidRPr="00837161">
        <w:rPr>
          <w:lang w:eastAsia="en-ZA"/>
        </w:rPr>
        <w:fldChar w:fldCharType="separate"/>
      </w:r>
      <w:r w:rsidR="00271B78" w:rsidRPr="00271B78">
        <w:t>(Booy et al., 2020)</w:t>
      </w:r>
      <w:r w:rsidRPr="00837161">
        <w:rPr>
          <w:lang w:eastAsia="en-ZA"/>
        </w:rPr>
        <w:fldChar w:fldCharType="end"/>
      </w:r>
      <w:r w:rsidRPr="00837161">
        <w:rPr>
          <w:lang w:eastAsia="en-ZA"/>
        </w:rPr>
        <w:t xml:space="preserve">, unique environmental conditions </w:t>
      </w:r>
      <w:r w:rsidRPr="00837161">
        <w:rPr>
          <w:lang w:eastAsia="en-ZA"/>
        </w:rPr>
        <w:fldChar w:fldCharType="begin"/>
      </w:r>
      <w:r w:rsidR="007746C5">
        <w:rPr>
          <w:lang w:eastAsia="en-ZA"/>
        </w:rPr>
        <w:instrText xml:space="preserve"> ADDIN ZOTERO_ITEM CSL_CITATION {"citationID":"LEr1aA1b","properties":{"formattedCitation":"(Sheppard et al., 2002)","plainCitation":"(Sheppard et al., 2002)","noteIndex":0},"citationItems":[{"id":23726,"uris":["http://zotero.org/groups/2352922/items/V35MC8AW"],"itemData":{"id":23726,"type":"article-journal","abstract":"1. The effective management of invasive plants requires an understanding of their invasiveness in contrasting environments. The effects of disturbance on recruitment of broom Cytisus scoparius, a European shrub invading parts of Australasia, was assessed in a 7-year experiment carried out in two countries, respectively, in its native and exotic ranges. This paper presents the results for Australia and their implications for the biological control of this weed. 2. Disturbance treatments involved removal (cut or cut plus cultivation) and grazing effects on broom seed banks and recruitment, in mature and immature stands and in three habitats, ranging from improved, largely exotic pasture to unimproved native grassland. 3. The time between recruitment and flowering varied between 5 and 7 years depending on habitat, the slowest being in native unimproved grassland. In cultivated plots, regeneration was faster in immature compared with mature broom stands. 4. Following broom removal, whether the ground was cultivated or not had little effect on the speed of regeneration, indicating weak suppression from the ground flora in uncultivated plots. In contrast, grazing tended to increase the rate of regeneration. 5. The timing of seedling establishment had little effect on survival to reproduction, in marked contrast to European populations. The overall rates of seedling mortality were greater in Australia compared with Europe. 6. A simulation model, parameterized from the field data, was used to explore the likely impact of biological control from pre-dispersal seed predation. 7. The simulation studies demonstrated large habitat-specific differences in seed rain requirement for broom persistence and the potential impact of seed predators. Seed rain requirements were fivefold less in improved exotic pasture vs. native grassland. Seed loss of 62% was theoretically sufficient to suppress broom in native grassland, whereas &gt; 97% was required in exotic pasture. 8. This study suggests that successful broom control in Australia is likely to be site dependent, because while broom seed has greater opportunities for recruitment in Australia than in Europe, immature plant mortality can be very high, particularly in native grassland.","archive":"JSTOR","container-title":"Journal of Applied Ecology","ISSN":"0021-8901","issue":"5","note":"publisher: [British Ecological Society, Wiley]","page":"721-734","source":"JSTOR","title":"Factors Affecting Invasion and Persistence of Broom Cytisus scoparius in Australia","URL":"https://www.jstor.org/stable/827200","volume":"39","author":[{"family":"Sheppard","given":"Andrew W."},{"family":"Hodge","given":"Peter"},{"family":"Paynter","given":"Quentin"},{"family":"Rees","given":"Mark"}],"accessed":{"date-parts":[["2020",8,21]]},"issued":{"date-parts":[["2002"]]}},"label":"page"}],"schema":"https://github.com/citation-style-language/schema/raw/master/csl-citation.json"} </w:instrText>
      </w:r>
      <w:r w:rsidRPr="00837161">
        <w:rPr>
          <w:lang w:eastAsia="en-ZA"/>
        </w:rPr>
        <w:fldChar w:fldCharType="separate"/>
      </w:r>
      <w:r w:rsidR="007746C5" w:rsidRPr="007746C5">
        <w:t>(Sheppard et al., 2002)</w:t>
      </w:r>
      <w:r w:rsidRPr="00837161">
        <w:rPr>
          <w:lang w:eastAsia="en-ZA"/>
        </w:rPr>
        <w:fldChar w:fldCharType="end"/>
      </w:r>
      <w:r w:rsidRPr="00837161">
        <w:rPr>
          <w:lang w:eastAsia="en-ZA"/>
        </w:rPr>
        <w:t xml:space="preserve"> and the economic costs for each management scenario will differ between situations </w:t>
      </w:r>
      <w:r w:rsidRPr="00837161">
        <w:rPr>
          <w:lang w:eastAsia="en-ZA"/>
        </w:rPr>
        <w:fldChar w:fldCharType="begin"/>
      </w:r>
      <w:r w:rsidR="000F35EB">
        <w:rPr>
          <w:lang w:eastAsia="en-ZA"/>
        </w:rPr>
        <w:instrText xml:space="preserve"> ADDIN ZOTERO_ITEM CSL_CITATION {"citationID":"F3bMuUaG","properties":{"formattedCitation":"(Pluess, Jaro\\uc0\\u353{}\\uc0\\u237{}k, et al., 2012)","plainCitation":"(Pluess, Jarošík, et al., 2012)","noteIndex":0},"citationItems":[{"id":11428,"uris":["http://zotero.org/groups/2352922/items/6ATDPYR3"],"itemData":{"id":11428,"type":"article-journal","abstract":"Although issues related to the management of invasive alien species are receiving increasing attention, little is known about which factors affect the likelihood of success of management measures. We applied two data mining techniques, classification trees and boosted trees, to identify factors that relate to the success of management campaigns aimed at eradicating invasive alien invertebrates, plants and plant pathogens. We assembled a dataset of 173 different eradication campaigns against 94 species worldwide, about a half of which (50.9%) were successful. Eradications in man-made habitats, greenhouses in particular, were more likely to succeed than those in (semi-)natural habitats. In man-made habitats the probability of success was generally high in Australasia, while in Europe and the Americas it was higher for local infestations that are easier to deal with, and for international campaigns that are likely to profit from cross-border cooperation. In (semi-) natural habitats, eradication campaigns were more likely to succeed for plants introduced as an ornamental and escaped from cultivation prior to invasion. Averaging out all other factors in boosted trees, pathogens, bacteria and viruses were most, and fungi the least likely to be eradicated; for plants and invertebrates the probability was intermediate. Our analysis indicates that initiating the campaign before the extent of infestation reaches the critical threshold, starting to eradicate within the first four years since the problem has been noticed, paying special attention to species introduced by the cultivation pathway, and applying sanitary measures can substantially increase the probability of eradication success. Our investigations also revealed that information on socioeconomic factors, which are often considered to be crucial for eradication success, is rarely available, and thus their relative importance cannot be evaluated. Future campaigns should carefully document socioeconomic factors to enable tests of their importance.","container-title":"PLoS ONE","DOI":"10.1371/journal.pone.0048157","ISSN":"1932-6203","issue":"10","journalAbbreviation":"PLOS ONE","language":"en","page":"e48157","source":"PLoS Journals","title":"Which Factors Affect the Success or Failure of Eradication Campaigns against Alien Species?","URL":"https://journals.plos.org/plosone/article?id=10.1371/journal.pone.0048157","volume":"7","author":[{"family":"Pluess","given":"Therese"},{"family":"Jarošík","given":"Vojtěch"},{"family":"Pyšek","given":"Petr"},{"family":"Cannon","given":"Ray"},{"family":"Pergl","given":"Jan"},{"family":"Breukers","given":"Annemarie"},{"family":"Bacher","given":"Sven"}],"accessed":{"date-parts":[["2019",10,18]]},"issued":{"date-parts":[["2012",10,26]]}}}],"schema":"https://github.com/citation-style-language/schema/raw/master/csl-citation.json"} </w:instrText>
      </w:r>
      <w:r w:rsidRPr="00837161">
        <w:rPr>
          <w:lang w:eastAsia="en-ZA"/>
        </w:rPr>
        <w:fldChar w:fldCharType="separate"/>
      </w:r>
      <w:r w:rsidR="00271B78" w:rsidRPr="00271B78">
        <w:t>(Pluess, Jarošík, et al., 2012)</w:t>
      </w:r>
      <w:r w:rsidRPr="00837161">
        <w:rPr>
          <w:lang w:eastAsia="en-ZA"/>
        </w:rPr>
        <w:fldChar w:fldCharType="end"/>
      </w:r>
      <w:r w:rsidRPr="00837161">
        <w:rPr>
          <w:lang w:eastAsia="en-ZA"/>
        </w:rPr>
        <w:t>. For example, an analysis of 173 eradication attempts across 94 invasive alien species showed</w:t>
      </w:r>
      <w:r w:rsidR="004C56A9">
        <w:rPr>
          <w:lang w:eastAsia="en-ZA"/>
        </w:rPr>
        <w:t xml:space="preserve"> that</w:t>
      </w:r>
      <w:r w:rsidRPr="00837161">
        <w:rPr>
          <w:lang w:eastAsia="en-ZA"/>
        </w:rPr>
        <w:t xml:space="preserve"> eradication was more likely in anthropogenic than </w:t>
      </w:r>
      <w:r w:rsidR="004C56A9">
        <w:rPr>
          <w:lang w:eastAsia="en-ZA"/>
        </w:rPr>
        <w:t xml:space="preserve">in </w:t>
      </w:r>
      <w:r w:rsidRPr="00837161">
        <w:rPr>
          <w:lang w:eastAsia="en-ZA"/>
        </w:rPr>
        <w:t xml:space="preserve">semi-(natural) sites </w:t>
      </w:r>
      <w:r w:rsidRPr="00837161">
        <w:rPr>
          <w:lang w:eastAsia="en-ZA"/>
        </w:rPr>
        <w:fldChar w:fldCharType="begin"/>
      </w:r>
      <w:r w:rsidR="000F35EB">
        <w:rPr>
          <w:lang w:eastAsia="en-ZA"/>
        </w:rPr>
        <w:instrText xml:space="preserve"> ADDIN ZOTERO_ITEM CSL_CITATION {"citationID":"uDbatG1i","properties":{"formattedCitation":"(Pluess, Jaro\\uc0\\u353{}\\uc0\\u237{}k, et al., 2012)","plainCitation":"(Pluess, Jarošík, et al., 2012)","dontUpdate":true,"noteIndex":0},"citationItems":[{"id":11428,"uris":["http://zotero.org/groups/2352922/items/6ATDPYR3"],"itemData":{"id":11428,"type":"article-journal","abstract":"Although issues related to the management of invasive alien species are receiving increasing attention, little is known about which factors affect the likelihood of success of management measures. We applied two data mining techniques, classification trees and boosted trees, to identify factors that relate to the success of management campaigns aimed at eradicating invasive alien invertebrates, plants and plant pathogens. We assembled a dataset of 173 different eradication campaigns against 94 species worldwide, about a half of which (50.9%) were successful. Eradications in man-made habitats, greenhouses in particular, were more likely to succeed than those in (semi-)natural habitats. In man-made habitats the probability of success was generally high in Australasia, while in Europe and the Americas it was higher for local infestations that are easier to deal with, and for international campaigns that are likely to profit from cross-border cooperation. In (semi-) natural habitats, eradication campaigns were more likely to succeed for plants introduced as an ornamental and escaped from cultivation prior to invasion. Averaging out all other factors in boosted trees, pathogens, bacteria and viruses were most, and fungi the least likely to be eradicated; for plants and invertebrates the probability was intermediate. Our analysis indicates that initiating the campaign before the extent of infestation reaches the critical threshold, starting to eradicate within the first four years since the problem has been noticed, paying special attention to species introduced by the cultivation pathway, and applying sanitary measures can substantially increase the probability of eradication success. Our investigations also revealed that information on socioeconomic factors, which are often considered to be crucial for eradication success, is rarely available, and thus their relative importance cannot be evaluated. Future campaigns should carefully document socioeconomic factors to enable tests of their importance.","container-title":"PLoS ONE","DOI":"10.1371/journal.pone.0048157","ISSN":"1932-6203","issue":"10","journalAbbreviation":"PLOS ONE","language":"en","page":"e48157","source":"PLoS Journals","title":"Which Factors Affect the Success or Failure of Eradication Campaigns against Alien Species?","URL":"https://journals.plos.org/plosone/article?id=10.1371/journal.pone.0048157","volume":"7","author":[{"family":"Pluess","given":"Therese"},{"family":"Jarošík","given":"Vojtěch"},{"family":"Pyšek","given":"Petr"},{"family":"Cannon","given":"Ray"},{"family":"Pergl","given":"Jan"},{"family":"Breukers","given":"Annemarie"},{"family":"Bacher","given":"Sven"}],"accessed":{"date-parts":[["2019",10,18]]},"issued":{"date-parts":[["2012",10,26]]}}}],"schema":"https://github.com/citation-style-language/schema/raw/master/csl-citation.json"} </w:instrText>
      </w:r>
      <w:r w:rsidRPr="00837161">
        <w:rPr>
          <w:lang w:eastAsia="en-ZA"/>
        </w:rPr>
        <w:fldChar w:fldCharType="separate"/>
      </w:r>
      <w:r w:rsidRPr="00837161">
        <w:t>(Pluess, Jarošík, et al., 2012</w:t>
      </w:r>
      <w:r w:rsidR="00D9145D" w:rsidRPr="00837161">
        <w:t>;</w:t>
      </w:r>
      <w:r w:rsidRPr="00837161">
        <w:t xml:space="preserve"> </w:t>
      </w:r>
      <w:r w:rsidRPr="00DA533C">
        <w:rPr>
          <w:b/>
          <w:iCs/>
          <w:lang w:eastAsia="ja-JP"/>
        </w:rPr>
        <w:t>s</w:t>
      </w:r>
      <w:r w:rsidRPr="00DA533C">
        <w:rPr>
          <w:b/>
          <w:iCs/>
        </w:rPr>
        <w:t xml:space="preserve">ection </w:t>
      </w:r>
      <w:r w:rsidR="00186DB4" w:rsidRPr="00DA533C">
        <w:rPr>
          <w:b/>
          <w:iCs/>
        </w:rPr>
        <w:t>5.5.3</w:t>
      </w:r>
      <w:r w:rsidRPr="00837161">
        <w:t>)</w:t>
      </w:r>
      <w:r w:rsidRPr="00837161">
        <w:rPr>
          <w:lang w:eastAsia="en-ZA"/>
        </w:rPr>
        <w:fldChar w:fldCharType="end"/>
      </w:r>
      <w:r w:rsidRPr="00837161">
        <w:rPr>
          <w:lang w:eastAsia="en-ZA"/>
        </w:rPr>
        <w:t xml:space="preserve">. The study also showed that eradication attempts are only likely to be successful if initiated within four years </w:t>
      </w:r>
      <w:r w:rsidR="004C56A9">
        <w:rPr>
          <w:lang w:eastAsia="en-ZA"/>
        </w:rPr>
        <w:t>after</w:t>
      </w:r>
      <w:r w:rsidR="004C56A9" w:rsidRPr="00837161">
        <w:rPr>
          <w:lang w:eastAsia="en-ZA"/>
        </w:rPr>
        <w:t xml:space="preserve"> </w:t>
      </w:r>
      <w:r w:rsidRPr="00837161">
        <w:rPr>
          <w:lang w:eastAsia="en-ZA"/>
        </w:rPr>
        <w:t xml:space="preserve">introduction </w:t>
      </w:r>
      <w:r w:rsidRPr="00837161">
        <w:rPr>
          <w:lang w:eastAsia="en-ZA"/>
        </w:rPr>
        <w:fldChar w:fldCharType="begin"/>
      </w:r>
      <w:r w:rsidR="000F35EB">
        <w:rPr>
          <w:lang w:eastAsia="en-ZA"/>
        </w:rPr>
        <w:instrText xml:space="preserve"> ADDIN ZOTERO_ITEM CSL_CITATION {"citationID":"O5SYjREO","properties":{"formattedCitation":"(Pluess, Jaro\\uc0\\u353{}\\uc0\\u237{}k, et al., 2012)","plainCitation":"(Pluess, Jarošík, et al., 2012)","noteIndex":0},"citationItems":[{"id":11428,"uris":["http://zotero.org/groups/2352922/items/6ATDPYR3"],"itemData":{"id":11428,"type":"article-journal","abstract":"Although issues related to the management of invasive alien species are receiving increasing attention, little is known about which factors affect the likelihood of success of management measures. We applied two data mining techniques, classification trees and boosted trees, to identify factors that relate to the success of management campaigns aimed at eradicating invasive alien invertebrates, plants and plant pathogens. We assembled a dataset of 173 different eradication campaigns against 94 species worldwide, about a half of which (50.9%) were successful. Eradications in man-made habitats, greenhouses in particular, were more likely to succeed than those in (semi-)natural habitats. In man-made habitats the probability of success was generally high in Australasia, while in Europe and the Americas it was higher for local infestations that are easier to deal with, and for international campaigns that are likely to profit from cross-border cooperation. In (semi-) natural habitats, eradication campaigns were more likely to succeed for plants introduced as an ornamental and escaped from cultivation prior to invasion. Averaging out all other factors in boosted trees, pathogens, bacteria and viruses were most, and fungi the least likely to be eradicated; for plants and invertebrates the probability was intermediate. Our analysis indicates that initiating the campaign before the extent of infestation reaches the critical threshold, starting to eradicate within the first four years since the problem has been noticed, paying special attention to species introduced by the cultivation pathway, and applying sanitary measures can substantially increase the probability of eradication success. Our investigations also revealed that information on socioeconomic factors, which are often considered to be crucial for eradication success, is rarely available, and thus their relative importance cannot be evaluated. Future campaigns should carefully document socioeconomic factors to enable tests of their importance.","container-title":"PLoS ONE","DOI":"10.1371/journal.pone.0048157","ISSN":"1932-6203","issue":"10","journalAbbreviation":"PLOS ONE","language":"en","page":"e48157","source":"PLoS Journals","title":"Which Factors Affect the Success or Failure of Eradication Campaigns against Alien Species?","URL":"https://journals.plos.org/plosone/article?id=10.1371/journal.pone.0048157","volume":"7","author":[{"family":"Pluess","given":"Therese"},{"family":"Jarošík","given":"Vojtěch"},{"family":"Pyšek","given":"Petr"},{"family":"Cannon","given":"Ray"},{"family":"Pergl","given":"Jan"},{"family":"Breukers","given":"Annemarie"},{"family":"Bacher","given":"Sven"}],"accessed":{"date-parts":[["2019",10,18]]},"issued":{"date-parts":[["2012",10,26]]}}}],"schema":"https://github.com/citation-style-language/schema/raw/master/csl-citation.json"} </w:instrText>
      </w:r>
      <w:r w:rsidRPr="00837161">
        <w:rPr>
          <w:lang w:eastAsia="en-ZA"/>
        </w:rPr>
        <w:fldChar w:fldCharType="separate"/>
      </w:r>
      <w:r w:rsidR="00271B78" w:rsidRPr="00271B78">
        <w:t>(Pluess, Jarošík, et al., 2012)</w:t>
      </w:r>
      <w:r w:rsidRPr="00837161">
        <w:rPr>
          <w:lang w:eastAsia="en-ZA"/>
        </w:rPr>
        <w:fldChar w:fldCharType="end"/>
      </w:r>
      <w:r w:rsidRPr="00837161">
        <w:rPr>
          <w:lang w:eastAsia="en-ZA"/>
        </w:rPr>
        <w:t xml:space="preserve">. Globally it has been shown that </w:t>
      </w:r>
      <w:r w:rsidR="00445DE5" w:rsidRPr="00837161">
        <w:rPr>
          <w:lang w:eastAsia="en-ZA"/>
        </w:rPr>
        <w:t xml:space="preserve">alien </w:t>
      </w:r>
      <w:r w:rsidRPr="00837161">
        <w:rPr>
          <w:lang w:eastAsia="en-ZA"/>
        </w:rPr>
        <w:t>vertebrate</w:t>
      </w:r>
      <w:r w:rsidR="00445DE5" w:rsidRPr="00837161">
        <w:rPr>
          <w:lang w:eastAsia="en-ZA"/>
        </w:rPr>
        <w:t>s</w:t>
      </w:r>
      <w:r w:rsidRPr="00837161">
        <w:rPr>
          <w:lang w:eastAsia="en-ZA"/>
        </w:rPr>
        <w:t xml:space="preserve"> are easier to eradicate than </w:t>
      </w:r>
      <w:r w:rsidR="00445DE5" w:rsidRPr="00837161">
        <w:rPr>
          <w:lang w:eastAsia="en-ZA"/>
        </w:rPr>
        <w:t xml:space="preserve">alien </w:t>
      </w:r>
      <w:r w:rsidRPr="00837161">
        <w:rPr>
          <w:lang w:eastAsia="en-ZA"/>
        </w:rPr>
        <w:t>generalist invertebrates</w:t>
      </w:r>
      <w:r w:rsidR="004C56A9">
        <w:rPr>
          <w:lang w:eastAsia="en-ZA"/>
        </w:rPr>
        <w:t>,</w:t>
      </w:r>
      <w:r w:rsidRPr="00837161">
        <w:rPr>
          <w:lang w:eastAsia="en-ZA"/>
        </w:rPr>
        <w:t xml:space="preserve"> pathogens and plants </w:t>
      </w:r>
      <w:r w:rsidRPr="00837161">
        <w:rPr>
          <w:lang w:eastAsia="en-ZA"/>
        </w:rPr>
        <w:fldChar w:fldCharType="begin"/>
      </w:r>
      <w:r w:rsidR="000F35EB">
        <w:rPr>
          <w:lang w:eastAsia="en-ZA"/>
        </w:rPr>
        <w:instrText xml:space="preserve"> ADDIN ZOTERO_ITEM CSL_CITATION {"citationID":"40KoC0pu","properties":{"formattedCitation":"(Booy et al., 2020)","plainCitation":"(Booy et al., 2020)","noteIndex":0},"citationItems":[{"id":52439,"uris":["http://zotero.org/groups/2352922/items/XKFD66H3"],"itemData":{"id":52439,"type":"article-journal","container-title":"Global Change Biology","DOI":"10.1111/gcb.15280","ISSN":"1354-1013, 1365-2486","issue":"11","journalAbbreviation":"Global Change Biology","language":"en","page":"6235-6250","source":"DOI.org (Crossref)","title":"Using structured eradication feasibility assessment to prioritize the management of new and emerging invasive alien species in Europe","URL":"https://onlinelibrary.wiley.com/doi/10.1111/gcb.15280","volume":"26","author":[{"family":"Booy","given":"Olaf"},{"family":"Robertson","given":"Pete A."},{"family":"Moore","given":"Niall"},{"family":"Ward","given":"Jess"},{"family":"Roy","given":"Helen E."},{"family":"Adriaens","given":"Tim"},{"family":"Shaw","given":"Richard"},{"family":"Van Valkenburg","given":"Johan"},{"family":"Wyn","given":"Gabrielle"},{"family":"Bertolino","given":"Sandro"},{"family":"Blight","given":"Olivier"},{"family":"Branquart","given":"Etienne"},{"family":"Brundu","given":"Giuseppe"},{"family":"Caffrey","given":"Joe"},{"family":"Capizzi","given":"Dario"},{"family":"Casaer","given":"Jim"},{"family":"De Clerck","given":"Olivier"},{"family":"Coughlan","given":"Neil E."},{"family":"Davis","given":"Eithne"},{"family":"Dick","given":"Jaimie T. A."},{"family":"Essl","given</w:instrText>
      </w:r>
      <w:r w:rsidR="000F35EB">
        <w:rPr>
          <w:rFonts w:hint="eastAsia"/>
          <w:lang w:eastAsia="en-ZA"/>
        </w:rPr>
        <w:instrText>":"Franz"},{"family":"Fried","given":"Guillaume"},{"family":"Genovesi","given":"Piero"},{"family":"González</w:instrText>
      </w:r>
      <w:r w:rsidR="000F35EB">
        <w:rPr>
          <w:rFonts w:hint="eastAsia"/>
          <w:lang w:eastAsia="en-ZA"/>
        </w:rPr>
        <w:instrText>‐</w:instrText>
      </w:r>
      <w:r w:rsidR="000F35EB">
        <w:rPr>
          <w:rFonts w:hint="eastAsia"/>
          <w:lang w:eastAsia="en-ZA"/>
        </w:rPr>
        <w:instrText>Moreno","given":"Pablo"},{"family":"Huysentruyt","given":"Frank"},{"family":"Jenkins","given":"Stuart R."},{"family":"Kerckhof","given":"Francis"},</w:instrText>
      </w:r>
      <w:r w:rsidR="000F35EB">
        <w:rPr>
          <w:lang w:eastAsia="en-ZA"/>
        </w:rPr>
        <w:instrText>{"family":"Lucy","given":"Frances E."},{"family":"Nentwig","given":"Wolfgang"},{"family":"Newman","given":"Jonathan"},{"family":"Rabitsch","given":"Wolfgang"},{"family":"Roy","given":"Sugoto"},{"family":"Starfinger","given":"Uwe"},{"family":"Stebbing","gi</w:instrText>
      </w:r>
      <w:r w:rsidR="000F35EB">
        <w:rPr>
          <w:rFonts w:hint="eastAsia"/>
          <w:lang w:eastAsia="en-ZA"/>
        </w:rPr>
        <w:instrText>ven":"Paul D."},{"family":"Stuyck","given":"Jan"},{"family":"Sutton</w:instrText>
      </w:r>
      <w:r w:rsidR="000F35EB">
        <w:rPr>
          <w:rFonts w:hint="eastAsia"/>
          <w:lang w:eastAsia="en-ZA"/>
        </w:rPr>
        <w:instrText>‐</w:instrText>
      </w:r>
      <w:r w:rsidR="000F35EB">
        <w:rPr>
          <w:rFonts w:hint="eastAsia"/>
          <w:lang w:eastAsia="en-ZA"/>
        </w:rPr>
        <w:instrText>Croft","given":"Mike"},{"family":"Tricarico","given":"Elena"},{"family":"Vanderhoeven","given":"Sonia"},{"family":"Verreycken","given":"Hugo"},{"family":"Mill","given":"Aileen C."}],"acce</w:instrText>
      </w:r>
      <w:r w:rsidR="000F35EB">
        <w:rPr>
          <w:lang w:eastAsia="en-ZA"/>
        </w:rPr>
        <w:instrText xml:space="preserve">ssed":{"date-parts":[["2022",6,3]]},"issued":{"date-parts":[["2020",11]]}}}],"schema":"https://github.com/citation-style-language/schema/raw/master/csl-citation.json"} </w:instrText>
      </w:r>
      <w:r w:rsidRPr="00837161">
        <w:rPr>
          <w:lang w:eastAsia="en-ZA"/>
        </w:rPr>
        <w:fldChar w:fldCharType="separate"/>
      </w:r>
      <w:r w:rsidR="00271B78" w:rsidRPr="00271B78">
        <w:t>(Booy et al., 2020)</w:t>
      </w:r>
      <w:r w:rsidRPr="00837161">
        <w:rPr>
          <w:lang w:eastAsia="en-ZA"/>
        </w:rPr>
        <w:fldChar w:fldCharType="end"/>
      </w:r>
      <w:r w:rsidRPr="00837161">
        <w:rPr>
          <w:lang w:eastAsia="en-ZA"/>
        </w:rPr>
        <w:t xml:space="preserve">. Plants and fungi, for example, produce seeds/spores or other propagules which are hard to find and may remain dormant for many years </w:t>
      </w:r>
      <w:r w:rsidRPr="00837161">
        <w:rPr>
          <w:lang w:eastAsia="en-ZA"/>
        </w:rPr>
        <w:fldChar w:fldCharType="begin"/>
      </w:r>
      <w:r w:rsidR="000F35EB">
        <w:rPr>
          <w:lang w:eastAsia="en-ZA"/>
        </w:rPr>
        <w:instrText xml:space="preserve"> ADDIN ZOTERO_ITEM CSL_CITATION {"citationID":"b7y6PMDm","properties":{"formattedCitation":"(Mack &amp; Lonsdale, 2001)","plainCitation":"(Mack &amp; Lonsdale, 2001)","noteIndex":0},"citationItems":[{"id":28272,"uris":["http://zotero.org/groups/2352922/items/PJ2U42NU"],"itemData":{"id":28272,"type":"article-journal","container-title":"Bioscience","DOI":"10.1641/0006-3568(2001)051[0095:HAGPDG]2.0.CO;2","issue":"2","page":"95-102","title":"Humans as global plant dispersers: Getting more than we bargained for: Current introductions of species for aesthetic purposes present the largest single challenge for predicting which plant immigrants will become future pests","volume":"51","author":[{"family":"Mack","given":"R N"},{"family":"Lonsdale","given":"W M"}],"issued":{"date-parts":[["2001",2]]}},"label":"page"}],"schema":"https://github.com/citation-style-language/schema/raw/master/csl-citation.json"} </w:instrText>
      </w:r>
      <w:r w:rsidRPr="00837161">
        <w:rPr>
          <w:lang w:eastAsia="en-ZA"/>
        </w:rPr>
        <w:fldChar w:fldCharType="separate"/>
      </w:r>
      <w:r w:rsidR="00271B78" w:rsidRPr="00271B78">
        <w:t>(Mack &amp; Lonsdale, 2001)</w:t>
      </w:r>
      <w:r w:rsidRPr="00837161">
        <w:rPr>
          <w:lang w:eastAsia="en-ZA"/>
        </w:rPr>
        <w:fldChar w:fldCharType="end"/>
      </w:r>
      <w:r w:rsidRPr="00837161">
        <w:rPr>
          <w:lang w:eastAsia="en-ZA"/>
        </w:rPr>
        <w:t xml:space="preserve">. One classical example of eradication is that of </w:t>
      </w:r>
      <w:r w:rsidRPr="00837161">
        <w:rPr>
          <w:i/>
          <w:iCs/>
          <w:lang w:eastAsia="en-ZA"/>
        </w:rPr>
        <w:t>Myocastor coypus</w:t>
      </w:r>
      <w:r w:rsidRPr="00837161">
        <w:rPr>
          <w:lang w:eastAsia="en-ZA"/>
        </w:rPr>
        <w:t xml:space="preserve"> (coypu) from a large region of south-eastern England </w:t>
      </w:r>
      <w:r w:rsidRPr="00837161">
        <w:rPr>
          <w:lang w:eastAsia="en-ZA"/>
        </w:rPr>
        <w:fldChar w:fldCharType="begin"/>
      </w:r>
      <w:r w:rsidR="000F35EB">
        <w:rPr>
          <w:lang w:eastAsia="en-ZA"/>
        </w:rPr>
        <w:instrText xml:space="preserve"> ADDIN ZOTERO_ITEM CSL_CITATION {"citationID":"erCbcMVj","properties":{"formattedCitation":"(Gosling &amp; Baker, 1989)","plainCitation":"(Gosling &amp; Baker, 1989)","dontUpdate":true,"noteIndex":0},"citationItems":[{"id":29931,"uris":["http://zotero.org/groups/2352922/items/JL9ED5WC"],"itemData":{"id":29931,"type":"article-journal","abstract":"Introduced vertebrates can cause massive environmental damage but most attempts to remove feral populations have failed. This paper discusses the eradication campaigns against feral muskrats, Ondatra Zibethicus and coypus, Myocastor coypus in Britain. Both specks were introduced in the 1920s to be farmed for pelts and feral populations became established following escapes. The risk of environmental damage by muskrats was well known from Europe and;in eradication campaign started promptly in 1932 making use of overseas expertise and a control strategy designed by pest control specialists. The campaign was brought to a successful conclusion in 1939 when at least 4388 muskrats had been killed. In the 1930s, few believed that coypus would cause significant environment damage and early trapping efforts were inadequate. An early campaign achieved only limited success partly because of the lack of biological information. The eradication campaign which started in 1981, was based on a long tem study of population ecology. The effect of trapping and cold weather was quantified and detailed population simulations were used to plan the numbers of trappers, the time needed for eradication arid thus the likely cost of the campaign. An incentive bonus scheme was designed to overcome the problem that trappers would be reluctant to work themselves out of a job. Trapper deployment was planned using capture/trapping effort ratios and progress was checked by Ministry of Agriculture field staff. The muskrat campaigns succeeded because technical information to help plan the work was available and because action was taken quickly. Where an introduced population is well established, as with coypus in Britain, a closely integrated programme involving applied population ecology and a well-planned control organization may he essential for succesful removal.","container-title":"Biological Journal of the Linnean Society","DOI":"10.1111/j.1095-8312.1989.tb01561.x","ISSN":"1095-8312","issue":"1","language":"en","note":"_eprint: https://onlinelibrary.wiley.com/doi/pdf/10.1111/j.1095-8312.1989.tb01561.x","page":"39-51","source":"Wiley Online Library","title":"The eradication of muskrats and coypus from Britain","URL":"https://onlinelibrary.wiley.com/doi/abs/10.1111/j.1095-8312.1989.tb01561.x","volume":"38","author":[{"family":"Gosling","given":"L. M."},{"family":"Baker","given":"S. J."}],"accessed":{"date-parts":[["2021",8,2]]},"issued":{"date-parts":[["1989"]]}}}],"schema":"https://github.com/citation-style-language/schema/raw/master/csl-citation.json"} </w:instrText>
      </w:r>
      <w:r w:rsidRPr="00837161">
        <w:rPr>
          <w:lang w:eastAsia="en-ZA"/>
        </w:rPr>
        <w:fldChar w:fldCharType="separate"/>
      </w:r>
      <w:r w:rsidRPr="00837161">
        <w:rPr>
          <w:lang w:eastAsia="en-ZA"/>
        </w:rPr>
        <w:t>(Gosling &amp; Baker, 1989</w:t>
      </w:r>
      <w:r w:rsidRPr="00837161">
        <w:rPr>
          <w:lang w:eastAsia="en-ZA"/>
        </w:rPr>
        <w:fldChar w:fldCharType="end"/>
      </w:r>
      <w:r w:rsidRPr="00837161">
        <w:rPr>
          <w:lang w:eastAsia="en-ZA"/>
        </w:rPr>
        <w:t>). Although highly context</w:t>
      </w:r>
      <w:r w:rsidR="004C56A9">
        <w:rPr>
          <w:lang w:eastAsia="en-ZA"/>
        </w:rPr>
        <w:t>-</w:t>
      </w:r>
      <w:r w:rsidRPr="00837161">
        <w:rPr>
          <w:lang w:eastAsia="en-ZA"/>
        </w:rPr>
        <w:t xml:space="preserve"> and scale</w:t>
      </w:r>
      <w:r w:rsidR="004C56A9">
        <w:rPr>
          <w:lang w:eastAsia="en-ZA"/>
        </w:rPr>
        <w:t>-</w:t>
      </w:r>
      <w:r w:rsidRPr="00837161">
        <w:rPr>
          <w:lang w:eastAsia="en-ZA"/>
        </w:rPr>
        <w:t xml:space="preserve">dependent, there are examples of aquatic plants and freshwater fish being eradicated </w:t>
      </w:r>
      <w:r w:rsidRPr="00837161">
        <w:rPr>
          <w:lang w:eastAsia="en-ZA"/>
        </w:rPr>
        <w:fldChar w:fldCharType="begin"/>
      </w:r>
      <w:r w:rsidR="000F35EB">
        <w:rPr>
          <w:lang w:eastAsia="en-ZA"/>
        </w:rPr>
        <w:instrText xml:space="preserve"> ADDIN ZOTERO_ITEM CSL_CITATION {"citationID":"yGVxoSuf","properties":{"formattedCitation":"(Simberloff, 2021)","plainCitation":"(Simberloff, 2021)","noteIndex":0},"citationItems":[{"id":31697,"uris":["http://zotero.org/groups/2352922/items/CP5WZMAV"],"itemData":{"id":31697,"type":"article-journal","container-title":"Hydrobiologia","DOI":"10.1007/s10750-020-04352-5","ISSN":"0018-8158,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schema":"https://github.com/citation-style-language/schema/raw/master/csl-citation.json"} </w:instrText>
      </w:r>
      <w:r w:rsidRPr="00837161">
        <w:rPr>
          <w:lang w:eastAsia="en-ZA"/>
        </w:rPr>
        <w:fldChar w:fldCharType="separate"/>
      </w:r>
      <w:r w:rsidR="00271B78" w:rsidRPr="00271B78">
        <w:t>(Simberloff, 2021)</w:t>
      </w:r>
      <w:r w:rsidRPr="00837161">
        <w:rPr>
          <w:lang w:eastAsia="en-ZA"/>
        </w:rPr>
        <w:fldChar w:fldCharType="end"/>
      </w:r>
      <w:r w:rsidRPr="00837161">
        <w:rPr>
          <w:lang w:eastAsia="en-ZA"/>
        </w:rPr>
        <w:t xml:space="preserve">. In Norway, the invasive alien fish that have been successfully eradicated include </w:t>
      </w:r>
      <w:r w:rsidRPr="00837161">
        <w:rPr>
          <w:i/>
          <w:iCs/>
          <w:lang w:eastAsia="en-ZA"/>
        </w:rPr>
        <w:t>Phoxinus phoxinus</w:t>
      </w:r>
      <w:r w:rsidRPr="00837161">
        <w:rPr>
          <w:lang w:eastAsia="en-ZA"/>
        </w:rPr>
        <w:t xml:space="preserve"> (European minnow), </w:t>
      </w:r>
      <w:r w:rsidRPr="00837161">
        <w:rPr>
          <w:i/>
          <w:iCs/>
          <w:lang w:eastAsia="en-ZA"/>
        </w:rPr>
        <w:t>Rutilus rutilus</w:t>
      </w:r>
      <w:r w:rsidRPr="00837161">
        <w:rPr>
          <w:lang w:eastAsia="en-ZA"/>
        </w:rPr>
        <w:t xml:space="preserve"> (roach), </w:t>
      </w:r>
      <w:r w:rsidRPr="00837161">
        <w:rPr>
          <w:i/>
          <w:iCs/>
          <w:lang w:eastAsia="en-ZA"/>
        </w:rPr>
        <w:t xml:space="preserve">Esox </w:t>
      </w:r>
      <w:r w:rsidR="00FF5DE9">
        <w:rPr>
          <w:i/>
          <w:iCs/>
          <w:lang w:eastAsia="en-ZA"/>
        </w:rPr>
        <w:t>lucius</w:t>
      </w:r>
      <w:r w:rsidRPr="00837161">
        <w:rPr>
          <w:lang w:eastAsia="en-ZA"/>
        </w:rPr>
        <w:t xml:space="preserve"> (pike) and </w:t>
      </w:r>
      <w:r w:rsidRPr="00837161">
        <w:rPr>
          <w:i/>
          <w:iCs/>
          <w:lang w:eastAsia="en-ZA"/>
        </w:rPr>
        <w:t>Coregonus lavaretus</w:t>
      </w:r>
      <w:r w:rsidRPr="00837161">
        <w:rPr>
          <w:lang w:eastAsia="en-ZA"/>
        </w:rPr>
        <w:t xml:space="preserve"> (common whitefish) </w:t>
      </w:r>
      <w:r w:rsidRPr="00837161">
        <w:rPr>
          <w:lang w:eastAsia="en-ZA"/>
        </w:rPr>
        <w:fldChar w:fldCharType="begin"/>
      </w:r>
      <w:r w:rsidR="000F35EB">
        <w:rPr>
          <w:lang w:eastAsia="en-ZA"/>
        </w:rPr>
        <w:instrText xml:space="preserve"> ADDIN ZOTERO_ITEM CSL_CITATION {"citationID":"wiFL6D3q","properties":{"formattedCitation":"(Bardal, 2019)","plainCitation":"(Bardal, 2019)","noteIndex":0},"citationItems":[{"id":29572,"uris":["http://zotero.org/groups/2352922/items/WDV6UGWH"],"itemData":{"id":29572,"type":"chapter","abstract":"In July 2016, the European Union adopted a list of invasive alien species of concern, and at present there are two freshwater ﬁsh species on the list. Member states are obliged to prevent further spread and to perform rapid eradication when problem species are discovered at new sites, but continental EU member states have limited experience with eradication of ﬁsh. Eradications are more likely to succeed if the invasive species is conﬁned to insular habitats. Freshwater invasives can be regarded as island invasives, since their habitats have boundaries against shorelines, saline waters, waterfalls and dams, and these boundaries make eradications possible. CFT Legumine® containing rotenone is the only legal piscicide in the EU, and Norway has used CFT Legumine® in eradication eﬀorts for many years. Species that have been introduced outside their native range and have been successfully eradicated include minnow (Phoxinus phoxinus), roach (Rutilus rutilus), pike (Esox lucius), common whiteﬁsh (Coregonus lavaretus), and the salmon parasite Gyrodactylus salaris. This manuscript summarises the eradication eﬀorts of invasive ﬁsh species and ﬁsh parasite species during the last two decades in Norway, covering eradications from such diverse habitats as small ponds, lakes, marshlands, small streams and large rivers. An estimated £100 million has been spent in the Gyrodactylus salaris eradication programme. Costs of invasive ﬁsh eradications are given, ranging from less than </w:instrText>
      </w:r>
      <w:r w:rsidR="000F35EB">
        <w:rPr>
          <w:rFonts w:hint="eastAsia"/>
          <w:lang w:eastAsia="en-ZA"/>
        </w:rPr>
        <w:instrText>£</w:instrText>
      </w:r>
      <w:r w:rsidR="000F35EB">
        <w:rPr>
          <w:lang w:eastAsia="en-ZA"/>
        </w:rPr>
        <w:instrText xml:space="preserve">10,000 to more than £200,000. There are no known invasive ﬁsh eradication failures in Norway in the last 20 years. A summary of the eﬀorts in Norway can be an aid for planning control and eradication measures of invasive ﬁsh species in other countries.","collection-number":"62","collection-title":"Occasional Paper SSC","container-title":"Island invasives: scaling up to meet the challenge","event-place":"Gland, Switzerland","language":"en","page":"447-451","publisher":"IUCN","publisher-place":"Gland, Switzerland","source":"Zotero","title":"Small- and large-scale eradication of invasive ﬁsh and ﬁsh parasites in freshwater systems in Norway","author":[{"family":"Bardal","given":"H"}],"editor":[{"family":"Veitch","given":"C.R."},{"family":"Clout","given":"M.N."},{"literal":"Martin, A.R."},{"literal":"Russel, J.C."},{"literal":"West, C.J."}],"issued":{"date-parts":[["2019"]]}},"label":"page"}],"schema":"https://github.com/citation-style-language/schema/raw/master/csl-citation.json"} </w:instrText>
      </w:r>
      <w:r w:rsidRPr="00837161">
        <w:rPr>
          <w:lang w:eastAsia="en-ZA"/>
        </w:rPr>
        <w:fldChar w:fldCharType="separate"/>
      </w:r>
      <w:r w:rsidR="00271B78" w:rsidRPr="00271B78">
        <w:t>(Bardal, 2019)</w:t>
      </w:r>
      <w:r w:rsidRPr="00837161">
        <w:rPr>
          <w:lang w:eastAsia="en-ZA"/>
        </w:rPr>
        <w:fldChar w:fldCharType="end"/>
      </w:r>
      <w:r w:rsidRPr="00837161">
        <w:rPr>
          <w:lang w:eastAsia="en-ZA"/>
        </w:rPr>
        <w:t xml:space="preserve">. The feasibility of eradication of invasive alien species in marine ecosystems at any scale is, however, generally small </w:t>
      </w:r>
      <w:r w:rsidRPr="00837161">
        <w:rPr>
          <w:lang w:eastAsia="en-ZA"/>
        </w:rPr>
        <w:fldChar w:fldCharType="begin"/>
      </w:r>
      <w:r w:rsidR="000F35EB">
        <w:rPr>
          <w:lang w:eastAsia="en-ZA"/>
        </w:rPr>
        <w:instrText xml:space="preserve"> ADDIN ZOTERO_ITEM CSL_CITATION {"citationID":"2E4DeSPx","properties":{"formattedCitation":"(Booy et al., 2020)","plainCitation":"(Booy et al., 2020)","noteIndex":0},"citationItems":[{"id":52439,"uris":["http://zotero.org/groups/2352922/items/XKFD66H3"],"itemData":{"id":52439,"type":"article-journal","container-title":"Global Change Biology","DOI":"10.1111/gcb.15280","ISSN":"1354-1013, 1365-2486","issue":"11","journalAbbreviation":"Global Change Biology","language":"en","page":"6235-6250","source":"DOI.org (Crossref)","title":"Using structured eradication feasibility assessment to prioritize the management of new and emerging invasive alien species in Europe","URL":"https://onlinelibrary.wiley.com/doi/10.1111/gcb.15280","volume":"26","author":[{"family":"Booy","given":"Olaf"},{"family":"Robertson","given":"Pete A."},{"family":"Moore","given":"Niall"},{"family":"Ward","given":"Jess"},{"family":"Roy","given":"Helen E."},{"family":"Adriaens","given":"Tim"},{"family":"Shaw","given":"Richard"},{"family":"Van Valkenburg","given":"Johan"},{"family":"Wyn","given":"Gabrielle"},{"family":"Bertolino","given":"Sandro"},{"family":"Blight","given":"Olivier"},{"family":"Branquart","given":"Etienne"},{"family":"Brundu","given":"Giuseppe"},{"family":"Caffrey","given":"Joe"},{"family":"Capizzi","given":"Dario"},{"family":"Casaer","given":"Jim"},{"family":"De Clerck","given":"Olivier"},{"family":"Coughlan","given":"Neil E."},{"family":"Davis","given":"Eithne"},{"family":"Dick","given":"Jaimie T. A."},{"family":"Essl","given</w:instrText>
      </w:r>
      <w:r w:rsidR="000F35EB">
        <w:rPr>
          <w:rFonts w:hint="eastAsia"/>
          <w:lang w:eastAsia="en-ZA"/>
        </w:rPr>
        <w:instrText>":"Franz"},{"family":"Fried","given":"Guillaume"},{"family":"Genovesi","given":"Piero"},{"family":"González</w:instrText>
      </w:r>
      <w:r w:rsidR="000F35EB">
        <w:rPr>
          <w:rFonts w:hint="eastAsia"/>
          <w:lang w:eastAsia="en-ZA"/>
        </w:rPr>
        <w:instrText>‐</w:instrText>
      </w:r>
      <w:r w:rsidR="000F35EB">
        <w:rPr>
          <w:rFonts w:hint="eastAsia"/>
          <w:lang w:eastAsia="en-ZA"/>
        </w:rPr>
        <w:instrText>Moreno","given":"Pablo"},{"family":"Huysentruyt","given":"Frank"},{"family":"Jenkins","given":"Stuart R."},{"family":"Kerckhof","given":"Francis"},</w:instrText>
      </w:r>
      <w:r w:rsidR="000F35EB">
        <w:rPr>
          <w:lang w:eastAsia="en-ZA"/>
        </w:rPr>
        <w:instrText>{"family":"Lucy","given":"Frances E."},{"family":"Nentwig","given":"Wolfgang"},{"family":"Newman","given":"Jonathan"},{"family":"Rabitsch","given":"Wolfgang"},{"family":"Roy","given":"Sugoto"},{"family":"Starfinger","given":"Uwe"},{"family":"Stebbing","gi</w:instrText>
      </w:r>
      <w:r w:rsidR="000F35EB">
        <w:rPr>
          <w:rFonts w:hint="eastAsia"/>
          <w:lang w:eastAsia="en-ZA"/>
        </w:rPr>
        <w:instrText>ven":"Paul D."},{"family":"Stuyck","given":"Jan"},{"family":"Sutton</w:instrText>
      </w:r>
      <w:r w:rsidR="000F35EB">
        <w:rPr>
          <w:rFonts w:hint="eastAsia"/>
          <w:lang w:eastAsia="en-ZA"/>
        </w:rPr>
        <w:instrText>‐</w:instrText>
      </w:r>
      <w:r w:rsidR="000F35EB">
        <w:rPr>
          <w:rFonts w:hint="eastAsia"/>
          <w:lang w:eastAsia="en-ZA"/>
        </w:rPr>
        <w:instrText>Croft","given":"Mike"},{"family":"Tricarico","given":"Elena"},{"family":"Vanderhoeven","given":"Sonia"},{"family":"Verreycken","given":"Hugo"},{"family":"Mill","given":"Aileen C."}],"acce</w:instrText>
      </w:r>
      <w:r w:rsidR="000F35EB">
        <w:rPr>
          <w:lang w:eastAsia="en-ZA"/>
        </w:rPr>
        <w:instrText xml:space="preserve">ssed":{"date-parts":[["2022",6,3]]},"issued":{"date-parts":[["2020",11]]}}}],"schema":"https://github.com/citation-style-language/schema/raw/master/csl-citation.json"} </w:instrText>
      </w:r>
      <w:r w:rsidRPr="00837161">
        <w:rPr>
          <w:lang w:eastAsia="en-ZA"/>
        </w:rPr>
        <w:fldChar w:fldCharType="separate"/>
      </w:r>
      <w:r w:rsidR="00271B78" w:rsidRPr="00271B78">
        <w:t>(Booy et al., 2020)</w:t>
      </w:r>
      <w:r w:rsidRPr="00837161">
        <w:rPr>
          <w:lang w:eastAsia="en-ZA"/>
        </w:rPr>
        <w:fldChar w:fldCharType="end"/>
      </w:r>
      <w:r w:rsidRPr="00837161">
        <w:rPr>
          <w:lang w:eastAsia="en-ZA"/>
        </w:rPr>
        <w:t xml:space="preserve">. </w:t>
      </w:r>
    </w:p>
    <w:p w14:paraId="3FDBE09C" w14:textId="45500614" w:rsidR="00383764" w:rsidRPr="00837161" w:rsidRDefault="00383764" w:rsidP="00C11DFA">
      <w:pPr>
        <w:spacing w:before="240" w:after="120" w:line="240" w:lineRule="auto"/>
        <w:rPr>
          <w:lang w:eastAsia="en-ZA"/>
        </w:rPr>
      </w:pPr>
      <w:r w:rsidRPr="00837161">
        <w:rPr>
          <w:lang w:eastAsia="en-ZA"/>
        </w:rPr>
        <w:t xml:space="preserve">For individual invasive alien species, different populations within one habitat will vary in their density and impacts </w:t>
      </w:r>
      <w:r w:rsidR="00C45B4B" w:rsidRPr="00837161">
        <w:rPr>
          <w:lang w:eastAsia="en-ZA"/>
        </w:rPr>
        <w:t>(</w:t>
      </w:r>
      <w:r w:rsidR="00C45B4B" w:rsidRPr="00DA533C">
        <w:rPr>
          <w:b/>
          <w:iCs/>
          <w:lang w:eastAsia="en-ZA"/>
        </w:rPr>
        <w:t>section 5.3</w:t>
      </w:r>
      <w:r w:rsidR="00C45B4B" w:rsidRPr="00837161">
        <w:rPr>
          <w:lang w:eastAsia="en-ZA"/>
        </w:rPr>
        <w:t>;</w:t>
      </w:r>
      <w:r w:rsidR="00C45B4B">
        <w:rPr>
          <w:lang w:eastAsia="en-ZA"/>
        </w:rPr>
        <w:t xml:space="preserve"> </w:t>
      </w:r>
      <w:r w:rsidRPr="00837161">
        <w:rPr>
          <w:lang w:eastAsia="en-ZA"/>
        </w:rPr>
        <w:fldChar w:fldCharType="begin"/>
      </w:r>
      <w:r w:rsidR="000F35EB">
        <w:rPr>
          <w:lang w:eastAsia="en-ZA"/>
        </w:rPr>
        <w:instrText xml:space="preserve"> ADDIN ZOTERO_ITEM CSL_CITATION {"citationID":"NWBVQg31","properties":{"formattedCitation":"(Dassonville et al., 2008)","plainCitation":"(Dassonville et al., 2008)","dontUpdate":true,"noteIndex":0},"citationItems":[{"id":24277,"uris":["http://zotero.org/groups/2352922/items/E4IUZDZ6"],"itemData":{"id":24277,"type":"article-journal","abstract":"Alien invasive plants are capable of modifying ecosystem function. However, it is difficult to make generalisations because impacts often appear to be species- and site-specific. In this study, we examined the impacts of seven highly invasive plant species in NW Europe (Fallopia japonica, Heracleum mantegazzianum, Impatiens glandulifera, Prunus serotina, Rosa rugosa, Senecio inaequidens, Solidago gigantea) on nutrient pools in the topsoil and the standing biomass. We tested if the impacts follow predictable patterns, across species and sites or, alternatively, if they are entirely idiosyncratic. To that end, we compared invaded and adjacent uninvaded plots in a total of 36 sites with widely divergent soil chemistry and vegetation composition. For all species, invaded plots had increased aboveground biomass and nutrient stocks in standing biomass compared to uninvaded vegetation. This suggests that enhanced nutrient uptake may be a key trait of highly invasive plant species. The magnitude and direction of the impact on topsoil chemical properties were strongly site-specific. A striking finding is that the direction of change in soil properties followed a predictable pattern. Thus, strong positive impacts (higher topsoil nutrient concentrations in invaded plots compared to uninvaded ones) were most often found in sites with initially low nutrient concentrations in the topsoil, while negative impacts were generally found under the opposite conditions. This pattern was significant for potassium, magnesium, phosphorus, manganese and nitrogen. The particular site-specific pattern in the impacts that we observed provides the first evidence that alien invasive species may contribute to a homogenisation of soil conditions in invaded landscapes. ? 2008 Springer-Verlag.","container-title":"Oecologia","DOI":"10.1007/s00442-008-1054-6","ISSN":"00298549","issue":"1","note":"PMID: 18491146","page":"131–140","title":"Impacts of alien invasive plants on soil nutrients are correlated with initial site conditions in NW Europe","volume":"157","author":[{"family":"Dassonville","given":"N."},{"family":"Vanderhoeven","given":"S."},{"family":"Vanparys","given":"V."},{"family":"Hayez","given":"M."},{"family":"Gruber","given":"W."},{"family":"Meerts","given":"P."}],"issued":{"date-parts":[["2008"]]}},"label":"page"}],"schema":"https://github.com/citation-style-language/schema/raw/master/csl-citation.json"} </w:instrText>
      </w:r>
      <w:r w:rsidRPr="00837161">
        <w:rPr>
          <w:lang w:eastAsia="en-ZA"/>
        </w:rPr>
        <w:fldChar w:fldCharType="separate"/>
      </w:r>
      <w:r w:rsidR="0052166D" w:rsidRPr="0052166D">
        <w:t>Dassonville et al., 2008)</w:t>
      </w:r>
      <w:r w:rsidRPr="00837161">
        <w:rPr>
          <w:lang w:eastAsia="en-ZA"/>
        </w:rPr>
        <w:fldChar w:fldCharType="end"/>
      </w:r>
      <w:r w:rsidRPr="00837161">
        <w:rPr>
          <w:lang w:eastAsia="en-ZA"/>
        </w:rPr>
        <w:t xml:space="preserve">. This variability alters options for optimal management. For example, </w:t>
      </w:r>
      <w:r w:rsidRPr="00837161">
        <w:rPr>
          <w:i/>
          <w:iCs/>
          <w:lang w:eastAsia="en-ZA"/>
        </w:rPr>
        <w:t>Undaria pinnatifida</w:t>
      </w:r>
      <w:r w:rsidRPr="00837161">
        <w:rPr>
          <w:lang w:eastAsia="en-ZA"/>
        </w:rPr>
        <w:t xml:space="preserve"> (Asian kelp) has invaded most temperate regions worldwide, but conditions </w:t>
      </w:r>
      <w:r w:rsidR="002F2F42">
        <w:t xml:space="preserve">for successful biological invasion could not be generalized across regions </w:t>
      </w:r>
      <w:r w:rsidRPr="00837161">
        <w:rPr>
          <w:lang w:eastAsia="en-ZA"/>
        </w:rPr>
        <w:fldChar w:fldCharType="begin"/>
      </w:r>
      <w:r w:rsidR="000F35EB">
        <w:rPr>
          <w:lang w:eastAsia="en-ZA"/>
        </w:rPr>
        <w:instrText xml:space="preserve"> ADDIN ZOTERO_ITEM CSL_CITATION {"citationID":"7UtWajDf","properties":{"formattedCitation":"(Epstein &amp; Smale, 2017)","plainCitation":"(Epstein &amp; Smale, 2017)","noteIndex":0},"citationItems":[{"id":16591,"uris":["http://zotero.org/groups/2352922/items/YLIMZPKS"],"itemData":{"id":16591,"type":"article-journal","abstract":"Marine invasion ecology and management have progressed significantly over the last 30 years although many knowledge gaps and challenges remain. The kelp Undaria pinnatifida, or “Wakame,” has a global non-­native range and is considered one of the world’s “worst” invasive species. Since its first recorded introduction in 1971, numerous studies have been conducted on its ecology, invasive characteristics, and impacts, yet a general consensus on the best approach to its management has not yet been reached. Here, we synthesize current understanding of this highly invasive species and adopt Undaria as a case study to highlight challenges in wider marine invasion ecology and management. Invasive species such as Undaria are likely to continue to spread and become conspicuous, prominent components of coastal marine communities. While in many cases, marine invasive species have detectable deleterious impacts on recipient communities, in many others their influence is often limited and location specific. Although not yet conclusive, Undaria may cause some ecological impact, but it does not appear to drive ecosystem change in most invaded regions. Targeted management actions have also had minimal success. Further research is needed before well-­ considered, evidence-­based management decisions can be made. However, if Undaria was to become officially unmanaged in parts of its non-­native range, the presence of a highly productive, habitat former with commercial value and a broad ecological niche, could have significant economic and even environmental benefit. How science and policy reacts to the continued invasion of Undaria may influence how similar m­ arine invasive species are handled in the future.","container-title":"Ecology and Evolution","DOI":"10.1002/ece3.3430","ISSN":"20457758","issue":"20","journalAbbreviation":"Ecol Evol","language":"en","page":"8624-8642","source":"DOI.org (Crossref)","title":"&lt;i&gt;Undaria pinnatifida&lt;/i&gt;: A case study to highlight challenges in marine invasion ecology and management","title-short":"&lt;i&gt;Undaria pinnatifida&lt;/i&gt;","URL":"http://doi.wiley.com/10.1002/ece3.3430","volume":"7","author":[{"family":"Epstein","given":"Graham"},{"family":"Smale","given":"Dan A."}],"accessed":{"date-parts":[["2019",11,30]]},"issued":{"date-parts":[["2017",10]]}},"label":"page"}],"schema":"https://github.com/citation-style-language/schema/raw/master/csl-citation.json"} </w:instrText>
      </w:r>
      <w:r w:rsidRPr="00837161">
        <w:rPr>
          <w:lang w:eastAsia="en-ZA"/>
        </w:rPr>
        <w:fldChar w:fldCharType="separate"/>
      </w:r>
      <w:r w:rsidR="00271B78" w:rsidRPr="00271B78">
        <w:t>(Epstein &amp; Smale, 2017)</w:t>
      </w:r>
      <w:r w:rsidRPr="00837161">
        <w:rPr>
          <w:lang w:eastAsia="en-ZA"/>
        </w:rPr>
        <w:fldChar w:fldCharType="end"/>
      </w:r>
      <w:r w:rsidRPr="00837161">
        <w:rPr>
          <w:lang w:eastAsia="en-ZA"/>
        </w:rPr>
        <w:t xml:space="preserve">. </w:t>
      </w:r>
      <w:r w:rsidR="002F2F42">
        <w:t>Also, in the marine context, invasive alien species are notoriously difficult to control</w:t>
      </w:r>
      <w:r w:rsidRPr="00837161">
        <w:rPr>
          <w:lang w:eastAsia="en-ZA"/>
        </w:rPr>
        <w:t xml:space="preserve">, because the whole system is open and there are complexities in detection and implementing and evaluating responses to management actions </w:t>
      </w:r>
      <w:r w:rsidRPr="00837161">
        <w:rPr>
          <w:lang w:eastAsia="en-ZA"/>
        </w:rPr>
        <w:fldChar w:fldCharType="begin"/>
      </w:r>
      <w:r w:rsidR="000F35EB">
        <w:rPr>
          <w:lang w:eastAsia="en-ZA"/>
        </w:rPr>
        <w:instrText xml:space="preserve"> ADDIN ZOTERO_ITEM CSL_CITATION {"citationID":"EPNO03pA","properties":{"formattedCitation":"(Simberloff, 2021)","plainCitation":"(Simberloff, 2021)","noteIndex":0},"citationItems":[{"id":31697,"uris":["http://zotero.org/groups/2352922/items/CP5WZMAV"],"itemData":{"id":31697,"type":"article-journal","container-title":"Hydrobiologia","DOI":"10.1007/s10750-020-04352-5","ISSN":"0018-8158, 1573-5117","issue":"9","journalAbbreviation":"Hydrobiologia","language":"en","page":"2399-2420","source":"DOI.org (Crossref)","title":"Maintenance management and eradication of established aquatic invaders","URL":"https://link.springer.com/10.1007/s10750-020-04352-5","volume":"848","author":[{"family":"Simberloff","given":"Daniel"}],"accessed":{"date-parts":[["2021",11,22]]},"issued":{"date-parts":[["2021",5]]}}}],"schema":"https://github.com/citation-style-language/schema/raw/master/csl-citation.json"} </w:instrText>
      </w:r>
      <w:r w:rsidRPr="00837161">
        <w:rPr>
          <w:lang w:eastAsia="en-ZA"/>
        </w:rPr>
        <w:fldChar w:fldCharType="separate"/>
      </w:r>
      <w:r w:rsidR="00271B78" w:rsidRPr="00271B78">
        <w:t>(Simberloff, 2021)</w:t>
      </w:r>
      <w:r w:rsidRPr="00837161">
        <w:rPr>
          <w:lang w:eastAsia="en-ZA"/>
        </w:rPr>
        <w:fldChar w:fldCharType="end"/>
      </w:r>
      <w:r w:rsidRPr="00837161">
        <w:rPr>
          <w:lang w:eastAsia="en-ZA"/>
        </w:rPr>
        <w:t xml:space="preserve">. </w:t>
      </w:r>
    </w:p>
    <w:p w14:paraId="000006C2" w14:textId="543AC5D7" w:rsidR="00A758FD" w:rsidRPr="00C0338D" w:rsidRDefault="00383764">
      <w:pPr>
        <w:spacing w:before="240" w:after="120" w:line="240" w:lineRule="auto"/>
      </w:pPr>
      <w:bookmarkStart w:id="618" w:name="_Hlk86135463"/>
      <w:bookmarkStart w:id="619" w:name="_Hlk86070388"/>
      <w:r w:rsidRPr="00837161">
        <w:rPr>
          <w:lang w:eastAsia="en-ZA"/>
        </w:rPr>
        <w:t xml:space="preserve">An analysis of 76 case studies documenting the management of invasive alien species by </w:t>
      </w:r>
      <w:r w:rsidR="00875C95" w:rsidRPr="00837161">
        <w:rPr>
          <w:lang w:eastAsia="en-ZA"/>
        </w:rPr>
        <w:t>Indigenous Peoples</w:t>
      </w:r>
      <w:r w:rsidRPr="00837161">
        <w:rPr>
          <w:lang w:eastAsia="en-ZA"/>
        </w:rPr>
        <w:t xml:space="preserve"> and local communities show</w:t>
      </w:r>
      <w:r w:rsidRPr="00837161">
        <w:rPr>
          <w:rFonts w:eastAsia="游明朝"/>
          <w:lang w:eastAsia="ja-JP"/>
        </w:rPr>
        <w:t>ed</w:t>
      </w:r>
      <w:r w:rsidRPr="00837161">
        <w:rPr>
          <w:lang w:eastAsia="en-ZA"/>
        </w:rPr>
        <w:t xml:space="preserve"> that plants are the most frequently reported target of management (</w:t>
      </w:r>
      <w:r w:rsidR="002F2F42">
        <w:rPr>
          <w:b/>
          <w:bCs/>
          <w:iCs/>
          <w:lang w:eastAsia="en-ZA"/>
        </w:rPr>
        <w:t>S</w:t>
      </w:r>
      <w:r w:rsidR="00DA533C" w:rsidRPr="00DA533C">
        <w:rPr>
          <w:b/>
          <w:bCs/>
          <w:iCs/>
          <w:lang w:eastAsia="en-ZA"/>
        </w:rPr>
        <w:t>upplementary material 5.1</w:t>
      </w:r>
      <w:r w:rsidRPr="00837161">
        <w:rPr>
          <w:lang w:eastAsia="en-ZA"/>
        </w:rPr>
        <w:t xml:space="preserve">), although plants are relatively difficult to eradicate. Vertebrate animals are also often targeted by </w:t>
      </w:r>
      <w:r w:rsidR="00875C95" w:rsidRPr="00837161">
        <w:rPr>
          <w:lang w:eastAsia="en-ZA"/>
        </w:rPr>
        <w:t>Indigenous Peoples</w:t>
      </w:r>
      <w:r w:rsidRPr="00837161">
        <w:rPr>
          <w:lang w:eastAsia="en-ZA"/>
        </w:rPr>
        <w:t xml:space="preserve"> and local communities for management. However, the attempts of managing </w:t>
      </w:r>
      <w:r w:rsidR="00445DE5" w:rsidRPr="00837161">
        <w:rPr>
          <w:lang w:eastAsia="en-ZA"/>
        </w:rPr>
        <w:t xml:space="preserve">invasive alien </w:t>
      </w:r>
      <w:r w:rsidRPr="00837161">
        <w:rPr>
          <w:lang w:eastAsia="en-ZA"/>
        </w:rPr>
        <w:t xml:space="preserve">animals, especially mammals, on </w:t>
      </w:r>
      <w:r w:rsidR="002F2F42">
        <w:rPr>
          <w:lang w:eastAsia="en-ZA"/>
        </w:rPr>
        <w:t>I</w:t>
      </w:r>
      <w:r w:rsidRPr="00837161">
        <w:rPr>
          <w:lang w:eastAsia="en-ZA"/>
        </w:rPr>
        <w:t xml:space="preserve">ndigenous lands may not be successful, because of cultural or spiritual conflicts rather than the biological characteristics of the taxa </w:t>
      </w:r>
      <w:r w:rsidRPr="00837161">
        <w:rPr>
          <w:lang w:eastAsia="en-ZA"/>
        </w:rPr>
        <w:fldChar w:fldCharType="begin"/>
      </w:r>
      <w:r w:rsidR="000F35EB">
        <w:rPr>
          <w:lang w:eastAsia="en-ZA"/>
        </w:rPr>
        <w:instrText xml:space="preserve"> ADDIN ZOTERO_ITEM CSL_CITATION {"citationID":"L53meSc0","properties":{"formattedCitation":"(Koichi et al., 2012; Peltzer et al., 2019)","plainCitation":"(Koichi et al., 2012; Peltzer et al., 2019)","noteIndex":0},"citationItems":[{"id":30938,"uris":["http://zotero.org/groups/2352922/items/BCWPH2IP"],"itemData":{"id":30938,"type":"article-journal","abstract":"Feral pigs (Sus scrofa) are a major vertebrate pest in Australia and have been commonly referred to as an environmental and agricultural pest. However, perceptions about pigs and their impacts may vary from person to person, particularly Aboriginal Australians, who have different cultural backgrounds and worldviews. Such variation in perceptions makes the pest status of pigs ambiguous. This paper illustrates Aboriginal rangers’ perceptions of feral pigs and their impacts in the Wet Tropics World Heritage Area of North Queensland, Australia. There were differences in the values of feral pigs among Aboriginal communities, depending on the socio-economic context. Different values attached to feral pigs pose a management challenge of how to treat pigs: as a resource or a pest.","container-title":"Journal of Australian Indigenous Issues","issue":"1","language":"en","page":"2-20","source":"Zotero","title":"Aboriginal Rangers’ Perspectives on Feral Pigs: Are they a Pest or a Resource? A Case Study in the Wet Tropics World Heritage Area of Northern Queensland","URL":"https://www.researchgate.net/profile/Kamaljit-Sangha-2/publication/260752873_Aboriginal_Rangers'_Perspectives_on_Feral_Pigs_Are_they_a_Pest_or_a_Resource_A_Case_Study_in_the_Wet_Tropics_World_Heritage_Area_of_Northern_Queensland/links/00b7d53224cfdb852f000000/Aboriginal-Rangers-Perspectives-on-Feral-Pigs-Are-they-a-Pest-or-a-Resource-A-Case-Study-in-the-Wet-Tropics-World-Heritage-Area-of-Northern-Queensland.pdf","volume":"15","author":[{"family":"Koichi","given":"Kana"},{"family":"Sangha","given":"Kamaljit K"},{"family":"Cottrell","given":"Alison"},{"family":"Gordon","given":"Iain J"}],"issued":{"date-parts":[["2012"]]}},"label":"page"},{"id":56552,"uris":["http://zotero.org/groups/2352922/items/WGE4W9R8","http://zotero.org/groups/2352922/items/9NHCBRXF"],"itemData":{"id":56552,"type":"article-journal","container-title":"Journal of the Royal Society of New Zealand","DOI":"10.1080/03036758.2019.1653940","ISSN":"0303-6758, 1175-8899","issue":"3","journalAbbreviation":"Journal of the Royal Society of New Zealand","language":"en","page":"412-439","source":"DOI.org (Crossref)","title":"Scale and complexity implications of making New Zealand predator-free by 2050","URL":"https://www.tandfonline.com/doi/full/10.1080/03036758.2019.1653940","volume":"49","author":[{"family":"Peltzer","given":"Duane A."},{"family":"Bellingham","given":"Peter J."},{"family":"Dickie","given":"Ian A."},{"family":"Houliston","given":"Gary"},{"family":"Hulme","given":"Philip E."},{"family":"Lyver","given":"Phil O’B."},{"family":"McGlone","given":"Matthew"},{"family":"Richardson","given":"Sarah J."},{"family":"Wood","given":"Jamie"}],"accessed":{"date-parts":[["2023",6,8]]},"issued":{"date-parts":[["2019",7,3]]}},"label":"page"}],"schema":"https://github.com/citation-style-language/schema/raw/master/csl-citation.json"} </w:instrText>
      </w:r>
      <w:r w:rsidRPr="00837161">
        <w:rPr>
          <w:lang w:eastAsia="en-ZA"/>
        </w:rPr>
        <w:fldChar w:fldCharType="separate"/>
      </w:r>
      <w:r w:rsidR="00271B78" w:rsidRPr="00271B78">
        <w:t>(Koichi et al., 2012; Peltzer et al., 2019)</w:t>
      </w:r>
      <w:r w:rsidRPr="00837161">
        <w:rPr>
          <w:lang w:eastAsia="en-ZA"/>
        </w:rPr>
        <w:fldChar w:fldCharType="end"/>
      </w:r>
      <w:r w:rsidRPr="00837161">
        <w:rPr>
          <w:lang w:eastAsia="en-ZA"/>
        </w:rPr>
        <w:t>.</w:t>
      </w:r>
      <w:bookmarkStart w:id="620" w:name="_heading=h.1h65qms" w:colFirst="0" w:colLast="0"/>
      <w:bookmarkEnd w:id="620"/>
      <w:r w:rsidR="00C81287" w:rsidRPr="00C0338D">
        <w:t xml:space="preserve"> There are few case studies reporting the management of invertebrates, fungi and pathogens implemented by Indigenous Peoples and local communities. The majority of the case studies reviewed have focused on terrestrial ecosystems, whereas there are much fewer studies documenting the attempts in freshwater and marine ecosystems (</w:t>
      </w:r>
      <w:r w:rsidR="002F2F42">
        <w:rPr>
          <w:b/>
        </w:rPr>
        <w:t>S</w:t>
      </w:r>
      <w:r w:rsidR="00C81287" w:rsidRPr="00C0338D">
        <w:rPr>
          <w:b/>
        </w:rPr>
        <w:t>upplementary material 5.1</w:t>
      </w:r>
      <w:r w:rsidR="00C81287" w:rsidRPr="00C0338D">
        <w:t>). This might imply that Indigenous Peoples and local communities have not actively attempted management of invasive alien species in aquatic ecosystems since it is notoriously less feasible than terrestrial ecosystems</w:t>
      </w:r>
      <w:bookmarkEnd w:id="618"/>
      <w:bookmarkEnd w:id="619"/>
      <w:r w:rsidR="00C81287" w:rsidRPr="00C0338D">
        <w:t xml:space="preserve"> (but see </w:t>
      </w:r>
      <w:r w:rsidR="00C81287" w:rsidRPr="00C0338D">
        <w:rPr>
          <w:b/>
        </w:rPr>
        <w:t>section 5.3.1.2</w:t>
      </w:r>
      <w:r w:rsidR="00C81287" w:rsidRPr="00C0338D">
        <w:t xml:space="preserve"> for examples of uses of aquatic invasive alien species by Indigenous Peoples and local communities leading to the control of species).</w:t>
      </w:r>
    </w:p>
    <w:p w14:paraId="000006C3" w14:textId="2A0612F2" w:rsidR="00A758FD" w:rsidRPr="00C0338D" w:rsidRDefault="00C81287">
      <w:pPr>
        <w:spacing w:before="240" w:after="120" w:line="240" w:lineRule="auto"/>
      </w:pPr>
      <w:r w:rsidRPr="00C0338D">
        <w:lastRenderedPageBreak/>
        <w:t xml:space="preserve">Management of cryptic, marine and infectious and zoonotic diseases remain a challenge. However, recent advances in environmental DNA are improving detection </w:t>
      </w:r>
      <w:r w:rsidR="004C56A9">
        <w:t>capability,</w:t>
      </w:r>
      <w:r w:rsidRPr="00C0338D">
        <w:t xml:space="preserve"> and the improvements in automated underwater vehicles are making detection and management of marine invasive alien species easier, but authentic identification of marine species is one of the greatest obstacles (</w:t>
      </w:r>
      <w:r w:rsidRPr="00C0338D">
        <w:rPr>
          <w:b/>
        </w:rPr>
        <w:t>sections 5.4.4</w:t>
      </w:r>
      <w:r w:rsidRPr="00C0338D">
        <w:t>,</w:t>
      </w:r>
      <w:r w:rsidRPr="00C0338D">
        <w:rPr>
          <w:b/>
        </w:rPr>
        <w:t xml:space="preserve"> 5.5</w:t>
      </w:r>
      <w:r w:rsidRPr="00C0338D">
        <w:t xml:space="preserve">). </w:t>
      </w:r>
      <w:r w:rsidR="00383764" w:rsidRPr="00837161">
        <w:rPr>
          <w:rFonts w:eastAsia="Times New Roman"/>
          <w:lang w:eastAsia="en-ZA"/>
        </w:rPr>
        <w:t>For</w:t>
      </w:r>
      <w:r w:rsidR="00383764" w:rsidRPr="00837161">
        <w:rPr>
          <w:lang w:eastAsia="en-ZA"/>
        </w:rPr>
        <w:t xml:space="preserve"> </w:t>
      </w:r>
      <w:r w:rsidR="00383764" w:rsidRPr="00837161">
        <w:rPr>
          <w:rFonts w:eastAsia="Times New Roman"/>
          <w:lang w:eastAsia="en-ZA"/>
        </w:rPr>
        <w:t>zo</w:t>
      </w:r>
      <w:r w:rsidR="00383764" w:rsidRPr="00837161">
        <w:rPr>
          <w:lang w:eastAsia="en-ZA"/>
        </w:rPr>
        <w:t xml:space="preserve">onotic (e.g., </w:t>
      </w:r>
      <w:r w:rsidR="00C11A3E" w:rsidRPr="00837161">
        <w:rPr>
          <w:lang w:eastAsia="en-ZA"/>
        </w:rPr>
        <w:t>Severe Acute Respiratory Syndrome Coronavirus 2 (</w:t>
      </w:r>
      <w:r w:rsidR="00383764" w:rsidRPr="00837161">
        <w:rPr>
          <w:lang w:eastAsia="en-ZA"/>
        </w:rPr>
        <w:t>SARS-CoV-2</w:t>
      </w:r>
      <w:r w:rsidR="00C11A3E" w:rsidRPr="00837161">
        <w:rPr>
          <w:lang w:eastAsia="en-ZA"/>
        </w:rPr>
        <w:t>)</w:t>
      </w:r>
      <w:r w:rsidR="00383764" w:rsidRPr="00837161">
        <w:rPr>
          <w:lang w:eastAsia="en-ZA"/>
        </w:rPr>
        <w:t>, Covid-19</w:t>
      </w:r>
      <w:r w:rsidR="002F2F42">
        <w:rPr>
          <w:lang w:eastAsia="en-ZA"/>
        </w:rPr>
        <w:t xml:space="preserve"> </w:t>
      </w:r>
      <w:r w:rsidR="00383764" w:rsidRPr="00837161">
        <w:rPr>
          <w:strike/>
          <w:highlight w:val="yellow"/>
          <w:lang w:eastAsia="en-ZA"/>
        </w:rPr>
        <w:fldChar w:fldCharType="begin"/>
      </w:r>
      <w:r w:rsidR="000F35EB">
        <w:rPr>
          <w:strike/>
          <w:highlight w:val="yellow"/>
          <w:lang w:eastAsia="en-ZA"/>
        </w:rPr>
        <w:instrText xml:space="preserve"> ADDIN ZOTERO_ITEM CSL_CITATION {"citationID":"6HT8kh1X","properties":{"formattedCitation":"(C. R. Wells et al., 2020)","plainCitation":"(C. R. Wells et al., 2020)","dontUpdate":true,"noteIndex":0},"citationItems":[{"id":23723,"uris":["http://zotero.org/groups/2352922/items/RLIZSE75"],"itemData":{"id":23723,"type":"article-journal","abstract":"The novel coronavirus outbreak (COVID-19) in mainland China has rapidly spread across the globe. Within 2 mo since the outbreak was first reported on December 31, 2019, a total of 566 Severe Acute Respiratory Syndrome (SARS CoV-2) cases have been confirmed in 26 other countries. Travel restrictions and border control measures have been enforced in China and other countries to limit the spread of the outbreak. We estimate the impact of these control measures and investigate the role of the airport travel network on the global spread of the COVID-19 outbreak. Our results show that the daily risk of exporting at least a single SARS CoV-2 case from mainland China via international travel exceeded 95% on January 13, 2020. We found that 779 cases (95% CI: 632 to 967) would have been exported by February 15, 2020 without any border or travel restrictions and that the travel lockdowns enforced by the Chinese government averted 70.5% (95% CI: 68.8 to 72.0%) of these cases. In addition, during the first three and a half weeks of implementation, the travel restrictions decreased the daily rate of exportation by 81.3% (95% CI: 80.5 to 82.1%), on average. At this early stage of the epidemic, reduction in the rate of exportation could delay the importation of cases into cities unaffected by the COVID-19 outbreak, buying time to coordinate an appropriate public health response.","container-title":"Proceedings of the National Academy of Sciences","DOI":"10.1073/pnas.2002616117","ISSN":"0027-8424, 1091-6490","issue":"13","journalAbbreviation":"PNAS","language":"en","license":"Copyright © 2020 the Author(s). Published by PNAS.. https://creativecommons.org/licenses/by/4.0/This open access article is distributed under Creative Commons Attribution License 4.0 (CC BY).","note":"publisher: National Academy of Sciences\nsection: Biological Sciences\nPMID: 32170017","page":"7504-7509","source":"www.pnas.org","title":"Impact of international travel and border control measures on the global spread of the novel 2019 coronavirus outbreak","URL":"https://www.pnas.org/content/117/13/7504","volume":"117","author":[{"family":"Wells","given":"Chad R."},{"family":"Sah","given":"Pratha"},{"family":"Moghadas","given":"Seyed M."},{"family":"Pandey","given":"Abhishek"},{"family":"Shoukat","given":"Affan"},{"family":"Wang","given":"Yaning"},{"family":"Wang","given":"Zheng"},{"family":"Meyers","given":"Lauren A."},{"family":"Singer","given":"Burton H."},{"family":"Galvani","given":"Alison P."}],"accessed":{"date-parts":[["2020",8,21]]},"issued":{"date-parts":[["2020",3,31]]}},"label":"page"}],"schema":"https://github.com/citation-style-language/schema/raw/master/csl-citation.json"} </w:instrText>
      </w:r>
      <w:r w:rsidR="00383764" w:rsidRPr="00837161">
        <w:rPr>
          <w:strike/>
          <w:highlight w:val="yellow"/>
          <w:lang w:eastAsia="en-ZA"/>
        </w:rPr>
        <w:fldChar w:fldCharType="separate"/>
      </w:r>
      <w:r w:rsidR="00EE1FA9" w:rsidRPr="00EE1FA9">
        <w:t>(C. R. Wells et al., 2020</w:t>
      </w:r>
      <w:r w:rsidR="002F2F42">
        <w:t>)</w:t>
      </w:r>
      <w:r w:rsidR="00EE1FA9" w:rsidRPr="00EE1FA9">
        <w:t>)</w:t>
      </w:r>
      <w:r w:rsidR="00383764" w:rsidRPr="00837161">
        <w:rPr>
          <w:strike/>
          <w:highlight w:val="yellow"/>
          <w:lang w:eastAsia="en-ZA"/>
        </w:rPr>
        <w:fldChar w:fldCharType="end"/>
      </w:r>
      <w:r w:rsidR="00383764" w:rsidRPr="00837161">
        <w:rPr>
          <w:lang w:eastAsia="en-ZA"/>
        </w:rPr>
        <w:t xml:space="preserve"> and other infectious diseases (e.g., Foot and mouth disease; </w:t>
      </w:r>
      <w:r w:rsidR="00383764" w:rsidRPr="00837161">
        <w:rPr>
          <w:lang w:eastAsia="en-ZA"/>
        </w:rPr>
        <w:fldChar w:fldCharType="begin"/>
      </w:r>
      <w:r w:rsidR="000F35EB">
        <w:rPr>
          <w:lang w:eastAsia="en-ZA"/>
        </w:rPr>
        <w:instrText xml:space="preserve"> ADDIN ZOTERO_ITEM CSL_CITATION {"citationID":"1XHgeRjU","properties":{"formattedCitation":"(Tildesley et al., 2006)","plainCitation":"(Tildesley et al., 2006)","noteIndex":0},"citationItems":[{"id":29636,"uris":["http://zotero.org/groups/2352922/items/YQ65PLAD"],"itemData":{"id":29636,"type":"article-journal","abstract":"Foot-and-mouth disease (FMD) in the UK provides an ideal opportunity to explore optimal control measures for an infectious disease. The presence of fine-scale spatio-temporal data for the 2001 epidemic has allowed the development of epidemiological models that are more accurate than those generally created for other epidemics and provide the opportunity to explore a variety of alternative control measures. Vaccination was not used during the 2001 epidemic; however, the recent DEFRA (Department for Environment Food and Rural Affairs) contingency plan details how reactive vaccination would be considered in future. Here, using the data from the 2001 epidemic, we consider the optimal deployment of limited vaccination capacity in a complex heterogeneous environment. We use a model of FMD spread to investigate the optimal deployment of reactive ring vaccination of cattle constrained by logistical resources. The predicted optimal ring size is highly dependent upon logistical constraints but is more robust to epidemiological parameters. Other ways of targeting reactive vaccination can significantly reduce the epidemic size; in particular, ignoring the order in which infections are reported and vaccinating those farms closest to any previously reported case can substantially reduce the epidemic. This strategy has the advantage that it rapidly targets new foci of infection and that determining an optimal ring size is unnecessary.","container-title":"Nature","DOI":"10.1038/nature04324","ISSN":"1476-4687","issue":"7080","journalAbbreviation":"Nature","language":"eng","note":"PMID: 16511494","page":"83-86","source":"PubMed","title":"Optimal reactive vaccination strategies for a foot-and-mouth outbreak in the UK","volume":"440","author":[{"family":"Tildesley","given":"Michael J."},{"family":"Savill","given":"Nicholas J."},{"family":"Shaw","given":"Darren J."},{"family":"Deardon","given":"Rob"},{"family":"Brooks","given":"Stephen P."},{"family":"Woolhouse","given":"Mark E. J."},{"family":"Grenfell","given":"Bryan T."},{"family":"Keeling","given":"Matt J."}],"issued":{"date-parts":[["2006",3,2]]}},"label":"page"}],"schema":"https://github.com/citation-style-language/schema/raw/master/csl-citation.json"} </w:instrText>
      </w:r>
      <w:r w:rsidR="00383764" w:rsidRPr="00837161">
        <w:rPr>
          <w:lang w:eastAsia="en-ZA"/>
        </w:rPr>
        <w:fldChar w:fldCharType="separate"/>
      </w:r>
      <w:r w:rsidR="00271B78" w:rsidRPr="00271B78">
        <w:t>(Tildesley et al., 2006)</w:t>
      </w:r>
      <w:r w:rsidR="00383764" w:rsidRPr="00837161">
        <w:rPr>
          <w:lang w:eastAsia="en-ZA"/>
        </w:rPr>
        <w:fldChar w:fldCharType="end"/>
      </w:r>
      <w:r w:rsidR="00383764" w:rsidRPr="00837161">
        <w:rPr>
          <w:lang w:eastAsia="en-ZA"/>
        </w:rPr>
        <w:t>,</w:t>
      </w:r>
      <w:r w:rsidRPr="00C0338D">
        <w:t xml:space="preserve"> management is also benefiting from genetic surveillance tools as prevention</w:t>
      </w:r>
      <w:r w:rsidR="00C16EEB">
        <w:t xml:space="preserve"> and</w:t>
      </w:r>
      <w:r w:rsidRPr="00C0338D">
        <w:t xml:space="preserve"> preparedness are critical to avoid impacts.</w:t>
      </w:r>
    </w:p>
    <w:p w14:paraId="000006C4" w14:textId="77777777" w:rsidR="00A758FD" w:rsidRPr="00AC1F76" w:rsidRDefault="00C81287" w:rsidP="002F2F42">
      <w:pPr>
        <w:pStyle w:val="Heading3"/>
      </w:pPr>
      <w:bookmarkStart w:id="621" w:name="_heading=h.415t9al" w:colFirst="0" w:colLast="0"/>
      <w:bookmarkStart w:id="622" w:name="_Toc69314033"/>
      <w:bookmarkStart w:id="623" w:name="_Toc87623175"/>
      <w:bookmarkStart w:id="624" w:name="_Toc131681668"/>
      <w:bookmarkEnd w:id="621"/>
      <w:r w:rsidRPr="00AC1F76">
        <w:t>Management challenges for conflict species</w:t>
      </w:r>
      <w:bookmarkEnd w:id="622"/>
      <w:bookmarkEnd w:id="623"/>
      <w:bookmarkEnd w:id="624"/>
      <w:r w:rsidRPr="00AC1F76">
        <w:t xml:space="preserve"> </w:t>
      </w:r>
    </w:p>
    <w:p w14:paraId="4FCABA2E" w14:textId="2B696ACD" w:rsidR="00383764" w:rsidRPr="00837161" w:rsidRDefault="005F0A15" w:rsidP="00C11DFA">
      <w:pPr>
        <w:spacing w:before="240" w:after="120" w:line="240" w:lineRule="auto"/>
        <w:rPr>
          <w:lang w:eastAsia="en-ZA"/>
        </w:rPr>
      </w:pPr>
      <w:bookmarkStart w:id="625" w:name="_heading=h.2gb3jie" w:colFirst="0" w:colLast="0"/>
      <w:bookmarkEnd w:id="625"/>
      <w:r w:rsidRPr="00837161">
        <w:rPr>
          <w:lang w:eastAsia="en-ZA"/>
        </w:rPr>
        <w:t>T</w:t>
      </w:r>
      <w:r w:rsidR="00383764" w:rsidRPr="00837161">
        <w:rPr>
          <w:lang w:eastAsia="en-ZA"/>
        </w:rPr>
        <w:t>he concept of an invasive alien species is a human construct</w:t>
      </w:r>
      <w:r w:rsidRPr="00837161">
        <w:rPr>
          <w:lang w:eastAsia="en-ZA"/>
        </w:rPr>
        <w:t xml:space="preserve"> and therefore</w:t>
      </w:r>
      <w:r w:rsidR="00383764" w:rsidRPr="00837161">
        <w:rPr>
          <w:lang w:eastAsia="en-ZA"/>
        </w:rPr>
        <w:t xml:space="preserve"> perceived risks, benefits, costs and impacts from them vary depending on a diversity of human perspectives </w:t>
      </w:r>
      <w:r w:rsidR="00383764" w:rsidRPr="00837161">
        <w:rPr>
          <w:lang w:eastAsia="en-ZA"/>
        </w:rPr>
        <w:fldChar w:fldCharType="begin"/>
      </w:r>
      <w:r w:rsidR="000F35EB">
        <w:rPr>
          <w:lang w:eastAsia="en-ZA"/>
        </w:rPr>
        <w:instrText xml:space="preserve"> ADDIN ZOTERO_ITEM CSL_CITATION {"citationID":"l71kBSCU","properties":{"formattedCitation":"(Kelsch et al., 2020)","plainCitation":"(Kelsch et al., 2020)","dontUpdate":true,"noteIndex":0},"citationItems":[{"id":56463,"uris":["http://zotero.org/groups/2352922/items/YVUTAHFF","http://zotero.org/groups/2352922/items/9JA37VSV"],"itemData":{"id":56463,"type":"article-journal","container-title":"Environmental Science &amp; Policy","DOI":"10.1016/j.envsci.2020.06.014","ISSN":"14629011","journalAbbreviation":"Environmental Science &amp; Policy","language":"en","page":"275-281","source":"DOI.org (Crossref)","title":"Invasive alien species and local communities in socio-ecological production landscapes and seascapes: A systematic review and analysis","title-short":"Invasive alien species and local communities in socio-ecological production landscapes and seascapes","URL":"https://linkinghub.elsevier.com/retrieve/pii/S1462901120300642","volume":"112","author":[{"family":"Kelsch","given":"Alexander"},{"family":"Takahashi","given":"Yasuo"},{"family":"Dasgupta","given":"Rajarshi"},{"family":"Mader","given":"André Derek"},{"family":"Johnson","given":"Brian Alan"},{"family":"Kumar","given":"Pankaj"}],"accessed":{"date-parts":[["2023",6,8]]},"issued":{"date-parts":[["2020",10]]}}}],"schema":"https://github.com/citation-style-language/schema/raw/master/csl-citation.json"} </w:instrText>
      </w:r>
      <w:r w:rsidR="00383764" w:rsidRPr="00837161">
        <w:rPr>
          <w:lang w:eastAsia="en-ZA"/>
        </w:rPr>
        <w:fldChar w:fldCharType="separate"/>
      </w:r>
      <w:r w:rsidR="00A63FDF" w:rsidRPr="00837161">
        <w:t>(Kelsch et al., 2020</w:t>
      </w:r>
      <w:r w:rsidR="00383764" w:rsidRPr="00837161">
        <w:rPr>
          <w:lang w:eastAsia="en-ZA"/>
        </w:rPr>
        <w:fldChar w:fldCharType="end"/>
      </w:r>
      <w:r w:rsidR="00D9145D" w:rsidRPr="00837161">
        <w:rPr>
          <w:lang w:eastAsia="en-ZA"/>
        </w:rPr>
        <w:t>;</w:t>
      </w:r>
      <w:r w:rsidR="00A63FDF" w:rsidRPr="00837161">
        <w:rPr>
          <w:lang w:eastAsia="en-ZA"/>
        </w:rPr>
        <w:t xml:space="preserve"> </w:t>
      </w:r>
      <w:r w:rsidR="00857A52">
        <w:rPr>
          <w:b/>
          <w:iCs/>
          <w:lang w:eastAsia="en-ZA"/>
        </w:rPr>
        <w:t>C</w:t>
      </w:r>
      <w:r w:rsidR="00A63FDF" w:rsidRPr="00857A52">
        <w:rPr>
          <w:b/>
          <w:iCs/>
          <w:lang w:eastAsia="en-ZA"/>
        </w:rPr>
        <w:t>hapter 1</w:t>
      </w:r>
      <w:r w:rsidR="00A63FDF" w:rsidRPr="00857A52">
        <w:rPr>
          <w:iCs/>
          <w:lang w:eastAsia="en-ZA"/>
        </w:rPr>
        <w:t>,</w:t>
      </w:r>
      <w:r w:rsidR="00A63FDF" w:rsidRPr="00857A52">
        <w:rPr>
          <w:b/>
          <w:iCs/>
          <w:lang w:eastAsia="en-ZA"/>
        </w:rPr>
        <w:t xml:space="preserve"> section 1.5.2</w:t>
      </w:r>
      <w:r w:rsidR="00A63FDF" w:rsidRPr="00857A52">
        <w:rPr>
          <w:iCs/>
          <w:lang w:eastAsia="en-ZA"/>
        </w:rPr>
        <w:t>;</w:t>
      </w:r>
      <w:r w:rsidR="00A63FDF" w:rsidRPr="00857A52">
        <w:rPr>
          <w:b/>
          <w:iCs/>
          <w:lang w:eastAsia="en-ZA"/>
        </w:rPr>
        <w:t xml:space="preserve"> </w:t>
      </w:r>
      <w:r w:rsidR="00857A52">
        <w:rPr>
          <w:b/>
          <w:iCs/>
          <w:lang w:eastAsia="en-ZA"/>
        </w:rPr>
        <w:t>C</w:t>
      </w:r>
      <w:r w:rsidR="00A63FDF" w:rsidRPr="00857A52">
        <w:rPr>
          <w:b/>
          <w:iCs/>
          <w:lang w:eastAsia="en-ZA"/>
        </w:rPr>
        <w:t>hapter 4</w:t>
      </w:r>
      <w:r w:rsidR="00A63FDF" w:rsidRPr="00857A52">
        <w:rPr>
          <w:iCs/>
          <w:lang w:eastAsia="en-ZA"/>
        </w:rPr>
        <w:t>,</w:t>
      </w:r>
      <w:r w:rsidR="00A63FDF" w:rsidRPr="00857A52">
        <w:rPr>
          <w:b/>
          <w:iCs/>
          <w:lang w:eastAsia="en-ZA"/>
        </w:rPr>
        <w:t xml:space="preserve"> section 4.1.</w:t>
      </w:r>
      <w:r w:rsidR="00056FAB" w:rsidRPr="00857A52">
        <w:rPr>
          <w:b/>
          <w:iCs/>
          <w:lang w:eastAsia="en-ZA"/>
        </w:rPr>
        <w:t>2</w:t>
      </w:r>
      <w:r w:rsidR="00A63FDF" w:rsidRPr="00857A52">
        <w:rPr>
          <w:iCs/>
          <w:lang w:eastAsia="en-ZA"/>
        </w:rPr>
        <w:t xml:space="preserve">; </w:t>
      </w:r>
      <w:r w:rsidR="00A63FDF" w:rsidRPr="00857A52">
        <w:rPr>
          <w:b/>
          <w:iCs/>
          <w:lang w:eastAsia="en-ZA"/>
        </w:rPr>
        <w:t>Box 4.9</w:t>
      </w:r>
      <w:r w:rsidR="00A63FDF" w:rsidRPr="00837161">
        <w:rPr>
          <w:lang w:eastAsia="en-ZA"/>
        </w:rPr>
        <w:t>)</w:t>
      </w:r>
      <w:r w:rsidR="00383764" w:rsidRPr="00837161">
        <w:rPr>
          <w:lang w:eastAsia="en-ZA"/>
        </w:rPr>
        <w:t xml:space="preserve">. </w:t>
      </w:r>
      <w:r w:rsidR="009A0B15" w:rsidRPr="00837161">
        <w:rPr>
          <w:lang w:eastAsia="en-ZA"/>
        </w:rPr>
        <w:t>There are</w:t>
      </w:r>
      <w:r w:rsidR="00472065" w:rsidRPr="00837161">
        <w:rPr>
          <w:lang w:eastAsia="en-ZA"/>
        </w:rPr>
        <w:t xml:space="preserve"> many cases where</w:t>
      </w:r>
      <w:r w:rsidR="00383764" w:rsidRPr="00837161">
        <w:rPr>
          <w:lang w:eastAsia="en-ZA"/>
        </w:rPr>
        <w:t xml:space="preserve"> species provoke strong disagreement on the requirement of management between stakeholders. The most common conflict comes from species that offer</w:t>
      </w:r>
      <w:r w:rsidR="004C56A9">
        <w:rPr>
          <w:lang w:eastAsia="en-ZA"/>
        </w:rPr>
        <w:t xml:space="preserve"> both</w:t>
      </w:r>
      <w:r w:rsidR="00383764" w:rsidRPr="00837161">
        <w:rPr>
          <w:lang w:eastAsia="en-ZA"/>
        </w:rPr>
        <w:t xml:space="preserve"> benefits in some sectors (e.g., agriculture and nature’s contributions to people) and negative costs or impacts in other </w:t>
      </w:r>
      <w:r w:rsidR="004C56A9">
        <w:rPr>
          <w:lang w:eastAsia="en-ZA"/>
        </w:rPr>
        <w:t xml:space="preserve"> sectors </w:t>
      </w:r>
      <w:r w:rsidR="00383764" w:rsidRPr="00837161">
        <w:rPr>
          <w:lang w:eastAsia="en-ZA"/>
        </w:rPr>
        <w:t>(e.g., biodiversity, nature’s contributions to people and good quality of life)</w:t>
      </w:r>
      <w:r w:rsidR="00383764" w:rsidRPr="00837161">
        <w:rPr>
          <w:rFonts w:eastAsia="Times New Roman"/>
          <w:lang w:eastAsia="en-ZA"/>
        </w:rPr>
        <w:t xml:space="preserve"> </w:t>
      </w:r>
      <w:r w:rsidR="00383764" w:rsidRPr="00837161">
        <w:rPr>
          <w:rFonts w:eastAsia="Times New Roman"/>
          <w:lang w:eastAsia="en-ZA"/>
        </w:rPr>
        <w:fldChar w:fldCharType="begin"/>
      </w:r>
      <w:r w:rsidR="000F35EB">
        <w:rPr>
          <w:rFonts w:eastAsia="Times New Roman"/>
          <w:lang w:eastAsia="en-ZA"/>
        </w:rPr>
        <w:instrText xml:space="preserve"> ADDIN ZOTERO_ITEM CSL_CITATION {"citationID":"b9dGFO4k","properties":{"formattedCitation":"(Pejchar &amp; Mooney, 2009)","plainCitation":"(Pejchar &amp; Mooney, 2009)","noteIndex":0},"citationItems":[{"id":32952,"uris":["http://zotero.org/groups/2352922/items/3VCVSE2K"],"itemData":{"id":32952,"type":"article-journal","abstract":"Although the effects of invasive alien species (IAS) on native species are well documented, the many ways in which such species impact ecosystem services are still emerging. Here we assess the costs and benefits of IAS for provisioning, regulating and cultural services, and illustrate the synergies and tradeoffs associated with these impacts using case studies that include South Africa, the Great Lakes and Hawaii. We identify services and interactions that are the least understood and propose a research and policy framework for filling the remaining knowledge gaps. Drawing on ecology and economics to incorporate the impacts of IAS on ecosystem services into decision making is key to restoring and sustaining those life-support services that nature provides and all organisms depend upon.","container-title":"Trends in Ecology &amp; Evolution","DOI":"10.1016/j.tree.2009.03.016","ISSN":"01695347","issue":"9","journalAbbreviation":"Trends in Ecology &amp; Evolution","language":"en","page":"497-504","source":"DOI.org (Crossref)","title":"Invasive species, ecosystem services and human well-being","URL":"https://linkinghub.elsevier.com/retrieve/pii/S0169534709001761","volume":"24","author":[{"family":"Pejchar","given":"Liba"},{"family":"Mooney","given":"Harold A."}],"accessed":{"date-parts":[["2019",11,7]]},"issued":{"date-parts":[["2009",9]]}},"label":"page"}],"schema":"https://github.com/citation-style-language/schema/raw/master/csl-citation.json"} </w:instrText>
      </w:r>
      <w:r w:rsidR="00383764" w:rsidRPr="00837161">
        <w:rPr>
          <w:rFonts w:eastAsia="Times New Roman"/>
          <w:lang w:eastAsia="en-ZA"/>
        </w:rPr>
        <w:fldChar w:fldCharType="separate"/>
      </w:r>
      <w:r w:rsidR="00271B78" w:rsidRPr="00271B78">
        <w:t>(Pejchar &amp; Mooney, 2009)</w:t>
      </w:r>
      <w:r w:rsidR="00383764" w:rsidRPr="00837161">
        <w:rPr>
          <w:rFonts w:eastAsia="Times New Roman"/>
          <w:lang w:eastAsia="en-ZA"/>
        </w:rPr>
        <w:fldChar w:fldCharType="end"/>
      </w:r>
      <w:r w:rsidR="00383764" w:rsidRPr="00837161">
        <w:rPr>
          <w:lang w:eastAsia="en-ZA"/>
        </w:rPr>
        <w:t xml:space="preserve">. This value-based context dependency of particular species is often significant enough to prevent effective decision-making and management </w:t>
      </w:r>
      <w:bookmarkStart w:id="626" w:name="_Hlk133491481"/>
      <w:r w:rsidR="00383764" w:rsidRPr="00837161">
        <w:rPr>
          <w:lang w:eastAsia="en-ZA"/>
        </w:rPr>
        <w:fldChar w:fldCharType="begin"/>
      </w:r>
      <w:r w:rsidR="000F35EB">
        <w:rPr>
          <w:lang w:eastAsia="en-ZA"/>
        </w:rPr>
        <w:instrText xml:space="preserve"> ADDIN ZOTERO_ITEM CSL_CITATION {"citationID":"gX2xJO84","properties":{"formattedCitation":"(R. Gregory et al., 2006; Kelsch et al., 2020)","plainCitation":"(R. Gregory et al., 2006; Kelsch et al., 2020)","dontUpdate":true,"noteIndex":0},"citationItems":[{"id":21540,"uris":["http://zotero.org/groups/2352922/items/TKZGZGB9"],"itemData":{"id":21540,"type":"article-journal","container-title":"Journal of Risk Research","DOI":"10.1080/13669870600799895","ISSN":"1366-9877, 1466-4461","issue":"7","journalAbbreviation":"Journal of Risk Research","language":"en","page":"717-735","source":"DOI.org (Crossref)","title":"Some Pitfalls of an Overemphasis on Science in Environmental Risk Management Decisions","URL":"http://www.tandfonline.com/doi/abs/10.1080/13669870600799895","volume":"9","author":[{"family":"Gregory","given":"Robin"},{"family":"Failing","given":"Lee"},{"family":"Ohlson","given":"Dan"},{"family":"Mcdaniels","given":"Timothy L."}],"accessed":{"date-parts":[["2020",4,3]]},"issued":{"date-parts":[["2006",10]]}},"label":"page"},{"id":56463,"uris":["http://zotero.org/groups/2352922/items/YVUTAHFF","http://zotero.org/groups/2352922/items/9JA37VSV"],"itemData":{"id":56463,"type":"article-journal","container-title":"Environmental Science &amp; Policy","DOI":"10.1016/j.envsci.2020.06.014","ISSN":"14629011","journalAbbreviation":"Environmental Science &amp; Policy","language":"en","page":"275-281","source":"DOI.org (Crossref)","title":"Invasive alien species and local communities in socio-ecological production landscapes and seascapes: A systematic review and analysis","title-short":"Invasive alien species and local communities in socio-ecological production landscapes and seascapes","URL":"https://linkinghub.elsevier.com/retrieve/pii/S1462901120300642","volume":"112","author":[{"family":"Kelsch","given":"Alexander"},{"family":"Takahashi","given":"Yasuo"},{"family":"Dasgupta","given":"Rajarshi"},{"family":"Mader","given":"André Derek"},{"family":"Johnson","given":"Brian Alan"},{"family":"Kumar","given":"Pankaj"}],"accessed":{"date-parts":[["2023",6,8]]},"issued":{"date-parts":[["2020",10]]}},"label":"page"}],"schema":"https://github.com/citation-style-language/schema/raw/master/csl-citation.json"} </w:instrText>
      </w:r>
      <w:r w:rsidR="00383764" w:rsidRPr="00837161">
        <w:rPr>
          <w:lang w:eastAsia="en-ZA"/>
        </w:rPr>
        <w:fldChar w:fldCharType="separate"/>
      </w:r>
      <w:r w:rsidR="00423FE1" w:rsidRPr="00423FE1">
        <w:t>(R. Gregory et al., 2006; Kelsch et al., 2020</w:t>
      </w:r>
      <w:r w:rsidR="00383764" w:rsidRPr="00837161">
        <w:rPr>
          <w:lang w:eastAsia="en-ZA"/>
        </w:rPr>
        <w:fldChar w:fldCharType="end"/>
      </w:r>
      <w:bookmarkEnd w:id="626"/>
      <w:r w:rsidR="00423FE1">
        <w:rPr>
          <w:lang w:eastAsia="en-ZA"/>
        </w:rPr>
        <w:t xml:space="preserve">; </w:t>
      </w:r>
      <w:r w:rsidR="00423FE1" w:rsidRPr="00857A52">
        <w:rPr>
          <w:b/>
          <w:lang w:eastAsia="en-ZA"/>
        </w:rPr>
        <w:t>Table 5.9</w:t>
      </w:r>
      <w:r w:rsidR="00423FE1">
        <w:rPr>
          <w:lang w:eastAsia="en-ZA"/>
        </w:rPr>
        <w:t>)</w:t>
      </w:r>
      <w:r w:rsidR="00383764" w:rsidRPr="00837161">
        <w:rPr>
          <w:lang w:eastAsia="en-ZA"/>
        </w:rPr>
        <w:t xml:space="preserve">. Public value put on common pets </w:t>
      </w:r>
      <w:r w:rsidR="00443D44">
        <w:rPr>
          <w:lang w:eastAsia="en-ZA"/>
        </w:rPr>
        <w:t>such as</w:t>
      </w:r>
      <w:r w:rsidR="00383764" w:rsidRPr="00837161">
        <w:rPr>
          <w:lang w:eastAsia="en-ZA"/>
        </w:rPr>
        <w:t xml:space="preserve"> </w:t>
      </w:r>
      <w:r w:rsidR="003B1549" w:rsidRPr="00837161">
        <w:rPr>
          <w:i/>
          <w:iCs/>
          <w:lang w:eastAsia="en-ZA"/>
        </w:rPr>
        <w:t xml:space="preserve">Felis catus </w:t>
      </w:r>
      <w:r w:rsidR="003B1549" w:rsidRPr="00837161">
        <w:rPr>
          <w:lang w:eastAsia="en-ZA"/>
        </w:rPr>
        <w:t>(</w:t>
      </w:r>
      <w:r w:rsidR="00383764" w:rsidRPr="00837161">
        <w:rPr>
          <w:lang w:eastAsia="en-ZA"/>
        </w:rPr>
        <w:t>cat</w:t>
      </w:r>
      <w:r w:rsidR="003B1549" w:rsidRPr="00837161">
        <w:rPr>
          <w:lang w:eastAsia="en-ZA"/>
        </w:rPr>
        <w:t>)</w:t>
      </w:r>
      <w:r w:rsidR="00383764" w:rsidRPr="00837161">
        <w:rPr>
          <w:lang w:eastAsia="en-ZA"/>
        </w:rPr>
        <w:t xml:space="preserve">, </w:t>
      </w:r>
      <w:r w:rsidR="00DC3887" w:rsidRPr="00837161">
        <w:rPr>
          <w:i/>
          <w:iCs/>
          <w:lang w:eastAsia="en-ZA"/>
        </w:rPr>
        <w:t>Oryctolagus cuniculus</w:t>
      </w:r>
      <w:r w:rsidR="00DC3887" w:rsidRPr="00837161">
        <w:rPr>
          <w:lang w:eastAsia="en-ZA"/>
        </w:rPr>
        <w:t xml:space="preserve"> </w:t>
      </w:r>
      <w:r w:rsidR="003B1549" w:rsidRPr="00837161">
        <w:rPr>
          <w:lang w:eastAsia="en-ZA"/>
        </w:rPr>
        <w:t>(</w:t>
      </w:r>
      <w:r w:rsidR="00383764" w:rsidRPr="00837161">
        <w:rPr>
          <w:lang w:eastAsia="en-ZA"/>
        </w:rPr>
        <w:t>rabbits</w:t>
      </w:r>
      <w:r w:rsidR="003B1549" w:rsidRPr="00837161">
        <w:rPr>
          <w:lang w:eastAsia="en-ZA"/>
        </w:rPr>
        <w:t>)</w:t>
      </w:r>
      <w:r w:rsidR="00383764" w:rsidRPr="00837161">
        <w:rPr>
          <w:lang w:eastAsia="en-ZA"/>
        </w:rPr>
        <w:t xml:space="preserve"> or gold fish often biases understanding of their invasive impacts </w:t>
      </w:r>
      <w:r w:rsidR="00383764" w:rsidRPr="00837161">
        <w:fldChar w:fldCharType="begin"/>
      </w:r>
      <w:r w:rsidR="000F35EB">
        <w:instrText xml:space="preserve"> ADDIN ZOTERO_ITEM CSL_CITATION {"citationID":"rEkJKAIO","properties":{"formattedCitation":"(Nogales et al., 2013)","plainCitation":"(Nogales et al., 2013)","noteIndex":0},"citationItems":[{"id":17208,"uris":["http://zotero.org/groups/2352922/items/FUTUJM82"],"itemData":{"id":17208,"type":"article-journal","abstract":"A great part of the Earth’s biodiversity occurs on islands, to which humans have brought a legion of invasive species that have caused population declines and even extinctions. The domestic cat is one of the most damaging species introduced to islands, being a primary extinction driver for at least 33 insular endemic vertebrates. Here, we examine the role of feral cats in the context of the island biodiversity crisis, by combining data from reviews of trophic studies, species conservation status reports, and eradication campaigns. The integration of these reviews permits us to identify priority islands where feral cat eradications are likely to be feasible and where cats are predicted to cause the next vertebrate extinctions. Funding agencies and global conservation organizations can use these results to prioritize scarce conservation funds, and national and regional natural resource management agencies can rank their islands in need of feral cat eradication within a global context.","container-title":"BioScience","DOI":"10.1525/bio.2013.63.10.7","ISSN":"1525-3244, 0006-3568","issue":"10","language":"en","page":"804-810","source":"DOI.org (Crossref)","title":"Feral Cats and Biodiversity Conservation: The Urgent Prioritization of Island Management","title-short":"Feral Cats and Biodiversity Conservation","URL":"https://academic.oup.com/bioscience/article-lookup/doi/10.1525/bio.2013.63.10.7","volume":"63","author":[{"family":"Nogales","given":"Manuel"},{"family":"Vidal","given":"Eric"},{"family":"Medina","given":"Félix M."},{"family":"Bonnaud","given":"Elsa"},{"family":"Tershy","given":"Bernie R."},{"family":"Campbell","given":"Karl J."},{"family":"Zavaleta","given":"Erika S."}],"accessed":{"date-parts":[["2019",11,28]]},"issued":{"date-parts":[["2013",10]]}},"label":"page"}],"schema":"https://github.com/citation-style-language/schema/raw/master/csl-citation.json"} </w:instrText>
      </w:r>
      <w:r w:rsidR="00383764" w:rsidRPr="00837161">
        <w:fldChar w:fldCharType="separate"/>
      </w:r>
      <w:r w:rsidR="00271B78" w:rsidRPr="00271B78">
        <w:t>(Nogales et al., 2013)</w:t>
      </w:r>
      <w:r w:rsidR="00383764" w:rsidRPr="00837161">
        <w:fldChar w:fldCharType="end"/>
      </w:r>
      <w:r w:rsidR="00383764" w:rsidRPr="00837161">
        <w:rPr>
          <w:lang w:eastAsia="en-ZA"/>
        </w:rPr>
        <w:t xml:space="preserve">. Attraction to </w:t>
      </w:r>
      <w:r w:rsidR="00383764" w:rsidRPr="00837161">
        <w:t xml:space="preserve">charismatic species, such as </w:t>
      </w:r>
      <w:r w:rsidR="00DC3887" w:rsidRPr="00837161">
        <w:rPr>
          <w:i/>
          <w:iCs/>
        </w:rPr>
        <w:t>Myiopsitta monachus</w:t>
      </w:r>
      <w:r w:rsidR="00DC3887" w:rsidRPr="00837161">
        <w:t xml:space="preserve"> (</w:t>
      </w:r>
      <w:r w:rsidR="00383764" w:rsidRPr="00837161">
        <w:t>monk parakeet</w:t>
      </w:r>
      <w:r w:rsidR="00E43D0C">
        <w:t xml:space="preserve">; </w:t>
      </w:r>
      <w:r w:rsidR="00383764" w:rsidRPr="00837161">
        <w:fldChar w:fldCharType="begin"/>
      </w:r>
      <w:r w:rsidR="000F35EB">
        <w:instrText xml:space="preserve"> ADDIN ZOTERO_ITEM CSL_CITATION {"citationID":"wRXzLZaf","properties":{"formattedCitation":"(Crowley et al., 2019)","plainCitation":"(Crowley et al., 2019)","noteIndex":0},"citationItems":[{"id":16735,"uris":["http://zotero.org/groups/2352922/items/Y8G9K9JA"],"itemData":{"id":16735,"type":"article-journal","abstract":"The surveillance and control of introduced and invasive species has become an increasingly important component of environmental management. However, initiatives targeting ‘charismatic’ wildlife can be controversial. Opposition to management, and the subsequent emergence of social conflict, present significant challenges for would-be managers. Understanding the substance and development of these disputes is therefore vital for improving the legitimacy and effectiveness of wildlife management. It also provides important insights into human-wildlife relations and the ‘social dimensions’ of wildlife management. Here, we examine how the attempted eradication of small populations of introduced monk parakeets (Myiopsitta monachus) from England has been challenged and delayed by opposition from interested and affected communities. We consider how and why the UK Government's eradication initiative was opposed, focusing on three key themes: disagreements about justifying management, the development of affective attachments between people and parakeets, and the influence of distrustful and antagonistic relationships between proponents and opponents of management. We draw connections between our UK case and previous management disputes, primarily in the USA, and suggest that the resistance encountered in the UK might readily have been foreseen. We conclude by considering how management of this and other introduced species could be made less conflict-prone, and potentially more effective, by reconfiguring management approaches to be more anticipatory, flexible, sensitive, and inclusive.","collection-title":"The human and social dimensions of invasion science and management","container-title":"Journal of Environmental Management","DOI":"10.1016/j.jenvman.2017.11.036","ISSN":"0301-4797","journalAbbreviation":"Journal of Environmental Management","page":"120-132","source":"ScienceDirect","title":"The parakeet protectors: Understanding opposition to introduced species management","title-short":"The parakeet protectors","URL":"http://www.sciencedirect.com/science/article/pii/S0301479717311118","volume":"229","author":[{"family":"Crowley","given":"Sarah L."},{"family":"Hinchliffe","given":"Steve"},{"family":"McDonald","given":"Robbie A."}],"accessed":{"date-parts":[["2019",6,20]]},"issued":{"date-parts":[["2019",1,1]]}},"label":"page"}],"schema":"https://github.com/citation-style-language/schema/raw/master/csl-citation.json"} </w:instrText>
      </w:r>
      <w:r w:rsidR="00383764" w:rsidRPr="00837161">
        <w:fldChar w:fldCharType="separate"/>
      </w:r>
      <w:r w:rsidR="00271B78" w:rsidRPr="00271B78">
        <w:t>(Crowley et al., 2019)</w:t>
      </w:r>
      <w:r w:rsidR="00383764" w:rsidRPr="00837161">
        <w:fldChar w:fldCharType="end"/>
      </w:r>
      <w:r w:rsidR="00383764" w:rsidRPr="00837161">
        <w:t xml:space="preserve"> and hedgehogs </w:t>
      </w:r>
      <w:r w:rsidR="00383764" w:rsidRPr="00837161">
        <w:fldChar w:fldCharType="begin"/>
      </w:r>
      <w:r w:rsidR="000F35EB">
        <w:instrText xml:space="preserve"> ADDIN ZOTERO_ITEM CSL_CITATION {"citationID":"Twinq2NO","properties":{"formattedCitation":"(C. Jones et al., 2005)","plainCitation":"(C. Jones et al., 2005)","noteIndex":0},"citationItems":[{"id":10044,"uris":["http://zotero.org/groups/2352922/items/JFQ8NF2Z"],"itemData":{"id":10044,"type":"article-journal","abstract":"European hedgehogs (Erinaceus europaeus) have recently been identified as a conservation threat in New Zealand. Hedgehogs were kill-trapped at 14 wetland and braided riverbed sites in the upper Waitaki Basin between late October 1997 and early February 1998 and their gut contents described. The most commonly eaten prey were Coleoptera (present in 81% of 192 guts), Lepidoptera (52%; n = 192), Dermaptera (49%; n = 192), Hymenoptera (42%; n = 192) and Orthoptera (31%; n = 319). Large numbers of single invertebrate prey types were frequently eaten by individual animals, likely indicating hedgehogs' ability to take advantage of rich patches of food. Weta remains occurred in 22% of guts, with the gut of one adult male containing 283 Hemiandrus legs. No remains of the endangered robust grasshopper were found. Eggshell was recorded in 4% of 615 guts. Native lizard remains were found in 6% of 615 guts and three times as many adult female hedgehog guts contained lizards compared with adult males. This difference may be linked to females' high energetic demands during the breeding season. The dependence of hedgehogs on invertebrate prey is likely to have significant implications for the conservation of threatened endemic invertebrates, which often show restricted ranges. While birds' eggs and native lizards appear to be of lesser importance, small, localised populations of these fauna may still be threatened by hedgehog predation.","container-title":"New Zealand Journal of Ecology","ISSN":"0110-6465","issue":"1","note":"publisher: New Zealand Ecological Society","page":"29-35","source":"JSTOR","title":"Diet of hedgehogs (&lt;i&gt;Erinaceus europaeus&lt;/i&gt;) in the upper Waitaki Basin, New Zealand: Implications for conservation","title-short":"Diet of hedgehogs (Erinaceus europaeus) in the upper Waitaki Basin, New Zealand","URL":"https://www.jstor.org/stable/24056190","volume":"29","author":[{"family":"Jones","given":"Chris"},{"family":"Moss","given":"Kirsten"},{"family":"Sanders","given":"Mark"}],"accessed":{"date-parts":[["2021",11,14]]},"issued":{"date-parts":[["2005"]]}},"label":"page"}],"schema":"https://github.com/citation-style-language/schema/raw/master/csl-citation.json"} </w:instrText>
      </w:r>
      <w:r w:rsidR="00383764" w:rsidRPr="00837161">
        <w:fldChar w:fldCharType="separate"/>
      </w:r>
      <w:r w:rsidR="00271B78" w:rsidRPr="00271B78">
        <w:t>(C. Jones et al., 2005)</w:t>
      </w:r>
      <w:r w:rsidR="00383764" w:rsidRPr="00837161">
        <w:fldChar w:fldCharType="end"/>
      </w:r>
      <w:r w:rsidR="00383764" w:rsidRPr="00837161">
        <w:t xml:space="preserve"> can also bias recognition of environmental impacts. In such cases effective community-based communication programmes generally help </w:t>
      </w:r>
      <w:r w:rsidR="00383764" w:rsidRPr="00837161">
        <w:fldChar w:fldCharType="begin"/>
      </w:r>
      <w:r w:rsidR="000F35EB">
        <w:instrText xml:space="preserve"> ADDIN ZOTERO_ITEM CSL_CITATION {"citationID":"jBBv0H8J","properties":{"formattedCitation":"(Jari\\uc0\\u263{} et al., 2020)","plainCitation":"(Jarić et al., 2020)","noteIndex":0},"citationItems":[{"id":56449,"uris":["http://zotero.org/groups/2352922/items/9JPU2NY6","http://zotero.org/groups/2352922/items/A8ZAP2T4"],"itemData":{"id":56449,"type":"article-journal","container-title":"Frontiers in Ecology and the Environment","DOI":"10.1002/fee.2195","ISSN":"1540-9295, 1540-9309","issue":"6","journalAbbreviation":"Front Ecol Environ","language":"en","page":"345-353","source":"DOI.org (Crossref)","title":"The role of species charisma in biological invasions","URL":"https://onlinelibrary.wiley.com/doi/10.1002/fee.2195","volume":"18","author":[{"family":"Jarić"</w:instrText>
      </w:r>
      <w:r w:rsidR="000F35EB">
        <w:rPr>
          <w:rFonts w:hint="eastAsia"/>
        </w:rPr>
        <w:instrText>,"given":"Ivan"},{"family":"Courchamp","given":"Franck"},{"family":"Correia","given":"Ricardo A"},{"family":"Crowley","given":"Sarah L"},{"family":"Essl","given":"Franz"},{"family":"Fischer","given":"Anke"},{"family":"González</w:instrText>
      </w:r>
      <w:r w:rsidR="000F35EB">
        <w:rPr>
          <w:rFonts w:hint="eastAsia"/>
        </w:rPr>
        <w:instrText>‐</w:instrText>
      </w:r>
      <w:r w:rsidR="000F35EB">
        <w:rPr>
          <w:rFonts w:hint="eastAsia"/>
        </w:rPr>
        <w:instrText>Moreno","given":"Pablo"},{"f</w:instrText>
      </w:r>
      <w:r w:rsidR="000F35EB">
        <w:instrText xml:space="preserve">amily":"Kalinkat","given":"Gregor"},{"family":"Lambin","given":"Xavier"},{"family":"Lenzner","given":"Bernd"},{"family":"Meinard","given":"Yves"},{"family":"Mill","given":"Aileen"},{"family":"Musseau","given":"Camille"},{"family":"Novoa","given":"Ana"},{"family":"Pergl","given":"Jan"},{"family":"Pyšek","given":"Petr"},{"family":"Pyšková","given":"Klára"},{"family":"Robertson","given":"Peter"},{"family":"Schmalensee","given":"Menja"},{"family":"Shackleton","given":"Ross T"},{"family":"Stefansson","given":"Robert A"},{"family":"Štajerová","given":"Kateřina"},{"family":"Veríssimo","given":"Diogo"},{"family":"Jeschke","given":"Jonathan M"}],"accessed":{"date-parts":[["2023",6,8]]},"issued":{"date-parts":[["2020",8]]}},"label":"page"}],"schema":"https://github.com/citation-style-language/schema/raw/master/csl-citation.json"} </w:instrText>
      </w:r>
      <w:r w:rsidR="00383764" w:rsidRPr="00837161">
        <w:fldChar w:fldCharType="separate"/>
      </w:r>
      <w:r w:rsidR="00271B78" w:rsidRPr="00271B78">
        <w:t>(Jarić et al., 2020)</w:t>
      </w:r>
      <w:r w:rsidR="00383764" w:rsidRPr="00837161">
        <w:fldChar w:fldCharType="end"/>
      </w:r>
      <w:r w:rsidR="00383764" w:rsidRPr="00837161">
        <w:t>.</w:t>
      </w:r>
    </w:p>
    <w:p w14:paraId="2F5561A3" w14:textId="4EEB4051" w:rsidR="00383764" w:rsidRPr="00837161" w:rsidRDefault="00383764" w:rsidP="00C11DFA">
      <w:pPr>
        <w:spacing w:before="240" w:after="120" w:line="240" w:lineRule="auto"/>
        <w:rPr>
          <w:b/>
        </w:rPr>
      </w:pPr>
      <w:r w:rsidRPr="00837161">
        <w:rPr>
          <w:lang w:eastAsia="en-ZA"/>
        </w:rPr>
        <w:t xml:space="preserve">Conflicts based on value systems include utilitarian, moralistic, </w:t>
      </w:r>
      <w:bookmarkStart w:id="627" w:name="_Hlk69155941"/>
      <w:r w:rsidRPr="00837161">
        <w:rPr>
          <w:lang w:eastAsia="en-ZA"/>
        </w:rPr>
        <w:t xml:space="preserve">spiritual, </w:t>
      </w:r>
      <w:bookmarkEnd w:id="627"/>
      <w:r w:rsidRPr="00837161">
        <w:rPr>
          <w:lang w:eastAsia="en-ZA"/>
        </w:rPr>
        <w:t xml:space="preserve">humanistic, naturalistic/dominionistic/aesthetic and risk perceptions </w:t>
      </w:r>
      <w:r w:rsidRPr="00837161">
        <w:rPr>
          <w:lang w:eastAsia="en-ZA"/>
        </w:rPr>
        <w:fldChar w:fldCharType="begin"/>
      </w:r>
      <w:r w:rsidR="000F35EB">
        <w:rPr>
          <w:lang w:eastAsia="en-ZA"/>
        </w:rPr>
        <w:instrText xml:space="preserve"> ADDIN ZOTERO_ITEM CSL_CITATION {"citationID":"I4Rzx1Kg","properties":{"formattedCitation":"(Est\\uc0\\u233{}vez et al., 2015)","plainCitation":"(Estévez et al., 2015)","noteIndex":0},"citationItems":[{"id":30389,"uris":["http://zotero.org/groups/2352922/items/RICLEV26"],"itemData":{"id":30389,"type":"article-journal","abstract":"Decision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A."}],"accessed":{"date-parts":[["2021",4,13]]},"issued":{"date-parts":[["2015",2]]}}}],"schema":"https://github.com/citation-style-language/schema/raw/master/csl-citation.json"} </w:instrText>
      </w:r>
      <w:r w:rsidRPr="00837161">
        <w:rPr>
          <w:lang w:eastAsia="en-ZA"/>
        </w:rPr>
        <w:fldChar w:fldCharType="separate"/>
      </w:r>
      <w:r w:rsidR="00271B78" w:rsidRPr="00271B78">
        <w:t>(Estévez et al., 2015)</w:t>
      </w:r>
      <w:r w:rsidRPr="00837161">
        <w:rPr>
          <w:lang w:eastAsia="en-ZA"/>
        </w:rPr>
        <w:fldChar w:fldCharType="end"/>
      </w:r>
      <w:r w:rsidR="008B74FF">
        <w:rPr>
          <w:lang w:eastAsia="en-ZA"/>
        </w:rPr>
        <w:t xml:space="preserve">. They are </w:t>
      </w:r>
      <w:r w:rsidRPr="00837161">
        <w:rPr>
          <w:lang w:eastAsia="en-ZA"/>
        </w:rPr>
        <w:t>based on people</w:t>
      </w:r>
      <w:r w:rsidR="004A57D1">
        <w:rPr>
          <w:lang w:eastAsia="en-ZA"/>
        </w:rPr>
        <w:t>’</w:t>
      </w:r>
      <w:r w:rsidRPr="00837161">
        <w:rPr>
          <w:lang w:eastAsia="en-ZA"/>
        </w:rPr>
        <w:t xml:space="preserve">s different beliefs, knowledge and experience with the invasive alien species and the social, cultural, landscape and policy contexts </w:t>
      </w:r>
      <w:r w:rsidRPr="00837161">
        <w:rPr>
          <w:lang w:eastAsia="en-ZA"/>
        </w:rPr>
        <w:fldChar w:fldCharType="begin"/>
      </w:r>
      <w:r w:rsidR="000F35EB">
        <w:rPr>
          <w:lang w:eastAsia="en-ZA"/>
        </w:rPr>
        <w:instrText xml:space="preserve"> ADDIN ZOTERO_ITEM CSL_CITATION {"citationID":"NlxGJI3s","properties":{"formattedCitation":"(R. T. Shackleton, Adriaens, et al., 2019)","plainCitation":"(R. T. Shackleton, Adriaens, et al., 2019)","dontUpdate":true,"noteIndex":0},"citationItems":[{"id":29948,"uris":["http://zotero.org/groups/2352922/items/AVRETIRN"],"itemData":{"id":29948,"type":"article-journal","container-title":"Journal of Environmental Management","DOI":"10.1016/j.jenvman.2018.04.044","ISSN":"03014797","journalAbbreviation":"Journal of Environmental Management","language":"en","page":"88-101","source":"DOI.org (Crossref)","title":"Stakeholder engagement in the study and management of invasive alien species","URL":"https://linkinghub.elsevier.com/retrieve/pii/S0301479718304262","volume":"229","author":[{"family":"Shackleton","given":"Ross T."},{"family":"Adriaens","given":"Tim"},{"family":"Brundu","given":"Giuseppe"},{"family":"Dehnen-Schmutz","given":"Katharina"},{"family":"Estévez","given":"Rodrigo A."},{"family":"Fried","given":"Jana"},{"family":"Larson","given":"Brendon M.H."},{"family":"Liu","given":"Shuang"},{"family":"Marchante","given":"Elizabete"},{"family":"Marchante","given":"Hélia"},{"family":"Moshobane","given":"Moleseng C."},{"family":"Novoa","given":"Ana"},{"family":"Reed","given":"Mark"},{"family":"Richardson","given":"David M."}],"accessed":{"date-parts":[["2021",8,16]]},"issued":{"date-parts":[["2019",1]]}}}],"schema":"https://github.com/citation-style-language/schema/raw/master/csl-citation.json"} </w:instrText>
      </w:r>
      <w:r w:rsidRPr="00837161">
        <w:rPr>
          <w:lang w:eastAsia="en-ZA"/>
        </w:rPr>
        <w:fldChar w:fldCharType="separate"/>
      </w:r>
      <w:r w:rsidRPr="00837161">
        <w:t>(Shackleton, Adriaens, et al., 2019)</w:t>
      </w:r>
      <w:r w:rsidRPr="00837161">
        <w:rPr>
          <w:lang w:eastAsia="en-ZA"/>
        </w:rPr>
        <w:fldChar w:fldCharType="end"/>
      </w:r>
      <w:r w:rsidRPr="00837161">
        <w:rPr>
          <w:lang w:eastAsia="en-ZA"/>
        </w:rPr>
        <w:t xml:space="preserve">. </w:t>
      </w:r>
      <w:r w:rsidRPr="00837161">
        <w:rPr>
          <w:rFonts w:eastAsia="Times New Roman"/>
          <w:lang w:eastAsia="en-ZA"/>
        </w:rPr>
        <w:t xml:space="preserve">Perceptions and values differ between </w:t>
      </w:r>
      <w:r w:rsidR="008B74FF">
        <w:rPr>
          <w:rFonts w:eastAsia="Times New Roman"/>
          <w:lang w:eastAsia="en-ZA"/>
        </w:rPr>
        <w:t>countries</w:t>
      </w:r>
      <w:r w:rsidR="008B74FF" w:rsidRPr="00837161">
        <w:rPr>
          <w:rFonts w:eastAsia="Times New Roman"/>
          <w:lang w:eastAsia="en-ZA"/>
        </w:rPr>
        <w:t xml:space="preserve"> </w:t>
      </w:r>
      <w:r w:rsidRPr="00837161">
        <w:rPr>
          <w:rFonts w:eastAsia="Times New Roman"/>
          <w:lang w:eastAsia="en-ZA"/>
        </w:rPr>
        <w:t>and regions, policymakers, communit</w:t>
      </w:r>
      <w:r w:rsidR="008B74FF">
        <w:rPr>
          <w:rFonts w:eastAsia="Times New Roman"/>
          <w:lang w:eastAsia="en-ZA"/>
        </w:rPr>
        <w:t>ies</w:t>
      </w:r>
      <w:r w:rsidRPr="00837161">
        <w:rPr>
          <w:rFonts w:eastAsia="Times New Roman"/>
          <w:lang w:eastAsia="en-ZA"/>
        </w:rPr>
        <w:t xml:space="preserve">, managers, conservationists and </w:t>
      </w:r>
      <w:r w:rsidR="00875C95" w:rsidRPr="00837161">
        <w:rPr>
          <w:rFonts w:eastAsia="Times New Roman"/>
          <w:lang w:eastAsia="en-ZA"/>
        </w:rPr>
        <w:t>Indigenous Peoples</w:t>
      </w:r>
      <w:r w:rsidRPr="00837161">
        <w:rPr>
          <w:rFonts w:eastAsia="Times New Roman"/>
          <w:lang w:eastAsia="en-ZA"/>
        </w:rPr>
        <w:t xml:space="preserve"> and local communities </w:t>
      </w:r>
      <w:r w:rsidRPr="00837161">
        <w:rPr>
          <w:rFonts w:eastAsia="Times New Roman"/>
          <w:lang w:eastAsia="en-ZA"/>
        </w:rPr>
        <w:fldChar w:fldCharType="begin"/>
      </w:r>
      <w:r w:rsidR="000F35EB">
        <w:rPr>
          <w:rFonts w:eastAsia="Times New Roman"/>
          <w:lang w:eastAsia="en-ZA"/>
        </w:rPr>
        <w:instrText xml:space="preserve"> ADDIN ZOTERO_ITEM CSL_CITATION {"citationID":"Z5YdrO9a","properties":{"formattedCitation":"(Kelsch et al., 2020)","plainCitation":"(Kelsch et al., 2020)","noteIndex":0},"citationItems":[{"id":56463,"uris":["http://zotero.org/groups/2352922/items/YVUTAHFF","http://zotero.org/groups/2352922/items/9JA37VSV"],"itemData":{"id":56463,"type":"article-journal","container-title":"Environmental Science &amp; Policy","DOI":"10.1016/j.envsci.2020.06.014","ISSN":"14629011","journalAbbreviation":"Environmental Science &amp; Policy","language":"en","page":"275-281","source":"DOI.org (Crossref)","title":"Invasive alien species and local communities in socio-ecological production landscapes and seascapes: A systematic review and analysis","title-short":"Invasive alien species and local communities in socio-ecological production landscapes and seascapes","URL":"https://linkinghub.elsevier.com/retrieve/pii/S1462901120300642","volume":"112","author":[{"family":"Kelsch","given":"Alexander"},{"family":"Takahashi","given":"Yasuo"},{"family":"Dasgupta","given":"Rajarshi"},{"family":"Mader","given":"André Derek"},{"family":"Johnson","given":"Brian Alan"},{"family":"Kumar","given":"Pankaj"}],"accessed":{"date-parts":[["2023",6,8]]},"issued":{"date-parts":[["2020",10]]}}}],"schema":"https://github.com/citation-style-language/schema/raw/master/csl-citation.json"} </w:instrText>
      </w:r>
      <w:r w:rsidRPr="00837161">
        <w:rPr>
          <w:rFonts w:eastAsia="Times New Roman"/>
          <w:lang w:eastAsia="en-ZA"/>
        </w:rPr>
        <w:fldChar w:fldCharType="separate"/>
      </w:r>
      <w:r w:rsidR="00271B78" w:rsidRPr="00271B78">
        <w:t>(Kelsch et al., 2020)</w:t>
      </w:r>
      <w:r w:rsidRPr="00837161">
        <w:rPr>
          <w:rFonts w:eastAsia="Times New Roman"/>
          <w:lang w:eastAsia="en-ZA"/>
        </w:rPr>
        <w:fldChar w:fldCharType="end"/>
      </w:r>
      <w:r w:rsidRPr="00837161">
        <w:rPr>
          <w:rFonts w:eastAsia="Times New Roman"/>
          <w:lang w:eastAsia="en-ZA"/>
        </w:rPr>
        <w:t xml:space="preserve">, </w:t>
      </w:r>
      <w:r w:rsidR="006F7501">
        <w:rPr>
          <w:rFonts w:eastAsia="Times New Roman"/>
          <w:lang w:eastAsia="en-ZA"/>
        </w:rPr>
        <w:t>e</w:t>
      </w:r>
      <w:r w:rsidR="006F7501" w:rsidRPr="006F7501">
        <w:rPr>
          <w:rFonts w:eastAsia="Times New Roman"/>
          <w:lang w:eastAsia="en-ZA"/>
        </w:rPr>
        <w:t>ven if globally, values regarding environmental conservation are aligning.</w:t>
      </w:r>
      <w:r w:rsidR="006F7501">
        <w:rPr>
          <w:rFonts w:eastAsia="Times New Roman"/>
          <w:lang w:eastAsia="en-ZA"/>
        </w:rPr>
        <w:t xml:space="preserve"> </w:t>
      </w:r>
      <w:r w:rsidRPr="00837161">
        <w:rPr>
          <w:rFonts w:eastAsia="Times New Roman"/>
          <w:lang w:eastAsia="en-ZA"/>
        </w:rPr>
        <w:t>Some species may have been deliberately introduced for a particular service but</w:t>
      </w:r>
      <w:r w:rsidR="006F7501">
        <w:rPr>
          <w:rFonts w:eastAsia="Times New Roman"/>
          <w:lang w:eastAsia="en-ZA"/>
        </w:rPr>
        <w:t>,</w:t>
      </w:r>
      <w:r w:rsidRPr="00837161">
        <w:rPr>
          <w:rFonts w:eastAsia="Times New Roman"/>
          <w:lang w:eastAsia="en-ZA"/>
        </w:rPr>
        <w:t xml:space="preserve"> while providing that service</w:t>
      </w:r>
      <w:r w:rsidR="006F7501">
        <w:rPr>
          <w:rFonts w:eastAsia="Times New Roman"/>
          <w:lang w:eastAsia="en-ZA"/>
        </w:rPr>
        <w:t>,</w:t>
      </w:r>
      <w:r w:rsidRPr="00837161">
        <w:rPr>
          <w:rFonts w:eastAsia="Times New Roman"/>
          <w:lang w:eastAsia="en-ZA"/>
        </w:rPr>
        <w:t xml:space="preserve"> have negative impacts on other sectors. </w:t>
      </w:r>
      <w:r w:rsidR="006F7501">
        <w:rPr>
          <w:rFonts w:eastAsia="Times New Roman"/>
          <w:lang w:eastAsia="en-ZA"/>
        </w:rPr>
        <w:t>For example, i</w:t>
      </w:r>
      <w:r w:rsidRPr="00837161">
        <w:rPr>
          <w:rFonts w:eastAsia="Times New Roman"/>
          <w:lang w:eastAsia="en-ZA"/>
        </w:rPr>
        <w:t xml:space="preserve">ntroduced </w:t>
      </w:r>
      <w:r w:rsidR="00DC3887" w:rsidRPr="00837161">
        <w:rPr>
          <w:rFonts w:eastAsia="Times New Roman"/>
          <w:i/>
          <w:lang w:eastAsia="en-ZA"/>
        </w:rPr>
        <w:t>Sus scrofa</w:t>
      </w:r>
      <w:r w:rsidR="00DC3887" w:rsidRPr="00837161">
        <w:rPr>
          <w:rFonts w:eastAsia="Times New Roman"/>
          <w:lang w:eastAsia="en-ZA"/>
        </w:rPr>
        <w:t xml:space="preserve"> (</w:t>
      </w:r>
      <w:r w:rsidR="00CE42CC" w:rsidRPr="00837161">
        <w:rPr>
          <w:rFonts w:eastAsia="Times New Roman"/>
          <w:lang w:eastAsia="en-ZA"/>
        </w:rPr>
        <w:t>feral pig</w:t>
      </w:r>
      <w:r w:rsidR="00DC3887" w:rsidRPr="00837161">
        <w:rPr>
          <w:rFonts w:eastAsia="Times New Roman"/>
          <w:lang w:eastAsia="en-ZA"/>
        </w:rPr>
        <w:t>)</w:t>
      </w:r>
      <w:r w:rsidRPr="00837161">
        <w:rPr>
          <w:rFonts w:eastAsia="Times New Roman"/>
          <w:lang w:eastAsia="en-ZA"/>
        </w:rPr>
        <w:t xml:space="preserve"> are culturally </w:t>
      </w:r>
      <w:r w:rsidR="006F7501" w:rsidRPr="00837161">
        <w:rPr>
          <w:rFonts w:eastAsia="Times New Roman"/>
          <w:lang w:eastAsia="en-ZA"/>
        </w:rPr>
        <w:t xml:space="preserve">important </w:t>
      </w:r>
      <w:r w:rsidRPr="00837161">
        <w:rPr>
          <w:rFonts w:eastAsia="Times New Roman"/>
          <w:lang w:eastAsia="en-ZA"/>
        </w:rPr>
        <w:t>in Hawai</w:t>
      </w:r>
      <w:r w:rsidR="006F7501">
        <w:rPr>
          <w:rFonts w:eastAsia="Times New Roman"/>
          <w:lang w:eastAsia="en-ZA"/>
        </w:rPr>
        <w:t>I</w:t>
      </w:r>
      <w:r w:rsidRPr="00837161">
        <w:rPr>
          <w:rFonts w:eastAsia="Times New Roman"/>
          <w:lang w:eastAsia="en-ZA"/>
        </w:rPr>
        <w:t xml:space="preserve"> and are hunted for subsistence, ceremony and recreation </w:t>
      </w:r>
      <w:r w:rsidRPr="00837161">
        <w:rPr>
          <w:rFonts w:eastAsia="Times New Roman"/>
          <w:lang w:eastAsia="en-ZA"/>
        </w:rPr>
        <w:fldChar w:fldCharType="begin"/>
      </w:r>
      <w:r w:rsidR="000F35EB">
        <w:rPr>
          <w:rFonts w:eastAsia="Times New Roman"/>
          <w:lang w:eastAsia="en-ZA"/>
        </w:rPr>
        <w:instrText xml:space="preserve"> ADDIN ZOTERO_ITEM CSL_CITATION {"citationID":"MBymJI0W","properties":{"formattedCitation":"(Pejchar &amp; Mooney, 2009)","plainCitation":"(Pejchar &amp; Mooney, 2009)","noteIndex":0},"citationItems":[{"id":32952,"uris":["http://zotero.org/groups/2352922/items/3VCVSE2K"],"itemData":{"id":32952,"type":"article-journal","abstract":"Although the effects of invasive alien species (IAS) on native species are well documented, the many ways in which such species impact ecosystem services are still emerging. Here we assess the costs and benefits of IAS for provisioning, regulating and cultural services, and illustrate the synergies and tradeoffs associated with these impacts using case studies that include South Africa, the Great Lakes and Hawaii. We identify services and interactions that are the least understood and propose a research and policy framework for filling the remaining knowledge gaps. Drawing on ecology and economics to incorporate the impacts of IAS on ecosystem services into decision making is key to restoring and sustaining those life-support services that nature provides and all organisms depend upon.","container-title":"Trends in Ecology &amp; Evolution","DOI":"10.1016/j.tree.2009.03.016","ISSN":"01695347","issue":"9","journalAbbreviation":"Trends in Ecology &amp; Evolution","language":"en","page":"497-504","source":"DOI.org (Crossref)","title":"Invasive species, ecosystem services and human well-being","URL":"https://linkinghub.elsevier.com/retrieve/pii/S0169534709001761","volume":"24","author":[{"family":"Pejchar","given":"Liba"},{"family":"Mooney","given":"Harold A."}],"accessed":{"date-parts":[["2019",11,7]]},"issued":{"date-parts":[["2009",9]]}}}],"schema":"https://github.com/citation-style-language/schema/raw/master/csl-citation.json"} </w:instrText>
      </w:r>
      <w:r w:rsidRPr="00837161">
        <w:rPr>
          <w:rFonts w:eastAsia="Times New Roman"/>
          <w:lang w:eastAsia="en-ZA"/>
        </w:rPr>
        <w:fldChar w:fldCharType="separate"/>
      </w:r>
      <w:r w:rsidR="00271B78" w:rsidRPr="00271B78">
        <w:t>(Pejchar &amp; Mooney, 2009)</w:t>
      </w:r>
      <w:r w:rsidRPr="00837161">
        <w:rPr>
          <w:rFonts w:eastAsia="Times New Roman"/>
          <w:lang w:eastAsia="en-ZA"/>
        </w:rPr>
        <w:fldChar w:fldCharType="end"/>
      </w:r>
      <w:r w:rsidRPr="00837161">
        <w:rPr>
          <w:rFonts w:eastAsia="Times New Roman"/>
          <w:lang w:eastAsia="en-ZA"/>
        </w:rPr>
        <w:t>, but are considered keystone species in driving and maintaining alien plant invasions and causing forest ecosystem disruption</w:t>
      </w:r>
      <w:r w:rsidR="006F7501">
        <w:rPr>
          <w:rFonts w:eastAsia="Times New Roman"/>
          <w:lang w:eastAsia="en-ZA"/>
        </w:rPr>
        <w:t>,</w:t>
      </w:r>
      <w:r w:rsidRPr="00837161">
        <w:rPr>
          <w:rFonts w:eastAsia="Times New Roman"/>
          <w:lang w:eastAsia="en-ZA"/>
        </w:rPr>
        <w:t xml:space="preserve"> and therefore </w:t>
      </w:r>
      <w:r w:rsidR="006F7501">
        <w:rPr>
          <w:rFonts w:eastAsia="Times New Roman"/>
          <w:lang w:eastAsia="en-ZA"/>
        </w:rPr>
        <w:t xml:space="preserve">are </w:t>
      </w:r>
      <w:r w:rsidRPr="00837161">
        <w:rPr>
          <w:rFonts w:eastAsia="Times New Roman"/>
          <w:lang w:eastAsia="en-ZA"/>
        </w:rPr>
        <w:t xml:space="preserve">primary modifiers of the remaining Hawaiian rainforest </w:t>
      </w:r>
      <w:r w:rsidRPr="00837161">
        <w:rPr>
          <w:rFonts w:eastAsia="Times New Roman"/>
          <w:lang w:eastAsia="en-ZA"/>
        </w:rPr>
        <w:fldChar w:fldCharType="begin"/>
      </w:r>
      <w:r w:rsidR="000F35EB">
        <w:rPr>
          <w:rFonts w:eastAsia="Times New Roman"/>
          <w:lang w:eastAsia="en-ZA"/>
        </w:rPr>
        <w:instrText xml:space="preserve"> ADDIN ZOTERO_ITEM CSL_CITATION {"citationID":"aiit4q6dlq","properties":{"formattedCitation":"(Loope et al., 2013)","plainCitation":"(Loope et al., 2013)","noteIndex":0},"citationItems":[{"id":31012,"uris":["http://zotero.org/groups/2352922/items/BSKZG3TU"],"itemData":{"id":31012,"type":"chapter","abstract":"Isolated tropical islands are notoriously vulnerable to plant invasions. Serious management for protection of native biodiversity in Hawaii began in the 1970s, arguably at Hawaii Volcanoes National Park. Concerted alien plant management began there in the 1980s and has in a sense become a model for protected areas throughout Hawaii and Pacific Island countries and territories. We review the relative successes of their strategies and touch upon how their experience has been applied elsewhere. Protected areas in Hawaii are fortunate in having relatively good resources for addressing plant invasions, but many invasions remain intractable, and invasions from outside the boundaries continue from a highly globalised society with a penchant for horticultural novelty. There are likely few efforts in most Pacific Islands to combat alien plant invasions in protected areas, but such areas may often have fewer plant invasions as a result of their relative remoteness and/or socio-economic development status. The greatest current needs for protected areas in this region may be for establishment of yet more protected areas, for better resources to combat invasions in Pacific Island countries and territories, for more effective control methods including biological control programme to contain intractable species, and for meaningful efforts to address prevention and early detection of potential new invaders.","collection-title":"Invading Nature - Springer Series in Invasion Ecology","container-title":"Plant Invasions in Protected Areas: Patterns, Problems and Challenges","event-place":"Dordrecht","ISBN":"978-94-007-7750-7","language":"en","note":"DOI: 10.1007/978-94-007-7750-7_15","page":"313-348","publisher":"Springer Netherlands","publisher-place":"Dordrecht","source":"Springer Link","title":"Plant Invasions in Protected Areas of Tropical Pacific Islands, with Special Reference to Hawaii","URL":"https://doi.org/10.1007/978-94-007-7750-7_15","volume":"7","author":[{"family":"Loope","given":"Lloyd L."},{"family":"Hughes","given":"R. Flint"},{"family":"Meyer","given":"Jean-Yves"}],"editor":[{"family":"Foxcroft","given":"Llewellyn C."},{"family":"Pyšek","given":"Petr"},{"family":"Richardson","given":"David M."},{"family":"Genovesi","given":"Piero"}],"accessed":{"date-parts":[["2020",8,21]]},"issued":{"date-parts":[["2013"]]}}}],"schema":"https://github.com/citation-style-language/schema/raw/master/csl-citation.json"} </w:instrText>
      </w:r>
      <w:r w:rsidRPr="00837161">
        <w:rPr>
          <w:rFonts w:eastAsia="Times New Roman"/>
          <w:lang w:eastAsia="en-ZA"/>
        </w:rPr>
        <w:fldChar w:fldCharType="separate"/>
      </w:r>
      <w:r w:rsidR="00271B78" w:rsidRPr="00271B78">
        <w:t>(Loope et al., 2013)</w:t>
      </w:r>
      <w:r w:rsidRPr="00837161">
        <w:rPr>
          <w:rFonts w:eastAsia="Times New Roman"/>
          <w:lang w:eastAsia="en-ZA"/>
        </w:rPr>
        <w:fldChar w:fldCharType="end"/>
      </w:r>
      <w:r w:rsidRPr="00837161">
        <w:rPr>
          <w:rFonts w:eastAsia="Times New Roman"/>
          <w:lang w:eastAsia="en-ZA"/>
        </w:rPr>
        <w:t xml:space="preserve">. Elsewhere in the United States, introduced </w:t>
      </w:r>
      <w:r w:rsidR="006F7501" w:rsidRPr="00837161">
        <w:rPr>
          <w:rFonts w:eastAsia="Times New Roman"/>
          <w:i/>
          <w:lang w:eastAsia="en-ZA"/>
        </w:rPr>
        <w:t>Sus scrofa</w:t>
      </w:r>
      <w:r w:rsidR="006F7501" w:rsidRPr="00837161">
        <w:rPr>
          <w:rFonts w:eastAsia="Times New Roman"/>
          <w:lang w:eastAsia="en-ZA"/>
        </w:rPr>
        <w:t xml:space="preserve"> </w:t>
      </w:r>
      <w:r w:rsidRPr="00837161">
        <w:rPr>
          <w:rFonts w:eastAsia="Times New Roman"/>
          <w:lang w:eastAsia="en-ZA"/>
        </w:rPr>
        <w:t xml:space="preserve">are valued by hunters but cause annual losses to six crops of nearly $200 million, and potentially carry zoonoses or diseases that may affect wildlife and livestock </w:t>
      </w:r>
      <w:r w:rsidRPr="00837161">
        <w:rPr>
          <w:rFonts w:eastAsia="Times New Roman"/>
          <w:lang w:eastAsia="en-ZA"/>
        </w:rPr>
        <w:fldChar w:fldCharType="begin"/>
      </w:r>
      <w:r w:rsidR="000F35EB">
        <w:rPr>
          <w:rFonts w:eastAsia="Times New Roman"/>
          <w:lang w:eastAsia="en-ZA"/>
        </w:rPr>
        <w:instrText xml:space="preserve"> ADDIN ZOTERO_ITEM CSL_CITATION {"citationID":"YFI3kFSh","properties":{"formattedCitation":"(Lewis et al., 2019)","plainCitation":"(Lewis et al., 2019)","noteIndex":0},"citationItems":[{"id":29209,"uris":["http://zotero.org/groups/2352922/items/6HE7APJP"],"itemData":{"id":29209,"type":"article-journal","container-title":"Biological Invasions","DOI":"10.1007/s10530-019-01983-1","ISSN":"1387-3547, 1573-1464","issue":"7","journalAbbreviation":"Biol Invasions","language":"en","page":"2373-2384","source":"DOI.org (Crossref)","title":"Historical, current, and potential population size estimates of invasive wild pigs (&lt;i&gt;Sus scrofa&lt;/i&gt;) in the United States","URL":"http://link.springer.com/10.1007/s10530-019-01983-1","volume":"21","author":[{"family":"Lewis","given":"Jesse S."},{"family":"Corn","given":"Joseph L."},{"family":"Mayer","given":"John J."},{"family":"Jordan","given":"Thomas R."},{"family":"Farnsworth","given":"Matthew L."},{"family":"Burdett","given":"Christopher L."},{"family":"VerCauteren","given":"Kurt C."},{"family":"Sweeney","given":"Steven J."},{"family":"Miller","given":"Ryan S."}],"accessed":{"date-parts":[["2020",8,9]]},"issued":{"date-parts":[["2019",7]]}},"label":"page"}],"schema":"https://github.com/citation-style-language/schema/raw/master/csl-citation.json"} </w:instrText>
      </w:r>
      <w:r w:rsidRPr="00837161">
        <w:rPr>
          <w:rFonts w:eastAsia="Times New Roman"/>
          <w:lang w:eastAsia="en-ZA"/>
        </w:rPr>
        <w:fldChar w:fldCharType="separate"/>
      </w:r>
      <w:r w:rsidR="00271B78" w:rsidRPr="00271B78">
        <w:t>(Lewis et al., 2019)</w:t>
      </w:r>
      <w:r w:rsidRPr="00837161">
        <w:rPr>
          <w:rFonts w:eastAsia="Times New Roman"/>
          <w:lang w:eastAsia="en-ZA"/>
        </w:rPr>
        <w:fldChar w:fldCharType="end"/>
      </w:r>
      <w:r w:rsidRPr="00837161">
        <w:rPr>
          <w:rFonts w:eastAsia="Times New Roman"/>
          <w:lang w:eastAsia="en-ZA"/>
        </w:rPr>
        <w:t xml:space="preserve">. </w:t>
      </w:r>
      <w:r w:rsidR="00875C95" w:rsidRPr="00837161">
        <w:t>Indigenous Peoples</w:t>
      </w:r>
      <w:r w:rsidRPr="00837161">
        <w:t xml:space="preserve"> and local communities often value invasive alien species culturally if they have become a food or livelihood source, and therefore </w:t>
      </w:r>
      <w:r w:rsidRPr="00837161">
        <w:rPr>
          <w:rFonts w:eastAsia="Times New Roman"/>
          <w:lang w:eastAsia="en-ZA"/>
        </w:rPr>
        <w:t xml:space="preserve">may have adopted or adapted to use and value a particular invasive alien species that has established in their communities, even if the same species is causing significant environmental impacts (e.g., cats in Australia </w:t>
      </w:r>
      <w:r w:rsidRPr="00837161">
        <w:rPr>
          <w:rFonts w:eastAsia="Times New Roman"/>
          <w:lang w:eastAsia="en-ZA"/>
        </w:rPr>
        <w:fldChar w:fldCharType="begin"/>
      </w:r>
      <w:r w:rsidR="00271B78">
        <w:rPr>
          <w:rFonts w:eastAsia="Times New Roman"/>
          <w:lang w:eastAsia="en-ZA"/>
        </w:rPr>
        <w:instrText xml:space="preserve"> ADDIN ZOTERO_ITEM CSL_CITATION {"citationID":"puUL8dRG","properties":{"formattedCitation":"(I. Abbott, 2002)","plainCitation":"(I. Abbott, 2002)","noteIndex":0},"citationItems":[{"id":30067,"uris":["http://zotero.org/groups/2352922/items/IT4U9M4H"],"itemData":{"id":30067,"type":"article-journal","abstract":"A comprehensive search of historical sources found no evidence that the cat, Felis catus, was present on mainland Australia prior to settlement by Europeans. Nor were records of cats found in journals of expeditions of exploration beyond settled areas, undertaken in the period 1788–1883. Cats did not occupy Australia from the earliest point of entry (Sydney, 1788), but instead diffused and were spread from multiple coastal introductions in the period 1824–86. By 1890 nearly all of the continent had been colonised. This new chronology for the feline colonisation of Australia necessitates a re-appraisal of the early impact of the cat on native mammal and bird species. The evidence for early impacts of cats causing major and widespread declines in native fauna is considered tenuous and unconvincing.","container-title":"Wildlife Research","DOI":"10.1071/WR01011","ISSN":"1035-3712","issue":"1","journalAbbreviation":"Wildl. Res.","language":"en","page":"51-74","source":"DOI.org (Crossref)","title":"Origin and Spread of the cat, &lt;i&gt;Felis catus&lt;/i&gt;, on mainland Australia, with a discussion of the magnitude of its early impact on native fauna","URL":"http://www.publish.csiro.au/?paper=WR01011","volume":"29","author":[{"family":"Abbott","given":"Ian"}],"accessed":{"date-parts":[["2021",8,22]]},"issued":{"date-parts":[["2002"]]}},"label":"page"}],"schema":"https://github.com/citation-style-language/schema/raw/master/csl-citation.json"} </w:instrText>
      </w:r>
      <w:r w:rsidRPr="00837161">
        <w:rPr>
          <w:rFonts w:eastAsia="Times New Roman"/>
          <w:lang w:eastAsia="en-ZA"/>
        </w:rPr>
        <w:fldChar w:fldCharType="separate"/>
      </w:r>
      <w:r w:rsidR="00271B78" w:rsidRPr="00271B78">
        <w:t>(I. Abbott, 2002)</w:t>
      </w:r>
      <w:r w:rsidRPr="00837161">
        <w:rPr>
          <w:rFonts w:eastAsia="Times New Roman"/>
          <w:lang w:eastAsia="en-ZA"/>
        </w:rPr>
        <w:fldChar w:fldCharType="end"/>
      </w:r>
      <w:r w:rsidRPr="00837161">
        <w:rPr>
          <w:rFonts w:eastAsia="Times New Roman"/>
          <w:lang w:eastAsia="en-ZA"/>
        </w:rPr>
        <w:t xml:space="preserve"> or mesquite in Africa and India </w:t>
      </w:r>
      <w:r w:rsidRPr="00837161">
        <w:rPr>
          <w:rFonts w:eastAsia="Times New Roman"/>
          <w:lang w:eastAsia="en-ZA"/>
        </w:rPr>
        <w:fldChar w:fldCharType="begin"/>
      </w:r>
      <w:r w:rsidR="00E25D54">
        <w:rPr>
          <w:rFonts w:eastAsia="Times New Roman"/>
          <w:lang w:eastAsia="en-ZA"/>
        </w:rPr>
        <w:instrText xml:space="preserve"> ADDIN ZOTERO_ITEM CSL_CITATION {"citationID":"k25D8Tqp","properties":{"formattedCitation":"(Chandrasekaran &amp; Swamy, 2016; Mbaabu et al., 2019)","plainCitation":"(Chandrasekaran &amp; Swamy, 2016; Mbaabu et al., 2019)","noteIndex":0},"citationItems":[{"id":11579,"uris":["http://zotero.org/groups/2352922/items/KH3WRL3B"],"itemData":{"id":11579,"type":"chapter","abstract":"Prosopis juliflora, an exotic plant popularly known as the poor man’s fuel wood, has been spreading all over the country. In the semiarid region of Tamil Nadu, especially in and around Ramnad district, P. juliflora has been systematically harvested","container-title":"Nature, Economy and Society: Understanding the Linkages","event-place":"New Delhi","ISBN":"978-81-322-2404-4","language":"en","note":"DOI: 10.1007/978-81-322-2404-4_18","page":"347–357","publisher":"Springer, India","publisher-place":"New Delhi","source":"www.springerprofessional.de","title":"Ecological and Socioeconomic Impacts of &lt;i&gt;Prosopis juliflora&lt;/i&gt; Invasion in the Semiarid Ecosystems in Selected Villages of Ramnad District in Tamil Nadu","URL":"https://doi.org/10.1007/978-81-322-2404-4_18","author":[{"family":"Chandrasekaran","given":"S"},{"family":"Swamy","given":"P.S."}],"editor":[{"family":"Ghosh","given":"Nilanjan"},{"family":"Mukhopadhyay","given":"Pranab"},{"family":"Shah","given":"Amita"},{"family":"Panda","given":"Manoj"}],"accessed":{"date-parts":[["2020",7,28]]},"issued":{"date-parts":[["2016"]]}}},{"id":24031,"uris":["http://zotero.org/groups/2352922/items/YFDBFIQS"],"itemData":{"id":24031,"type":"article-journal","abstract":"Woody alien plant species have been deliberately introduced globally in many arid and semi-arid regions, as they can provide services and goods to the rural poor. However, some of these alien trees and shrubs have become invasive over time, with important impacts on biodiversity, ecosystem services, and human well-being. Prosopis was introduced in Baringo County, Kenya, in the 1980s, but since then, it has spread rapidly from the original plantations to new areas. To assess land-use and land-cover (LULC) changes and dynamics in Baringo, we used a combination of dry and wet season Landsat satellite data acquired over a seven-year time interval between 1988-2016, and performed a supervised Random Forest classification. For each time interval, we calculated the extent of Prosopis invasion, rates of spread, gains and losses of specific LULC classes, and the relative importance of Prosopis invasion on LULC changes. The overall accuracy and kappa coefficients of the LULC classifications ranged between 98.1-98.5% and 0.93-0.96, respectively. We found that Prosopis coverage increased from 882 ha in 1988 to 18,792 ha in 2016. The highest negative changes in LULC classes were found for grasslands (-6252 ha; -86%), irrigated cropland (-849 ha; -57%), Vachellia tortilis-dominated vegetation (-3602 ha; -42%), and rainfed cropland (-1432 ha; -37%). Prosopis invasion alone directly accounted for over 30% of these negative changes, suggesting that Prosopis invasion is a key driver of the observed LULC changes in Baringo County. Although the management of Prosopis by utilization has been promoted in Baringo for 10-15 years, the spread of Prosopis has not stopped or slowed down. This suggests that Prosopis management in Baringo and other invaded areas in East Africa needs to be based on a more integrated approach. © 2019 by the authors.","container-title":"Remote Sensing","DOI":"10.3390/rs11101217","issue":"10","language":"en","page":"1217","title":"Spatial evolution of prosopis invasion and its effects on LULC and livelihoods in Baringo, Kenya","URL":"https://www.scopus.com/inward/record.uri?eid=2-s2.0-85066753498&amp;doi=10.3390%2frs11101217&amp;partnerID=40&amp;md5=e9cbe28af9aa9bd691b2e3736b907534","volume":"11","author":[{"family":"Mbaabu","given":"P.R."},{"family":"Ng","given":"W.-T."},{"family":"Schaffner","given":"U."},{"family":"Gichaba","given":"M."},{"family":"Olago","given":"D."},{"family":"Choge","given":"S."},{"family":"Oriaso","given":"S."},{"family":"Eckert","given":"S."}],"issued":{"date-parts":[["2019"]]}}}],"schema":"https://github.com/citation-style-language/schema/raw/master/csl-citation.json"} </w:instrText>
      </w:r>
      <w:r w:rsidRPr="00837161">
        <w:rPr>
          <w:rFonts w:eastAsia="Times New Roman"/>
          <w:lang w:eastAsia="en-ZA"/>
        </w:rPr>
        <w:fldChar w:fldCharType="separate"/>
      </w:r>
      <w:r w:rsidR="00271B78" w:rsidRPr="00271B78">
        <w:t>(Chandrasekaran &amp; Swamy, 2016; Mbaabu et al., 2019)</w:t>
      </w:r>
      <w:r w:rsidRPr="00837161">
        <w:rPr>
          <w:rFonts w:eastAsia="Times New Roman"/>
          <w:lang w:eastAsia="en-ZA"/>
        </w:rPr>
        <w:fldChar w:fldCharType="end"/>
      </w:r>
      <w:r w:rsidR="001B5D26">
        <w:rPr>
          <w:rFonts w:eastAsia="Times New Roman"/>
          <w:lang w:eastAsia="en-ZA"/>
        </w:rPr>
        <w:t xml:space="preserve"> </w:t>
      </w:r>
      <w:r w:rsidRPr="00837161">
        <w:rPr>
          <w:rFonts w:eastAsia="Times New Roman"/>
          <w:lang w:eastAsia="en-ZA"/>
        </w:rPr>
        <w:t xml:space="preserve">for which </w:t>
      </w:r>
      <w:r w:rsidR="36D413D1" w:rsidRPr="00837161">
        <w:rPr>
          <w:rFonts w:eastAsia="Times New Roman"/>
          <w:lang w:eastAsia="en-ZA"/>
        </w:rPr>
        <w:t>compromi</w:t>
      </w:r>
      <w:r w:rsidR="2B739653" w:rsidRPr="00837161">
        <w:rPr>
          <w:rFonts w:eastAsia="Times New Roman"/>
          <w:lang w:eastAsia="en-ZA"/>
        </w:rPr>
        <w:t>s</w:t>
      </w:r>
      <w:r w:rsidR="36D413D1" w:rsidRPr="00837161">
        <w:rPr>
          <w:rFonts w:eastAsia="Times New Roman"/>
          <w:lang w:eastAsia="en-ZA"/>
        </w:rPr>
        <w:t>es</w:t>
      </w:r>
      <w:r w:rsidRPr="00837161">
        <w:rPr>
          <w:rFonts w:eastAsia="Times New Roman"/>
          <w:lang w:eastAsia="en-ZA"/>
        </w:rPr>
        <w:t xml:space="preserve"> can be found</w:t>
      </w:r>
      <w:r w:rsidR="006F7501">
        <w:rPr>
          <w:rFonts w:eastAsia="Times New Roman"/>
          <w:lang w:eastAsia="en-ZA"/>
        </w:rPr>
        <w:t>)</w:t>
      </w:r>
      <w:r w:rsidRPr="00837161">
        <w:rPr>
          <w:rFonts w:eastAsia="Times New Roman"/>
          <w:lang w:eastAsia="en-ZA"/>
        </w:rPr>
        <w:t xml:space="preserve">. For example, for feral ungulates, one solution adopted by </w:t>
      </w:r>
      <w:r w:rsidR="00875C95" w:rsidRPr="00837161">
        <w:rPr>
          <w:rFonts w:eastAsia="Times New Roman"/>
          <w:lang w:eastAsia="en-ZA"/>
        </w:rPr>
        <w:t>Indigenous Peoples</w:t>
      </w:r>
      <w:r w:rsidRPr="00837161">
        <w:rPr>
          <w:rFonts w:eastAsia="Times New Roman"/>
          <w:lang w:eastAsia="en-ZA"/>
        </w:rPr>
        <w:t xml:space="preserve"> and local communities in Australia is the selection and fencing of a priority area (e.g., Heritage sites and high biodiversity wetlands) with the animals removed from these sites but still harvested sustainably outside the protected zone </w:t>
      </w:r>
      <w:r w:rsidRPr="00837161">
        <w:rPr>
          <w:rFonts w:eastAsia="Times New Roman"/>
          <w:lang w:eastAsia="en-ZA"/>
        </w:rPr>
        <w:fldChar w:fldCharType="begin"/>
      </w:r>
      <w:r w:rsidR="007746C5">
        <w:rPr>
          <w:rFonts w:eastAsia="Times New Roman"/>
          <w:lang w:eastAsia="en-ZA"/>
        </w:rPr>
        <w:instrText xml:space="preserve"> ADDIN ZOTERO_ITEM CSL_CITATION {"citationID":"cGircSs4","properties":{"formattedCitation":"(Ens et al., 2016)","plainCitation":"(Ens et al., 2016)","noteIndex":0},"citationItems":[{"id":30476,"uris":["http://zotero.org/groups/2352922/items/YIMM6UYW"],"itemData":{"id":30476,"type":"article-journal","abstract":"Invasive species can have negative and positive impacts for local communities. Conflict between these different values can complicate and sometimes prevent broad-scale management and decision-making. Multi-functional landscapes and community-based conservation paradigms have emerged as constructive approaches to integrating competing interests and the development of sustainable and locally meaningful management planning. Here, we report on a five year feral ungulate exclusion fence project that was used to focus local people's attention on the eco-cultural and socio-economic impacts of feral ungulate invasion in a remote Aboriginal-owned region of northern Australia. Exclusion of feral buffalo, horses and pigs from three culturally significant freshwater billabongs from 2009 to 2013 resulted in variable increases in smooth ground (from 64-93%), ground cover vegetation (from 18-95%) and water lily cover (bush food) (from 20-60%), dependent on the site. The reduction in feral animal ground surface damage in the fenced areas was fastest at the floodplain billabong, Nalawan, which took only a year to become negligible. At the two channel billabongs, Costello and Namaliwiri, feral animal damage was negligible after 3 years. Senior Aboriginal Traditional Owners of these areas were pleased that these environmental assets were protected, but only agreed on the wholesale culling of pigs. Despite recognition of the negative eco-cultural impacts of feral ungulates as observed through the exclusion fence project, they wanted to maintain buffalo and horse on their Country to financially benefit from potential pet-meat and live export industries. Fencing was requested for culturally meaningful sites including those that were used for fishing and were sacred. Fenced areas were viewed by Traditional Owners as \"protected\" areas of ecological and cultural resources. These multiple management preferences can be combined to build socio-ecological resilience into regional strategic planning for feral ungulate management that will deliver multiple benefits for local communities.","container-title":"Biological Conservation","DOI":"10.1016/j.biocon.2016.03.007","ISSN":"00063207","language":"English","page":"235–246","title":"Creating multi-functional landscapes: Using exclusion fences to frame feral ungulate management preferences in remote Aboriginal-owned northern Australia","title-short":"Creating multi-functional landscapes","URL":"http://dx.doi.org/10.1016/j.biocon.2016.03.007","volume":"197","author":[{"family":"Ens","given":"E."},{"family":"Daniels","given":"C."},{"family":"Nelson","given":"E."},{"family":"Roy","given":"J."},{"family":"Dixon","given":"P."}],"issued":{"date-parts":[["2016",5]]}},"label":"page"}],"schema":"https://github.com/citation-style-language/schema/raw/master/csl-citation.json"} </w:instrText>
      </w:r>
      <w:r w:rsidRPr="00837161">
        <w:rPr>
          <w:rFonts w:eastAsia="Times New Roman"/>
          <w:lang w:eastAsia="en-ZA"/>
        </w:rPr>
        <w:fldChar w:fldCharType="separate"/>
      </w:r>
      <w:r w:rsidR="007746C5" w:rsidRPr="007746C5">
        <w:t>(Ens et al., 2016)</w:t>
      </w:r>
      <w:r w:rsidRPr="00837161">
        <w:rPr>
          <w:rFonts w:eastAsia="Times New Roman"/>
          <w:lang w:eastAsia="en-ZA"/>
        </w:rPr>
        <w:fldChar w:fldCharType="end"/>
      </w:r>
      <w:r w:rsidRPr="00837161">
        <w:rPr>
          <w:rFonts w:eastAsia="Times New Roman"/>
          <w:lang w:eastAsia="en-ZA"/>
        </w:rPr>
        <w:t xml:space="preserve">. A similar solution was found in a hunting programme in Argentina </w:t>
      </w:r>
      <w:r w:rsidR="00197924" w:rsidRPr="00837161">
        <w:rPr>
          <w:rFonts w:eastAsia="Times New Roman"/>
          <w:lang w:eastAsia="en-ZA"/>
        </w:rPr>
        <w:t>(</w:t>
      </w:r>
      <w:r w:rsidRPr="00857A52">
        <w:rPr>
          <w:rFonts w:eastAsia="Times New Roman"/>
          <w:b/>
          <w:bCs/>
          <w:iCs/>
          <w:lang w:eastAsia="en-ZA"/>
        </w:rPr>
        <w:t>Box 5.6</w:t>
      </w:r>
      <w:r w:rsidRPr="00837161">
        <w:rPr>
          <w:rFonts w:eastAsia="Times New Roman"/>
          <w:lang w:eastAsia="en-ZA"/>
        </w:rPr>
        <w:t xml:space="preserve">). Many other invasive alien species are also used for sport. Stocks of </w:t>
      </w:r>
      <w:r w:rsidRPr="00837161">
        <w:rPr>
          <w:rFonts w:eastAsia="Times New Roman"/>
          <w:i/>
          <w:lang w:eastAsia="en-ZA"/>
        </w:rPr>
        <w:t>Micropterus salmoides</w:t>
      </w:r>
      <w:r w:rsidRPr="00837161">
        <w:rPr>
          <w:rFonts w:eastAsia="Times New Roman"/>
          <w:lang w:eastAsia="en-ZA"/>
        </w:rPr>
        <w:t xml:space="preserve"> (largemouth bass) are supplemented for recreational fishing in South Africa despite severe ecological impacts on </w:t>
      </w:r>
      <w:r w:rsidRPr="00837161">
        <w:rPr>
          <w:rFonts w:eastAsia="Times New Roman"/>
          <w:lang w:eastAsia="en-ZA"/>
        </w:rPr>
        <w:lastRenderedPageBreak/>
        <w:t xml:space="preserve">macroinvertebrate fauna and communities </w:t>
      </w:r>
      <w:r w:rsidRPr="00837161">
        <w:rPr>
          <w:rFonts w:eastAsia="Times New Roman"/>
          <w:lang w:eastAsia="en-ZA"/>
        </w:rPr>
        <w:fldChar w:fldCharType="begin"/>
      </w:r>
      <w:r w:rsidR="000F35EB">
        <w:rPr>
          <w:rFonts w:eastAsia="Times New Roman"/>
          <w:lang w:eastAsia="en-ZA"/>
        </w:rPr>
        <w:instrText xml:space="preserve"> ADDIN ZOTERO_ITEM CSL_CITATION {"citationID":"1MfBucPj","properties":{"formattedCitation":"(O. L. F. Weyl et al., 2015; P. S. R. Weyl et al., 2010)","plainCitation":"(O. L. F. Weyl et al., 2015; P. S. R. Weyl et al., 2010)","noteIndex":0},"citationItems":[{"id":12465,"uris":["http://zotero.org/groups/2352922/items/88FBQBDB"],"itemData":{"id":12465,"type":"article-journal","abstract":"There is increasing pressure on conservation agencies to allow access to natural resources within protected areas for human benefit. Alien fishes are often seen as a convenient resource because their harvest does not conflict with conservation goals. However, allowing such access may have unintended consequences for managers. This opinion essay is intended to provide some insights into how promoting access to alien fish resources can add to the complexity of conservation interventions, may facilitate additional fish introductions and create dependencies on alien fish that could compromise potential eradication efforts.Conservation implications: Management plans for the utilisation of alien fishes by external stakeholders must include clear exit strategies so that the ability to eradicate when necessary or feasible is not compromised.","archive_location":"not applicable","container-title":"Koedoe","DOI":"10.4102/koedoe.v57i1.1264","ISSN":"2071-0771","issue":"1","language":"en","license":"Copyright (c) 2015 Olaf L.F. Weyl, Bruce R. Ellender, Ryan J. Wasserman, Darragh J. Woodford","page":"a1264","source":"koedoe.co.za","title":"Unintended consequences of using alien fish for human benefit in protected areas","URL":"https://koedoe.co.za/index.php/koedoe/article/view/1264","volume":"57","author":[{"family":"Weyl","given":"Olaf L. F."},{"family":"Ellender","given":"Bruce R."},{"family":"Wasserman","given":"Ryan J."},{"family":"Woodford","given":"Darragh J."}],"accessed":{"date-parts":[["2019",11,26]]},"issued":{"date-parts":[["2015",7,7]]}},"label":"page"},{"id":23654,"uris":["http://zotero.org/groups/2352922/items/E4TD8CFB"],"itemData":{"id":23654,"type":"article-journal","container-title":"African Journal of Aquatic Science","DOI":"10.2989/16085914.2010.540776","issue":"3","note":"publisher: Informa UK Limited","page":"273–281","title":"The effect of largemouth bass &lt;i&gt;Micropterus salmoides&lt;/i&gt; on aquatic macro-invertebrate communities in the Wit River, Eastern Cape, South Africa","URL":"https://doi.org/10.2989%2F16085914.2010.540776","volume":"35","author":[{"family":"Weyl","given":"P. S.R"},{"family":"Moor","given":"F. C.","non-dropping-particle":"de"},{"family":"Hill","given":"M. P."},{"family":"Weyl","given":"Olaf L. F."}],"issued":{"date-parts":[["2010",12]]}},"label":"page"}],"schema":"https://github.com/citation-style-language/schema/raw/master/csl-citation.json"} </w:instrText>
      </w:r>
      <w:r w:rsidRPr="00837161">
        <w:rPr>
          <w:rFonts w:eastAsia="Times New Roman"/>
          <w:lang w:eastAsia="en-ZA"/>
        </w:rPr>
        <w:fldChar w:fldCharType="separate"/>
      </w:r>
      <w:r w:rsidR="00271B78" w:rsidRPr="00271B78">
        <w:t>(O. L. F. Weyl et al., 2015; P. S. R. Weyl et al., 2010)</w:t>
      </w:r>
      <w:r w:rsidRPr="00837161">
        <w:rPr>
          <w:rFonts w:eastAsia="Times New Roman"/>
          <w:lang w:eastAsia="en-ZA"/>
        </w:rPr>
        <w:fldChar w:fldCharType="end"/>
      </w:r>
      <w:r w:rsidRPr="00837161">
        <w:rPr>
          <w:rFonts w:eastAsia="Times New Roman"/>
          <w:lang w:eastAsia="en-ZA"/>
        </w:rPr>
        <w:t>. Trout</w:t>
      </w:r>
      <w:r w:rsidR="0096461A" w:rsidRPr="00837161">
        <w:rPr>
          <w:rFonts w:eastAsia="Times New Roman"/>
          <w:lang w:eastAsia="en-ZA"/>
        </w:rPr>
        <w:t>s</w:t>
      </w:r>
      <w:r w:rsidRPr="00837161">
        <w:rPr>
          <w:rFonts w:eastAsia="Times New Roman"/>
          <w:lang w:eastAsia="en-ZA"/>
        </w:rPr>
        <w:t xml:space="preserve"> are a globally prized recreational fish, restocked into rivers every year in many countries outside their native range, however, this conflict has been analysed only in South Africa </w:t>
      </w:r>
      <w:r w:rsidRPr="00837161">
        <w:rPr>
          <w:rFonts w:eastAsia="Times New Roman"/>
          <w:lang w:eastAsia="en-ZA"/>
        </w:rPr>
        <w:fldChar w:fldCharType="begin"/>
      </w:r>
      <w:r w:rsidR="000F35EB">
        <w:rPr>
          <w:rFonts w:eastAsia="Times New Roman"/>
          <w:lang w:eastAsia="en-ZA"/>
        </w:rPr>
        <w:instrText xml:space="preserve"> ADDIN ZOTERO_ITEM CSL_CITATION {"citationID":"xigdSb5T","properties":{"formattedCitation":"(Marire, 2015)","plainCitation":"(Marire, 2015)","noteIndex":0},"citationItems":[{"id":30430,"uris":["http://zotero.org/groups/2352922/items/2I7KF5FB"],"itemData":{"id":30430,"type":"article-journal","abstract":"I analyze the evolution of trout recreational fisheries with the objective of identifying possible factors that might be driving current controversies in biodiversity policy reforms on the governance of alien and invasive species. Findings suggest that trout species have attained a cultural status, which makes it difficult to have them eradicated without facing stiff resistance from the trout-dependent sector. Results suggested that a process of leisure augmentation through environmental greed underpinned the introduction and continuance of spreading trout. With this process came also the development of a complex set of institutions that protected trout since they served an honorific role. My findings also suggest that the Ayresian thesis that all ceremonial systems are past-binding could be relaxed because ceremonial interests also envision alternative futures that can entrench and further protect ceremonial systems. To that end, these ceremonial interests facilitate path-breaking, but harmful institutional change. I extend Paul Dale Bush's concept of institutional spaces by assigning faces to the concept, resulting in expansion of possible institutional adjustment configurations. I find that this reorganization of Bush's concept tells the historical evolution of institutions of the leisure class in South Africa in a more dynamic way.","container-title":"Journal of Economic Issues","DOI":"10.1080/00213624.2015.1013878","ISSN":"0021-3624","issue":"1","note":"publisher: Routledge\n_eprint: https://doi.org/10.1080/00213624.2015.1013878","page":"47-70","source":"Taylor and Francis+NEJM","title":"The Political Economy of South African Trout Fisheries","URL":"https://doi.org/10.1080/00213624.2015.1013878","volume":"49","author":[{"family":"Marire","given":"Juniours"}],"accessed":{"date-parts":[["2021",8,22]]},"issued":{"date-parts":[["2015",1,2]]}},"label":"page"}],"schema":"https://github.com/citation-style-language/schema/raw/master/csl-citation.json"} </w:instrText>
      </w:r>
      <w:r w:rsidRPr="00837161">
        <w:rPr>
          <w:rFonts w:eastAsia="Times New Roman"/>
          <w:lang w:eastAsia="en-ZA"/>
        </w:rPr>
        <w:fldChar w:fldCharType="separate"/>
      </w:r>
      <w:r w:rsidR="00271B78" w:rsidRPr="00271B78">
        <w:t>(Marire, 2015)</w:t>
      </w:r>
      <w:r w:rsidRPr="00837161">
        <w:rPr>
          <w:rFonts w:eastAsia="Times New Roman"/>
          <w:lang w:eastAsia="en-ZA"/>
        </w:rPr>
        <w:fldChar w:fldCharType="end"/>
      </w:r>
      <w:r w:rsidRPr="00837161">
        <w:rPr>
          <w:rFonts w:eastAsia="Times New Roman"/>
          <w:lang w:eastAsia="en-ZA"/>
        </w:rPr>
        <w:t>.</w:t>
      </w:r>
    </w:p>
    <w:p w14:paraId="798F6568" w14:textId="63FB733F" w:rsidR="00383764" w:rsidRPr="00837161" w:rsidRDefault="00383764" w:rsidP="00C11DFA">
      <w:pPr>
        <w:spacing w:before="240" w:after="120" w:line="240" w:lineRule="auto"/>
      </w:pPr>
      <w:r w:rsidRPr="00837161">
        <w:t xml:space="preserve">Participation of different stakeholder communities in invasive alien species management can also lead to conflicts and perverse outcomes. Harvesting and recreational hunting are often considered as incentives for invasive alien vertebrate management, but whether their inclusion as part of management programmes improves or simply perpetuates the problem as the target becomes a resource, is strongly debated </w:t>
      </w:r>
      <w:r w:rsidRPr="00837161">
        <w:fldChar w:fldCharType="begin"/>
      </w:r>
      <w:r w:rsidR="000F35EB">
        <w:instrText xml:space="preserve"> ADDIN ZOTERO_ITEM CSL_CITATION {"citationID":"2YG6eoUq","properties":{"unsorted":true,"formattedCitation":"(C. Booth, 2010; Nu\\uc0\\u241{}ez et al., 2012; Gentle &amp; Pople, 2013; Zivin et al., 2000)","plainCitation":"(C. Booth, 2010; Nuñez et al., 2012; Gentle &amp; Pople, 2013; Zivin et al., 2000)","noteIndex":0},"citationItems":[{"id":31343,"uris":["http://zotero.org/groups/2352922/items/G9E4AC8U"],"itemData":{"id":31343,"type":"paper-conference","container-title":"Proceedings of the RSPCA Australia Scientific Seminar Convergence or conflict: animal welfare in wildlife management and conservation","event-place":"Australia","event-title":"RSPCA Australia Scientific Seminar","page":"5","publisher":"Invasive Species Council","publisher-place":"Australia","title":"Hunting &amp; feral animal control: conservation or con?","URL":"https://www.rspca.org.au/sites/default/files/website/The-facts/Science/Scientific-Seminar/2010/SciSem2010-Proceedings.pdf#page=27","author":[{"family":"Booth","given":"C"}],"editor":[{"family":"Tensen","given":"Melina"},{"family":"Jones","given":"Bidda"}],"accessed":{"date-parts":[["2021",11,18]]},"issued":{"date-parts":[["2010"]]}},"label":"page"},{"id":10791,"uris":["http://zotero.org/groups/2352922/items/HNKP5Q73"],"itemData":{"id":10791,"type":"article-journal","abstract":"Managing invasive species is a current challenge for biodiversity conservation. A recurring recent suggestion is that by harvesting nonnatives for human consumption, people can control invasive populations. Even though humans may be able to control or eradicate certain populations of nonnative species by harvesting them as food sources, several caveats should be considered before starting these programs. A prominent problem is that creating a market engenders pressure to maintain that problematic species. Also, if the target species becomes an economic resource, people may try to recreate that market in previously uninvaded regions. Using invasive species as an economic resource may trigger the local community to protect these harmful species, to facilitate their incorporation into the local culture, and can generate severe management problems. As with other management programs, managers must know if the harvest actually reduces the target population. Mortality could produce a reduction in the population size or growth, or it could be compensatory, in which case removal of the harvested individuals would not affect population growth. However, in addition to possible control, there may be several beneﬁts of this approach, including an opportunity for public outreach. Projects aiming at controlling invasives through human consumption should be carefully examined, as they may produce results opposite to those proposed.","container-title":"Conservation Letters","DOI":"10.1111/j.1755-263X.2012.00250.x","ISSN":"1755263X","issue":"5","language":"en","page":"334-341","source":"DOI.org (Crossref)","title":"Invasive Species: to eat or not to eat, that is the question","title-short":"Invasive Species","URL":"http://doi.wiley.com/10.1111/j.1755-263X.2012.00250.x","volume":"5","author":[{"family":"Nuñez","given":"Martin A."},{"family":"Kuebbing","given":"Sara"},{"family":"Dimarco","given":"Romina D."},{"family":"Simberloff","given":"Daniel"}],"accessed":{"date-parts":[["2021",6,15]]},"issued":{"date-parts":[["2012",10]]}},"label":"page"},{"id":31616,"uris":["http://zotero.org/groups/2352922/items/LKP9KQUB"],"itemData":{"id":31616,"type":"article-journal","abstract":"Context The feral pig (Sus scrofa) is a widespread pest species in Australia and its populations are commonly controlled to reduce damage to agriculture and the environment. Feral pigs are also a resource and harvested for commercial export as game meat. Although many other control techniques are used, commercial harvesting of feral pigs is often encouraged by land managers, because it carries little or no cost and is widely perceived to control populations. Aims To use feral-pig harvesting records, density data and simple harvest models to examine the effectiveness of commercial harvesting to reduce feral-pig populations. Methods The present study examined commercial harvest off-take on six sites (246–657 km2) in southern Queensland, and 20 large blocks (~2–6000 km2) throughout Queensland. The harvest off-take for each site was divided by monthly or average annual population size, determined by aerial survey, to calculate monthly and annual harvest rates. A simple harvest model assuming logistic population growth was used to determine the likely effectiveness of harvesting. Key results Commercial harvest rates were generally low (&lt;~20%) and are likely to provide only modest reductions in population size. Additionally, harvest rates capable of substantial reductions (&gt;50%) in long-term population size were isolated occurrences and not maintained across sites and years. High harvest rates were observed only at low densities. Although these harvest rates may be sufficiently high to hold populations at low densities, the population is likely to escape this entrapment following a flush in food supply or a reduction in harvest effort. Implications Our results demonstrated that, at current harvest rates, commercial harvesting is ineffective for the landscape-scale control of feral-pig populations. Unless harvest rates can be significantly increased, commercial harvesting should be used as a supplement to, rather than as a substitute for, other damage-control techniques.","container-title":"Wildlife Research","DOI":"10.1071/WR13100","ISSN":"1448-5494, 1448-5494","issue":"6","journalAbbreviation":"Wildl. Res.","language":"en","note":"publisher: CSIRO PUBLISHING","page":"459-469","source":"www.publish.csiro.au","title":"Effectiveness of commercial harvesting in controlling feral-pig populations","URL":"https://www.publish.csiro.au/wr/WR13100","volume":"40","author":[{"family":"Gentle","given":"Matthew"},{"family":"Pople","given":"Anthony"}],"accessed":{"date-parts":[["2021",11,14]]},"issued":{"date-parts":[["2013",10,11]]}},"label":"page"},{"id":52379,"uris":["http://zotero.org/groups/2352922/items/S8668B3S"],"itemData":{"id":52379,"type":"article-journal","abstract":"Many wildlife populations cause damage in agricultural systems but are also valued resources, either for their recreational value or for their existence and contribution to biological diversity. As a result, the nature of a given species—whether it is considered a “pest” or a “resource”—is often determined by the economic and regulatory environment in which the species exists. In this paper we develop a bioeconomic model of one such environment. We apply the model to the case of feral pigs in California rangeland and consider the potential for recreational hunting as a policy for population control.","container-title":"Journal of Environmental Economics and Management","DOI":"10.1006/jeem.1999.1101","ISSN":"0095-0696","issue":"2","journalAbbreviation":"Journal of Environmental Economics and Management","language":"en","page":"189-204","source":"ScienceDirect","title":"Managing a Multiple-Use Resource: The Case of Feral Pig Management in California Rangeland","title-short":"Managing a Multiple-Use Resource","URL":"https://www.sciencedirect.com/science/article/pii/S0095069699911014","volume":"39","author":[{"family":"Zivin","given":"Joshua"},{"family":"Hueth","given":"Brent M."},{"family":"Zilberman","given":"David"}],"accessed":{"date-parts":[["2022",5,30]]},"issued":{"date-parts":[["2000",3,1]]}}}],"schema":"https://github.com/citation-style-language/schema/raw/master/csl-citation.json"} </w:instrText>
      </w:r>
      <w:r w:rsidRPr="00837161">
        <w:fldChar w:fldCharType="separate"/>
      </w:r>
      <w:r w:rsidR="00271B78" w:rsidRPr="00271B78">
        <w:t>(C. Booth, 2010; Nuñez et al., 2012; Gentle &amp; Pople, 2013; Zivin et al., 2000)</w:t>
      </w:r>
      <w:r w:rsidRPr="00837161">
        <w:fldChar w:fldCharType="end"/>
      </w:r>
      <w:r w:rsidRPr="00FC199D">
        <w:rPr>
          <w:lang w:val="de-DE"/>
        </w:rPr>
        <w:t xml:space="preserve">. </w:t>
      </w:r>
      <w:r w:rsidRPr="00837161">
        <w:t xml:space="preserve">Australia is the world’s largest exporter of goat meat </w:t>
      </w:r>
      <w:r w:rsidR="00A63FDF" w:rsidRPr="00837161">
        <w:fldChar w:fldCharType="begin"/>
      </w:r>
      <w:r w:rsidR="000F35EB">
        <w:instrText xml:space="preserve"> ADDIN ZOTERO_ITEM CSL_CITATION {"citationID":"8bOFVjvk","properties":{"formattedCitation":"(Meat &amp; Livestock Australia, 2021)","plainCitation":"(Meat &amp; Livestock Australia, 2021)","noteIndex":0},"citationItems":[{"id":54344,"uris":["http://zotero.org/groups/2352922/items/PM5AGCV7"],"itemData":{"id":54344,"type":"webpage","container-title":"MLA Corporate","language":"en","title":"Australia still world's top goatmeat exporter | Meat &amp; Livestock Australia","URL":"https://www.mla.com.au/prices-markets/market-news/2021/australia-remains-top-goatmeat-exporter-despite-decline/","author":[{"literal":"Meat &amp; Livestock Australia"}],"accessed":{"date-parts":[["2023",2,2]]},"issued":{"date-parts":[["2021"]]}}}],"schema":"https://github.com/citation-style-language/schema/raw/master/csl-citation.json"} </w:instrText>
      </w:r>
      <w:r w:rsidR="00A63FDF" w:rsidRPr="00837161">
        <w:fldChar w:fldCharType="separate"/>
      </w:r>
      <w:r w:rsidR="00271B78" w:rsidRPr="00271B78">
        <w:t>(Meat &amp; Livestock Australia, 2021)</w:t>
      </w:r>
      <w:r w:rsidR="00A63FDF" w:rsidRPr="00837161">
        <w:fldChar w:fldCharType="end"/>
      </w:r>
      <w:r w:rsidR="00A63FDF" w:rsidRPr="00837161">
        <w:t xml:space="preserve"> </w:t>
      </w:r>
      <w:r w:rsidRPr="00837161">
        <w:t xml:space="preserve">based on harvesting feral goats as an economic safety net for rural communities in times of drought. This is a significant impediment to widespread management of the environmental impacts of feral goats </w:t>
      </w:r>
      <w:r w:rsidRPr="00837161">
        <w:fldChar w:fldCharType="begin"/>
      </w:r>
      <w:r w:rsidR="000F35EB">
        <w:instrText xml:space="preserve"> ADDIN ZOTERO_ITEM CSL_CITATION {"citationID":"V8R8sG7V","properties":{"formattedCitation":"(D. M. Forsyth et al., 2009)","plainCitation":"(D. M. Forsyth et al., 2009)","noteIndex":0},"citationItems":[{"id":31618,"uris":["http://zotero.org/groups/2352922/items/ZVNWAJQT"],"itemData":{"id":31618,"type":"article-journal","abstract":"1 Many species of wildlife are harvested for sale but there are few time-series analyses of the factors determining the number of animals harvested. Economic theory predicts that price paid per animal is likely to be an important determinant of the harvest, but prices paid for alternative activities could reduce the harvest, and environmental factors such as rainfall could either constrain or enhance the harvest. 2 About 1 million feral goats Capra hircus L. are commercially harvested annually in the semi-arid rangelands of Australia, and there is much interest in how the harvest can be maximized so that the environmental impacts of the goats are minimized. 3 We developed 27 candidate models to explain monthly variation in the numbers of feral goats commercially harvested in Western Australia during July 1988 to June 2003. We fitted linear AR(1) models to the first 89 months of data and used Akaike's Information Criterion corrected for small sample size to identify the model(s) with substantial support. We then evaluated how much variation in the latter 88 months of the time series each model explained. 4 Almost 2·9 million feral goats were harvested in the study period. The two models with substantial support accounted for 70·5% and 70·6% of variation in the number of feral goats harvested during the first 89 months and 64·6% and 66·7% of variation in the subsequent 88 months. The models both included month of harvest and negative effects of rainfall in both the month of harvest and the previous month. One of the models also included a strong positive effect of the Australian Consumer Price Index-adjusted average price paid per feral goat on the number of feral goats harvested, and this model had the most support when fitted to the entire time series. 5 Synthesis and applications. This is the first study to demonstrate how both an environmental factor (rainfall) and an economic factor (average price paid per animal) can influence the size of a commercial wildlife harvest. Whilst managers can seldom modify environmental factors, our results suggest that the size of a wildlife harvest can be manipulated by altering the economics of the harvest.","container-title":"Journal of Applied Ecology","DOI":"10.1111/j.1365-2664.2008.01577.x","ISSN":"1365-2664","issue":"1","language":"en","note":"_eprint: https://onlinelibrary.wiley.com/doi/pdf/10.1111/j.1365-2664.2008.01577.x","page":"101-109","source":"Wiley Online Library","title":"Environmental and economic factors determine the number of feral goats commercially harvested in Western Australia","URL":"https://onlinelibrary.wiley.com/doi/abs/10.1111/j.1365-2664.2008.01577.x","volume":"46","author":[{"family":"Forsyth","given":"David M."},{"family":"Parkes","given":"John P."},{"family":"Woolnough","given":"Andrew P."},{"family":"Pickles","given":"Greg"},{"family":"Collins","given":"Marnie"},{"family":"Gordon","given":"Ian"}],"accessed":{"date-parts":[["2021",11,14]]},"issued":{"date-parts":[["2009"]]}},"label":"page"}],"schema":"https://github.com/citation-style-language/schema/raw/master/csl-citation.json"} </w:instrText>
      </w:r>
      <w:r w:rsidRPr="00837161">
        <w:fldChar w:fldCharType="separate"/>
      </w:r>
      <w:r w:rsidR="00271B78" w:rsidRPr="00271B78">
        <w:t>(D. M. Forsyth et al., 2009)</w:t>
      </w:r>
      <w:r w:rsidRPr="00837161">
        <w:fldChar w:fldCharType="end"/>
      </w:r>
      <w:r w:rsidRPr="00837161">
        <w:t>.</w:t>
      </w:r>
    </w:p>
    <w:p w14:paraId="0D3233A8" w14:textId="63BD1DBE" w:rsidR="00383764" w:rsidRPr="00837161" w:rsidRDefault="00383764" w:rsidP="00C11DFA">
      <w:pPr>
        <w:spacing w:before="240" w:after="120" w:line="240" w:lineRule="auto"/>
        <w:rPr>
          <w:b/>
          <w:bCs/>
          <w:spacing w:val="-10"/>
          <w:kern w:val="28"/>
        </w:rPr>
      </w:pPr>
      <w:r w:rsidRPr="00837161">
        <w:rPr>
          <w:lang w:eastAsia="en-ZA"/>
        </w:rPr>
        <w:t>In the horticultural sector, about 75</w:t>
      </w:r>
      <w:r w:rsidR="006215F0" w:rsidRPr="00837161">
        <w:t xml:space="preserve"> per cent</w:t>
      </w:r>
      <w:r w:rsidRPr="00837161">
        <w:rPr>
          <w:lang w:eastAsia="en-ZA"/>
        </w:rPr>
        <w:t xml:space="preserve"> of the global established alien flora are grown in domestic gardens </w:t>
      </w:r>
      <w:r w:rsidRPr="00837161">
        <w:rPr>
          <w:lang w:eastAsia="en-ZA"/>
        </w:rPr>
        <w:fldChar w:fldCharType="begin"/>
      </w:r>
      <w:r w:rsidR="000F35EB">
        <w:rPr>
          <w:lang w:eastAsia="en-ZA"/>
        </w:rPr>
        <w:instrText xml:space="preserve"> ADDIN ZOTERO_ITEM CSL_CITATION {"citationID":"nyuU7byP","properties":{"formattedCitation":"(van Kleunen et al., 2018)","plainCitation":"(van Kleunen et al., 2018)","noteIndex":0},"citationItems":[{"id":32866,"uris":["http://zotero.org/groups/2352922/items/ZBAA6AZ6"],"itemData":{"id":32866,"type":"article-journal","abstract":"The number of alien plants escaping from cultivation into native ecosystems is increasing steadily. We provide an overview of the historical, contemporary and potential future roles of ornamental horticulture in plant invasions. We show that currently at least 75% and 93% of the global naturalised alien ﬂora is grown in domestic and botanical gardens, respectively. Species grown in gardens also have a larger naturalised range than those that are not. After the Middle Ages, particularly in the 18th and 19th centuries, a global trade network in plants emerged. Since then, cultivated alien species also started to appear in the wild more frequently than non-cultivated aliens globally, particularly during the 19th century. Horticulture still plays a prominent role in current plant introduction, and the monetary value of live-plant imports in different parts of the world is steadily increasing. Historically, botanical gardens – an important component of horticulture – played a major role in displaying, cultivating and distributing new plant discoveries. While the role of botanical gardens in the horticultural supply chain has declined, they are still a signiﬁcant link, with one-third of institutions involved in retail-plant sales and horticultural research. However, botanical gardens have also become more dependent on commercial nurseries as plant sources, particularly in North America. Plants selected for ornamental purposes are not a random selection of the global ﬂora, and some of the plant characteristics promoted through horticulture, such as fast growth, also promote invasion. Efforts to breed non-invasive plant cultivars are still rare. Socio-economical, technological, and environmental changes will lead to novel patterns of plant introductions and invasion opportunities for the species that are already cultivated. We describe the role that horticulture could play in mediating these changes. We identify current research challenges, and call for more research efforts on the past and current role of horticulture in plant invasions. This is required to develop science-based regulatory frameworks to prevent further plant invasions.","container-title":"Biological Reviews","DOI":"10.1111/brv.12402","ISSN":"14647931","issue":"3","journalAbbreviation":"Biol Rev","language":"en","page":"1421-1437","source":"DOI.org (Crossref)","title":"The changing role of ornamental horticulture in alien plant invasions","title-short":"The changing role of ornamental horticulture in alien plant invasions","URL":"https://onlinelibrary.wiley.com/doi/10.1111/brv.12402","volume":"93","author":[{"family":"Kleunen","given":"Mark","non-dropping-particle":"van"},{"family":"Essl","given":"Franz"},{"family":"Pergl","given":"Jan"},{"family":"Brundu","given":"Giuseppe"},{"family":"Carboni","given":"Marta"},{"family":"Dullinger","given":"Stefan"},{"family":"Early","given":"Regan"},{"family":"González-Moreno","given":"Pablo"},{"family":"Groom","given":"Quentin J."},{"family":"Hulme","given":"Philip E."},{"family":"Kueffer","given":"Christoph"},{"family":"Kühn","given":"Ingolf"},{"family":"Máguas","given":"Cristina"},{"family":"Maurel","given":"Noëlie"},{"family":"Novoa","given":"Ana"},{"family":"Parepa","given":"Madalin"},{"family":"Pyšek","given":"Petr"},{"family":"Seebens","given":"Hanno"},{"family":"Tanner","given":"Rob"},{"family":"Touza","given":"Julia"},{"family":"Verbrugge","given":"Laura"},{"family":"Weber","given":"Ewald"},{"family":"Dawson","given":"Wayne"},{"family":"Kreft","given":"Holger"},{"family":"Weigelt","given":"Patrick"},{"family":"Winter","given":"Marten"},{"family":"Klonner","given":"Günther"},{"family":"Talluto","given":"Matthew V."},{"family":"Dehnen-Schmutz","given":"Katharina"}],"accessed":{"date-parts":[["2021",7,27]]},"issued":{"date-parts":[["2018",8]]}},"label":"page"}],"schema":"https://github.com/citation-style-language/schema/raw/master/csl-citation.json"} </w:instrText>
      </w:r>
      <w:r w:rsidRPr="00837161">
        <w:rPr>
          <w:lang w:eastAsia="en-ZA"/>
        </w:rPr>
        <w:fldChar w:fldCharType="separate"/>
      </w:r>
      <w:r w:rsidR="00271B78" w:rsidRPr="00271B78">
        <w:t>(van Kleunen et al., 2018)</w:t>
      </w:r>
      <w:r w:rsidRPr="00837161">
        <w:rPr>
          <w:lang w:eastAsia="en-ZA"/>
        </w:rPr>
        <w:fldChar w:fldCharType="end"/>
      </w:r>
      <w:r w:rsidRPr="00837161">
        <w:rPr>
          <w:lang w:eastAsia="en-ZA"/>
        </w:rPr>
        <w:t xml:space="preserve">, which presents a particular challenge when seeking to gain public support for their management. Generally, when supported by information campaigns </w:t>
      </w:r>
      <w:r w:rsidR="006F7501">
        <w:rPr>
          <w:lang w:eastAsia="en-ZA"/>
        </w:rPr>
        <w:t xml:space="preserve">and </w:t>
      </w:r>
      <w:r w:rsidR="006F7501" w:rsidRPr="00837161">
        <w:rPr>
          <w:lang w:eastAsia="en-ZA"/>
        </w:rPr>
        <w:t>when the impacts after escaping the garden fence are realized</w:t>
      </w:r>
      <w:r w:rsidR="006F7501">
        <w:rPr>
          <w:lang w:eastAsia="en-ZA"/>
        </w:rPr>
        <w:t>,</w:t>
      </w:r>
      <w:r w:rsidR="006F7501" w:rsidRPr="00837161">
        <w:rPr>
          <w:lang w:eastAsia="en-ZA"/>
        </w:rPr>
        <w:t xml:space="preserve"> </w:t>
      </w:r>
      <w:r w:rsidRPr="00837161">
        <w:rPr>
          <w:lang w:eastAsia="en-ZA"/>
        </w:rPr>
        <w:t>the public understands the need to avoid some plant species in their gardens</w:t>
      </w:r>
      <w:r w:rsidR="00C16EEB">
        <w:rPr>
          <w:lang w:eastAsia="en-ZA"/>
        </w:rPr>
        <w:t xml:space="preserve"> and</w:t>
      </w:r>
      <w:r w:rsidRPr="00837161">
        <w:rPr>
          <w:lang w:eastAsia="en-ZA"/>
        </w:rPr>
        <w:t xml:space="preserve"> nurseries voluntarily agree not to stock them </w:t>
      </w:r>
      <w:r w:rsidRPr="00837161">
        <w:rPr>
          <w:lang w:eastAsia="en-ZA"/>
        </w:rPr>
        <w:fldChar w:fldCharType="begin"/>
      </w:r>
      <w:r w:rsidR="000F35EB">
        <w:rPr>
          <w:lang w:eastAsia="en-ZA"/>
        </w:rPr>
        <w:instrText xml:space="preserve"> ADDIN ZOTERO_ITEM CSL_CITATION {"citationID":"4Lt02yzz","properties":{"formattedCitation":"(Burt et al., 2007)","plainCitation":"(Burt et al., 2007)","noteIndex":0},"citationItems":[{"id":31404,"uris":["http://zotero.org/groups/2352922/items/AR2YGWJH"],"itemData":{"id":31404,"type":"article-journal","abstract":"Although prevention is the most cost-effective way to avoid the enormous expenses associated with plant invasions, invasive plants continue to be imported as trade commodities for horticultural use. With very little government regulation of horticultural imports of invasive plants, efforts have turned toward fostering voluntary initiatives to encourage self-regulation by the horticulture trade. Our study takes the first step toward evaluating the potential success of these voluntary initiatives. We conducted a survey of nursery professionals to gauge their perceptions of invasive species, the role of the horticulture trade in invasive plant introductions, and their participation-potential and actual-in preventive measures outlined in the St Louis Voluntary Codes of Conduct for nursery professionals. We found nursery professionals to be highly aware of invasive plants and to accept responsibility as a trade for horticultural introductions. Although only 7% of respondents had heard of the St Louis Voluntary Codes of Conduct, the majority (57%) reported having participated in at least two of seven preventive measures, and most (78%) reported willingness to engage in the majority of preventive measures. We found that several factors significantly predict increased participation in preventive measures, particularly awareness of invasive plants and involvement in trade associations. We also identified incentives and obstacles to participating in preventive behaviors, including \"concern for the environment\" and \"lack of information,\" respectively. Our results suggest that participation in voluntary initiatives will improve through increased outreach, and we provide specific recommendations for improving participation in voluntary programs in the horticulture trade. © 2007 Springer Science+Business Media, Inc.","container-title":"Biological Invasions","DOI":"10.1007/s10530-007-9090-4","ISSN":"1387-3547, 1573-1464","issue":"8","journalAbbreviation":"Biol Invasions","language":"en","page":"909-923","source":"DOI.org (Crossref)","title":"Preventing horticultural introductions of invasive plants: potential efficacy of voluntary initiatives","title-short":"Preventing horticultural introductions of invasive plants","URL":"http://link.springer.com/10.1007/s10530-007-9090-4","volume":"9","author":[{"family":"Burt","given":"Jennifer W."},{"family":"Muir","given":"Adrianna A."},{"family":"Piovia-Scott","given":"Jonah"},{"family":"Veblen","given":"Kari E."},{"family":"Chang","given":"Andy L."},{"family":"Grossman","given":"Judah D."},{"family":"Weiskel","given":"Heidi W."}],"accessed":{"date-parts":[["2020",2,22]]},"issued":{"date-parts":[["2007",10,18]]}}}],"schema":"https://github.com/citation-style-language/schema/raw/master/csl-citation.json"} </w:instrText>
      </w:r>
      <w:r w:rsidRPr="00837161">
        <w:rPr>
          <w:lang w:eastAsia="en-ZA"/>
        </w:rPr>
        <w:fldChar w:fldCharType="separate"/>
      </w:r>
      <w:r w:rsidR="00271B78" w:rsidRPr="00271B78">
        <w:t>(Burt et al., 2007)</w:t>
      </w:r>
      <w:r w:rsidRPr="00837161">
        <w:rPr>
          <w:lang w:eastAsia="en-ZA"/>
        </w:rPr>
        <w:fldChar w:fldCharType="end"/>
      </w:r>
      <w:r w:rsidRPr="00837161">
        <w:rPr>
          <w:lang w:eastAsia="en-ZA"/>
        </w:rPr>
        <w:t xml:space="preserve">. Another approach is to encourage the benefits of gardens </w:t>
      </w:r>
      <w:r w:rsidR="006F7501">
        <w:rPr>
          <w:lang w:eastAsia="en-ZA"/>
        </w:rPr>
        <w:t>with</w:t>
      </w:r>
      <w:r w:rsidR="006F7501" w:rsidRPr="00837161">
        <w:rPr>
          <w:lang w:eastAsia="en-ZA"/>
        </w:rPr>
        <w:t xml:space="preserve"> </w:t>
      </w:r>
      <w:r w:rsidRPr="00837161">
        <w:rPr>
          <w:lang w:eastAsia="en-ZA"/>
        </w:rPr>
        <w:t xml:space="preserve">native plants </w:t>
      </w:r>
      <w:r w:rsidRPr="00837161">
        <w:rPr>
          <w:lang w:eastAsia="en-ZA"/>
        </w:rPr>
        <w:fldChar w:fldCharType="begin"/>
      </w:r>
      <w:r w:rsidR="000F35EB">
        <w:rPr>
          <w:lang w:eastAsia="en-ZA"/>
        </w:rPr>
        <w:instrText xml:space="preserve"> ADDIN ZOTERO_ITEM CSL_CITATION {"citationID":"GIqj8zEo","properties":{"formattedCitation":"(Shaw et al., 2017)","plainCitation":"(Shaw et al., 2017)","noteIndex":0},"citationItems":[{"id":30063,"uris":["http://zotero.org/groups/2352922/items/CGJWPYYC"],"itemData":{"id":30063,"type":"article-journal","abstract":"The negative impacts of urbanization on biodiversity are well known, and the use of native vegetation in private gardens and streetscapes have been shown to improve the species richness and abundance of native wildlife, thereby improving the biodiversity of the local area. This study poses the question of whether the general public is interested in planting native species, to determine whether a cultural shift in garden planting style is feasible. A total of 3707 questionnaires relating to nature in the backyard were delivered to residents in metropolitan Melbourne, Australia with 417 responses received (11.2% response rate). The results indicate that the public perception of the aesthetic appeal of native gardens is fairly positive and that Melbournians have considerable interest in planting native species in residential gardens and that a large number would like wildlife in their yards. The paper concludes that there is scope to encourage the use of native plants in residential landscaping.","container-title":"Landscape and Urban Planning","DOI":"10.1016/j.landurbplan.2016.07.009","ISSN":"0169-2046","journalAbbreviation":"Landscape and Urban Planning","language":"en","page":"322-330","source":"ScienceDirect","title":"Australian native gardens: Is there scope for a community shift?","title-short":"Australian native gardens","URL":"https://www.sciencedirect.com/science/article/pii/S0169204616301335","volume":"157","author":[{"family":"Shaw","given":"A."},{"family":"Miller","given":"K. K"},{"family":"Wescott","given":"G."}],"accessed":{"date-parts":[["2021",8,22]]},"issued":{"date-parts":[["2017",1,1]]}},"label":"page"}],"schema":"https://github.com/citation-style-language/schema/raw/master/csl-citation.json"} </w:instrText>
      </w:r>
      <w:r w:rsidRPr="00837161">
        <w:rPr>
          <w:lang w:eastAsia="en-ZA"/>
        </w:rPr>
        <w:fldChar w:fldCharType="separate"/>
      </w:r>
      <w:r w:rsidR="00271B78" w:rsidRPr="00271B78">
        <w:t>(Shaw et al., 2017)</w:t>
      </w:r>
      <w:r w:rsidRPr="00837161">
        <w:rPr>
          <w:lang w:eastAsia="en-ZA"/>
        </w:rPr>
        <w:fldChar w:fldCharType="end"/>
      </w:r>
      <w:r w:rsidRPr="00837161">
        <w:rPr>
          <w:lang w:eastAsia="en-ZA"/>
        </w:rPr>
        <w:t xml:space="preserve">. Codes of conduct and agreed prohibited lists have been developed between government agencies responsible for managing invasive alien plants and the nursery trade to address these conflicts </w:t>
      </w:r>
      <w:r w:rsidRPr="00837161">
        <w:rPr>
          <w:lang w:eastAsia="en-ZA"/>
        </w:rPr>
        <w:fldChar w:fldCharType="begin"/>
      </w:r>
      <w:r w:rsidR="000F35EB">
        <w:rPr>
          <w:lang w:eastAsia="en-ZA"/>
        </w:rPr>
        <w:instrText xml:space="preserve"> ADDIN ZOTERO_ITEM CSL_CITATION {"citationID":"QEe352mO","properties":{"formattedCitation":"(Atkinson &amp; Sheppard, 2000)","plainCitation":"(Atkinson &amp; Sheppard, 2000)","noteIndex":0},"citationItems":[{"id":31341,"uris":["http://zotero.org/groups/2352922/items/EGT7QGN8"],"itemData":{"id":31341,"type":"article-journal","abstract":"Nursery plants that come under the heading of ‘brooms’ are estimated to be currently worth about $1.5 million to the industry. Their taxonomic origins are often complex and uncertain, however, Cytisus scoparius, is the most common parent species and this and some other naturalized species are banned from sale by selected states. While the continued sales of some broom varieties closely related to weedy species may pose a threat to the environment through the opportunity of bringing in greater genetic diversity, so the activities of biological control programs against brooms pose a threat to horticultural brooms, and may lead to greater use of chemicals by gardeners. It will be important that decisions taken to manage weedy brooms, that may have an impact on the nursery industry, are done so in direct consultation with the industry. This paper discusses these issues.","container-title":"Plant Protection Quarterly","issue":"4","language":"en","page":"176-178","source":"Zotero","title":"Brooms as part of the Australian nursery industry","URL":"https://caws.org.nz/PPQ131415/PPQ%2015-4%20pp176-178%20Atkinson.pdf","volume":"15","author":[{"family":"Atkinson","given":"Ian"},{"family":"Sheppard","given":"Andy"}],"issued":{"date-parts":[["2000"]]}},"label":"page"}],"schema":"https://github.com/citation-style-language/schema/raw/master/csl-citation.json"} </w:instrText>
      </w:r>
      <w:r w:rsidRPr="00837161">
        <w:rPr>
          <w:lang w:eastAsia="en-ZA"/>
        </w:rPr>
        <w:fldChar w:fldCharType="separate"/>
      </w:r>
      <w:r w:rsidR="00271B78" w:rsidRPr="00271B78">
        <w:t>(Atkinson &amp; Sheppard, 2000)</w:t>
      </w:r>
      <w:r w:rsidRPr="00837161">
        <w:rPr>
          <w:lang w:eastAsia="en-ZA"/>
        </w:rPr>
        <w:fldChar w:fldCharType="end"/>
      </w:r>
      <w:r w:rsidRPr="00837161">
        <w:rPr>
          <w:lang w:eastAsia="en-ZA"/>
        </w:rPr>
        <w:t xml:space="preserve">. These include the horticultural industry, conservation and environmental agencies and the plant protection sectors (including regulatory bodies) and can improve management of invasive alien plants without impacting on an important economic industry </w:t>
      </w:r>
      <w:r w:rsidRPr="00837161">
        <w:rPr>
          <w:b/>
          <w:bCs/>
          <w:spacing w:val="-10"/>
          <w:kern w:val="28"/>
        </w:rPr>
        <w:fldChar w:fldCharType="begin"/>
      </w:r>
      <w:r w:rsidR="00E25D54">
        <w:rPr>
          <w:b/>
          <w:bCs/>
          <w:spacing w:val="-10"/>
          <w:kern w:val="28"/>
        </w:rPr>
        <w:instrText xml:space="preserve"> ADDIN ZOTERO_ITEM CSL_CITATION {"citationID":"6Ts1H4s2","properties":{"formattedCitation":"(Heywood &amp; Brunel, 2011)","plainCitation":"(Heywood &amp; Brunel, 2011)","noteIndex":0},"citationItems":[{"id":30090,"uris":["http://zotero.org/groups/2352922/items/VXAL7C9J"],"itemData":{"id":30090,"type":"article-journal","container-title":"Italian Botanist","page":"3-47","title":"Code of conduct on horticulture and invasive alien plants","title-short":"Florovivaismo, verde ornamentale e specie esotiche invasive: Codice di comportamento","URL":"https://www.scopus.com/inward/record.uri?eid=2-s2.0-85050005463&amp;partnerID=40&amp;md5=e4dc4ea7c9bf290cf2817c4520fada4d","volume":"44","author":[{"family":"Heywood","given":"V."},{"family":"Brunel","given":"S."}],"issued":{"date-parts":[["2011"]]}},"label":"page"}],"schema":"https://github.com/citation-style-language/schema/raw/master/csl-citation.json"} </w:instrText>
      </w:r>
      <w:r w:rsidRPr="00837161">
        <w:rPr>
          <w:b/>
          <w:bCs/>
          <w:spacing w:val="-10"/>
          <w:kern w:val="28"/>
        </w:rPr>
        <w:fldChar w:fldCharType="separate"/>
      </w:r>
      <w:r w:rsidR="00271B78" w:rsidRPr="00271B78">
        <w:t>(Heywood &amp; Brunel, 2011)</w:t>
      </w:r>
      <w:r w:rsidRPr="00837161">
        <w:rPr>
          <w:b/>
          <w:bCs/>
          <w:spacing w:val="-10"/>
          <w:kern w:val="28"/>
        </w:rPr>
        <w:fldChar w:fldCharType="end"/>
      </w:r>
      <w:r w:rsidRPr="00837161">
        <w:rPr>
          <w:b/>
          <w:bCs/>
          <w:spacing w:val="-10"/>
          <w:kern w:val="28"/>
        </w:rPr>
        <w:t>.</w:t>
      </w:r>
      <w:r w:rsidRPr="00837161">
        <w:rPr>
          <w:lang w:eastAsia="en-ZA"/>
        </w:rPr>
        <w:t xml:space="preserve"> </w:t>
      </w:r>
    </w:p>
    <w:p w14:paraId="59F464A9" w14:textId="311B4717" w:rsidR="00383764" w:rsidRPr="00837161" w:rsidRDefault="00383764" w:rsidP="00C11DFA">
      <w:pPr>
        <w:spacing w:before="240" w:after="120" w:line="240" w:lineRule="auto"/>
        <w:rPr>
          <w:rFonts w:eastAsia="Times New Roman"/>
          <w:lang w:eastAsia="en-ZA"/>
        </w:rPr>
      </w:pPr>
      <w:r w:rsidRPr="00837161">
        <w:rPr>
          <w:lang w:eastAsia="en-ZA"/>
        </w:rPr>
        <w:t xml:space="preserve">Some </w:t>
      </w:r>
      <w:r w:rsidR="00BD72A0" w:rsidRPr="00837161">
        <w:rPr>
          <w:lang w:eastAsia="en-ZA"/>
        </w:rPr>
        <w:t xml:space="preserve">alien </w:t>
      </w:r>
      <w:r w:rsidRPr="00837161">
        <w:rPr>
          <w:lang w:eastAsia="en-ZA"/>
        </w:rPr>
        <w:t xml:space="preserve">plant species with high economic value become invasive in other contexts, for example for forage production or plantation forestry </w:t>
      </w:r>
      <w:r w:rsidRPr="00837161">
        <w:rPr>
          <w:lang w:eastAsia="en-ZA"/>
        </w:rPr>
        <w:fldChar w:fldCharType="begin"/>
      </w:r>
      <w:r w:rsidR="000F35EB">
        <w:rPr>
          <w:lang w:eastAsia="en-ZA"/>
        </w:rPr>
        <w:instrText xml:space="preserve"> ADDIN ZOTERO_ITEM CSL_CITATION {"citationID":"3pnHnGFM","properties":{"formattedCitation":"(van Wilgen &amp; Richardson, 2014)","plainCitation":"(van Wilgen &amp; Richardson, 2014)","noteIndex":0},"citationItems":[{"id":30479,"uris":["http://zotero.org/groups/2352922/items/8352MQYK"],"itemData":{"id":30479,"type":"article-journal","abstract":"Over 430 alien tree species worldwide are known to be invasive, and the list is growing as more tree species are moved around the world and become established in novel environments. Alien trees can simultaneously bring many benefits and cause substantial environmental harm, very often leading to conflicts over how they should be managed. The impacts grow over time as invasions spread, and societal perceptions of the value of alien trees also change as understanding grows and as values shift. This leads to a dynamic environment in which trade-offs are required to maximise benefits and minimise harm. The management of alien tree populations needs to be strategic and adaptive, combining all possible management interventions to promote the sustainable delivery of optimal outcomes. We use examples, mainly from South Africa (where issues relating to invasive alien trees introduced for forestry have received most attention), to argue for holistic and collaborative approaches to alien tree management. Such approaches need to include bold steps, such as phasing out unsustainable plantation forestry that is based on highly invasive species, and in which the costs are externalised. Furthermore, it would be advisable to impose much stricter controls on the introduction of alien trees to new environments, so that problems that would arise from subsequent invasions can be avoided.","container-title":"Biological Invasions","DOI":"10.1007/s10530-013-0615-8","ISSN":"1573-1464","issue":"3","page":"721–734","title":"Challenges and trade-offs in the management of invasive alien trees","URL":"https://doi.org/10.1007/s10530-013-0615-8","volume":"16","author":[{"family":"Wilgen","given":"Brian W.","non-dropping-particle":"van"},{"family":"Richardson","given":"David M."}],"issued":{"date-parts":[["2014",3]]}},"label":"page"}],"schema":"https://github.com/citation-style-language/schema/raw/master/csl-citation.json"} </w:instrText>
      </w:r>
      <w:r w:rsidRPr="00837161">
        <w:rPr>
          <w:lang w:eastAsia="en-ZA"/>
        </w:rPr>
        <w:fldChar w:fldCharType="separate"/>
      </w:r>
      <w:r w:rsidR="00271B78" w:rsidRPr="00271B78">
        <w:t>(van Wilgen &amp; Richardson, 2014)</w:t>
      </w:r>
      <w:r w:rsidRPr="00837161">
        <w:rPr>
          <w:lang w:eastAsia="en-ZA"/>
        </w:rPr>
        <w:fldChar w:fldCharType="end"/>
      </w:r>
      <w:r w:rsidRPr="00837161">
        <w:rPr>
          <w:lang w:eastAsia="en-ZA"/>
        </w:rPr>
        <w:t xml:space="preserve">. </w:t>
      </w:r>
      <w:r w:rsidR="00EC3D6A" w:rsidRPr="00837161">
        <w:rPr>
          <w:lang w:eastAsia="en-ZA"/>
        </w:rPr>
        <w:t xml:space="preserve">Scasta et al. </w:t>
      </w:r>
      <w:r w:rsidRPr="00837161">
        <w:fldChar w:fldCharType="begin"/>
      </w:r>
      <w:r w:rsidR="000F35EB">
        <w:instrText xml:space="preserve"> ADDIN ZOTERO_ITEM CSL_CITATION {"citationID":"pQfA9Xjk","properties":{"formattedCitation":"(2015)","plainCitation":"(2015)","noteIndex":0},"citationItems":[{"id":17231,"uris":["http://zotero.org/groups/2352922/items/MFUK4CNL"],"itemData":{"id":17231,"type":"article-journal","abstract":"Abstract\n            \n              Introducing exotic forages in the attempt to enhance livestock and wildlife forage has been practiced widely for over a century. These forage species are selected for traits conferring persistence under stress, potentially yielding invaders that transform native plant communities. Using standardized systematic review guidelines and meta-analytical techniques we quantified effects of exotic forage invasion on change of native plant community structure, and compared the magnitude and direction of change across exotic forage species, plant functional groups, and structure of plant communities. Our study of 13 exotic forage species in North America (six C\n              4\n              grasses, three C\n              3\n              grasses, and four legumes) yielded 35 papers with quantitative data from 64 case studies. Nine of the 13 species met our inclusion criteria for meta-analysis. The overall effect of exotic forage invasion on native plant communities was negative (\n              Ē̄\n              = −0.74; 95% confidence interval [CI]: −0.29 to −0.25). The effect size was most negative for two C\n              4\n              grasses, Lehmann lovegrass and Old World bluestems. A negative effect was also expressed by C\n              3\n              and C\n              4\n              grass functional groups, and these effects were stronger than for legumes. Effect size differed among measures of plant community structure, with the greatest negative effect on native plant biomass and the least negative effect on species evenness. Weighted fail-safe numbers indicated publication bias was not an issue. Exotic forage species are important for agricultural production but may threaten complex multi-functioning landscapes and should be considered as a subset of potentially invasive exotic species. Characteristics making exotic forages different from other exotic plants hinge on pathways of selection and dispersion: selection is based on persistence mechanisms similar to characteristics of invasive plants; dispersion by humans is intentional across expansive geographic regions. Exotic forages present a complex socio-ecological problem exacerbated by disconnected scientific disciplines, competing interests between policy and science, and organized efforts to increase food production.","container-title":"Invasive Plant Science and Management","DOI":"10.1614/IPSM-D-14-00076.1","ISSN":"1939-7291, 1939-747X","issue":"3","journalAbbreviation":"Invasive plant sci. manag.","language":"en","page":"292-306","source":"DOI.org (Crossref)","title":"Meta-Analysis of Exotic Forages as Invasive Plants in Complex Multi-Functioning Landscapes","URL":"https://www.cambridge.org/core/product/identifier/S1939729100004508/type/journal_article","volume":"8","author":[{"family":"Scasta","given":"John Derek"},{"family":"Engle","given":"David M."},{"family":"Fuhlendorf","given":"Samuel D."},{"family":"Redfearn","given":"Daren D."},{"family":"Bidwell","given":"Terrance G."}],"accessed":{"date-parts":[["2019",10,7]]},"issued":{"date-parts":[["2015",9]]}},"label":"page","suppress-author":true}],"schema":"https://github.com/citation-style-language/schema/raw/master/csl-citation.json"} </w:instrText>
      </w:r>
      <w:r w:rsidRPr="00837161">
        <w:fldChar w:fldCharType="separate"/>
      </w:r>
      <w:r w:rsidR="00271B78" w:rsidRPr="00271B78">
        <w:t>(2015)</w:t>
      </w:r>
      <w:r w:rsidRPr="00837161">
        <w:fldChar w:fldCharType="end"/>
      </w:r>
      <w:r w:rsidRPr="00837161">
        <w:rPr>
          <w:color w:val="000000" w:themeColor="text1"/>
        </w:rPr>
        <w:t xml:space="preserve"> documented that the cultivation of </w:t>
      </w:r>
      <w:r w:rsidRPr="00837161">
        <w:rPr>
          <w:i/>
          <w:iCs/>
          <w:color w:val="000000" w:themeColor="text1"/>
        </w:rPr>
        <w:t>Lespedeza cuneata</w:t>
      </w:r>
      <w:r w:rsidRPr="00837161">
        <w:rPr>
          <w:iCs/>
          <w:color w:val="000000" w:themeColor="text1"/>
        </w:rPr>
        <w:t xml:space="preserve"> (sericea lespedeza)</w:t>
      </w:r>
      <w:r w:rsidRPr="00837161">
        <w:rPr>
          <w:color w:val="000000" w:themeColor="text1"/>
        </w:rPr>
        <w:t xml:space="preserve">, a declared invasive </w:t>
      </w:r>
      <w:r w:rsidR="002C3FAB" w:rsidRPr="00837161">
        <w:rPr>
          <w:rFonts w:eastAsia="Times New Roman"/>
        </w:rPr>
        <w:t xml:space="preserve">alien </w:t>
      </w:r>
      <w:r w:rsidRPr="00837161">
        <w:rPr>
          <w:color w:val="000000" w:themeColor="text1"/>
        </w:rPr>
        <w:t xml:space="preserve">species by the state invasive council, for forage production was publicly recommended in the state of Alabama. Similarly, </w:t>
      </w:r>
      <w:r w:rsidR="001B5F33" w:rsidRPr="00837161">
        <w:rPr>
          <w:color w:val="000000" w:themeColor="text1"/>
        </w:rPr>
        <w:t xml:space="preserve">Nuñez et al. </w:t>
      </w:r>
      <w:r w:rsidRPr="00837161">
        <w:fldChar w:fldCharType="begin"/>
      </w:r>
      <w:r w:rsidR="000F35EB">
        <w:instrText xml:space="preserve"> ADDIN ZOTERO_ITEM CSL_CITATION {"citationID":"I1bE0rKA","properties":{"formattedCitation":"(2017)","plainCitation":"(2017)","noteIndex":0},"citationItems":[{"id":10857,"uris":["http://zotero.org/groups/2352922/items/DLQZUNPX"],"itemData":{"id":10857,"type":"article-journal","container-title":"Biological Invasions","DOI":"10.1007/s10530-017-1483-4","ISSN":"1387-3547, 1573-1464","issue":"11","journalAbbreviation":"Biol Invasions","language":"en","page":"3099-3120","source":"DOI.org (Crossref)","title":"Ecology and management of invasive Pinaceae around the world: progress and challenges","title-short":"Ecology and management of invasive Pinaceae around the world","URL":"http://link.springer.com/10.1007/s10530-017-1483-4","volume":"19","author":[{"family":"Nuñez","given":"Martin A."},{"family":"Chiuffo","given":"Mariana C."},{"family":"Torres","given":"Agostina"},{"family":"Paul","given":"Thomas"},{"family":"Dimarco","given":"Romina D."},{"family":"Raal","given":"Peter"},{"family":"Policelli","given":"Nahuel"},{"family":"Moyano","given":"Jaime"},{"family":"García","given":"Rafael A."},{"family":"Wilgen","given":"Brian W.","non-dropping-particle":"van"},{"family":"Pauchard","given":"Aníbal"},{"family":"Richardson","given":"David M."}],"accessed":{"date-parts":[["2019",10,7]]},"issued":{"date-parts":[["2017",11]]}},"label":"page","suppress-author":true}],"schema":"https://github.com/citation-style-language/schema/raw/master/csl-citation.json"} </w:instrText>
      </w:r>
      <w:r w:rsidRPr="00837161">
        <w:fldChar w:fldCharType="separate"/>
      </w:r>
      <w:r w:rsidR="00271B78" w:rsidRPr="00271B78">
        <w:t>(2017)</w:t>
      </w:r>
      <w:r w:rsidRPr="00837161">
        <w:fldChar w:fldCharType="end"/>
      </w:r>
      <w:r w:rsidRPr="00837161">
        <w:rPr>
          <w:color w:val="000000" w:themeColor="text1"/>
        </w:rPr>
        <w:t xml:space="preserve"> documented a case where forestry plantation of a pine species, </w:t>
      </w:r>
      <w:r w:rsidRPr="00837161">
        <w:rPr>
          <w:i/>
          <w:iCs/>
          <w:color w:val="000000" w:themeColor="text1"/>
        </w:rPr>
        <w:t>Pinus contorta</w:t>
      </w:r>
      <w:r w:rsidRPr="00837161">
        <w:rPr>
          <w:iCs/>
          <w:color w:val="000000" w:themeColor="text1"/>
        </w:rPr>
        <w:t xml:space="preserve"> </w:t>
      </w:r>
      <w:r w:rsidRPr="00837161">
        <w:rPr>
          <w:color w:val="000000" w:themeColor="text1"/>
        </w:rPr>
        <w:t xml:space="preserve">(lodgepole pine), had been heavily subsidized by national government until recently, even though high invasiveness of the species has been recognized. </w:t>
      </w:r>
      <w:r w:rsidRPr="00837161">
        <w:rPr>
          <w:lang w:eastAsia="en-ZA"/>
        </w:rPr>
        <w:t xml:space="preserve">Agreeing on management of some of the agriculturally valuable but environmentally harmful invasive alien grasses (e.g., African grasses in Australia; </w:t>
      </w:r>
      <w:r w:rsidRPr="00837161">
        <w:rPr>
          <w:lang w:eastAsia="en-ZA"/>
        </w:rPr>
        <w:fldChar w:fldCharType="begin"/>
      </w:r>
      <w:r w:rsidR="000F35EB">
        <w:rPr>
          <w:lang w:eastAsia="en-ZA"/>
        </w:rPr>
        <w:instrText xml:space="preserve"> ADDIN ZOTERO_ITEM CSL_CITATION {"citationID":"nUDtnkpk","properties":{"formattedCitation":"(G. D. Cook &amp; Dias, 2006)","plainCitation":"(G. D. Cook &amp; Dias, 2006)","dontUpdate":true,"noteIndex":0},"citationItems":[{"id":32944,"uris":["http://zotero.org/groups/2352922/items/QGKNGZRV"],"itemData":{"id":32944,"type":"article-journal","abstract":"The weedy potential of deliberately introduced plants has been a growing concern in Australia since the late 1980s. Although introduced plants are critical to Australia’s agricultural and livestock production, many species that were praised in the past are now declared agricultural and environmental weeds. Nevertheless, weeds researchers appear largely ignorant of the magnitude and intent of plant introductions for agricultural purposes as well as the legacy of unwanted plants. Across more than 70 years, Commonwealth Plant Introductions comprised 145 000 accessions of more than 8200 species. These species include more than 2200 grass (Poaceae) and 2200 legume species (Fabaceae sensu stricto), representing about twice the indigenous flora in those families and about 22 and 18%, respectively, of the global flora of grasses and legumes. For most of the 20th century, these and other introductions supported research into continental-scale transformation of Australian landscapes to support greatly increased pastoral productivity in order to achieve policy goals of maximum density of human population. This paper documents some of the scientific developments and debates that affected the plant-introduction program. We argue that recent developments in weed science and policy need to be informed by a better understanding of plant-introduction history.","container-title":"Australian Journal of Botany","DOI":"10.1071/BT05157","ISSN":"0067-1924","issue":"7","journalAbbreviation":"Aust. J. Bot.","language":"en","page":"601-625","source":"DOI.org (Crossref)","title":"It was no accident: deliberate plant introductions by Australian government agencies during the 20th century","title-short":"It was no accident","URL":"http://www.publish.csiro.au/?paper=BT05157","volume":"54","author":[{"family":"Cook","given":"Garry D."},{"family":"Dias","given":"Lesley"}],"accessed":{"date-parts":[["2021",11,18]]},"issued":{"date-parts":[["2006"]]}}}],"schema":"https://github.com/citation-style-language/schema/raw/master/csl-citation.json"} </w:instrText>
      </w:r>
      <w:r w:rsidRPr="00837161">
        <w:rPr>
          <w:lang w:eastAsia="en-ZA"/>
        </w:rPr>
        <w:fldChar w:fldCharType="separate"/>
      </w:r>
      <w:r w:rsidRPr="00837161">
        <w:t>Cook &amp; Dias, 2006)</w:t>
      </w:r>
      <w:r w:rsidRPr="00837161">
        <w:rPr>
          <w:lang w:eastAsia="en-ZA"/>
        </w:rPr>
        <w:fldChar w:fldCharType="end"/>
      </w:r>
      <w:r w:rsidRPr="00837161">
        <w:rPr>
          <w:lang w:eastAsia="en-ZA"/>
        </w:rPr>
        <w:t xml:space="preserve"> remains a challenge, but biological control of</w:t>
      </w:r>
      <w:r w:rsidRPr="00837161">
        <w:rPr>
          <w:rFonts w:eastAsia="Times New Roman"/>
          <w:lang w:eastAsia="en-ZA"/>
        </w:rPr>
        <w:t xml:space="preserve"> </w:t>
      </w:r>
      <w:r w:rsidRPr="00837161">
        <w:rPr>
          <w:rFonts w:eastAsia="Times New Roman"/>
          <w:i/>
          <w:iCs/>
          <w:lang w:eastAsia="en-ZA"/>
        </w:rPr>
        <w:t>Acacia mearnsii</w:t>
      </w:r>
      <w:r w:rsidRPr="00837161">
        <w:rPr>
          <w:rFonts w:eastAsia="Times New Roman"/>
          <w:lang w:eastAsia="en-ZA"/>
        </w:rPr>
        <w:t xml:space="preserve"> (black wattle) </w:t>
      </w:r>
      <w:r w:rsidRPr="00837161">
        <w:rPr>
          <w:lang w:eastAsia="en-ZA"/>
        </w:rPr>
        <w:t xml:space="preserve">timber trees in South Africa found a compromise by selecting biological control agents that only reduce propagule production (i.e., flower and seed feeding agents) </w:t>
      </w:r>
      <w:r w:rsidRPr="00837161">
        <w:rPr>
          <w:lang w:eastAsia="en-ZA"/>
        </w:rPr>
        <w:fldChar w:fldCharType="begin"/>
      </w:r>
      <w:r w:rsidR="000F35EB">
        <w:rPr>
          <w:lang w:eastAsia="en-ZA"/>
        </w:rPr>
        <w:instrText xml:space="preserve"> ADDIN ZOTERO_ITEM CSL_CITATION {"citationID":"BwGwFdby","properties":{"formattedCitation":"(Impson et al., 2011)","plainCitation":"(Impson et al., 2011)","dontUpdate":true,"noteIndex":0},"citationItems":[{"id":11123,"uris":["http://zotero.org/groups/2352922/items/XFBY9G23"],"itemData":{"id":11123,"type":"article-journal","abstract":"In total, ten agent species have been released in South Africa for the biological control of ten invasive Australian Acacia species and Paraserianthes lophantha (Willd.) Nielsen (Mimosaceae). Besides a single fungal pathogen species which affects both reproductive and vegetative growth of its host plant, Acacia saligna (Labill.) H.L.Wendl., there are nine herbivorous insect species which predominantly suppress the reproductive output of their host plants. These include five seed-feeding weevil species, two flower-galling fly species and two bud-galling wasp species. An indigenous basidiomycete fungus, which causes die-back disease of Acacia cyclops A. Cunn. ex G. Don, has also been investigated. During the last ten years, considerable effort has been directed at searching for new agents in Australia and in collecting additional material to bolster populations of recently-established agents in South Africa. Concurrently, ongoing evaluation studies in South Africa have measured the dynamics of the introduced agents as well as their impact on the vigour and fecundity of their host plants and the extent to which their damage is reducing the density, distribution and invasiveness of the Acacia species. Progress with all of these projects is reviewed.","container-title":"African Entomology","DOI":"10.4001/003.019.0210","ISSN":"1021-3589, 0013-8789","issue":"2","journalAbbreviation":"afen","note":"publisher: Entomological Society of Southern Africa","page":"186-207","source":"bioone.org","title":"Biological Control of Australian Acacia Species and &lt;i&gt;Paraserianthes lophantha&lt;/i&gt; (Willd.) Nielsen (Mimosaceae) in South Africa","URL":"https://bioone.org/journals/african-entomology/volume-19/issue-2/003.019.0210/Biological-Control-of-Australian-Acacia-Species-and-Paraserianthes-lophantha-Willd/10.4001/003.019.0210.full","volume":"19","author":[{"family":"Impson","given":"F. A. C."},{"family":"Kleinjan","given":"C. A."},{"family":"Hoffmann","given":"J. H."},{"family":"Post","given":"J. A."},{"family":"Wood","given":"A. R."}],"accessed":{"date-parts":[["2021",4,12]]},"issued":{"date-parts":[["2011",8]]}}}],"schema":"https://github.com/citation-style-language/schema/raw/master/csl-citation.json"} </w:instrText>
      </w:r>
      <w:r w:rsidRPr="00837161">
        <w:rPr>
          <w:lang w:eastAsia="en-ZA"/>
        </w:rPr>
        <w:fldChar w:fldCharType="separate"/>
      </w:r>
      <w:r w:rsidRPr="00837161">
        <w:rPr>
          <w:lang w:eastAsia="en-ZA"/>
        </w:rPr>
        <w:t>(Impson et al., 2011;</w:t>
      </w:r>
      <w:r w:rsidRPr="00837161">
        <w:rPr>
          <w:rFonts w:eastAsia="Times New Roman"/>
          <w:lang w:eastAsia="en-ZA"/>
        </w:rPr>
        <w:t xml:space="preserve"> Impson et al., 2021</w:t>
      </w:r>
      <w:r w:rsidRPr="00837161">
        <w:rPr>
          <w:lang w:eastAsia="en-ZA"/>
        </w:rPr>
        <w:t>)</w:t>
      </w:r>
      <w:r w:rsidRPr="00837161">
        <w:rPr>
          <w:lang w:eastAsia="en-ZA"/>
        </w:rPr>
        <w:fldChar w:fldCharType="end"/>
      </w:r>
      <w:r w:rsidRPr="00837161">
        <w:rPr>
          <w:lang w:eastAsia="en-ZA"/>
        </w:rPr>
        <w:t xml:space="preserve">. </w:t>
      </w:r>
      <w:r w:rsidRPr="00837161">
        <w:rPr>
          <w:rFonts w:eastAsia="Times New Roman"/>
          <w:lang w:eastAsia="en-ZA"/>
        </w:rPr>
        <w:t xml:space="preserve">This illustrates </w:t>
      </w:r>
      <w:r w:rsidR="004D7EA0">
        <w:rPr>
          <w:rFonts w:eastAsia="Times New Roman"/>
          <w:lang w:eastAsia="en-ZA"/>
        </w:rPr>
        <w:t>how</w:t>
      </w:r>
      <w:r w:rsidRPr="00837161">
        <w:rPr>
          <w:rFonts w:eastAsia="Times New Roman"/>
          <w:lang w:eastAsia="en-ZA"/>
        </w:rPr>
        <w:t xml:space="preserve"> different stakeholder communities </w:t>
      </w:r>
      <w:r w:rsidR="004D7EA0">
        <w:rPr>
          <w:rFonts w:eastAsia="Times New Roman"/>
          <w:lang w:eastAsia="en-ZA"/>
        </w:rPr>
        <w:t xml:space="preserve">can be brought </w:t>
      </w:r>
      <w:r w:rsidRPr="00837161">
        <w:rPr>
          <w:rFonts w:eastAsia="Times New Roman"/>
          <w:lang w:eastAsia="en-ZA"/>
        </w:rPr>
        <w:t xml:space="preserve">together to understand the different perspectives and seek a joint solution. Information campaigns for the general public around charismatic invasive alien species also play a key role in raising awareness in the community. Explicit consideration of the factors creating the different views through education and inclusion is critical if management measures are to be mutually agreed </w:t>
      </w:r>
      <w:r w:rsidRPr="00837161">
        <w:fldChar w:fldCharType="begin"/>
      </w:r>
      <w:r w:rsidR="000F35EB">
        <w:instrText xml:space="preserve"> ADDIN ZOTERO_ITEM CSL_CITATION {"citationID":"2fVzGD7B","properties":{"formattedCitation":"(Jari\\uc0\\u263{} et al., 2020)","plainCitation":"(Jarić et al., 2020)","noteIndex":0},"citationItems":[{"id":56449,"uris":["http://zotero.org/groups/2352922/items/9JPU2NY6","http://zotero.org/groups/2352922/items/A8ZAP2T4"],"itemData":{"id":56449,"type":"article-journal","container-title":"Frontiers in Ecology and the Environment","DOI":"10.1002/fee.2195","ISSN":"1540-9295, 1540-9309","issue":"6","journalAbbreviation":"Front Ecol Environ","language":"en","page":"345-353","source":"DOI.org (Crossref)","title":"The role of species charisma in biological invasions","URL":"https://onlinelibrary.wiley.com/doi/10.1002/fee.2195","volume":"18","author":[{"family":"Jarić"</w:instrText>
      </w:r>
      <w:r w:rsidR="000F35EB">
        <w:rPr>
          <w:rFonts w:hint="eastAsia"/>
        </w:rPr>
        <w:instrText>,"given":"Ivan"},{"family":"Courchamp","given":"Franck"},{"family":"Correia","given":"Ricardo A"},{"family":"Crowley","given":"Sarah L"},{"family":"Essl","given":"Franz"},{"family":"Fischer","given":"Anke"},{"family":"González</w:instrText>
      </w:r>
      <w:r w:rsidR="000F35EB">
        <w:rPr>
          <w:rFonts w:hint="eastAsia"/>
        </w:rPr>
        <w:instrText>‐</w:instrText>
      </w:r>
      <w:r w:rsidR="000F35EB">
        <w:rPr>
          <w:rFonts w:hint="eastAsia"/>
        </w:rPr>
        <w:instrText>Moreno","given":"Pablo"},{"f</w:instrText>
      </w:r>
      <w:r w:rsidR="000F35EB">
        <w:instrText xml:space="preserve">amily":"Kalinkat","given":"Gregor"},{"family":"Lambin","given":"Xavier"},{"family":"Lenzner","given":"Bernd"},{"family":"Meinard","given":"Yves"},{"family":"Mill","given":"Aileen"},{"family":"Musseau","given":"Camille"},{"family":"Novoa","given":"Ana"},{"family":"Pergl","given":"Jan"},{"family":"Pyšek","given":"Petr"},{"family":"Pyšková","given":"Klára"},{"family":"Robertson","given":"Peter"},{"family":"Schmalensee","given":"Menja"},{"family":"Shackleton","given":"Ross T"},{"family":"Stefansson","given":"Robert A"},{"family":"Štajerová","given":"Kateřina"},{"family":"Veríssimo","given":"Diogo"},{"family":"Jeschke","given":"Jonathan M"}],"accessed":{"date-parts":[["2023",6,8]]},"issued":{"date-parts":[["2020",8]]}}}],"schema":"https://github.com/citation-style-language/schema/raw/master/csl-citation.json"} </w:instrText>
      </w:r>
      <w:r w:rsidRPr="00837161">
        <w:fldChar w:fldCharType="separate"/>
      </w:r>
      <w:r w:rsidR="00271B78" w:rsidRPr="00271B78">
        <w:t>(Jarić et al., 2020)</w:t>
      </w:r>
      <w:r w:rsidRPr="00837161">
        <w:fldChar w:fldCharType="end"/>
      </w:r>
      <w:r w:rsidRPr="00837161">
        <w:t>.</w:t>
      </w:r>
    </w:p>
    <w:p w14:paraId="0FC67CD1" w14:textId="77777777" w:rsidR="00383764" w:rsidRPr="00837161" w:rsidRDefault="00383764" w:rsidP="00C11DFA">
      <w:pPr>
        <w:rPr>
          <w:lang w:eastAsia="en-ZA"/>
        </w:rPr>
        <w:sectPr w:rsidR="00383764" w:rsidRPr="00837161" w:rsidSect="00A9356F">
          <w:headerReference w:type="even" r:id="rId112"/>
          <w:footerReference w:type="default" r:id="rId113"/>
          <w:headerReference w:type="first" r:id="rId114"/>
          <w:pgSz w:w="11906" w:h="16838" w:code="9"/>
          <w:pgMar w:top="1008" w:right="1138" w:bottom="1138" w:left="1138" w:header="284" w:footer="709" w:gutter="0"/>
          <w:cols w:space="708"/>
          <w:docGrid w:linePitch="360"/>
        </w:sectPr>
      </w:pPr>
    </w:p>
    <w:p w14:paraId="000006CA" w14:textId="0064584B" w:rsidR="00A758FD" w:rsidRPr="00AC1F76" w:rsidRDefault="430490D0" w:rsidP="00AC1F76">
      <w:pPr>
        <w:keepNext/>
        <w:pBdr>
          <w:top w:val="nil"/>
          <w:left w:val="nil"/>
          <w:bottom w:val="nil"/>
          <w:right w:val="nil"/>
          <w:between w:val="nil"/>
        </w:pBdr>
        <w:spacing w:before="240" w:after="120" w:line="240" w:lineRule="auto"/>
        <w:rPr>
          <w:color w:val="000000"/>
        </w:rPr>
      </w:pPr>
      <w:bookmarkStart w:id="628" w:name="_Ref104971764"/>
      <w:bookmarkStart w:id="629" w:name="_Toc87623092"/>
      <w:bookmarkStart w:id="630" w:name="_Toc147489086"/>
      <w:bookmarkStart w:id="631" w:name="_Toc87553793"/>
      <w:r w:rsidRPr="002F2F42">
        <w:rPr>
          <w:b/>
          <w:bCs/>
        </w:rPr>
        <w:lastRenderedPageBreak/>
        <w:t>Table 5.</w:t>
      </w:r>
      <w:r w:rsidR="00383764" w:rsidRPr="002F2F42">
        <w:rPr>
          <w:b/>
          <w:bCs/>
        </w:rPr>
        <w:fldChar w:fldCharType="begin"/>
      </w:r>
      <w:r w:rsidR="00383764" w:rsidRPr="002F2F42">
        <w:rPr>
          <w:b/>
          <w:bCs/>
        </w:rPr>
        <w:instrText>SEQ Table_5. \* ARABIC</w:instrText>
      </w:r>
      <w:r w:rsidR="00383764" w:rsidRPr="002F2F42">
        <w:rPr>
          <w:b/>
          <w:bCs/>
        </w:rPr>
        <w:fldChar w:fldCharType="separate"/>
      </w:r>
      <w:r w:rsidR="00DC77F8" w:rsidRPr="002F2F42">
        <w:rPr>
          <w:b/>
          <w:bCs/>
          <w:noProof/>
        </w:rPr>
        <w:t>9</w:t>
      </w:r>
      <w:r w:rsidR="00383764" w:rsidRPr="002F2F42">
        <w:rPr>
          <w:b/>
          <w:bCs/>
        </w:rPr>
        <w:fldChar w:fldCharType="end"/>
      </w:r>
      <w:bookmarkEnd w:id="628"/>
      <w:r w:rsidR="00E7462D" w:rsidRPr="002F2F42">
        <w:rPr>
          <w:b/>
          <w:bCs/>
        </w:rPr>
        <w:t>.</w:t>
      </w:r>
      <w:bookmarkStart w:id="632" w:name="_heading=h.vgdtq7" w:colFirst="0" w:colLast="0"/>
      <w:bookmarkStart w:id="633" w:name="_heading=h.3fg1ce0" w:colFirst="0" w:colLast="0"/>
      <w:bookmarkEnd w:id="632"/>
      <w:bookmarkEnd w:id="633"/>
      <w:r w:rsidR="00C81287" w:rsidRPr="002F2F42">
        <w:rPr>
          <w:b/>
          <w:color w:val="000000"/>
        </w:rPr>
        <w:t xml:space="preserve"> </w:t>
      </w:r>
      <w:r w:rsidR="00C81287" w:rsidRPr="002F2F42">
        <w:rPr>
          <w:color w:val="000000"/>
        </w:rPr>
        <w:t>Examples of invasive alien species that were intentionally introduced for beneficial purposes, conflict resolution and potential management response (</w:t>
      </w:r>
      <w:r w:rsidR="00C81287" w:rsidRPr="00AC1F76">
        <w:rPr>
          <w:b/>
          <w:color w:val="000000"/>
        </w:rPr>
        <w:t>Chapter 4</w:t>
      </w:r>
      <w:r w:rsidR="00C81287" w:rsidRPr="00AC1F76">
        <w:rPr>
          <w:color w:val="000000"/>
        </w:rPr>
        <w:t>,</w:t>
      </w:r>
      <w:r w:rsidR="00C81287" w:rsidRPr="00AC1F76">
        <w:rPr>
          <w:b/>
          <w:color w:val="000000"/>
        </w:rPr>
        <w:t xml:space="preserve"> section 4.6.4</w:t>
      </w:r>
      <w:r w:rsidR="00C81287" w:rsidRPr="00AC1F76">
        <w:rPr>
          <w:color w:val="000000"/>
        </w:rPr>
        <w:t>)</w:t>
      </w:r>
      <w:bookmarkEnd w:id="629"/>
      <w:bookmarkEnd w:id="630"/>
    </w:p>
    <w:bookmarkEnd w:id="631"/>
    <w:p w14:paraId="000006CB" w14:textId="77777777" w:rsidR="00A758FD" w:rsidRPr="00C0338D" w:rsidRDefault="00C81287">
      <w:r w:rsidRPr="00C0338D">
        <w:t>Groups include terrestrial plant; freshwater/marine plant; microorganism; bird/fish/mammal/reptile; insect</w:t>
      </w:r>
    </w:p>
    <w:tbl>
      <w:tblPr>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600" w:firstRow="0" w:lastRow="0" w:firstColumn="0" w:lastColumn="0" w:noHBand="1" w:noVBand="1"/>
      </w:tblPr>
      <w:tblGrid>
        <w:gridCol w:w="1536"/>
        <w:gridCol w:w="1376"/>
        <w:gridCol w:w="1476"/>
        <w:gridCol w:w="1469"/>
        <w:gridCol w:w="1656"/>
        <w:gridCol w:w="2107"/>
      </w:tblGrid>
      <w:tr w:rsidR="003666A4" w14:paraId="43338452" w14:textId="77777777">
        <w:trPr>
          <w:tblHeader/>
        </w:trPr>
        <w:tc>
          <w:tcPr>
            <w:tcW w:w="1536" w:type="dxa"/>
          </w:tcPr>
          <w:p w14:paraId="000006CC" w14:textId="77777777" w:rsidR="00A758FD" w:rsidRPr="00C0338D" w:rsidRDefault="00C81287">
            <w:r w:rsidRPr="00C0338D">
              <w:t xml:space="preserve">Invasive alien species </w:t>
            </w:r>
          </w:p>
        </w:tc>
        <w:tc>
          <w:tcPr>
            <w:tcW w:w="1376" w:type="dxa"/>
          </w:tcPr>
          <w:p w14:paraId="000006CD" w14:textId="77777777" w:rsidR="00A758FD" w:rsidRPr="00C0338D" w:rsidRDefault="00C81287">
            <w:r w:rsidRPr="00C0338D">
              <w:t xml:space="preserve">Taxonomic group </w:t>
            </w:r>
          </w:p>
        </w:tc>
        <w:tc>
          <w:tcPr>
            <w:tcW w:w="1476" w:type="dxa"/>
            <w:shd w:val="clear" w:color="auto" w:fill="auto"/>
          </w:tcPr>
          <w:p w14:paraId="000006CE" w14:textId="77777777" w:rsidR="00A758FD" w:rsidRPr="00C0338D" w:rsidRDefault="00C81287">
            <w:r w:rsidRPr="00C0338D">
              <w:t xml:space="preserve">Time and location of introduction </w:t>
            </w:r>
          </w:p>
        </w:tc>
        <w:tc>
          <w:tcPr>
            <w:tcW w:w="1469" w:type="dxa"/>
            <w:shd w:val="clear" w:color="auto" w:fill="auto"/>
          </w:tcPr>
          <w:p w14:paraId="000006CF" w14:textId="77777777" w:rsidR="00A758FD" w:rsidRPr="00C0338D" w:rsidRDefault="00C81287">
            <w:r w:rsidRPr="00C0338D">
              <w:t>Native range of introduced species</w:t>
            </w:r>
          </w:p>
        </w:tc>
        <w:tc>
          <w:tcPr>
            <w:tcW w:w="1656" w:type="dxa"/>
            <w:shd w:val="clear" w:color="auto" w:fill="auto"/>
          </w:tcPr>
          <w:p w14:paraId="000006D0" w14:textId="77777777" w:rsidR="00A758FD" w:rsidRPr="00C0338D" w:rsidRDefault="00C81287">
            <w:r w:rsidRPr="00C0338D">
              <w:t xml:space="preserve">Primary purpose of the introduction </w:t>
            </w:r>
          </w:p>
        </w:tc>
        <w:tc>
          <w:tcPr>
            <w:tcW w:w="2107" w:type="dxa"/>
            <w:shd w:val="clear" w:color="auto" w:fill="auto"/>
          </w:tcPr>
          <w:p w14:paraId="000006D1" w14:textId="77777777" w:rsidR="00A758FD" w:rsidRPr="00C0338D" w:rsidRDefault="00C81287">
            <w:r w:rsidRPr="00C0338D">
              <w:t xml:space="preserve">Co-operative efforts to develop management options </w:t>
            </w:r>
          </w:p>
        </w:tc>
      </w:tr>
      <w:tr w:rsidR="003666A4" w14:paraId="2A68251E" w14:textId="77777777">
        <w:tc>
          <w:tcPr>
            <w:tcW w:w="1536" w:type="dxa"/>
          </w:tcPr>
          <w:p w14:paraId="000006D2" w14:textId="77777777" w:rsidR="00A758FD" w:rsidRPr="00C0338D" w:rsidRDefault="00C81287">
            <w:pPr>
              <w:rPr>
                <w:color w:val="000000"/>
              </w:rPr>
            </w:pPr>
            <w:r w:rsidRPr="00C0338D">
              <w:rPr>
                <w:i/>
              </w:rPr>
              <w:t>Lates niloticus</w:t>
            </w:r>
            <w:r w:rsidRPr="00C0338D">
              <w:t xml:space="preserve"> (Nile perch)</w:t>
            </w:r>
          </w:p>
        </w:tc>
        <w:tc>
          <w:tcPr>
            <w:tcW w:w="1376" w:type="dxa"/>
          </w:tcPr>
          <w:p w14:paraId="000006D3" w14:textId="77777777" w:rsidR="00A758FD" w:rsidRPr="00C0338D" w:rsidRDefault="00C81287">
            <w:r w:rsidRPr="00C0338D">
              <w:t>Vertebrate (freshwater fish)</w:t>
            </w:r>
          </w:p>
        </w:tc>
        <w:tc>
          <w:tcPr>
            <w:tcW w:w="1476" w:type="dxa"/>
            <w:shd w:val="clear" w:color="auto" w:fill="auto"/>
          </w:tcPr>
          <w:p w14:paraId="000006D4" w14:textId="77777777" w:rsidR="00A758FD" w:rsidRPr="00C0338D" w:rsidRDefault="00C81287">
            <w:r w:rsidRPr="00C0338D">
              <w:t>Lake Victoria; 1960s</w:t>
            </w:r>
          </w:p>
        </w:tc>
        <w:tc>
          <w:tcPr>
            <w:tcW w:w="1469" w:type="dxa"/>
            <w:shd w:val="clear" w:color="auto" w:fill="auto"/>
          </w:tcPr>
          <w:p w14:paraId="000006D5" w14:textId="77777777" w:rsidR="00A758FD" w:rsidRPr="00C0338D" w:rsidRDefault="00C81287">
            <w:r w:rsidRPr="00C0338D">
              <w:t>Afrotropical; Congo, Nile, Senegal, Niger, Lake Chad, Volta, Lake Turkana</w:t>
            </w:r>
          </w:p>
        </w:tc>
        <w:tc>
          <w:tcPr>
            <w:tcW w:w="1656" w:type="dxa"/>
            <w:shd w:val="clear" w:color="auto" w:fill="auto"/>
          </w:tcPr>
          <w:p w14:paraId="000006D6" w14:textId="066FE3B4" w:rsidR="00A758FD" w:rsidRPr="00C0338D" w:rsidRDefault="00383764">
            <w:r w:rsidRPr="00837161">
              <w:rPr>
                <w:rFonts w:eastAsia="Arial"/>
              </w:rPr>
              <w:t>To promote the fisheries industry</w:t>
            </w:r>
            <w:r w:rsidRPr="00837161">
              <w:t xml:space="preserve"> as the dominant endemic haplochromine species were perceived to have low economic value </w:t>
            </w:r>
            <w:r w:rsidRPr="00837161">
              <w:fldChar w:fldCharType="begin"/>
            </w:r>
            <w:r w:rsidR="000F35EB">
              <w:instrText xml:space="preserve"> ADDIN ZOTERO_ITEM CSL_CITATION {"citationID":"b6FU1895","properties":{"formattedCitation":"(Njiru et al., 2005)","plainCitation":"(Njiru et al., 2005)","noteIndex":0},"citationItems":[{"id":15932,"uris":["http://zotero.org/groups/2352922/items/YTGYAVLS"],"itemData":{"id":15932,"type":"article-journal","abstract":"Lake Victoria is Africa’s most important source of inland ﬁshery production, exhibiting annual catches of ≈ 400 000 mt. The predatory Nile perch, Lates niloticus, and the herbivorous tilapiines, Oreochromis niloticus, Oreochromis leucostictus, Tilapia zillii and Tilapia rendalii, were introduced in Lake Victoria in the 1950s and 1960s. Nile perch were introduced to convert the abundant, but bony, haplochromines to ﬁsh ﬂesh, while the tilapiines were introduced to boost the declining ﬁshery. Since that time, the ﬁsheries of Lake Victoria have undergone dramatic social and ecological changes. The catches increased tremendously, changing the ﬁshery from artisanal to commercial, in turn increasing ﬁsher income and employment opportunities. However, there was a decline and, in some cases, the disappearance of many indigenous ﬁsh species, especially the haplochromine cichlids. This reduction was attributed to overexploitation, predation, and competition and hybridization with the introduced species. The decline of the native ﬁsh species has had impacts on the trophic and ecological status of the lake. Nile perch now dominate the formerly complex food web. The loss of phytoplanktivorous haplochromines has contributed to an increase in algal blooms, reduction in water quality and occasional ﬁsh kills. Water hyacinth, Eichhornia crassipes, invaded Lake Victoria in 1988, with high rates of infestation in shallow waters and bays, which are breeding and nursery grounds for most ﬁsh species. Catches of Nile perch decreased following the infestation, while those of Nile tilapia, lung ﬁsh (Protopterus aethiopicus) and mud ﬁsh (Clarias gariepinus) increased. Haplochromines species also showed some signs of recovery. In view of all these changes, the future of the Lake Victoria ﬁshery is uncertain.","container-title":"Lakes &amp; Reservoirs: Research &amp; Management","DOI":"10.1111/j.1440-1770.2005.00270.x","ISSN":"1320-5331, 1440-1770","issue":"3","journalAbbreviation":"Lakes Reserv Res Manage","language":"en","page":"147-155","source":"DOI.org (Crossref)","title":"Exotic introductions to the fishery of Lake Victoria: What are the management options?","title-short":"Exotic introductions to the fishery of Lake Victoria","URL":"http://doi.wiley.com/10.1111/j.1440-1770.2005.00270.x","volume":"10","author":[{"family":"Njiru","given":"M."},{"family":"Waithaka","given":"E."},{"family":"Muchiri","given":"M."},{"family":"Knaap","given":"M.","non-dropping-particle":"van"},{"family":"Cowx","given":"I. G."}],"accessed":{"date-parts":[["2019",11,6]]},"issued":{"date-parts":[["2005",9]]}},"label":"page"}],"schema":"https://github.com/citation-style-language/schema/raw/master/csl-citation.json"} </w:instrText>
            </w:r>
            <w:r w:rsidRPr="00837161">
              <w:fldChar w:fldCharType="separate"/>
            </w:r>
            <w:r w:rsidR="00271B78" w:rsidRPr="00271B78">
              <w:t>(Njiru et al., 2005)</w:t>
            </w:r>
            <w:r w:rsidRPr="00837161">
              <w:fldChar w:fldCharType="end"/>
            </w:r>
          </w:p>
        </w:tc>
        <w:tc>
          <w:tcPr>
            <w:tcW w:w="2107" w:type="dxa"/>
            <w:shd w:val="clear" w:color="auto" w:fill="auto"/>
          </w:tcPr>
          <w:p w14:paraId="000006D7" w14:textId="1C481B32" w:rsidR="00A758FD" w:rsidRPr="00C0338D" w:rsidRDefault="00383764">
            <w:pPr>
              <w:rPr>
                <w:color w:val="000000"/>
              </w:rPr>
            </w:pPr>
            <w:r w:rsidRPr="00837161">
              <w:t>The Kenyan, Ugandan and Tanzanian governments established a regional mechanism in 1994</w:t>
            </w:r>
            <w:r w:rsidR="004A57D1">
              <w:t>–</w:t>
            </w:r>
            <w:r w:rsidRPr="00837161">
              <w:t xml:space="preserve">- Lake Victoria Fisheries Organization – to coordinate the management and conservation. The three countries agreed to enforce legislation and regulations to protect the lake and its basin </w:t>
            </w:r>
            <w:r w:rsidRPr="00837161">
              <w:fldChar w:fldCharType="begin"/>
            </w:r>
            <w:r w:rsidR="000F35EB">
              <w:instrText xml:space="preserve"> ADDIN ZOTERO_ITEM CSL_CITATION {"citationID":"O20p6BSQ","properties":{"formattedCitation":"(Njiru et al., 2005)","plainCitation":"(Njiru et al., 2005)","noteIndex":0},"citationItems":[{"id":15932,"uris":["http://zotero.org/groups/2352922/items/YTGYAVLS"],"itemData":{"id":15932,"type":"article-journal","abstract":"Lake Victoria is Africa’s most important source of inland ﬁshery production, exhibiting annual catches of ≈ 400 000 mt. The predatory Nile perch, Lates niloticus, and the herbivorous tilapiines, Oreochromis niloticus, Oreochromis leucostictus, Tilapia zillii and Tilapia rendalii, were introduced in Lake Victoria in the 1950s and 1960s. Nile perch were introduced to convert the abundant, but bony, haplochromines to ﬁsh ﬂesh, while the tilapiines were introduced to boost the declining ﬁshery. Since that time, the ﬁsheries of Lake Victoria have undergone dramatic social and ecological changes. The catches increased tremendously, changing the ﬁshery from artisanal to commercial, in turn increasing ﬁsher income and employment opportunities. However, there was a decline and, in some cases, the disappearance of many indigenous ﬁsh species, especially the haplochromine cichlids. This reduction was attributed to overexploitation, predation, and competition and hybridization with the introduced species. The decline of the native ﬁsh species has had impacts on the trophic and ecological status of the lake. Nile perch now dominate the formerly complex food web. The loss of phytoplanktivorous haplochromines has contributed to an increase in algal blooms, reduction in water quality and occasional ﬁsh kills. Water hyacinth, Eichhornia crassipes, invaded Lake Victoria in 1988, with high rates of infestation in shallow waters and bays, which are breeding and nursery grounds for most ﬁsh species. Catches of Nile perch decreased following the infestation, while those of Nile tilapia, lung ﬁsh (Protopterus aethiopicus) and mud ﬁsh (Clarias gariepinus) increased. Haplochromines species also showed some signs of recovery. In view of all these changes, the future of the Lake Victoria ﬁshery is uncertain.","container-title":"Lakes &amp; Reservoirs: Research &amp; Management","DOI":"10.1111/j.1440-1770.2005.00270.x","ISSN":"1320-5331, 1440-1770","issue":"3","journalAbbreviation":"Lakes Reserv Res Manage","language":"en","page":"147-155","source":"DOI.org (Crossref)","title":"Exotic introductions to the fishery of Lake Victoria: What are the management options?","title-short":"Exotic introductions to the fishery of Lake Victoria","URL":"http://doi.wiley.com/10.1111/j.1440-1770.2005.00270.x","volume":"10","author":[{"family":"Njiru","given":"M."},{"family":"Waithaka","given":"E."},{"family":"Muchiri","given":"M."},{"family":"Knaap","given":"M.","non-dropping-particle":"van"},{"family":"Cowx","given":"I. G."}],"accessed":{"date-parts":[["2019",11,6]]},"issued":{"date-parts":[["2005",9]]}}}],"schema":"https://github.com/citation-style-language/schema/raw/master/csl-citation.json"} </w:instrText>
            </w:r>
            <w:r w:rsidRPr="00837161">
              <w:fldChar w:fldCharType="separate"/>
            </w:r>
            <w:r w:rsidR="00271B78" w:rsidRPr="00271B78">
              <w:t>(Njiru et al., 2005)</w:t>
            </w:r>
            <w:r w:rsidRPr="00837161">
              <w:fldChar w:fldCharType="end"/>
            </w:r>
          </w:p>
        </w:tc>
      </w:tr>
      <w:tr w:rsidR="003666A4" w14:paraId="7864B5E1" w14:textId="77777777">
        <w:tc>
          <w:tcPr>
            <w:tcW w:w="1536" w:type="dxa"/>
          </w:tcPr>
          <w:p w14:paraId="000006D8" w14:textId="77777777" w:rsidR="00A758FD" w:rsidRPr="00C0338D" w:rsidRDefault="00C81287">
            <w:r w:rsidRPr="00C0338D">
              <w:rPr>
                <w:i/>
              </w:rPr>
              <w:t>Procambarus clarkii</w:t>
            </w:r>
            <w:r w:rsidRPr="00C0338D">
              <w:t xml:space="preserve"> (red swamp crayfish) </w:t>
            </w:r>
          </w:p>
        </w:tc>
        <w:tc>
          <w:tcPr>
            <w:tcW w:w="1376" w:type="dxa"/>
          </w:tcPr>
          <w:p w14:paraId="000006D9" w14:textId="77777777" w:rsidR="00A758FD" w:rsidRPr="00C0338D" w:rsidRDefault="00C81287">
            <w:r w:rsidRPr="00C0338D">
              <w:t>Invertebrate (freshwater crustacean)</w:t>
            </w:r>
          </w:p>
        </w:tc>
        <w:tc>
          <w:tcPr>
            <w:tcW w:w="1476" w:type="dxa"/>
            <w:shd w:val="clear" w:color="auto" w:fill="auto"/>
          </w:tcPr>
          <w:p w14:paraId="000006DA" w14:textId="27FC386B" w:rsidR="00A758FD" w:rsidRPr="00C0338D" w:rsidRDefault="00383764">
            <w:r w:rsidRPr="00837161">
              <w:t xml:space="preserve">Present in 40 countries across all continents except Australia and Antarctica </w:t>
            </w:r>
            <w:r w:rsidR="007A2E82" w:rsidRPr="00837161">
              <w:fldChar w:fldCharType="begin"/>
            </w:r>
            <w:r w:rsidR="000F35EB">
              <w:instrText xml:space="preserve"> ADDIN ZOTERO_ITEM CSL_CITATION {"citationID":"2v78tduf","properties":{"formattedCitation":"(Nunes et al., 2017; Oficialdegui, S\\uc0\\u225{}nchez, et al., 2020)","plainCitation":"(Nunes et al., 2017; Oficialdegui, Sánchez, et al., 2020)","noteIndex":0},"citationItems":[{"id":53162,"uris":["http://zotero.org/groups/2352922/items/7V63GIKC","http://zotero.org/groups/2352922/items/PNDEPCPG"],"itemData":{"id":53162,"type":"article-journal","container-title":"Aquatic Conservation: Marine and Freshwater Ecosystems","DOI":"10.1002/aqc.2741","ISSN":"10527613","issue":"6","journalAbbreviation":"Aquatic Conserv: Mar Freshw Ecosyst","language":"en","page":"1334-1340","source":"DOI.org (Crossref)","title":"Red swamp crayfish, &lt;i&gt;Procambarus clarkii&lt;/i&gt; , found in South Africa 22 years after attempted eradication","title-short":"Red swamp crayfish, &lt;i&gt;Procambarus clarkii&lt;/i&gt; , found in South Africa 22 years after attempted eradication","URL":"https://onlinelibrary.wiley.com/doi/10.1002/aqc.2741","volume":"27","author":[{"family":"Nunes","given":"Ana L."},{"family":"Hoffman","given":"Andries C."},{"family":"Zengeya","given":"Tsungai A."},{"family":"Measey","given":"G. John"},{"family":"Weyl","given":"Olaf LF"}],"accessed":{"date-parts":[["2022",9,2]]},"issued":{"date-parts":[["2017",12]]}},"label":"page"},{"id":53163,"uris":["http://zotero.org/groups/2352922/items/VHLSGGXV","http://zotero.org/groups/2352922/items/MMJ7BVCI"],"itemData":{"id":53163,"type":"article-journal","container-title":"Reviews in Fish Biology and Fisheries","DOI":"10.1007/s11160-020-09594-z","ISSN":"0960-3166, 1573-5184","issue":"1","journalAbbreviation":"Rev Fish Biol Fisheries","language":"en","page":"121-135","source":"DOI.org (Crossref)","title":"One century away from home: how the red swamp crayfish took over the world","title-short":"One century away from home","URL":"http://link.springer.com/10.1007/s11160-020-09594-z","volume":"30","author":[{"family":"Oficialdegui","given":"Francisco J."},{"family":"Sánchez","given":"Marta I."},{"family":"Clavero","given":"Miguel"}],"accessed":{"date-parts":[["2022",9,2]]},"issued":{"date-parts":[["2020",3]]}},"label":"page"}],"schema":"https://github.com/citation-style-language/schema/raw/master/csl-citation.json"} </w:instrText>
            </w:r>
            <w:r w:rsidR="007A2E82" w:rsidRPr="00837161">
              <w:fldChar w:fldCharType="separate"/>
            </w:r>
            <w:r w:rsidR="00271B78" w:rsidRPr="00271B78">
              <w:t>(Nunes et al., 2017; Oficialdegui, Sánchez, et al., 2020)</w:t>
            </w:r>
            <w:r w:rsidR="007A2E82" w:rsidRPr="00837161">
              <w:fldChar w:fldCharType="end"/>
            </w:r>
          </w:p>
        </w:tc>
        <w:tc>
          <w:tcPr>
            <w:tcW w:w="1469" w:type="dxa"/>
            <w:shd w:val="clear" w:color="auto" w:fill="auto"/>
          </w:tcPr>
          <w:p w14:paraId="000006DB" w14:textId="77777777" w:rsidR="00A758FD" w:rsidRPr="00C0338D" w:rsidRDefault="00C81287">
            <w:r w:rsidRPr="00C0338D">
              <w:t>Southern</w:t>
            </w:r>
          </w:p>
          <w:p w14:paraId="000006DC" w14:textId="77777777" w:rsidR="00A758FD" w:rsidRPr="00C0338D" w:rsidRDefault="00C81287">
            <w:r w:rsidRPr="00C0338D">
              <w:t>United States and north-eastern Mexico</w:t>
            </w:r>
          </w:p>
        </w:tc>
        <w:tc>
          <w:tcPr>
            <w:tcW w:w="1656" w:type="dxa"/>
            <w:shd w:val="clear" w:color="auto" w:fill="auto"/>
          </w:tcPr>
          <w:p w14:paraId="000006DD" w14:textId="77777777" w:rsidR="00A758FD" w:rsidRPr="00C0338D" w:rsidRDefault="00C81287">
            <w:r w:rsidRPr="00C0338D">
              <w:t>Aquaculture</w:t>
            </w:r>
          </w:p>
        </w:tc>
        <w:tc>
          <w:tcPr>
            <w:tcW w:w="2107" w:type="dxa"/>
            <w:shd w:val="clear" w:color="auto" w:fill="auto"/>
          </w:tcPr>
          <w:p w14:paraId="000006DE" w14:textId="3AB49EF3" w:rsidR="00A758FD" w:rsidRPr="00C0338D" w:rsidRDefault="00C81287">
            <w:r w:rsidRPr="00C0338D">
              <w:t xml:space="preserve">In one example in Europe, where the red swamp crayfish has a high economic value, legislation regulating the red swamp crayfish on the basis of biodiversity protection was overridden to allow continued use due to public opposition and socioeconomic interests. Therefore, the legislation did not </w:t>
            </w:r>
            <w:r w:rsidRPr="00C0338D">
              <w:lastRenderedPageBreak/>
              <w:t xml:space="preserve">achieve the desired environmental outcomes, leading to the recommendations that context specific legislation is more likely to receive wider support </w:t>
            </w:r>
            <w:r w:rsidR="007A2E82" w:rsidRPr="00837161">
              <w:fldChar w:fldCharType="begin"/>
            </w:r>
            <w:r w:rsidR="000F35EB">
              <w:instrText xml:space="preserve"> ADDIN ZOTERO_ITEM CSL_CITATION {"citationID":"HEhonGGF","properties":{"formattedCitation":"(Oficialdegui, Delibes-Mateos, et al., 2020)","plainCitation":"(Oficialdegui, Delibes-Mateos, et al., 2020)","noteIndex":0},"citationItems":[{"id":52349,"uris":["http://zotero.org/groups/2352922/items/D4CG2H25"],"itemData":{"id":52349,"type":"article-journal","container-title":"Conservation Biology","DOI":"10.1111/cobi.13481","ISSN":"1523-1739","issue":"4","language":"en","note":"_eprint: https://onlinelibrary.wiley.com/doi/pdf/10.1111/cobi.13481","page":"1047-1050","source":"Wiley Online Library","title":"Rigid laws and invasive species management","URL":"https://onlinelibrary.wiley.com/doi/abs/10.1111/cobi.13481","volume":"34","author":[{"family":"Oficialdegui","given":"Francisco J."},{"family":"Delibes-Mateos","given":"Miguel"},{"family":"Green","given":"Andy J."},{"family":"Sánchez","given":"Marta I."},{"family":"Boyero","given":"Luz"},{"family":"Clavero","given":"Miguel"}],"accessed":{"date-parts":[["2022",5,20]]},"issued":{"date-parts":[["2020"]]}},"label":"page"}],"schema":"https://github.com/citation-style-language/schema/raw/master/csl-citation.json"} </w:instrText>
            </w:r>
            <w:r w:rsidR="007A2E82" w:rsidRPr="00837161">
              <w:fldChar w:fldCharType="separate"/>
            </w:r>
            <w:r w:rsidR="00271B78" w:rsidRPr="00271B78">
              <w:t>(Oficialdegui, Delibes-Mateos, et al., 2020)</w:t>
            </w:r>
            <w:r w:rsidR="007A2E82" w:rsidRPr="00837161">
              <w:fldChar w:fldCharType="end"/>
            </w:r>
          </w:p>
        </w:tc>
      </w:tr>
      <w:tr w:rsidR="003666A4" w14:paraId="4AA26B9A" w14:textId="77777777">
        <w:tc>
          <w:tcPr>
            <w:tcW w:w="1536" w:type="dxa"/>
          </w:tcPr>
          <w:p w14:paraId="000006DF" w14:textId="77777777" w:rsidR="00A758FD" w:rsidRPr="00C0338D" w:rsidRDefault="00C81287">
            <w:r w:rsidRPr="00C0338D">
              <w:rPr>
                <w:i/>
              </w:rPr>
              <w:lastRenderedPageBreak/>
              <w:t>Robinia pseudoacacia</w:t>
            </w:r>
            <w:r w:rsidRPr="00C0338D">
              <w:t xml:space="preserve"> (black locust)</w:t>
            </w:r>
          </w:p>
        </w:tc>
        <w:tc>
          <w:tcPr>
            <w:tcW w:w="1376" w:type="dxa"/>
          </w:tcPr>
          <w:p w14:paraId="000006E0" w14:textId="77777777" w:rsidR="00A758FD" w:rsidRPr="00C0338D" w:rsidRDefault="00C81287">
            <w:r w:rsidRPr="00C0338D">
              <w:t xml:space="preserve">Terrestrial tree </w:t>
            </w:r>
          </w:p>
        </w:tc>
        <w:tc>
          <w:tcPr>
            <w:tcW w:w="1476" w:type="dxa"/>
            <w:shd w:val="clear" w:color="auto" w:fill="auto"/>
          </w:tcPr>
          <w:p w14:paraId="000006E1" w14:textId="77777777" w:rsidR="00A758FD" w:rsidRPr="00C0338D" w:rsidRDefault="00C81287">
            <w:pPr>
              <w:rPr>
                <w:color w:val="000000"/>
              </w:rPr>
            </w:pPr>
            <w:r w:rsidRPr="00C0338D">
              <w:t xml:space="preserve">Europe </w:t>
            </w:r>
          </w:p>
        </w:tc>
        <w:tc>
          <w:tcPr>
            <w:tcW w:w="1469" w:type="dxa"/>
            <w:shd w:val="clear" w:color="auto" w:fill="auto"/>
          </w:tcPr>
          <w:p w14:paraId="000006E2" w14:textId="77777777" w:rsidR="00A758FD" w:rsidRPr="00C0338D" w:rsidRDefault="00C81287">
            <w:pPr>
              <w:rPr>
                <w:color w:val="000000"/>
              </w:rPr>
            </w:pPr>
            <w:r w:rsidRPr="00C0338D">
              <w:t>North America</w:t>
            </w:r>
          </w:p>
        </w:tc>
        <w:tc>
          <w:tcPr>
            <w:tcW w:w="1656" w:type="dxa"/>
            <w:shd w:val="clear" w:color="auto" w:fill="auto"/>
          </w:tcPr>
          <w:p w14:paraId="000006E3" w14:textId="0363E7B9" w:rsidR="00A758FD" w:rsidRPr="00C0338D" w:rsidRDefault="00383764">
            <w:pPr>
              <w:rPr>
                <w:color w:val="000000"/>
              </w:rPr>
            </w:pPr>
            <w:r w:rsidRPr="00837161">
              <w:t xml:space="preserve">Wood and honey production, amelioration and soil stabilization </w:t>
            </w:r>
            <w:r w:rsidRPr="00837161">
              <w:fldChar w:fldCharType="begin"/>
            </w:r>
            <w:r w:rsidR="000F35EB">
              <w:instrText xml:space="preserve"> ADDIN ZOTERO_ITEM CSL_CITATION {"citationID":"kde8qUT1","properties":{"formattedCitation":"(V\\uc0\\u237{}tkov\\uc0\\u225{} et al., 2017)","plainCitation":"(Vítková et al., 2017)","noteIndex":0},"citationItems":[{"id":30994,"uris":["http://zotero.org/groups/2352922/items/27YC8Y8L"],"itemData":{"id":30994,"type":"article-journal","abstract":"Robinia pseudoacacia, invaded many countries a long time ago and is now a common part of the Central European landscape. Positive economic but negative environmental impacts of Robinia result in conflicts of interest between nature conservation, forestry, urban landscaping, beekeepers and the public when defining management priorities. Because current legislation will determine the future distribution of Robinia in the landscape, a comprehensive view of this species is necessary. Although this species is well studied, most of the scientific papers deal with the economic aspects. Other information is published in local journals or reports. Therefore we reviewed the ecological and socio-economic impact of Robinia placing particular emphasis on the species’ history, vegetation ecology, invasiveness and management. In Central Europe, Robinia is limited climatically by late spring frost combined with a short vegetation period, soil hypoxia, shade and frequent major disturbances. The long historical tradition of using Robinia for afforestation has resulted in its popularity as a widespread forest tree and it being an important part of the economy in some countries. The main reasons are its fast growth, valuable and resistant wood, suitability for amelioration, reclamation of disturbed sites and erosion control, honey-making and recently dendromass production. On the other hand, a side-effect of planting this nitrogen-fixing pioneer tree, very tolerant of the nature of the substrate, is its propagation and spread, which pose a problem for nature conservation. Robinia is considered invasive, threatening especially dry and semi-dry grasslands, some of the most species-rich and endangered types of habitat in the region, causing extinction of many endangered light-demanding plants and invertebrates due to changes in light regime, microclimate and soil conditions. Other often invaded habitats include open dry forests and shrubland, alluvial habitats, agrarian landscapes, urban and industrial environments and disturbed sites, e.g. post-fire sites, forest clearings or degraded forestry plantations. Without forestry, black locust abundance would decrease during succession in forests with highly competitive and shade tolerant trees and in mature forests it occurs only as admixture of climax trees. The limited pool of native woody species, lack of serious natural enemies and a dense cover of grasses and sedges can suppress forest succession and favour the development of Robinia monodominant stands over 70 years old. A stratified approach, which combines both tolerance in some areas and strict eradication at valuable sites, provides the best option for achieving a sustainable coexistence of Robinia with people and nature.","container-title":"Forest ecology and management","DOI":"10.1016/j.foreco.2016.10.057","ISSN":"0378-1127","journalAbbreviation":"For Ecol Manage","note":"PMID: 30237654\nPMCID: PMC6143167","page":"287-302","source":"PubMed Central","title":"Black locust (&lt;i&gt;Robinia pseudoacacia&lt;/i&gt;) beloved and despised: a story of an invasive tree in Central Europe","title-short":"Black locust (Robinia pseudoacacia) beloved and despised","URL":"https://www.ncbi.nlm.nih.gov/pmc/articles/PMC6143167/","volume":"384","author":[{"family":"Vítková","given":"Michaela"},{"family":"Müllerová","given":"Jana"},{"family":"Sádlo","given":"Jiří"},{"family":"Pergl","given":"Jan"},{"family":"Pyšek","given":"Petr"}],"accessed":{"date-parts":[["2021",3,12]]},"issued":{"date-parts":[["2017",1,15]]}},"label":"page"}],"schema":"https://github.com/citation-style-language/schema/raw/master/csl-citation.json"} </w:instrText>
            </w:r>
            <w:r w:rsidRPr="00837161">
              <w:fldChar w:fldCharType="separate"/>
            </w:r>
            <w:r w:rsidR="00271B78" w:rsidRPr="00271B78">
              <w:t>(Vítková et al., 2017)</w:t>
            </w:r>
            <w:r w:rsidRPr="00837161">
              <w:fldChar w:fldCharType="end"/>
            </w:r>
          </w:p>
        </w:tc>
        <w:tc>
          <w:tcPr>
            <w:tcW w:w="2107" w:type="dxa"/>
            <w:shd w:val="clear" w:color="auto" w:fill="auto"/>
          </w:tcPr>
          <w:p w14:paraId="000006E4" w14:textId="77777777" w:rsidR="00A758FD" w:rsidRPr="00C0338D" w:rsidRDefault="00C81287">
            <w:pPr>
              <w:rPr>
                <w:color w:val="000000"/>
              </w:rPr>
            </w:pPr>
            <w:r w:rsidRPr="00C0338D">
              <w:t>Societal concern resulted in the species not being included in the list of regulated species at the European level. In some countries, management is based on site-specific approaches leading to tolerance in selected areas and strict eradication at sites of high conservation value.</w:t>
            </w:r>
          </w:p>
        </w:tc>
      </w:tr>
      <w:tr w:rsidR="003666A4" w14:paraId="5406DE51" w14:textId="77777777">
        <w:tc>
          <w:tcPr>
            <w:tcW w:w="1536" w:type="dxa"/>
          </w:tcPr>
          <w:p w14:paraId="000006E5" w14:textId="77777777" w:rsidR="00A758FD" w:rsidRPr="00C0338D" w:rsidRDefault="00C81287">
            <w:r w:rsidRPr="00C0338D">
              <w:rPr>
                <w:i/>
              </w:rPr>
              <w:t>Prosopis juliflora</w:t>
            </w:r>
            <w:r w:rsidRPr="00C0338D">
              <w:t xml:space="preserve"> (mesquite)</w:t>
            </w:r>
          </w:p>
        </w:tc>
        <w:tc>
          <w:tcPr>
            <w:tcW w:w="1376" w:type="dxa"/>
          </w:tcPr>
          <w:p w14:paraId="000006E6" w14:textId="77777777" w:rsidR="00A758FD" w:rsidRPr="00C0338D" w:rsidRDefault="00C81287">
            <w:pPr>
              <w:rPr>
                <w:highlight w:val="yellow"/>
              </w:rPr>
            </w:pPr>
            <w:r w:rsidRPr="00C0338D">
              <w:t xml:space="preserve">Terrestrial tree </w:t>
            </w:r>
          </w:p>
        </w:tc>
        <w:tc>
          <w:tcPr>
            <w:tcW w:w="1476" w:type="dxa"/>
            <w:shd w:val="clear" w:color="auto" w:fill="auto"/>
          </w:tcPr>
          <w:p w14:paraId="000006E7" w14:textId="77777777" w:rsidR="00A758FD" w:rsidRPr="00C0338D" w:rsidRDefault="00C81287">
            <w:r w:rsidRPr="00C0338D">
              <w:t>35 countries in Africa; over 20 countries in Asia and the Pacific</w:t>
            </w:r>
          </w:p>
        </w:tc>
        <w:tc>
          <w:tcPr>
            <w:tcW w:w="1469" w:type="dxa"/>
            <w:shd w:val="clear" w:color="auto" w:fill="auto"/>
          </w:tcPr>
          <w:p w14:paraId="000006E8" w14:textId="77777777" w:rsidR="00A758FD" w:rsidRPr="00C0338D" w:rsidRDefault="00C81287">
            <w:pPr>
              <w:rPr>
                <w:color w:val="000000"/>
              </w:rPr>
            </w:pPr>
            <w:r w:rsidRPr="00C0338D">
              <w:t>The Americas</w:t>
            </w:r>
          </w:p>
        </w:tc>
        <w:tc>
          <w:tcPr>
            <w:tcW w:w="1656" w:type="dxa"/>
            <w:shd w:val="clear" w:color="auto" w:fill="auto"/>
          </w:tcPr>
          <w:p w14:paraId="000006E9" w14:textId="77777777" w:rsidR="00A758FD" w:rsidRPr="00C0338D" w:rsidRDefault="00C81287">
            <w:r w:rsidRPr="00C0338D">
              <w:t>Soil stabilization and to provide fuel and livestock fodder</w:t>
            </w:r>
          </w:p>
          <w:p w14:paraId="000006EA" w14:textId="77777777" w:rsidR="00A758FD" w:rsidRPr="00C0338D" w:rsidRDefault="00A758FD"/>
          <w:p w14:paraId="000006EB" w14:textId="77777777" w:rsidR="00A758FD" w:rsidRPr="00C0338D" w:rsidRDefault="00A758FD"/>
          <w:p w14:paraId="000006EC" w14:textId="77777777" w:rsidR="00A758FD" w:rsidRPr="00C0338D" w:rsidRDefault="00A758FD"/>
          <w:p w14:paraId="000006ED" w14:textId="77777777" w:rsidR="00A758FD" w:rsidRPr="00C0338D" w:rsidRDefault="00A758FD"/>
          <w:p w14:paraId="000006EE" w14:textId="77777777" w:rsidR="00A758FD" w:rsidRPr="00C0338D" w:rsidRDefault="00A758FD"/>
          <w:p w14:paraId="000006EF" w14:textId="77777777" w:rsidR="00A758FD" w:rsidRPr="00C0338D" w:rsidRDefault="00C81287">
            <w:pPr>
              <w:rPr>
                <w:color w:val="000000"/>
              </w:rPr>
            </w:pPr>
            <w:r w:rsidRPr="00C0338D">
              <w:t xml:space="preserve">It was introduced into South </w:t>
            </w:r>
            <w:r w:rsidRPr="00C0338D">
              <w:lastRenderedPageBreak/>
              <w:t xml:space="preserve">India for fuelwood purposes and to benefit the dryland economy </w:t>
            </w:r>
          </w:p>
        </w:tc>
        <w:tc>
          <w:tcPr>
            <w:tcW w:w="2107" w:type="dxa"/>
            <w:shd w:val="clear" w:color="auto" w:fill="auto"/>
          </w:tcPr>
          <w:p w14:paraId="521059D1" w14:textId="14D54A8E" w:rsidR="00383764" w:rsidRPr="00837161" w:rsidRDefault="00383764" w:rsidP="00C11DFA">
            <w:pPr>
              <w:rPr>
                <w:shd w:val="clear" w:color="auto" w:fill="FFFFFF"/>
              </w:rPr>
            </w:pPr>
            <w:r w:rsidRPr="00837161">
              <w:rPr>
                <w:rFonts w:eastAsia="Calibri"/>
              </w:rPr>
              <w:lastRenderedPageBreak/>
              <w:t xml:space="preserve">In one region a national plan to </w:t>
            </w:r>
            <w:r w:rsidRPr="00837161">
              <w:rPr>
                <w:shd w:val="clear" w:color="auto" w:fill="FFFFFF"/>
              </w:rPr>
              <w:t>manage the invasion</w:t>
            </w:r>
            <w:r w:rsidRPr="00837161">
              <w:rPr>
                <w:rFonts w:eastAsia="Calibri"/>
              </w:rPr>
              <w:t xml:space="preserve"> is under development, driven by bottom-up concerns, </w:t>
            </w:r>
            <w:r w:rsidRPr="00837161">
              <w:rPr>
                <w:shd w:val="clear" w:color="auto" w:fill="FFFFFF"/>
              </w:rPr>
              <w:t xml:space="preserve">as a community requested compensation from the government after losing their cattle due to the effects of </w:t>
            </w:r>
            <w:r w:rsidR="00AF5FA5" w:rsidRPr="00837161">
              <w:rPr>
                <w:i/>
                <w:iCs/>
                <w:shd w:val="clear" w:color="auto" w:fill="FFFFFF"/>
              </w:rPr>
              <w:t>Prosopis</w:t>
            </w:r>
            <w:r w:rsidRPr="00837161">
              <w:rPr>
                <w:i/>
                <w:iCs/>
                <w:shd w:val="clear" w:color="auto" w:fill="FFFFFF"/>
              </w:rPr>
              <w:t xml:space="preserve"> </w:t>
            </w:r>
            <w:r w:rsidRPr="00837161">
              <w:rPr>
                <w:i/>
                <w:iCs/>
                <w:shd w:val="clear" w:color="auto" w:fill="FFFFFF"/>
              </w:rPr>
              <w:lastRenderedPageBreak/>
              <w:t>juliflora</w:t>
            </w:r>
            <w:r w:rsidRPr="00837161">
              <w:rPr>
                <w:shd w:val="clear" w:color="auto" w:fill="FFFFFF"/>
              </w:rPr>
              <w:t xml:space="preserve">. As it was introduced in a government programme </w:t>
            </w:r>
            <w:r w:rsidRPr="00837161">
              <w:rPr>
                <w:shd w:val="clear" w:color="auto" w:fill="FFFFFF"/>
              </w:rPr>
              <w:fldChar w:fldCharType="begin"/>
            </w:r>
            <w:r w:rsidR="000F35EB">
              <w:rPr>
                <w:shd w:val="clear" w:color="auto" w:fill="FFFFFF"/>
              </w:rPr>
              <w:instrText xml:space="preserve"> ADDIN ZOTERO_ITEM CSL_CITATION {"citationID":"VMhWEZHJ","properties":{"formattedCitation":"(R. T. Shackleton et al., 2014)","plainCitation":"(R. T. Shackleton et al., 2014)","dontUpdate":true,"noteIndex":0},"citationItems":[{"id":30997,"uris":["http://zotero.org/groups/2352922/items/QFIBHHV3"],"itemData":{"id":30997,"type":"article-journal","abstract":"Invasive species cause ecological, economic and social impacts and are key drivers of global change. This is the case for the genus Prosopis (mesquite; Fabaceae) where several taxa are among the world's most damaging invasive species. Many contentious issues ('conflicts of interest') surround these taxa, and management interventions have not yet sustainably reduced the negative impacts. There is an urgent need to better understand the factors that drive invasions and shape management actions, and to compare the effectiveness of different management approaches. This paper presents a global review of Prosopis, focusing on its distribution, impacts, benefits and approaches to management. Prosopis was found to occur in a 129 countries globally and many more countries are climatically suitable. All areas with naturalized or invasive Prosopis species at present are suitable for more taxa and many Asian and Mediterranean countries with no records of Prosopis are bioclimatically suitable. Several Prosopis species have substantial impacts on biodiversity, ecosystem services, and local and regional economies in their native and even more so in their invasive ranges; others provide multiple benefits to local communities. Management efforts are underway in only a small part of the invaded range. Countries where more research has been done are more likely to implement formal management than those where little published research is available. Management strategies differ among countries; developed nations use mainly mechanical and chemical control whereas developing nations tend to apply control through utilization approaches. A range of countries are also using biological control. Key gaps in knowledge and promising options for management are highlighted.","container-title":"AoB PLANTS","DOI":"10.1093/aobpla/plu027","ISSN":"20412851","language":"en","note":"PMID: 24899150","page":"plu027","source":"DOI.org (Crossref)","title":"&lt;i&gt;Prosopis&lt;/i&gt;: A global assessment of the biogeography, benefits, impacts and management of one of the world's worst woody invasive plant taxa","title-short":"Prosopis","URL":"https://academic.oup.com/aobpla/article/doi/10.1093/aobpla/plu027/158411","volume":"6","author":[{"family":"Shackleton","given":"Ross T."},{"family":"Le Maitre","given":"David C."},{"family":"Pasiecznik","given":"Nick M."},{"family":"Richardson","given":"David M."}],"issued":{"date-parts":[["2014",1,1]]}}}],"schema":"https://github.com/citation-style-language/schema/raw/master/csl-citation.json"} </w:instrText>
            </w:r>
            <w:r w:rsidRPr="00837161">
              <w:rPr>
                <w:shd w:val="clear" w:color="auto" w:fill="FFFFFF"/>
              </w:rPr>
              <w:fldChar w:fldCharType="separate"/>
            </w:r>
            <w:r w:rsidRPr="00837161">
              <w:t>(Shackleton et al., 2014)</w:t>
            </w:r>
            <w:r w:rsidRPr="00837161">
              <w:rPr>
                <w:shd w:val="clear" w:color="auto" w:fill="FFFFFF"/>
              </w:rPr>
              <w:fldChar w:fldCharType="end"/>
            </w:r>
            <w:r w:rsidRPr="00837161">
              <w:rPr>
                <w:shd w:val="clear" w:color="auto" w:fill="FFFFFF"/>
              </w:rPr>
              <w:t>, the community was awarded compensation</w:t>
            </w:r>
            <w:r w:rsidRPr="00837161">
              <w:rPr>
                <w:rFonts w:eastAsia="Calibri"/>
              </w:rPr>
              <w:t xml:space="preserve"> </w:t>
            </w:r>
            <w:r w:rsidR="00CD411F" w:rsidRPr="00837161">
              <w:rPr>
                <w:rFonts w:eastAsia="Calibri"/>
              </w:rPr>
              <w:fldChar w:fldCharType="begin"/>
            </w:r>
            <w:r w:rsidR="00E25D54">
              <w:rPr>
                <w:rFonts w:eastAsia="Calibri"/>
              </w:rPr>
              <w:instrText xml:space="preserve"> ADDIN ZOTERO_ITEM CSL_CITATION {"citationID":"y2wg4cDt","properties":{"formattedCitation":"(Castillo, 2019)","plainCitation":"(Castillo, 2019)","noteIndex":0},"citationItems":[{"id":29971,"uris":["http://zotero.org/groups/2352922/items/IU47SXLI"],"itemData":{"id":29971,"type":"thesis","abstract":"ENGLISH ABSTRACT: Increased movement of humans and goods around the world has facilitated the transportation of many species into new geographic ranges. A significant number of these have become invasive, resulting in substantial ecological, social, and economic impacts. In order to develop effective management strategies, it is necessary to elucidate the drivers underlying invasion and to understand what determines species invasiveness. Progress in the understanding and management of biological invasions depends on proper taxonomic identification of invasive species. However, the taxonomy of many alien taxa remains problematic due to unresolved species relationships, geographic distributions and/or inter-specific hybridization, among others.  \nMequite trees from the genus Prosopis are problematic invasive species in many parts of the world. To resolve taxonomic uncertainty among Prosopis species globally, I used phylogenetic and population genetic approaches to examine evolutionary relationships and levels of genetic diversity and population genetic similarity among Prosopis species collected from four native regions (Argentina, Chile, Mexico and Peru) and six non-native regions (Australia, Hawaii, Kenya, Ethiopia, Tanzania and South Africa). The genetic analysis showed high phylogenetic similarity, low genetic differentiation between species from the native range and provided evidence for inter-specific hybridization between different Prosopis species in both native and non-native ranges. My findings suggest that hybridization between previoulsy allopatric species may occur frequently when they are co-introduced into new ranges. In addition, polyploid individuals were detected in both native and non-native areas, with tetraploid P. juliflora being highly differentiated from other diploid Prosopis species. Polyploidy is therefore proposed as an additional mechanism that facilitates reproductive isolation between some Prosopis species. Lastly, levels of genetic diversity suggest that invasive populations in Eastern Africa (Kenya and Ethiopia) probably resulted from multiple introductions of two species, P. juliflora and P. pallida.  \nProsopis invasion in Eastern Africa provided an excellent opportunity to examine how the ecological and genetic attributes of invasiveness, and drivers of invasion success, vary with context and taxon, because the founder trees of two species, tetraploid P. julifora and diploid P. pallida, are still present in the original plantations today. Here, I exploited these unique circumstances and examined the mechanisms – such as plasticity, rapid post-introduction evolution and hybridization – that contribute to the invasion success of these trees in Baringo County, Kenya and Afar Region, Ethiopia. I found that in Baringo County, despite the similar invasion history of P. pallida and P. juliflora and probable inter-species hybridization, only P. juliflora individuals became invasive in the region; indicating that the success of Prosopis invasion is not attributed to hybridization but potentially to the higher ploidy of P. juliflora. Similarly, in Ethiopia’s Afar Region, genotypes consisted exclusively of P. juliflora. In Kenya’s Baringo County, I performed common garden and reciprocal field transplant experiments that indicated that high levels of phenotypic plasticity and post-introduction evolution had contributed to the invasiveness of P. juliflora. Similar levels of plasticity were absent from introduced, but non-invasive, P. pallida. My results also showed that different demographic processes may be occurring in the Afar region (Ethiopia) and Baringo County (Kenya). In the latter, contemporary genetic change during the invasive spread, or founder effects during initial range expansion from plantations, may explain the genetic erosion I found along the range expansion of Prosopis. In Afar Region, successful spread may have been promoted by gene flow from “source” plantations to invasive genotypes, homogenizing standing genetic diversity across the invasion. Lastly, by using landscape resistance modelling in both areas, I showed that dispersal among Prosopis populations was not influenced by any of the attributes analysed: physical distance between populations, variables related to human and animal-mediated dispersal along roads and rivers, bioclimatic and altitudinal conditions. Therefore, the dispersal of Prosopis populations was not constrained by any landscape variable, and probably involved frequent human-assisted long-distance dispersal. Overal, this study showed that hybridization, polyploidy or both have contributed to the invasiveness of Prosopis. Finally, this study formed part of a larger international collaborative project entitled “Woody invasive alien species (IAS) in Eastern Africa: assessing and mitigating their negative impacts on ecosystem services and rural livelihoods” (hereafter referred to as Woody Weeds), with the overall objective of mitigating the impacts of woody IAS on biodiversity, ecosystem services and rural livelihoods in Eastern Africa. For this, basic knowledge about the invasion process and the impacts of woody IAS are being evaluated and diverse control and sustainable land management strategies are being proposed. In collaboration with PhD students involved in the Woody Weeds project, I propose key components of research projects addressing complex social-ecological topics that facilitate inter-disciplinary and, when interacting with stakeholders, trans-disciplinary research. Trans-disciplinary approaches should have a clear structure that transcends disciplines through amultidisciplinary team with common goals. To allow for integration and upscaling of findings, there should be a co-design of data collection using different methodologies in the same experimental units/scales. It is important to have the clear intention to identify management options with stakeholders, estimate their effects and test their implementation, as well as provide transdisciplinary training for all project participants. To facilitate the integration of the drivers of alien plant invasion into the development of effective management options, I concluded with a discussion of two principal questions: (i) How does an improved understanding of the eco-evolutionary drivers of invasiveness help us to better manage the problem? (ii) What implications does the better understanding of genetic and ecological drivers have for the use of particular control methods, especially biological control?","genre":"Thesis","language":"en_ZA","license":"Stellenbosch University","note":"Accepted: 2019-10-30T20:56:44Z\nNo unique identifier","publisher":"Stellenbosch : Stellenbosch University","source":"scholar.sun.ac.za","title":"Processes and drivers of &lt;i&gt;Prosopis&lt;/i&gt; invasions in Eastern Africa","author":[{"family":"Castillo","given":"Maria Loreto"}],"accessed":{"date-parts":[["2021",4,12]]},"issued":{"date-parts":[["2019",12]]}},"label":"page"}],"schema":"https://github.com/citation-style-language/schema/raw/master/csl-citation.json"} </w:instrText>
            </w:r>
            <w:r w:rsidR="00CD411F" w:rsidRPr="00837161">
              <w:rPr>
                <w:rFonts w:eastAsia="Calibri"/>
              </w:rPr>
              <w:fldChar w:fldCharType="separate"/>
            </w:r>
            <w:r w:rsidR="00271B78" w:rsidRPr="00271B78">
              <w:t>(Castillo, 2019)</w:t>
            </w:r>
            <w:r w:rsidR="00CD411F" w:rsidRPr="00837161">
              <w:rPr>
                <w:rFonts w:eastAsia="Calibri"/>
              </w:rPr>
              <w:fldChar w:fldCharType="end"/>
            </w:r>
            <w:r w:rsidRPr="00837161">
              <w:rPr>
                <w:rFonts w:eastAsia="Calibri"/>
              </w:rPr>
              <w:t>.</w:t>
            </w:r>
          </w:p>
          <w:p w14:paraId="000006F1" w14:textId="41E33C58" w:rsidR="00A758FD" w:rsidRPr="00C0338D" w:rsidRDefault="00C81287">
            <w:r w:rsidRPr="00C0338D">
              <w:t xml:space="preserve">The use of </w:t>
            </w:r>
            <w:r w:rsidRPr="00C0338D">
              <w:rPr>
                <w:i/>
              </w:rPr>
              <w:t>Prosopis juliflora</w:t>
            </w:r>
            <w:r w:rsidRPr="00C0338D">
              <w:t xml:space="preserve"> is a socio-economic concern in southern India where management is a complex issue as charcoal from the tree is a source of income for local people </w:t>
            </w:r>
            <w:r w:rsidR="00383764" w:rsidRPr="00837161">
              <w:fldChar w:fldCharType="begin"/>
            </w:r>
            <w:r w:rsidR="000F35EB">
              <w:instrText xml:space="preserve"> ADDIN ZOTERO_ITEM CSL_CITATION {"citationID":"YvvaFeIA","properties":{"formattedCitation":"(Walter &amp; Armstrong, 2014)","plainCitation":"(Walter &amp; Armstrong, 2014)","noteIndex":0},"citationItems":[{"id":30481,"uris":["http://zotero.org/groups/2352922/items/D5VFK5UZ"],"itemData":{"id":30481,"type":"article-journal","container-title":"Forests, Trees and Livelihoods","DOI":"10.1080/14728028.2014.919880","ISSN":"1472-8028, 2164-3075","issue":"4","journalAbbreviation":"Forests, Trees and Livelihoods","language":"en","page":"232-247","source":"DOI.org (Crossref)","title":"Benefits, threats and potential of &lt;i&gt;Prosopis&lt;/i&gt; in South India","URL":"http://www.tandfonline.com/doi/abs/10.1080/14728028.2014.919880","volume":"23","author":[{"family":"Walter","given":"Kurt J."},{"family":"Armstrong","given":"Karen V."}],"accessed":{"date-parts":[["2019",11,5]]},"issued":{"date-parts":[["2014",10,2]]}},"label":"page"}],"schema":"https://github.com/citation-style-language/schema/raw/master/csl-citation.json"} </w:instrText>
            </w:r>
            <w:r w:rsidR="00383764" w:rsidRPr="00837161">
              <w:fldChar w:fldCharType="separate"/>
            </w:r>
            <w:r w:rsidR="00271B78" w:rsidRPr="00271B78">
              <w:t>(Walter &amp; Armstrong, 2014)</w:t>
            </w:r>
            <w:r w:rsidR="00383764" w:rsidRPr="00837161">
              <w:fldChar w:fldCharType="end"/>
            </w:r>
            <w:r w:rsidR="00383764" w:rsidRPr="00837161">
              <w:t>.</w:t>
            </w:r>
            <w:r w:rsidRPr="00C0338D">
              <w:t xml:space="preserve"> Increased use of the wood through proper silvicultural management was proposed to control spread.</w:t>
            </w:r>
          </w:p>
        </w:tc>
      </w:tr>
      <w:tr w:rsidR="003666A4" w14:paraId="2A5951CF" w14:textId="77777777">
        <w:tc>
          <w:tcPr>
            <w:tcW w:w="1536" w:type="dxa"/>
          </w:tcPr>
          <w:p w14:paraId="000006F2" w14:textId="21A6E4E7" w:rsidR="00A758FD" w:rsidRPr="00C0338D" w:rsidRDefault="00383764">
            <w:r w:rsidRPr="00837161">
              <w:lastRenderedPageBreak/>
              <w:t>Grasses and legumes (8200 species</w:t>
            </w:r>
            <w:r w:rsidR="00350919" w:rsidRPr="00837161">
              <w:t>;</w:t>
            </w:r>
            <w:r w:rsidRPr="00837161">
              <w:t xml:space="preserve"> </w:t>
            </w:r>
            <w:r w:rsidR="00295C45" w:rsidRPr="00837161">
              <w:fldChar w:fldCharType="begin"/>
            </w:r>
            <w:r w:rsidR="000F35EB">
              <w:instrText xml:space="preserve"> ADDIN ZOTERO_ITEM CSL_CITATION {"citationID":"0yeVxVl5","properties":{"formattedCitation":"(V. M. Adams &amp; Setterfield, 2015; G. D. Cook &amp; Dias, 2006)","plainCitation":"(V. M. Adams &amp; Setterfield, 2015; G. D. Cook &amp; Dias, 2006)","dontUpdate":true,"noteIndex":0},"citationItems":[{"id":16501,"uris":["http://zotero.org/groups/2352922/items/RHQZVGY3"],"itemData":{"id":16501,"type":"article-journal","abstract":"The social, economic, and environmental impacts of invasive plants are well recognized. However, these variable impacts are rarely accounted for in the spatial prioritization of funding for weed management. We examine how current spatially explicit prioritization methods can be extended to identify optimal budget allocations to both eradication and control measures of invasive species to minimize the costs and likelihood of invasion. Our framework extends recent approaches to systematic prioritization of weed management to account for multiple values that are threatened by weed invasions with a multi-year dynamic prioritization approach. We apply our method to the northern portion of the Daly catchment in the Northern Territory, which has significant conservation values that are threatened by gamba grass (Andropogon gayanus), a highly invasive species recognized by the Australian government as a Weed of National Significance (WONS). We interface Marxan, a widely applied conservation planning tool, with a dynamic biophysical model of gamba grass to optimally allocate funds to eradication and control programs under two budget scenarios comparing maximizing gain (MaxGain) and minimizing loss (MinLoss) optimization approaches. The prioritizations support previous findings that a MinLoss approach is a better strategy when threats are more spatially variable than conservation values. Over a 10-year simulation period, we find that a MinLoss approach reduces future infestations by </w:instrText>
            </w:r>
            <w:r w:rsidR="000F35EB">
              <w:rPr>
                <w:rFonts w:ascii="ＭＳ 明朝" w:eastAsia="ＭＳ 明朝" w:hAnsi="ＭＳ 明朝" w:cs="ＭＳ 明朝" w:hint="eastAsia"/>
              </w:rPr>
              <w:instrText>∼</w:instrText>
            </w:r>
            <w:r w:rsidR="000F35EB">
              <w:instrText xml:space="preserve">8% compared to MaxGain in the constrained budget scenarios and </w:instrText>
            </w:r>
            <w:r w:rsidR="000F35EB">
              <w:rPr>
                <w:rFonts w:ascii="ＭＳ 明朝" w:eastAsia="ＭＳ 明朝" w:hAnsi="ＭＳ 明朝" w:cs="ＭＳ 明朝" w:hint="eastAsia"/>
              </w:rPr>
              <w:instrText>∼</w:instrText>
            </w:r>
            <w:r w:rsidR="000F35EB">
              <w:instrText xml:space="preserve">12% in the unlimited budget scenarios. We find that due to the extensive current invasion and rapid rate of spread, allocating the annual budget to control efforts is more efficient than funding eradication efforts when there is a constrained budget. Under a constrained budget, applying the most efficient optimization scenario (control, minloss) reduces spread by </w:instrText>
            </w:r>
            <w:r w:rsidR="000F35EB">
              <w:rPr>
                <w:rFonts w:ascii="ＭＳ 明朝" w:eastAsia="ＭＳ 明朝" w:hAnsi="ＭＳ 明朝" w:cs="ＭＳ 明朝" w:hint="eastAsia"/>
              </w:rPr>
              <w:instrText>∼</w:instrText>
            </w:r>
            <w:r w:rsidR="000F35EB">
              <w:instrText xml:space="preserve">27% compared to no control. Conversely, if the budget is unlimited it is more efficient to fund eradication efforts and reduces spread by </w:instrText>
            </w:r>
            <w:r w:rsidR="000F35EB">
              <w:rPr>
                <w:rFonts w:ascii="ＭＳ 明朝" w:eastAsia="ＭＳ 明朝" w:hAnsi="ＭＳ 明朝" w:cs="ＭＳ 明朝" w:hint="eastAsia"/>
              </w:rPr>
              <w:instrText>∼</w:instrText>
            </w:r>
            <w:r w:rsidR="000F35EB">
              <w:instrText xml:space="preserve">65% compared to no control. © 2015 by the Ecological Society of America.","container-title":"Ecological Applications","DOI":"10.1890/14-1062.1","issue":"4","page":"1131-1141","title":"Optimal dynamic control of invasions: Applying a systematic conservation approach","URL":"https://doi.org/10.1890/14-1062.1","volume":"25","author":[{"family":"Adams","given":"V. M."},{"family":"Setterfield","given":"S.A."}],"issued":{"date-parts":[["2015"]]}},"label":"page"},{"id":32944,"uris":["http://zotero.org/groups/2352922/items/QGKNGZRV"],"itemData":{"id":32944,"type":"article-journal","abstract":"The weedy potential of deliberately introduced plants has been a growing concern in Australia since the late 1980s. Although introduced plants are critical to Australia’s agricultural and livestock production, many species that were praised in the past are now declared agricultural and environmental weeds. Nevertheless, weeds researchers appear largely ignorant of the magnitude and intent of plant introductions for agricultural purposes as well as the legacy of unwanted plants. Across more than 70 years, Commonwealth Plant Introductions comprised 145 000 accessions of more than 8200 species. These species include more than 2200 grass (Poaceae) and 2200 legume species (Fabaceae sensu stricto), representing about twice the indigenous flora in those families and about 22 and 18%, respectively, of the global flora of grasses and legumes. For most of the 20th century, these and other introductions supported research into continental-scale transformation of Australian landscapes to support greatly increased pastoral productivity in order to achieve policy goals of maximum density of human population. This paper documents some of the scientific developments and debates that affected the plant-introduction program. We argue that recent developments in weed science and policy need to be informed by a better understanding of plant-introduction history.","container-title":"Australian Journal of Botany","DOI":"10.1071/BT05157","ISSN":"0067-1924","issue":"7","journalAbbreviation":"Aust. J. Bot.","language":"en","page":"601-625","source":"DOI.org (Crossref)","title":"It was no accident: deliberate plant introductions by Australian government agencies during the 20th century","title-short":"It was no accident","URL":"http://www.publish.csiro.au/?paper=BT05157","volume":"54","author":[{"family":"Cook","given":"Garry D."},{"family":"Dias","given":"Lesley"}],"accessed":{"date-parts":[["2021",11,18]]},"issued":{"date-parts":[["2006"]]}},"label":"page"}],"schema":"https://github.com/citation-style-language/schema/raw/master/csl-citation.json"} </w:instrText>
            </w:r>
            <w:r w:rsidR="00295C45" w:rsidRPr="00837161">
              <w:fldChar w:fldCharType="separate"/>
            </w:r>
            <w:r w:rsidR="00D83B75" w:rsidRPr="00837161">
              <w:t>V. M. Adams &amp; Setterfield, 2015; G. D. Cook &amp; Dias, 2006)</w:t>
            </w:r>
            <w:r w:rsidR="00295C45" w:rsidRPr="00837161">
              <w:fldChar w:fldCharType="end"/>
            </w:r>
            <w:r w:rsidR="00295C45" w:rsidRPr="00837161">
              <w:t xml:space="preserve"> </w:t>
            </w:r>
          </w:p>
        </w:tc>
        <w:tc>
          <w:tcPr>
            <w:tcW w:w="1376" w:type="dxa"/>
          </w:tcPr>
          <w:p w14:paraId="000006F3" w14:textId="77777777" w:rsidR="00A758FD" w:rsidRPr="002F2F42" w:rsidRDefault="00C81287">
            <w:pPr>
              <w:rPr>
                <w:color w:val="000000" w:themeColor="text1"/>
              </w:rPr>
            </w:pPr>
            <w:r w:rsidRPr="00C0338D">
              <w:t>Terrestrial plant</w:t>
            </w:r>
          </w:p>
        </w:tc>
        <w:tc>
          <w:tcPr>
            <w:tcW w:w="1476" w:type="dxa"/>
            <w:shd w:val="clear" w:color="auto" w:fill="auto"/>
          </w:tcPr>
          <w:p w14:paraId="000006F4" w14:textId="77777777" w:rsidR="00A758FD" w:rsidRPr="00C0338D" w:rsidRDefault="00C81287">
            <w:r w:rsidRPr="00C0338D">
              <w:t xml:space="preserve">Australasia </w:t>
            </w:r>
          </w:p>
        </w:tc>
        <w:tc>
          <w:tcPr>
            <w:tcW w:w="1469" w:type="dxa"/>
            <w:shd w:val="clear" w:color="auto" w:fill="auto"/>
          </w:tcPr>
          <w:p w14:paraId="000006F5" w14:textId="77777777" w:rsidR="00A758FD" w:rsidRPr="00C0338D" w:rsidRDefault="00C81287">
            <w:r w:rsidRPr="00C0338D">
              <w:t>All continents</w:t>
            </w:r>
          </w:p>
        </w:tc>
        <w:tc>
          <w:tcPr>
            <w:tcW w:w="1656" w:type="dxa"/>
            <w:shd w:val="clear" w:color="auto" w:fill="auto"/>
          </w:tcPr>
          <w:p w14:paraId="000006F6" w14:textId="77777777" w:rsidR="00A758FD" w:rsidRPr="00C0338D" w:rsidRDefault="00C81287">
            <w:r w:rsidRPr="00C0338D">
              <w:t>For pastoral improvement</w:t>
            </w:r>
          </w:p>
        </w:tc>
        <w:tc>
          <w:tcPr>
            <w:tcW w:w="2107" w:type="dxa"/>
            <w:shd w:val="clear" w:color="auto" w:fill="auto"/>
          </w:tcPr>
          <w:p w14:paraId="000006F7" w14:textId="4B3820E1" w:rsidR="00A758FD" w:rsidRPr="00C0338D" w:rsidRDefault="00383764">
            <w:r w:rsidRPr="00837161">
              <w:rPr>
                <w:lang w:eastAsia="ja-JP"/>
              </w:rPr>
              <w:t xml:space="preserve">Of all the species introduced, twice as many became invasive alien species than became useful </w:t>
            </w:r>
            <w:r w:rsidR="00CD411F" w:rsidRPr="00837161">
              <w:rPr>
                <w:lang w:eastAsia="ja-JP"/>
              </w:rPr>
              <w:fldChar w:fldCharType="begin"/>
            </w:r>
            <w:r w:rsidR="000F35EB">
              <w:rPr>
                <w:lang w:eastAsia="ja-JP"/>
              </w:rPr>
              <w:instrText xml:space="preserve"> ADDIN ZOTERO_ITEM CSL_CITATION {"citationID":"4JZGfsu2","properties":{"formattedCitation":"(Lonsdale, 1994)","plainCitation":"(Lonsdale, 1994)","noteIndex":0},"citationItems":[{"id":31449,"uris":["http://zotero.org/groups/2352922/items/7BLFHV9X"],"itemData":{"id":31449,"type":"article-journal","container-title":"Australian Journal of Ecology","DOI":"10.1111/j.1442-9993.1994.tb00498.x","issue":"3","page":"345-354","title":"Inviting trouble: Introduced pasture species in northern Australia","URL":"https://onlinelibrary.wiley.com/doi/abs/10.1111/j.1442-9993.1994.tb00498.x","volume":"19","author":[{"family":"Lonsdale","given":"W M"}],"accessed":{"date-parts":[["2021",8,22]]},"issued":{"date-parts":[["1994",9]]}},"label":"page"}],"schema":"https://github.com/citation-style-language/schema/raw/master/csl-citation.json"} </w:instrText>
            </w:r>
            <w:r w:rsidR="00CD411F" w:rsidRPr="00837161">
              <w:rPr>
                <w:lang w:eastAsia="ja-JP"/>
              </w:rPr>
              <w:fldChar w:fldCharType="separate"/>
            </w:r>
            <w:r w:rsidR="00271B78" w:rsidRPr="00271B78">
              <w:t>(Lonsdale, 1994)</w:t>
            </w:r>
            <w:r w:rsidR="00CD411F" w:rsidRPr="00837161">
              <w:rPr>
                <w:lang w:eastAsia="ja-JP"/>
              </w:rPr>
              <w:fldChar w:fldCharType="end"/>
            </w:r>
            <w:r w:rsidR="00CD411F" w:rsidRPr="00837161">
              <w:rPr>
                <w:lang w:eastAsia="ja-JP"/>
              </w:rPr>
              <w:t xml:space="preserve">. </w:t>
            </w:r>
            <w:r w:rsidRPr="00837161">
              <w:rPr>
                <w:lang w:eastAsia="ja-JP"/>
              </w:rPr>
              <w:t xml:space="preserve">Management options are being developed for two species, </w:t>
            </w:r>
            <w:r w:rsidRPr="00837161">
              <w:rPr>
                <w:i/>
                <w:iCs/>
                <w:lang w:eastAsia="ja-JP"/>
              </w:rPr>
              <w:t>Andropogon gayanus</w:t>
            </w:r>
            <w:r w:rsidRPr="00837161">
              <w:rPr>
                <w:lang w:eastAsia="ja-JP"/>
              </w:rPr>
              <w:t xml:space="preserve"> (</w:t>
            </w:r>
            <w:r w:rsidR="002F2F42">
              <w:rPr>
                <w:lang w:eastAsia="ja-JP"/>
              </w:rPr>
              <w:t>t</w:t>
            </w:r>
            <w:r w:rsidR="00AF5FA5" w:rsidRPr="00837161">
              <w:rPr>
                <w:lang w:eastAsia="ja-JP"/>
              </w:rPr>
              <w:t>ambuki grass</w:t>
            </w:r>
            <w:r w:rsidR="00350919" w:rsidRPr="00837161">
              <w:rPr>
                <w:lang w:eastAsia="ja-JP"/>
              </w:rPr>
              <w:t>;</w:t>
            </w:r>
            <w:r w:rsidRPr="00837161">
              <w:rPr>
                <w:i/>
                <w:iCs/>
                <w:lang w:eastAsia="ja-JP"/>
              </w:rPr>
              <w:t xml:space="preserve"> </w:t>
            </w:r>
            <w:r w:rsidR="00295C45" w:rsidRPr="00837161">
              <w:rPr>
                <w:lang w:eastAsia="ja-JP"/>
              </w:rPr>
              <w:fldChar w:fldCharType="begin"/>
            </w:r>
            <w:r w:rsidR="000F35EB">
              <w:rPr>
                <w:lang w:eastAsia="ja-JP"/>
              </w:rPr>
              <w:instrText xml:space="preserve"> ADDIN ZOTERO_ITEM CSL_CITATION {"citationID":"zQEEMEG0","properties":{"formattedCitation":"(V. M. Adams &amp; Setterfield, 2015)","plainCitation":"(V. M. Adams &amp; Setterfield, 2015)","dontUpdate":true,"noteIndex":0},"citationItems":[{"id":16501,"uris":["http://zotero.org/groups/2352922/items/RHQZVGY3"],"itemData":{"id":16501,"type":"article-journal","abstract":"The social, economic, and environmental impacts of invasive plants are well recognized. However, these variable impacts are rarely accounted for in the spatial prioritization of funding for weed management. We examine how current spatially explicit prioritization methods can be extended to identify optimal budget allocations to both eradication and control measures of invasive species to minimize the costs and likelihood of invasion. Our framework extends recent approaches to systematic prioritization of weed management to account for multiple values that are threatened by weed invasions with a multi-year dynamic prioritization approach. We apply our method to the northern portion of the Daly catchment in the Northern Territory, which has significant conservation values that are threatened by gamba grass (Andropogon gayanus), a highly invasive species recognized by the Australian government as a Weed of National Significance (WONS). We interface Marxan, a widely applied conservation planning tool, with a dynamic biophysical model of gamba grass to optimally allocate funds to eradication and control programs under two budget scenarios comparing maximizing gain (MaxGain) and minimizing loss (MinLoss) optimization approaches. The prioritizations support previous findings that a MinLoss approach is a better strategy when threats are more spatially variable than conservation values. Over a 10-year simulation period, we find that a MinLoss approach reduces future infestations by </w:instrText>
            </w:r>
            <w:r w:rsidR="000F35EB">
              <w:rPr>
                <w:rFonts w:ascii="ＭＳ 明朝" w:eastAsia="ＭＳ 明朝" w:hAnsi="ＭＳ 明朝" w:cs="ＭＳ 明朝" w:hint="eastAsia"/>
                <w:lang w:eastAsia="ja-JP"/>
              </w:rPr>
              <w:instrText>∼</w:instrText>
            </w:r>
            <w:r w:rsidR="000F35EB">
              <w:rPr>
                <w:lang w:eastAsia="ja-JP"/>
              </w:rPr>
              <w:instrText xml:space="preserve">8% compared to MaxGain in the constrained budget scenarios and </w:instrText>
            </w:r>
            <w:r w:rsidR="000F35EB">
              <w:rPr>
                <w:rFonts w:ascii="ＭＳ 明朝" w:eastAsia="ＭＳ 明朝" w:hAnsi="ＭＳ 明朝" w:cs="ＭＳ 明朝" w:hint="eastAsia"/>
                <w:lang w:eastAsia="ja-JP"/>
              </w:rPr>
              <w:instrText>∼</w:instrText>
            </w:r>
            <w:r w:rsidR="000F35EB">
              <w:rPr>
                <w:lang w:eastAsia="ja-JP"/>
              </w:rPr>
              <w:instrText xml:space="preserve">12% in the unlimited budget scenarios. We find that due to the extensive current invasion and rapid rate of spread, allocating the annual budget to control efforts is more efficient than funding eradication efforts when there is a constrained budget. Under a constrained budget, applying the most efficient optimization scenario (control, minloss) reduces spread by </w:instrText>
            </w:r>
            <w:r w:rsidR="000F35EB">
              <w:rPr>
                <w:rFonts w:ascii="ＭＳ 明朝" w:eastAsia="ＭＳ 明朝" w:hAnsi="ＭＳ 明朝" w:cs="ＭＳ 明朝" w:hint="eastAsia"/>
                <w:lang w:eastAsia="ja-JP"/>
              </w:rPr>
              <w:instrText>∼</w:instrText>
            </w:r>
            <w:r w:rsidR="000F35EB">
              <w:rPr>
                <w:lang w:eastAsia="ja-JP"/>
              </w:rPr>
              <w:instrText xml:space="preserve">27% compared to no control. Conversely, if the budget is unlimited it is more efficient to fund eradication efforts and reduces spread by </w:instrText>
            </w:r>
            <w:r w:rsidR="000F35EB">
              <w:rPr>
                <w:rFonts w:ascii="ＭＳ 明朝" w:eastAsia="ＭＳ 明朝" w:hAnsi="ＭＳ 明朝" w:cs="ＭＳ 明朝" w:hint="eastAsia"/>
                <w:lang w:eastAsia="ja-JP"/>
              </w:rPr>
              <w:instrText>∼</w:instrText>
            </w:r>
            <w:r w:rsidR="000F35EB">
              <w:rPr>
                <w:lang w:eastAsia="ja-JP"/>
              </w:rPr>
              <w:instrText xml:space="preserve">65% compared to no control. © 2015 by the Ecological Society of America.","container-title":"Ecological Applications","DOI":"10.1890/14-1062.1","issue":"4","page":"1131-1141","title":"Optimal dynamic control of invasions: Applying a systematic conservation approach","URL":"https://doi.org/10.1890/14-1062.1","volume":"25","author":[{"family":"Adams","given":"V. M."},{"family":"Setterfield","given":"S.A."}],"issued":{"date-parts":[["2015"]]}}}],"schema":"https://github.com/citation-style-language/schema/raw/master/csl-citation.json"} </w:instrText>
            </w:r>
            <w:r w:rsidR="00295C45" w:rsidRPr="00837161">
              <w:rPr>
                <w:lang w:eastAsia="ja-JP"/>
              </w:rPr>
              <w:fldChar w:fldCharType="separate"/>
            </w:r>
            <w:r w:rsidR="00295C45" w:rsidRPr="00837161">
              <w:t>V. M. Adams &amp; Setterfield, 2015)</w:t>
            </w:r>
            <w:r w:rsidR="00295C45" w:rsidRPr="00837161">
              <w:rPr>
                <w:lang w:eastAsia="ja-JP"/>
              </w:rPr>
              <w:fldChar w:fldCharType="end"/>
            </w:r>
            <w:r w:rsidRPr="00837161">
              <w:rPr>
                <w:lang w:eastAsia="ja-JP"/>
              </w:rPr>
              <w:t xml:space="preserve"> </w:t>
            </w:r>
            <w:r w:rsidRPr="00837161">
              <w:rPr>
                <w:lang w:eastAsia="ja-JP"/>
              </w:rPr>
              <w:lastRenderedPageBreak/>
              <w:t xml:space="preserve">and </w:t>
            </w:r>
            <w:r w:rsidRPr="00837161">
              <w:rPr>
                <w:i/>
                <w:iCs/>
                <w:lang w:eastAsia="ja-JP"/>
              </w:rPr>
              <w:t>Cenchrus ciliaris</w:t>
            </w:r>
            <w:r w:rsidRPr="00837161">
              <w:rPr>
                <w:lang w:eastAsia="ja-JP"/>
              </w:rPr>
              <w:t xml:space="preserve"> (</w:t>
            </w:r>
            <w:r w:rsidR="002F2F42">
              <w:rPr>
                <w:lang w:eastAsia="ja-JP"/>
              </w:rPr>
              <w:t>b</w:t>
            </w:r>
            <w:r w:rsidRPr="00837161">
              <w:rPr>
                <w:lang w:eastAsia="ja-JP"/>
              </w:rPr>
              <w:t>uffel grass</w:t>
            </w:r>
            <w:r w:rsidR="00350919" w:rsidRPr="00837161">
              <w:rPr>
                <w:lang w:eastAsia="ja-JP"/>
              </w:rPr>
              <w:t>;</w:t>
            </w:r>
            <w:r w:rsidRPr="00837161">
              <w:rPr>
                <w:lang w:eastAsia="ja-JP"/>
              </w:rPr>
              <w:t xml:space="preserve"> </w:t>
            </w:r>
            <w:r w:rsidR="00295C45" w:rsidRPr="00837161">
              <w:rPr>
                <w:lang w:eastAsia="ja-JP"/>
              </w:rPr>
              <w:fldChar w:fldCharType="begin"/>
            </w:r>
            <w:r w:rsidR="000F35EB">
              <w:rPr>
                <w:lang w:eastAsia="ja-JP"/>
              </w:rPr>
              <w:instrText xml:space="preserve"> ADDIN ZOTERO_ITEM CSL_CITATION {"citationID":"BeM97ioo","properties":{"formattedCitation":"(Grice et al., 2012)","plainCitation":"(Grice et al., 2012)","dontUpdate":true,"noteIndex":0},"citationItems":[{"id":53167,"uris":["http://zotero.org/groups/2352922/items/J2IJR2VN"],"itemData":{"id":53167,"type":"paper-conference","container-title":"Developing solutions to evolving weed problems. 18th Australasian Weeds Conference","event-place":"Melbourne, Victoria, Australia","event-title":"Developing solutions to evolving weed problems. 18th Australasian Weeds Conference","ISBN":"978-1-62993-288-0","page":"320-324","publisher":"Weed Science Society of Victoria Inc.","publisher-place":"Melbourne, Victoria, Australia","title":"Containment: the state of play","URL":"https://caws.org.nz/old-site/awc/2012/awc201213201.pdf","author":[{"family":"Grice","given":"A. C."},{"family":"Clarkson","given":"J. R."},{"family":"Friedel","given":"M. H."},{"family":"Murphy","given":"H. T."},{"family":"Fletcher","given":"C. S."},{"family":"Westcott","given":"D. A."}],"issued":{"date-parts":[["2012"]]}},"label":"page"}],"schema":"https://github.com/citation-style-language/schema/raw/master/csl-citation.json"} </w:instrText>
            </w:r>
            <w:r w:rsidR="00295C45" w:rsidRPr="00837161">
              <w:rPr>
                <w:lang w:eastAsia="ja-JP"/>
              </w:rPr>
              <w:fldChar w:fldCharType="separate"/>
            </w:r>
            <w:r w:rsidR="00295C45" w:rsidRPr="00837161">
              <w:t>Grice et al., 2012)</w:t>
            </w:r>
            <w:r w:rsidR="00295C45" w:rsidRPr="00837161">
              <w:rPr>
                <w:lang w:eastAsia="ja-JP"/>
              </w:rPr>
              <w:fldChar w:fldCharType="end"/>
            </w:r>
          </w:p>
        </w:tc>
      </w:tr>
      <w:tr w:rsidR="003666A4" w14:paraId="3FA4437F" w14:textId="77777777">
        <w:tc>
          <w:tcPr>
            <w:tcW w:w="1536" w:type="dxa"/>
          </w:tcPr>
          <w:p w14:paraId="000006F8" w14:textId="66B32A5B" w:rsidR="00A758FD" w:rsidRPr="00C0338D" w:rsidRDefault="00383764">
            <w:r w:rsidRPr="00837161">
              <w:lastRenderedPageBreak/>
              <w:t xml:space="preserve">33 </w:t>
            </w:r>
            <w:r w:rsidRPr="00837161">
              <w:rPr>
                <w:i/>
                <w:iCs/>
              </w:rPr>
              <w:t>Acacia</w:t>
            </w:r>
            <w:r w:rsidRPr="00837161">
              <w:t xml:space="preserve"> spp. including </w:t>
            </w:r>
            <w:r w:rsidR="00AF5FA5" w:rsidRPr="00837161">
              <w:rPr>
                <w:i/>
                <w:iCs/>
              </w:rPr>
              <w:t>Acacia</w:t>
            </w:r>
            <w:r w:rsidRPr="00837161">
              <w:rPr>
                <w:i/>
                <w:iCs/>
              </w:rPr>
              <w:t xml:space="preserve"> mearnsii</w:t>
            </w:r>
            <w:r w:rsidRPr="00837161">
              <w:t xml:space="preserve"> (black wattle</w:t>
            </w:r>
            <w:r w:rsidR="00350919" w:rsidRPr="00837161">
              <w:t>;</w:t>
            </w:r>
            <w:r w:rsidRPr="00837161">
              <w:t xml:space="preserve"> </w:t>
            </w:r>
            <w:r w:rsidR="00295C45" w:rsidRPr="00837161">
              <w:fldChar w:fldCharType="begin"/>
            </w:r>
            <w:r w:rsidR="000F35EB">
              <w:instrText xml:space="preserve"> ADDIN ZOTERO_ITEM CSL_CITATION {"citationID":"Jad57N4v","properties":{"formattedCitation":"(Magona et al., 2018)","plainCitation":"(Magona et al., 2018)","dontUpdate":true,"noteIndex":0},"citationItems":[{"id":30466,"uris":["http://zotero.org/groups/2352922/items/HLIUQQ9L"],"itemData":{"id":30466,"type":"article-journal","abstract":"Understanding the status and extent of spread of alien plants is crucial for effective management. We explore this issue using Australian Acacia species (wattles) in South Africa (a global hotspot for wattle introductions and tree invasions). The last detailed inventory of wattles in South Africa was based on data collated forty years ago. This paper aimed to determine: 1) how many Australian Acacia species have been introduced to South Africa; 2) which species are still present; and 3) the status of naturalised taxa that might be viable targets for eradication. All herbaria in South Africa with specimens of introduced Australian Acacia species were visited and locality records were compared with records from literature sources, various databases, and expert knowledge. For taxa not already known to be widespread invaders, field surveys were conducted to determine whether plants are still present, and detailed surveys were undertaken of all naturalised populations. To confirm the putative identities of the naturalised taxa, we also sequenced one nuclear and one chloroplast gene. We found evidence that 141 Australian Acacia species have been introduced to South Africa (approximately double the estimate from previous work), but we could only confirm the current presence of 33 species. Fifteen wattle species are invasive (13 are in category E and two in category D2 in the Unified Framework for Biological Invasions); five have naturalised (C3); and 13 are present but there was no evidence that they had produced reproductive offspring (B2 or C1). DNA barcoding provided strong support for only 23 taxa (including two species not previously recorded from South Africa), the current name ascribed was not supported for three species and, for a further three species, there was no voucher specimen on GenBank against which their identity could be checked. Given the omissions and errors found during this systematic re-evaluation of historical records, it is clear that analyses of the type conducted here are crucial if the status of even well-studied groups of alien taxa is to be accurately determined.","container-title":"NeoBiota","DOI":"10.3897/neobiota.39.23135","ISSN":"1314-2488","language":"en","license":"2021Nkoliso Magona, David M. Richardson, Johannes J. Le Roux, Suzaan Kritzinger-Klopper, John R. U. Wilson","note":"publisher: Pensoft Publishers","page":"1-29","source":"neobiota.pensoft.net","title":"Even well-studied groups of alien species might be poorly inventoried: Australian &lt;i&gt;Acacia&lt;/i&gt; species in South Africa as a case study","title-short":"Even well-studied groups of alien species might be poorly inventoried","URL":"https://neobiota.pensoft.net/article/23135/","volume":"39","author":[{"family":"Magona","given":"Nkoliso"},{"family":"Richardson","given":"David M."},{"family":"Le Roux","given":"Johannes J."},{"family":"Kritzinger-Klopper","given":"Suzaan"},{"family":"Wilson","given":"John R. U."}],"accessed":{"date-parts":[["2021",8,22]]},"issued":{"date-parts":[["2018",6,26]]}},"label":"page"}],"schema":"https://github.com/citation-style-language/schema/raw/master/csl-citation.json"} </w:instrText>
            </w:r>
            <w:r w:rsidR="00295C45" w:rsidRPr="00837161">
              <w:fldChar w:fldCharType="separate"/>
            </w:r>
            <w:r w:rsidR="00295C45" w:rsidRPr="00837161">
              <w:t>Magona et al., 2018)</w:t>
            </w:r>
            <w:r w:rsidR="00295C45" w:rsidRPr="00837161">
              <w:fldChar w:fldCharType="end"/>
            </w:r>
          </w:p>
        </w:tc>
        <w:tc>
          <w:tcPr>
            <w:tcW w:w="1376" w:type="dxa"/>
          </w:tcPr>
          <w:p w14:paraId="000006F9" w14:textId="77777777" w:rsidR="00A758FD" w:rsidRPr="00C0338D" w:rsidRDefault="00C81287">
            <w:r w:rsidRPr="00C0338D">
              <w:t xml:space="preserve">Terrestrial trees </w:t>
            </w:r>
          </w:p>
        </w:tc>
        <w:tc>
          <w:tcPr>
            <w:tcW w:w="1476" w:type="dxa"/>
            <w:shd w:val="clear" w:color="auto" w:fill="auto"/>
          </w:tcPr>
          <w:p w14:paraId="000006FA" w14:textId="77777777" w:rsidR="00A758FD" w:rsidRPr="00C0338D" w:rsidRDefault="00C81287">
            <w:r w:rsidRPr="00C0338D">
              <w:t xml:space="preserve">South Africa </w:t>
            </w:r>
          </w:p>
        </w:tc>
        <w:tc>
          <w:tcPr>
            <w:tcW w:w="1469" w:type="dxa"/>
            <w:shd w:val="clear" w:color="auto" w:fill="auto"/>
          </w:tcPr>
          <w:p w14:paraId="000006FB" w14:textId="77777777" w:rsidR="00A758FD" w:rsidRPr="00C0338D" w:rsidRDefault="00C81287">
            <w:r w:rsidRPr="00C0338D">
              <w:t>Australia</w:t>
            </w:r>
          </w:p>
        </w:tc>
        <w:tc>
          <w:tcPr>
            <w:tcW w:w="1656" w:type="dxa"/>
            <w:shd w:val="clear" w:color="auto" w:fill="auto"/>
          </w:tcPr>
          <w:p w14:paraId="000006FC" w14:textId="77777777" w:rsidR="00A758FD" w:rsidRPr="00C0338D" w:rsidRDefault="00C81287">
            <w:r w:rsidRPr="00C0338D">
              <w:t xml:space="preserve">For timber and as ornamentals </w:t>
            </w:r>
          </w:p>
        </w:tc>
        <w:tc>
          <w:tcPr>
            <w:tcW w:w="2107" w:type="dxa"/>
            <w:shd w:val="clear" w:color="auto" w:fill="auto"/>
          </w:tcPr>
          <w:p w14:paraId="000006FD" w14:textId="4B085B34" w:rsidR="00A758FD" w:rsidRPr="00C0338D" w:rsidRDefault="00383764">
            <w:r w:rsidRPr="00837161">
              <w:rPr>
                <w:lang w:eastAsia="ja-JP"/>
              </w:rPr>
              <w:t>Agreeing and selecting biological control agents that only reduce propagule production (i.e., flower and seed feeding agents</w:t>
            </w:r>
            <w:r w:rsidR="00350919" w:rsidRPr="00837161">
              <w:rPr>
                <w:lang w:eastAsia="ja-JP"/>
              </w:rPr>
              <w:t>;</w:t>
            </w:r>
            <w:r w:rsidRPr="00837161">
              <w:rPr>
                <w:lang w:eastAsia="ja-JP"/>
              </w:rPr>
              <w:t xml:space="preserve"> </w:t>
            </w:r>
            <w:r w:rsidR="00AD5114" w:rsidRPr="00837161">
              <w:rPr>
                <w:lang w:eastAsia="ja-JP"/>
              </w:rPr>
              <w:fldChar w:fldCharType="begin"/>
            </w:r>
            <w:r w:rsidR="000F35EB">
              <w:rPr>
                <w:lang w:eastAsia="ja-JP"/>
              </w:rPr>
              <w:instrText xml:space="preserve"> ADDIN ZOTERO_ITEM CSL_CITATION {"citationID":"YdjIwchZ","properties":{"formattedCitation":"(Impson et al., 2011, 2021)","plainCitation":"(Impson et al., 2011, 2021)","dontUpdate":true,"noteIndex":0},"citationItems":[{"id":11123,"uris":["http://zotero.org/groups/2352922/items/XFBY9G23"],"itemData":{"id":11123,"type":"article-journal","abstract":"In total, ten agent species have been released in South Africa for the biological control of ten invasive Australian Acacia species and Paraserianthes lophantha (Willd.) Nielsen (Mimosaceae). Besides a single fungal pathogen species which affects both reproductive and vegetative growth of its host plant, Acacia saligna (Labill.) H.L.Wendl., there are nine herbivorous insect species which predominantly suppress the reproductive output of their host plants. These include five seed-feeding weevil species, two flower-galling fly species and two bud-galling wasp species. An indigenous basidiomycete fungus, which causes die-back disease of Acacia cyclops A. Cunn. ex G. Don, has also been investigated. During the last ten years, considerable effort has been directed at searching for new agents in Australia and in collecting additional material to bolster populations of recently-established agents in South Africa. Concurrently, ongoing evaluation studies in South Africa have measured the dynamics of the introduced agents as well as their impact on the vigour and fecundity of their host plants and the extent to which their damage is reducing the density, distribution and invasiveness of the Acacia species. Progress with all of these projects is reviewed.","container-title":"African Entomology","DOI":"10.4001/003.019.0210","ISSN":"1021-3589, 0013-8789","issue":"2","journalAbbreviation":"afen","note":"publisher: Entomological Society of Southern Africa","page":"186-207","source":"bioone.org","title":"Biological Control of Australian Acacia Species and &lt;i&gt;Paraserianthes lophantha&lt;/i&gt; (Willd.) Nielsen (Mimosaceae) in South Africa","URL":"https://bioone.org/journals/african-entomology/volume-19/issue-2/003.019.0210/Biological-Control-of-Australian-Acacia-Species-and-Paraserianthes-lophantha-Willd/10.4001/003.019.0210.full","volume":"19","author":[{"family":"Impson","given":"F. A. C."},{"family":"Kleinjan","given":"C. A."},{"family":"Hoffmann","given":"J. H."},{"family":"Post","given":"J. A."},{"family":"Wood","given":"A. R."}],"accessed":{"date-parts":[["2021",4,12]]},"issued":{"date-parts":[["2011",8]]}},"label":"page"},{"id":54494,"uris":["http://zotero.org/groups/2352922/items/SHBVHJRC"],"itemData":{"id":54494,"type":"article-journal","container-title":"Biological Control","DOI":"https://doi.org/10.1016/j.biocontrol.2020.104503","note":"ISBN: 1049-9644\npublisher: Elsevier","page":"104503","title":"Suppression of seed production as a long-term strategy in weed biological control: The combined impact of two biocontrol agents on &lt;i&gt;Acacia mearnsii&lt;/i&gt; in South Africa","volume":"154","author":[{"family":"Impson","given":"F. A. C."},{"family":"Kleinjan","given":"C. A."},{"family":"Hoffmann","given":"J. H."}],"issued":{"date-parts":[["2021"]]}}}],"schema":"https://github.com/citation-style-language/schema/raw/master/csl-citation.json"} </w:instrText>
            </w:r>
            <w:r w:rsidR="00AD5114" w:rsidRPr="00837161">
              <w:rPr>
                <w:lang w:eastAsia="ja-JP"/>
              </w:rPr>
              <w:fldChar w:fldCharType="separate"/>
            </w:r>
            <w:r w:rsidR="00656EF8" w:rsidRPr="00837161">
              <w:t>Impson et al., 2011, 2021)</w:t>
            </w:r>
            <w:r w:rsidR="00AD5114" w:rsidRPr="00837161">
              <w:rPr>
                <w:lang w:eastAsia="ja-JP"/>
              </w:rPr>
              <w:fldChar w:fldCharType="end"/>
            </w:r>
            <w:r w:rsidR="00AD5114" w:rsidRPr="00837161">
              <w:rPr>
                <w:lang w:eastAsia="ja-JP"/>
              </w:rPr>
              <w:t xml:space="preserve"> </w:t>
            </w:r>
          </w:p>
        </w:tc>
      </w:tr>
      <w:tr w:rsidR="003666A4" w14:paraId="1BBE3C0D" w14:textId="77777777">
        <w:tc>
          <w:tcPr>
            <w:tcW w:w="1536" w:type="dxa"/>
          </w:tcPr>
          <w:p w14:paraId="000006FE" w14:textId="77777777" w:rsidR="00A758FD" w:rsidRPr="00C0338D" w:rsidRDefault="00C81287">
            <w:r w:rsidRPr="00C0338D">
              <w:rPr>
                <w:i/>
              </w:rPr>
              <w:t>Bombus terrestris</w:t>
            </w:r>
          </w:p>
          <w:p w14:paraId="000006FF" w14:textId="77777777" w:rsidR="00A758FD" w:rsidRPr="00C0338D" w:rsidRDefault="00C81287">
            <w:r w:rsidRPr="00C0338D">
              <w:t>(bumble bee)</w:t>
            </w:r>
          </w:p>
          <w:p w14:paraId="00000700" w14:textId="77777777" w:rsidR="00A758FD" w:rsidRPr="00C0338D" w:rsidRDefault="00A758FD"/>
        </w:tc>
        <w:tc>
          <w:tcPr>
            <w:tcW w:w="1376" w:type="dxa"/>
          </w:tcPr>
          <w:p w14:paraId="00000701" w14:textId="77777777" w:rsidR="00A758FD" w:rsidRPr="00C0338D" w:rsidRDefault="00C81287">
            <w:r w:rsidRPr="00C0338D">
              <w:t>Invertebrate (Insect)</w:t>
            </w:r>
          </w:p>
          <w:p w14:paraId="00000702" w14:textId="77777777" w:rsidR="00A758FD" w:rsidRPr="00C0338D" w:rsidRDefault="00A758FD"/>
        </w:tc>
        <w:tc>
          <w:tcPr>
            <w:tcW w:w="1476" w:type="dxa"/>
            <w:shd w:val="clear" w:color="auto" w:fill="auto"/>
          </w:tcPr>
          <w:p w14:paraId="00000703" w14:textId="77777777" w:rsidR="00A758FD" w:rsidRPr="00C0338D" w:rsidRDefault="00C81287">
            <w:r w:rsidRPr="00C0338D">
              <w:t>Japan</w:t>
            </w:r>
          </w:p>
        </w:tc>
        <w:tc>
          <w:tcPr>
            <w:tcW w:w="1469" w:type="dxa"/>
            <w:shd w:val="clear" w:color="auto" w:fill="auto"/>
          </w:tcPr>
          <w:p w14:paraId="00000704" w14:textId="77777777" w:rsidR="00A758FD" w:rsidRPr="00C0338D" w:rsidRDefault="00C81287">
            <w:r w:rsidRPr="00C0338D">
              <w:t>Africa, Asia and Europe</w:t>
            </w:r>
          </w:p>
        </w:tc>
        <w:tc>
          <w:tcPr>
            <w:tcW w:w="1656" w:type="dxa"/>
            <w:shd w:val="clear" w:color="auto" w:fill="auto"/>
          </w:tcPr>
          <w:p w14:paraId="00000705" w14:textId="240D8F41" w:rsidR="00A758FD" w:rsidRPr="00C0338D" w:rsidRDefault="00383764">
            <w:r w:rsidRPr="00837161">
              <w:t xml:space="preserve">For pollination of commercially important crops </w:t>
            </w:r>
            <w:r w:rsidR="00AD5114" w:rsidRPr="00837161">
              <w:rPr>
                <w:lang w:eastAsia="ja-JP"/>
              </w:rPr>
              <w:fldChar w:fldCharType="begin"/>
            </w:r>
            <w:r w:rsidR="000F35EB">
              <w:rPr>
                <w:lang w:eastAsia="ja-JP"/>
              </w:rPr>
              <w:instrText xml:space="preserve"> ADDIN ZOTERO_ITEM CSL_CITATION {"citationID":"LBGcV7Zo","properties":{"formattedCitation":"(Inoue et al., 2008)","plainCitation":"(Inoue et al., 2008)","noteIndex":0},"citationItems":[{"id":22868,"uris":["http://zotero.org/groups/2352922/items/EYM6ULRW"],"itemData":{"id":22868,"type":"article-journal","container-title":"Journal of Insect Conservation","DOI":"10.1007/s10841-007-9071-z","ISSN":"1366-638X, 1572-9753","issue":"2","journalAbbreviation":"J Insect Conserv","language":"en","page":"135-146","source":"DOI.org (Crossref)","title":"Displacement of Japanese native bumblebees by the recently introduced &lt;i&gt;Bombus terrestris&lt;/i&gt; (L.) (Hymenoptera: Apidae)","title-short":"Displacement of Japanese native bumblebees by the recently introduced Bombus terrestris (L.) (Hymenoptera","URL":"http://link.springer.com/10.1007/s10841-007-9071-z","volume":"12","author":[{"family":"Inoue","given":"Maki N."},{"family":"Yokoyama","given":"Jun"},{"family":"Washitani","given":"Izumi"}],"accessed":{"date-parts":[["2020",8,12]]},"issued":{"date-parts":[["2008",4]]}},"label":"page"}],"schema":"https://github.com/citation-style-language/schema/raw/master/csl-citation.json"} </w:instrText>
            </w:r>
            <w:r w:rsidR="00AD5114" w:rsidRPr="00837161">
              <w:rPr>
                <w:lang w:eastAsia="ja-JP"/>
              </w:rPr>
              <w:fldChar w:fldCharType="separate"/>
            </w:r>
            <w:r w:rsidR="00271B78" w:rsidRPr="00271B78">
              <w:t>(Inoue et al., 2008)</w:t>
            </w:r>
            <w:r w:rsidR="00AD5114" w:rsidRPr="00837161">
              <w:rPr>
                <w:lang w:eastAsia="ja-JP"/>
              </w:rPr>
              <w:fldChar w:fldCharType="end"/>
            </w:r>
          </w:p>
        </w:tc>
        <w:tc>
          <w:tcPr>
            <w:tcW w:w="2107" w:type="dxa"/>
            <w:shd w:val="clear" w:color="auto" w:fill="auto"/>
          </w:tcPr>
          <w:p w14:paraId="00000706" w14:textId="36C52FA3" w:rsidR="00A758FD" w:rsidRPr="00C0338D" w:rsidRDefault="00383764">
            <w:r w:rsidRPr="00837161">
              <w:rPr>
                <w:lang w:eastAsia="ja-JP"/>
              </w:rPr>
              <w:t xml:space="preserve">In principle, introduction, breeding and release are prohibited by the Invasive Alien Species Act, but farmers may use bumble bees on the condition that measures to prevent escape be taken and official permission be obtained </w:t>
            </w:r>
            <w:r w:rsidR="00EC3D6A" w:rsidRPr="00837161">
              <w:rPr>
                <w:lang w:eastAsia="ja-JP"/>
              </w:rPr>
              <w:fldChar w:fldCharType="begin"/>
            </w:r>
            <w:r w:rsidR="000F35EB">
              <w:rPr>
                <w:lang w:eastAsia="ja-JP"/>
              </w:rPr>
              <w:instrText xml:space="preserve"> ADDIN ZOTERO_ITEM CSL_CITATION {"citationID":"EjWbTbz3","properties":{"formattedCitation":"(Goka, 2010; Lohrmann et al., 2022)","plainCitation":"(Goka, 2010; Lohrmann et al., 2022)","noteIndex":0},"citationItems":[{"id":31135,"uris":["http://zotero.org/groups/2352922/items/VESTKSAL"],"itemData":{"id":31135,"type":"article-journal","abstract":"The European bumblebee, Bombus terrestris, was introduced into Japan from Europe in 1991 for pollination of tomato plants. Many ecologists had warned of biological invasion by this species, and in 1996 a naturalized colony was found in Hokkaido, indicating that the species had become naturalized. The Ministry of the Environment effected a new law, the Invasive Alien Species Act, in 2005 to protect Japanese native fauna and ﬂora from invasive alien species. Heated arguments arose between conservation ecologists and agriculturalists about whether the law should regulate B. terrestris. To reach a scientiﬁc decision, we began a study to reveal the ecological impacts of B. terrestris and to develop methods to control its naturalization. On the basis of our results, the Ministry of the Environment classiﬁed B. terrestris as invasive and requiring regulation by law, but its use would be permitted on the condition that it be used only for agriculture and that measures to prevent escape be taken. This legal control of B. terrestris in Japan is a revolutionary trial that aims to achieve a state of mutualism between biodiversity and agriculture.","container-title":"Applied Entomology and Zoology","DOI":"10.1303/aez.2010.1","ISSN":"0003-6862, 1347-605X","issue":"1","journalAbbreviation":"Appl. Entomol. Zool.","language":"en","page":"1-6","source":"DOI.org (Crossref)","title":"Introduction to the Special Feature for Ecological Risk Assessment of Introduced Bumblebees: Status of the European bumblebee, &lt;i&gt;Bombus terrestris&lt;/i&gt;, in Japan as a beneficial pollinator and an invasive alien species","title-short":"Introduction to the Special Feature for Ecological Risk Assessment of Introduced Bumblebees","URL":"http://joi.jlc.jst.go.jp/JST.JSTAGE/aez/2010.1?from=CrossRef","volume":"45","author":[{"family":"Goka","given":"Koichi"}],"accessed":{"date-parts":[["2020",8,12]]},"issued":{"date-parts":[["2010"]]}},"label":"page"},{"id":54346,"uris":["http://zotero.org/groups/2352922/items/GFLFSATK"],"itemData":{"id":54346,"type":"article-journal","container-title":"CABI Reviews","DOI":"https://doi.org/10.1079/cabireviews202217006","issue":"2022","note":"ISBN: 1749-8848\npublisher: CABI UK","title":"When bio is not green: the impacts of bumblebee translocation and invasion on native ecosystems","author":[{"family":"Lohrmann","given":"Josefina"},{"family":"Cecchetto","given":"Nicolás R."},{"family":"Aizen","given":"Nahuel"},{"family":"Arbetman","given":"Marina P."},{"family":"Zattara","given":"Eduardo E."}],"issued":{"date-parts":[["2022"]]}},"label":"page"}],"schema":"https://github.com/citation-style-language/schema/raw/master/csl-citation.json"} </w:instrText>
            </w:r>
            <w:r w:rsidR="00EC3D6A" w:rsidRPr="00837161">
              <w:rPr>
                <w:lang w:eastAsia="ja-JP"/>
              </w:rPr>
              <w:fldChar w:fldCharType="separate"/>
            </w:r>
            <w:r w:rsidR="00271B78" w:rsidRPr="00271B78">
              <w:t>(Goka, 2010; Lohrmann et al., 2022)</w:t>
            </w:r>
            <w:r w:rsidR="00EC3D6A" w:rsidRPr="00837161">
              <w:rPr>
                <w:lang w:eastAsia="ja-JP"/>
              </w:rPr>
              <w:fldChar w:fldCharType="end"/>
            </w:r>
            <w:r w:rsidR="00EC3D6A" w:rsidRPr="00837161">
              <w:rPr>
                <w:lang w:eastAsia="ja-JP"/>
              </w:rPr>
              <w:t>.</w:t>
            </w:r>
          </w:p>
        </w:tc>
      </w:tr>
      <w:tr w:rsidR="003666A4" w14:paraId="6C127B30" w14:textId="77777777">
        <w:tc>
          <w:tcPr>
            <w:tcW w:w="1536" w:type="dxa"/>
          </w:tcPr>
          <w:p w14:paraId="00000707" w14:textId="77777777" w:rsidR="00A758FD" w:rsidRPr="00C0338D" w:rsidRDefault="00C81287">
            <w:r w:rsidRPr="00C0338D">
              <w:rPr>
                <w:i/>
              </w:rPr>
              <w:t>Capra hircus</w:t>
            </w:r>
          </w:p>
          <w:p w14:paraId="00000708" w14:textId="77777777" w:rsidR="00A758FD" w:rsidRPr="00C0338D" w:rsidRDefault="00C81287">
            <w:pPr>
              <w:rPr>
                <w:i/>
              </w:rPr>
            </w:pPr>
            <w:r w:rsidRPr="00C0338D">
              <w:t>(goats)</w:t>
            </w:r>
          </w:p>
        </w:tc>
        <w:tc>
          <w:tcPr>
            <w:tcW w:w="1376" w:type="dxa"/>
          </w:tcPr>
          <w:p w14:paraId="00000709" w14:textId="77777777" w:rsidR="00A758FD" w:rsidRPr="00C0338D" w:rsidRDefault="00C81287">
            <w:r w:rsidRPr="00C0338D">
              <w:t>Terrestrial mammal</w:t>
            </w:r>
          </w:p>
        </w:tc>
        <w:tc>
          <w:tcPr>
            <w:tcW w:w="1476" w:type="dxa"/>
            <w:shd w:val="clear" w:color="auto" w:fill="auto"/>
          </w:tcPr>
          <w:p w14:paraId="0000070A" w14:textId="77777777" w:rsidR="00A758FD" w:rsidRPr="002F2F42" w:rsidRDefault="00C81287">
            <w:pPr>
              <w:rPr>
                <w:color w:val="000000" w:themeColor="text1"/>
              </w:rPr>
            </w:pPr>
            <w:r w:rsidRPr="00C0338D">
              <w:t>Mexico, Guadalupe Island</w:t>
            </w:r>
          </w:p>
        </w:tc>
        <w:tc>
          <w:tcPr>
            <w:tcW w:w="1469" w:type="dxa"/>
            <w:shd w:val="clear" w:color="auto" w:fill="auto"/>
          </w:tcPr>
          <w:p w14:paraId="0000070B" w14:textId="77777777" w:rsidR="00A758FD" w:rsidRPr="002F2F42" w:rsidRDefault="00C81287">
            <w:pPr>
              <w:rPr>
                <w:color w:val="000000" w:themeColor="text1"/>
              </w:rPr>
            </w:pPr>
            <w:r w:rsidRPr="00C0338D">
              <w:t>Asia</w:t>
            </w:r>
          </w:p>
        </w:tc>
        <w:tc>
          <w:tcPr>
            <w:tcW w:w="1656" w:type="dxa"/>
            <w:shd w:val="clear" w:color="auto" w:fill="auto"/>
          </w:tcPr>
          <w:p w14:paraId="0000070C" w14:textId="77777777" w:rsidR="00A758FD" w:rsidRPr="002F2F42" w:rsidRDefault="00C81287">
            <w:pPr>
              <w:rPr>
                <w:color w:val="000000" w:themeColor="text1"/>
              </w:rPr>
            </w:pPr>
            <w:r w:rsidRPr="00C0338D">
              <w:t>Meat production</w:t>
            </w:r>
          </w:p>
        </w:tc>
        <w:tc>
          <w:tcPr>
            <w:tcW w:w="2107" w:type="dxa"/>
            <w:shd w:val="clear" w:color="auto" w:fill="auto"/>
          </w:tcPr>
          <w:p w14:paraId="0000070D" w14:textId="0CAF4337" w:rsidR="00A758FD" w:rsidRPr="00C0338D" w:rsidRDefault="00C81287">
            <w:pPr>
              <w:rPr>
                <w:color w:val="000000"/>
              </w:rPr>
            </w:pPr>
            <w:r w:rsidRPr="00C0338D">
              <w:t>Goats were introduced in the early 1</w:t>
            </w:r>
            <w:r w:rsidRPr="00AC1F76">
              <w:t>9</w:t>
            </w:r>
            <w:r w:rsidRPr="00D2715A">
              <w:rPr>
                <w:vertAlign w:val="superscript"/>
              </w:rPr>
              <w:t>t</w:t>
            </w:r>
            <w:r w:rsidRPr="00AC1F76">
              <w:rPr>
                <w:vertAlign w:val="superscript"/>
              </w:rPr>
              <w:t>h</w:t>
            </w:r>
            <w:r w:rsidRPr="00D2715A">
              <w:t xml:space="preserve"> </w:t>
            </w:r>
            <w:r w:rsidRPr="00C0338D">
              <w:t xml:space="preserve">century by fur traders to have fresh meat. Later, there were permits from Mexico’s government to use the goats as dry meat. Overgrazing by goats decreased forest coverage </w:t>
            </w:r>
            <w:r w:rsidRPr="00C0338D">
              <w:lastRenderedPageBreak/>
              <w:t xml:space="preserve">from 3,850 hectares to 85 hectares, while some vegetation communities disappeared. Because of the latter, with the support of federal government agencies (including the Mexican Navy), the local fishing community and the specialized private organization Grupo de Ecología y Conservación de Islas, the goats were eradicated </w:t>
            </w:r>
            <w:r w:rsidR="00383764" w:rsidRPr="00837161">
              <w:rPr>
                <w:lang w:eastAsia="es-MX"/>
              </w:rPr>
              <w:fldChar w:fldCharType="begin"/>
            </w:r>
            <w:r w:rsidR="000F35EB">
              <w:rPr>
                <w:lang w:eastAsia="es-MX"/>
              </w:rPr>
              <w:instrText xml:space="preserve"> ADDIN ZOTERO_ITEM CSL_CITATION {"citationID":"HUmK7rpB","properties":{"formattedCitation":"(Aguirre-Mu\\uc0\\u241{}oz et al., 2011)","plainCitation":"(Aguirre-Muñoz et al., 2011)","noteIndex":0},"citationItems":[{"id":30081,"uris":["http://zotero.org/groups/2352922/items/BJHLQ7Q6"],"itemData":{"id":30081,"type":"chapter","container-title":"Island invasives: eradication and management: Proceedings of the International Conference on Island Invasives","event-place":"Gland, Switzerland and Auckland, New Zealand","ISBN":"978-2-8317-1291-8","page":"386-394","publisher":"IUCN and The Centre for Biodiversity and Biosecurity (CBB)","publisher-place":"Gland, Switzerland and Auckland, New Zealand","source":"ResearchGate","title":"Eradications of invasive mammals on islands in Mexico: the roles of history and the collaboration between government agencies, local communities and a non-government organisation","title-short":"Eradications of invasive mammals on islands in Mexico","URL":"https://www.academia.edu/50362808/Eradications_of_invasive_mammals_on_islands_in_Mexico_the_roles_of_history_and_the_collaboration_between_government_agencies_local_communities_and_a_non_government_organisation","author":[{"family":"Aguirre-Muñoz","given":"Alfonso"},{"family":"Samaniego-Herrera","given":"Araceli"},{"family":"Luna-Mendoza","given":"Luciana"},{"family":"Ortiz-Alcaraz","given":"Antonio"},{"family":"Rodriguez-Malagón","given":"Marlenne"},{"family":"Félix-Lizárraga","given":"María"},{"family":"Méndez Sánchez","given":"Federico"},{"family":"González-Gómez","given":"Ricardo"},{"family":"Torres-García","given":"F."},{"family":"Hernández-Montoya","given":"J.C."},{"family":"Barredo-Barberena","given":"Jose María"},{"family":"Latofski-Robles","given":"Mariam"}],"editor":[{"family":"Veitch","given":"C R"},{"family":"Clout","given":"M N"},{"family":"Towns","given":"D R"}],"issued":{"date-parts":[["2011",1,1]]}}}],"schema":"https://github.com/citation-style-language/schema/raw/master/csl-citation.json"} </w:instrText>
            </w:r>
            <w:r w:rsidR="00383764" w:rsidRPr="00837161">
              <w:rPr>
                <w:lang w:eastAsia="es-MX"/>
              </w:rPr>
              <w:fldChar w:fldCharType="separate"/>
            </w:r>
            <w:r w:rsidR="00271B78" w:rsidRPr="00271B78">
              <w:t>(Aguirre-Muñoz et al., 2011)</w:t>
            </w:r>
            <w:r w:rsidR="00383764" w:rsidRPr="00837161">
              <w:rPr>
                <w:lang w:eastAsia="es-MX"/>
              </w:rPr>
              <w:fldChar w:fldCharType="end"/>
            </w:r>
            <w:r w:rsidR="5115BF83" w:rsidRPr="00837161">
              <w:rPr>
                <w:lang w:eastAsia="es-MX"/>
              </w:rPr>
              <w:t>.</w:t>
            </w:r>
          </w:p>
          <w:p w14:paraId="0000070E" w14:textId="1BA60F40" w:rsidR="00A758FD" w:rsidRPr="002F2F42" w:rsidRDefault="00383764">
            <w:pPr>
              <w:rPr>
                <w:color w:val="000000" w:themeColor="text1"/>
              </w:rPr>
            </w:pPr>
            <w:r w:rsidRPr="00837161">
              <w:rPr>
                <w:lang w:eastAsia="es-MX"/>
              </w:rPr>
              <w:t xml:space="preserve">The eradication of goats took place between 2003 and 2006. Seedlings of endemic trees that were absent in 2003, and species of plants believed extinct, reappeared, including species not seen in 100 years. To date, the vegetation has recovered rapidly, both naturally and through active </w:t>
            </w:r>
            <w:r w:rsidR="00875B60">
              <w:rPr>
                <w:lang w:eastAsia="es-MX"/>
              </w:rPr>
              <w:t xml:space="preserve">ecosystem </w:t>
            </w:r>
            <w:r w:rsidRPr="00837161">
              <w:rPr>
                <w:lang w:eastAsia="es-MX"/>
              </w:rPr>
              <w:t xml:space="preserve">restoration </w:t>
            </w:r>
            <w:r w:rsidRPr="00837161">
              <w:rPr>
                <w:lang w:eastAsia="es-MX"/>
              </w:rPr>
              <w:fldChar w:fldCharType="begin"/>
            </w:r>
            <w:r w:rsidR="000F35EB">
              <w:rPr>
                <w:lang w:eastAsia="es-MX"/>
              </w:rPr>
              <w:instrText xml:space="preserve"> ADDIN ZOTERO_ITEM CSL_CITATION {"citationID":"fIbT3lcv","properties":{"formattedCitation":"(Luna-Mendoza et al., 2019)","plainCitation":"(Luna-Mendoza et al., 2019)","noteIndex":0},"citationItems":[{"id":29647,"uris":["http://zotero.org/groups/2352922/items/BRK9H9JM"],"itemData":{"id":29647,"type":"article-journal","abstract":"As the ﬁrst step towards the ecological restoration of its islands, Mexico has completed 60 eradications of invasive mammals thanks to a strong partnership between Grupo de Ecología y Conservación de Islas, A.C. (GECI), the federal government, local ﬁshing communities, academia, and private donors. The removal of invasive mammals has led to the dramatic recovery of the islands’ ecosystems. On Guadalupe Island, after completing the goat eradication in 2007, the native vegetation started to recover. Plants considered extinct or extirpated have been rediscovered, and plant species new to the island have been recorded. However, in order to achieve the island’s full recovery, the active restoration of degraded soils and vegetation are needed. To date, GECI, in collaboration with the National Forestry Commission (CONAFOR) and the National Commission for Natural Protected Areas (CONANP), is implementing a 700 ha project to accelerate the restoration of the native vegetation communities. The project involves reforestation, erosion control, and ﬁre prevention actions on diﬀerent plant communities: forests and sage scrub. An on-site nursery has been established, seedlings—mostly from endemic trees—are being grown, and on-site reforestation planting has started. Up to June 2018, we have planted almost 40,000 trees, and will produce 160,000 seedlings during this year. Mechanical methods to control and prevent erosion have been used as we have installed more than 2,400 m of contour barriers, 57 m3 of dams, and rehabilitated ﬁrebreaks. The actions will continue: the long-term goal being the comprehensive restoration of the vegetation communities devastated by feral goats. The Guadalupe Island experience will be useful to inform the restoration of other Mexican islands.","container-title":"Island invasives: scaling up to meet the challenge","language":"en","page":"571-575","source":"Zotero","title":"Ten years after feral goat eradication: the active restoration of plant communities on Guadalupe Island, Mexico","volume":"62","author":[{"family":"Luna-Mendoza","given":"L"},{"family":"Aguirre-Muñoz","given":"A"},{"family":"Hernández-Montoya","given":"J C"},{"family":"Torres-Aguilar","given":"M"},{"family":"García-Carreón","given":"J S"},{"family":"Puebla-Hernández","given":"O"},{"family":"Luvianos-Colín","given":"S"},{"family":"Cárdenas-Tapia","given":"A"},{"family":"Méndez-Sánchez","given":"F"}],"issued":{"date-parts":[["2019"]]}}}],"schema":"https://github.com/citation-style-language/schema/raw/master/csl-citation.json"} </w:instrText>
            </w:r>
            <w:r w:rsidRPr="00837161">
              <w:rPr>
                <w:lang w:eastAsia="es-MX"/>
              </w:rPr>
              <w:fldChar w:fldCharType="separate"/>
            </w:r>
            <w:r w:rsidR="00271B78" w:rsidRPr="00271B78">
              <w:t>(Luna-Mendoza et al., 2019)</w:t>
            </w:r>
            <w:r w:rsidRPr="00837161">
              <w:rPr>
                <w:lang w:eastAsia="es-MX"/>
              </w:rPr>
              <w:fldChar w:fldCharType="end"/>
            </w:r>
            <w:r w:rsidRPr="00837161">
              <w:rPr>
                <w:lang w:eastAsia="es-MX"/>
              </w:rPr>
              <w:t>.</w:t>
            </w:r>
          </w:p>
        </w:tc>
      </w:tr>
    </w:tbl>
    <w:p w14:paraId="0000070F" w14:textId="77777777" w:rsidR="00A758FD" w:rsidRPr="00C0338D" w:rsidRDefault="00A758FD">
      <w:pPr>
        <w:sectPr w:rsidR="00A758FD" w:rsidRPr="00C0338D" w:rsidSect="00AC1F76">
          <w:headerReference w:type="even" r:id="rId115"/>
          <w:headerReference w:type="default" r:id="rId116"/>
          <w:footerReference w:type="default" r:id="rId117"/>
          <w:headerReference w:type="first" r:id="rId118"/>
          <w:pgSz w:w="11906" w:h="16838"/>
          <w:pgMar w:top="1138" w:right="1138" w:bottom="1138" w:left="1138" w:header="216" w:footer="720" w:gutter="0"/>
          <w:cols w:space="720"/>
        </w:sectPr>
      </w:pPr>
    </w:p>
    <w:p w14:paraId="00000710" w14:textId="71D025D4" w:rsidR="00A758FD" w:rsidRPr="00AC1F76" w:rsidRDefault="00C81287" w:rsidP="002F2F42">
      <w:pPr>
        <w:pStyle w:val="Heading3"/>
      </w:pPr>
      <w:bookmarkStart w:id="634" w:name="_heading=h.1ulbmlt" w:colFirst="0" w:colLast="0"/>
      <w:bookmarkStart w:id="635" w:name="_Toc131681669"/>
      <w:bookmarkStart w:id="636" w:name="_Toc69314035"/>
      <w:bookmarkStart w:id="637" w:name="_Toc87623176"/>
      <w:bookmarkEnd w:id="634"/>
      <w:r w:rsidRPr="002F2F42">
        <w:lastRenderedPageBreak/>
        <w:t xml:space="preserve">Management strategies </w:t>
      </w:r>
      <w:r w:rsidR="0101E3D4">
        <w:t xml:space="preserve">for biological invasions </w:t>
      </w:r>
      <w:r w:rsidRPr="00AC1F76">
        <w:t>under climate change and changing land-use as multiple drivers of change</w:t>
      </w:r>
      <w:bookmarkEnd w:id="635"/>
    </w:p>
    <w:p w14:paraId="00000711" w14:textId="0FAEB289" w:rsidR="00A758FD" w:rsidRPr="00C0338D" w:rsidRDefault="00C81287">
      <w:pPr>
        <w:spacing w:before="240" w:after="120" w:line="240" w:lineRule="auto"/>
      </w:pPr>
      <w:r w:rsidRPr="00C0338D">
        <w:t xml:space="preserve">Climate change is a driver </w:t>
      </w:r>
      <w:r w:rsidR="6D32C67B">
        <w:t>that facilitates</w:t>
      </w:r>
      <w:r w:rsidR="6D32C67B" w:rsidRPr="00C0338D">
        <w:t xml:space="preserve"> </w:t>
      </w:r>
      <w:r w:rsidRPr="00C0338D">
        <w:t>biological invasions (</w:t>
      </w:r>
      <w:r w:rsidRPr="00C0338D">
        <w:rPr>
          <w:b/>
        </w:rPr>
        <w:t>Chapter 3</w:t>
      </w:r>
      <w:r w:rsidRPr="00C0338D">
        <w:t>,</w:t>
      </w:r>
      <w:r w:rsidRPr="00C0338D">
        <w:rPr>
          <w:b/>
        </w:rPr>
        <w:t xml:space="preserve"> section 3.3.4</w:t>
      </w:r>
      <w:r w:rsidRPr="00C0338D">
        <w:t>)</w:t>
      </w:r>
      <w:r w:rsidR="004D7EA0">
        <w:t>,</w:t>
      </w:r>
      <w:r w:rsidRPr="00C0338D">
        <w:t xml:space="preserve"> and associated extreme climate events increase ecosystem susceptibility to biological invasions </w:t>
      </w:r>
      <w:r w:rsidR="00383764" w:rsidRPr="00837161">
        <w:rPr>
          <w:lang w:eastAsia="en-ZA"/>
        </w:rPr>
        <w:fldChar w:fldCharType="begin"/>
      </w:r>
      <w:r w:rsidR="000F35EB">
        <w:rPr>
          <w:lang w:eastAsia="en-ZA"/>
        </w:rPr>
        <w:instrText xml:space="preserve"> ADDIN ZOTERO_ITEM CSL_CITATION {"citationID":"vekaLoZ0","properties":{"formattedCitation":"(Diez et al., 2012)","plainCitation":"(Diez et al., 2012)","dontUpdate":true,"noteIndex":0},"citationItems":[{"id":30435,"uris":["http://zotero.org/groups/2352922/items/L6RHC4CK"],"itemData":{"id":30435,"type":"article-journal","abstract":"Extreme climatic events (ECEs) – such as unusual heat waves, hurricanes, floods, and droughts – can dramatically affect ecological and evolutionary processes, and these events are projected to become more frequent and more intense with ongoing climate change. However, the implications of ECEs for biological invasions remain poorly understood. Using concepts and empirical evidence from invasion ecology, we identify mechanisms by which ECEs may influence the invasion process, from initial introduction through establishment and spread. We summarize how ECEs can enhance invasions by promoting the transport of propagules into new regions, by decreasing the resistance of native communities to establishment, and also sometimes by putting existing non-native species at a competitive disadvantage. Finally, we outline priority research areas and management approaches for anticipating future risks of unwanted invasions following ECEs. Given predicted increases in both ECE occurrence and rates of species introductions around the globe during the coming decades, there is an urgent need to understand how these two processes interact to affect ecosystem composition and functioning.","container-title":"Frontiers in Ecology and the Environment","DOI":"10.1890/110137","ISSN":"1540-9309","issue":"5","journalAbbreviation":"Front. Ecol. Environ.","language":"en","license":"© The Ecological Society of America","note":"WOS:000305170600016","page":"249-257","source":"Wiley Online Library","title":"Will extreme climatic events facilitate biological invasions?","URL":"https://esajournals.onlinelibrary.wiley.com/doi/abs/10.1890/110137","volume":"10","author":[{"family":"Diez","given":"Jeffrey M."},{"family":"D'Antonio","given":"Carla M."},{"family":"Dukes","given":"Jeffrey S."},{"family":"Grosholz","given":"Edwin D."},{"family":"Olden","given":"Julian D."},{"family":"Sorte","given":"Cascade JB"},{"family":"Blumenthal","given":"Dana M."},{"family":"Bradley","given":"Bethany A."},{"family":"Early","given":"Regan"},{"family":"Ibáñez","given":"Inés"},{"family":"Jones","given":"Sierra J."},{"family":"Lawler","given":"Joshua J."},{"family":"Miller","given":"Luke P."}],"accessed":{"date-parts":[["2019",9,18]]},"issued":{"date-parts":[["2012",6]]}},"label":"page"}],"schema":"https://github.com/citation-style-language/schema/raw/master/csl-citation.json"} </w:instrText>
      </w:r>
      <w:r w:rsidR="00383764" w:rsidRPr="00837161">
        <w:rPr>
          <w:lang w:eastAsia="en-ZA"/>
        </w:rPr>
        <w:fldChar w:fldCharType="separate"/>
      </w:r>
      <w:r w:rsidR="00997172" w:rsidRPr="00997172">
        <w:t>(Diez et al., 2012</w:t>
      </w:r>
      <w:r w:rsidR="00383764" w:rsidRPr="00837161">
        <w:rPr>
          <w:lang w:eastAsia="en-ZA"/>
        </w:rPr>
        <w:fldChar w:fldCharType="end"/>
      </w:r>
      <w:r w:rsidR="002F2F42">
        <w:t xml:space="preserve">; </w:t>
      </w:r>
      <w:r w:rsidR="6D0F5E7D" w:rsidRPr="5E4965FB">
        <w:rPr>
          <w:b/>
          <w:bCs/>
        </w:rPr>
        <w:t>Chapter 3</w:t>
      </w:r>
      <w:r w:rsidR="6D0F5E7D">
        <w:t>,</w:t>
      </w:r>
      <w:r w:rsidR="6D0F5E7D" w:rsidRPr="5E4965FB">
        <w:rPr>
          <w:b/>
          <w:bCs/>
        </w:rPr>
        <w:t xml:space="preserve"> section 3.4</w:t>
      </w:r>
      <w:r w:rsidR="6D0F5E7D">
        <w:t>)</w:t>
      </w:r>
      <w:r w:rsidR="39D5FD3D">
        <w:t>.</w:t>
      </w:r>
      <w:r w:rsidRPr="00C0338D">
        <w:t xml:space="preserve"> Climate change and habitat loss or conversion are linked. Climate change influences land</w:t>
      </w:r>
      <w:r w:rsidR="004D7EA0">
        <w:t>-</w:t>
      </w:r>
      <w:r w:rsidRPr="00C0338D">
        <w:t>, freshwater</w:t>
      </w:r>
      <w:r w:rsidR="004D7EA0">
        <w:t>-</w:t>
      </w:r>
      <w:r w:rsidRPr="00C0338D">
        <w:t xml:space="preserve"> and sea</w:t>
      </w:r>
      <w:r w:rsidR="004D7EA0">
        <w:t>-</w:t>
      </w:r>
      <w:r w:rsidRPr="00C0338D">
        <w:t>use, which adds to the susceptibility of ecosystems to invasive alien species (</w:t>
      </w:r>
      <w:r w:rsidRPr="00C0338D">
        <w:rPr>
          <w:b/>
        </w:rPr>
        <w:t>Chapter 2</w:t>
      </w:r>
      <w:r w:rsidRPr="00C0338D">
        <w:t>,</w:t>
      </w:r>
      <w:r w:rsidRPr="00C0338D">
        <w:rPr>
          <w:b/>
        </w:rPr>
        <w:t xml:space="preserve"> section 2.1</w:t>
      </w:r>
      <w:r w:rsidR="5D91327C" w:rsidRPr="5E4965FB">
        <w:rPr>
          <w:b/>
          <w:bCs/>
        </w:rPr>
        <w:t>, Chapter 3, section 3.5.1</w:t>
      </w:r>
      <w:r w:rsidR="39D5FD3D">
        <w:t>).</w:t>
      </w:r>
      <w:r w:rsidRPr="00C0338D">
        <w:t xml:space="preserve"> Invasive alien species reduce the resilience of ecological communities and habitats to extreme events </w:t>
      </w:r>
      <w:r w:rsidR="00383764" w:rsidRPr="00837161">
        <w:rPr>
          <w:lang w:eastAsia="en-ZA"/>
        </w:rPr>
        <w:fldChar w:fldCharType="begin"/>
      </w:r>
      <w:r w:rsidR="000F35EB">
        <w:rPr>
          <w:lang w:eastAsia="en-ZA"/>
        </w:rPr>
        <w:instrText xml:space="preserve"> ADDIN ZOTERO_ITEM CSL_CITATION {"citationID":"HFq1ms9m","properties":{"formattedCitation":"(Godfree et al., 2019)","plainCitation":"(Godfree et al., 2019)","noteIndex":0},"citationItems":[{"id":30037,"uris":["http://zotero.org/groups/2352922/items/UPD6SNGJ"],"itemData":{"id":30037,"type":"article-journal","abstract":"An important new hypothesis in landscape ecology is that extreme, decade-scale megadroughts can be potent drivers of rapid, macroscale ecosystem degradation and collapse. If true, an increase in such events under climate change could have devastating consequences for global biodiversity. However, because few megadroughts have occurred in the modern ecological era, the taxonomic breadth, trophic depth, and geographic pattern of these impacts remain unknown. Here we use ecohistorical techniques to quantify the impact of a record, pancontinental megadrought period (1891 to 1903 CE) on the Australian biota. We show that during this event mortality and severe stress was recorded in &gt;45 bird, mammal, fish, reptile, and plant families in arid, semiarid, dry temperate, and Mediterranean ecosystems over at least 2.8 million km2 (36%) of the Australian continent. Trophic analysis reveals a bottom-up pattern of mortality concentrated in primary producer, herbivore, and omnivore guilds. Spatial and temporal reconstruction of premortality rainfall shows that mass mortality and synchronous ecosystem-wide collapse emerged in multiple geographic hotspots after 2 to 4 y of severe (&gt;40%) and intensifying rainfall deficits. However, the presence of hyperabundant herbivores significantly increased the sensitivity of ecosystems to overgrazing-induced meltdown and permanent ecosystem change. The unprecedented taxonomic breadth and spatial scale of these impacts demonstrate that continental-scale megadroughts pose a major future threat to global biodiversity, especially in ecosystems affected by intensive agricultural use, trophic simplification, and invasive species.","container-title":"Proceedings of the National Academy of Sciences","DOI":"10.1073/pnas.1902046116","ISSN":"0027-8424, 1091-6490","issue":"31","journalAbbreviation":"PNAS","language":"en","license":"Copyright © 2019 the Author(s). Published by PNAS.. https://creativecommons.org/licenses/by-nc-nd/4.0/This open access article is distributed under Creative Commons Attribution-NonCommercial-NoDerivatives License 4.0 (CC BY-NC-ND).","note":"publisher: National Academy of Sciences\nsection: PNAS Plus\nPMID: 31308227","page":"15580-15589","source":"www.pnas.org","title":"Historical reconstruction unveils the risk of mass mortality and ecosystem collapse during pancontinental megadrought","URL":"https://www.pnas.org/content/116/31/15580","volume":"116","author":[{"family":"Godfree","given":"Robert C."},{"family":"Knerr","given":"Nunzio"},{"family":"Godfree","given":"Denise"},{"family":"Busby","given":"John"},{"family":"Robertson","given":"Bruce"},{"family":"Encinas-Viso","given":"Francisco"}],"accessed":{"date-parts":[["2021",8,23]]},"issued":{"date-parts":[["2019",7,30]]}},"label":"page"}],"schema":"https://github.com/citation-style-language/schema/raw/master/csl-citation.json"} </w:instrText>
      </w:r>
      <w:r w:rsidR="00383764" w:rsidRPr="00837161">
        <w:rPr>
          <w:lang w:eastAsia="en-ZA"/>
        </w:rPr>
        <w:fldChar w:fldCharType="separate"/>
      </w:r>
      <w:r w:rsidR="00271B78" w:rsidRPr="00271B78">
        <w:t>(Godfree et al., 2019)</w:t>
      </w:r>
      <w:r w:rsidR="00383764" w:rsidRPr="00837161">
        <w:rPr>
          <w:lang w:eastAsia="en-ZA"/>
        </w:rPr>
        <w:fldChar w:fldCharType="end"/>
      </w:r>
      <w:r w:rsidR="00383764" w:rsidRPr="00837161">
        <w:rPr>
          <w:lang w:eastAsia="en-ZA"/>
        </w:rPr>
        <w:t>,</w:t>
      </w:r>
      <w:r w:rsidRPr="00C0338D">
        <w:t xml:space="preserve"> therefore, prevention and management can increase the long-term climate change functional resilience of threatened ecosystems and habitats. In short, climate change poses increasing challenges for the management of </w:t>
      </w:r>
      <w:r w:rsidR="002F2F42">
        <w:t xml:space="preserve">biological invasions </w:t>
      </w:r>
      <w:r w:rsidR="00383764" w:rsidRPr="00837161">
        <w:rPr>
          <w:rFonts w:eastAsiaTheme="majorEastAsia"/>
          <w:lang w:eastAsia="en-ZA"/>
        </w:rPr>
        <w:fldChar w:fldCharType="begin"/>
      </w:r>
      <w:r w:rsidR="000F35EB">
        <w:rPr>
          <w:rFonts w:eastAsiaTheme="majorEastAsia"/>
          <w:lang w:eastAsia="en-ZA"/>
        </w:rPr>
        <w:instrText xml:space="preserve"> ADDIN ZOTERO_ITEM CSL_CITATION {"citationID":"VXPqCK63","properties":{"formattedCitation":"(Walther et al., 2009)","plainCitation":"(Walther et al., 2009)","noteIndex":0},"citationItems":[{"id":54013,"uris":["http://zotero.org/groups/2352922/items/2GL5WWF6","http://zotero.org/groups/2352922/items/QPZYHHS2"],"itemData":{"id":54013,"type":"article-journal","container-title":"Trends in ecology &amp; evolution","DOI":"10.1016/j.tree.2009.06.008","issue":"12","note":"ISBN: 0169-5347\npublisher: Elsevier","page":"686-693","title":"Alien species in a warmer world: risks and opportunities","URL":"https://doi.org/10.1016/j.tree.2009.06.008","volume":"24","author":[{"family":"Walther","given":"Gian-Reto"},{"family":"Roques","given":"Alain"},{"family":"Hulme","given":"Philip E."},{"family":"Sykes","given":"Martin T."},{"family":"Pyšek","given":"Petr"},{"family":"Kühn","given":"Ingolf"},{"family":"Zobel","given":"Martin"},{"family":"Bacher","given":"Sven"},{"family":"Botta-Dukát","given":"Zoltán"},{"family":"Bugmann","given":"Harald"},{"family":"Czúcz","given":"Bálint"},{"family":"Dauber","given":"Jens"},{"family":"Hickler","given":"Thomas"},{"family":"Jarošík","given":"Vojtěch"},{"family":"Kenis","given":"Marc"},{"family":"Klotz","given":"Stefan"},{"family":"Minchin","given":"Dan"},{"family":"Moora","given":"Mari"},{"family":"Nentwig","given":"Wolfgang"},{"family":"Ott","given":"Jürgen"},{"family":"Panov","given":"Vadim E."},{"family":"Reineking","given":"Björn"},{"family":"Robinet","given":"Christelle"},{"family":"Semenchenko","given":"Vitaliy"},{"family":"Solarz","given":"Wojciech"},{"family":"Thuiller","given":"Wilfried"},{"family":"Vilà","given":"Montserrat"},{"family":"Vohland","given":"Katrin"},{"family":"Settele","given":"Josef"}],"issued":{"date-parts":[["2009"]]}}}],"schema":"https://github.com/citation-style-language/schema/raw/master/csl-citation.json"} </w:instrText>
      </w:r>
      <w:r w:rsidR="00383764" w:rsidRPr="00837161">
        <w:rPr>
          <w:rFonts w:eastAsiaTheme="majorEastAsia"/>
          <w:lang w:eastAsia="en-ZA"/>
        </w:rPr>
        <w:fldChar w:fldCharType="separate"/>
      </w:r>
      <w:r w:rsidR="00271B78" w:rsidRPr="00271B78">
        <w:t>(Walther et al., 2009)</w:t>
      </w:r>
      <w:r w:rsidR="00383764" w:rsidRPr="00837161">
        <w:rPr>
          <w:rFonts w:eastAsiaTheme="majorEastAsia"/>
          <w:lang w:eastAsia="en-ZA"/>
        </w:rPr>
        <w:fldChar w:fldCharType="end"/>
      </w:r>
      <w:r w:rsidR="00383764" w:rsidRPr="00837161">
        <w:rPr>
          <w:rFonts w:eastAsiaTheme="majorEastAsia"/>
          <w:lang w:eastAsia="en-ZA"/>
        </w:rPr>
        <w:t>.</w:t>
      </w:r>
      <w:r w:rsidRPr="00C0338D">
        <w:t xml:space="preserve"> The interactions between climate </w:t>
      </w:r>
      <w:r w:rsidR="004D7EA0">
        <w:t xml:space="preserve">change, </w:t>
      </w:r>
      <w:r w:rsidRPr="00C0338D">
        <w:t xml:space="preserve">habitat change and invasive alien species will alter drivers </w:t>
      </w:r>
      <w:r w:rsidR="7EBACFB9">
        <w:t>that facilitate</w:t>
      </w:r>
      <w:r w:rsidR="7EBACFB9" w:rsidRPr="00C0338D">
        <w:t xml:space="preserve"> </w:t>
      </w:r>
      <w:r w:rsidRPr="00C0338D">
        <w:t>biological invasion</w:t>
      </w:r>
      <w:r w:rsidR="004D7EA0">
        <w:t>s,</w:t>
      </w:r>
      <w:r w:rsidRPr="00C0338D">
        <w:t xml:space="preserve"> resulting in new pathways of introduction, vector efficacy and species previously environmentally constrained overcoming establishment, reproduction and spread barriers </w:t>
      </w:r>
      <w:r w:rsidR="00383764" w:rsidRPr="00837161">
        <w:rPr>
          <w:rFonts w:eastAsiaTheme="majorEastAsia"/>
          <w:lang w:eastAsia="en-ZA"/>
        </w:rPr>
        <w:t>(</w:t>
      </w:r>
      <w:r w:rsidR="004D7EA0" w:rsidRPr="00AC1F76">
        <w:rPr>
          <w:rFonts w:eastAsiaTheme="majorEastAsia"/>
          <w:b/>
          <w:bCs/>
          <w:lang w:eastAsia="en-ZA"/>
        </w:rPr>
        <w:t>Figure 5.27</w:t>
      </w:r>
      <w:r w:rsidR="00383764" w:rsidRPr="00837161">
        <w:rPr>
          <w:rFonts w:eastAsiaTheme="majorEastAsia"/>
          <w:lang w:eastAsia="en-ZA"/>
        </w:rPr>
        <w:t xml:space="preserve">; </w:t>
      </w:r>
      <w:r w:rsidR="00383764" w:rsidRPr="00837161">
        <w:rPr>
          <w:rFonts w:eastAsiaTheme="majorEastAsia"/>
          <w:lang w:eastAsia="en-ZA"/>
        </w:rPr>
        <w:fldChar w:fldCharType="begin"/>
      </w:r>
      <w:r w:rsidR="000F35EB">
        <w:rPr>
          <w:rFonts w:eastAsiaTheme="majorEastAsia"/>
          <w:lang w:eastAsia="en-ZA"/>
        </w:rPr>
        <w:instrText xml:space="preserve"> ADDIN ZOTERO_ITEM CSL_CITATION {"citationID":"1l8In5np","properties":{"formattedCitation":"(Walther et al., 2009)","plainCitation":"(Walther et al., 2009)","dontUpdate":true,"noteIndex":0},"citationItems":[{"id":54013,"uris":["http://zotero.org/groups/2352922/items/2GL5WWF6","http://zotero.org/groups/2352922/items/QPZYHHS2"],"itemData":{"id":54013,"type":"article-journal","container-title":"Trends in ecology &amp; evolution","DOI":"10.1016/j.tree.2009.06.008","issue":"12","note":"ISBN: 0169-5347\npublisher: Elsevier","page":"686-693","title":"Alien species in a warmer world: risks and opportunities","URL":"https://doi.org/10.1016/j.tree.2009.06.008","volume":"24","author":[{"family":"Walther","given":"Gian-Reto"},{"family":"Roques","given":"Alain"},{"family":"Hulme","given":"Philip E."},{"family":"Sykes","given":"Martin T."},{"family":"Pyšek","given":"Petr"},{"family":"Kühn","given":"Ingolf"},{"family":"Zobel","given":"Martin"},{"family":"Bacher","given":"Sven"},{"family":"Botta-Dukát","given":"Zoltán"},{"family":"Bugmann","given":"Harald"},{"family":"Czúcz","given":"Bálint"},{"family":"Dauber","given":"Jens"},{"family":"Hickler","given":"Thomas"},{"family":"Jarošík","given":"Vojtěch"},{"family":"Kenis","given":"Marc"},{"family":"Klotz","given":"Stefan"},{"family":"Minchin","given":"Dan"},{"family":"Moora","given":"Mari"},{"family":"Nentwig","given":"Wolfgang"},{"family":"Ott","given":"Jürgen"},{"family":"Panov","given":"Vadim E."},{"family":"Reineking","given":"Björn"},{"family":"Robinet","given":"Christelle"},{"family":"Semenchenko","given":"Vitaliy"},{"family":"Solarz","given":"Wojciech"},{"family":"Thuiller","given":"Wilfried"},{"family":"Vilà","given":"Montserrat"},{"family":"Vohland","given":"Katrin"},{"family":"Settele","given":"Josef"}],"issued":{"date-parts":[["2009"]]}}}],"schema":"https://github.com/citation-style-language/schema/raw/master/csl-citation.json"} </w:instrText>
      </w:r>
      <w:r w:rsidR="00383764" w:rsidRPr="00837161">
        <w:rPr>
          <w:rFonts w:eastAsiaTheme="majorEastAsia"/>
          <w:lang w:eastAsia="en-ZA"/>
        </w:rPr>
        <w:fldChar w:fldCharType="separate"/>
      </w:r>
      <w:r w:rsidR="00383764" w:rsidRPr="00837161">
        <w:rPr>
          <w:rFonts w:eastAsiaTheme="majorEastAsia"/>
          <w:lang w:eastAsia="en-ZA"/>
        </w:rPr>
        <w:t>Walther et al., 2009</w:t>
      </w:r>
      <w:r w:rsidR="00383764" w:rsidRPr="00837161">
        <w:rPr>
          <w:rFonts w:eastAsiaTheme="majorEastAsia"/>
          <w:lang w:eastAsia="en-ZA"/>
        </w:rPr>
        <w:fldChar w:fldCharType="end"/>
      </w:r>
      <w:r w:rsidR="001C0274" w:rsidRPr="00837161">
        <w:rPr>
          <w:rFonts w:eastAsiaTheme="majorEastAsia"/>
          <w:lang w:eastAsia="en-ZA"/>
        </w:rPr>
        <w:t>;</w:t>
      </w:r>
      <w:r w:rsidR="0096461A" w:rsidRPr="00837161">
        <w:rPr>
          <w:rFonts w:eastAsiaTheme="majorEastAsia"/>
          <w:lang w:eastAsia="en-ZA"/>
        </w:rPr>
        <w:t xml:space="preserve"> </w:t>
      </w:r>
      <w:r w:rsidR="00857A52">
        <w:rPr>
          <w:rFonts w:eastAsiaTheme="majorEastAsia"/>
          <w:b/>
          <w:iCs/>
          <w:lang w:eastAsia="en-ZA"/>
        </w:rPr>
        <w:t>C</w:t>
      </w:r>
      <w:r w:rsidR="0096461A" w:rsidRPr="00857A52">
        <w:rPr>
          <w:rFonts w:eastAsiaTheme="majorEastAsia"/>
          <w:b/>
          <w:iCs/>
          <w:lang w:eastAsia="en-ZA"/>
        </w:rPr>
        <w:t>hapter 3</w:t>
      </w:r>
      <w:r w:rsidR="0096461A" w:rsidRPr="00837161">
        <w:rPr>
          <w:rFonts w:eastAsiaTheme="majorEastAsia"/>
          <w:lang w:eastAsia="en-ZA"/>
        </w:rPr>
        <w:t>)</w:t>
      </w:r>
      <w:r w:rsidR="00383764" w:rsidRPr="00837161">
        <w:rPr>
          <w:rFonts w:eastAsiaTheme="majorEastAsia"/>
          <w:lang w:eastAsia="en-ZA"/>
        </w:rPr>
        <w:t>.</w:t>
      </w:r>
      <w:r w:rsidRPr="00C0338D">
        <w:t xml:space="preserve"> While models and scenarios give insights into the trends of likely impacts of climate change on invasive alien species (</w:t>
      </w:r>
      <w:r w:rsidRPr="00C0338D">
        <w:rPr>
          <w:b/>
        </w:rPr>
        <w:t>Chapter 1</w:t>
      </w:r>
      <w:r w:rsidRPr="00C0338D">
        <w:t>,</w:t>
      </w:r>
      <w:r w:rsidRPr="00C0338D">
        <w:rPr>
          <w:b/>
        </w:rPr>
        <w:t xml:space="preserve"> section 1.6.7.3</w:t>
      </w:r>
      <w:r w:rsidRPr="00C0338D">
        <w:t>;</w:t>
      </w:r>
      <w:r w:rsidRPr="00C0338D">
        <w:rPr>
          <w:b/>
        </w:rPr>
        <w:t xml:space="preserve"> Chapter 2</w:t>
      </w:r>
      <w:r w:rsidRPr="00C0338D">
        <w:t>,</w:t>
      </w:r>
      <w:r w:rsidRPr="00C0338D">
        <w:rPr>
          <w:b/>
        </w:rPr>
        <w:t xml:space="preserve"> sections 2.6.2</w:t>
      </w:r>
      <w:r w:rsidRPr="00C0338D">
        <w:t>,</w:t>
      </w:r>
      <w:r w:rsidRPr="00C0338D">
        <w:rPr>
          <w:b/>
        </w:rPr>
        <w:t xml:space="preserve"> 2.6.3</w:t>
      </w:r>
      <w:r w:rsidRPr="00C0338D">
        <w:t>,</w:t>
      </w:r>
      <w:r w:rsidRPr="00C0338D">
        <w:rPr>
          <w:b/>
        </w:rPr>
        <w:t xml:space="preserve"> 2.6.4</w:t>
      </w:r>
      <w:r w:rsidRPr="00C0338D">
        <w:t xml:space="preserve">), mainstreaming these concepts into action to minimize future impacts will be challenging </w:t>
      </w:r>
      <w:r w:rsidR="00383764" w:rsidRPr="00837161">
        <w:rPr>
          <w:rFonts w:eastAsiaTheme="majorEastAsia"/>
          <w:lang w:eastAsia="en-ZA"/>
        </w:rPr>
        <w:fldChar w:fldCharType="begin"/>
      </w:r>
      <w:r w:rsidR="000F35EB">
        <w:rPr>
          <w:rFonts w:eastAsiaTheme="majorEastAsia"/>
          <w:lang w:eastAsia="en-ZA"/>
        </w:rPr>
        <w:instrText xml:space="preserve"> ADDIN ZOTERO_ITEM CSL_CITATION {"citationID":"p6G57QoV","properties":{"formattedCitation":"(Hellmann et al., 2008)","plainCitation":"(Hellmann et al., 2008)","noteIndex":0},"citationItems":[{"id":32972,"uris":["http://zotero.org/groups/2352922/items/G25ZPKKG"],"itemData":{"id":32972,"type":"article-journal","abstract":"Abstract: Scientific and societal unknowns make it difficult to predict how global environmental changes such as climate change and biological invasions will affect ecological systems. In the long term, these changes may have interacting effects and compound the uncertainty associated with each individual driver. Nonetheless, invasive species are likely to respond in ways that should be qualitatively predictable, and some of these responses will be distinct from those of native counterparts. We used the stages of invasion known as the “invasion pathway” to identify 5 nonexclusive consequences of climate change for invasive species: (1) altered transport and introduction mechanisms, (2) establishment of new invasive species, (3) altered impact of existing invasive species, (4) altered distribution of existing invasive species, and (5) altered effectiveness of control strategies. We then used these consequences to identify testable hypotheses about the responses of invasive species to climate change and provide suggestions for invasive-species management plans. The 5 consequences also emphasize the need for enhanced environmental monitoring and expanded coordination among entities involved in invasive-species management.","container-title":"Conservation Biology","DOI":"10.1111/j.1523-1739.2008.00951.x","ISSN":"1523-1739","issue":"3","language":"en","license":"©2008 Society for Conservation Biology","note":"_eprint: https://conbio.onlinelibrary.wiley.com/doi/pdf/10.1111/j.1523-1739.2008.00951.x","page":"534-543","source":"Wiley Online Library","title":"Five Potential Consequences of Climate Change for Invasive Species","URL":"https://conbio.onlinelibrary.wiley.com/doi/abs/10.1111/j.1523-1739.2008.00951.x","volume":"22","author":[{"family":"Hellmann","given":"Jessica J."},{"family":"Byers","given":"James E."},{"family":"Bierwagen","given":"Britta G."},{"family":"Dukes","given":"Jeffrey S."}],"accessed":{"date-parts":[["2021",6,20]]},"issued":{"date-parts":[["2008"]]}},"label":"page"}],"schema":"https://github.com/citation-style-language/schema/raw/master/csl-citation.json"} </w:instrText>
      </w:r>
      <w:r w:rsidR="00383764" w:rsidRPr="00837161">
        <w:rPr>
          <w:rFonts w:eastAsiaTheme="majorEastAsia"/>
          <w:lang w:eastAsia="en-ZA"/>
        </w:rPr>
        <w:fldChar w:fldCharType="separate"/>
      </w:r>
      <w:r w:rsidR="00271B78" w:rsidRPr="00271B78">
        <w:t>(Hellmann et al., 2008)</w:t>
      </w:r>
      <w:r w:rsidR="00383764" w:rsidRPr="00837161">
        <w:rPr>
          <w:rFonts w:eastAsiaTheme="majorEastAsia"/>
          <w:lang w:eastAsia="en-ZA"/>
        </w:rPr>
        <w:fldChar w:fldCharType="end"/>
      </w:r>
      <w:r w:rsidR="00383764" w:rsidRPr="00837161">
        <w:rPr>
          <w:rFonts w:eastAsiaTheme="majorEastAsia"/>
          <w:lang w:eastAsia="en-ZA"/>
        </w:rPr>
        <w:t>.</w:t>
      </w:r>
      <w:r w:rsidRPr="00C0338D">
        <w:t xml:space="preserve"> Similarly, building concerns related to management</w:t>
      </w:r>
      <w:r>
        <w:t xml:space="preserve"> </w:t>
      </w:r>
      <w:r w:rsidR="43D0A2A7">
        <w:t>of biological invasions</w:t>
      </w:r>
      <w:r w:rsidR="39D5FD3D" w:rsidRPr="00C0338D">
        <w:t xml:space="preserve"> </w:t>
      </w:r>
      <w:r w:rsidRPr="00C0338D">
        <w:t xml:space="preserve">into climate change response planning is also essential, since ecosystem resilience to climate change is eroded by </w:t>
      </w:r>
      <w:r w:rsidR="6EF0B6B1">
        <w:t>invasive alien species</w:t>
      </w:r>
      <w:r>
        <w:t>.</w:t>
      </w:r>
      <w:r w:rsidRPr="00C0338D">
        <w:t xml:space="preserve"> This imperative cuts across the many sectors involved in climate planning, including human health, agriculture and aquaculture, forestry, fisheries management</w:t>
      </w:r>
      <w:r w:rsidR="00C16EEB">
        <w:t xml:space="preserve"> and</w:t>
      </w:r>
      <w:r w:rsidRPr="00C0338D">
        <w:t xml:space="preserve"> wildlife conservation; it is acutely essential when co-planning adaptive management with Indigenous Peoples and local communities (</w:t>
      </w:r>
      <w:r w:rsidRPr="00C0338D">
        <w:rPr>
          <w:b/>
        </w:rPr>
        <w:t>Chapter 4</w:t>
      </w:r>
      <w:r w:rsidRPr="00C0338D">
        <w:t>,</w:t>
      </w:r>
      <w:r w:rsidRPr="00C0338D">
        <w:rPr>
          <w:b/>
        </w:rPr>
        <w:t xml:space="preserve"> section 4.7.2</w:t>
      </w:r>
      <w:r w:rsidRPr="00C0338D">
        <w:t>;</w:t>
      </w:r>
      <w:r w:rsidRPr="00C0338D">
        <w:rPr>
          <w:b/>
        </w:rPr>
        <w:t xml:space="preserve"> Chapter 6</w:t>
      </w:r>
      <w:r w:rsidRPr="00C0338D">
        <w:t xml:space="preserve">, </w:t>
      </w:r>
      <w:r w:rsidRPr="00C0338D">
        <w:rPr>
          <w:b/>
        </w:rPr>
        <w:t>sections 6.1.1</w:t>
      </w:r>
      <w:r w:rsidRPr="00C0338D">
        <w:t>,</w:t>
      </w:r>
      <w:r w:rsidRPr="00C0338D">
        <w:rPr>
          <w:b/>
        </w:rPr>
        <w:t xml:space="preserve"> 6.3.1</w:t>
      </w:r>
      <w:r w:rsidRPr="00C0338D">
        <w:t>).</w:t>
      </w:r>
    </w:p>
    <w:p w14:paraId="00000712" w14:textId="11A5D798" w:rsidR="00A758FD" w:rsidRPr="00C0338D" w:rsidRDefault="00C81287">
      <w:pPr>
        <w:spacing w:before="240" w:after="120" w:line="240" w:lineRule="auto"/>
      </w:pPr>
      <w:r w:rsidRPr="00C0338D">
        <w:t xml:space="preserve">The individual or synergistic effects of increased carbon dioxide levels, changes in air and seawater temperature, floods and droughts, increased frequency and intensity of fire regimes, higher saltwater incursions, changes in ocean currents, extreme events and precipitation patterns, and their interactions with invasive alien species is likely to be highly uncertain </w:t>
      </w:r>
      <w:r w:rsidR="00EC3D6A" w:rsidRPr="00837161">
        <w:rPr>
          <w:lang w:eastAsia="en-ZA"/>
        </w:rPr>
        <w:fldChar w:fldCharType="begin"/>
      </w:r>
      <w:r w:rsidR="000F35EB">
        <w:rPr>
          <w:lang w:eastAsia="en-ZA"/>
        </w:rPr>
        <w:instrText xml:space="preserve"> ADDIN ZOTERO_ITEM CSL_CITATION {"citationID":"s5EsXppX","properties":{"formattedCitation":"(Walther et al., 2009)","plainCitation":"(Walther et al., 2009)","noteIndex":0},"citationItems":[{"id":54013,"uris":["http://zotero.org/groups/2352922/items/2GL5WWF6","http://zotero.org/groups/2352922/items/QPZYHHS2"],"itemData":{"id":54013,"type":"article-journal","container-title":"Trends in ecology &amp; evolution","DOI":"10.1016/j.tree.2009.06.008","issue":"12","note":"ISBN: 0169-5347\npublisher: Elsevier","page":"686-693","title":"Alien species in a warmer world: risks and opportunities","URL":"https://doi.org/10.1016/j.tree.2009.06.008","volume":"24","author":[{"family":"Walther","given":"Gian-Reto"},{"family":"Roques","given":"Alain"},{"family":"Hulme","given":"Philip E."},{"family":"Sykes","given":"Martin T."},{"family":"Pyšek","given":"Petr"},{"family":"Kühn","given":"Ingolf"},{"family":"Zobel","given":"Martin"},{"family":"Bacher","given":"Sven"},{"family":"Botta-Dukát","given":"Zoltán"},{"family":"Bugmann","given":"Harald"},{"family":"Czúcz","given":"Bálint"},{"family":"Dauber","given":"Jens"},{"family":"Hickler","given":"Thomas"},{"family":"Jarošík","given":"Vojtěch"},{"family":"Kenis","given":"Marc"},{"family":"Klotz","given":"Stefan"},{"family":"Minchin","given":"Dan"},{"family":"Moora","given":"Mari"},{"family":"Nentwig","given":"Wolfgang"},{"family":"Ott","given":"Jürgen"},{"family":"Panov","given":"Vadim E."},{"family":"Reineking","given":"Björn"},{"family":"Robinet","given":"Christelle"},{"family":"Semenchenko","given":"Vitaliy"},{"family":"Solarz","given":"Wojciech"},{"family":"Thuiller","given":"Wilfried"},{"family":"Vilà","given":"Montserrat"},{"family":"Vohland","given":"Katrin"},{"family":"Settele","given":"Josef"}],"issued":{"date-parts":[["2009"]]}},"label":"page"}],"schema":"https://github.com/citation-style-language/schema/raw/master/csl-citation.json"} </w:instrText>
      </w:r>
      <w:r w:rsidR="00EC3D6A" w:rsidRPr="00837161">
        <w:rPr>
          <w:lang w:eastAsia="en-ZA"/>
        </w:rPr>
        <w:fldChar w:fldCharType="separate"/>
      </w:r>
      <w:r w:rsidR="00271B78" w:rsidRPr="00271B78">
        <w:t>(Walther et al., 2009)</w:t>
      </w:r>
      <w:r w:rsidR="00EC3D6A" w:rsidRPr="00837161">
        <w:rPr>
          <w:lang w:eastAsia="en-ZA"/>
        </w:rPr>
        <w:fldChar w:fldCharType="end"/>
      </w:r>
      <w:r w:rsidR="00EC3D6A" w:rsidRPr="00837161">
        <w:rPr>
          <w:lang w:eastAsia="en-ZA"/>
        </w:rPr>
        <w:t xml:space="preserve">. </w:t>
      </w:r>
      <w:r w:rsidR="00383764" w:rsidRPr="00837161">
        <w:rPr>
          <w:lang w:eastAsia="en-ZA"/>
        </w:rPr>
        <w:t xml:space="preserve">Future </w:t>
      </w:r>
      <w:r w:rsidR="002F2F42">
        <w:t xml:space="preserve">management of biological invasions </w:t>
      </w:r>
      <w:r w:rsidR="00383764" w:rsidRPr="00837161">
        <w:rPr>
          <w:lang w:eastAsia="en-ZA"/>
        </w:rPr>
        <w:t>will need to adapt, based on knowledge of how potential risks and impacts will vary with changing climate drivers (e.g., spatio-temporal rainfall shifts</w:t>
      </w:r>
      <w:r w:rsidR="00350919" w:rsidRPr="00837161">
        <w:rPr>
          <w:lang w:eastAsia="en-ZA"/>
        </w:rPr>
        <w:t>;</w:t>
      </w:r>
      <w:r w:rsidR="00383764" w:rsidRPr="00837161">
        <w:rPr>
          <w:lang w:eastAsia="en-ZA"/>
        </w:rPr>
        <w:t xml:space="preserve"> </w:t>
      </w:r>
      <w:r w:rsidR="00383764" w:rsidRPr="00837161">
        <w:rPr>
          <w:lang w:eastAsia="en-ZA"/>
        </w:rPr>
        <w:fldChar w:fldCharType="begin"/>
      </w:r>
      <w:r w:rsidR="00115E42">
        <w:rPr>
          <w:lang w:eastAsia="en-ZA"/>
        </w:rPr>
        <w:instrText xml:space="preserve"> ADDIN ZOTERO_ITEM CSL_CITATION {"citationID":"0CFJ3MnZ","properties":{"formattedCitation":"(Beaury et al., 2020)","plainCitation":"(Beaury et al., 2020)","dontUpdate":true,"noteIndex":0},"citationItems":[{"id":30457,"uris":["http://zotero.org/groups/2352922/items/F8MPB2NA"],"itemData":{"id":30457,"type":"article-journal","abstract":"Invasive alien species are likely to interact with climate change, thus necessitating management that proactively addresses both global changes. However, invasive species managers’ concerns about the effects of climate change, the degree to which they incorporate climate change into their management, and what stops them from doing so remain unknown. Therefore, we surveyed natural resource managers addressing invasive species across the U.S. about their priorities, concerns, and management strategies in a changing climate. Of the 211 managers we surveyed, most were very concerned about the influence of climate change on invasive species management, but their organizations were significantly less so. Managers reported that lack of funding and personnel limited their ability to effectively manage invasive species, while lack of information limited their consideration of climate change in decision-making. Additionally, managers prioritized research that identifies range-shifting invasive species and native communities resilient to invasions and climate change. Managers also reported that this information would be most effectively communicated through conversations, research summaries, and meetings/symposia. Despite the need for more information, 65% of managers incorporate climate change into their invasive species management through strategic planning, preventative management, changing treatment and control, and increasing education and outreach. These results show the potential for incorporating climate change into management, but also highlight a clear and pressing need for more targeted research, accessible science communication, and two-way dialogue between researchers and managers focused on invasive species and climate change.","container-title":"Biological Invasions","DOI":"10.1007/s10530-019-02087-6","ISSN":"1573-1464","issue":"2","journalAbbreviation":"Biol Invasions","language":"en","page":"233-252","source":"Springer Link","title":"Incorporating climate change into invasive species management: insights from managers","title-short":"Incorporating climate change into invasive species management","URL":"https://doi.org/10.1007/s10530-019-02087-6","volume":"22","author":[{"family":"Beaury","given":"Evelyn M."},{"family":"Fusco","given":"Emily J."},{"family":"Jackson","given":"Michelle R."},{"family":"Laginhas","given":"Brittany B."},{"family":"Morelli","given":"Toni Lyn"},{"family":"Allen","given":"Jenica M."},{"family":"Pasquarella","given":"Valerie J."},{"family":"Bradley","given":"Bethany A."}],"accessed":{"date-parts":[["2020",5,10]]},"issued":{"date-parts":[["2020",2,1]]}},"label":"page"}],"schema":"https://github.com/citation-style-language/schema/raw/master/csl-citation.json"} </w:instrText>
      </w:r>
      <w:r w:rsidR="00383764" w:rsidRPr="00837161">
        <w:rPr>
          <w:lang w:eastAsia="en-ZA"/>
        </w:rPr>
        <w:fldChar w:fldCharType="separate"/>
      </w:r>
      <w:r w:rsidR="00271B78" w:rsidRPr="00271B78">
        <w:t>Beaury et al., 2020)</w:t>
      </w:r>
      <w:r w:rsidR="00383764" w:rsidRPr="00837161">
        <w:rPr>
          <w:lang w:eastAsia="en-ZA"/>
        </w:rPr>
        <w:fldChar w:fldCharType="end"/>
      </w:r>
      <w:r w:rsidR="00383764" w:rsidRPr="00837161">
        <w:rPr>
          <w:lang w:eastAsia="en-ZA"/>
        </w:rPr>
        <w:t>. Current “sleeper”</w:t>
      </w:r>
      <w:r w:rsidR="004D7EA0">
        <w:rPr>
          <w:lang w:eastAsia="en-ZA"/>
        </w:rPr>
        <w:t xml:space="preserve"> (i.e., </w:t>
      </w:r>
      <w:r w:rsidR="00383764" w:rsidRPr="00837161">
        <w:rPr>
          <w:lang w:eastAsia="en-ZA"/>
        </w:rPr>
        <w:t>invasive alien species of low apparent risk</w:t>
      </w:r>
      <w:r w:rsidR="004D7EA0">
        <w:rPr>
          <w:lang w:eastAsia="en-ZA"/>
        </w:rPr>
        <w:t>;</w:t>
      </w:r>
      <w:r w:rsidR="00383764" w:rsidRPr="00837161">
        <w:rPr>
          <w:lang w:eastAsia="en-ZA"/>
        </w:rPr>
        <w:t xml:space="preserve"> </w:t>
      </w:r>
      <w:r w:rsidR="00383764" w:rsidRPr="00837161">
        <w:rPr>
          <w:lang w:eastAsia="en-ZA"/>
        </w:rPr>
        <w:fldChar w:fldCharType="begin"/>
      </w:r>
      <w:r w:rsidR="00115E42">
        <w:rPr>
          <w:lang w:eastAsia="en-ZA"/>
        </w:rPr>
        <w:instrText xml:space="preserve"> ADDIN ZOTERO_ITEM CSL_CITATION {"citationID":"tVVK4iJZ","properties":{"formattedCitation":"(Hulme, 2020b)","plainCitation":"(Hulme, 2020b)","dontUpdate":true,"noteIndex":0},"citationItems":[{"id":25034,"uris":["http://zotero.org/groups/2352922/items/DVL2HVNP"],"itemData":{"id":25034,"type":"article-journal","abstract":"The number of non-native plant species established outside of cultivation in the New Zealand archipelago is higher than for any other islands worldwide. Faced with this scale of plant invasions, there has been considerable investment in the scientific and operational aspects of prevention, eradication and control. As a result, New Zealand is ideally placed to illustrate the many challenges that plant invasions present worldwide as well as the possible solutions. New Zealand has been at the forefront of biosecurity policy developments to tackle plant invasions being one of the first countries to: (a) implement national legislation to address the management of non-native plants; (b) establish a national permitted list (white-list) for plant imports; and (c) introduce bans on the sale, distribution, or propagation of non-native plant species. However, these preventative measure are only effective where there are also adequate border inspection regimes, compliance monitoring of the horticulture industry, and surveillance of internet trade. While New Zealand has successfully eradicated several non-native plant species from its territory, the small number of successes reflects the short-term, local and often uncoordinated efforts to manage non-native plants rather than national programmes backed by legislation and financed over several decades. New Zealand supports a world-leading biological control programme, but this has led to sustained, large-scale control for only a handful of species. In natural areas, most management attempts using mechanical or herbicide treatments have failed to achieve control and there has been a progressive reduction in the area, and frequency of these programmes over time. This is illustrative of the challenges facing those responsible for managing non-native plants in any region of the world. A general insight is that a shift in mindset is required that overcomes significant cognitive biases that include succumbing to the pressure to always intervene, underestimating the non-linear trajectories of invasions, failing to articulate the values at stake, and underestimating the time programmes require to succeed. Important lessons of global relevance include the need for managers to: (a) recognise when and where sleeper weeds are likely to become a national issue, especially as a result of climate change; (b) quantify impacts on those values that stakeholders most cherish rather than those that are easy to measure; (c) provide accurate estimates of the potential future extent of the invasion in the absence of management; and (d) identify clear indicators of successful progress over the course of a long-term management programme.","container-title":"Biological Invasions","DOI":"10.1007/s10530-020-02224-6","ISSN":"1573-1464","issue":"5","journalAbbreviation":"Biol Invasions","language":"en","page":"1539-1562","source":"Springer Link","title":"Plant invasions in New Zealand: global lessons in prevention, eradication and control","title-short":"Plant invasions in New Zealand","URL":"https://doi.org/10.1007/s10530-020-02224-6","volume":"22","author":[{"family":"Hulme","given":"Philip E."}],"accessed":{"date-parts":[["2021",3,24]]},"issued":{"date-parts":[["2020",5,1]]}}}],"schema":"https://github.com/citation-style-language/schema/raw/master/csl-citation.json"} </w:instrText>
      </w:r>
      <w:r w:rsidR="00383764" w:rsidRPr="00837161">
        <w:rPr>
          <w:lang w:eastAsia="en-ZA"/>
        </w:rPr>
        <w:fldChar w:fldCharType="separate"/>
      </w:r>
      <w:r w:rsidR="00271B78" w:rsidRPr="00271B78">
        <w:t>Hulme, 2020b)</w:t>
      </w:r>
      <w:r w:rsidR="00383764" w:rsidRPr="00837161">
        <w:rPr>
          <w:lang w:eastAsia="en-ZA"/>
        </w:rPr>
        <w:fldChar w:fldCharType="end"/>
      </w:r>
      <w:r w:rsidR="00383764" w:rsidRPr="00837161">
        <w:rPr>
          <w:lang w:eastAsia="en-ZA"/>
        </w:rPr>
        <w:t xml:space="preserve"> may become more invasive as climates change.</w:t>
      </w:r>
      <w:r w:rsidRPr="00C0338D">
        <w:t xml:space="preserve"> Environmental monitoring (e.g., via sentinel sites) could help identify</w:t>
      </w:r>
      <w:r w:rsidR="004D7EA0">
        <w:t>ing</w:t>
      </w:r>
      <w:r w:rsidRPr="00C0338D">
        <w:t xml:space="preserve"> these (</w:t>
      </w:r>
      <w:r w:rsidRPr="00C0338D">
        <w:rPr>
          <w:b/>
        </w:rPr>
        <w:t>section 5.4.3</w:t>
      </w:r>
      <w:r w:rsidRPr="00C0338D">
        <w:t xml:space="preserve">). </w:t>
      </w:r>
      <w:r w:rsidR="004D7EA0">
        <w:t>F</w:t>
      </w:r>
      <w:r w:rsidRPr="00C0338D">
        <w:t>uture sources of invasive alien species are also likely to differ from current sources under climate change</w:t>
      </w:r>
      <w:r w:rsidR="004D7EA0">
        <w:t>,</w:t>
      </w:r>
      <w:r w:rsidRPr="00C0338D">
        <w:t xml:space="preserve"> as geospatial matched climate changes across the globe (</w:t>
      </w:r>
      <w:r w:rsidRPr="00C0338D">
        <w:rPr>
          <w:b/>
        </w:rPr>
        <w:t>Chapter 3</w:t>
      </w:r>
      <w:r w:rsidRPr="00C0338D">
        <w:t>,</w:t>
      </w:r>
      <w:r w:rsidRPr="00C0338D">
        <w:rPr>
          <w:b/>
        </w:rPr>
        <w:t xml:space="preserve"> section 3.3.4</w:t>
      </w:r>
      <w:r w:rsidRPr="00C0338D">
        <w:t>). New source regions and species threats will require prioritization with associated adjustments to pathway management actions.</w:t>
      </w:r>
    </w:p>
    <w:p w14:paraId="53F0A748" w14:textId="7E385B4B" w:rsidR="00383764" w:rsidRPr="00837161" w:rsidRDefault="00383764" w:rsidP="00C11DFA">
      <w:pPr>
        <w:spacing w:before="240" w:after="120" w:line="240" w:lineRule="auto"/>
        <w:rPr>
          <w:lang w:eastAsia="en-ZA"/>
        </w:rPr>
      </w:pPr>
      <w:r w:rsidRPr="00837161">
        <w:rPr>
          <w:lang w:eastAsia="en-ZA"/>
        </w:rPr>
        <w:t xml:space="preserve">Adaptive management will be needed to adapt monitoring, decision-making and management under climate </w:t>
      </w:r>
      <w:r w:rsidR="00197924" w:rsidRPr="00837161">
        <w:rPr>
          <w:lang w:eastAsia="en-ZA"/>
        </w:rPr>
        <w:t>(</w:t>
      </w:r>
      <w:r w:rsidRPr="00857A52">
        <w:rPr>
          <w:b/>
          <w:iCs/>
          <w:lang w:eastAsia="en-ZA"/>
        </w:rPr>
        <w:t>section 5.4</w:t>
      </w:r>
      <w:r w:rsidRPr="00837161">
        <w:rPr>
          <w:lang w:eastAsia="en-ZA"/>
        </w:rPr>
        <w:t xml:space="preserve">) and habitat change. </w:t>
      </w:r>
      <w:r w:rsidR="004D7EA0">
        <w:t>T</w:t>
      </w:r>
      <w:r w:rsidRPr="00837161">
        <w:rPr>
          <w:lang w:eastAsia="en-ZA"/>
        </w:rPr>
        <w:t>her</w:t>
      </w:r>
      <w:r w:rsidRPr="00837161">
        <w:rPr>
          <w:rFonts w:eastAsiaTheme="majorEastAsia"/>
          <w:lang w:eastAsia="en-ZA"/>
        </w:rPr>
        <w:t xml:space="preserve">e is the possibility that climate change may alter the efficacy of existing successful </w:t>
      </w:r>
      <w:r w:rsidR="004D7EA0">
        <w:t>species-based</w:t>
      </w:r>
      <w:r w:rsidR="004D7EA0" w:rsidRPr="00837161">
        <w:rPr>
          <w:lang w:eastAsia="en-ZA"/>
        </w:rPr>
        <w:t xml:space="preserve"> management</w:t>
      </w:r>
      <w:r w:rsidR="004D7EA0" w:rsidRPr="00837161">
        <w:rPr>
          <w:rFonts w:eastAsiaTheme="majorEastAsia"/>
          <w:lang w:eastAsia="en-ZA"/>
        </w:rPr>
        <w:t xml:space="preserve"> </w:t>
      </w:r>
      <w:r w:rsidRPr="00837161">
        <w:rPr>
          <w:rFonts w:eastAsiaTheme="majorEastAsia"/>
          <w:lang w:eastAsia="en-ZA"/>
        </w:rPr>
        <w:t xml:space="preserve">programmes (e.g., biological control; </w:t>
      </w:r>
      <w:r w:rsidRPr="00837161">
        <w:rPr>
          <w:rFonts w:eastAsiaTheme="majorEastAsia"/>
          <w:lang w:eastAsia="en-ZA"/>
        </w:rPr>
        <w:fldChar w:fldCharType="begin"/>
      </w:r>
      <w:r w:rsidR="000F35EB">
        <w:rPr>
          <w:rFonts w:eastAsiaTheme="majorEastAsia"/>
          <w:lang w:eastAsia="en-ZA"/>
        </w:rPr>
        <w:instrText xml:space="preserve"> ADDIN ZOTERO_ITEM CSL_CITATION {"citationID":"S1ph0hhp","properties":{"formattedCitation":"(Y. Sun et al., 2020)","plainCitation":"(Y. Sun et al., 2020)","dontUpdate":true,"noteIndex":0},"citationItems":[{"id":29571,"uris":["http://zotero.org/groups/2352922/items/RUI543UD"],"itemData":{"id":29571,"type":"article-journal","container-title":"Current Opinion in Insect Science","DOI":"10.1016/j.cois.2020.02.003","ISSN":"22145745","journalAbbreviation":"Current Opinion in Insect Science","language":"en","page":"72-78","source":"DOI.org (Crossref)","title":"Biocontrol of invasive weeds under climate change: progress, challenges and management implications","title-short":"Biocontrol of invasive weeds under climate change","URL":"https://linkinghub.elsevier.com/retrieve/pii/S2214574520300250","volume":"38","author":[{"family":"Sun","given":"Yan"},{"family":"Ding","given":"Jianqing"},{"family":"Siemann","given":"Evan"},{"family":"Keller","given":"Stephen R"}],"accessed":{"date-parts":[["2021",7,27]]},"issued":{"date-parts":[["2020",4]]}},"label":"page"}],"schema":"https://github.com/citation-style-language/schema/raw/master/csl-citation.json"} </w:instrText>
      </w:r>
      <w:r w:rsidRPr="00837161">
        <w:rPr>
          <w:rFonts w:eastAsiaTheme="majorEastAsia"/>
          <w:lang w:eastAsia="en-ZA"/>
        </w:rPr>
        <w:fldChar w:fldCharType="separate"/>
      </w:r>
      <w:r w:rsidR="009D1E43" w:rsidRPr="009D1E43">
        <w:t>Y. Sun et al., 2020)</w:t>
      </w:r>
      <w:r w:rsidRPr="00837161">
        <w:rPr>
          <w:rFonts w:eastAsiaTheme="majorEastAsia"/>
          <w:lang w:eastAsia="en-ZA"/>
        </w:rPr>
        <w:fldChar w:fldCharType="end"/>
      </w:r>
      <w:r w:rsidRPr="00837161">
        <w:rPr>
          <w:rFonts w:eastAsiaTheme="majorEastAsia"/>
          <w:lang w:eastAsia="en-ZA"/>
        </w:rPr>
        <w:t xml:space="preserve">. This may require the development of new management practices to ensure that new control programmes, or gains made during current control programmes, are not impeded. </w:t>
      </w:r>
      <w:r w:rsidRPr="00837161">
        <w:rPr>
          <w:lang w:eastAsia="en-ZA"/>
        </w:rPr>
        <w:t xml:space="preserve">Site-based management priorities may have to be reconsidered based on changing climate </w:t>
      </w:r>
      <w:r w:rsidR="00197924" w:rsidRPr="00837161">
        <w:rPr>
          <w:lang w:eastAsia="en-ZA"/>
        </w:rPr>
        <w:t>(</w:t>
      </w:r>
      <w:r w:rsidR="00857A52">
        <w:rPr>
          <w:b/>
          <w:iCs/>
          <w:lang w:eastAsia="en-ZA"/>
        </w:rPr>
        <w:t>C</w:t>
      </w:r>
      <w:r w:rsidRPr="00857A52">
        <w:rPr>
          <w:b/>
          <w:iCs/>
          <w:lang w:eastAsia="en-ZA"/>
        </w:rPr>
        <w:t>hapter 3</w:t>
      </w:r>
      <w:r w:rsidRPr="00857A52">
        <w:rPr>
          <w:iCs/>
          <w:lang w:eastAsia="en-ZA"/>
        </w:rPr>
        <w:t xml:space="preserve">, </w:t>
      </w:r>
      <w:r w:rsidRPr="00857A52">
        <w:rPr>
          <w:b/>
          <w:iCs/>
          <w:lang w:eastAsia="en-ZA"/>
        </w:rPr>
        <w:t>section 3.3.4</w:t>
      </w:r>
      <w:r w:rsidRPr="00837161">
        <w:rPr>
          <w:lang w:eastAsia="en-ZA"/>
        </w:rPr>
        <w:t xml:space="preserve">) and reduced resilience of habitats to </w:t>
      </w:r>
      <w:r w:rsidR="002F2F42">
        <w:t>invasive alien species</w:t>
      </w:r>
      <w:r w:rsidRPr="00837161">
        <w:rPr>
          <w:lang w:eastAsia="en-ZA"/>
        </w:rPr>
        <w:t>. The most vulnerable sites being offshore and mainland islands, mountain tops</w:t>
      </w:r>
      <w:r w:rsidR="00C16EEB">
        <w:rPr>
          <w:lang w:eastAsia="en-ZA"/>
        </w:rPr>
        <w:t xml:space="preserve"> and</w:t>
      </w:r>
      <w:r w:rsidRPr="00837161">
        <w:rPr>
          <w:lang w:eastAsia="en-ZA"/>
        </w:rPr>
        <w:t xml:space="preserve"> coastal environments </w:t>
      </w:r>
      <w:r w:rsidR="004D7EA0">
        <w:rPr>
          <w:lang w:eastAsia="en-ZA"/>
        </w:rPr>
        <w:t xml:space="preserve">will be </w:t>
      </w:r>
      <w:r w:rsidRPr="00837161">
        <w:rPr>
          <w:lang w:eastAsia="en-ZA"/>
        </w:rPr>
        <w:t xml:space="preserve">critical for supporting threatened and endangered species. The </w:t>
      </w:r>
      <w:r w:rsidRPr="00837161">
        <w:rPr>
          <w:rFonts w:eastAsiaTheme="majorEastAsia"/>
          <w:lang w:eastAsia="en-ZA"/>
        </w:rPr>
        <w:t>I</w:t>
      </w:r>
      <w:r w:rsidR="00282A8E" w:rsidRPr="00837161">
        <w:rPr>
          <w:rFonts w:eastAsiaTheme="majorEastAsia"/>
          <w:lang w:eastAsia="en-ZA"/>
        </w:rPr>
        <w:t>UCN</w:t>
      </w:r>
      <w:r w:rsidRPr="00837161">
        <w:rPr>
          <w:rFonts w:eastAsiaTheme="majorEastAsia"/>
          <w:lang w:eastAsia="en-ZA"/>
        </w:rPr>
        <w:t xml:space="preserve"> </w:t>
      </w:r>
      <w:r w:rsidRPr="00837161">
        <w:rPr>
          <w:lang w:eastAsia="en-ZA"/>
        </w:rPr>
        <w:t xml:space="preserve">recognizes the likely increased use of </w:t>
      </w:r>
      <w:r w:rsidRPr="00837161">
        <w:rPr>
          <w:rFonts w:eastAsiaTheme="majorEastAsia"/>
          <w:lang w:eastAsia="en-ZA"/>
        </w:rPr>
        <w:t xml:space="preserve">species translocations to save endangered species from declining climate niches and has produced guidelines to support this, but there are risks and consequences </w:t>
      </w:r>
      <w:r w:rsidRPr="00837161">
        <w:rPr>
          <w:rFonts w:eastAsiaTheme="majorEastAsia"/>
          <w:lang w:eastAsia="en-ZA"/>
        </w:rPr>
        <w:fldChar w:fldCharType="begin"/>
      </w:r>
      <w:r w:rsidR="000F35EB">
        <w:rPr>
          <w:rFonts w:eastAsiaTheme="majorEastAsia"/>
          <w:lang w:eastAsia="en-ZA"/>
        </w:rPr>
        <w:instrText xml:space="preserve"> ADDIN ZOTERO_ITEM CSL_CITATION {"citationID":"v7INHaQR","properties":{"unsorted":true,"formattedCitation":"(Webber &amp; Scott, 2012; Lozier et al., 2015)","plainCitation":"(Webber &amp; Scott, 2012; Lozier et al., 2015)","noteIndex":0},"citationItems":[{"id":10932,"uris":["http://zotero.org/groups/2352922/items/96R6WS44"],"itemData":{"id":10932,"type":"article-journal","abstract":"The ability to ascribe native or alien status to species in a rapidly changing world underpins diverse research fields that overlap with global change and biological invasions via biodiversity. Current definitions generally link alien status to anthropogenic dispersal events, but this can create conflicts for active management and global change adaptation strategies, such as managed relocation and restoration ecology. Here we propose a unifying approach that allows for the incorporation of rapid global change into biological invasion terminology. We introduce the concept of a projected dispersal envelope (PDE) to define the region where a species is or could be native, irrespective of human involvement. The PDE integrates biogeography and niche theory with existing invasion terminology to place a spatial and temporal context on species movements. We draw on a diverse suite of topical organism movements to illustrate these concepts. Our restructured definitions allow for native species to move into or with rapidly shifting climatic regions, as well as identifying the inappropriate introduction of alien species to new areas. Moreover, our definitions framework forms a timely and essential component of adaptation policies and responses for invasive species management and the enhancement of biodiversity in a rapidly changing world.","container-title":"Global Ecology and Biogeography","DOI":"10.1111/j.1466-8238.2011.00684.x","ISSN":"1466-8238","issue":"3","language":"en","note":"_eprint: https://onlinelibrary.wiley.com/doi/pdf/10.1111/j.1466-8238.2011.00684.x","page":"305-311","source":"Wiley Online Library","title":"Rapid global change: implications for defining natives and aliens","title-short":"Rapid global change","URL":"https://onlinelibrary.wiley.com/doi/abs/10.1111/j.1466-8238.2011.00684.x","volume":"21","author":[{"family":"Webber","given":"Bruce L."},{"family":"Scott","given":"John K."}],"accessed":{"date-parts":[["2020",8,21]]},"issued":{"date-parts":[["2012"]]}},"label":"page"},{"id":29966,"uris":["http://zotero.org/groups/2352922/items/6U7LIGWC"],"itemData":{"id":29966,"type":"article-journal","abstract":"We do not dispute the results of the Report “Climate change impacts on bumblebees converge across continents” (10 July, p. [177][1]), in which J. T. Kerr et al. show that shrinking bumblebee ranges track temperature changes in unexpected and alarming ways at a continental scale, supporting previous suggestions ([ 1 ][2]) that climate change will affect Bombus distributions. We are concerned, however, by Kerr et al. 's suggestion that “[e]xperimental relocation of bumblebee colonies into new areas could mitigate these range losses.”\n\n![Figure][3]&lt;/img&gt;\n\nPHOTO: CHEMICALBRO/[ISTOCKPHOTO.COM][4]\n\nSuch a simple solution may have great appeal to the public and policy-makers, but complex and unpredictable repercussions if put into practice. Movement of bumblebee species for pollination services has been implicated in threats to native bumblebee fauna worldwide ([ 2 ][5]). For example, the introduction of European species into South America has contributed to the catastrophic collapse of native bumblebees ([ 3 ][6]). At a time when researchers are arguing for greater regulation of bumblebee movement [e.g., ([ 4 ][7], [ 5 ][8])], Kerr et al. 's suggestion of colony relocation as a conservation strategy should be approached with caution.\n\nPerhaps the greatest risk of interregional transportation lies with the spread of disease, a factor not considered by Kerr et al. , but suspected to be behind the decline of some species ([ 6 ][9]). Bumblebees may host a diversity of parasites and pathogens, and relocated colonies reared in captivity may negatively affect native pollinator communities through co-introduction and spread of disease ([ 5 ][8]). Competition with native fauna is also a concern ([ 2 ][5]), as are population genetic factors (e.g., incomplete knowledge of taxonomy and population structure resulting in unfavorable outbreeding) ([ 7 ][10]). Concerns are not limited to intercontinental transportation, but also apply to movement of native species within and between regions ([ 5 ][8], [ 7 ][10]).\n\nIn the absence of comprehensive mechanistic knowledge, it may be preferable to facilitate natural range changes through habitat management, rather than conducting interventions that may have short-term benefits to ecosystem services but long-term consequences for global pollinator communities. Ultimately, efforts to overcome perceived challenges to a species' natural ability to match climatic shifts should be preceded by detailed ecological and evolutionary studies in both source and destination regions.\n\n1.  [</w:instrText>
      </w:r>
      <w:r w:rsidR="000F35EB">
        <w:rPr>
          <w:rFonts w:ascii="Cambria Math" w:eastAsiaTheme="majorEastAsia" w:hAnsi="Cambria Math" w:cs="Cambria Math"/>
          <w:lang w:eastAsia="en-ZA"/>
        </w:rPr>
        <w:instrText>↵</w:instrText>
      </w:r>
      <w:r w:rsidR="000F35EB">
        <w:rPr>
          <w:rFonts w:eastAsiaTheme="majorEastAsia"/>
          <w:lang w:eastAsia="en-ZA"/>
        </w:rPr>
        <w:instrText>][11]1.   P. H. Williams, \n    2.   M. Araujo, \n    3.   P. Rasmont\n    \n    , Biol. Conserv. 138, 493 (2007).\n    \n    [OpenUrl][12][CrossRef][13][Web of Science][14]\n\n2.  [</w:instrText>
      </w:r>
      <w:r w:rsidR="000F35EB">
        <w:rPr>
          <w:rFonts w:ascii="Cambria Math" w:eastAsiaTheme="majorEastAsia" w:hAnsi="Cambria Math" w:cs="Cambria Math"/>
          <w:lang w:eastAsia="en-ZA"/>
        </w:rPr>
        <w:instrText>↵</w:instrText>
      </w:r>
      <w:r w:rsidR="000F35EB">
        <w:rPr>
          <w:rFonts w:eastAsiaTheme="majorEastAsia"/>
          <w:lang w:eastAsia="en-ZA"/>
        </w:rPr>
        <w:instrText>][15]1.   D. Goulson\n    \n    , Appl. Entomol. Zool. 45, 7 (2010).\n    \n    [OpenUrl][16][CrossRef][17]\n\n3.  [</w:instrText>
      </w:r>
      <w:r w:rsidR="000F35EB">
        <w:rPr>
          <w:rFonts w:ascii="Cambria Math" w:eastAsiaTheme="majorEastAsia" w:hAnsi="Cambria Math" w:cs="Cambria Math"/>
          <w:lang w:eastAsia="en-ZA"/>
        </w:rPr>
        <w:instrText>↵</w:instrText>
      </w:r>
      <w:r w:rsidR="000F35EB">
        <w:rPr>
          <w:rFonts w:eastAsiaTheme="majorEastAsia"/>
          <w:lang w:eastAsia="en-ZA"/>
        </w:rPr>
        <w:instrText>][18]1.   C. L. Morales, \n    2.   M. P. Arbetman, \n    3.   S. A. Cameron, \n    4.   M. A. Aizen\n    \n    , Front. Ecol. Environ. 11, 529 (2013).\n    \n    [OpenUrl][19][CrossRef][20]\n\n4.  [</w:instrText>
      </w:r>
      <w:r w:rsidR="000F35EB">
        <w:rPr>
          <w:rFonts w:ascii="Cambria Math" w:eastAsiaTheme="majorEastAsia" w:hAnsi="Cambria Math" w:cs="Cambria Math"/>
          <w:lang w:eastAsia="en-ZA"/>
        </w:rPr>
        <w:instrText>↵</w:instrText>
      </w:r>
      <w:r w:rsidR="000F35EB">
        <w:rPr>
          <w:rFonts w:eastAsiaTheme="majorEastAsia"/>
          <w:lang w:eastAsia="en-ZA"/>
        </w:rPr>
        <w:instrText>][21]International Union for Conservation of Nature Bumblebee Specialist Group, Commercial Bumblebee Policy Statement ([www.iucn.org/about/work/programmes/species/who\\_we\\_are/ssc\\_specialist\\_groups\\_and\\_red\\_list\\_authorities\\_directory/invertebrates/bumblebee\\_specialist\\_group/commercial\\_bumblebee\\_policy\\_statement/][22]).\n5.  [</w:instrText>
      </w:r>
      <w:r w:rsidR="000F35EB">
        <w:rPr>
          <w:rFonts w:ascii="Cambria Math" w:eastAsiaTheme="majorEastAsia" w:hAnsi="Cambria Math" w:cs="Cambria Math"/>
          <w:lang w:eastAsia="en-ZA"/>
        </w:rPr>
        <w:instrText>↵</w:instrText>
      </w:r>
      <w:r w:rsidR="000F35EB">
        <w:rPr>
          <w:rFonts w:eastAsiaTheme="majorEastAsia"/>
          <w:lang w:eastAsia="en-ZA"/>
        </w:rPr>
        <w:instrText>][23]1.   D. Goulson, \n    2.   W. O. H. Hughes\n    \n    , Biol. Conserv. 191, 10 (2015).\n    \n    [OpenUrl][24][CrossRef][25]\n\n6.  [</w:instrText>
      </w:r>
      <w:r w:rsidR="000F35EB">
        <w:rPr>
          <w:rFonts w:ascii="Cambria Math" w:eastAsiaTheme="majorEastAsia" w:hAnsi="Cambria Math" w:cs="Cambria Math"/>
          <w:lang w:eastAsia="en-ZA"/>
        </w:rPr>
        <w:instrText>↵</w:instrText>
      </w:r>
      <w:r w:rsidR="000F35EB">
        <w:rPr>
          <w:rFonts w:eastAsiaTheme="majorEastAsia"/>
          <w:lang w:eastAsia="en-ZA"/>
        </w:rPr>
        <w:instrText>][26]1.   S. A. Cameron \n    2.  et al\n    \n    ., Proc. Natl. Acad. Sci. U.S.A. 108, 662 (2011).\n    \n    [OpenUrl][27][Abstract/FREE Full Text][28]\n\n7.  [</w:instrText>
      </w:r>
      <w:r w:rsidR="000F35EB">
        <w:rPr>
          <w:rFonts w:ascii="Cambria Math" w:eastAsiaTheme="majorEastAsia" w:hAnsi="Cambria Math" w:cs="Cambria Math"/>
          <w:lang w:eastAsia="en-ZA"/>
        </w:rPr>
        <w:instrText>↵</w:instrText>
      </w:r>
      <w:r w:rsidR="000F35EB">
        <w:rPr>
          <w:rFonts w:eastAsiaTheme="majorEastAsia"/>
          <w:lang w:eastAsia="en-ZA"/>
        </w:rPr>
        <w:instrText xml:space="preserve">][29]1.   S. H. Woodard \n    2.  et al\n    \n    ., Mol. Ecol. 24, 2916 (2015).\n    \n    [OpenUrl][30][CrossRef][31]\n\n [1]: /lookup/doi/10.1126/science.aaa7031\n [2]: #ref-1\n [3]: pending:yes\n [4]: http://ISTOCKPHOTO.COM\n [5]: #ref-2\n [6]: #ref-3\n [7]: #ref-4\n [8]: #ref-5\n [9]: #ref-6\n [10]: #ref-7\n [11]: #xref-ref-1-1 \"View reference 1 in text\"\n [12]: {openurl}?query=rft.jtitle%253DBiol.%2BConserv.%26rft.volume%253D138%26rft.spage%253D493%26rft_id%253Dinfo%253Adoi%252F10.1016%252Fj.biocon.2007.06.001%26rft.genre%253Darticle%26rft_val_fmt%253Dinfo%253Aofi%252Ffmt%253Akev%253Amtx%253Ajournal%26ctx_ver%253DZ39.88-2004%26url_ver%253DZ39.88-2004%26url_ctx_fmt%253Dinfo%253Aofi%252Ffmt%253Akev%253Amtx%253Actx\n [13]: /lookup/external-ref?access_num=10.1016/j.biocon.2007.06.001&amp;link_type=DOI\n [14]: /lookup/external-ref?access_num=000249256100020&amp;link_type=ISI\n [15]: #xref-ref-2-1 \"View reference 2 in text\"\n [16]: {openurl}?query=rft.jtitle%253DAppl.%2BEntomol.%2BZool.%26rft.volume%253D45%26rft.spage%253D7%26rft_id%253Dinfo%253Adoi%252F10.1303%252Faez.2010.7%26rft.genre%253Darticle%26rft_val_fmt%253Dinfo%253Aofi%252Ffmt%253Akev%253Amtx%253Ajournal%26ctx_ver%253DZ39.88-2004%26url_ver%253DZ39.88-2004%26url_ctx_fmt%253Dinfo%253Aofi%252Ffmt%253Akev%253Amtx%253Actx\n [17]: /lookup/external-ref?access_num=10.1303/aez.2010.7&amp;link_type=DOI\n [18]: #xref-ref-3-1 \"View reference 3 in text\"\n [19]: {openurl}?query=rft.jtitle%253DFront.%2BEcol.%2BEnviron.%26rft.volume%253D11%26rft.spage%253D529%26rft_id%253Dinfo%253Adoi%252F10.1890%252F120321%26rft.genre%253Darticle%26rft_val_fmt%253Dinfo%253Aofi%252Ffmt%253Akev%253Amtx%253Ajournal%26ctx_ver%253DZ39.88-2004%26url_ver%253DZ39.88-2004%26url_ctx_fmt%253Dinfo%253Aofi%252Ffmt%253Akev%253Amtx%253Actx\n [20]: /lookup/external-ref?access_num=10.1890/120321&amp;link_type=DOI\n [21]: #xref-ref-4-1 \"View reference 4 in text\"\n [22]: http://www.iucn.org/about/work/programmes/species/who_we_are/ssc_specialist_groups_and_red_list_authorities_directory/invertebrates/bumblebee_specialist_group/commercial_bumblebee_policy_statement/\n [23]: #xref-ref-5-1 \"View reference 5 in text\"\n [24]: {openurl}?query=rft.jtitle%253DBiol.%2BConserv.%26rft.volume%253D191%26rft.spage%253D10%26rft_id%253Dinfo%253Adoi%252F10.1016%252Fj.biocon.2015.06.023%26rft.genre%253Darticle%26rft_val_fmt%253Dinfo%253Aofi%252Ffmt%253Akev%253Amtx%253Ajournal%26ctx_ver%253DZ39.88-2004%26url_ver%253DZ39.88-2004%26url_ctx_fmt%253Dinfo%253Aofi%252Ffmt%253Akev%253Amtx%253Actx\n [25]: /lookup/external-ref?access_num=10.1016/j.biocon.2015.06.023&amp;link_type=DOI\n [26]: #xref-ref-6-1 \"View reference 6 in text\"\n [27]: {openurl}?query=rft.jtitle%253DProc.%2BNatl.%2BAcad.%2BSci.%2BU.S.A.%26rft_id%253Dinfo%253Adoi%252F10.1073%252Fpnas.1014743108%26rft_id%253Dinfo%253Apmid%252F21199943%26rft.genre%253Darticle%26rft_val_fmt%253Dinfo%253Aofi%252Ffmt%253Akev%253Amtx%253Ajournal%26ctx_ver%253DZ39.88-2004%26url_ver%253DZ39.88-2004%26url_ctx_fmt%253Dinfo%253Aofi%252Ffmt%253Akev%253Amtx%253Actx\n [28]: /lookup/ijlink/YTozOntzOjQ6InBhdGgiO3M6MTQ6Ii9sb29rdXAvaWpsaW5rIjtzOjU6InF1ZXJ5IjthOjQ6e3M6ODoibGlua1R5cGUiO3M6NDoiQUJTVCI7czoxMToiam91cm5hbENvZGUiO3M6NDoicG5hcyI7czo1OiJyZXNpZCI7czo5OiIxMDgvMi82NjIiO3M6NDoiYXRvbSI7czoyNDoiL3NjaS8zNTAvNjI1OC8yODYuMi5hdG9tIjt9czo4OiJmcmFnbWVudCI7czowOiIiO30=\n [29]: #xref-ref-7-1 \"View reference 7 in text\"\n [30]: {openurl}?query=rft.jtitle%253DMol.%2BEcol.%26rft.volume%253D24%26rft.spage%253D2916%26rft_id%253Dinfo%253Adoi%252F10.1111%252Fmec.13198%26rft.genre%253Darticle%26rft_val_fmt%253Dinfo%253Aofi%252Ffmt%253Akev%253Amtx%253Ajournal%26ctx_ver%253DZ39.88-2004%26url_ver%253DZ39.88-2004%26url_ctx_fmt%253Dinfo%253Aofi%252Ffmt%253Akev%253Amtx%253Actx\n [31]: /lookup/external-ref?access_num=10.1111/mec.13198&amp;link_type=DOI","container-title":"Science","DOI":"10.1126/science.350.6258.286-b","ISSN":"0036-8075, 1095-9203","issue":"6258","language":"en","license":"Copyright © 2015, American Association for the Advancement of Science","note":"publisher: American Association for the Advancement of Science\nsection: Letters\nPMID: 26472900","page":"286-287","source":"science.sciencemag.org","title":"Relocation risky for bumblebee colonies","URL":"https://science.sciencemag.org/content/350/6258/286.2","volume":"350","author":[{"family":"Lozier","given":"Jeffrey D."},{"family":"Cameron","given":"Sydney A."},{"family":"Duennes","given":"Michelle A."},{"family":"Strange","given":"James P."},{"family":"Williams","given":"Paul H."},{"family":"Goulson","given":"David"},{"family":"Brown","given":"Mark J. F."},{"family":"Morales","given":"Carolina"},{"family":"Jepsen","given":"Sarina"}],"accessed":{"date-parts":[["2021",7,29]]},"issued":{"date-parts":[["2015",10,16]]}},"label":"page"}],"schema":"https://github.com/citation-style-language/schema/raw/master/csl-citation.json"} </w:instrText>
      </w:r>
      <w:r w:rsidRPr="00837161">
        <w:rPr>
          <w:rFonts w:eastAsiaTheme="majorEastAsia"/>
          <w:lang w:eastAsia="en-ZA"/>
        </w:rPr>
        <w:fldChar w:fldCharType="separate"/>
      </w:r>
      <w:r w:rsidR="00271B78" w:rsidRPr="00271B78">
        <w:t>(Webber &amp; Scott, 2012; Lozier et al., 2015)</w:t>
      </w:r>
      <w:r w:rsidRPr="00837161">
        <w:rPr>
          <w:rFonts w:eastAsiaTheme="majorEastAsia"/>
          <w:lang w:eastAsia="en-ZA"/>
        </w:rPr>
        <w:fldChar w:fldCharType="end"/>
      </w:r>
      <w:r w:rsidRPr="00837161">
        <w:rPr>
          <w:rFonts w:eastAsiaTheme="majorEastAsia"/>
          <w:lang w:eastAsia="en-ZA"/>
        </w:rPr>
        <w:t xml:space="preserve">. </w:t>
      </w:r>
      <w:r w:rsidRPr="00837161">
        <w:rPr>
          <w:lang w:eastAsia="en-ZA"/>
        </w:rPr>
        <w:t xml:space="preserve">Integrating </w:t>
      </w:r>
      <w:r w:rsidR="002F2F42">
        <w:t>biological invasions</w:t>
      </w:r>
      <w:r w:rsidR="002F2F42" w:rsidRPr="00837161">
        <w:rPr>
          <w:lang w:eastAsia="en-ZA"/>
        </w:rPr>
        <w:t xml:space="preserve"> </w:t>
      </w:r>
      <w:r w:rsidRPr="00837161">
        <w:rPr>
          <w:lang w:eastAsia="en-ZA"/>
        </w:rPr>
        <w:t xml:space="preserve">management strategies into assisted translocation actions </w:t>
      </w:r>
      <w:r w:rsidRPr="00837161">
        <w:rPr>
          <w:lang w:eastAsia="en-ZA"/>
        </w:rPr>
        <w:lastRenderedPageBreak/>
        <w:t>under climate change could help avoid unintended consequences</w:t>
      </w:r>
      <w:r w:rsidRPr="00837161">
        <w:rPr>
          <w:rFonts w:eastAsiaTheme="majorEastAsia"/>
          <w:lang w:eastAsia="en-ZA"/>
        </w:rPr>
        <w:t xml:space="preserve"> </w:t>
      </w:r>
      <w:r w:rsidRPr="00837161">
        <w:rPr>
          <w:rFonts w:eastAsiaTheme="majorEastAsia"/>
          <w:lang w:eastAsia="en-ZA"/>
        </w:rPr>
        <w:fldChar w:fldCharType="begin"/>
      </w:r>
      <w:r w:rsidR="000F35EB">
        <w:rPr>
          <w:rFonts w:eastAsiaTheme="majorEastAsia"/>
          <w:lang w:eastAsia="en-ZA"/>
        </w:rPr>
        <w:instrText xml:space="preserve"> ADDIN ZOTERO_ITEM CSL_CITATION {"citationID":"eEBl0gS2","properties":{"unsorted":true,"formattedCitation":"(Webber &amp; Scott, 2012; IUCN/SSC, 2013)","plainCitation":"(Webber &amp; Scott, 2012; IUCN/SSC, 2013)","noteIndex":0},"citationItems":[{"id":10932,"uris":["http://zotero.org/groups/2352922/items/96R6WS44"],"itemData":{"id":10932,"type":"article-journal","abstract":"The ability to ascribe native or alien status to species in a rapidly changing world underpins diverse research fields that overlap with global change and biological invasions via biodiversity. Current definitions generally link alien status to anthropogenic dispersal events, but this can create conflicts for active management and global change adaptation strategies, such as managed relocation and restoration ecology. Here we propose a unifying approach that allows for the incorporation of rapid global change into biological invasion terminology. We introduce the concept of a projected dispersal envelope (PDE) to define the region where a species is or could be native, irrespective of human involvement. The PDE integrates biogeography and niche theory with existing invasion terminology to place a spatial and temporal context on species movements. We draw on a diverse suite of topical organism movements to illustrate these concepts. Our restructured definitions allow for native species to move into or with rapidly shifting climatic regions, as well as identifying the inappropriate introduction of alien species to new areas. Moreover, our definitions framework forms a timely and essential component of adaptation policies and responses for invasive species management and the enhancement of biodiversity in a rapidly changing world.","container-title":"Global Ecology and Biogeography","DOI":"10.1111/j.1466-8238.2011.00684.x","ISSN":"1466-8238","issue":"3","language":"en","note":"_eprint: https://onlinelibrary.wiley.com/doi/pdf/10.1111/j.1466-8238.2011.00684.x","page":"305-311","source":"Wiley Online Library","title":"Rapid global change: implications for defining natives and aliens","title-short":"Rapid global change","URL":"https://onlinelibrary.wiley.com/doi/abs/10.1111/j.1466-8238.2011.00684.x","volume":"21","author":[{"family":"Webber","given":"Bruce L."},{"family":"Scott","given":"John K."}],"accessed":{"date-parts":[["2020",8,21]]},"issued":{"date-parts":[["2012"]]}}},{"id":30165,"uris":["http://zotero.org/groups/2352922/items/DTVFJ6AV"],"itemData":{"id":30165,"type":"book","event-place":"Gland, Switzerland","ISBN":"978-2-8317-1609-1","publisher":"IUCN Species Survival Commission","publisher-place":"Gland, Switzerland","title":"Guidelines for Reintroductions and Other Conservation Translocations. Version 1.0.","URL":"https://portals.iucn.org/library/sites/library/files/documents/2013-009.pdf","author":[{"literal":"IUCN/SSC"}],"accessed":{"date-parts":[["2021",8,23]]},"issued":{"date-parts":[["2013"]]}}}],"schema":"https://github.com/citation-style-language/schema/raw/master/csl-citation.json"} </w:instrText>
      </w:r>
      <w:r w:rsidRPr="00837161">
        <w:rPr>
          <w:rFonts w:eastAsiaTheme="majorEastAsia"/>
          <w:lang w:eastAsia="en-ZA"/>
        </w:rPr>
        <w:fldChar w:fldCharType="separate"/>
      </w:r>
      <w:r w:rsidR="00271B78" w:rsidRPr="00271B78">
        <w:t>(Webber &amp; Scott, 2012; IUCN/SSC, 2013)</w:t>
      </w:r>
      <w:r w:rsidRPr="00837161">
        <w:rPr>
          <w:rFonts w:eastAsiaTheme="majorEastAsia"/>
          <w:lang w:eastAsia="en-ZA"/>
        </w:rPr>
        <w:fldChar w:fldCharType="end"/>
      </w:r>
      <w:r w:rsidRPr="00837161">
        <w:rPr>
          <w:rFonts w:eastAsiaTheme="majorEastAsia"/>
          <w:lang w:eastAsia="en-ZA"/>
        </w:rPr>
        <w:t>.</w:t>
      </w:r>
    </w:p>
    <w:p w14:paraId="00000714" w14:textId="7B830CBE" w:rsidR="00A758FD" w:rsidRPr="00C0338D" w:rsidRDefault="00383764">
      <w:pPr>
        <w:spacing w:before="240" w:after="120" w:line="240" w:lineRule="auto"/>
      </w:pPr>
      <w:r w:rsidRPr="00837161">
        <w:t xml:space="preserve">Relevant stakeholder community actions as recommended by the </w:t>
      </w:r>
      <w:r w:rsidR="00A0207D" w:rsidRPr="00837161">
        <w:t>CBD</w:t>
      </w:r>
      <w:r w:rsidRPr="00837161">
        <w:t xml:space="preserve"> </w:t>
      </w:r>
      <w:r w:rsidR="00A109AC">
        <w:fldChar w:fldCharType="begin"/>
      </w:r>
      <w:r w:rsidR="000F35EB">
        <w:instrText xml:space="preserve"> ADDIN ZOTERO_ITEM CSL_CITATION {"citationID":"laB2mR92","properties":{"formattedCitation":"(2022b)","plainCitation":"(2022b)","noteIndex":0},"citationItems":[{"id":54823,"uris":["http://zotero.org/groups/2352922/items/ALQHAEC3"],"itemData":{"id":54823,"type":"paper-conference","collection-title":"CBD/COP/DEC/15/27","container-title":"Decision adopted by the conference of the parties to the convention on biological diversity","event-place":"Montreal, Canada","event-title":"Fifteenth meeting of Conference of the parties to the Convention on Biological Diversity","language":"en","publisher":"Convention on Biodiversity, United Nations Environment Programme","publisher-place":"Montreal, Canada","source":"Zotero","title":"15/27. Invasive alien species","URL":"https://www.cbd.int/doc/decisions/cop-15/cop-15-dec-27-en.pdf","author":[{"literal":"CBD"}],"issued":{"date-parts":[["2022"]]}},"suppress-author":true}],"schema":"https://github.com/citation-style-language/schema/raw/master/csl-citation.json"} </w:instrText>
      </w:r>
      <w:r w:rsidR="00A109AC">
        <w:fldChar w:fldCharType="separate"/>
      </w:r>
      <w:r w:rsidR="00271B78" w:rsidRPr="00271B78">
        <w:t>(2022b)</w:t>
      </w:r>
      <w:r w:rsidR="00A109AC">
        <w:fldChar w:fldCharType="end"/>
      </w:r>
      <w:r w:rsidRPr="00837161">
        <w:t xml:space="preserve"> include:</w:t>
      </w:r>
      <w:r w:rsidR="00C81287" w:rsidRPr="00C0338D">
        <w:t xml:space="preserve"> </w:t>
      </w:r>
    </w:p>
    <w:p w14:paraId="00000715" w14:textId="52C4B6EC" w:rsidR="00A758FD" w:rsidRPr="002F2F42" w:rsidRDefault="00C81287" w:rsidP="002F2F42">
      <w:pPr>
        <w:numPr>
          <w:ilvl w:val="0"/>
          <w:numId w:val="7"/>
        </w:numPr>
        <w:pBdr>
          <w:top w:val="nil"/>
          <w:left w:val="nil"/>
          <w:bottom w:val="nil"/>
          <w:right w:val="nil"/>
          <w:between w:val="nil"/>
        </w:pBdr>
        <w:spacing w:line="240" w:lineRule="auto"/>
        <w:rPr>
          <w:color w:val="000000"/>
        </w:rPr>
      </w:pPr>
      <w:r w:rsidRPr="002F2F42">
        <w:rPr>
          <w:color w:val="000000" w:themeColor="text1"/>
        </w:rPr>
        <w:t>engaging all sectors including agriculture and public health agencies and industries in invasive alien species planning where climate change risks are cross-sectoral;</w:t>
      </w:r>
    </w:p>
    <w:p w14:paraId="00000716" w14:textId="77777777" w:rsidR="00A758FD" w:rsidRPr="002F2F42" w:rsidRDefault="00C81287" w:rsidP="002F2F42">
      <w:pPr>
        <w:numPr>
          <w:ilvl w:val="0"/>
          <w:numId w:val="7"/>
        </w:numPr>
        <w:pBdr>
          <w:top w:val="nil"/>
          <w:left w:val="nil"/>
          <w:bottom w:val="nil"/>
          <w:right w:val="nil"/>
          <w:between w:val="nil"/>
        </w:pBdr>
        <w:spacing w:line="240" w:lineRule="auto"/>
        <w:rPr>
          <w:color w:val="000000"/>
        </w:rPr>
      </w:pPr>
      <w:r w:rsidRPr="002F2F42">
        <w:rPr>
          <w:color w:val="000000"/>
        </w:rPr>
        <w:t>raising public awareness, including with local and Indigenous Peoples and local communities, of changing invasive alien species threats arising from climate change and include the participation of the public and all relevant sectors in response planning;</w:t>
      </w:r>
    </w:p>
    <w:p w14:paraId="00000717" w14:textId="77777777" w:rsidR="00A758FD" w:rsidRPr="002F2F42" w:rsidRDefault="00C81287" w:rsidP="002F2F42">
      <w:pPr>
        <w:numPr>
          <w:ilvl w:val="0"/>
          <w:numId w:val="7"/>
        </w:numPr>
        <w:pBdr>
          <w:top w:val="nil"/>
          <w:left w:val="nil"/>
          <w:bottom w:val="nil"/>
          <w:right w:val="nil"/>
          <w:between w:val="nil"/>
        </w:pBdr>
        <w:spacing w:line="240" w:lineRule="auto"/>
        <w:rPr>
          <w:color w:val="000000"/>
        </w:rPr>
      </w:pPr>
      <w:r w:rsidRPr="002F2F42">
        <w:rPr>
          <w:color w:val="000000"/>
        </w:rPr>
        <w:t>minimizing the potential of biological invasions or develop spatial response planning for areas in which communities are threatened with a high risk of extreme weather events (e.g., relocate zoos, botanical gardens, aquaculture facilities using alien species, from extreme-event-prone areas).</w:t>
      </w:r>
    </w:p>
    <w:p w14:paraId="6486AEFA" w14:textId="02BA4552" w:rsidR="005D7B59" w:rsidRDefault="00C81287" w:rsidP="005D7B59">
      <w:pPr>
        <w:spacing w:before="240" w:after="120" w:line="240" w:lineRule="auto"/>
      </w:pPr>
      <w:r w:rsidRPr="00C0338D">
        <w:t xml:space="preserve">Currently, invasive alien species are considered under the 2030 Agenda for Sustainable Development only in the context of the terrestrial environment (Sustainable Development Goal (SDG) Indicator 15.8.1), but under climate change it will need to be considered equally in marine environments. Climate change and habitat transformation interactions with invasive alien species at various stages of </w:t>
      </w:r>
      <w:r w:rsidR="56742ADD">
        <w:t xml:space="preserve">the </w:t>
      </w:r>
      <w:r w:rsidRPr="00C0338D">
        <w:t xml:space="preserve">biological </w:t>
      </w:r>
      <w:r>
        <w:t>invasion</w:t>
      </w:r>
      <w:r w:rsidR="07357195">
        <w:t xml:space="preserve"> proces</w:t>
      </w:r>
      <w:r>
        <w:t>s</w:t>
      </w:r>
      <w:r w:rsidRPr="00C0338D">
        <w:t xml:space="preserve"> are illustrated i</w:t>
      </w:r>
      <w:r w:rsidR="005D7B59">
        <w:t xml:space="preserve">n </w:t>
      </w:r>
      <w:r w:rsidR="005D7B59" w:rsidRPr="00AC1F76">
        <w:rPr>
          <w:b/>
          <w:bCs/>
        </w:rPr>
        <w:t>Figure 5.27</w:t>
      </w:r>
      <w:r w:rsidR="005D7B59">
        <w:t>.</w:t>
      </w:r>
    </w:p>
    <w:p w14:paraId="00000719" w14:textId="3F020712" w:rsidR="00A758FD" w:rsidRDefault="005D7B59" w:rsidP="004D7EA0">
      <w:pPr>
        <w:spacing w:before="240" w:after="120" w:line="240" w:lineRule="auto"/>
        <w:jc w:val="center"/>
      </w:pPr>
      <w:r w:rsidRPr="00F100EA">
        <w:rPr>
          <w:noProof/>
        </w:rPr>
        <w:lastRenderedPageBreak/>
        <w:drawing>
          <wp:inline distT="0" distB="0" distL="0" distR="0" wp14:anchorId="0A5E8606" wp14:editId="226B7A85">
            <wp:extent cx="5536642" cy="6195430"/>
            <wp:effectExtent l="0" t="0" r="635" b="2540"/>
            <wp:docPr id="101250695" name="Picture 101250695" descr="A char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hart with text on it&#10;&#10;Description automatically generated"/>
                    <pic:cNvPicPr/>
                  </pic:nvPicPr>
                  <pic:blipFill>
                    <a:blip r:embed="rId119"/>
                    <a:stretch>
                      <a:fillRect/>
                    </a:stretch>
                  </pic:blipFill>
                  <pic:spPr>
                    <a:xfrm>
                      <a:off x="0" y="0"/>
                      <a:ext cx="5568136" cy="6230671"/>
                    </a:xfrm>
                    <a:prstGeom prst="rect">
                      <a:avLst/>
                    </a:prstGeom>
                  </pic:spPr>
                </pic:pic>
              </a:graphicData>
            </a:graphic>
          </wp:inline>
        </w:drawing>
      </w:r>
    </w:p>
    <w:p w14:paraId="0000071A" w14:textId="7F661297" w:rsidR="00A758FD" w:rsidRPr="002F2F42" w:rsidRDefault="00C81287" w:rsidP="002F2F42">
      <w:pPr>
        <w:pBdr>
          <w:top w:val="nil"/>
          <w:left w:val="nil"/>
          <w:bottom w:val="nil"/>
          <w:right w:val="nil"/>
          <w:between w:val="nil"/>
        </w:pBdr>
        <w:spacing w:before="240" w:after="120" w:line="240" w:lineRule="auto"/>
        <w:rPr>
          <w:b/>
          <w:i/>
          <w:color w:val="000000"/>
        </w:rPr>
      </w:pPr>
      <w:bookmarkStart w:id="638" w:name="_heading=h.2tq9fhf" w:colFirst="0" w:colLast="0"/>
      <w:bookmarkStart w:id="639" w:name="_Ref104971088"/>
      <w:bookmarkStart w:id="640" w:name="_Toc69314065"/>
      <w:bookmarkStart w:id="641" w:name="_Toc87623117"/>
      <w:bookmarkStart w:id="642" w:name="_Toc147489380"/>
      <w:bookmarkEnd w:id="638"/>
      <w:r w:rsidRPr="002F2F42">
        <w:rPr>
          <w:b/>
          <w:color w:val="000000"/>
        </w:rPr>
        <w:t>Figure 5</w:t>
      </w:r>
      <w:r w:rsidR="00383764" w:rsidRPr="00AC1F76">
        <w:rPr>
          <w:b/>
          <w:bCs/>
        </w:rPr>
        <w:t>.</w:t>
      </w:r>
      <w:r w:rsidR="00383764" w:rsidRPr="00AC1F76">
        <w:rPr>
          <w:b/>
          <w:bCs/>
        </w:rPr>
        <w:fldChar w:fldCharType="begin"/>
      </w:r>
      <w:r w:rsidR="00383764" w:rsidRPr="00AC1F76">
        <w:rPr>
          <w:b/>
          <w:bCs/>
        </w:rPr>
        <w:instrText>SEQ Figure_5. \* ARABIC</w:instrText>
      </w:r>
      <w:r w:rsidR="00383764" w:rsidRPr="00AC1F76">
        <w:rPr>
          <w:b/>
          <w:bCs/>
        </w:rPr>
        <w:fldChar w:fldCharType="separate"/>
      </w:r>
      <w:r w:rsidR="00DC77F8" w:rsidRPr="00AC1F76">
        <w:rPr>
          <w:b/>
          <w:bCs/>
          <w:noProof/>
        </w:rPr>
        <w:t>27</w:t>
      </w:r>
      <w:r w:rsidR="00383764" w:rsidRPr="00AC1F76">
        <w:rPr>
          <w:b/>
          <w:bCs/>
        </w:rPr>
        <w:fldChar w:fldCharType="end"/>
      </w:r>
      <w:bookmarkEnd w:id="639"/>
      <w:r w:rsidR="00B11336" w:rsidRPr="00AC1F76">
        <w:rPr>
          <w:b/>
          <w:bCs/>
        </w:rPr>
        <w:t>.</w:t>
      </w:r>
      <w:r w:rsidRPr="002F2F42">
        <w:rPr>
          <w:b/>
          <w:color w:val="000000"/>
        </w:rPr>
        <w:t xml:space="preserve"> </w:t>
      </w:r>
      <w:r w:rsidRPr="002F2F42">
        <w:rPr>
          <w:color w:val="000000"/>
        </w:rPr>
        <w:t>Climate change and habitat transformation interactions at various stages of the biological invasion process, and potential management responses</w:t>
      </w:r>
      <w:bookmarkEnd w:id="640"/>
      <w:bookmarkEnd w:id="641"/>
      <w:r w:rsidRPr="002F2F42">
        <w:rPr>
          <w:color w:val="000000"/>
        </w:rPr>
        <w:t xml:space="preserve">. Adapted from Walther et al., (2009), </w:t>
      </w:r>
      <w:hyperlink r:id="rId120">
        <w:r>
          <w:rPr>
            <w:rFonts w:eastAsia="Times New Roman"/>
            <w:color w:val="0563C1"/>
            <w:u w:val="single"/>
          </w:rPr>
          <w:t>https://doi.org/10.1016/j.tree.2009.06.008</w:t>
        </w:r>
      </w:hyperlink>
      <w:r w:rsidRPr="002F2F42">
        <w:rPr>
          <w:color w:val="000000"/>
        </w:rPr>
        <w:t xml:space="preserve">, under copyright 2009 Elsevier Ltd. See also </w:t>
      </w:r>
      <w:r w:rsidRPr="002F2F42">
        <w:rPr>
          <w:b/>
          <w:color w:val="000000"/>
        </w:rPr>
        <w:t>Chapter 3</w:t>
      </w:r>
      <w:r w:rsidRPr="002F2F42">
        <w:rPr>
          <w:color w:val="000000"/>
        </w:rPr>
        <w:t>,</w:t>
      </w:r>
      <w:r w:rsidRPr="002F2F42">
        <w:rPr>
          <w:b/>
          <w:color w:val="000000"/>
        </w:rPr>
        <w:t xml:space="preserve"> section 3.4.2</w:t>
      </w:r>
      <w:r w:rsidRPr="002F2F42">
        <w:rPr>
          <w:i/>
          <w:color w:val="000000"/>
        </w:rPr>
        <w:t>.</w:t>
      </w:r>
      <w:bookmarkEnd w:id="642"/>
      <w:r w:rsidRPr="002F2F42">
        <w:rPr>
          <w:b/>
          <w:i/>
          <w:color w:val="000000"/>
        </w:rPr>
        <w:t xml:space="preserve"> </w:t>
      </w:r>
    </w:p>
    <w:p w14:paraId="0000071B" w14:textId="77777777" w:rsidR="00A758FD" w:rsidRPr="002F2F42" w:rsidRDefault="00C81287" w:rsidP="002F2F42">
      <w:pPr>
        <w:pStyle w:val="Heading3"/>
      </w:pPr>
      <w:bookmarkStart w:id="643" w:name="_heading=h.18vjpp8" w:colFirst="0" w:colLast="0"/>
      <w:bookmarkStart w:id="644" w:name="_Toc131681670"/>
      <w:bookmarkEnd w:id="643"/>
      <w:r w:rsidRPr="002F2F42">
        <w:t>Management challenges in urban areas</w:t>
      </w:r>
      <w:bookmarkEnd w:id="636"/>
      <w:r w:rsidRPr="002F2F42">
        <w:t xml:space="preserve"> and coastal developments</w:t>
      </w:r>
      <w:bookmarkEnd w:id="637"/>
      <w:bookmarkEnd w:id="644"/>
    </w:p>
    <w:p w14:paraId="6A361540" w14:textId="625C282E" w:rsidR="00383764" w:rsidRPr="00837161" w:rsidRDefault="00383764" w:rsidP="00C11DFA">
      <w:pPr>
        <w:spacing w:before="240" w:after="120" w:line="240" w:lineRule="auto"/>
        <w:rPr>
          <w:shd w:val="clear" w:color="auto" w:fill="FFFFFF"/>
        </w:rPr>
      </w:pPr>
      <w:r w:rsidRPr="00837161">
        <w:t>Urban and peri-urban environments are the fastest growing ecosystems on earth and provide easy opportunities for invasive alien species introductions</w:t>
      </w:r>
      <w:r w:rsidR="00621E1F" w:rsidRPr="00837161">
        <w:t xml:space="preserve"> </w:t>
      </w:r>
      <w:r w:rsidR="00621E1F" w:rsidRPr="00837161">
        <w:fldChar w:fldCharType="begin"/>
      </w:r>
      <w:r w:rsidR="000F35EB">
        <w:instrText xml:space="preserve"> ADDIN ZOTERO_ITEM CSL_CITATION {"citationID":"CIsXasmn","properties":{"formattedCitation":"(Gaertner et al., 2017)","plainCitation":"(Gaertner et al., 2017)","noteIndex":0},"citationItems":[{"id":24080,"uris":["http://zotero.org/groups/2352922/items/VM5U8835"],"itemData":{"id":24080,"type":"article-journal","abstract":"Although urban ecosystems are hotspots for biological invasions, the field of invasion science has given scant attention to invasion dynamics and the challenges facing managers in towns and cities. This paper provides an introduction to the growing challenges of understanding and managing invasive species in urban systems, and the context for a special issue of Biological Invasions, comprising 17 papers, that arose from a workshop on “Non-native species in urban environments: patterns, processes, impacts and challenges” held in Stellenbosch, South Africa, in November 2016. Contributions explore the following key questions: Are patterns and processes of urban invasions different from invasions in other contexts? Why is it important to manage non-native species in urban ecosystems? What are the special management needs in an urban context? How can we bridge the gaps between science, management, and policy with regards to biological invasions in urban ecosystems? The papers in this special issue show that patterns and processes of urban invasions differ in many ways from invasions in other contexts, and that managing invasive species in cities poses unique and increasingly complex challenges. Progress in urban invasion science requires further work to: (1) address key limitations that hinder our understanding of invasion dynamics in cities; (2) clarify whether fundamental concepts in the field of invasion science are appropriate for urban ecosystems; (3) integrate insights from invasion science with those from the burgeoning literature on the “Anthropocene biosphere”, novel ecosystems, social-ecological systems, human-wildlife conflicts, urban green infrastructure, urban planning and design, and ecosystem services/disservices.","container-title":"Biological Invasions","DOI":"10.1007/s10530-017-1598-7","ISSN":"1387-3547","issue":"12","language":"English","page":"3461-3469","title":"Non-native species in urban environments: patterns, processes, impacts and challenges","URL":"http://link.springer.com/10.1007/s10530-017-1598-7","volume":"19","author":[{"family":"Gaertner","given":"Mirijam"},{"family":"Wilson","given":"John R. U."},{"family":"Cadotte","given":"Marc W."},{"family":"MacIvor","given":"J. Scott"},{"family":"Zenni","given":"Rafael D."},{"family":"Richardson","given":"David M."}],"issued":{"date-parts":[["2017",12]]}},"label":"page"}],"schema":"https://github.com/citation-style-language/schema/raw/master/csl-citation.json"} </w:instrText>
      </w:r>
      <w:r w:rsidR="00621E1F" w:rsidRPr="00837161">
        <w:fldChar w:fldCharType="separate"/>
      </w:r>
      <w:r w:rsidR="00271B78" w:rsidRPr="00271B78">
        <w:t>(Gaertner et al., 2017)</w:t>
      </w:r>
      <w:r w:rsidR="00621E1F" w:rsidRPr="00837161">
        <w:fldChar w:fldCharType="end"/>
      </w:r>
      <w:r w:rsidR="001C0274" w:rsidRPr="00837161">
        <w:t>;</w:t>
      </w:r>
      <w:r w:rsidRPr="00837161">
        <w:t xml:space="preserve"> </w:t>
      </w:r>
      <w:r w:rsidR="00012C85">
        <w:rPr>
          <w:b/>
          <w:iCs/>
        </w:rPr>
        <w:t>C</w:t>
      </w:r>
      <w:r w:rsidRPr="00012C85">
        <w:rPr>
          <w:b/>
          <w:iCs/>
        </w:rPr>
        <w:t>hapter 2</w:t>
      </w:r>
      <w:r w:rsidRPr="00012C85">
        <w:rPr>
          <w:iCs/>
        </w:rPr>
        <w:t>,</w:t>
      </w:r>
      <w:r w:rsidRPr="00012C85">
        <w:rPr>
          <w:b/>
          <w:iCs/>
        </w:rPr>
        <w:t xml:space="preserve"> section 2.</w:t>
      </w:r>
      <w:r w:rsidR="00743901" w:rsidRPr="00012C85">
        <w:rPr>
          <w:b/>
          <w:iCs/>
        </w:rPr>
        <w:t>5.5.1</w:t>
      </w:r>
      <w:r w:rsidRPr="00012C85">
        <w:rPr>
          <w:iCs/>
        </w:rPr>
        <w:t>;</w:t>
      </w:r>
      <w:r w:rsidRPr="00012C85">
        <w:rPr>
          <w:b/>
          <w:iCs/>
        </w:rPr>
        <w:t xml:space="preserve"> </w:t>
      </w:r>
      <w:r w:rsidR="00012C85">
        <w:rPr>
          <w:b/>
          <w:iCs/>
        </w:rPr>
        <w:t>C</w:t>
      </w:r>
      <w:r w:rsidRPr="00012C85">
        <w:rPr>
          <w:b/>
          <w:iCs/>
        </w:rPr>
        <w:t>hapter 3</w:t>
      </w:r>
      <w:r w:rsidRPr="00012C85">
        <w:rPr>
          <w:iCs/>
        </w:rPr>
        <w:t>,</w:t>
      </w:r>
      <w:r w:rsidRPr="00012C85">
        <w:rPr>
          <w:b/>
          <w:iCs/>
        </w:rPr>
        <w:t xml:space="preserve"> section 3.2.2.4</w:t>
      </w:r>
      <w:r w:rsidRPr="00837161">
        <w:t>). There are four recognized zones of urbanization in most cities</w:t>
      </w:r>
      <w:r w:rsidR="004D7EA0">
        <w:t>,</w:t>
      </w:r>
      <w:r w:rsidRPr="00837161">
        <w:t xml:space="preserve"> and urban areas often have different microclimates from the surrounding countryside </w:t>
      </w:r>
      <w:r w:rsidRPr="00837161">
        <w:fldChar w:fldCharType="begin"/>
      </w:r>
      <w:r w:rsidR="000F35EB">
        <w:instrText xml:space="preserve"> ADDIN ZOTERO_ITEM CSL_CITATION {"citationID":"OsdF2lSq","properties":{"formattedCitation":"(Erz, 1966)","plainCitation":"(Erz, 1966)","noteIndex":0},"citationItems":[{"id":30046,"uris":["http://zotero.org/groups/2352922/items/4GKL3T6T"],"itemData":{"id":30046,"type":"article-journal","container-title":"Ostrich","DOI":"10.1080/00306525.1966.9639812","ISSN":"0030-6525, 1727-947X","issue":"sup1","journalAbbreviation":"Ostrich","language":"en","page":"357-363","source":"DOI.org (Crossref)","title":"Ecological principles in the urbanization of birds","URL":"https://www.tandfonline.com/doi/full/10.1080/00306525.1966.9639812","volume":"37","author":[{"family":"Erz","given":"W."}],"accessed":{"date-parts":[["2021",8,23]]},"issued":{"date-parts":[["1966",1]]}},"label":"page"}],"schema":"https://github.com/citation-style-language/schema/raw/master/csl-citation.json"} </w:instrText>
      </w:r>
      <w:r w:rsidRPr="00837161">
        <w:fldChar w:fldCharType="separate"/>
      </w:r>
      <w:r w:rsidR="00271B78" w:rsidRPr="00271B78">
        <w:t>(Erz, 1966)</w:t>
      </w:r>
      <w:r w:rsidRPr="00837161">
        <w:fldChar w:fldCharType="end"/>
      </w:r>
      <w:r w:rsidRPr="00837161">
        <w:t xml:space="preserve">. They are heterogeneous and highly complex human-made ecosystems influenced by strong social and political drivers </w:t>
      </w:r>
      <w:r w:rsidRPr="00837161">
        <w:fldChar w:fldCharType="begin"/>
      </w:r>
      <w:r w:rsidR="000F35EB">
        <w:instrText xml:space="preserve"> ADDIN ZOTERO_ITEM CSL_CITATION {"citationID":"TlpzRRd0","properties":{"formattedCitation":"(Cadenasso &amp; Pickett, 2008)","plainCitation":"(Cadenasso &amp; Pickett, 2008)","noteIndex":0},"citationItems":[{"id":29538,"uris":["http://zotero.org/groups/2352922/items/XM7VZHJ3"],"itemData":{"id":29538,"type":"article-journal","container-title":"Cities and the Environment (CATE)","ISSN":"1932-7048","issue":"2","page":"4","title":"Urban Principles for Ecological Landscape Design and Maintenance: Scientific Fundamentals","title-short":"Urban Principles for Ecological Landscape Design and Maintenance","URL":"https://digitalcommons.lmu.edu/cate/vol1/iss2/4","volume":"1","author":[{"family":"Cadenasso","given":"Mary L."},{"family":"Pickett","given":"Steward T. A."}],"issued":{"date-parts":[["2008",11,20]]}},"label":"page"}],"schema":"https://github.com/citation-style-language/schema/raw/master/csl-citation.json"} </w:instrText>
      </w:r>
      <w:r w:rsidRPr="00837161">
        <w:fldChar w:fldCharType="separate"/>
      </w:r>
      <w:r w:rsidR="00271B78" w:rsidRPr="00271B78">
        <w:t>(Cadenasso &amp; Pickett, 2008)</w:t>
      </w:r>
      <w:r w:rsidRPr="00837161">
        <w:fldChar w:fldCharType="end"/>
      </w:r>
      <w:r w:rsidRPr="00837161">
        <w:t>. Natural spaces within urban areas are critically important for some constituents of good quality of life such as physical and psychological health</w:t>
      </w:r>
      <w:r w:rsidR="00581609">
        <w:t>. T</w:t>
      </w:r>
      <w:r w:rsidRPr="00837161">
        <w:t>hese nature refuges, parks and gardens are still largely human</w:t>
      </w:r>
      <w:r w:rsidR="004D7EA0">
        <w:t>-</w:t>
      </w:r>
      <w:r w:rsidRPr="00837161">
        <w:t>designed or disturbed so acceptance of some alien species</w:t>
      </w:r>
      <w:r w:rsidR="002B011F" w:rsidRPr="00837161">
        <w:t xml:space="preserve"> </w:t>
      </w:r>
      <w:r w:rsidR="00197924" w:rsidRPr="00837161">
        <w:t>(</w:t>
      </w:r>
      <w:r w:rsidR="00012C85">
        <w:rPr>
          <w:b/>
          <w:iCs/>
        </w:rPr>
        <w:t>G</w:t>
      </w:r>
      <w:r w:rsidR="002B011F" w:rsidRPr="00012C85">
        <w:rPr>
          <w:b/>
          <w:iCs/>
        </w:rPr>
        <w:t>lossary</w:t>
      </w:r>
      <w:r w:rsidR="002B011F" w:rsidRPr="00837161">
        <w:t>)</w:t>
      </w:r>
      <w:r w:rsidRPr="00837161">
        <w:t xml:space="preserve"> is to be expected</w:t>
      </w:r>
      <w:r w:rsidR="004D7EA0">
        <w:t>,</w:t>
      </w:r>
      <w:r w:rsidRPr="00837161">
        <w:t xml:space="preserve"> </w:t>
      </w:r>
      <w:r w:rsidR="00581609">
        <w:t xml:space="preserve">which needs to be recognized by </w:t>
      </w:r>
      <w:r w:rsidRPr="00837161">
        <w:t xml:space="preserve">management </w:t>
      </w:r>
      <w:r w:rsidRPr="00837161">
        <w:lastRenderedPageBreak/>
        <w:t xml:space="preserve">frameworks </w:t>
      </w:r>
      <w:r w:rsidRPr="00837161">
        <w:fldChar w:fldCharType="begin"/>
      </w:r>
      <w:r w:rsidR="000F35EB">
        <w:instrText xml:space="preserve"> ADDIN ZOTERO_ITEM CSL_CITATION {"citationID":"8J9n84jb","properties":{"formattedCitation":"(Gaertner et al., 2016)","plainCitation":"(Gaertner et al., 2016)","noteIndex":0},"citationItems":[{"id":12569,"uris":["http://zotero.org/groups/2352922/items/J42YFU9J"],"itemData":{"id":12569,"type":"article-journal","container-title":"Landscape and Urban Planning","DOI":"10.1016/j.landurbplan.2016.03.010","page":"1–9","source":"Google Scholar","title":"Managing invasive species in cities: A framework from Cape Town, South Africa","title-short":"Managing invasive species in cities","volume":"151","author":[{"family":"Gaertner","given":"Mirijam"},{"family":"Larson","given":"Brendon M H"},{"family":"Irlich","given":"Ulrike M."},{"family":"Holmes","given":"Patricia M."},{"family":"Stafford","given":"Louise"},{"family":"Wilgen","given":"Brian W.","non-dropping-particle":"van"},{"family":"Richardson","given":"David M."}],"issued":{"date-parts":[["2016"]]}},"label":"page"}],"schema":"https://github.com/citation-style-language/schema/raw/master/csl-citation.json"} </w:instrText>
      </w:r>
      <w:r w:rsidRPr="00837161">
        <w:fldChar w:fldCharType="separate"/>
      </w:r>
      <w:r w:rsidR="00271B78" w:rsidRPr="00271B78">
        <w:t>(Gaertner et al., 2016)</w:t>
      </w:r>
      <w:r w:rsidRPr="00837161">
        <w:fldChar w:fldCharType="end"/>
      </w:r>
      <w:r w:rsidRPr="00837161">
        <w:t xml:space="preserve">. Urban environments are often close to country ports of entry, so they experience high propagule pressure from alien species </w:t>
      </w:r>
      <w:r w:rsidR="00581609">
        <w:t>and</w:t>
      </w:r>
      <w:r w:rsidRPr="00837161">
        <w:t xml:space="preserve"> provid</w:t>
      </w:r>
      <w:r w:rsidR="00581609">
        <w:t>e</w:t>
      </w:r>
      <w:r w:rsidRPr="00837161">
        <w:t xml:space="preserve"> direct pathways between urban centres </w:t>
      </w:r>
      <w:r w:rsidR="00581609">
        <w:t xml:space="preserve">globally </w:t>
      </w:r>
      <w:r w:rsidRPr="00837161">
        <w:rPr>
          <w:shd w:val="clear" w:color="auto" w:fill="FFFFFF"/>
        </w:rPr>
        <w:fldChar w:fldCharType="begin"/>
      </w:r>
      <w:r w:rsidR="000F35EB">
        <w:rPr>
          <w:shd w:val="clear" w:color="auto" w:fill="FFFFFF"/>
        </w:rPr>
        <w:instrText xml:space="preserve"> ADDIN ZOTERO_ITEM CSL_CITATION {"citationID":"pL1NWAg9","properties":{"formattedCitation":"(Elmqvist et al., 2013; Weiss et al., 2018)","plainCitation":"(Elmqvist et al., 2013; Weiss et al., 2018)","noteIndex":0},"citationItems":[{"id":23610,"uris":["http://zotero.org/groups/2352922/items/2T8DE37T"],"itemData":{"id":23610,"type":"chapter","collection-title":"Cities and Biodiversity Outlook Project","container-title":"Urbanization, Biodiversity and Ecosystem Services: Challenges and Opportunities: A Global Assessment","event-place":"Springer Dordrecht Heidelberg New York London","ISBN":"978-94-007-7088-1","language":"English","page":"13-30","publisher":"Springer","publisher-place":"Springer Dordrecht Heidelberg New York London","title":"History of Urbanization and the Missing Ecology","URL":"https://doi.org/10.1007/978-94-007-7088-1_2","author":[{"family":"Elmqvist","given":"Thomas"},{"family":"Redman","given":"Charles L."},{"family":"Barthel","given":"Stephan"},{"family":"Costanza","given":"Robert"}],"editor":[{"family":"Elmqvist","given":"Thomas"},{"family":"Fragkias","given":"Michail"},{"family":"Goodness","given":"Julie"},{"family":"Güneralp","given":"Burak"},{"family":"Marcotullio","given":"Peter J."},{"family":"McDonald","given":"Robert I."},{"family":"Parnell","given":"Susan"},{"family":"Schewenius","given":"Maria"},{"family":"Sendstad","given":"Marte"},{"family":"Seto","given":"Karen C."},{"family":"Wilkinson","given":"Cathy"}],"issued":{"date-parts":[["2013"]]}},"label":"page"},{"id":10546,"uris":["http://zotero.org/groups/2352922/items/PHMMKJ9Q"],"itemData":{"id":10546,"type":"article-journal","abstract":"Resources that sustain human wellbeing, such as education, jobs and health services, are distributed unequally, with higher concentrations in dense urban areas. Increasing access to such opportunities and services is a key factor in the advancement of fair and sustainable development. Integrating multiple large data sources for road and city geography, Daniel Weiss and colleagues have created a high-resolution global map that quantifies travel time to cities in the year 2015. This map provides a detailed view of the heterogeneity in accessibility to cities around the world, serving not just as a potential indicator for development but also as an input for future models in areas such as conservation biology.","container-title":"Nature","DOI":"10.1038/nature25181","ISSN":"1476-4687","issue":"7688","language":"en","license":"2018 Macmillan Publishers Limited, part of Springer Nature. All rights reserved.","page":"333-336","source":"www.nature.com","title":"A global map of travel time to cities to assess inequalities in accessibility in 2015","URL":"https://www.nature.com/articles/nature25181","volume":"553","author":[{"family":"Weiss","given":"D. J."},{"family":"Nelson","given":"A."},{"family":"Gibson","given":"H. S."},{"family":"Temperley","given":"W."},{"family":"Peedell","given":"S."},{"family":"Lieber","given":"A."},{"family":"Hancher","given":"M."},{"family":"Poyart","given":"E."},{"family":"Belchior","given":"S."},{"family":"Fullman","given":"N."},{"family":"Mappin","given":"B."},{"family":"Dalrymple","given":"U."},{"family":"Rozier","given":"J."},{"family":"Lucas","given":"T. C. D."},{"family":"Howes","given":"R. E."},{"family":"Tusting","given":"L. S."},{"family":"Kang","given":"S. Y."},{"family":"Cameron","given":"E."},{"family":"Bisanzio","given":"D."},{"family":"Battle","given":"K. E."},{"family":"Bhatt","given":"S."},{"family":"Gething","given":"P. W."}],"accessed":{"date-parts":[["2019",11,27]]},"issued":{"date-parts":[["2018",1]]}},"label":"page"}],"schema":"https://github.com/citation-style-language/schema/raw/master/csl-citation.json"} </w:instrText>
      </w:r>
      <w:r w:rsidRPr="00837161">
        <w:rPr>
          <w:shd w:val="clear" w:color="auto" w:fill="FFFFFF"/>
        </w:rPr>
        <w:fldChar w:fldCharType="separate"/>
      </w:r>
      <w:r w:rsidR="00271B78" w:rsidRPr="00271B78">
        <w:t>(Elmqvist et al., 2013; Weiss et al., 2018)</w:t>
      </w:r>
      <w:r w:rsidRPr="00837161">
        <w:rPr>
          <w:shd w:val="clear" w:color="auto" w:fill="FFFFFF"/>
        </w:rPr>
        <w:fldChar w:fldCharType="end"/>
      </w:r>
      <w:r w:rsidRPr="00837161">
        <w:rPr>
          <w:shd w:val="clear" w:color="auto" w:fill="FFFFFF"/>
        </w:rPr>
        <w:t xml:space="preserve">. Urban areas form a nexus </w:t>
      </w:r>
      <w:r w:rsidR="00197924" w:rsidRPr="00837161">
        <w:t>(</w:t>
      </w:r>
      <w:r w:rsidR="00012C85">
        <w:rPr>
          <w:b/>
          <w:iCs/>
        </w:rPr>
        <w:t>G</w:t>
      </w:r>
      <w:r w:rsidR="00012C85" w:rsidRPr="00012C85">
        <w:rPr>
          <w:b/>
          <w:iCs/>
        </w:rPr>
        <w:t>lossary</w:t>
      </w:r>
      <w:r w:rsidR="00493FAE" w:rsidRPr="00837161">
        <w:t xml:space="preserve">) </w:t>
      </w:r>
      <w:r w:rsidR="00581609">
        <w:rPr>
          <w:shd w:val="clear" w:color="auto" w:fill="FFFFFF"/>
        </w:rPr>
        <w:t>of</w:t>
      </w:r>
      <w:r w:rsidR="00581609" w:rsidRPr="00837161">
        <w:rPr>
          <w:shd w:val="clear" w:color="auto" w:fill="FFFFFF"/>
        </w:rPr>
        <w:t xml:space="preserve"> </w:t>
      </w:r>
      <w:r w:rsidRPr="00837161">
        <w:rPr>
          <w:shd w:val="clear" w:color="auto" w:fill="FFFFFF"/>
        </w:rPr>
        <w:t>railway and road networks, which are pathways for a wide range of invasive alien species</w:t>
      </w:r>
      <w:r w:rsidRPr="00837161">
        <w:rPr>
          <w:rFonts w:eastAsia="Times New Roman"/>
        </w:rPr>
        <w:t xml:space="preserve"> </w:t>
      </w:r>
      <w:r w:rsidR="00621E1F" w:rsidRPr="00837161">
        <w:rPr>
          <w:rFonts w:eastAsia="Times New Roman"/>
        </w:rPr>
        <w:fldChar w:fldCharType="begin"/>
      </w:r>
      <w:r w:rsidR="000F35EB">
        <w:rPr>
          <w:rFonts w:eastAsia="Times New Roman"/>
        </w:rPr>
        <w:instrText xml:space="preserve"> ADDIN ZOTERO_ITEM CSL_CITATION {"citationID":"4KDUuRH7","properties":{"formattedCitation":"(Ascens\\uc0\\u227{}o &amp; Capinha, 2017)","plainCitation":"(Ascensão &amp; Capinha, 2017)","noteIndex":0},"citationItems":[{"id":32831,"uris":["http://zotero.org/groups/2352922/items/T5JCBADV"],"itemData":{"id":32831,"type":"chapter","container-title":"Railway Ecology","event-place":"Cham","ISBN":"978-3-319-57496-7","page":"65-80","publisher":"Springer International Publishing","publisher-place":"Cham","title":"Aliens on the Move: Transportation Networks and Non-native Species","URL":"https://doi.org/10.1007/978-3-319-57496-7_5","author":[{"family":"Ascensão","given":"Fernando"},{"family":"Capinha","given":"César"}],"editor":[{"family":"Borda-de-Água","given":"Luís"},{"family":"Barrientos","given":"Rafael"},{"family":"Beja","given":"Pedro"},{"family":"Pereira","given":"Henrique M."}],"issued":{"date-parts":[["2017"]]}},"label":"page"}],"schema":"https://github.com/citation-style-language/schema/raw/master/csl-citation.json"} </w:instrText>
      </w:r>
      <w:r w:rsidR="00621E1F" w:rsidRPr="00837161">
        <w:rPr>
          <w:rFonts w:eastAsia="Times New Roman"/>
        </w:rPr>
        <w:fldChar w:fldCharType="separate"/>
      </w:r>
      <w:r w:rsidR="00271B78" w:rsidRPr="00271B78">
        <w:t>(Ascensão &amp; Capinha, 2017)</w:t>
      </w:r>
      <w:r w:rsidR="00621E1F" w:rsidRPr="00837161">
        <w:rPr>
          <w:rFonts w:eastAsia="Times New Roman"/>
        </w:rPr>
        <w:fldChar w:fldCharType="end"/>
      </w:r>
      <w:r w:rsidRPr="00837161">
        <w:rPr>
          <w:shd w:val="clear" w:color="auto" w:fill="FFFFFF"/>
        </w:rPr>
        <w:t>.</w:t>
      </w:r>
      <w:r w:rsidRPr="00837161">
        <w:rPr>
          <w:shd w:val="clear" w:color="auto" w:fill="FFFFFF"/>
        </w:rPr>
        <w:fldChar w:fldCharType="begin"/>
      </w:r>
      <w:r w:rsidRPr="00837161">
        <w:rPr>
          <w:shd w:val="clear" w:color="auto" w:fill="FFFFFF"/>
        </w:rPr>
        <w:instrText xml:space="preserve"> ADDIN ZOTERO_TEMP </w:instrText>
      </w:r>
      <w:r w:rsidRPr="00837161">
        <w:rPr>
          <w:shd w:val="clear" w:color="auto" w:fill="FFFFFF"/>
        </w:rPr>
        <w:fldChar w:fldCharType="end"/>
      </w:r>
      <w:r w:rsidRPr="00837161">
        <w:rPr>
          <w:shd w:val="clear" w:color="auto" w:fill="FFFFFF"/>
        </w:rPr>
        <w:t xml:space="preserve"> B</w:t>
      </w:r>
      <w:r w:rsidRPr="00837161">
        <w:t>eing generally highly disturbed, urban areas are therefore susceptible to alien species establishment and the high levels of human activity facilitate spread. One study showed that on average 28</w:t>
      </w:r>
      <w:r w:rsidR="006215F0" w:rsidRPr="00837161">
        <w:t xml:space="preserve"> per cent</w:t>
      </w:r>
      <w:r w:rsidRPr="00837161">
        <w:t xml:space="preserve"> of the flora of the urban areas globally comprise of non-native species </w:t>
      </w:r>
      <w:r w:rsidRPr="00837161">
        <w:fldChar w:fldCharType="begin"/>
      </w:r>
      <w:r w:rsidR="000F35EB">
        <w:instrText xml:space="preserve"> ADDIN ZOTERO_ITEM CSL_CITATION {"citationID":"cTrI6Ga5","properties":{"formattedCitation":"(Aronson et al., 2014)","plainCitation":"(Aronson et al., 2014)","noteIndex":0},"citationItems":[{"id":10583,"uris":["http://zotero.org/groups/2352922/items/2GZBIHDG"],"itemData":{"id":10583,"type":"article-journal","container-title":"Proceedings of the Royal Society B: Biological Sciences","DOI":"10.1098/rspb.2013.3330","ISSN":"0962-8452, 1471-2954","issue":"1780","journalAbbreviation":"Proc. R. Soc. B","language":"en","page":"20133330","source":"DOI.org (Crossref)","title":"A global analysis of the impacts of urbanization on bird and plant diversity reveals key anthropogenic drivers","URL":"https://royalsocietypublishing.org/doi/10.1098/rspb.2013.3330","volume":"281","author":[{"family":"Aronson","given":"Myla F. J."},{"family":"La Sorte","given":"Frank A."},{"family":"Nilon","given":"Charles H."},{"family":"Katti","given":"Madhusudan"},{"family":"Goddard","given":"Mark A."},{"family":"Lepczyk","given":"Christopher A."},{"family":"Warren","given":"Paige S."},{"family":"Williams","given":"Nicholas S. G."},{"family":"Cilliers","given":"Sarel"},{"family":"Clarkson","given":"Bruce"},{"family":"Dobbs","given":"Cynnamon"},{"family":"Dolan","given":"Rebecca"},{"family":"Hedblom","given":"Marcus"},{"family":"Klotz","given":"Stefan"},{"family":"Kooijmans","given":"Jip Louwe"},{"family":"Kühn","given":"Ingolf"},{"family":"MacGregor-Fors","given":"Ian"},{"family":"McDonnell","given":"Mark"},{"family":"Mörtberg","given":"Ulla"},{"family":"Pyšek","given":"Petr"},{"family":"Siebert","given":"Stefan"},{"family":"Sushinsky","given":"Jessica"},{"family":"Werner","given":"Peter"},{"family":"Winter","given":"Marten"}],"accessed":{"date-parts":[["2019",12,4]]},"issued":{"date-parts":[["2014",4,7]]}},"label":"page"}],"schema":"https://github.com/citation-style-language/schema/raw/master/csl-citation.json"} </w:instrText>
      </w:r>
      <w:r w:rsidRPr="00837161">
        <w:fldChar w:fldCharType="separate"/>
      </w:r>
      <w:r w:rsidR="00271B78" w:rsidRPr="00271B78">
        <w:t>(Aronson et al., 2014)</w:t>
      </w:r>
      <w:r w:rsidRPr="00837161">
        <w:fldChar w:fldCharType="end"/>
      </w:r>
      <w:r w:rsidRPr="00837161">
        <w:t xml:space="preserve">. </w:t>
      </w:r>
    </w:p>
    <w:p w14:paraId="37DA3934" w14:textId="047E69EC" w:rsidR="00383764" w:rsidRPr="00837161" w:rsidRDefault="00383764" w:rsidP="00C11DFA">
      <w:pPr>
        <w:spacing w:before="240" w:after="120" w:line="240" w:lineRule="auto"/>
      </w:pPr>
      <w:r w:rsidRPr="00837161">
        <w:t xml:space="preserve">Most intentionally introduced species are alien garden plants, which along with released pets, predominate in the urban and peri-urban settings to which they may be pre-adapted. A global review found </w:t>
      </w:r>
      <w:r w:rsidR="00581609">
        <w:t xml:space="preserve">that </w:t>
      </w:r>
      <w:r w:rsidRPr="00837161">
        <w:t xml:space="preserve">most alien species are intentionally introduced in cities and were either released or </w:t>
      </w:r>
      <w:r w:rsidR="00581609">
        <w:t xml:space="preserve">had </w:t>
      </w:r>
      <w:r w:rsidRPr="00837161">
        <w:t xml:space="preserve">escaped from confinement </w:t>
      </w:r>
      <w:r w:rsidRPr="00837161">
        <w:fldChar w:fldCharType="begin"/>
      </w:r>
      <w:r w:rsidR="000F35EB">
        <w:instrText xml:space="preserve"> ADDIN ZOTERO_ITEM CSL_CITATION {"citationID":"fQ1L9XTy","properties":{"formattedCitation":"(Padayachee et al., 2017)","plainCitation":"(Padayachee et al., 2017)","noteIndex":0},"citationItems":[{"id":29205,"uris":["http://zotero.org/groups/2352922/items/AVTZNGZ6"],"itemData":{"id":29205,"type":"article-journal","abstract":"Globalisation has resulted in the movement of organisms outside their natural range, often with negative ecological and economic consequences. As cities are hubs of anthropogenic activities, with both highly transformed and disturbed environments, these areas are often the first point of entry for alien species. We compiled a global database of cities with more than one million inhabitants that data had on alien species occurrence. We then identified the most prominent pathways of introduction and vectors of spread of alien species in these cities. Most species were intentionally introduced to cities and were released or escaped from confinement. The majority of alien species then spread within cities through natural means (primarily unaided dispersal). Pathway prominence varied across the taxonomic groups of alien species: the most prominent pathway for plants and vertebrates was the escape pathway; for invertebrates the stowaway and contaminant pathways were most likely to facilitate introductions. For some organisms, pathway prominence varied with the geographical and climatic characteristics of the city. The characteristics of the cities also influenced the prominence of vectors of spread for alien species. Preventing the natural spread of alien species within cities, and into adjacent natural environments will be, at best, difficult. To prevent invasions, both the intentional and unintentional introduction of potentially harmful alien species to cities must be prevented. The pathways of introduction and vectors of spread identified here should be prioritised for management.","container-title":"Biological Invasions","DOI":"10.1007/s10530-017-1596-9","ISSN":"1573-1464","issue":"12","journalAbbreviation":"Biol Invasions","language":"en","page":"3557-3570","source":"Springer Link","title":"How do invasive species travel to and through urban environments?","URL":"https://doi.org/10.1007/s10530-017-1596-9","volume":"19","author":[{"family":"Padayachee","given":"Ashlyn L."},{"family":"Irlich","given":"Ulrike M."},{"family":"Faulkner","given":"Katelyn T."},{"family":"Gaertner","given":"Mirijam"},{"family":"Procheş","given":"Şerban"},{"family":"Wilson","given":"John R. U."},{"family":"Rouget","given":"Mathieu"}],"accessed":{"date-parts":[["2020",8,15]]},"issued":{"date-parts":[["2017",12,1]]}},"label":"page"}],"schema":"https://github.com/citation-style-language/schema/raw/master/csl-citation.json"} </w:instrText>
      </w:r>
      <w:r w:rsidRPr="00837161">
        <w:fldChar w:fldCharType="separate"/>
      </w:r>
      <w:r w:rsidR="00271B78" w:rsidRPr="00271B78">
        <w:t>(Padayachee et al., 2017)</w:t>
      </w:r>
      <w:r w:rsidRPr="00837161">
        <w:fldChar w:fldCharType="end"/>
      </w:r>
      <w:r w:rsidRPr="00837161">
        <w:t xml:space="preserve">. Many </w:t>
      </w:r>
      <w:r w:rsidR="2F2BE0DF" w:rsidRPr="00837161">
        <w:t xml:space="preserve">widespread </w:t>
      </w:r>
      <w:r w:rsidR="00581609">
        <w:t xml:space="preserve">invasive </w:t>
      </w:r>
      <w:r w:rsidRPr="00837161">
        <w:t>alien species are well adapted to human landscapes, but some are so well adapted that they may not spread any further (e.g., domestic pigeons</w:t>
      </w:r>
      <w:r w:rsidR="00350919" w:rsidRPr="00837161">
        <w:t>;</w:t>
      </w:r>
      <w:r w:rsidRPr="00837161">
        <w:t xml:space="preserve"> </w:t>
      </w:r>
      <w:r w:rsidRPr="00837161">
        <w:fldChar w:fldCharType="begin"/>
      </w:r>
      <w:r w:rsidR="000F35EB">
        <w:instrText xml:space="preserve"> ADDIN ZOTERO_ITEM CSL_CITATION {"citationID":"UyWl6As1","properties":{"formattedCitation":"(Erz, 1966)","plainCitation":"(Erz, 1966)","dontUpdate":true,"noteIndex":0},"citationItems":[{"id":30046,"uris":["http://zotero.org/groups/2352922/items/4GKL3T6T"],"itemData":{"id":30046,"type":"article-journal","container-title":"Ostrich","DOI":"10.1080/00306525.1966.9639812","ISSN":"0030-6525, 1727-947X","issue":"sup1","journalAbbreviation":"Ostrich","language":"en","page":"357-363","source":"DOI.org (Crossref)","title":"Ecological principles in the urbanization of birds","URL":"https://www.tandfonline.com/doi/full/10.1080/00306525.1966.9639812","volume":"37","author":[{"family":"Erz","given":"W."}],"accessed":{"date-parts":[["2021",8,23]]},"issued":{"date-parts":[["1966",1]]}}}],"schema":"https://github.com/citation-style-language/schema/raw/master/csl-citation.json"} </w:instrText>
      </w:r>
      <w:r w:rsidRPr="00837161">
        <w:fldChar w:fldCharType="separate"/>
      </w:r>
      <w:r w:rsidRPr="00837161">
        <w:t>Erz, 1966)</w:t>
      </w:r>
      <w:r w:rsidRPr="00837161">
        <w:fldChar w:fldCharType="end"/>
      </w:r>
      <w:r w:rsidRPr="00837161">
        <w:t xml:space="preserve">. </w:t>
      </w:r>
    </w:p>
    <w:p w14:paraId="49D14A85" w14:textId="227BC471" w:rsidR="00383764" w:rsidRPr="00837161" w:rsidRDefault="00383764" w:rsidP="00C11DFA">
      <w:pPr>
        <w:spacing w:before="240" w:after="120" w:line="240" w:lineRule="auto"/>
      </w:pPr>
      <w:r w:rsidRPr="00837161">
        <w:t>The peri-urban fringe of cities is increasingly interweaved into surrounding agricultural and natural ecosystems</w:t>
      </w:r>
      <w:r w:rsidR="00581609">
        <w:t>,</w:t>
      </w:r>
      <w:r w:rsidRPr="00837161">
        <w:t xml:space="preserve"> allowing much more intimate interactions between </w:t>
      </w:r>
      <w:r w:rsidR="00581609">
        <w:t>people</w:t>
      </w:r>
      <w:r w:rsidR="00581609" w:rsidRPr="00837161">
        <w:t xml:space="preserve"> </w:t>
      </w:r>
      <w:r w:rsidRPr="00837161">
        <w:t xml:space="preserve">and wildlife </w:t>
      </w:r>
      <w:r w:rsidRPr="00837161">
        <w:rPr>
          <w:shd w:val="clear" w:color="auto" w:fill="FFFFFF"/>
        </w:rPr>
        <w:fldChar w:fldCharType="begin"/>
      </w:r>
      <w:r w:rsidR="000F35EB">
        <w:rPr>
          <w:shd w:val="clear" w:color="auto" w:fill="FFFFFF"/>
        </w:rPr>
        <w:instrText xml:space="preserve"> ADDIN ZOTERO_ITEM CSL_CITATION {"citationID":"Ze6sCAfJ","properties":{"formattedCitation":"(Seto et al., 2013)","plainCitation":"(Seto et al., 2013)","noteIndex":0},"citationItems":[{"id":23611,"uris":["http://zotero.org/groups/2352922/items/ELTBWHS2"],"itemData":{"id":23611,"type":"chapter","collection-title":"Cities and Biodiversity Outlook Project","container-title":"Urbanization, Biodiversity and Ecosystem Services: Challenges and Opportunities","event-place":"Springer Dordrecht Heidelberg New York London","ISBN":"978-94-007-7088-1","language":"English","page":"1-12","publisher":"Springer Open","publisher-place":"Springer Dordrecht Heidelberg New York London","title":"A Global Outlook on Urbanization","URL":"https://doi.org/10.1007/978-94-007-7088-1_1","author":[{"family":"Seto","given":"Karen C."},{"family":"Parnell","given":"Susan"},{"family":"Elmqvist","given":"Thomas"}],"collection-editor":[{"family":"Elmqvist","given":"Thomas"},{"family":"Fragkias","given":"Michail"},{"family":"Goodness","given":"Julie"},{"family":"Güneralp","given":"Burak"},{"family":"Marcotullio","given":"Peter J."},{"family":"McDonald","given":"Robert I."},{"family":"Parnell","given":"Susan"},{"family":"Schewenius","given":"Maria"},{"family":"Sendstad","given":"Marte"},{"family":"Seto","given":"Karen C."},{"family":"Wilkinson","given":"Cathy"}],"issued":{"date-parts":[["2013"]]}},"label":"page"}],"schema":"https://github.com/citation-style-language/schema/raw/master/csl-citation.json"} </w:instrText>
      </w:r>
      <w:r w:rsidRPr="00837161">
        <w:rPr>
          <w:shd w:val="clear" w:color="auto" w:fill="FFFFFF"/>
        </w:rPr>
        <w:fldChar w:fldCharType="separate"/>
      </w:r>
      <w:r w:rsidR="00271B78" w:rsidRPr="00271B78">
        <w:t>(Seto et al., 2013)</w:t>
      </w:r>
      <w:r w:rsidRPr="00837161">
        <w:rPr>
          <w:shd w:val="clear" w:color="auto" w:fill="FFFFFF"/>
        </w:rPr>
        <w:fldChar w:fldCharType="end"/>
      </w:r>
      <w:r w:rsidRPr="00837161">
        <w:t xml:space="preserve">. This, for example, has recently been recognized as increasing the risk of emerging zoonotic diseases </w:t>
      </w:r>
      <w:r w:rsidRPr="00837161">
        <w:fldChar w:fldCharType="begin"/>
      </w:r>
      <w:r w:rsidR="000F35EB">
        <w:instrText xml:space="preserve"> ADDIN ZOTERO_ITEM CSL_CITATION {"citationID":"rP3SISxY","properties":{"formattedCitation":"(Di Marco et al., 2020)","plainCitation":"(Di Marco et al., 2020)","noteIndex":0},"citationItems":[{"id":30940,"uris":["http://zotero.org/groups/2352922/items/E9I5B72N"],"itemData":{"id":30940,"type":"article-journal","abstract":"Author Information\nMoreno Di Marcoa,b,1, Michelle L. Bakerc, Peter Daszakd, Paul De Barroe, Evan A. Eskewd, Cecile M. Goddef, Tom D. Harwoodg, Mario Herrerof, Andrew J. Hoskinsh, Erica Johnsond,i, William B. Kareshd,j,k, Catherine Machalabad,j, Javier Navarro Garciaf, Dean Painil, Rebecca Pirzlg, Mark Stafford Smithg, Carlos Zambrana-Torreliod, and Simon FerriergaCommonwealth Scientific and Industrial Research Organisation (CSIRO) Land and Water, EcoSciences Precinct, Dutton Park, QLD 4102, Australia;bDepartment of Biology and Biotechnologies, Sapienza University of Rome, 00185 Rome, Italy;cCSIRO Australian Animal Health Laboratory, Health and Biosecurity Business Unit, Geelong, VIC 3220, Australia;dEcoHealth Alliance, New York, NY 10001;eCSIRO Health &amp; Biosecurity, EcoSciences Precinct, Dutton Park, QLD 4102, Australia;fCSIRO Agriculture and Food, St Lucia, QLD 4067, Australia;gCSIRO Land and Water, Black Mountain Science and Innovation Park, Canberra, ACT 2601, Australia;hCSIRO Health and Biosecurity, James Cook University, Townsville, QLD 4810, Australia;iDepartment of Biology, City University of New York, New York, NY 10016;jGlobal Health Security Agenda Consortium Steering Committee, Washington, DC 20201;kWorld Animal Health Organisation Working Group on Wildlife, Paris 75017, France;lCSIRO Health &amp; Biosecurity, Black Mountain Science and Innovation Park, Canberra, ACT 2601, Australia.\nFootnotes</w:instrText>
      </w:r>
      <w:r w:rsidR="000F35EB">
        <w:rPr>
          <w:rFonts w:ascii="Cambria Math" w:hAnsi="Cambria Math" w:cs="Cambria Math"/>
        </w:rPr>
        <w:instrText>↵</w:instrText>
      </w:r>
      <w:r w:rsidR="000F35EB">
        <w:instrText xml:space="preserve">1To whom correspondence may be addressed. Email: moreno.dimarco@uniroma1.it.The authors declare no competing interest.Any opinions, findings, conclusions, or recommendations expressed in this work are those of the authors and have not been endorsed by the National Academy of Sciences.","container-title":"Proceedings of the National Academy of Sciences","DOI":"10.1073/pnas.2001655117","ISSN":"0027-8424, 1091-6490","issue":"8","journalAbbreviation":"PNAS","language":"en","license":"© 2020 . https://www.pnas.org/site/aboutpnas/licenses.xhtmlPublished under the PNAS license.","note":"publisher: National Academy of Sciences\nsection: Opinion\nPMID: 32060123","page":"3888-3892","source":"www.pnas.org","title":"Opinion: Sustainable development must account for pandemic risk","title-short":"Opinion","URL":"https://www.pnas.org/content/117/8/3888","volume":"117","author":[{"family":"Di Marco","given":"Moreno"},{"family":"Baker","given":"Michelle L."},{"family":"Daszak","given":"Peter"},{"family":"De Barro","given":"Paul"},{"family":"Eskew","given":"Evan A."},{"family":"Godde","given":"Cecile M."},{"family":"Harwood","given":"Tom D."},{"family":"Herrero","given":"Mario"},{"family":"Hoskins","given":"Andrew J."},{"family":"Johnson","given":"Erica"},{"family":"Karesh","given":"William B."},{"family":"Machalaba","given":"Catherine"},{"family":"Garcia","given":"Javier Navarro"},{"family":"Paini","given":"Dean"},{"family":"Pirzl","given":"Rebecca"},{"family":"Smith","given":"Mark Stafford"},{"family":"Zambrana-Torrelio","given":"Carlos"},{"family":"Ferrier","given":"Simon"}],"accessed":{"date-parts":[["2021",11,10]]},"issued":{"date-parts":[["2020",2,25]]}},"label":"page"}],"schema":"https://github.com/citation-style-language/schema/raw/master/csl-citation.json"} </w:instrText>
      </w:r>
      <w:r w:rsidRPr="00837161">
        <w:fldChar w:fldCharType="separate"/>
      </w:r>
      <w:r w:rsidR="00271B78" w:rsidRPr="00271B78">
        <w:t>(Di Marco et al., 2020)</w:t>
      </w:r>
      <w:r w:rsidRPr="00837161">
        <w:fldChar w:fldCharType="end"/>
      </w:r>
      <w:r w:rsidRPr="00837161">
        <w:t xml:space="preserve"> and the need to invest </w:t>
      </w:r>
      <w:r w:rsidR="00A067AF">
        <w:t>in</w:t>
      </w:r>
      <w:r w:rsidRPr="00837161">
        <w:t xml:space="preserve"> pandemic prevention </w:t>
      </w:r>
      <w:r w:rsidRPr="00837161">
        <w:fldChar w:fldCharType="begin"/>
      </w:r>
      <w:r w:rsidR="000F35EB">
        <w:instrText xml:space="preserve"> ADDIN ZOTERO_ITEM CSL_CITATION {"citationID":"moMbQu8U","properties":{"formattedCitation":"(Dobson et al., 2020)","plainCitation":"(Dobson et al., 2020)","noteIndex":0},"citationItems":[{"id":30186,"uris":["http://zotero.org/groups/2352922/items/5LJ4JZFS"],"itemData":{"id":30186,"type":"article-journal","container-title":"Science","DOI":"10.1126/science.abc3189","ISSN":"0036-8075, 1095-9203","issue":"6502","journalAbbreviation":"Science","language":"en","page":"379-381","source":"DOI.org (Crossref)","title":"Ecology and economics for pandemic prevention","URL":"https://www.sciencemag.org/lookup/doi/10.1126/science.abc3189","volume":"369","author":[{"family":"Dobson","given":"Andrew P."},{"family":"Pimm","given":"Stuart L."},{"family":"Hannah","given":"Lee"},{"family":"Kaufman","given":"Les"},{"family":"Ahumada","given":"Jorge A."},{"family":"Ando","given":"Amy W."},{"family":"Bernstein","given":"Aaron"},{"family":"Busch","given":"Jonah"},{"family":"Daszak","given":"Peter"},{"family":"Engelmann","given":"Jens"},{"family":"Kinnaird","given":"Margaret F."},{"family":"Li","given":"Binbin V."},{"family":"Loch-Temzelides","given":"Ted"},{"family":"Lovejoy","given":"Thomas"},{"family":"Nowak","given":"Katarzyna"},{"family":"Roehrdanz","given":"Patrick R."},{"family":"Vale","given":"Mariana M."}],"accessed":{"date-parts":[["2021",9,15]]},"issued":{"date-parts":[["2020",7,24]]}},"label":"page"}],"schema":"https://github.com/citation-style-language/schema/raw/master/csl-citation.json"} </w:instrText>
      </w:r>
      <w:r w:rsidRPr="00837161">
        <w:fldChar w:fldCharType="separate"/>
      </w:r>
      <w:r w:rsidR="00271B78" w:rsidRPr="00271B78">
        <w:t>(Dobson et al., 2020)</w:t>
      </w:r>
      <w:r w:rsidRPr="00837161">
        <w:fldChar w:fldCharType="end"/>
      </w:r>
      <w:r w:rsidRPr="00837161">
        <w:t>.</w:t>
      </w:r>
      <w:r w:rsidRPr="00837161">
        <w:rPr>
          <w:shd w:val="clear" w:color="auto" w:fill="FFFFFF"/>
        </w:rPr>
        <w:t> </w:t>
      </w:r>
      <w:r w:rsidRPr="00837161">
        <w:t xml:space="preserve">Even though many introduced alien species may not have any perceived impacts in urban areas </w:t>
      </w:r>
      <w:r w:rsidRPr="00837161">
        <w:fldChar w:fldCharType="begin"/>
      </w:r>
      <w:r w:rsidR="000F35EB">
        <w:instrText xml:space="preserve"> ADDIN ZOTERO_ITEM CSL_CITATION {"citationID":"uBJGt4Sd","properties":{"formattedCitation":"(McLean et al., 2017)","plainCitation":"(McLean et al., 2017)","noteIndex":0},"citationItems":[{"id":33089,"uris":["http://zotero.org/groups/2352922/items/RQ482I3R"],"itemData":{"id":33089,"type":"article-journal","abstract":"Alien species are often first introduced to urban areas, so it is unsurprising that towns and cities are often hotspots for invasions. However, while large cities are usually the first sites of introduction, small towns are more numerous and have a greater chance of launching invasions into natural areas as they have proportionally larger interfaces with their surroundings. In this paper we develop a set of scenarios as hypotheses to explore the role of small towns in facilitating within-country dispersal of alien plants. In particular, we developed ten scenarios for how introductions to small towns, agricultural and natural areas can lead to landscape-scale invasions. We tested a part of these scenarios using a case study of a highly invaded region in South Africa (the Berg River catchment in the Western Cape). We specifically investigated the main plant invasion routes between 12 small towns and their surrounding agricultural and natural areas. This was accomplished by conducting urban-specific alien plant surveys in towns, then comparing these results to regional databases of naturalized and/or invasive plants. Many of the alien plants found in urban areas were listed as invasive or naturalized in the catchment (over 30% of the total alien species pool). Despite marked environmental gradients across the study area, we found no relationships between the alien plant species richness in towns and climatic variables or with levels of anthropogenic disturbances. All towns hosted large numbers of invasive plant species and nearly half of the alien species found in towns were naturalized or invasive in surrounding areas. The likelihood of alien plants being naturalized or invasive outside urban areas increased in proportion to their local abundance in towns and if they were tall and woody. Ornamental horticulture was the main reason for introduction of these alien species (69%). Small towns can and do harbour significant populations of plant taxa that are able to spread to surrounding natural areas to launch invasions. Comparing lists of species from urban alien plant surveys with those from naturalisation records for the region is a useful protocol for identifying species which may be moving along the introduction–naturalization–invasion continuum.","container-title":"Biological Invasions","DOI":"10.1007/s10530-017-1600-4","ISSN":"1573-1464","issue":"12","journalAbbreviation":"Biol Invasions","language":"en","page":"3541-3555","source":"Springer Link","title":"Small urban centres as launching sites for plant invasions in natural areas: insights from South Africa","title-short":"Small urban centres as launching sites for plant invasions in natural areas","URL":"https://doi.org/10.1007/s10530-017-1600-4","volume":"19","author":[{"family":"McLean","given":"Phil"},{"family":"Gallien","given":"Laure"},{"family":"Wilson","given":"John R. U."},{"family":"Gaertner","given":"Mirijam"},{"family":"Richardson","given":"David M."}],"accessed":{"date-parts":[["2021",7,27]]},"issued":{"date-parts":[["2017",12,1]]}},"label":"page"}],"schema":"https://github.com/citation-style-language/schema/raw/master/csl-citation.json"} </w:instrText>
      </w:r>
      <w:r w:rsidRPr="00837161">
        <w:fldChar w:fldCharType="separate"/>
      </w:r>
      <w:r w:rsidR="00271B78" w:rsidRPr="00271B78">
        <w:t>(McLean et al., 2017)</w:t>
      </w:r>
      <w:r w:rsidRPr="00837161">
        <w:fldChar w:fldCharType="end"/>
      </w:r>
      <w:r w:rsidRPr="00837161">
        <w:t>, they can spread beyond city limits and invade natural and semi-natural habitats as a growing number of protected landscapes and marine reserves fall within a matrix of broader land</w:t>
      </w:r>
      <w:r w:rsidR="00581609">
        <w:t>-</w:t>
      </w:r>
      <w:r w:rsidRPr="00837161">
        <w:t xml:space="preserve">use types or zonation </w:t>
      </w:r>
      <w:r w:rsidRPr="00837161">
        <w:fldChar w:fldCharType="begin"/>
      </w:r>
      <w:r w:rsidR="000F35EB">
        <w:instrText xml:space="preserve"> ADDIN ZOTERO_ITEM CSL_CITATION {"citationID":"mupBLe20","properties":{"formattedCitation":"(Seto &amp; Shepherd, 2009)","plainCitation":"(Seto &amp; Shepherd, 2009)","noteIndex":0},"citationItems":[{"id":19768,"uris":["http://zotero.org/groups/2352922/items/2SS7E6UP"],"itemData":{"id":19768,"type":"article-journal","abstract":"In 2008, the global urban population exceeded the nonrural population for the first time in history, and it is estimated that by 2050, 70{%} of the world population will live in urban areas, with more than half of them concentrated in Asia. Although there are projections of future urban population growth, there is significantly less information about how these changes in demographics correspond with changes in urban extent. Urban land-use and land-cover changes have considerable impacts on climate. It has been well established that the urban heat island effect is more significant during the night than day and that it is affected by the shape, size, and geometry of buildings as well as the differences in urban and rural gradients. Recent research points to mounting evidence that urbanization also affects cycling of water, carbon, aerosols, and nitrogen in the climate system. This review highlights advances in the understanding of urban land-use trends and associated climate impacts, concentrating on peer-reviewed papers that have been published over the last two years.","container-title":"Current Opinion in Environmental Sustainability","DOI":"10.1016/j.cosust.2009.07.012","ISSN":"18773435","issue":"1","page":"89-95","title":"Global Urban Land-Use Trends and Climate Impacts","volume":"1","author":[{"family":"Seto","given":"Karen C"},{"family":"Shepherd","given":"J Marshall"}],"issued":{"date-parts":[["2009",10]]}},"label":"page"}],"schema":"https://github.com/citation-style-language/schema/raw/master/csl-citation.json"} </w:instrText>
      </w:r>
      <w:r w:rsidRPr="00837161">
        <w:fldChar w:fldCharType="separate"/>
      </w:r>
      <w:r w:rsidR="00271B78" w:rsidRPr="00271B78">
        <w:t>(Seto &amp; Shepherd, 2009)</w:t>
      </w:r>
      <w:r w:rsidRPr="00837161">
        <w:fldChar w:fldCharType="end"/>
      </w:r>
      <w:r w:rsidRPr="00837161">
        <w:t xml:space="preserve">. Natural areas surrounded by urban areas also suffer from higher-than-normal propagule pressure from the urban areas. For instance, numerous new city reserves suffer from arthropods, dogs, cats, livestock (e.g., goats) and alien plants that live in close association with humans, the incursions of which reduces the resilience of these ecosystems </w:t>
      </w:r>
      <w:r w:rsidRPr="00837161">
        <w:rPr>
          <w:szCs w:val="22"/>
        </w:rPr>
        <w:fldChar w:fldCharType="begin"/>
      </w:r>
      <w:r w:rsidR="000F35EB">
        <w:instrText xml:space="preserve"> ADDIN ZOTERO_ITEM CSL_CITATION {"citationID":"628mp99I","properties":{"formattedCitation":"(Lacerda et al., 2009; Lessa et al., 2016; Paschoal et al., 2016; Spear et al., 2013)","plainCitation":"(Lacerda et al., 2009; Lessa et al., 2016; Paschoal et al., 2016; Spear et al., 2013)","noteIndex":0},"citationItems":[{"id":12572,"uris":["http://zotero.org/groups/2352922/items/F5GV6UC9"],"itemData":{"id":12572,"type":"article-journal","container-title":"Animal Conservation","DOI":"10.1111/j.1469-1795.2009.00277.x","issue":"5","page":"477–487","source":"Google Scholar","title":"Domestic dogs as an edge effect in the Brasília National Park, Brazil: interactions with native mammals","title-short":"Domestic dogs as an edge effect in the Brasília National Park, Brazil","volume":"12","author":[{"family":"Lacerda","given":"Ana C R"},{"family":"Tomas","given":"W. M."},{"family":"Marinho-Filho","given":"Jader"}],"issued":{"date-parts":[["2009"]]}},"label":"page"},{"id":17152,"uris":["http://zotero.org/groups/2352922/items/NJJCHVQT"],"itemData":{"id":17152,"type":"article-journal","abstract":"Understanding the drivers of biological invasions, across taxa and regions, is important for designing appropriate management interventions. However there has been no work that has examined potential drivers of both plant and animal invasions, for both species considered to be aliens and those that are invasive. We use South Africa’s national park system (19 national parks, throughout South Africa and covering </w:instrText>
      </w:r>
      <w:r w:rsidR="000F35EB">
        <w:rPr>
          <w:rFonts w:ascii="ＭＳ 明朝" w:eastAsia="ＭＳ 明朝" w:hAnsi="ＭＳ 明朝" w:cs="ＭＳ 明朝" w:hint="eastAsia"/>
        </w:rPr>
        <w:instrText>∼</w:instrText>
      </w:r>
      <w:r w:rsidR="000F35EB">
        <w:instrText xml:space="preserve">39,000km2) as a model to test the generality of predictors of alien species richness in protected areas. We also compare the predictors of alien versus invasive species richness, and alien plant versus alien animal species richness. Species were classified as alien, invasive (having known negative impact on biodiversity) or extralimital, using standard definitions. Potential predictors (numbers of years since the park was proclaimed and since new land was acquired, park area, data availability, human population density in the vicinity of the park, number of roads, number of rivers, indigenous plant species richness and normalised difference vegetation index) of the number of alien and invasive species in national parks were examined for plants and animals using generalised linear models. Human population density surrounding parks was a significant and strong predictor of numbers of alien and invasive species across plants and animals. The role of other predictors, such as NDVI and park age, was inconsistent across models. Human population density has emerged here as an important predictor of alien species richness in protected areas across taxa, providing a basis for guidelines on where to focus surveillance and eradication efforts.","container-title":"Biological Conservation","DOI":"10.1016/j.biocon.2012.11.022","ISSN":"0006-3207","journalAbbreviation":"Biological Conservation","page":"137-147","source":"ScienceDirect","title":"Human population density explains alien species richness in protected areas","URL":"http://www.sciencedirect.com/science/article/pii/S0006320712004909","volume":"159","author":[{"family":"Spear","given":"Dian"},{"family":"Foxcroft","given":"Llewellyn C."},{"family":"Bezuidenhout","given":"Hugo"},{"family":"McGeoch","given":"Melodie A."}],"accessed":{"date-parts":[["2019",9,15]]},"issued":{"date-parts":[["2013",3,1]]}},"label":"page"},{"id":12573,"uris":["http://zotero.org/groups/2352922/items/SMXPVQKV"],"itemData":{"id":12573,"type":"article-journal","container-title":"Natureza &amp; Conservação","DOI":"10.1016/j.ncon.2016.05.001","issue":"2","page":"46–56","source":"Google Scholar","title":"Domestic dogs in protected areas: a threat to Brazilian mammals?","title-short":"Domestic dogs in protected areas","volume":"14","author":[{"family":"Lessa","given":"Isadora"},{"family":"Guimarães","given":"Tainah Corrêa Seabra"},{"family":"Bergallo","given":"Helena de Godoy"},{"family":"Cunha","given":"André"},{"family":"Vieira","given":"Emerson M."}],"issued":{"date-parts":[["2016"]]}},"label":"page"},{"id":11215,"uris":["http://zotero.org/groups/2352922/items/JCZ2E79X"],"itemData":{"id":11215,"type":"article-journal","container-title":"Ecosphere","DOI":"10.1002/ecs2.1480","ISSN":"2150-8925, 2150-8925","issue":"10","journalAbbreviation":"Ecosphere","language":"en","page":"e01480","source":"DOI.org (Crossref)","title":"Use of Atlantic Forest protected areas by free-ranging dogs: estimating abundance and persistence of use","title-short":"Use of &lt;span style=\"font-variant","URL":"https://onlinelibrary.wiley.com/doi/10.1002/ecs2.1480","volume":"7","author":[{"family":"Paschoal","given":"Ana Maria O."},{"family":"Massara","given":"Rodrigo L."},{"family":"Bailey","given":"Larissa L."},{"family":"Kendall","given":"William L."},{"family":"Doherty","given":"Paul F."},{"family":"Hirsch","given":"André"},{"family":"Chiarello","given":"Adriano G."},{"family":"Paglia","given":"Adriano P."}],"accessed":{"date-parts":[["2021",4,5]]},"issued":{"date-parts":[["2016",10]]}},"label":"page"}],"schema":"https://github.com/citation-style-language/schema/raw/master/csl-citation.json"} </w:instrText>
      </w:r>
      <w:r w:rsidRPr="00837161">
        <w:rPr>
          <w:szCs w:val="22"/>
        </w:rPr>
        <w:fldChar w:fldCharType="separate"/>
      </w:r>
      <w:r w:rsidR="00271B78" w:rsidRPr="00271B78">
        <w:t>(Lacerda et al., 2009; Lessa et al., 2016; Paschoal et al., 2016; Spear et al., 2013)</w:t>
      </w:r>
      <w:r w:rsidRPr="00837161">
        <w:fldChar w:fldCharType="end"/>
      </w:r>
      <w:r w:rsidRPr="00837161">
        <w:t xml:space="preserve">. </w:t>
      </w:r>
      <w:r w:rsidR="002F2F42">
        <w:t>Management of biological invasions</w:t>
      </w:r>
      <w:r w:rsidR="002F2F42" w:rsidRPr="00837161">
        <w:t xml:space="preserve"> </w:t>
      </w:r>
      <w:r w:rsidRPr="00837161">
        <w:t xml:space="preserve">in urban contexts is especially challenging because on the one hand urban environments to a degree actively encourage alien species for physical, cultural and political reasons, but natural areas connected to them are most threatened by invasive alien species </w:t>
      </w:r>
      <w:r w:rsidR="008C07BF" w:rsidRPr="00837161">
        <w:t xml:space="preserve">from </w:t>
      </w:r>
      <w:r w:rsidR="0030450F" w:rsidRPr="00837161">
        <w:t>higher levels of</w:t>
      </w:r>
      <w:r w:rsidRPr="00837161">
        <w:t xml:space="preserve"> human activity </w:t>
      </w:r>
      <w:r w:rsidR="006132C7" w:rsidRPr="00837161">
        <w:t xml:space="preserve">spilling over </w:t>
      </w:r>
      <w:r w:rsidRPr="00837161">
        <w:t xml:space="preserve">from nearby urban areas </w:t>
      </w:r>
      <w:r w:rsidRPr="00837161">
        <w:fldChar w:fldCharType="begin"/>
      </w:r>
      <w:r w:rsidR="000F35EB">
        <w:instrText xml:space="preserve"> ADDIN ZOTERO_ITEM CSL_CITATION {"citationID":"gNNkDhh1","properties":{"formattedCitation":"(Gaertner et al., 2017)","plainCitation":"(Gaertner et al., 2017)","noteIndex":0},"citationItems":[{"id":24080,"uris":["http://zotero.org/groups/2352922/items/VM5U8835"],"itemData":{"id":24080,"type":"article-journal","abstract":"Although urban ecosystems are hotspots for biological invasions, the field of invasion science has given scant attention to invasion dynamics and the challenges facing managers in towns and cities. This paper provides an introduction to the growing challenges of understanding and managing invasive species in urban systems, and the context for a special issue of Biological Invasions, comprising 17 papers, that arose from a workshop on “Non-native species in urban environments: patterns, processes, impacts and challenges” held in Stellenbosch, South Africa, in November 2016. Contributions explore the following key questions: Are patterns and processes of urban invasions different from invasions in other contexts? Why is it important to manage non-native species in urban ecosystems? What are the special management needs in an urban context? How can we bridge the gaps between science, management, and policy with regards to biological invasions in urban ecosystems? The papers in this special issue show that patterns and processes of urban invasions differ in many ways from invasions in other contexts, and that managing invasive species in cities poses unique and increasingly complex challenges. Progress in urban invasion science requires further work to: (1) address key limitations that hinder our understanding of invasion dynamics in cities; (2) clarify whether fundamental concepts in the field of invasion science are appropriate for urban ecosystems; (3) integrate insights from invasion science with those from the burgeoning literature on the “Anthropocene biosphere”, novel ecosystems, social-ecological systems, human-wildlife conflicts, urban green infrastructure, urban planning and design, and ecosystem services/disservices.","container-title":"Biological Invasions","DOI":"10.1007/s10530-017-1598-7","ISSN":"1387-3547","issue":"12","language":"English","page":"3461-3469","title":"Non-native species in urban environments: patterns, processes, impacts and challenges","URL":"http://link.springer.com/10.1007/s10530-017-1598-7","volume":"19","author":[{"family":"Gaertner","given":"Mirijam"},{"family":"Wilson","given":"John R. U."},{"family":"Cadotte","given":"Marc W."},{"family":"MacIvor","given":"J. Scott"},{"family":"Zenni","given":"Rafael D."},{"family":"Richardson","given":"David M."}],"issued":{"date-parts":[["2017",12]]}}}],"schema":"https://github.com/citation-style-language/schema/raw/master/csl-citation.json"} </w:instrText>
      </w:r>
      <w:r w:rsidRPr="00837161">
        <w:fldChar w:fldCharType="separate"/>
      </w:r>
      <w:r w:rsidR="00271B78" w:rsidRPr="00271B78">
        <w:t>(Gaertner et al., 2017)</w:t>
      </w:r>
      <w:r w:rsidRPr="00837161">
        <w:fldChar w:fldCharType="end"/>
      </w:r>
      <w:r w:rsidRPr="00837161">
        <w:t xml:space="preserve">. </w:t>
      </w:r>
    </w:p>
    <w:p w14:paraId="7D24A6DB" w14:textId="69143CB3" w:rsidR="00383764" w:rsidRPr="00837161" w:rsidRDefault="430490D0" w:rsidP="00C11DFA">
      <w:pPr>
        <w:spacing w:before="240" w:after="120" w:line="240" w:lineRule="auto"/>
      </w:pPr>
      <w:r w:rsidRPr="00837161">
        <w:t xml:space="preserve">Continuous monitoring of urban biota improves early detection of potential invasive alien species </w:t>
      </w:r>
      <w:r w:rsidR="00383764" w:rsidRPr="00837161">
        <w:fldChar w:fldCharType="begin"/>
      </w:r>
      <w:r w:rsidR="000F35EB">
        <w:instrText xml:space="preserve"> ADDIN ZOTERO_ITEM CSL_CITATION {"citationID":"7rTcpnei","properties":{"formattedCitation":"(Paap et al., 2017)","plainCitation":"(Paap et al., 2017)","noteIndex":0},"citationItems":[{"id":23603,"uris":["http://zotero.org/groups/2352922/items/BZH7EK6X"],"itemData":{"id":23603,"type":"article-journal","abstract":"Urban trees have been increasingly appreciated for the many benefits they provide. As concentrated hubs of human-mediated movement, the urban landscape is, however, often the first point of contact for exotic pests including insects and plant pathogens. Consequently, urban trees can be important for accidentally introduced forest pests to become established and potentially invasive. Reductions in biodiversity and the potential for stressful conditions arising from anthropogenic disturbances can predispose these trees to pest attack, further increasing the likelihood of exotic forest pests becoming established and increasing in density. Once established in urban environments, dispersal of introduced pests can proceed to natural forest landscapes or planted forests. In addition to permanent long-term damage to natural ecosystems, the consequences of these invasions include costly attempts at eradication and post establishment management strategies. We discuss a range of ecological, economic and social impacts arising from these incursions and the importance of global biosecurity is highlighted as a crucially important barrier to pest invasions. Finally, we suggest that urban trees may be viewed as ‘sentinel plantings’. In particular, botanical gardens and arboreta frequently house large collections of exotic plantings, providing a unique opportunity to help predict and prevent the invasion of new pests, and where introduced pests with the capacity to cause serious impacts in forest environments could potentially be detected during the initial stages of establishment. Such early detection offers the only realistic prospect of eradication, thereby reducing damaging ecological impacts and long term management costs.","container-title":"Biological Invasions","DOI":"10.1007/s10530-017-1595-x","ISSN":"1573-1464","issue":"12","journalAbbreviation":"Biol Invasions","language":"en","page":"3515-3526","source":"Springer Link","title":"Urban trees: bridge-heads for forest pest invasions and sentinels for early detection","title-short":"Urban trees","URL":"https://doi.org/10.1007/s10530-017-1595-x","volume":"19","author":[{"family":"Paap","given":"Trudy"},{"family":"Burgess","given":"Treena I."},{"family":"Wingfield","given":"Michael J."}],"accessed":{"date-parts":[["2020",8,15]]},"issued":{"date-parts":[["2017",12,1]]}},"label":"page"}],"schema":"https://github.com/citation-style-language/schema/raw/master/csl-citation.json"} </w:instrText>
      </w:r>
      <w:r w:rsidR="00383764" w:rsidRPr="00837161">
        <w:fldChar w:fldCharType="separate"/>
      </w:r>
      <w:r w:rsidR="00271B78" w:rsidRPr="00271B78">
        <w:t>(Paap et al., 2017)</w:t>
      </w:r>
      <w:r w:rsidR="00383764" w:rsidRPr="00837161">
        <w:fldChar w:fldCharType="end"/>
      </w:r>
      <w:r w:rsidRPr="00837161">
        <w:t xml:space="preserve">. </w:t>
      </w:r>
      <w:r w:rsidR="001936C5" w:rsidRPr="00837161">
        <w:t>This is best done by</w:t>
      </w:r>
      <w:r w:rsidR="00ED50CE" w:rsidRPr="00837161">
        <w:t xml:space="preserve"> assess</w:t>
      </w:r>
      <w:r w:rsidR="001936C5" w:rsidRPr="00837161">
        <w:t>ing</w:t>
      </w:r>
      <w:r w:rsidR="005219CC">
        <w:t xml:space="preserve"> </w:t>
      </w:r>
      <w:r w:rsidR="00ED50CE" w:rsidRPr="00837161">
        <w:t>alien species impacts to d</w:t>
      </w:r>
      <w:r w:rsidRPr="00837161">
        <w:t xml:space="preserve">istinguish non-invasive and invasive alien species </w:t>
      </w:r>
      <w:r w:rsidR="009528BF" w:rsidRPr="00837161">
        <w:t xml:space="preserve">as this </w:t>
      </w:r>
      <w:r w:rsidRPr="00837161">
        <w:t xml:space="preserve">is critically important for management so resources are </w:t>
      </w:r>
      <w:r w:rsidR="009528BF" w:rsidRPr="00837161">
        <w:t xml:space="preserve">used </w:t>
      </w:r>
      <w:r w:rsidRPr="00837161">
        <w:t xml:space="preserve">cost-effectively. Urban forests have been used as sentinel sites for the detection of </w:t>
      </w:r>
      <w:r w:rsidRPr="00837161">
        <w:rPr>
          <w:i/>
          <w:iCs/>
        </w:rPr>
        <w:t>Agrilus planipennis</w:t>
      </w:r>
      <w:r w:rsidRPr="00837161">
        <w:t xml:space="preserve"> (emerald ash borer) helping managers to manage outbreaks early </w:t>
      </w:r>
      <w:r w:rsidR="00383764" w:rsidRPr="00837161">
        <w:fldChar w:fldCharType="begin"/>
      </w:r>
      <w:r w:rsidR="000F35EB">
        <w:instrText xml:space="preserve"> ADDIN ZOTERO_ITEM CSL_CITATION {"citationID":"GtzHpPKz","properties":{"formattedCitation":"(Poland &amp; McCullough, 2006)","plainCitation":"(Poland &amp; McCullough, 2006)","noteIndex":0},"citationItems":[{"id":30317,"uris":["http://zotero.org/groups/2352922/items/ZV2P2M4B"],"itemData":{"id":30317,"type":"article-journal","container-title":"Journal of Forestry","DOI":"10.1093/jof/104.3.118","issue":"3","language":"en","page":"118-124","source":"Zotero","title":"Emerald Ash Borer: Invasion of the Urban Forest and the Threat to North America’s Ash Resource","URL":"https://academic.oup.com/jof/article/104/3/118/4598702?login=false","volume":"104","author":[{"family":"Poland","given":"Therese M"},{"family":"McCullough","given":"Deborah G"}],"issued":{"date-parts":[["2006"]]}}}],"schema":"https://github.com/citation-style-language/schema/raw/master/csl-citation.json"} </w:instrText>
      </w:r>
      <w:r w:rsidR="00383764" w:rsidRPr="00837161">
        <w:fldChar w:fldCharType="separate"/>
      </w:r>
      <w:r w:rsidR="00271B78" w:rsidRPr="00271B78">
        <w:t>(Poland &amp; McCullough, 2006)</w:t>
      </w:r>
      <w:r w:rsidR="00383764" w:rsidRPr="00837161">
        <w:fldChar w:fldCharType="end"/>
      </w:r>
      <w:r w:rsidRPr="00837161">
        <w:t xml:space="preserve">. </w:t>
      </w:r>
      <w:r w:rsidR="009E3F38" w:rsidRPr="45747777">
        <w:rPr>
          <w:i/>
          <w:iCs/>
        </w:rPr>
        <w:t>Euwallacea fornicatus</w:t>
      </w:r>
      <w:r w:rsidR="009E3F38" w:rsidRPr="00837161">
        <w:t xml:space="preserve"> </w:t>
      </w:r>
      <w:r w:rsidRPr="00837161">
        <w:t>(polyphagous shot-hole borer) and an associated pathogen (</w:t>
      </w:r>
      <w:r w:rsidRPr="00837161">
        <w:rPr>
          <w:i/>
          <w:iCs/>
        </w:rPr>
        <w:t>Neocosmospora euwallaceae</w:t>
      </w:r>
      <w:r w:rsidRPr="00837161">
        <w:t xml:space="preserve">) were first detected in urban environments in United States (California), Israel and South Africa, threatening to spread into nearby plantations and native forests </w:t>
      </w:r>
      <w:r w:rsidR="00383764" w:rsidRPr="00837161">
        <w:fldChar w:fldCharType="begin"/>
      </w:r>
      <w:r w:rsidR="000F35EB">
        <w:instrText xml:space="preserve"> ADDIN ZOTERO_ITEM CSL_CITATION {"citationID":"KFRqbkv7","properties":{"formattedCitation":"(Paap et al., 2020)","plainCitation":"(Paap et al., 2020)","noteIndex":0},"citationItems":[{"id":29244,"uris":["http://zotero.org/groups/2352922/items/BSVWF5XU"],"itemData":{"id":29244,"type":"article-journal","container-title":"South African Journal of Science","DOI":"10.17159/sajs.2020/8757","ISSN":"1996-7489","issue":"11/12","language":"en","license":"Copyright (c)","source":"sajs.co.za","title":"Lessons from a major pest invasion: The polyphagous shot hole borer in South Africa","title-short":"Lessons from a major pest invasion","URL":"https://sajs.co.za/article/view/8757","volume":"116","author":[{"family":"Paap","given":"Trudy"},{"family":"Wingfield","given":"Michael J."},{"family":"Beer","given":"Z. Wilhelm","non-dropping-particle":"de"},{"family":"Roets","given":"Francois"}],"accessed":{"date-parts":[["2021",7,16]]},"issued":{"date-parts":[["2020",11,26]]}},"label":"page"}],"schema":"https://github.com/citation-style-language/schema/raw/master/csl-citation.json"} </w:instrText>
      </w:r>
      <w:r w:rsidR="00383764" w:rsidRPr="00837161">
        <w:fldChar w:fldCharType="separate"/>
      </w:r>
      <w:r w:rsidR="00271B78" w:rsidRPr="00271B78">
        <w:t>(Paap et al., 2020)</w:t>
      </w:r>
      <w:r w:rsidR="00383764" w:rsidRPr="00837161">
        <w:fldChar w:fldCharType="end"/>
      </w:r>
      <w:r w:rsidRPr="00837161">
        <w:t xml:space="preserve">. An advantage of urban areas is the high </w:t>
      </w:r>
      <w:r w:rsidRPr="00837161">
        <w:rPr>
          <w:rFonts w:eastAsia="Times New Roman"/>
          <w:color w:val="000000" w:themeColor="text1"/>
        </w:rPr>
        <w:t>availability of human support</w:t>
      </w:r>
      <w:r w:rsidR="005219CC">
        <w:rPr>
          <w:rFonts w:eastAsia="Times New Roman"/>
          <w:color w:val="000000" w:themeColor="text1"/>
        </w:rPr>
        <w:t xml:space="preserve"> for</w:t>
      </w:r>
      <w:r w:rsidRPr="00837161">
        <w:rPr>
          <w:rFonts w:eastAsia="Times New Roman"/>
          <w:color w:val="000000" w:themeColor="text1"/>
        </w:rPr>
        <w:t xml:space="preserve"> invasive alien species management through citizen science-based surveillance, detection and rapid response activities </w:t>
      </w:r>
      <w:r w:rsidR="00197924" w:rsidRPr="00837161">
        <w:t>(</w:t>
      </w:r>
      <w:r w:rsidRPr="00837161">
        <w:rPr>
          <w:i/>
          <w:iCs/>
        </w:rPr>
        <w:t>section 5.4.3.2</w:t>
      </w:r>
      <w:r w:rsidR="72ECC9D3" w:rsidRPr="00837161">
        <w:t>)</w:t>
      </w:r>
      <w:r w:rsidR="009E754E">
        <w:t>.</w:t>
      </w:r>
      <w:r w:rsidRPr="00837161">
        <w:rPr>
          <w:rFonts w:eastAsia="Times New Roman"/>
          <w:color w:val="000000" w:themeColor="text1"/>
        </w:rPr>
        <w:t xml:space="preserve"> </w:t>
      </w:r>
      <w:r w:rsidRPr="00837161">
        <w:t xml:space="preserve">Citizen science initiatives have supported the early detection of </w:t>
      </w:r>
      <w:r w:rsidRPr="00837161">
        <w:rPr>
          <w:i/>
          <w:iCs/>
        </w:rPr>
        <w:t>Halyomorpha halys</w:t>
      </w:r>
      <w:r w:rsidRPr="00837161">
        <w:t xml:space="preserve"> (brown marmorated stink bug) in Europe </w:t>
      </w:r>
      <w:r w:rsidR="00383764" w:rsidRPr="00837161">
        <w:fldChar w:fldCharType="begin"/>
      </w:r>
      <w:r w:rsidR="000F35EB">
        <w:instrText xml:space="preserve"> ADDIN ZOTERO_ITEM CSL_CITATION {"citationID":"5oITbwl3","properties":{"formattedCitation":"(Maistrello et al., 2016)","plainCitation":"(Maistrello et al., 2016)","noteIndex":0},"citationItems":[{"id":23904,"uris":["http://zotero.org/groups/2352922/items/S2AM96S8"],"itemData":{"id":23904,"type":"article-journal","abstract":"Early detection of invasive alien species and the ability to track their spread are critical for undertaking appropriate management decisions. Citizen science surveys are potentially valuable tools for quickly obtaining information on biodiversity and species distributions. The Asian brown marmorated stink bug, Halyomorpha halys, is an invasive pest of agricultural crops and a dwelling nuisance. Halyomorpha halys was first recorded in Italy in 2012 in Emilia Romagna, one of the most important fruit producing regions of Europe. To rapidly obtain data on its distribution in the newly invaded area, a survey that combined citizen science and active search was set up using multimedia channels. Data concerning when, where and how the bugs were spotted were collected, together with photographs and specimens. The survey detected established breeding populations in different areas of Northern Italy and Southern Switzerland, indicating a potentially high risk for crop damage that extends beyond the territories of first detection. Furthermore, new data on H. halys phenology, host plants, voltinism and behaviour were obtained. The importance of citizen science in early detection of introduced pest species is highlighted. This paper also provides a picture-based key to recognize H. halys from similar pentatomids in the world.","container-title":"Biological Invasions","DOI":"10.1007/s10530-016-1217-z","ISSN":"1573-1464","issue":"11","journalAbbreviation":"Biol Invasions","language":"en","page":"3109-3116","source":"Springer Link","title":"Citizen science and early detection of invasive species: phenology of first occurrences of &lt;i&gt;Halyomorpha halys&lt;/i&gt; in Southern Europe","title-short":"Citizen science and early detection of invasive species","URL":"https://doi.org/10.1007/s10530-016-1217-z","volume":"18","author":[{"family":"Maistrello","given":"Lara"},{"family":"Dioli","given":"Paride"},{"family":"Bariselli","given":"Massimo"},{"family":"Mazzoli","given":"Gian Lorenzo"},{"family":"Giacalone-Forini","given":"Isabella"}],"accessed":{"date-parts":[["2019",9,23]]},"issued":{"date-parts":[["2016",11,1]]}},"label":"page"}],"schema":"https://github.com/citation-style-language/schema/raw/master/csl-citation.json"} </w:instrText>
      </w:r>
      <w:r w:rsidR="00383764" w:rsidRPr="00837161">
        <w:fldChar w:fldCharType="separate"/>
      </w:r>
      <w:r w:rsidR="00271B78" w:rsidRPr="00271B78">
        <w:t>(Maistrello et al., 2016)</w:t>
      </w:r>
      <w:r w:rsidR="00383764" w:rsidRPr="00837161">
        <w:fldChar w:fldCharType="end"/>
      </w:r>
      <w:r w:rsidRPr="00837161">
        <w:t xml:space="preserve"> and New Zealand </w:t>
      </w:r>
      <w:r w:rsidR="00383764" w:rsidRPr="00837161">
        <w:fldChar w:fldCharType="begin"/>
      </w:r>
      <w:r w:rsidR="000F35EB">
        <w:instrText xml:space="preserve"> ADDIN ZOTERO_ITEM CSL_CITATION {"citationID":"lyGRl0NZ","properties":{"formattedCitation":"(Payne et al., 2021)","plainCitation":"(Payne et al., 2021)","noteIndex":0},"citationItems":[{"id":30043,"uris":["http://zotero.org/groups/2352922/items/LBJCAQL3"],"itemData":{"id":30043,"type":"report","abstract":"Abstract\n          \n            Measuring biosecurity perceptions, awareness and behaviour: A New Zealand case study\n            Tauranga Moana has been named the ‘biosecurity capital’ of New Zealand, as part of the government’s ‘Biosecurity 2025’ Initiative to enlist all New Zealanders as biosecurity risk managers. This will involve large-scale citizen science, for reporting, eradication and management of pest and disease threats. We measure baseline awareness, perceptions and behaviour about biosecurity among two key citizen science groups, the local community at Mount Maunganui (surrounding Tauranga’s port) and school children. An online survey was completed by 324 members of the local community, while 120 school children completed a survey about their biosecurity knowledge and behaviours after using a biosecurity education kit. Results indicate that while both groups report a relatively high level of understanding about the concept of biosecurity, and acknowledge it as extremely important, knowledge of current pest threats and correct biosecurity behaviours could be improved. Mount Maunganui community members rate their understanding of biosecurity as better than the average New Zealander, but are less likely to have taken regular biosecurity action in the past year. For school children, improved biosecurity efforts could be evidenced by more active pest monitoring, and greater discussion about biosecurity outside of school (e.g. with their family at home). Key enablers for achieving more impactful citizen science for biosecurity among these groups are targeted education, and practical advice about what they can do to help.","genre":"preprint","language":"en","note":"DOI: 10.21203/rs.3.rs-746797/v1","publisher":"In Review","source":"DOI.org (Crossref)","title":"What’s That Bug? Citizen Science For Biosecurity In Mount Maunganui, New Zealand","title-short":"What’s That Bug?","URL":"https://www.researchsquare.com/article/rs-746797/v1","author":[{"family":"Payne","given":"Penny Raewi"},{"family":"Finlay-Smits","given":"Susanna"},{"family":"Small","given":"Bruce"},{"family":"Cave","given":"Vanessa"},{"family":"Kean","given":"John"}],"accessed":{"date-parts":[["2021",8,23]]},"issued":{"date-parts":[["2021",8,13]]}},"label":"page"}],"schema":"https://github.com/citation-style-language/schema/raw/master/csl-citation.json"} </w:instrText>
      </w:r>
      <w:r w:rsidR="00383764" w:rsidRPr="00837161">
        <w:fldChar w:fldCharType="separate"/>
      </w:r>
      <w:r w:rsidR="00271B78" w:rsidRPr="00271B78">
        <w:t>(Payne et al., 2021)</w:t>
      </w:r>
      <w:r w:rsidR="00383764" w:rsidRPr="00837161">
        <w:fldChar w:fldCharType="end"/>
      </w:r>
      <w:r w:rsidRPr="00837161">
        <w:t>. The widespread access to smartphones carrying biodiversity or pest recording platforms (e.g., iNaturalist and SIS-Geo) supports these activities giving the entire population the potential as detectors of invasive alien species (New Zealand MPI Biosecurity 2025</w:t>
      </w:r>
      <w:r w:rsidR="001C0274" w:rsidRPr="00837161">
        <w:t>;</w:t>
      </w:r>
      <w:r w:rsidRPr="00837161">
        <w:t xml:space="preserve"> </w:t>
      </w:r>
      <w:r w:rsidR="00383764" w:rsidRPr="00837161">
        <w:fldChar w:fldCharType="begin"/>
      </w:r>
      <w:r w:rsidR="000F35EB">
        <w:instrText xml:space="preserve"> ADDIN ZOTERO_ITEM CSL_CITATION {"citationID":"jNgoli9X","properties":{"formattedCitation":"(Bejakovich et al., 2018)","plainCitation":"(Bejakovich et al., 2018)","dontUpdate":true,"noteIndex":0},"citationItems":[{"id":31541,"uris":["http://zotero.org/groups/2352922/items/TFJK83WT"],"itemData":{"id":31541,"type":"report","language":"en","page":"43","source":"Zotero","title":"Biosecurtity 2025 - Engagement plan. Strategic Direction 1.","URL":"https://www.thisisus.nz/assets/Resources/a6783d1f81/Engagement-plan-Strategic-Direction-1.pdf","author":[{"family":"Bejakovich","given":"Davor"},{"family":"Bingham","given":"Kelly"},{"family":"Butland","given":"Brett"},{"family":"Greenaway","given":"Alison"},{"family":"Harrison","given":"Andrew"},{"family":"Hastie","given":"Kelvin"},{"family":"Hodges","given":"Dave"},{"family":"MacDonald","given":"Edy"},{"family":"Mark-Shadbolt","given":"Melanie"},{"family":"Marsh","given":"Alby"},{"family":"Massey","given":"Edwin"},{"family":"O’Brien","given":"Cath"},{"family":"Palmer","given":"Richard"},{"family":"Ryan","given":"James"},{"family":"Walsh","given":"John"},{"family":"Whitworth","given":"Mark"}],"issued":{"date-parts":[["2018"]]}},"label":"page"}],"schema":"https://github.com/citation-style-language/schema/raw/master/csl-citation.json"} </w:instrText>
      </w:r>
      <w:r w:rsidR="00383764" w:rsidRPr="00837161">
        <w:fldChar w:fldCharType="separate"/>
      </w:r>
      <w:r w:rsidR="000D4CAB" w:rsidRPr="00837161">
        <w:t>Bejakovich et al., 2018</w:t>
      </w:r>
      <w:r w:rsidR="00383764" w:rsidRPr="00837161">
        <w:fldChar w:fldCharType="end"/>
      </w:r>
      <w:r w:rsidR="001C0274" w:rsidRPr="00837161">
        <w:t>;</w:t>
      </w:r>
      <w:r w:rsidRPr="00837161">
        <w:t xml:space="preserve"> </w:t>
      </w:r>
      <w:r w:rsidRPr="00012C85">
        <w:rPr>
          <w:b/>
          <w:iCs/>
        </w:rPr>
        <w:t>sections 5.4, 5.5</w:t>
      </w:r>
      <w:r w:rsidRPr="00837161">
        <w:t xml:space="preserve">). </w:t>
      </w:r>
    </w:p>
    <w:p w14:paraId="022217E6" w14:textId="1491B8B7" w:rsidR="00383764" w:rsidRPr="00837161" w:rsidRDefault="00383764" w:rsidP="00C11DFA">
      <w:pPr>
        <w:spacing w:before="240" w:after="120" w:line="240" w:lineRule="auto"/>
      </w:pPr>
      <w:r w:rsidRPr="00837161">
        <w:t>Coastal and associated off-shore infrastructure</w:t>
      </w:r>
      <w:r w:rsidR="00393E5D">
        <w:t>s</w:t>
      </w:r>
      <w:r w:rsidRPr="00837161">
        <w:t xml:space="preserve"> offer novel habitats for both biodiversity and the establishment and spread of marine invasive alien species (</w:t>
      </w:r>
      <w:r w:rsidR="00012C85">
        <w:rPr>
          <w:b/>
          <w:iCs/>
        </w:rPr>
        <w:t>C</w:t>
      </w:r>
      <w:r w:rsidRPr="00012C85">
        <w:rPr>
          <w:b/>
          <w:iCs/>
        </w:rPr>
        <w:t>hapter 3</w:t>
      </w:r>
      <w:r w:rsidRPr="00012C85">
        <w:rPr>
          <w:iCs/>
        </w:rPr>
        <w:t>,</w:t>
      </w:r>
      <w:r w:rsidRPr="00012C85">
        <w:rPr>
          <w:b/>
          <w:iCs/>
        </w:rPr>
        <w:t xml:space="preserve"> section 3.3.1.4</w:t>
      </w:r>
      <w:r w:rsidR="00197924" w:rsidRPr="00012C85">
        <w:t>;</w:t>
      </w:r>
      <w:r w:rsidRPr="00837161">
        <w:t xml:space="preserve"> </w:t>
      </w:r>
      <w:r w:rsidRPr="00837161">
        <w:fldChar w:fldCharType="begin"/>
      </w:r>
      <w:r w:rsidR="000F35EB">
        <w:instrText xml:space="preserve"> ADDIN ZOTERO_ITEM CSL_CITATION {"citationID":"3fy5LXvy","properties":{"formattedCitation":"(Airoldi &amp; Bulleri, 2011; Bulleri &amp; Airoldi, 2005; Giachetti et al., 2020)","plainCitation":"(Airoldi &amp; Bulleri, 2011; Bulleri &amp; Airoldi, 2005; Giachetti et al., 2020)","dontUpdate":true,"noteIndex":0},"citationItems":[{"id":30484,"uris":["http://zotero.org/groups/2352922/items/RRM4J4EN"],"itemData":{"id":30484,"type":"article-journal","abstract":"Background: Coastal landscapes are being transformed as a consequence of the increasing demand for infrastructures to sustain residential, commercial and tourist activities. Thus, intertidal and shallow marine habitats are largely being replaced by a variety of artificial substrata (e.g. breakwaters, seawalls, jetties). Understanding the ecological functioning of these artificial habitats is key to planning their design and management, in order to minimise their impacts and to improve their potential to contribute to marine biodiversity and ecosystem functioning. Nonetheless, little effort has been made to assess the role of human disturbances in shaping the structure of assemblages on marine artificial infrastructures. We tested the hypothesis that some negative impacts associated with the expansion of opportunistic and invasive species on urban infrastructures can be related to the severe human disturbances that are typical of these environments, such as those from maintenance and renovation works.\nMethodology/Principal Findings: Maintenance caused a marked decrease in the cover of dominant space occupiers, such as mussels and oysters, and a significant enhancement of opportunistic and invasive forms, such as biofilm and macroalgae. These effects were particularly pronounced on sheltered substrata compared to exposed substrata. Experimental application of the disturbance in winter reduced the magnitude of the impacts compared to application in spring or summer. We use these results to identify possible management strategies to inform the improvement of the ecological value of artificial marine infrastructures.\nConclusions/Significance: We demonstrate that some of the impacts of globally expanding marine urban infrastructures, such as those related to the spread of opportunistic, and invasive species could be mitigated through ecologically-driven planning and management of long-term maintenance of these structures. Impact mitigation is a possible outcome of policies that consider the ecological features of built infrastructures and the fundamental value of controlling biodiversity in marine urban systems.","container-title":"PLoS ONE","DOI":"10.1371/journal.pone.0022985","ISSN":"1932-6203","issue":"8","journalAbbreviation":"PLoS ONE","language":"en","page":"e22985","source":"DOI.org (Crossref)","title":"Anthropogenic Disturbance Can Determine the Magnitude of Opportunistic Species Responses on Marine Urban Infrastructures","URL":"https://dx.plos.org/10.1371/journal.pone.0022985","volume":"6","author":[{"family":"Airoldi","given":"Laura"},{"family":"Bulleri","given":"Fabio"}],"editor":[{"family":"Romanuk","given":"Tamara Natasha"}],"accessed":{"date-parts":[["2021",8,2]]},"issued":{"date-parts":[["2011",8,3]]}},"label":"page"},{"id":30200,"uris":["http://zotero.org/groups/2352922/items/CKER6FG9"],"itemData":{"id":30200,"type":"article-journal","container-title":"Journal of Applied Ecology","DOI":"10.1111/j.1365-2664.2005.01096.x","ISSN":"00218901","issue":"6","language":"en","page":"1063-1072","source":"DOI.org (Crossref)","title":"Artificial marine structures facilitate the spread of a non-indigenous green alga, &lt;i&gt;Codium fragile&lt;/i&gt; ssp. &lt;i&gt;tomentosoides&lt;/i&gt;, in the north Adriatic Sea","title-short":"Artificial marine structures facilitate the spread of a non-indigenous green alga, &lt;i&gt;Codium fragile&lt;/i&gt; ssp. &lt;i&gt;tomentosoides&lt;/i&gt; , in the north Adriatic Sea","URL":"https://onlinelibrary.wiley.com/doi/10.1111/j.1365-2664.2005.01096.x","volume":"42","author":[{"family":"Bulleri","given":"Fabio"},{"family":"Airoldi","given":"Laura"}],"accessed":{"date-parts":[["2021",8,2]]},"issued":{"date-parts":[["2005",12]]}},"label":"page"},{"id":29551,"uris":["http://zotero.org/groups/2352922/items/M84GCWAS"],"itemData":{"id":29551,"type":"article-journal","abstract":"Artificial structures can provide suitable space for invasive species through a colonisable surface and refuge against predators. Besides several physical factors, invasive species can present different colonization success and dominance on structures that are connected to the sea floor (i.e. fixed) compared to structures that are suspended, depending on the differential predation pressure that affect both structures. Benthic and nektonic predators can reach fouling communities on fixed structures, while only nektonic predators can affect com­ munities growing on suspended structures, depending on the distance to the sea floor. Only few studies tested both communities of predators at the same time in different artificial structures. In this study, we evaluated the effect of benthic and nektonic predators on the cover, composition and diversity on fouling communities and on the dominance of invasive ascidians on these communities, in two different types of artificial structures. We performed an experiment in the port area of Puerto Madryn (Southwestern Atlantic, Argentina) to compare the fouling community development between fixed and suspended structures and among different predator exclu­ sion treatments. Results showed that benthic predators exerted a higher predation pressure than nektonic pre­ dators on the cover, composition and diversity of the fouling communities. In the absence of benthic predators, and even where nektonic predators were not excluded, communities were greatly dominated by two invasive ascidians, Ascidiella aspersa (Müller, 1776) and Ciona robusta Hoshino and Tokioka, 1967. Our results suggest that in this type of cold temperate ports, fouling organisms find refuge from benthic predators growing on suspended structures, where nektonic predators exert low predation pressure. We propose that, since benthic predators in temperate latitudes have an essential role decreasing invasive ascidians dominance and the cover of fouling communities, future studies should consider both predator communities, i.e. nektonic and benthic, in experimental designs performed to test biotic resistance and predation pressure.","container-title":"Journal of Experimental Marine Biology and Ecology","DOI":"10.1016/j.jembe.2020.151459","ISSN":"00220981","journalAbbreviation":"Journal of Experimental Marine Biology and Ecology","language":"en","page":"151459","source":"DOI.org (Crossref)","title":"Invasive ascidians: How predators reduce their dominance in artificial structures in cold temperate areas","title-short":"Invasive ascidians","URL":"https://linkinghub.elsevier.com/retrieve/pii/S0022098120301337","volume":"533","author":[{"family":"Giachetti","given":"Clara B."},{"family":"Battini","given":"Nicolás"},{"family":"Castro","given":"Karen L."},{"family":"Schwindt","given":"Evangelina"}],"accessed":{"date-parts":[["2021",8,2]]},"issued":{"date-parts":[["2020",12]]}},"label":"page"}],"schema":"https://github.com/citation-style-language/schema/raw/master/csl-citation.json"} </w:instrText>
      </w:r>
      <w:r w:rsidRPr="00837161">
        <w:fldChar w:fldCharType="separate"/>
      </w:r>
      <w:r w:rsidR="00392192" w:rsidRPr="00392192">
        <w:t>Airoldi &amp; Bulleri, 2011; Bulleri &amp; Airoldi, 2005; Giachetti et al., 2020)</w:t>
      </w:r>
      <w:r w:rsidRPr="00837161">
        <w:fldChar w:fldCharType="end"/>
      </w:r>
      <w:r w:rsidRPr="00837161">
        <w:t xml:space="preserve">. The total marine surface created by </w:t>
      </w:r>
      <w:r w:rsidRPr="00837161">
        <w:lastRenderedPageBreak/>
        <w:t>marine construction (as gas and oil platforms, aquaculture and wind farms, recreational and commercial ports, wave and tidal farms, breakwaters, shipwrecks, artificial reefs) was 32,000 km</w:t>
      </w:r>
      <w:r w:rsidRPr="00837161">
        <w:rPr>
          <w:vertAlign w:val="superscript"/>
        </w:rPr>
        <w:t>2</w:t>
      </w:r>
      <w:r w:rsidRPr="00837161">
        <w:t xml:space="preserve"> in 2018 and projected to increase 23</w:t>
      </w:r>
      <w:r w:rsidR="006215F0" w:rsidRPr="00837161">
        <w:t xml:space="preserve"> per cent</w:t>
      </w:r>
      <w:r w:rsidRPr="00837161">
        <w:t xml:space="preserve"> by 2028, which is probably an underestimation </w:t>
      </w:r>
      <w:r w:rsidRPr="00837161">
        <w:fldChar w:fldCharType="begin"/>
      </w:r>
      <w:r w:rsidR="000F35EB">
        <w:instrText xml:space="preserve"> ADDIN ZOTERO_ITEM CSL_CITATION {"citationID":"Tw9KA2kl","properties":{"formattedCitation":"(Bugnot et al., 2021)","plainCitation":"(Bugnot et al., 2021)","noteIndex":0},"citationItems":[{"id":30475,"uris":["http://zotero.org/groups/2352922/items/DD6SH3YJ"],"itemData":{"id":30475,"type":"article-journal","container-title":"Nature Sustainability","DOI":"10.1038/s41893-020-00595-1","ISSN":"2398-9629","issue":"1","journalAbbreviation":"Nat Sustain","language":"en","page":"33-41","source":"DOI.org (Crossref)","title":"Current and projected global extent of marine built structures","URL":"http://www.nature.com/articles/s41893-020-00595-1","volume":"4","author":[{"family":"Bugnot","given":"A. B."},{"family":"Mayer-Pinto","given":"M."},{"family":"Airoldi","given":"L."},{"family":"Heery","given":"E. C."},{"family":"Johnston","given":"E. L."},{"family":"Critchley","given":"L. P."},{"family":"Strain","given":"E. M. A."},{"family":"Morris","given":"R. L."},{"family":"Loke","given":"L. H. L."},{"family":"Bishop","given":"M. J."},{"family":"Sheehan","given":"E. V."},{"family":"Coleman","given":"R. A."},{"family":"Dafforn","given":"K. A."}],"accessed":{"date-parts":[["2021",8,2]]},"issued":{"date-parts":[["2021",1]]}},"label":"page"}],"schema":"https://github.com/citation-style-language/schema/raw/master/csl-citation.json"} </w:instrText>
      </w:r>
      <w:r w:rsidRPr="00837161">
        <w:fldChar w:fldCharType="separate"/>
      </w:r>
      <w:r w:rsidR="00271B78" w:rsidRPr="00271B78">
        <w:t>(Bugnot et al., 2021)</w:t>
      </w:r>
      <w:r w:rsidRPr="00837161">
        <w:fldChar w:fldCharType="end"/>
      </w:r>
      <w:r w:rsidRPr="00837161">
        <w:t xml:space="preserve">. Ocean infrastructure is developing faster than marine spatial management and planning, which is struggling to include </w:t>
      </w:r>
      <w:r w:rsidR="002F2F42">
        <w:t>management of biological invasions</w:t>
      </w:r>
      <w:r w:rsidRPr="00837161">
        <w:t xml:space="preserve">, even though eco-engineering may provide solutions </w:t>
      </w:r>
      <w:r w:rsidRPr="00837161">
        <w:fldChar w:fldCharType="begin"/>
      </w:r>
      <w:r w:rsidR="000F35EB">
        <w:instrText xml:space="preserve"> ADDIN ZOTERO_ITEM CSL_CITATION {"citationID":"PaLklJwn","properties":{"formattedCitation":"(Dafforn, 2017)","plainCitation":"(Dafforn, 2017)","noteIndex":0},"citationItems":[{"id":30468,"uris":["http://zotero.org/groups/2352922/items/6F9KHG3F"],"itemData":{"id":30468,"type":"article-journal","abstract":"Habitat modification and the introduction and establishment of non-indigenous species (NIS) are two of the greatest threats to global biodiversity. Human modifications of marine habitats include the introduction of boating infrastructure, coastal defences and offshore energy installations that are occurring at an increasing rate. These artificial structures are now widely recognised as providing opportunities for the establishment and dispersal of non-indigenous fouling species in new regions. This is driving increased interest into how structures might be designed and built to limit their suitability for invasive species. At the same time the potential for artificial habitats to provide habitat to native and threatened species means that the control of NIS on these structures should not just rely on antifouling. Green or eco-engineering aims to incorporate ecological theory and principles into the design of engineered structures. When combined with other management strategies that aim to increase the resistance of recipient environments there is the potential to enhance practical barriers against invaders in an increasingly developed ocean. Here I explore examples of NIS facilitation by artificial structures and the ecological theories that could be used to reduce opportunities for NIS establishment and spread. Examples include (1) manipulating the physical and chemical properties of structures to enhance native recruitment over NIS, (2) enhancing resource use of structures by native species through “pre-seeding”, (3) providing opportunities for native grazers and predators to easily access structures, and (4) considering the timing of construction/maintenance/decommissioning for artificial structures such that resources are not made available when propagule pressure is also high. These examples are not exhaustive, but rather provide a discussion point for managers of biological invasions to generate further research and application over larger spatial scales.","container-title":"Management of Biological Invasions","DOI":"10.3391/mbi.2017.8.2.03","ISSN":"19898649","issue":"2","journalAbbreviation":"MBI","language":"en","page":"153-161","source":"DOI.org (Crossref)","title":"Eco-engineering and management strategies for marine infrastructure to reduce establishment and dispersal of non-indigenous species","URL":"http://www.reabic.net/journals/mbi/2017/Issue2.aspx","volume":"8","author":[{"family":"Dafforn","given":"Katherine"}],"accessed":{"date-parts":[["2021",8,2]]},"issued":{"date-parts":[["2017"]]}},"label":"page"}],"schema":"https://github.com/citation-style-language/schema/raw/master/csl-citation.json"} </w:instrText>
      </w:r>
      <w:r w:rsidRPr="00837161">
        <w:fldChar w:fldCharType="separate"/>
      </w:r>
      <w:r w:rsidR="00271B78" w:rsidRPr="00271B78">
        <w:t>(Dafforn, 2017)</w:t>
      </w:r>
      <w:r w:rsidRPr="00837161">
        <w:fldChar w:fldCharType="end"/>
      </w:r>
      <w:r w:rsidRPr="00837161">
        <w:t>.</w:t>
      </w:r>
    </w:p>
    <w:p w14:paraId="00000721" w14:textId="77777777" w:rsidR="00A758FD" w:rsidRPr="00C0338D" w:rsidRDefault="00C81287" w:rsidP="002F2F42">
      <w:pPr>
        <w:pStyle w:val="Heading2"/>
      </w:pPr>
      <w:r w:rsidRPr="00C0338D">
        <w:t xml:space="preserve"> </w:t>
      </w:r>
      <w:bookmarkStart w:id="645" w:name="_Toc146810125"/>
      <w:bookmarkStart w:id="646" w:name="_Toc69314036"/>
      <w:bookmarkStart w:id="647" w:name="_Toc87623177"/>
      <w:bookmarkStart w:id="648" w:name="_Toc131681671"/>
      <w:bookmarkStart w:id="649" w:name="_Toc149555490"/>
      <w:r w:rsidRPr="002F2F42">
        <w:t>Gaps and impediments to implementing management</w:t>
      </w:r>
      <w:bookmarkEnd w:id="645"/>
      <w:bookmarkEnd w:id="646"/>
      <w:bookmarkEnd w:id="647"/>
      <w:bookmarkEnd w:id="648"/>
      <w:bookmarkEnd w:id="649"/>
    </w:p>
    <w:p w14:paraId="00000722" w14:textId="77777777" w:rsidR="00A758FD" w:rsidRPr="002F2F42" w:rsidRDefault="00C81287" w:rsidP="002F2F42">
      <w:pPr>
        <w:pStyle w:val="Heading3"/>
      </w:pPr>
      <w:bookmarkStart w:id="650" w:name="_heading=h.280hiku" w:colFirst="0" w:colLast="0"/>
      <w:bookmarkEnd w:id="650"/>
      <w:r w:rsidRPr="002F2F42">
        <w:t xml:space="preserve"> </w:t>
      </w:r>
      <w:bookmarkStart w:id="651" w:name="_Toc131681672"/>
      <w:r w:rsidRPr="002F2F42">
        <w:t>Societal and social impediments to effective management</w:t>
      </w:r>
      <w:bookmarkStart w:id="652" w:name="_Toc69314029"/>
      <w:bookmarkStart w:id="653" w:name="_Toc87623171"/>
      <w:r w:rsidRPr="002F2F42">
        <w:t xml:space="preserve"> </w:t>
      </w:r>
      <w:bookmarkEnd w:id="651"/>
      <w:bookmarkEnd w:id="652"/>
      <w:bookmarkEnd w:id="653"/>
    </w:p>
    <w:p w14:paraId="00000723" w14:textId="44DBAAA6" w:rsidR="00A758FD" w:rsidRPr="00C0338D" w:rsidRDefault="00393E5D">
      <w:pPr>
        <w:spacing w:before="240" w:after="120" w:line="240" w:lineRule="auto"/>
      </w:pPr>
      <w:bookmarkStart w:id="654" w:name="_heading=h.n5rssn" w:colFirst="0" w:colLast="0"/>
      <w:bookmarkEnd w:id="654"/>
      <w:r>
        <w:t>T</w:t>
      </w:r>
      <w:r w:rsidR="00C81287" w:rsidRPr="00C0338D">
        <w:t>he likely number of attempts to manage invasive alien species compared to the relatively few that are reported as successful could imply that most attempts did not provide long-term success with objectives achieved. But this need not always be true and invasive alien species management success rates generally increase as decision-making and stakeholder engagement improves and best practice is understood and adopted (</w:t>
      </w:r>
      <w:r w:rsidR="00C81287" w:rsidRPr="00C0338D">
        <w:rPr>
          <w:b/>
        </w:rPr>
        <w:t>sections 5.2.1</w:t>
      </w:r>
      <w:r w:rsidR="00C81287" w:rsidRPr="00C0338D">
        <w:t xml:space="preserve">, </w:t>
      </w:r>
      <w:r w:rsidR="00C81287" w:rsidRPr="00C0338D">
        <w:rPr>
          <w:b/>
        </w:rPr>
        <w:t>5.2.2.1</w:t>
      </w:r>
      <w:r w:rsidR="00C81287" w:rsidRPr="00C0338D">
        <w:t>). For example, there have been high rates of success in invasive alien species eradication on islands (</w:t>
      </w:r>
      <w:r w:rsidR="00C81287" w:rsidRPr="00C0338D">
        <w:rPr>
          <w:b/>
        </w:rPr>
        <w:t>section 5.5.3</w:t>
      </w:r>
      <w:r w:rsidR="00C81287" w:rsidRPr="00C0338D">
        <w:t>) and in classical insect and weed biological control programmes (</w:t>
      </w:r>
      <w:r w:rsidR="00C81287" w:rsidRPr="00C0338D">
        <w:rPr>
          <w:b/>
        </w:rPr>
        <w:t>section 5.5.5</w:t>
      </w:r>
      <w:r w:rsidR="00C81287" w:rsidRPr="00C0338D">
        <w:t xml:space="preserve">). </w:t>
      </w:r>
      <w:r w:rsidR="00383764" w:rsidRPr="00837161">
        <w:t>Failure</w:t>
      </w:r>
      <w:r>
        <w:t>s</w:t>
      </w:r>
      <w:r w:rsidR="00383764" w:rsidRPr="00837161">
        <w:t xml:space="preserve"> of management can result from numerous procedural, societal</w:t>
      </w:r>
      <w:r w:rsidR="00C16EEB">
        <w:t xml:space="preserve"> and</w:t>
      </w:r>
      <w:r w:rsidR="00383764" w:rsidRPr="00837161">
        <w:t xml:space="preserve"> capacity-related constraints (</w:t>
      </w:r>
      <w:r w:rsidR="00191A6E">
        <w:rPr>
          <w:b/>
          <w:iCs/>
        </w:rPr>
        <w:t>Table 5.10</w:t>
      </w:r>
      <w:r w:rsidR="00197924" w:rsidRPr="00837161">
        <w:t>;</w:t>
      </w:r>
      <w:r w:rsidR="00383764" w:rsidRPr="00837161">
        <w:t xml:space="preserve"> </w:t>
      </w:r>
      <w:r w:rsidR="00383764" w:rsidRPr="00837161">
        <w:fldChar w:fldCharType="begin"/>
      </w:r>
      <w:r w:rsidR="000F35EB">
        <w:rPr>
          <w:highlight w:val="yellow"/>
        </w:rPr>
        <w:instrText xml:space="preserve"> ADDIN ZOTERO_ITEM CSL_CITATION {"citationID":"4gGBMwgN","properties":{"formattedCitation":"(M. Day &amp; Witt, 2019)","plainCitation":"(M. Day &amp; Witt, 2019)","dontUpdate":true,"noteIndex":0},"citationItems":[{"id":11154,"uris":["http://zotero.org/groups/2352922/items/HD99ZY72"],"itemData":{"id":11154,"type":"article-journal","abstract":"Biological control of weeds has been conducted since 1902, resulting in over 500 biological control agents being intentionally released against nearly 200 weed species in over 90 countries. Collectively, 15 countries in Asia and 17 of the 22 countries and territories in the Pacific region have intentionally released over 80 biological control agents to help manage over 30 of their most invasive weeds. Many of these programmes, have been highly successful. In fact, globally, over a third of all weed biological control programmes have resulted in some form of control of the target weed, resulting in huge benefit: cost ratios of up to 4,000:1. In addition, there have been very few (&lt;1%) unpredicted, sustained non-target impacts on native or economic plants by weed biological control agents. This is because biological control agents have co-evolved with their host plants and are thoroughly tested, sometimes collectively across numerous countries, against up to 280 plant species, before being released. Moreover, many biological control agents that have proved to be successful in one country have now been released in over 30 countries, with no recorded non-target impacts.","container-title":"Weeds-Journal of the Asian-Pacific Weed Science Society","issue":"2","note":"publisher: Asian-Pacific Weed Science Society","page":"34–44","source":"Google Scholar","title":"Weed biological control: Challenges and opportunities","title-short":"Weed biological control","URL":"https://library.sprep.org/sites/default/files/2021-05/weed-biological-challenges-opportunities.pdf","volume":"1","author":[{"family":"Day","given":"Michael D."},{"family":"Witt","given":"Arne BR"}],"issued":{"date-parts":[["2019"]]}}}],"schema":"https://github.com/citation-style-language/schema/raw/master/csl-citation.json"} </w:instrText>
      </w:r>
      <w:r w:rsidR="00383764" w:rsidRPr="00837161">
        <w:fldChar w:fldCharType="separate"/>
      </w:r>
      <w:r w:rsidR="00383764" w:rsidRPr="00837161">
        <w:t>Day &amp; Witt, 2019)</w:t>
      </w:r>
      <w:r w:rsidR="00383764" w:rsidRPr="00837161">
        <w:fldChar w:fldCharType="end"/>
      </w:r>
      <w:r w:rsidR="00383764" w:rsidRPr="00837161">
        <w:t>,</w:t>
      </w:r>
      <w:r w:rsidR="00C81287" w:rsidRPr="00C0338D">
        <w:t xml:space="preserve"> as for example the absence of long-term funding necessary to achieve the goals and avoid reinvasions </w:t>
      </w:r>
      <w:r w:rsidR="00621E1F" w:rsidRPr="00837161">
        <w:fldChar w:fldCharType="begin"/>
      </w:r>
      <w:r w:rsidR="00E25D54">
        <w:instrText xml:space="preserve"> ADDIN ZOTERO_ITEM CSL_CITATION {"citationID":"lu35MkV7","properties":{"formattedCitation":"(Dana et al., 2019)","plainCitation":"(Dana et al., 2019)","noteIndex":0},"citationItems":[{"id":16497,"uris":["http://zotero.org/groups/2352922/items/ZAMHNN6Z"],"itemData":{"id":16497,"type":"article-journal","abstract":"Despite the increasing number of invasive species, protocols devoted to assess the feasibility (i.e., probability of success or failure) of management actions in the field are scarce, yet success depends on a broad scope of issues beyond the biology of species and the ecosystem to be managed. In this paper we make a retrospective analysis of 90 actions and management proposals developed in Andalusia (southern Spain) in 2004 to 2018. Actions included 59 terrestrial and aquatic taxa. We identified items that in case of deficiency were responsible for either the rejection of action proposals (n = 44) or failure of implemented actions for which the goal was not achieved (n = 22). The most frequent deficiencies included the absence of funding during the necessary time to achieve the goals, the risk of reinvasion and an insufficient removal rate to achieve the specific objective. Based on the deficiencies found, we built a comprehensive, broadscope compliance checklist to assist decision-makers to identify deficiencies before action. In addition, implemented actions for which the goal was achieved (n = 24) were used for validating the checklist. The checklist contains 40 items related to IAS features, administrative features, methodology effectiveness, efficiency and impacts of the action, and invaded ecosystem features. The checklist is valid across all taxa and habitats. The use of this checklist will help reduce the degree of arbitrariness and subjectivity of actions aimed at managing IAS, and a more efficient use of resources. © Elías D. Dana et al.","container-title":"NeoBiota","DOI":"10.3897/neobiota.48.35118","issue":"48","page":"97-112","title":"Common deficiencies of actions for managing invasive alien species: A decision-support checklist","URL":"https://www.scopus.com/inward/record.uri?eid=2-s2.0-85069458403&amp;doi=10.3897%2fneobiota.48.35118&amp;partnerID=40&amp;md5=9ac36c5a11c13a950880c6afa2ced08a","author":[{"family":"Dana","given":"E.D."},{"family":"García-de-Lomas","given":"J."},{"family":"Verloove","given":"F."},{"family":"Vilà","given":"M."}],"issued":{"date-parts":[["2019"]]}},"label":"page"}],"schema":"https://github.com/citation-style-language/schema/raw/master/csl-citation.json"} </w:instrText>
      </w:r>
      <w:r w:rsidR="00621E1F" w:rsidRPr="00837161">
        <w:fldChar w:fldCharType="separate"/>
      </w:r>
      <w:r w:rsidR="00271B78" w:rsidRPr="00271B78">
        <w:t>(Dana et al., 2019)</w:t>
      </w:r>
      <w:r w:rsidR="00621E1F" w:rsidRPr="00837161">
        <w:fldChar w:fldCharType="end"/>
      </w:r>
      <w:r w:rsidR="00383764" w:rsidRPr="00837161">
        <w:t xml:space="preserve">. These constraints, and the fact that in many cases there is a lack of understanding or the drivers of change that favour the introduction of invasive alien species </w:t>
      </w:r>
      <w:r w:rsidR="00133A21">
        <w:t xml:space="preserve">are not </w:t>
      </w:r>
      <w:r w:rsidR="00133A21" w:rsidRPr="00837161">
        <w:t>identif</w:t>
      </w:r>
      <w:r w:rsidR="00133A21">
        <w:t xml:space="preserve">ied </w:t>
      </w:r>
      <w:r w:rsidR="00197924" w:rsidRPr="00837161">
        <w:t>(</w:t>
      </w:r>
      <w:r w:rsidR="00012C85">
        <w:rPr>
          <w:b/>
          <w:iCs/>
        </w:rPr>
        <w:t>C</w:t>
      </w:r>
      <w:r w:rsidR="00383764" w:rsidRPr="00012C85">
        <w:rPr>
          <w:b/>
          <w:iCs/>
        </w:rPr>
        <w:t>hapter 3</w:t>
      </w:r>
      <w:r w:rsidR="00383764" w:rsidRPr="00837161">
        <w:t>), make it difficult to implement pathway, species-</w:t>
      </w:r>
      <w:r w:rsidR="002F2F42">
        <w:t>based</w:t>
      </w:r>
      <w:r w:rsidR="00C16EEB">
        <w:t xml:space="preserve"> and</w:t>
      </w:r>
      <w:r w:rsidR="00C81287" w:rsidRPr="00C0338D">
        <w:t xml:space="preserve"> site- or ecosystem- based management (</w:t>
      </w:r>
      <w:r w:rsidR="00C81287" w:rsidRPr="00C0338D">
        <w:rPr>
          <w:b/>
        </w:rPr>
        <w:t>section 5.3</w:t>
      </w:r>
      <w:r w:rsidR="00C81287" w:rsidRPr="00C0338D">
        <w:t>), thereby obstructing effective prevention, eradication, containment</w:t>
      </w:r>
      <w:r w:rsidR="00C16EEB">
        <w:t xml:space="preserve"> and</w:t>
      </w:r>
      <w:r w:rsidR="00C81287" w:rsidRPr="00C0338D">
        <w:t xml:space="preserve"> control of invasive alien species. Since invasive alien species are a human</w:t>
      </w:r>
      <w:r>
        <w:t>-</w:t>
      </w:r>
      <w:r w:rsidR="00C81287" w:rsidRPr="00C0338D">
        <w:t xml:space="preserve">caused issue, the constraints described </w:t>
      </w:r>
      <w:r>
        <w:t>in this section</w:t>
      </w:r>
      <w:r w:rsidRPr="00C0338D">
        <w:t xml:space="preserve"> </w:t>
      </w:r>
      <w:r w:rsidR="00C81287" w:rsidRPr="00C0338D">
        <w:t xml:space="preserve">are generally related to the context of the values and perceptions on </w:t>
      </w:r>
      <w:r w:rsidR="71AE1CAC">
        <w:t>invasive alien species</w:t>
      </w:r>
      <w:r w:rsidR="00C81287" w:rsidRPr="00C0338D">
        <w:t xml:space="preserve">. </w:t>
      </w:r>
      <w:bookmarkStart w:id="655" w:name="_Ref104971728"/>
      <w:bookmarkStart w:id="656" w:name="_Toc87553792"/>
      <w:bookmarkStart w:id="657" w:name="_Toc87623091"/>
      <w:r w:rsidR="00C81287" w:rsidRPr="00C0338D">
        <w:br w:type="page"/>
      </w:r>
    </w:p>
    <w:p w14:paraId="00000724" w14:textId="20B8560E" w:rsidR="00A758FD" w:rsidRPr="00AC1F76" w:rsidRDefault="00C81287" w:rsidP="002F2F42">
      <w:pPr>
        <w:pStyle w:val="Caption"/>
        <w:rPr>
          <w:color w:val="000000"/>
        </w:rPr>
      </w:pPr>
      <w:bookmarkStart w:id="658" w:name="_heading=h.375fbgg" w:colFirst="0" w:colLast="0"/>
      <w:bookmarkStart w:id="659" w:name="_Ref131673917"/>
      <w:bookmarkStart w:id="660" w:name="_Toc147489087"/>
      <w:bookmarkEnd w:id="658"/>
      <w:r w:rsidRPr="002F2F42">
        <w:rPr>
          <w:lang w:val="en-GB"/>
        </w:rPr>
        <w:lastRenderedPageBreak/>
        <w:t>Table 5</w:t>
      </w:r>
      <w:r w:rsidR="00383764" w:rsidRPr="00837161">
        <w:rPr>
          <w:lang w:val="en-GB"/>
        </w:rPr>
        <w:t>.</w:t>
      </w:r>
      <w:r w:rsidR="00383764" w:rsidRPr="00837161">
        <w:rPr>
          <w:lang w:val="en-GB"/>
        </w:rPr>
        <w:fldChar w:fldCharType="begin"/>
      </w:r>
      <w:r w:rsidR="00383764" w:rsidRPr="00837161">
        <w:rPr>
          <w:lang w:val="en-GB"/>
        </w:rPr>
        <w:instrText>SEQ Table_5. \* ARABIC</w:instrText>
      </w:r>
      <w:r w:rsidR="00383764" w:rsidRPr="00837161">
        <w:rPr>
          <w:lang w:val="en-GB"/>
        </w:rPr>
        <w:fldChar w:fldCharType="separate"/>
      </w:r>
      <w:r w:rsidR="00DC77F8">
        <w:rPr>
          <w:noProof/>
          <w:lang w:val="en-GB"/>
        </w:rPr>
        <w:t>10</w:t>
      </w:r>
      <w:r w:rsidR="00383764" w:rsidRPr="00837161">
        <w:rPr>
          <w:lang w:val="en-GB"/>
        </w:rPr>
        <w:fldChar w:fldCharType="end"/>
      </w:r>
      <w:bookmarkEnd w:id="655"/>
      <w:bookmarkEnd w:id="659"/>
      <w:r w:rsidR="00341D92" w:rsidRPr="00837161">
        <w:rPr>
          <w:lang w:val="en-GB"/>
        </w:rPr>
        <w:t>.</w:t>
      </w:r>
      <w:r w:rsidRPr="002F2F42">
        <w:rPr>
          <w:lang w:val="en-GB"/>
        </w:rPr>
        <w:t xml:space="preserve"> </w:t>
      </w:r>
      <w:r w:rsidRPr="002F2F42">
        <w:rPr>
          <w:b w:val="0"/>
          <w:lang w:val="en-GB"/>
        </w:rPr>
        <w:t xml:space="preserve">Identified </w:t>
      </w:r>
      <w:r w:rsidRPr="00AC1F76">
        <w:rPr>
          <w:b w:val="0"/>
          <w:color w:val="000000" w:themeColor="text1"/>
        </w:rPr>
        <w:t>constraints of effective management</w:t>
      </w:r>
      <w:bookmarkEnd w:id="656"/>
      <w:r w:rsidRPr="00AC1F76">
        <w:rPr>
          <w:b w:val="0"/>
          <w:color w:val="000000" w:themeColor="text1"/>
        </w:rPr>
        <w:t xml:space="preserve"> </w:t>
      </w:r>
      <w:bookmarkEnd w:id="657"/>
      <w:r w:rsidRPr="00AC1F76">
        <w:rPr>
          <w:b w:val="0"/>
          <w:color w:val="000000" w:themeColor="text1"/>
        </w:rPr>
        <w:t>that impede successful management at each management approach (pathway, species-</w:t>
      </w:r>
      <w:r w:rsidR="22D4A59E" w:rsidRPr="002F2F42">
        <w:rPr>
          <w:b w:val="0"/>
          <w:color w:val="000000" w:themeColor="text1"/>
        </w:rPr>
        <w:t>based</w:t>
      </w:r>
      <w:r w:rsidRPr="00AC1F76">
        <w:rPr>
          <w:b w:val="0"/>
          <w:color w:val="000000" w:themeColor="text1"/>
        </w:rPr>
        <w:t xml:space="preserve"> and site/ecosystem based) explained in this section</w:t>
      </w:r>
      <w:bookmarkEnd w:id="660"/>
    </w:p>
    <w:p w14:paraId="00000725" w14:textId="40DFD7BA" w:rsidR="00A758FD" w:rsidRPr="00E87F41" w:rsidRDefault="00700989" w:rsidP="00AC1F76">
      <w:pPr>
        <w:pBdr>
          <w:top w:val="nil"/>
          <w:left w:val="nil"/>
          <w:bottom w:val="nil"/>
          <w:right w:val="nil"/>
          <w:between w:val="nil"/>
        </w:pBdr>
        <w:spacing w:after="120" w:line="240" w:lineRule="auto"/>
      </w:pPr>
      <w:r>
        <w:rPr>
          <w:color w:val="000000"/>
        </w:rPr>
        <w:t>Dark g</w:t>
      </w:r>
      <w:r w:rsidR="00C81287" w:rsidRPr="00AC1F76">
        <w:rPr>
          <w:color w:val="000000"/>
        </w:rPr>
        <w:t>rey cells indicate when there are constraints to effective management approaches.</w:t>
      </w:r>
    </w:p>
    <w:tbl>
      <w:tblPr>
        <w:tblW w:w="9213" w:type="dxa"/>
        <w:tblInd w:w="-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00" w:firstRow="0" w:lastRow="0" w:firstColumn="0" w:lastColumn="0" w:noHBand="0" w:noVBand="1"/>
      </w:tblPr>
      <w:tblGrid>
        <w:gridCol w:w="1559"/>
        <w:gridCol w:w="2835"/>
        <w:gridCol w:w="1134"/>
        <w:gridCol w:w="1417"/>
        <w:gridCol w:w="2268"/>
      </w:tblGrid>
      <w:tr w:rsidR="00A758FD" w14:paraId="192C9132" w14:textId="77777777" w:rsidTr="00AC1F76">
        <w:trPr>
          <w:trHeight w:val="181"/>
        </w:trPr>
        <w:tc>
          <w:tcPr>
            <w:tcW w:w="4395" w:type="dxa"/>
            <w:gridSpan w:val="2"/>
            <w:vMerge w:val="restart"/>
            <w:vAlign w:val="center"/>
          </w:tcPr>
          <w:p w14:paraId="00000726" w14:textId="77777777" w:rsidR="00A758FD" w:rsidRPr="00C0338D" w:rsidRDefault="00C81287">
            <w:r w:rsidRPr="00C0338D">
              <w:t>Constraints</w:t>
            </w:r>
          </w:p>
        </w:tc>
        <w:tc>
          <w:tcPr>
            <w:tcW w:w="4819" w:type="dxa"/>
            <w:gridSpan w:val="3"/>
            <w:vAlign w:val="center"/>
          </w:tcPr>
          <w:p w14:paraId="00000728" w14:textId="77777777" w:rsidR="00A758FD" w:rsidRPr="00C0338D" w:rsidRDefault="00C81287">
            <w:r w:rsidRPr="00C0338D">
              <w:t xml:space="preserve"> Most affected management approaches</w:t>
            </w:r>
          </w:p>
        </w:tc>
      </w:tr>
      <w:tr w:rsidR="00A758FD" w14:paraId="5DCAE36F" w14:textId="77777777" w:rsidTr="00AC1F76">
        <w:trPr>
          <w:trHeight w:val="181"/>
        </w:trPr>
        <w:tc>
          <w:tcPr>
            <w:tcW w:w="4395" w:type="dxa"/>
            <w:gridSpan w:val="2"/>
            <w:vMerge/>
            <w:vAlign w:val="center"/>
          </w:tcPr>
          <w:p w14:paraId="0000072B" w14:textId="77777777" w:rsidR="00A758FD" w:rsidRPr="00C0338D" w:rsidRDefault="00A758FD" w:rsidP="00AC1F76">
            <w:pPr>
              <w:widowControl w:val="0"/>
              <w:pBdr>
                <w:top w:val="nil"/>
                <w:left w:val="nil"/>
                <w:bottom w:val="nil"/>
                <w:right w:val="nil"/>
                <w:between w:val="nil"/>
              </w:pBdr>
              <w:spacing w:line="276" w:lineRule="auto"/>
            </w:pPr>
          </w:p>
        </w:tc>
        <w:tc>
          <w:tcPr>
            <w:tcW w:w="1134" w:type="dxa"/>
            <w:vAlign w:val="center"/>
          </w:tcPr>
          <w:p w14:paraId="0000072D" w14:textId="77777777" w:rsidR="00A758FD" w:rsidRPr="00C0338D" w:rsidRDefault="00C81287">
            <w:r w:rsidRPr="00C0338D">
              <w:t>Pathway</w:t>
            </w:r>
          </w:p>
        </w:tc>
        <w:tc>
          <w:tcPr>
            <w:tcW w:w="1417" w:type="dxa"/>
            <w:vAlign w:val="center"/>
          </w:tcPr>
          <w:p w14:paraId="0000072E" w14:textId="5CA08AAD" w:rsidR="00A758FD" w:rsidRPr="00C0338D" w:rsidRDefault="00C81287">
            <w:r w:rsidRPr="00C0338D">
              <w:t>Species-</w:t>
            </w:r>
            <w:r w:rsidR="6524656A">
              <w:t>based</w:t>
            </w:r>
          </w:p>
        </w:tc>
        <w:tc>
          <w:tcPr>
            <w:tcW w:w="2268" w:type="dxa"/>
            <w:vAlign w:val="center"/>
          </w:tcPr>
          <w:p w14:paraId="0000072F" w14:textId="77777777" w:rsidR="00A758FD" w:rsidRPr="00C0338D" w:rsidRDefault="00C81287">
            <w:r w:rsidRPr="00C0338D">
              <w:t>Site/ecosystem based</w:t>
            </w:r>
          </w:p>
        </w:tc>
      </w:tr>
      <w:tr w:rsidR="003666A4" w14:paraId="4B8402F9" w14:textId="77777777" w:rsidTr="776B8B26">
        <w:trPr>
          <w:trHeight w:val="181"/>
        </w:trPr>
        <w:tc>
          <w:tcPr>
            <w:tcW w:w="1560" w:type="dxa"/>
            <w:vMerge w:val="restart"/>
            <w:vAlign w:val="center"/>
          </w:tcPr>
          <w:p w14:paraId="00000730" w14:textId="77777777" w:rsidR="00A758FD" w:rsidRPr="00C0338D" w:rsidRDefault="00C81287">
            <w:r w:rsidRPr="00C0338D">
              <w:t>Procedural</w:t>
            </w:r>
          </w:p>
        </w:tc>
        <w:tc>
          <w:tcPr>
            <w:tcW w:w="2835" w:type="dxa"/>
            <w:vAlign w:val="center"/>
          </w:tcPr>
          <w:p w14:paraId="00000731" w14:textId="77777777" w:rsidR="00A758FD" w:rsidRPr="00C0338D" w:rsidRDefault="00C81287">
            <w:r w:rsidRPr="00C0338D">
              <w:t>Jurisdictional boundaries</w:t>
            </w:r>
          </w:p>
        </w:tc>
        <w:tc>
          <w:tcPr>
            <w:tcW w:w="1134" w:type="dxa"/>
            <w:shd w:val="clear" w:color="auto" w:fill="BFBFBF" w:themeFill="background1" w:themeFillShade="BF"/>
            <w:vAlign w:val="center"/>
          </w:tcPr>
          <w:p w14:paraId="00000732" w14:textId="77777777" w:rsidR="00A758FD" w:rsidRPr="00C0338D" w:rsidRDefault="00A758FD"/>
        </w:tc>
        <w:tc>
          <w:tcPr>
            <w:tcW w:w="1417" w:type="dxa"/>
            <w:vAlign w:val="center"/>
          </w:tcPr>
          <w:p w14:paraId="00000733" w14:textId="77777777" w:rsidR="00A758FD" w:rsidRPr="00C0338D" w:rsidRDefault="00A758FD"/>
        </w:tc>
        <w:tc>
          <w:tcPr>
            <w:tcW w:w="2268" w:type="dxa"/>
            <w:shd w:val="clear" w:color="auto" w:fill="BFBFBF" w:themeFill="background1" w:themeFillShade="BF"/>
            <w:vAlign w:val="center"/>
          </w:tcPr>
          <w:p w14:paraId="00000734" w14:textId="77777777" w:rsidR="00A758FD" w:rsidRPr="00C0338D" w:rsidRDefault="00A758FD"/>
        </w:tc>
      </w:tr>
      <w:tr w:rsidR="003666A4" w14:paraId="2272E8A5" w14:textId="77777777" w:rsidTr="776B8B26">
        <w:trPr>
          <w:trHeight w:val="181"/>
        </w:trPr>
        <w:tc>
          <w:tcPr>
            <w:tcW w:w="1560" w:type="dxa"/>
            <w:vMerge/>
            <w:vAlign w:val="center"/>
          </w:tcPr>
          <w:p w14:paraId="00000735" w14:textId="77777777" w:rsidR="00A758FD" w:rsidRPr="00C0338D" w:rsidRDefault="00A758FD" w:rsidP="00AC1F76">
            <w:pPr>
              <w:widowControl w:val="0"/>
              <w:pBdr>
                <w:top w:val="nil"/>
                <w:left w:val="nil"/>
                <w:bottom w:val="nil"/>
                <w:right w:val="nil"/>
                <w:between w:val="nil"/>
              </w:pBdr>
              <w:spacing w:line="276" w:lineRule="auto"/>
            </w:pPr>
          </w:p>
        </w:tc>
        <w:tc>
          <w:tcPr>
            <w:tcW w:w="2835" w:type="dxa"/>
            <w:vAlign w:val="center"/>
          </w:tcPr>
          <w:p w14:paraId="00000736" w14:textId="77777777" w:rsidR="00A758FD" w:rsidRPr="00C0338D" w:rsidRDefault="00C81287">
            <w:r w:rsidRPr="00C0338D">
              <w:t>Policy inadequacies</w:t>
            </w:r>
          </w:p>
        </w:tc>
        <w:tc>
          <w:tcPr>
            <w:tcW w:w="1134" w:type="dxa"/>
            <w:shd w:val="clear" w:color="auto" w:fill="BFBFBF" w:themeFill="background1" w:themeFillShade="BF"/>
            <w:vAlign w:val="center"/>
          </w:tcPr>
          <w:p w14:paraId="00000737" w14:textId="77777777" w:rsidR="00A758FD" w:rsidRPr="00C0338D" w:rsidRDefault="00A758FD"/>
        </w:tc>
        <w:tc>
          <w:tcPr>
            <w:tcW w:w="1417" w:type="dxa"/>
            <w:shd w:val="clear" w:color="auto" w:fill="BFBFBF" w:themeFill="background1" w:themeFillShade="BF"/>
            <w:vAlign w:val="center"/>
          </w:tcPr>
          <w:p w14:paraId="00000738" w14:textId="77777777" w:rsidR="00A758FD" w:rsidRPr="00C0338D" w:rsidRDefault="00A758FD"/>
        </w:tc>
        <w:tc>
          <w:tcPr>
            <w:tcW w:w="2268" w:type="dxa"/>
            <w:vAlign w:val="center"/>
          </w:tcPr>
          <w:p w14:paraId="00000739" w14:textId="77777777" w:rsidR="00A758FD" w:rsidRPr="00C0338D" w:rsidRDefault="00A758FD"/>
        </w:tc>
      </w:tr>
      <w:tr w:rsidR="003666A4" w14:paraId="2D53C1C8" w14:textId="77777777" w:rsidTr="776B8B26">
        <w:trPr>
          <w:trHeight w:val="181"/>
        </w:trPr>
        <w:tc>
          <w:tcPr>
            <w:tcW w:w="1560" w:type="dxa"/>
            <w:vMerge/>
            <w:vAlign w:val="center"/>
          </w:tcPr>
          <w:p w14:paraId="0000073A" w14:textId="77777777" w:rsidR="00A758FD" w:rsidRPr="00C0338D" w:rsidRDefault="00A758FD" w:rsidP="00AC1F76">
            <w:pPr>
              <w:widowControl w:val="0"/>
              <w:pBdr>
                <w:top w:val="nil"/>
                <w:left w:val="nil"/>
                <w:bottom w:val="nil"/>
                <w:right w:val="nil"/>
                <w:between w:val="nil"/>
              </w:pBdr>
              <w:spacing w:line="276" w:lineRule="auto"/>
            </w:pPr>
          </w:p>
        </w:tc>
        <w:tc>
          <w:tcPr>
            <w:tcW w:w="2835" w:type="dxa"/>
            <w:vAlign w:val="center"/>
          </w:tcPr>
          <w:p w14:paraId="0000073B" w14:textId="77777777" w:rsidR="00A758FD" w:rsidRPr="00C0338D" w:rsidRDefault="00C81287">
            <w:r w:rsidRPr="00C0338D">
              <w:t>Stakeholder engagement</w:t>
            </w:r>
          </w:p>
        </w:tc>
        <w:tc>
          <w:tcPr>
            <w:tcW w:w="1134" w:type="dxa"/>
            <w:shd w:val="clear" w:color="auto" w:fill="BFBFBF" w:themeFill="background1" w:themeFillShade="BF"/>
            <w:vAlign w:val="center"/>
          </w:tcPr>
          <w:p w14:paraId="0000073C" w14:textId="77777777" w:rsidR="00A758FD" w:rsidRPr="00C0338D" w:rsidRDefault="00A758FD"/>
        </w:tc>
        <w:tc>
          <w:tcPr>
            <w:tcW w:w="1417" w:type="dxa"/>
            <w:shd w:val="clear" w:color="auto" w:fill="BFBFBF" w:themeFill="background1" w:themeFillShade="BF"/>
            <w:vAlign w:val="center"/>
          </w:tcPr>
          <w:p w14:paraId="0000073D" w14:textId="77777777" w:rsidR="00A758FD" w:rsidRPr="00C0338D" w:rsidRDefault="00A758FD"/>
        </w:tc>
        <w:tc>
          <w:tcPr>
            <w:tcW w:w="2268" w:type="dxa"/>
            <w:shd w:val="clear" w:color="auto" w:fill="BFBFBF" w:themeFill="background1" w:themeFillShade="BF"/>
            <w:vAlign w:val="center"/>
          </w:tcPr>
          <w:p w14:paraId="0000073E" w14:textId="77777777" w:rsidR="00A758FD" w:rsidRPr="00C0338D" w:rsidRDefault="00A758FD"/>
        </w:tc>
      </w:tr>
      <w:tr w:rsidR="003666A4" w14:paraId="013DE635" w14:textId="77777777" w:rsidTr="776B8B26">
        <w:trPr>
          <w:trHeight w:val="181"/>
        </w:trPr>
        <w:tc>
          <w:tcPr>
            <w:tcW w:w="1560" w:type="dxa"/>
            <w:vMerge w:val="restart"/>
            <w:vAlign w:val="center"/>
          </w:tcPr>
          <w:p w14:paraId="0000073F" w14:textId="77777777" w:rsidR="00A758FD" w:rsidRPr="00C0338D" w:rsidRDefault="00C81287">
            <w:r w:rsidRPr="00C0338D">
              <w:t>Capacity-related</w:t>
            </w:r>
          </w:p>
        </w:tc>
        <w:tc>
          <w:tcPr>
            <w:tcW w:w="2835" w:type="dxa"/>
            <w:vAlign w:val="center"/>
          </w:tcPr>
          <w:p w14:paraId="00000740" w14:textId="77777777" w:rsidR="00A758FD" w:rsidRPr="00C0338D" w:rsidRDefault="00C81287">
            <w:r w:rsidRPr="00C0338D">
              <w:t>Lack of expertise</w:t>
            </w:r>
          </w:p>
        </w:tc>
        <w:tc>
          <w:tcPr>
            <w:tcW w:w="1134" w:type="dxa"/>
            <w:shd w:val="clear" w:color="auto" w:fill="BFBFBF" w:themeFill="background1" w:themeFillShade="BF"/>
            <w:vAlign w:val="center"/>
          </w:tcPr>
          <w:p w14:paraId="00000741" w14:textId="77777777" w:rsidR="00A758FD" w:rsidRPr="00C0338D" w:rsidRDefault="00A758FD"/>
        </w:tc>
        <w:tc>
          <w:tcPr>
            <w:tcW w:w="1417" w:type="dxa"/>
            <w:shd w:val="clear" w:color="auto" w:fill="BFBFBF" w:themeFill="background1" w:themeFillShade="BF"/>
            <w:vAlign w:val="center"/>
          </w:tcPr>
          <w:p w14:paraId="00000742" w14:textId="77777777" w:rsidR="00A758FD" w:rsidRPr="00C0338D" w:rsidRDefault="00A758FD"/>
        </w:tc>
        <w:tc>
          <w:tcPr>
            <w:tcW w:w="2268" w:type="dxa"/>
            <w:shd w:val="clear" w:color="auto" w:fill="BFBFBF" w:themeFill="background1" w:themeFillShade="BF"/>
            <w:vAlign w:val="center"/>
          </w:tcPr>
          <w:p w14:paraId="00000743" w14:textId="77777777" w:rsidR="00A758FD" w:rsidRPr="00C0338D" w:rsidRDefault="00A758FD"/>
        </w:tc>
      </w:tr>
      <w:tr w:rsidR="003666A4" w14:paraId="3EB53CD8" w14:textId="77777777" w:rsidTr="776B8B26">
        <w:trPr>
          <w:trHeight w:val="181"/>
        </w:trPr>
        <w:tc>
          <w:tcPr>
            <w:tcW w:w="1560" w:type="dxa"/>
            <w:vMerge/>
            <w:vAlign w:val="center"/>
          </w:tcPr>
          <w:p w14:paraId="00000744" w14:textId="77777777" w:rsidR="00A758FD" w:rsidRPr="00C0338D" w:rsidRDefault="00A758FD" w:rsidP="00AC1F76">
            <w:pPr>
              <w:widowControl w:val="0"/>
              <w:pBdr>
                <w:top w:val="nil"/>
                <w:left w:val="nil"/>
                <w:bottom w:val="nil"/>
                <w:right w:val="nil"/>
                <w:between w:val="nil"/>
              </w:pBdr>
              <w:spacing w:line="276" w:lineRule="auto"/>
            </w:pPr>
          </w:p>
        </w:tc>
        <w:tc>
          <w:tcPr>
            <w:tcW w:w="2835" w:type="dxa"/>
            <w:vAlign w:val="center"/>
          </w:tcPr>
          <w:p w14:paraId="00000745" w14:textId="77777777" w:rsidR="00A758FD" w:rsidRPr="00C0338D" w:rsidRDefault="00C81287">
            <w:r w:rsidRPr="00C0338D">
              <w:t>Inadequate communication</w:t>
            </w:r>
          </w:p>
        </w:tc>
        <w:tc>
          <w:tcPr>
            <w:tcW w:w="1134" w:type="dxa"/>
            <w:shd w:val="clear" w:color="auto" w:fill="BFBFBF" w:themeFill="background1" w:themeFillShade="BF"/>
            <w:vAlign w:val="center"/>
          </w:tcPr>
          <w:p w14:paraId="00000746" w14:textId="77777777" w:rsidR="00A758FD" w:rsidRPr="00C0338D" w:rsidRDefault="00A758FD"/>
        </w:tc>
        <w:tc>
          <w:tcPr>
            <w:tcW w:w="1417" w:type="dxa"/>
            <w:shd w:val="clear" w:color="auto" w:fill="BFBFBF" w:themeFill="background1" w:themeFillShade="BF"/>
            <w:vAlign w:val="center"/>
          </w:tcPr>
          <w:p w14:paraId="00000747" w14:textId="77777777" w:rsidR="00A758FD" w:rsidRPr="00C0338D" w:rsidRDefault="00A758FD"/>
        </w:tc>
        <w:tc>
          <w:tcPr>
            <w:tcW w:w="2268" w:type="dxa"/>
            <w:shd w:val="clear" w:color="auto" w:fill="BFBFBF" w:themeFill="background1" w:themeFillShade="BF"/>
            <w:vAlign w:val="center"/>
          </w:tcPr>
          <w:p w14:paraId="00000748" w14:textId="77777777" w:rsidR="00A758FD" w:rsidRPr="00C0338D" w:rsidRDefault="00A758FD"/>
        </w:tc>
      </w:tr>
      <w:tr w:rsidR="003666A4" w14:paraId="49EC1026" w14:textId="77777777" w:rsidTr="776B8B26">
        <w:trPr>
          <w:trHeight w:val="181"/>
        </w:trPr>
        <w:tc>
          <w:tcPr>
            <w:tcW w:w="1560" w:type="dxa"/>
            <w:vMerge/>
            <w:vAlign w:val="center"/>
          </w:tcPr>
          <w:p w14:paraId="00000749" w14:textId="77777777" w:rsidR="00A758FD" w:rsidRPr="00C0338D" w:rsidRDefault="00A758FD" w:rsidP="00AC1F76">
            <w:pPr>
              <w:widowControl w:val="0"/>
              <w:pBdr>
                <w:top w:val="nil"/>
                <w:left w:val="nil"/>
                <w:bottom w:val="nil"/>
                <w:right w:val="nil"/>
                <w:between w:val="nil"/>
              </w:pBdr>
              <w:spacing w:line="276" w:lineRule="auto"/>
            </w:pPr>
          </w:p>
        </w:tc>
        <w:tc>
          <w:tcPr>
            <w:tcW w:w="2835" w:type="dxa"/>
            <w:vAlign w:val="center"/>
          </w:tcPr>
          <w:p w14:paraId="0000074A" w14:textId="77777777" w:rsidR="00A758FD" w:rsidRPr="00C0338D" w:rsidRDefault="00C81287">
            <w:r w:rsidRPr="00C0338D">
              <w:t>Resourcing</w:t>
            </w:r>
          </w:p>
        </w:tc>
        <w:tc>
          <w:tcPr>
            <w:tcW w:w="1134" w:type="dxa"/>
            <w:shd w:val="clear" w:color="auto" w:fill="BFBFBF" w:themeFill="background1" w:themeFillShade="BF"/>
            <w:vAlign w:val="center"/>
          </w:tcPr>
          <w:p w14:paraId="0000074B" w14:textId="77777777" w:rsidR="00A758FD" w:rsidRPr="00C0338D" w:rsidRDefault="00A758FD"/>
        </w:tc>
        <w:tc>
          <w:tcPr>
            <w:tcW w:w="1417" w:type="dxa"/>
            <w:shd w:val="clear" w:color="auto" w:fill="BFBFBF" w:themeFill="background1" w:themeFillShade="BF"/>
            <w:vAlign w:val="center"/>
          </w:tcPr>
          <w:p w14:paraId="0000074C" w14:textId="77777777" w:rsidR="00A758FD" w:rsidRPr="00C0338D" w:rsidRDefault="00A758FD"/>
        </w:tc>
        <w:tc>
          <w:tcPr>
            <w:tcW w:w="2268" w:type="dxa"/>
            <w:shd w:val="clear" w:color="auto" w:fill="BFBFBF" w:themeFill="background1" w:themeFillShade="BF"/>
            <w:vAlign w:val="center"/>
          </w:tcPr>
          <w:p w14:paraId="0000074D" w14:textId="77777777" w:rsidR="00A758FD" w:rsidRPr="00C0338D" w:rsidRDefault="00A758FD"/>
        </w:tc>
      </w:tr>
      <w:tr w:rsidR="003666A4" w14:paraId="00345368" w14:textId="77777777" w:rsidTr="776B8B26">
        <w:trPr>
          <w:trHeight w:val="181"/>
        </w:trPr>
        <w:tc>
          <w:tcPr>
            <w:tcW w:w="1560" w:type="dxa"/>
            <w:vMerge w:val="restart"/>
            <w:vAlign w:val="center"/>
          </w:tcPr>
          <w:p w14:paraId="0000074E" w14:textId="77777777" w:rsidR="00A758FD" w:rsidRPr="00C0338D" w:rsidRDefault="00C81287">
            <w:r w:rsidRPr="00C0338D">
              <w:t>Societal</w:t>
            </w:r>
          </w:p>
        </w:tc>
        <w:tc>
          <w:tcPr>
            <w:tcW w:w="2835" w:type="dxa"/>
            <w:vAlign w:val="center"/>
          </w:tcPr>
          <w:p w14:paraId="0000074F" w14:textId="77777777" w:rsidR="00A758FD" w:rsidRPr="00C0338D" w:rsidRDefault="00C81287">
            <w:r w:rsidRPr="00C0338D">
              <w:t>Resistance to management approaches and technologies</w:t>
            </w:r>
          </w:p>
        </w:tc>
        <w:tc>
          <w:tcPr>
            <w:tcW w:w="1134" w:type="dxa"/>
            <w:vAlign w:val="center"/>
          </w:tcPr>
          <w:p w14:paraId="00000750" w14:textId="77777777" w:rsidR="00A758FD" w:rsidRPr="00C0338D" w:rsidRDefault="00A758FD"/>
        </w:tc>
        <w:tc>
          <w:tcPr>
            <w:tcW w:w="1417" w:type="dxa"/>
            <w:shd w:val="clear" w:color="auto" w:fill="BFBFBF" w:themeFill="background1" w:themeFillShade="BF"/>
            <w:vAlign w:val="center"/>
          </w:tcPr>
          <w:p w14:paraId="00000751" w14:textId="77777777" w:rsidR="00A758FD" w:rsidRPr="00C0338D" w:rsidRDefault="00A758FD"/>
        </w:tc>
        <w:tc>
          <w:tcPr>
            <w:tcW w:w="2268" w:type="dxa"/>
            <w:shd w:val="clear" w:color="auto" w:fill="BFBFBF" w:themeFill="background1" w:themeFillShade="BF"/>
            <w:vAlign w:val="center"/>
          </w:tcPr>
          <w:p w14:paraId="00000752" w14:textId="77777777" w:rsidR="00A758FD" w:rsidRPr="00C0338D" w:rsidRDefault="00A758FD"/>
        </w:tc>
      </w:tr>
      <w:tr w:rsidR="003666A4" w14:paraId="727068D6" w14:textId="77777777" w:rsidTr="776B8B26">
        <w:trPr>
          <w:trHeight w:val="181"/>
        </w:trPr>
        <w:tc>
          <w:tcPr>
            <w:tcW w:w="1560" w:type="dxa"/>
            <w:vMerge/>
            <w:vAlign w:val="center"/>
          </w:tcPr>
          <w:p w14:paraId="00000753" w14:textId="77777777" w:rsidR="00A758FD" w:rsidRPr="00C0338D" w:rsidRDefault="00A758FD" w:rsidP="00AC1F76">
            <w:pPr>
              <w:widowControl w:val="0"/>
              <w:pBdr>
                <w:top w:val="nil"/>
                <w:left w:val="nil"/>
                <w:bottom w:val="nil"/>
                <w:right w:val="nil"/>
                <w:between w:val="nil"/>
              </w:pBdr>
              <w:spacing w:line="276" w:lineRule="auto"/>
            </w:pPr>
          </w:p>
        </w:tc>
        <w:tc>
          <w:tcPr>
            <w:tcW w:w="2835" w:type="dxa"/>
            <w:vAlign w:val="center"/>
          </w:tcPr>
          <w:p w14:paraId="00000754" w14:textId="77777777" w:rsidR="00A758FD" w:rsidRPr="00C0338D" w:rsidRDefault="00C81287">
            <w:r w:rsidRPr="00C0338D">
              <w:t>Lack of awareness</w:t>
            </w:r>
          </w:p>
        </w:tc>
        <w:tc>
          <w:tcPr>
            <w:tcW w:w="1134" w:type="dxa"/>
            <w:shd w:val="clear" w:color="auto" w:fill="BFBFBF" w:themeFill="background1" w:themeFillShade="BF"/>
            <w:vAlign w:val="center"/>
          </w:tcPr>
          <w:p w14:paraId="00000755" w14:textId="77777777" w:rsidR="00A758FD" w:rsidRPr="00C0338D" w:rsidRDefault="00A758FD"/>
        </w:tc>
        <w:tc>
          <w:tcPr>
            <w:tcW w:w="1417" w:type="dxa"/>
            <w:shd w:val="clear" w:color="auto" w:fill="BFBFBF" w:themeFill="background1" w:themeFillShade="BF"/>
            <w:vAlign w:val="center"/>
          </w:tcPr>
          <w:p w14:paraId="00000756" w14:textId="77777777" w:rsidR="00A758FD" w:rsidRPr="00C0338D" w:rsidRDefault="00A758FD"/>
        </w:tc>
        <w:tc>
          <w:tcPr>
            <w:tcW w:w="2268" w:type="dxa"/>
            <w:shd w:val="clear" w:color="auto" w:fill="BFBFBF" w:themeFill="background1" w:themeFillShade="BF"/>
            <w:vAlign w:val="center"/>
          </w:tcPr>
          <w:p w14:paraId="00000757" w14:textId="77777777" w:rsidR="00A758FD" w:rsidRPr="00C0338D" w:rsidRDefault="00A758FD"/>
        </w:tc>
      </w:tr>
    </w:tbl>
    <w:p w14:paraId="00000758" w14:textId="0D23E484" w:rsidR="00A758FD" w:rsidRPr="00C0338D" w:rsidRDefault="00C81287">
      <w:pPr>
        <w:spacing w:before="240" w:after="120" w:line="240" w:lineRule="auto"/>
      </w:pPr>
      <w:r w:rsidRPr="00C0338D">
        <w:rPr>
          <w:b/>
        </w:rPr>
        <w:t>Jurisdictional boundaries</w:t>
      </w:r>
      <w:r w:rsidRPr="00C0338D">
        <w:t>: As invasive alien species are impervious to human</w:t>
      </w:r>
      <w:r w:rsidR="00393E5D">
        <w:t>-</w:t>
      </w:r>
      <w:r w:rsidRPr="00C0338D">
        <w:t xml:space="preserve">created political and legal borders, addressing cross-border invasion (be it property, local, national or international borders) in a cooperative manner is difficult from both a legal responsibility and financial liability perspective. Examples are: a) eradication of the invasive alien species </w:t>
      </w:r>
      <w:r w:rsidRPr="002F2F42">
        <w:rPr>
          <w:rStyle w:val="Emphasis"/>
        </w:rPr>
        <w:t>Hemitragus jemlahicus</w:t>
      </w:r>
      <w:r w:rsidRPr="00C0338D">
        <w:t xml:space="preserve"> (Himalayan tahr) </w:t>
      </w:r>
      <w:r w:rsidR="00393E5D" w:rsidRPr="00C0338D">
        <w:t xml:space="preserve">in New Zealand </w:t>
      </w:r>
      <w:r w:rsidRPr="00C0338D">
        <w:t xml:space="preserve">was considered no longer possible because of private legal property rights preventing enforcement of an official eradication programme </w:t>
      </w:r>
      <w:r w:rsidR="00383764" w:rsidRPr="00837161">
        <w:fldChar w:fldCharType="begin"/>
      </w:r>
      <w:r w:rsidR="000F35EB">
        <w:instrText xml:space="preserve"> ADDIN ZOTERO_ITEM CSL_CITATION {"citationID":"Q48pg3fU","properties":{"formattedCitation":"(Flueck, 2010)","plainCitation":"(Flueck, 2010)","dontUpdate":true,"noteIndex":0},"citationItems":[{"id":15488,"uris":["http://zotero.org/groups/2352922/items/87M9XAVF"],"itemData":{"id":15488,"type":"article-journal","container-title":"Biological Invasions","DOI":"10.1007/s10530-009-9590-5","ISSN":"1387-3547, 1573-1464","issue":"6","journalAbbreviation":"Biol Invasions","language":"en","page":"1467-1475","source":"DOI.org (Crossref)","title":"The slippery slope of exporting invasive species: the case of Himalayan tahr arriving in South America","title-short":"The slippery slope of exporting invasive species","URL":"http://link.springer.com/10.1007/s10530-009-9590-5","volume":"12","author":[{"family":"Flueck","given":"Werner T."}],"accessed":{"date-parts":[["2019",10,7]]},"issued":{"date-parts":[["2010",6]]}}}],"schema":"https://github.com/citation-style-language/schema/raw/master/csl-citation.json"} </w:instrText>
      </w:r>
      <w:r w:rsidR="00383764" w:rsidRPr="00837161">
        <w:fldChar w:fldCharType="separate"/>
      </w:r>
      <w:r w:rsidR="430490D0" w:rsidRPr="00837161">
        <w:t>(Forsyth &amp; Tustin, 2001)</w:t>
      </w:r>
      <w:r w:rsidR="00383764" w:rsidRPr="00837161">
        <w:fldChar w:fldCharType="end"/>
      </w:r>
      <w:r w:rsidR="00C16EEB">
        <w:t xml:space="preserve"> and</w:t>
      </w:r>
      <w:r w:rsidR="430490D0" w:rsidRPr="00837161">
        <w:t xml:space="preserve"> b) in Ireland, a number of protected sites under the European Habitats Directive (Special Areas of Conservation) span the border between the Northern Ireland (non-European Union) and the Republic of Ireland (European Union) </w:t>
      </w:r>
      <w:r w:rsidR="00383764" w:rsidRPr="00837161">
        <w:fldChar w:fldCharType="begin"/>
      </w:r>
      <w:r w:rsidR="000F35EB">
        <w:instrText xml:space="preserve"> ADDIN ZOTERO_ITEM CSL_CITATION {"citationID":"DDMBkZz4","properties":{"formattedCitation":"(Stokes et al., 2006)","plainCitation":"(Stokes et al., 2006)","noteIndex":0},"citationItems":[{"id":11405,"uris":["http://zotero.org/groups/2352922/items/SEVKE7N7"],"itemData":{"id":11405,"type":"article-journal","abstract":"The management of invasive non-native species is a frequent cause of conﬂict in the ﬁeld of biodiversity conservation because perceptions of their costs and beneﬁts diﬀer among stakeholder groups. A lack of cohesion between scientiﬁc researchers, the commercial sector and policy makers lies at the root of a widespread failure to develop and implement sustainable management practices for invasive species. The crisis of this situation is intensiﬁed by drivers stemming from international conventions and directives to address invasive species issues. There are further direct conﬂicts between legislative instruments promoting biodiversity conservation on the one hand while liberalizing trade at the national, European and global level on the other. The island of Ireland provides graphic illustration of the importance of cross-jurisdictional approaches to biological invasions. Using primarily Irish examples in this review, we emphasize the importance of approaching risk assessment, risk reduction and control or eradication policies from a cost-eﬃcient, highly ﬂexible perspective, incorporating linkages between environmental, economic and social objectives. The need for consolidated policies between Northern Ireland and the Republic of Ireland is particularly acute, though few model cross-border mechanisms for such consolidation are available. The importance of engaging aﬀected stakeholders through positive interactions is discussed with regard to reducing the currently fragmented nature of invasive species management between the two jurisdictions.","container-title":"Biodiversity and Conservation","DOI":"10.1007/s10531-005-3137-6","ISSN":"0960-3115, 1572-9710","issue":"8","journalAbbreviation":"Biodivers Conserv","language":"en","page":"2829-2852","source":"DOI.org (Crossref)","title":"The Importance of Stakeholder Engagement in Invasive Species Management: A Cross-jurisdictional Perspective in Ireland","title-short":"The Importance of Stakeholder Engagement in Invasive Species Management","URL":"https://doi.org/10.1007/s10531-005-3137-6","volume":"15","author":[{"family":"Stokes","given":"K. E."},{"family":"O℉Neill","given":"K. P."},{"family":"Montgomery","given":"W. I."},{"family":"Dick","given":"J. T. A."},{"family":"Maggs","given":"C. A."},{"family":"McDonald","given":"R. A."}],"accessed":{"date-parts":[["2019",10,7]]},"issued":{"date-parts":[["2006",7]]}}}],"schema":"https://github.com/citation-style-language/schema/raw/master/csl-citation.json"} </w:instrText>
      </w:r>
      <w:r w:rsidR="00383764" w:rsidRPr="00837161">
        <w:fldChar w:fldCharType="separate"/>
      </w:r>
      <w:r w:rsidR="00271B78" w:rsidRPr="00271B78">
        <w:t>(Stokes et al., 2006)</w:t>
      </w:r>
      <w:r w:rsidR="00383764" w:rsidRPr="00837161">
        <w:fldChar w:fldCharType="end"/>
      </w:r>
      <w:r w:rsidR="430490D0" w:rsidRPr="00837161">
        <w:t xml:space="preserve">. </w:t>
      </w:r>
      <w:r w:rsidR="00BD72A0" w:rsidRPr="00837161">
        <w:t>T</w:t>
      </w:r>
      <w:r w:rsidR="430490D0" w:rsidRPr="00837161">
        <w:t xml:space="preserve">here is no formal mechanism for coordinated cross-border control for </w:t>
      </w:r>
      <w:r w:rsidR="002F2F42">
        <w:t xml:space="preserve">managing </w:t>
      </w:r>
      <w:r w:rsidR="00BD72A0" w:rsidRPr="00837161">
        <w:rPr>
          <w:rFonts w:eastAsia="Times New Roman"/>
        </w:rPr>
        <w:t>biological invasions</w:t>
      </w:r>
      <w:r w:rsidR="430490D0" w:rsidRPr="00837161">
        <w:t>, effective management of invasive alien species is challenging even within individual protected areas.</w:t>
      </w:r>
      <w:r w:rsidRPr="00C0338D">
        <w:t xml:space="preserve"> </w:t>
      </w:r>
    </w:p>
    <w:p w14:paraId="00000759" w14:textId="3019A045" w:rsidR="00A758FD" w:rsidRPr="00C0338D" w:rsidRDefault="00C81287">
      <w:pPr>
        <w:spacing w:before="240" w:after="120" w:line="240" w:lineRule="auto"/>
      </w:pPr>
      <w:r w:rsidRPr="00C0338D">
        <w:rPr>
          <w:b/>
        </w:rPr>
        <w:t>Policy inadequacies</w:t>
      </w:r>
      <w:r w:rsidRPr="00C0338D">
        <w:t>: Contradictory or inadequate legislation</w:t>
      </w:r>
      <w:r w:rsidR="00393E5D">
        <w:t>s</w:t>
      </w:r>
      <w:r w:rsidRPr="00C0338D">
        <w:t>, polic</w:t>
      </w:r>
      <w:r w:rsidR="00393E5D">
        <w:t>ies</w:t>
      </w:r>
      <w:r w:rsidRPr="00C0338D">
        <w:t xml:space="preserve"> and regulations are a very common impediment to </w:t>
      </w:r>
      <w:r w:rsidR="002F2F42">
        <w:t xml:space="preserve">management of biological invasions. </w:t>
      </w:r>
      <w:r w:rsidR="00383764" w:rsidRPr="00837161">
        <w:t>From a prevention perspective</w:t>
      </w:r>
      <w:r w:rsidR="00393E5D">
        <w:t>,</w:t>
      </w:r>
      <w:r w:rsidR="00383764" w:rsidRPr="00837161">
        <w:t xml:space="preserve"> regulating which species can and cannot be introduced live into a jurisdiction is the first line of control </w:t>
      </w:r>
      <w:r w:rsidR="00383764" w:rsidRPr="00837161">
        <w:fldChar w:fldCharType="begin"/>
      </w:r>
      <w:r w:rsidR="000F35EB">
        <w:instrText xml:space="preserve"> ADDIN ZOTERO_ITEM CSL_CITATION {"citationID":"JaimiQX5","properties":{"formattedCitation":"(Garcia-de-Lomas &amp; Vil\\uc0\\u224{}, 2015)","plainCitation":"(Garcia-de-Lomas &amp; Vilà, 2015)","noteIndex":0},"citationItems":[{"id":24142,"uris":["http://zotero.org/groups/2352922/items/A72QGVJD"],"itemData":{"id":24142,"type":"article-journal","abstract":"Legislation on biological invasions has been evolving in recent decades. The use of lists of harmful alien organisms (LHAO) is becoming a widespread policy practice in many countries. LHAO aims to prevent the introduction of undesirable organisms at the pre-border level, regulate their use within the country and deter their spread. However, a systematic review and comparison of the current legislations is lacking. It remains unknown whether there are gaps or weaknesses that may compromise and effective strategy against biological invasions. In this study, a total of 77 LHAO from Australia, Japan, New Zealand, Spain, South Africa, Switzerland, the United Kingdom and the United States of America were evaluated and compared in terms of the taxonomic criteria of inclusion, the impacts of concern and the activities regulated. The number of LHAO has increased exponentially since 1924. Countries widely varied in the number of lists. Within a country, LHAO are scattered across different regulations that consider different impacts and regulate activities from introduction to management. The number of taxa ranged between 0.15 and 55.4 taxa km(-2) in the USA and New Zealand, respectively. These lists totaled 21,029 records of 18,149 different taxa, showing a prevalence of taxa listed as species (rather than genera of higher ranks). Primary attention is paid to the kingdoms Animalia and Plantae. Taxa affecting livelihood/uses were more prevalent than those related to biodiversity and human health impacts. The most common regulations concern trade and tenure followed by use. This study reveals the need for more comprehensive (intersectoral) regulations on invasive alien species within countries as well as the development of homogeneous regulations adapted to the globalized world.","archive_location":"WOS:000361797900002","container-title":"Biological Invasions","DOI":"10.1007/s10530-015-0939-7","ISSN":"1387-3547","issue":"11","journalAbbreviation":"Biol Invasions","language":"English","page":"3081-3091","title":"Lists of harmful alien organisms: Are the national regulations adapted to the global world?","URL":"://WOS:000361797900002","volume":"17","author":[{"family":"Garcia-de-Lomas","given":"J."},{"family":"Vilà","given":"M."}],"issued":{"date-parts":[["2015"]]}}}],"schema":"https://github.com/citation-style-language/schema/raw/master/csl-citation.json"} </w:instrText>
      </w:r>
      <w:r w:rsidR="00383764" w:rsidRPr="00837161">
        <w:fldChar w:fldCharType="separate"/>
      </w:r>
      <w:r w:rsidR="00271B78" w:rsidRPr="00271B78">
        <w:t>(Garcia-de-Lomas &amp; Vilà, 2015)</w:t>
      </w:r>
      <w:r w:rsidR="00383764" w:rsidRPr="00837161">
        <w:fldChar w:fldCharType="end"/>
      </w:r>
      <w:r w:rsidR="00383764" w:rsidRPr="00837161">
        <w:t>. Regulated species lists are lists of species that are either allowed or not into a country. Unregulated species can generally be imported live across jurisdictional boundaries without control. Countries generally ban certain regulated species and allow all others to be imported (most countries), or regulate which species can be imported and ban all species that are unregulated (Australia and New Zealand). In the latter context, for a species to be regulated for import it will need to have been approved under an</w:t>
      </w:r>
      <w:r w:rsidR="00D06464" w:rsidRPr="00837161">
        <w:t xml:space="preserve"> independent</w:t>
      </w:r>
      <w:r w:rsidR="00383764" w:rsidRPr="00837161">
        <w:t xml:space="preserve"> import risk assessment process </w:t>
      </w:r>
      <w:r w:rsidR="00197924" w:rsidRPr="00837161">
        <w:t>(</w:t>
      </w:r>
      <w:r w:rsidR="00383764" w:rsidRPr="00012C85">
        <w:rPr>
          <w:b/>
          <w:iCs/>
        </w:rPr>
        <w:t>section 5.2.2.1</w:t>
      </w:r>
      <w:r w:rsidR="00383764" w:rsidRPr="00837161">
        <w:t xml:space="preserve">). Regulating banned species only is a reactive approach while regulating species for import is a proactive biosecurity approach </w:t>
      </w:r>
      <w:r w:rsidR="00383764" w:rsidRPr="00837161">
        <w:fldChar w:fldCharType="begin"/>
      </w:r>
      <w:r w:rsidR="000F35EB">
        <w:instrText xml:space="preserve"> ADDIN ZOTERO_ITEM CSL_CITATION {"citationID":"NtNdXRT9","properties":{"formattedCitation":"(Burgiel et al., 2006)","plainCitation":"(Burgiel et al., 2006)","noteIndex":0},"citationItems":[{"id":11263,"uris":["http://zotero.org/groups/2352922/items/Q7V7YYIU"],"itemData":{"id":11263,"type":"report","language":"en","page":"54","publisher":"Center for International Environmental Law (CIEL) and Defenders of Wildlife","source":"Zotero","title":"Invasive Alien Species and Trade: Integrating Prevention Measures and International Trade Rules","URL":"https://cleantrade.typepad.com/clean_trade/files/invasives_trade_paper_0106.pdf","author":[{"family":"Burgiel","given":"Stas"},{"family":"Foote","given":"Greg"},{"family":"Orellana","given":"Marcos"},{"family":"Perrault","given":"Anne"}],"accessed":{"date-parts":[["2020",5,11]]},"issued":{"date-parts":[["2006"]]}}}],"schema":"https://github.com/citation-style-language/schema/raw/master/csl-citation.json"} </w:instrText>
      </w:r>
      <w:r w:rsidR="00383764" w:rsidRPr="00837161">
        <w:fldChar w:fldCharType="separate"/>
      </w:r>
      <w:r w:rsidR="00271B78" w:rsidRPr="00271B78">
        <w:t>(Burgiel et al., 2006)</w:t>
      </w:r>
      <w:r w:rsidR="00383764" w:rsidRPr="00837161">
        <w:fldChar w:fldCharType="end"/>
      </w:r>
      <w:r w:rsidR="00383764" w:rsidRPr="00837161">
        <w:t xml:space="preserve">. Allowing any unregulated species (implies no import risk assessment has been undertaken) to be imported creates a major invasive alien species biosecurity risk </w:t>
      </w:r>
      <w:r w:rsidR="00383764" w:rsidRPr="00837161">
        <w:fldChar w:fldCharType="begin"/>
      </w:r>
      <w:r w:rsidR="000F35EB">
        <w:instrText xml:space="preserve"> ADDIN ZOTERO_ITEM CSL_CITATION {"citationID":"wYNb2rub","properties":{"formattedCitation":"(Hulme et al., 2018; Simberloff, 2006)","plainCitation":"(Hulme et al., 2018; Simberloff, 2006)","noteIndex":0},"citationItems":[{"id":22081,"uris":["http://zotero.org/groups/2352922/items/Z5VHAJFZ"],"itemData":{"id":22081,"type":"article-journal","abstract":"The United States regulates deliberate species introduction by blacklists: any species not blacklisted may be imported. Half of invasive introduced species were deliberately introduced, yet most were not blacklisted, so this system is not working. White lists are also needed: no species can be deliberately introduced unless experts place it on a white list. The United States has not closed pathways for inadvertent introductions, which are regulated by international treaties. Risk assessments for introduced species have mostly targeted species as potential vectors for pathogens rather than as potentially invasive themselves. Although multilateral treaties mandate quantitative risk assessments for exclusions of species or goods that may carry them, biologists and economists can predict probabilities of invasiveness, and associated costs, only with enormous confidence limits. However, assessing risk can lead to insights on the likelihood of impact. The crucial decision will be to what extent the precautionary principle will be implemented. An added problem is that species established in parts of the United States (either native or introduced) have become invasive when introduced elsewhere in the United States. There is scant legal basis for preventing such introductions. To stem the flood of invasive species into and within the United States would require blacklists, a white listing procedure, and tighter regulation of pathways.","container-title":"Agricultural and Resource Economics Review","DOI":"10.1017/S1068280500010005","ISSN":"1068-2805, 2372-2614","issue":"1","journalAbbreviation":"Agric. resour. econ. rev.","language":"en","page":"1-10","source":"DOI.org (Crossref)","title":"Risk Assessments, Blacklists, and White Lists for Introduced Species: Are Predictions Good Enough to Be Useful?","title-short":"Risk Assessments, Blacklists, and White Lists for Introduced Species","URL":"https://www.cambridge.org/core/product/identifier/S1068280500010005/type/journal_article","volume":"35","author":[{"family":"Simberloff","given":"Daniel"}],"accessed":{"date-parts":[["2020",5,12]]},"issued":{"date-parts":[["2006",4]]}},"label":"page"},{"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šek","given":"Petr"},{"family":"Seebens","given":"Hanno"},{"family":"Tanner","given":"Rob"},{"family":"Touza","given":"Julia M."},{"family":"Kleunen","given":"Mark","non-dropping-particle":"van"},{"family":"Verbrugge","given":"Laura N.H."}],"editor":[{"family":"Flory","given":"Luke"}],"accessed":{"date-parts":[["2019",10,21]]},"issued":{"date-parts":[["2018"]]}}}],"schema":"https://github.com/citation-style-language/schema/raw/master/csl-citation.json"} </w:instrText>
      </w:r>
      <w:r w:rsidR="00383764" w:rsidRPr="00837161">
        <w:fldChar w:fldCharType="separate"/>
      </w:r>
      <w:r w:rsidR="00271B78" w:rsidRPr="00271B78">
        <w:t>(Hulme et al., 2018; Simberloff, 2006)</w:t>
      </w:r>
      <w:r w:rsidR="00383764" w:rsidRPr="00837161">
        <w:fldChar w:fldCharType="end"/>
      </w:r>
      <w:r w:rsidR="00383764" w:rsidRPr="00837161">
        <w:t>. At the post-border stage, regulatory power of policies can be an issue of concern. For example, in the United States, most authorized invasive plant lists</w:t>
      </w:r>
      <w:r w:rsidR="00FC2D8D">
        <w:t xml:space="preserve"> do not</w:t>
      </w:r>
      <w:r w:rsidR="00383764" w:rsidRPr="00837161">
        <w:t xml:space="preserve"> carry </w:t>
      </w:r>
      <w:r w:rsidR="00FC2D8D">
        <w:t xml:space="preserve">any </w:t>
      </w:r>
      <w:r w:rsidR="00383764" w:rsidRPr="00837161">
        <w:t xml:space="preserve">regulatory weight against the use of listed species </w:t>
      </w:r>
      <w:r w:rsidR="000475DD" w:rsidRPr="00837161">
        <w:fldChar w:fldCharType="begin"/>
      </w:r>
      <w:r w:rsidR="000F35EB">
        <w:instrText xml:space="preserve"> ADDIN ZOTERO_ITEM CSL_CITATION {"citationID":"oj4ZgqkW","properties":{"formattedCitation":"(Niemiera &amp; Holle, 2009)","plainCitation":"(Niemiera &amp; Holle, 2009)","noteIndex":0},"citationItems":[{"id":24118,"uris":["http://zotero.org/groups/2352922/items/AQQBNYLJ"],"itemData":{"id":24118,"type":"chapter","abstract":"The ornamental horticulture industry is responsible for the introduction, propagation, and transport of thousands of nonnative plant species, most of which stay in their intended locations or spread without significant environmental impacts. However, some nonindigenous plant species have proved to be particularly invasive and quite environmentally deleterious. The economically and politically powerful horticulture industry is faced with the dichotomous dilemma of the freedom to import and propagate plant species juxtaposed with the responsibility to be a diligent land steward. We discuss the various fundamental biological factors of plant invasion, as well as the environmental impacts, probability, prediction, and ranking of invasive species. We also review the role of the nursery industry in importing nonnative species, the perception of the problem by nursery personnel, and the impact of governmental and self-regulation. We conclude with recommendations for the ornamental plant industry to mitigate its role in dispersing invasive, nonnative plant species.","collection-title":"Invading Nature – Springer Series In Invasion Ecology","container-title":"Management of Invasive Weeds","event-place":"Dordrecht","ISBN":"978-1-4020-9201-5","language":"en","note":"DOI: 10.1007/978-1-4020-9202-2_9","page":"167-187","publisher":"Springer Netherlands","publisher-place":"Dordrecht","source":"DOI.org (Crossref)","title":"Invasive Plant Species and the Ornamental Horticulture Industry","URL":"http://link.springer.com/10.1007/978-1-4020-9202-2_9","volume":"5","editor":[{"literal":"Inderjit"}],"author":[{"family":"Niemiera","given":"Alex X."},{"family":"Holle","given":"Betsy Von"}],"accessed":{"date-parts":[["2019",10,7]]},"issued":{"date-parts":[["2009"]]}},"label":"page"}],"schema":"https://github.com/citation-style-language/schema/raw/master/csl-citation.json"} </w:instrText>
      </w:r>
      <w:r w:rsidR="000475DD" w:rsidRPr="00837161">
        <w:fldChar w:fldCharType="separate"/>
      </w:r>
      <w:r w:rsidR="00271B78" w:rsidRPr="00271B78">
        <w:t>(Niemiera &amp; Holle, 2009)</w:t>
      </w:r>
      <w:r w:rsidR="000475DD" w:rsidRPr="00837161">
        <w:fldChar w:fldCharType="end"/>
      </w:r>
      <w:r w:rsidR="00383764" w:rsidRPr="00837161">
        <w:t>,</w:t>
      </w:r>
      <w:r w:rsidRPr="00C0338D">
        <w:t xml:space="preserve"> thereby allowing release and escape of many invasive alien species except for those banned by federal or state governments. </w:t>
      </w:r>
    </w:p>
    <w:p w14:paraId="4473A155" w14:textId="70CFDEE9" w:rsidR="00383764" w:rsidRPr="00837161" w:rsidRDefault="00383764" w:rsidP="00C11DFA">
      <w:pPr>
        <w:spacing w:before="240" w:after="120" w:line="240" w:lineRule="auto"/>
      </w:pPr>
      <w:r w:rsidRPr="00837161">
        <w:lastRenderedPageBreak/>
        <w:t xml:space="preserve">Also, several developing countries lack comprehensive </w:t>
      </w:r>
      <w:r w:rsidR="002F2F42">
        <w:t>relevant legislation for biological invasions</w:t>
      </w:r>
      <w:r w:rsidRPr="00837161">
        <w:t xml:space="preserve">, and even fewer have recognized lists of invasive alien species and an associated regulatory system </w:t>
      </w:r>
      <w:r w:rsidRPr="00837161">
        <w:fldChar w:fldCharType="begin"/>
      </w:r>
      <w:r w:rsidR="000F35EB">
        <w:instrText xml:space="preserve"> ADDIN ZOTERO_ITEM CSL_CITATION {"citationID":"WuygdJeS","properties":{"formattedCitation":"(Banerjee et al., 2021)","plainCitation":"(Banerjee et al., 2021)","noteIndex":0},"citationItems":[{"id":31348,"uris":["http://zotero.org/groups/2352922/items/9G6RKJI7"],"itemData":{"id":31348,"type":"article-journal","abstract":"Biological invasions are a major global challenge for the conservation of biodiversity, maintenance of ecosystem health and sustainable livelihoods. As the number of novel introductions of invasive species is predicted to increase due to rising trade volumes in the emerging economies, regulatory policies to prevent the introduction and spread of invasive species are of paramount importance. However, poor response capacities, lack of coordination between stakeholders, heavy dependence on biological resources and little public awareness are some of the formidable barriers in framing and implementing such policies in developing countries. This study was conceptualized to establish common ground by considering the diverse interests of different actors and design a policy framework to control invasive alien plant species (IAPS) in the lower-middle income economies considering India as a case study. To achieve this objective, we evaluated the introduction pathways and current economic uses of IAPS in India and critically reviewed the infrastructure and current response capacity of the country for regulating pre- and post-border trading of these problematic species. We found that the majority of IAPS were introduced for ornamental purposes and some of them are still actively traded and used for several economic purposes. Despite having a rich legacy of environmental policies, a legal framework exclusively to deal with invasive species is non-existent in India. Here, we propose a set of policy interventions, for international and domestic trading, by integrating trade regulations based on a risk assessment framework with interests of both consumers and traders to ensure effective compliance from all stakeholders. Further, we identify potential hurdles for policy implementation in India and therefore, based on the existing biosecurity infrastructure, we outline an operable and dynamic decentralized system having a standard operating procedure to ensure coordination between different stakeholders, increase public awareness and guide further research direction.","container-title":"Environmental Science and Policy","DOI":"10.1016/j.envsci.2021.06.003","ISSN":"1462-9011","page":"64-72","source":"Coventry University","title":"An integrated policy framework and plan of action to prevent and control plant invasions in India","URL":"http://www.scopus.com/inward/record.url?scp=85107967075&amp;partnerID=8YFLogxK","volume":"124","author":[{"family":"Banerjee","given":"Achyut Kumar"},{"family":"Khuroob","given":"Anzar A."},{"family":"Dehnen-Schmutz","given":"Katharina"},{"family":"Pant","given":"Vidushi"},{"family":"Patwardhan","given":"Chinmay"},{"family":"Bhowmick","given":"Amiya Ranjan"},{"family":"Mukherjee","given":"Abhishek"}],"accessed":{"date-parts":[["2021",11,18]]},"issued":{"date-parts":[["2021",10]]}},"label":"page"}],"schema":"https://github.com/citation-style-language/schema/raw/master/csl-citation.json"} </w:instrText>
      </w:r>
      <w:r w:rsidRPr="00837161">
        <w:fldChar w:fldCharType="separate"/>
      </w:r>
      <w:r w:rsidR="00271B78" w:rsidRPr="00271B78">
        <w:t>(Banerjee et al., 2021)</w:t>
      </w:r>
      <w:r w:rsidRPr="00837161">
        <w:fldChar w:fldCharType="end"/>
      </w:r>
      <w:r w:rsidRPr="00837161">
        <w:t>. For example, Indonesia has an existing invasive alien species National Strategy and Action Plan built on risk analys</w:t>
      </w:r>
      <w:r w:rsidR="00FC2D8D">
        <w:t>e</w:t>
      </w:r>
      <w:r w:rsidRPr="00837161">
        <w:t>s and management priorities, however, it is not supported by effective cross-sector policy regulating importation and movement of invasive alien species</w:t>
      </w:r>
      <w:r w:rsidR="00FC2D8D">
        <w:t>,</w:t>
      </w:r>
      <w:r w:rsidRPr="00837161">
        <w:t xml:space="preserve"> and public understanding of the issue is also inadequate </w:t>
      </w:r>
      <w:r w:rsidRPr="00837161">
        <w:fldChar w:fldCharType="begin"/>
      </w:r>
      <w:r w:rsidR="000F35EB">
        <w:instrText xml:space="preserve"> ADDIN ZOTERO_ITEM CSL_CITATION {"citationID":"KI1lGACx","properties":{"formattedCitation":"(Setyawati et al., 2021)","plainCitation":"(Setyawati et al., 2021)","noteIndex":0},"citationItems":[{"id":9954,"uris":["http://zotero.org/groups/2352922/items/M3UBEKTA"],"itemData":{"id":9954,"type":"chapter","abstract":"Indonesia already has regulations on invasive alien species (IAS) management along with risk analysis for management priorities. However, there are still many cases of IAS attacks that are still incomplete due to the community's lack of understanding of the negative impacts of IAS on social, economic, and environmental aspects. The problem of IAS attacks is not new in Indonesia, but the attacks are even worse due to the lack of monitoring and communication and collaboration between institutions which is still minimal. IAS is not only a matter of sector but the issue is sectoral so management must also be multistakeholder. Data and information on flora as invasive species are easier to collect than fauna species. Spread of IAS in Indonesia has been started since colonialism and most of introduction of exotic species are for economic and food security purposes. In line with the rapid development activities that require a lot of land-based and natural resources–based, Indonesia experienced a quite high level of biodiversity loss. Considering that IAS is a cross-cutting issue, the existing legislation is not sufficiently regulated, both introduction and distribution of IAS. And therefore, laws and regulations in every relevant sector are required. In addition, it is also necessary to put the existing national Strategy and Action Plan on IAS Management into a more implementable program.","container-title":"Invasive Alien Species: Observations and Issues from Around the World","ISBN":"978-1-119-60704-5","language":"en","note":"section: 4\n_eprint: https://onlinelibrary.wiley.com/doi/pdf/10.1002/9781119607045.ch16\nDOI: 10.1002/9781119607045.ch16","page":"73-102","publisher":"John Wiley &amp; Sons, Ltd","source":"Wiley Online Library","title":"Invasive Alien Plant Species Management in Indonesia","URL":"https://onlinelibrary.wiley.com/doi/abs/10.1002/9781119607045.ch16","author":[{"family":"Setyawati","given":"Titiek"},{"literal":"Sunardi"},{"family":"Tjitrosoedirdjo","given":"Sukisman"},{"literal":"T. Pullaiah"},{"family":"Ielmini","given":"Michael R."}],"accessed":{"date-parts":[["2021",11,14]]},"issued":{"date-parts":[["2021"]]}},"label":"page"}],"schema":"https://github.com/citation-style-language/schema/raw/master/csl-citation.json"} </w:instrText>
      </w:r>
      <w:r w:rsidRPr="00837161">
        <w:fldChar w:fldCharType="separate"/>
      </w:r>
      <w:r w:rsidR="00271B78" w:rsidRPr="00271B78">
        <w:t>(Setyawati et al., 2021)</w:t>
      </w:r>
      <w:r w:rsidRPr="00837161">
        <w:fldChar w:fldCharType="end"/>
      </w:r>
      <w:r w:rsidRPr="00837161">
        <w:t xml:space="preserve">. Such socio-political realities often lead to governmental lethargy even for invasive alien species with actual or potential impacts to the economy </w:t>
      </w:r>
      <w:r w:rsidRPr="00837161">
        <w:fldChar w:fldCharType="begin"/>
      </w:r>
      <w:r w:rsidR="000F35EB">
        <w:instrText xml:space="preserve"> ADDIN ZOTERO_ITEM CSL_CITATION {"citationID":"IdVIaJG0","properties":{"unsorted":true,"formattedCitation":"(Nu\\uc0\\u241{}ez &amp; Pauchard, 2010; Zenni et al., 2017; K. Gupta &amp; Sankaran, 2021)","plainCitation":"(Nuñez &amp; Pauchard, 2010; Zenni et al., 2017; K. Gupta &amp; Sankaran, 2021)","noteIndex":0},"citationItems":[{"id":29104,"uris":["http://zotero.org/groups/2352922/items/JDLDS9FJ"],"itemData":{"id":29104,"type":"article-journal","container-title":"Biological Invasions","DOI":"10.1007/s10530-009-9517-1","ISSN":"1387-3547, 1573-1464","issue":"4","journalAbbreviation":"Biol Invasions","language":"en","page":"707-714","source":"DOI.org (Crossref)","title":"Biological invasions in developing and developed countries: does one model fit all?","title-short":"Biological invasions in developing and developed countries","URL":"http://link.springer.com/10.1007/s10530-009-9517-1","volume":"12","author":[{"family":"Nuñez","given":"Martin A."},{"family":"Pauchard","given":"Aníbal"}],"accessed":{"date-parts":[["2019",11,5]]},"issued":{"date-parts":[["2010",4]]}},"label":"page"},{"id":24305,"uris":["http://zotero.org/groups/2352922/items/FTWEZ5XL"],"itemData":{"id":24305,"type":"article-journal","container-title":"Trends in Ecology &amp; Evolution","DOI":"10.1016/j.tree.2017.08.006","ISSN":"01695347","issue":"11","journalAbbreviation":"Trends in Ecology &amp; Evolution","language":"en","page":"807-808","source":"DOI.org (Crossref)","title":"Invasion Science in the Developing World: A Response to Ricciardi &lt;i&gt;et al&lt;/i&gt;.","title-short":"Invasion Science in the Developing World","URL":"https://linkinghub.elsevier.com/retrieve/pii/S0169534717302069","volume":"32","author":[{"family":"Zenni","given":"Rafael D."},{"family":"Ziller","given":"Sílvia R."},{"family":"Pauchard","given":"Anibal"},{"family":"Rodriguez-Cabal","given":"Mariano"},{"family":"Nuñez","given":"Martin A."}],"accessed":{"date-parts":[["2019",11,5]]},"issued":{"date-parts":[["2017",11]]}},"label":"page"},{"id":31347,"uris":["http://zotero.org/groups/2352922/items/Z7I5BXNA"],"itemData":{"id":31347,"type":"article-journal","abstract":"Biological invasions continue unabated across the globe despite all efforts to manage the problem by implementing biosecurity regulations and associated management methods. In this context, this paper reviews the plant biosecurity legislation applicable to agriculture and forestry sectors in India to prevent/manage invasions, with the objective of identifying limitations in the legislation or lapses in implementing it and propose corrective measures. The legislation can be improved by: (1) revising and updating the Destructive Insects and Pests Act (1914) and Plant Quarantine Order 2003 and (2) establishing a National Sanitary and Phytosanitary Database Center to promote exchange of information. Establishing more plant quarantine stations with state-of-the-art facilities and a Biosecurity and Trade Unit may support implementation of legislation. Some of main gaps in information and research in biosecurity are identified. The plant biosecurity legislation, though meant to be common, mainly addresses the agriculture sector; its application in the forestry context is currently scarce. Hence, it is suggested that India may enact forest biosecurity scrupulously especially in the context of introducing the REDD + strategy and a Forest Certification Scheme. It is proposed that an integrated pest management (IPM) system involving e-pest surveillance, establishment of pest-free areas and use of biocontrol may help tackle emerging pest threats. The use of new technologies for remote sensing and detection and mapping of vegetation may help bio-surveillance, forecasting, and monitoring of pests. However, successful implementation of all management options demands formation of an exclusive national policy to manage invasive alien species and an action plan governed by a single agency. To realize the plant biosecurity goals, India may also strengthen regional cooperation to: (1) harmonize regulations for sanitary/phytosanitary and plant quarantine/biosafety measures and (2) use a common pest risk analysis (PRA) for unknown pests in the region. Capacity-building of officials to identify risky goods and verify conformity with Import Health Standards is raised. Also, raising awareness on biosecurity among all stakeholders and involving them in implementing the legislation would be helpful. The proposed National Agricultural Biosecurity System and the Agricultural Biosecurity Bill currently considered by the Indian Parliament is expected to address the inadequacies.","container-title":"Frontiers in Forests and Global Change","DOI":"10.3389/ffgc.2021.699950","ISSN":"2624-893X","journalAbbreviation":"Front. For. Glob. Change","page":"699950","source":"DOI.org (Crossref)","title":"Forest Biosecurity Systems and Processes: An Indian Perspective","title-short":"Forest Biosecurity Systems and Processes","URL":"https://www.frontiersin.org/articles/10.3389/ffgc.2021.699950/full","volume":"4","author":[{"family":"Gupta","given":"Kavita"},{"family":"Sankaran","given":"K. V."}],"accessed":{"date-parts":[["2021",11,18]]},"issued":{"date-parts":[["2021",9,30]]}},"label":"page"}],"schema":"https://github.com/citation-style-language/schema/raw/master/csl-citation.json"} </w:instrText>
      </w:r>
      <w:r w:rsidRPr="00837161">
        <w:fldChar w:fldCharType="separate"/>
      </w:r>
      <w:r w:rsidR="00271B78" w:rsidRPr="00271B78">
        <w:t>(Nuñez &amp; Pauchard, 2010; Zenni et al., 2017; K. Gupta &amp; Sankaran, 2021)</w:t>
      </w:r>
      <w:r w:rsidRPr="00837161">
        <w:fldChar w:fldCharType="end"/>
      </w:r>
      <w:r w:rsidRPr="00837161">
        <w:t xml:space="preserve"> and in some cases such species are seen only as potential economic opportunities </w:t>
      </w:r>
      <w:r w:rsidRPr="00837161">
        <w:fldChar w:fldCharType="begin"/>
      </w:r>
      <w:r w:rsidR="000F35EB">
        <w:instrText xml:space="preserve"> ADDIN ZOTERO_ITEM CSL_CITATION {"citationID":"NyDn7LgX","properties":{"formattedCitation":"(H\\uc0\\u228{}nfling et al., 2011)","plainCitation":"(Hänfling et al., 2011)","noteIndex":0},"citationItems":[{"id":15490,"uris":["http://zotero.org/groups/2352922/items/9IR4QBC3"],"itemData":{"id":15490,"type":"article-journal","container-title":"BioControl","DOI":"10.1007/s10526-011-9380-8","ISSN":"1386-6141, 1573-8248","issue":"4","journalAbbreviation":"BioControl","language":"en","page":"573-595","source":"DOI.org (Crossref)","title":"Invasive alien Crustacea: dispersal, establishment, impact and control","title-short":"Invasive alien Crustacea","URL":"http://link.springer.com/10.1007/s10526-011-9380-8","volume":"56","author":[{"family":"Hänfling","given":"Bernd"},{"family":"Edwards","given":"François"},{"family":"Gherardi","given":"Francesca"}],"accessed":{"date-parts":[["2019",10,7]]},"issued":{"date-parts":[["2011",8]]}},"label":"page"}],"schema":"https://github.com/citation-style-language/schema/raw/master/csl-citation.json"} </w:instrText>
      </w:r>
      <w:r w:rsidRPr="00837161">
        <w:fldChar w:fldCharType="separate"/>
      </w:r>
      <w:r w:rsidR="00271B78" w:rsidRPr="00271B78">
        <w:t>(Hänfling et al., 2011)</w:t>
      </w:r>
      <w:r w:rsidRPr="00837161">
        <w:fldChar w:fldCharType="end"/>
      </w:r>
      <w:r w:rsidRPr="00837161">
        <w:t xml:space="preserve">. This clearly has direct and indirect implications for implementation of effective management. When governments propose tighter regulations on invasive alien species, industries that sell invasive alien species as products lobby against this on the basis that business generates tax benefits for governments </w:t>
      </w:r>
      <w:r w:rsidRPr="00837161">
        <w:fldChar w:fldCharType="begin"/>
      </w:r>
      <w:r w:rsidR="000F35EB">
        <w:instrText xml:space="preserve"> ADDIN ZOTERO_ITEM CSL_CITATION {"citationID":"8C8QXwkC","properties":{"formattedCitation":"(Hulme et al., 2018; Mack et al., 2000)","plainCitation":"(Hulme et al., 2018; Mack et al., 2000)","noteIndex":0},"citationItems":[{"id":29093,"uris":["http://zotero.org/groups/2352922/items/RF6KDAH8"],"itemData":{"id":29093,"type":"article-journal","abstract":"Biotic invaders are species that establish a new range in which they proliferate, spread, and persist to the detriment of the environment. They are the most important ecological outcomes from the unprecedented alterations in the distribution of the earth's biota brought about largely through human transport and commerce. In a world without borders, few if any areas remain sheltered from these immigrations. The fate of immigrants is decidedly mixed. Few survive the hazards of chronic and stochastic forces, and only a small fraction become naturalized. In turn, some naturalized species do become invasive. There are several potential reasons why some immigrant species prosper: some escape from the constraints of their native predators or parasites; others are aided by human-caused disturbance that disrupts native communities. Ironically, many biotic invasions are apparently facilitated by cultivation and husbandry, unintentional actions that foster immigrant populations until they are self-perpetuating and uncontrollable. Whatever the cause, biotic invaders can in many cases inflict enormous environmental damage: (1) Animal invaders can cause extinctions of vulnerable native species through predation, grazing, competition, and habitat alteration. (2) Plant invaders can completely alter the fire regime, nutrient cycling, hydrology, and energy budgets in a native ecosystem and can greatly diminish the abundance or survival of native species. (3) In agriculture, the principal pests of temperate crops are nonindigenous, and the combined expenses of pest control and crop losses constitute an onerous “tax” on food, fiber, and forage production. (4) The global cost of virulent plant and animal diseases caused by parasites transported to new ranges and presented with susceptible new hosts is currently incalculable. Identifying future invaders and taking effective steps to prevent their dispersal and establishment constitutes an enormous challenge to both conservation and international commerce. Detection and management when exclusion fails have proved daunting for varied reasons: (1) Efforts to identify general attributes of future invaders have often been inconclusive. (2) Predicting susceptible locales for future invasions seems even more problematic, given the enormous differences in the rates of arrival among potential invaders. (3) Eradication of an established invader is rare, and control efforts vary enormously in their efficacy. Successful control, however, depends more on commitment and continuing diligence than on the efficacy of specific tools themselves. (4) Control of biotic invasions is most effective when it employs a long-term, ecosystem-wide strategy rather than a tactical approach focused on battling individual invaders. (5) Prevention of invasions is much less costly than post-entry control. Revamping national and international quarantine laws by adopting a “guilty until proven innocent” approach would be a productive first step. Failure to address the issue of biotic invasions could effectively result in severe global consequences, including wholesale loss of agricultural, forestry, and fishery resources in some regions, disruption of the ecological processes that supply natural services on which human enterprise depends, and the creation of homogeneous, impoverished ecosystems composed of cosmopolitan species. Given their current scale, biotic invasions have taken their place alongside human-driven atmospheric and oceanic alterations as major agents of global change. Left unchecked, they will influence these other forces in profound but still unpredictable ways.","container-title":"Ecological Applications","DOI":"10.1890/1051-0761(2000)010[0689:BICEGC]2.0.CO;2","ISSN":"1939-5582","issue":"3","journalAbbreviation":"Ecological Applications","language":"en","license":"© 2000 by the Ecological Society of America","page":"689-710","source":"Wiley Online Library","title":"Biotic invasions: Causes, epidemiology, global consequences, and control","title-short":"Biotic Invasions","URL":"http://doi.wiley.com/10.1890/1051-0761(2000)010[0689:BICEGC]2.0.CO;2","volume":"10","author":[{"family":"Mack","given":"Richard N."},{"family":"Simberloff","given":"Daniel"},{"family":"Lonsdale","given":"W. Mark"},{"family":"Evans","given":"Harry"},{"family":"Clout","given":"Michael"},{"family":"Bazzaz","given":"Fakhri A."}],"accessed":{"date-parts":[["2019",9,25]]},"issued":{"date-parts":[["2000",6]]}},"label":"page"},{"id":29159,"uris":["http://zotero.org/groups/2352922/items/FBUVL8DD"],"itemData":{"id":29159,"type":"article-journal","abstract":"Ornamental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šek","given":"Petr"},{"family":"Seebens","given":"Hanno"},{"family":"Tanner","given":"Rob"},{"family":"Touza","given":"Julia M."},{"family":"Kleunen","given":"Mark","non-dropping-particle":"van"},{"family":"Verbrugge","given":"Laura N.H."}],"editor":[{"family":"Flory","given":"Luke"}],"accessed":{"date-parts":[["2019",10,21]]},"issued":{"date-parts":[["2018"]]}},"label":"page"}],"schema":"https://github.com/citation-style-language/schema/raw/master/csl-citation.json"} </w:instrText>
      </w:r>
      <w:r w:rsidRPr="00837161">
        <w:fldChar w:fldCharType="separate"/>
      </w:r>
      <w:r w:rsidR="00271B78" w:rsidRPr="00271B78">
        <w:t>(Hulme et al., 2018; Mack et al., 2000)</w:t>
      </w:r>
      <w:r w:rsidRPr="00837161">
        <w:fldChar w:fldCharType="end"/>
      </w:r>
      <w:r w:rsidRPr="00837161">
        <w:t xml:space="preserve">, for example, horticulture </w:t>
      </w:r>
      <w:r w:rsidRPr="00837161">
        <w:fldChar w:fldCharType="begin"/>
      </w:r>
      <w:r w:rsidR="000F35EB">
        <w:instrText xml:space="preserve"> ADDIN ZOTERO_ITEM CSL_CITATION {"citationID":"MqKlFNYV","properties":{"formattedCitation":"(Niemiera &amp; Holle, 2009)","plainCitation":"(Niemiera &amp; Holle, 2009)","noteIndex":0},"citationItems":[{"id":24118,"uris":["http://zotero.org/groups/2352922/items/AQQBNYLJ"],"itemData":{"id":24118,"type":"chapter","abstract":"The ornamental horticulture industry is responsible for the introduction, propagation, and transport of thousands of nonnative plant species, most of which stay in their intended locations or spread without significant environmental impacts. However, some nonindigenous plant species have proved to be particularly invasive and quite environmentally deleterious. The economically and politically powerful horticulture industry is faced with the dichotomous dilemma of the freedom to import and propagate plant species juxtaposed with the responsibility to be a diligent land steward. We discuss the various fundamental biological factors of plant invasion, as well as the environmental impacts, probability, prediction, and ranking of invasive species. We also review the role of the nursery industry in importing nonnative species, the perception of the problem by nursery personnel, and the impact of governmental and self-regulation. We conclude with recommendations for the ornamental plant industry to mitigate its role in dispersing invasive, nonnative plant species.","collection-title":"Invading Nature – Springer Series In Invasion Ecology","container-title":"Management of Invasive Weeds","event-place":"Dordrecht","ISBN":"978-1-4020-9201-5","language":"en","note":"DOI: 10.1007/978-1-4020-9202-2_9","page":"167-187","publisher":"Springer Netherlands","publisher-place":"Dordrecht","source":"DOI.org (Crossref)","title":"Invasive Plant Species and the Ornamental Horticulture Industry","URL":"http://link.springer.com/10.1007/978-1-4020-9202-2_9","volume":"5","editor":[{"literal":"Inderjit"}],"author":[{"family":"Niemiera","given":"Alex X."},{"family":"Holle","given":"Betsy Von"}],"accessed":{"date-parts":[["2019",10,7]]},"issued":{"date-parts":[["2009"]]}},"label":"page"}],"schema":"https://github.com/citation-style-language/schema/raw/master/csl-citation.json"} </w:instrText>
      </w:r>
      <w:r w:rsidRPr="00837161">
        <w:fldChar w:fldCharType="separate"/>
      </w:r>
      <w:r w:rsidR="00271B78" w:rsidRPr="00271B78">
        <w:t>(Niemiera &amp; Holle, 2009)</w:t>
      </w:r>
      <w:r w:rsidRPr="00837161">
        <w:fldChar w:fldCharType="end"/>
      </w:r>
      <w:r w:rsidRPr="00837161">
        <w:t xml:space="preserve">. Most countries are, however, now parties to the CBD which supports national invasive alien species legislation under the </w:t>
      </w:r>
      <w:r w:rsidR="00C846A5">
        <w:t>Kun</w:t>
      </w:r>
      <w:r w:rsidR="00530B94">
        <w:t>m</w:t>
      </w:r>
      <w:r w:rsidR="00C846A5">
        <w:t>ing-Montreal</w:t>
      </w:r>
      <w:r w:rsidRPr="00837161">
        <w:t xml:space="preserve"> Global Biodiversity Framework </w:t>
      </w:r>
      <w:r w:rsidR="009C112E" w:rsidRPr="00837161">
        <w:fldChar w:fldCharType="begin"/>
      </w:r>
      <w:r w:rsidR="000F35EB">
        <w:instrText xml:space="preserve"> ADDIN ZOTERO_ITEM CSL_CITATION {"citationID":"PjALFPOU","properties":{"formattedCitation":"(CBD, 2020a)","plainCitation":"(CBD, 2020a)","noteIndex":0},"citationItems":[{"id":54347,"uris":["http://zotero.org/groups/2352922/items/BLI3N2IQ"],"itemData":{"id":54347,"type":"webpage","container-title":"Convention on Biological Diversity","language":"en","title":"Preparations for the Post-2020 Biodiversity Framework","URL":"https://www.cbd.int/conferences/post2020","author":[{"literal":"CBD"}],"accessed":{"date-parts":[["2023",2,2]]},"issued":{"date-parts":[["2020"]]}}}],"schema":"https://github.com/citation-style-language/schema/raw/master/csl-citation.json"} </w:instrText>
      </w:r>
      <w:r w:rsidR="009C112E" w:rsidRPr="00837161">
        <w:fldChar w:fldCharType="separate"/>
      </w:r>
      <w:r w:rsidR="00271B78" w:rsidRPr="00271B78">
        <w:t>(CBD, 2020a)</w:t>
      </w:r>
      <w:r w:rsidR="009C112E" w:rsidRPr="00837161">
        <w:fldChar w:fldCharType="end"/>
      </w:r>
      <w:r w:rsidRPr="00837161">
        <w:t>.</w:t>
      </w:r>
      <w:r w:rsidRPr="00837161">
        <w:rPr>
          <w:i/>
          <w:iCs/>
        </w:rPr>
        <w:t xml:space="preserve"> </w:t>
      </w:r>
    </w:p>
    <w:p w14:paraId="230105B5" w14:textId="3A33D2A7" w:rsidR="00383764" w:rsidRPr="00837161" w:rsidRDefault="00383764" w:rsidP="00C11DFA">
      <w:pPr>
        <w:spacing w:before="240" w:after="120" w:line="240" w:lineRule="auto"/>
      </w:pPr>
      <w:r w:rsidRPr="00837161">
        <w:rPr>
          <w:b/>
          <w:bCs/>
        </w:rPr>
        <w:t>Stakeholder engagement</w:t>
      </w:r>
      <w:r w:rsidRPr="00837161">
        <w:t>: In most countries important stakeholders relate</w:t>
      </w:r>
      <w:r w:rsidR="001352A4">
        <w:t>d</w:t>
      </w:r>
      <w:r w:rsidRPr="00837161">
        <w:t xml:space="preserve"> to </w:t>
      </w:r>
      <w:r w:rsidR="002F2F42">
        <w:t xml:space="preserve">management of biological invasions are disconnected from the problem. But, identifying stakeholder responsibilities and engaging them in the management of biological invasions are key to successful outcomes </w:t>
      </w:r>
      <w:r w:rsidR="00D34D15" w:rsidRPr="00837161">
        <w:fldChar w:fldCharType="begin"/>
      </w:r>
      <w:r w:rsidR="000F35EB">
        <w:instrText xml:space="preserve"> ADDIN ZOTERO_ITEM CSL_CITATION {"citationID":"CCNF4Eb5","properties":{"formattedCitation":"(Kamigawara et al., 2020)","plainCitation":"(Kamigawara et al., 2020)","dontUpdate":true,"noteIndex":0},"citationItems":[{"id":32382,"uris":["http://zotero.org/groups/2352922/items/28MWQG6F"],"itemData":{"id":32382,"type":"article-journal","abstract":"Legislation to control invasive alien species for nature conservation is a relatively new area. We examined: (1) whether prohibition of sale and release into the wild can stop dispersal of invasive alien aquatic plants; (2) who is responsible for managing an invaded site; (3) whether government procedure is needed to carry out management; and (4) whether herbicide use is legalized in managing invasive alien aquatic pl</w:instrText>
      </w:r>
      <w:r w:rsidR="000F35EB">
        <w:rPr>
          <w:rFonts w:hint="eastAsia"/>
        </w:rPr>
        <w:instrText>ants. We carried out case studies on the management of water primrose (Ludwigia grandiflora</w:instrText>
      </w:r>
      <w:r w:rsidR="000F35EB">
        <w:rPr>
          <w:rFonts w:hint="eastAsia"/>
        </w:rPr>
        <w:instrText>）</w:instrText>
      </w:r>
      <w:r w:rsidR="000F35EB">
        <w:rPr>
          <w:rFonts w:hint="eastAsia"/>
        </w:rPr>
        <w:instrText>in France, England, and Japan, which are all developed countries in the Palaearctic realm, and where it is regarded as one of the most invasive alien aquatic plant</w:instrText>
      </w:r>
      <w:r w:rsidR="000F35EB">
        <w:instrText xml:space="preserve">s. All three countries have introduced prohibition of sale and release, but only England has clearly introduced landowner responsibility and has applied it. All three countries have effectively halted its commercial trade, but have not yet stopped its dispersion, while England has succeeded local eradication in a considerable part of detected sites and stabilized the number of actual sites. While in France and Japan many unmanaged sites remain, all detected sites are managed in England. France prohibited herbicide use near and in water systems; in Japan, officials are reluctant to use herbicide. On the contrary, England has legalized herbicide use around water systems, under strict conditions. The landowner responsibility is an important element of legislation to manage IAS, and legalization of herbicide use around water systems, in avoiding damages for other living organisms, could contribute to its local eradication.","container-title":"Journal of International Wildlife Law &amp; Policy","DOI":"10.1080/13880292.2020.1788778","ISSN":"1388-0292","issue":"2","note":"publisher: Routledge\n_eprint: https://doi.org/10.1080/13880292.2020.1788778","page":"83-108","source":"Taylor and Francis+NEJM","title":"What kind of legislation can contribute to on-site management?: Comparative case studies on legislative developments in managing aquatic invasive alien plants in France, England, and Japan","title-short":"What kind of legislation can contribute to on-site management?","URL":"https://doi.org/10.1080/13880292.2020.1788778","volume":"23","author":[{"family":"Kamigawara","given":"Kenji"},{"family":"Nakai","given":"Katsuki"},{"family":"Noma","given":"Naohiko"},{"family":"Hieda","given":"Shinya"},{"family":"Sarat","given":"Emmanuelle"},{"family":"Dutartre","given":"Alain"},{"family":"Renals","given":"Trevor"},{"family":"Bullock","given":"Richard"},{"family":"Haury","given":"Jacques"},{"family":"Bottner","given":"Benjamin"},{"family":"Damien","given":"Jean-Patrice"}],"accessed":{"date-parts":[["2021",12,9]]},"issued":{"date-parts":[["2020",4,2]]}},"label":"page"}],"schema":"https://github.com/citation-style-language/schema/raw/master/csl-citation.json"} </w:instrText>
      </w:r>
      <w:r w:rsidR="00D34D15" w:rsidRPr="00837161">
        <w:fldChar w:fldCharType="separate"/>
      </w:r>
      <w:r w:rsidR="008A7E69" w:rsidRPr="00837161">
        <w:t>(Kamigawara et al., 2020</w:t>
      </w:r>
      <w:r w:rsidR="00D34D15" w:rsidRPr="00837161">
        <w:fldChar w:fldCharType="end"/>
      </w:r>
      <w:r w:rsidR="001C0274" w:rsidRPr="00837161">
        <w:t>;</w:t>
      </w:r>
      <w:r w:rsidRPr="00837161">
        <w:t xml:space="preserve"> </w:t>
      </w:r>
      <w:r w:rsidR="00012C85">
        <w:rPr>
          <w:b/>
          <w:iCs/>
        </w:rPr>
        <w:t>C</w:t>
      </w:r>
      <w:r w:rsidRPr="00012C85">
        <w:rPr>
          <w:b/>
          <w:iCs/>
        </w:rPr>
        <w:t>hapter 1</w:t>
      </w:r>
      <w:r w:rsidRPr="00012C85">
        <w:rPr>
          <w:iCs/>
        </w:rPr>
        <w:t>,</w:t>
      </w:r>
      <w:r w:rsidRPr="00012C85">
        <w:rPr>
          <w:b/>
          <w:iCs/>
        </w:rPr>
        <w:t xml:space="preserve"> section 1.5.1</w:t>
      </w:r>
      <w:r w:rsidR="00CA4C1E" w:rsidRPr="00012C85">
        <w:rPr>
          <w:iCs/>
        </w:rPr>
        <w:t>;</w:t>
      </w:r>
      <w:r w:rsidR="00CA4C1E" w:rsidRPr="00012C85">
        <w:rPr>
          <w:b/>
          <w:iCs/>
        </w:rPr>
        <w:t xml:space="preserve"> </w:t>
      </w:r>
      <w:r w:rsidR="00012C85">
        <w:rPr>
          <w:b/>
          <w:iCs/>
        </w:rPr>
        <w:t>C</w:t>
      </w:r>
      <w:r w:rsidR="00CA4C1E" w:rsidRPr="00012C85">
        <w:rPr>
          <w:b/>
          <w:iCs/>
        </w:rPr>
        <w:t>hapter 6</w:t>
      </w:r>
      <w:r w:rsidR="00CA4C1E" w:rsidRPr="00012C85">
        <w:rPr>
          <w:iCs/>
        </w:rPr>
        <w:t>,</w:t>
      </w:r>
      <w:r w:rsidR="00CA4C1E" w:rsidRPr="00012C85">
        <w:rPr>
          <w:b/>
          <w:iCs/>
        </w:rPr>
        <w:t xml:space="preserve"> section 6.4</w:t>
      </w:r>
      <w:r w:rsidRPr="00837161">
        <w:t>). A comprehensive study investigating the development and sales of alien pasture plants in eight countries located across six continents showed that the vast majority of agribusinesses in these count</w:t>
      </w:r>
      <w:r w:rsidR="00FC2D8D">
        <w:t>r</w:t>
      </w:r>
      <w:r w:rsidRPr="00837161">
        <w:t xml:space="preserve">ies, </w:t>
      </w:r>
      <w:r w:rsidR="00FC2D8D">
        <w:t>as well as</w:t>
      </w:r>
      <w:r w:rsidR="00FC2D8D" w:rsidRPr="00837161">
        <w:t xml:space="preserve"> </w:t>
      </w:r>
      <w:r w:rsidRPr="00837161">
        <w:t xml:space="preserve">government agencies and </w:t>
      </w:r>
      <w:r w:rsidR="00FC2D8D">
        <w:t xml:space="preserve">other </w:t>
      </w:r>
      <w:r w:rsidRPr="00837161">
        <w:t>private companies, do not manage the risk of their products</w:t>
      </w:r>
      <w:r w:rsidR="00E74106" w:rsidRPr="00837161">
        <w:t xml:space="preserve">; </w:t>
      </w:r>
      <w:r w:rsidR="00E74106" w:rsidRPr="00837161">
        <w:rPr>
          <w:lang w:eastAsia="zh-CN"/>
        </w:rPr>
        <w:t xml:space="preserve">agribusiness could integrate risk analysis with development of new products </w:t>
      </w:r>
      <w:r w:rsidR="009F2919" w:rsidRPr="00837161">
        <w:rPr>
          <w:lang w:eastAsia="zh-CN"/>
        </w:rPr>
        <w:t>and avoid trading species</w:t>
      </w:r>
      <w:r w:rsidR="00E74106" w:rsidRPr="00837161">
        <w:rPr>
          <w:lang w:eastAsia="zh-CN"/>
        </w:rPr>
        <w:t xml:space="preserve"> which have a </w:t>
      </w:r>
      <w:r w:rsidR="009F2919" w:rsidRPr="00837161">
        <w:rPr>
          <w:lang w:eastAsia="zh-CN"/>
        </w:rPr>
        <w:t>high</w:t>
      </w:r>
      <w:r w:rsidR="00E74106" w:rsidRPr="00837161">
        <w:rPr>
          <w:lang w:eastAsia="zh-CN"/>
        </w:rPr>
        <w:t xml:space="preserve"> risk of invading natural areas</w:t>
      </w:r>
      <w:r w:rsidRPr="00837161">
        <w:t xml:space="preserve"> </w:t>
      </w:r>
      <w:r w:rsidRPr="00837161">
        <w:fldChar w:fldCharType="begin"/>
      </w:r>
      <w:r w:rsidR="000F35EB">
        <w:instrText xml:space="preserve"> ADDIN ZOTERO_ITEM CSL_CITATION {"citationID":"I7brYtbZ","properties":{"formattedCitation":"(Driscoll et al., 2014)","plainCitation":"(Driscoll et al., 2014)","noteIndex":0},"citationItems":[{"id":31179,"uris":["http://zotero.org/groups/2352922/items/7WJ3HEZW"],"itemData":{"id":31179,"type":"article-journal","abstract":"Agricultural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M."},{"family":"Riley","given":"Sophie"},{"family":"Visser","given":"Vernon"}],"accessed":{"date-parts":[["2021",10,29]]},"issued":{"date-parts":[["2014",11,18]]}},"label":"page"}],"schema":"https://github.com/citation-style-language/schema/raw/master/csl-citation.json"} </w:instrText>
      </w:r>
      <w:r w:rsidRPr="00837161">
        <w:fldChar w:fldCharType="separate"/>
      </w:r>
      <w:r w:rsidR="00271B78" w:rsidRPr="00271B78">
        <w:t>(Driscoll et al., 2014)</w:t>
      </w:r>
      <w:r w:rsidRPr="00837161">
        <w:fldChar w:fldCharType="end"/>
      </w:r>
      <w:r w:rsidRPr="00837161">
        <w:t xml:space="preserve">. A similar situation was also reported in ornamental horticulture industry </w:t>
      </w:r>
      <w:r w:rsidRPr="00837161">
        <w:fldChar w:fldCharType="begin"/>
      </w:r>
      <w:r w:rsidR="000F35EB">
        <w:instrText xml:space="preserve"> ADDIN ZOTERO_ITEM CSL_CITATION {"citationID":"kM65TTe7","properties":{"formattedCitation":"(Niemiera &amp; Holle, 2009)","plainCitation":"(Niemiera &amp; Holle, 2009)","noteIndex":0},"citationItems":[{"id":24118,"uris":["http://zotero.org/groups/2352922/items/AQQBNYLJ"],"itemData":{"id":24118,"type":"chapter","abstract":"The ornamental horticulture industry is responsible for the introduction, propagation, and transport of thousands of nonnative plant species, most of which stay in their intended locations or spread without significant environmental impacts. However, some nonindigenous plant species have proved to be particularly invasive and quite environmentally deleterious. The economically and politically powerful horticulture industry is faced with the dichotomous dilemma of the freedom to import and propagate plant species juxtaposed with the responsibility to be a diligent land steward. We discuss the various fundamental biological factors of plant invasion, as well as the environmental impacts, probability, prediction, and ranking of invasive species. We also review the role of the nursery industry in importing nonnative species, the perception of the problem by nursery personnel, and the impact of governmental and self-regulation. We conclude with recommendations for the ornamental plant industry to mitigate its role in dispersing invasive, nonnative plant species.","collection-title":"Invading Nature – Springer Series In Invasion Ecology","container-title":"Management of Invasive Weeds","event-place":"Dordrecht","ISBN":"978-1-4020-9201-5","language":"en","note":"DOI: 10.1007/978-1-4020-9202-2_9","page":"167-187","publisher":"Springer Netherlands","publisher-place":"Dordrecht","source":"DOI.org (Crossref)","title":"Invasive Plant Species and the Ornamental Horticulture Industry","URL":"http://link.springer.com/10.1007/978-1-4020-9202-2_9","volume":"5","editor":[{"literal":"Inderjit"}],"author":[{"family":"Niemiera","given":"Alex X."},{"family":"Holle","given":"Betsy Von"}],"accessed":{"date-parts":[["2019",10,7]]},"issued":{"date-parts":[["2009"]]}},"label":"page"}],"schema":"https://github.com/citation-style-language/schema/raw/master/csl-citation.json"} </w:instrText>
      </w:r>
      <w:r w:rsidRPr="00837161">
        <w:fldChar w:fldCharType="separate"/>
      </w:r>
      <w:r w:rsidR="00271B78" w:rsidRPr="00271B78">
        <w:t>(Niemiera &amp; Holle, 2009)</w:t>
      </w:r>
      <w:r w:rsidRPr="00837161">
        <w:fldChar w:fldCharType="end"/>
      </w:r>
      <w:r w:rsidRPr="00837161">
        <w:t>. This lack of recognition of social responsibility is at least partly due to a lack of incentives (</w:t>
      </w:r>
      <w:r w:rsidR="00FC2D8D">
        <w:t xml:space="preserve">as they </w:t>
      </w:r>
      <w:r w:rsidRPr="00837161">
        <w:t xml:space="preserve">do not see this as their problem) and legal responsibilities </w:t>
      </w:r>
      <w:r w:rsidRPr="00837161">
        <w:fldChar w:fldCharType="begin"/>
      </w:r>
      <w:r w:rsidR="000F35EB">
        <w:instrText xml:space="preserve"> ADDIN ZOTERO_ITEM CSL_CITATION {"citationID":"vXZLOUSn","properties":{"formattedCitation":"(Driscoll et al., 2014; Simberloff et al., 2005)","plainCitation":"(Driscoll et al., 2014; Simberloff et al., 2005)","noteIndex":0},"citationItems":[{"id":29149,"uris":["http://zotero.org/groups/2352922/items/P3WI2WYU"],"itemData":{"id":29149,"type":"article-journal","abstract":"Introduced species represent an accelerated global change, and current efforts to manage them, though effective in particular situations, are not controlling the general problem. In the US, this failure is the result of insufficient policy, inadequate research and management funding, and gaps in scientific knowledge. Comparative policy analysis is urgently needed; the main US shortcoming is the absence of a coherent set of policies to address the entire issue, rather than individual invaders. Deliberate introductions should be more stringently regulated and risk assessments must become more predictive. Monitoring and attempts to identify new invasions (both deliberate and inadvertent) are technically feasible but not sufficiently funded and coordinated. Techniques to manage established invaders have often succeeded, but have been hamstrung by inconsistent funding. All of these problems could be improved by more fundamental research, ranging from basic natural history and simple advances in control technologies to more sophisticated ecological modeling and remote sensing techniques.","container-title":"Frontiers in Ecology and the Environment","DOI":"10.1890/1540-9295(2005)003[0012:ISPMAF]2.0.CO;2","ISSN":"1540-9295","issue":"1","journalAbbreviation":"Frontiers in Ecology and the Environment","language":"en","page":"12-20","source":"DOI.org (Crossref)","title":"Introduced species policy, management, and future research needs","URL":"http://doi.wiley.com/10.1890/1540-9295(2005)003[0012:ISPMAF]2.0.CO;2","volume":"3","author":[{"family":"Simberloff","given":"Daniel"},{"family":"Parker","given":"Ingrid M."},{"family":"Windle","given":"Phyllis N."}],"accessed":{"date-parts":[["2019",10,23]]},"issued":{"date-parts":[["2005",2]]}},"label":"page"},{"id":31179,"uris":["http://zotero.org/groups/2352922/items/7WJ3HEZW"],"itemData":{"id":31179,"type":"article-journal","abstract":"Agricultural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M."},{"family":"Riley","given":"Sophie"},{"family":"Visser","given":"Vernon"}],"accessed":{"date-parts":[["2021",10,29]]},"issued":{"date-parts":[["2014",11,18]]}},"label":"page"}],"schema":"https://github.com/citation-style-language/schema/raw/master/csl-citation.json"} </w:instrText>
      </w:r>
      <w:r w:rsidRPr="00837161">
        <w:fldChar w:fldCharType="separate"/>
      </w:r>
      <w:r w:rsidR="00271B78" w:rsidRPr="00271B78">
        <w:t>(Driscoll et al., 2014; Simberloff et al., 2005)</w:t>
      </w:r>
      <w:r w:rsidRPr="00837161">
        <w:fldChar w:fldCharType="end"/>
      </w:r>
      <w:r w:rsidRPr="00837161">
        <w:t xml:space="preserve">. Coordinated participation of private landowners is also crucial, but is often lacking in the actual management </w:t>
      </w:r>
      <w:r w:rsidRPr="00837161">
        <w:fldChar w:fldCharType="begin"/>
      </w:r>
      <w:r w:rsidR="000F35EB">
        <w:instrText xml:space="preserve"> ADDIN ZOTERO_ITEM CSL_CITATION {"citationID":"vrRkMMMz","properties":{"formattedCitation":"(Drescher et al., 2019; Meier et al., 2017)","plainCitation":"(Drescher et al., 2019; Meier et al., 2017)","noteIndex":0},"citationItems":[{"id":24708,"uris":["http://zotero.org/groups/2352922/items/2T3CDEBG"],"itemData":{"id":24708,"type":"article-journal","abstract":"Invasive species are a large and growing threat to biodiversity and ecosystem service provisioning globally as well as in southern Ontario, Canada's most biodiverse region. As in many other world regions, most land in southern Ontario is privately owned and therefore conservation programs that aim at private lands are important. Conservation incentive programs that target private lands are increasingly popular, but little is known about their effectiveness in achieving conservation objectives. To address this knowledge gap, we used a large survey of 1,200 Ontario landowners to investigate how successful conservation incentive programs are at motivating landowners to engage in invasive species management. Utilizing a quasiexperimental approach, we surveyed landowners participating in the Conservation Lands Tax Incentive Program (CLTIP), the Managed Forest Tax Incentive Program (MFTIP), or in both programs, as well as landowners who were program eligible but did not participate. Our results demonstrate the differential effects of participation in the two programs on specific landowner conservation behaviors: While participation in the MFTIP increased the likelihood of removing invasive species by a factor 2.5 and the planting of native species by a factor 4.3, participants in the CLTIP were no more likely to engage in these behaviors than landowners who did not participate in either program. We suggest that this behavioral disparity is due to the differences in the program designs: The CLTIP does not require a management plan, favors a short planning horizon, and mainly encourages passive management; in doing so it essentially breaks the causal chain that reinforces landowners' environmental awareness and a sense of responsibility for taking conservation actions. Our recommendations include requirements for impact evaluations of private land conservation incentive programs to ensure they achieve stated program outcomes, as well as conservation incentive program designs that oblige landowners to actively manage their land over longer time horizons.","container-title":"Conservation Science and Practice","DOI":"10.1111/csp2.56","ISSN":"2578-4854, 2578-4854","issue":"7","journalAbbreviation":"Conservat Sci and Prac","language":"en","page":"e56","source":"DOI.org (Crossref)","title":"An investigation of the effects of conservation incentive programs on management of invasive species by private landowners","URL":"https://onlinelibrary.wiley.com/doi/abs/10.1111/csp2.56","volume":"1","author":[{"family":"Drescher","given":"Michael"},{"family":"Epstein","given":"Graham B."},{"family":"Warriner","given":"G. Keith"},{"family":"Rooney","given":"Rebecca C."}],"accessed":{"date-parts":[["2021",3,9]]},"issued":{"date-parts":[["2019",7]]}},"label":"page"},{"id":24709,"uris":["http://zotero.org/groups/2352922/items/JUV74E8I"],"itemData":{"id":24709,"type":"article-journal","abstract":"In the city of Tromsø in northern Norway, invasive Tromsø palm (Norwegian: Tromsøpalme; English: Persian hogweed) is widespread. Although Tromsø palm has negative impacts on biodiversity and contains a phototoxic sap that burns human skin, it is also considered to be a local symbol of Tromsø city and is appreciated by many inhabitants. This study examined private landowners’ characteristics, perceptions, and landowners’ regulation of invasive Tromsø palm on their parcels on Tromsø Island in 2012 (vegetation season: May–September) to provide information concerning which landowner groups could be assisted by ofﬁcial regulation. Eleven key informants and 17 landowners were interviewed. Afterward, Tromsø palm on Tromsø Island was mapped using aerial photos and street-level photos from Google Maps®/Google Street View® and ﬁeldwork veriﬁcation. This distribution map was superimposed on a property map in a geographic information system to produce a map showing private parcels that contained Tromsø palm and associated neighboring parcels that did not contain Tromsø palm. Questionnaires were mailed to the 441 owners of the selected parcels, and 199 of the returned questionnaires were analyzed. Tromsø palm was more likely to be fully regulated/absent on a parcel that was inhabited (particularly if the owner lived on-site) and less likely to be fully regulated/absent if the parcel was jointly managed by several households. These ﬁndings indicate that authorities could focus their management efforts on supporting regulation efforts of those private landowners who own currently uninhabited or rented-out parcels and landowners of parcels jointly managed by several households. Furthermore, those landowners who found regulation measures against the plant on Tromsø Island important tended to have partly or fully regulated Tromsø palm on their plots. This might imply that information campaigns from authorities might encourage more landowners to regulate Tromsø palm. Nomenclature: Tromsø palm (Norwegian: Tromsøpalme; English: Persian hogweed); Heracleum persicum Fischer/ H. laciniatum auct. scand.; non Hornem.","container-title":"Invasive Plant Science and Management","DOI":"10.1017/inp.2017.11","ISSN":"1939-7291, 1939-747X","issue":"2","journalAbbreviation":"Invasive plant sci. manag.","language":"en","page":"166-179","source":"DOI.org (Crossref)","title":"Regulation of the Invasive Plant &lt;i&gt;Heracleum persicum&lt;/i&gt; by Private Landowners in Tromsø, Norway","URL":"https://www.cambridge.org/core/product/identifier/S1939729117000116/type/journal_article","volume":"10","author":[{"family":"Meier","given":"Sophie"},{"family":"Taff","given":"Gregory N."},{"family":"Aune","given":"Jens B."},{"family":"Eiter","given":"Sebastian"}],"accessed":{"date-parts":[["2021",3,9]]},"issued":{"date-parts":[["2017",6]]}},"label":"page"}],"schema":"https://github.com/citation-style-language/schema/raw/master/csl-citation.json"} </w:instrText>
      </w:r>
      <w:r w:rsidRPr="00837161">
        <w:fldChar w:fldCharType="separate"/>
      </w:r>
      <w:r w:rsidR="00271B78" w:rsidRPr="00271B78">
        <w:t>(Drescher et al., 2019; Meier et al., 2017)</w:t>
      </w:r>
      <w:r w:rsidRPr="00837161">
        <w:fldChar w:fldCharType="end"/>
      </w:r>
      <w:r w:rsidRPr="00837161">
        <w:t xml:space="preserve"> frequently due to lack of legal responsibility or incentives </w:t>
      </w:r>
      <w:r w:rsidRPr="00837161">
        <w:fldChar w:fldCharType="begin"/>
      </w:r>
      <w:r w:rsidR="000F35EB">
        <w:instrText xml:space="preserve"> ADDIN ZOTERO_ITEM CSL_CITATION {"citationID":"ESCXShLv","properties":{"formattedCitation":"(Epanchin-Niell &amp; Wilen, 2015)","plainCitation":"(Epanchin-Niell &amp; Wilen, 2015)","noteIndex":0},"citationItems":[{"id":23923,"uris":["http://zotero.org/groups/2352922/items/6CA4DV74"],"itemData":{"id":23923,"type":"article-journal","abstract":"As a bioinvasion spreads across a landscape from its point of introduction, damages rise roughly with the square of the distance from the original invasion. It is thus generally beneﬁcial, at the landscape scale, to apply eradication or containment controls early if not immediately upon discovery. However, an individual property owner only has incentives to consider the costs and beneﬁts of control on his/her own property rather than potential landscape-scale damages. Bioinvasions will therefore generally be under-controlled in a landscape of independent owners operating under a laissez-faire system. A mechanism is thus needed to induce early cooperative contributions to control costs from beneﬁciaries who would, without them, be invaded later. We develop a spatially-explicit, integrated model of invasion spread and human behavior to examine how different degrees of spatial cooperation affect patterns of invasion spread and the total costs and damages imposed. We compare individual laissez-faire, cooperative control by adjacent neighbors, and cooperative control by groups including more distant but nearby neighbors. As expected, private laissez-faire control decisions tend to under-control the invasion relative to socially optimal control under most circumstances. But a reasonably high fraction of ﬁrst best payoffs can be achieved with only a modest geographical reach of cooperation. We also ﬁnd that less extensive cooperation is needed to control invasions whose costs and damages otherwise lead to the largest externalities (circumstances with costs that are relatively low compared with damages). This suggests that even small amounts of cooperation to control bioinvasions can provide large social beneﬁts.","container-title":"American Journal of Agricultural Economics","DOI":"10.1093/ajae/aau058","ISSN":"0002-9092, 1467-8276","issue":"1","journalAbbreviation":"American Journal of Agricultural Economics","language":"en","page":"180-198","source":"DOI.org (Crossref)","title":"Individual and Cooperative Management of Invasive Species in Human-mediated Landscapes","URL":"https://academic.oup.com/ajae/article-lookup/doi/10.1093/ajae/aau058","volume":"97","author":[{"family":"Epanchin-Niell","given":"R. S."},{"family":"Wilen","given":"J. E."}],"accessed":{"date-parts":[["2019",10,31]]},"issued":{"date-parts":[["2015",1]]}},"label":"page"}],"schema":"https://github.com/citation-style-language/schema/raw/master/csl-citation.json"} </w:instrText>
      </w:r>
      <w:r w:rsidRPr="00837161">
        <w:fldChar w:fldCharType="separate"/>
      </w:r>
      <w:r w:rsidR="00271B78" w:rsidRPr="00271B78">
        <w:t>(Epanchin-Niell &amp; Wilen, 2015)</w:t>
      </w:r>
      <w:r w:rsidRPr="00837161">
        <w:fldChar w:fldCharType="end"/>
      </w:r>
      <w:r w:rsidRPr="00837161">
        <w:t xml:space="preserve">, </w:t>
      </w:r>
      <w:r w:rsidR="002F2F42">
        <w:t xml:space="preserve">hindering effective management of biological invasions across entire landscapes </w:t>
      </w:r>
      <w:r w:rsidRPr="00837161">
        <w:fldChar w:fldCharType="begin"/>
      </w:r>
      <w:r w:rsidR="000F35EB">
        <w:instrText xml:space="preserve"> ADDIN ZOTERO_ITEM CSL_CITATION {"citationID":"AeigwJcm","properties":{"formattedCitation":"(Glen et al., 2017)","plainCitation":"(Glen et al., 2017)","noteIndex":0},"citationItems":[{"id":24710,"uris":["http://zotero.org/groups/2352922/items/ZRWJGBNK"],"itemData":{"id":24710,"type":"article-journal","container-title":"Biological Invasions","DOI":"10.1007/s10530-016-1282-3","ISSN":"1387-3547, 1573-1464","issue":"1","journalAbbreviation":"Biol Invasions","language":"en","page":"329-338","source":"DOI.org (Crossref)","title":"Landholder participation in regional-scale control of invasive predators: an adaptable landscape model","title-short":"Landholder participation in regional-scale control of invasive predators","URL":"http://link.springer.com/10.1007/s10530-016-1282-3","volume":"19","author":[{"family":"Glen","given":"A. S."},{"family":"Latham","given":"M. C."},{"family":"Anderson","given":"D."},{"family":"Leckie","given":"C."},{"family":"Niemiec","given":"R."},{"family":"Pech","given":"R. P."},{"family":"Byrom","given":"A. E."}],"accessed":{"date-parts":[["2021",3,9]]},"issued":{"date-parts":[["2017",1]]}},"label":"page"}],"schema":"https://github.com/citation-style-language/schema/raw/master/csl-citation.json"} </w:instrText>
      </w:r>
      <w:r w:rsidRPr="00837161">
        <w:fldChar w:fldCharType="separate"/>
      </w:r>
      <w:r w:rsidR="00271B78" w:rsidRPr="00271B78">
        <w:t>(Glen et al., 2017)</w:t>
      </w:r>
      <w:r w:rsidRPr="00837161">
        <w:fldChar w:fldCharType="end"/>
      </w:r>
      <w:r w:rsidRPr="00837161">
        <w:t xml:space="preserve">. There are however many examples where effective regulatory, social responsibility and incentive-based systems support effective industry </w:t>
      </w:r>
      <w:r w:rsidRPr="00837161">
        <w:fldChar w:fldCharType="begin"/>
      </w:r>
      <w:r w:rsidR="000F35EB">
        <w:instrText xml:space="preserve"> ADDIN ZOTERO_ITEM CSL_CITATION {"citationID":"6LXVYg5L","properties":{"unsorted":true,"formattedCitation":"(Harrington et al., 2003; Burt et al., 2007; Conser et al., 2015)","plainCitation":"(Harrington et al., 2003; Burt et al., 2007; Conser et al., 2015)","noteIndex":0},"citationItems":[{"id":10056,"uris":["http://zotero.org/groups/2352922/items/QEEY2VR8"],"itemData":{"id":10056,"type":"article-journal","abstract":"There are many motivations for introducing plant species to areas outside their native range. Non-native plants can provide food, medicine, shelter, and ecosystem services, as well as aesthetic value. However, some species, such as Norway maple (Acer platanoides), Japanese barberry (Berberis thunbergii), and Oriental bittersweet (Celastrus orbiculatus), have escaped from cultivation, with severe ecological and economic consequences. The approval of a National Invasive Species Management Plan in June 2001 has major implications for future plant introductions and has generated concern in the green industry. There is general agreement among plant professionals regarding (1) a need for education of industry people and client groups on the issue of invasive species, (2) minimizing economic disruption to the nursery industry, and (3) requirements for objective data to support listing of species as invasive. Nursery and landscape associations in several states have already taken steps toward listing invasive species in cooperation with conservation organizations. This proactive approach ensures industry representation and input in developing policy and, when coupled with intense and ongoing educational programs for industry people and their clients, could dramatically reduce the introduction and spread of invasive species.","container-title":"Journal of Arboriculture","issue":"1","language":"en","page":"42-48","source":"Zotero","title":"Invasive plants and the green industry","URL":"https://joa.isa-arbor.com/request.asp?JournalID=1&amp;ArticleID=70&amp;Type=2","volume":"29","author":[{"family":"Harrington","given":"Robin A"},{"family":"Kujawski","given":"Ronald"},{"family":"Ryan","given":"H Dennis P"}],"issued":{"date-parts":[["2003"]]}},"label":"page"},{"id":31404,"uris":["http://zotero.org/groups/2352922/items/AR2YGWJH"],"itemData":{"id":31404,"type":"article-journal","abstract":"Although prevention is the most cost-effective way to avoid the enormous expenses associated with plant invasions, invasive plants continue to be imported as trade commodities for horticultural use. With very little government regulation of horticultural imports of invasive plants, efforts have turned toward fostering voluntary initiatives to encourage self-regulation by the horticulture trade. Our study takes the first step toward evaluating the potential success of these voluntary initiatives. We conducted a survey of nursery professionals to gauge their perceptions of invasive species, the role of the horticulture trade in invasive plant introductions, and their participation-potential and actual-in preventive measures outlined in the St Louis Voluntary Codes of Conduct for nursery professionals. We found nursery professionals to be highly aware of invasive plants and to accept responsibility as a trade for horticultural introductions. Although only 7% of respondents had heard of the St Louis Voluntary Codes of Conduct, the majority (57%) reported having participated in at least two of seven preventive measures, and most (78%) reported willingness to engage in the majority of preventive measures. We found that several factors significantly predict increased participation in preventive measures, particularly awareness of invasive plants and involvement in trade associations. We also identified incentives and obstacles to participating in preventive behaviors, including \"concern for the environment\" and \"lack of information,\" respectively. Our results suggest that participation in voluntary initiatives will improve through increased outreach, and we provide specific recommendations for improving participation in voluntary programs in the horticulture trade. © 2007 Springer Science+Business Media, Inc.","container-title":"Biological Invasions","DOI":"10.1007/s10530-007-9090-4","ISSN":"1387-3547, 1573-1464","issue":"8","journalAbbreviation":"Biol Invasions","language":"en","page":"909-923","source":"DOI.org (Crossref)","title":"Preventing horticultural introductions of invasive plants: potential efficacy of voluntary initiatives","title-short":"Preventing horticultural introductions of invasive plants","URL":"http://link.springer.com/10.1007/s10530-007-9090-4","volume":"9","author":[{"family":"Burt","given":"Jennifer W."},{"family":"Muir","given":"Adrianna A."},{"family":"Piovia-Scott","given":"Jonah"},{"family":"Veblen","given":"Kari E."},{"family":"Chang","given":"Andy L."},{"family":"Grossman","given":"Judah D."},{"family":"Weiskel","given":"Heidi W."}],"accessed":{"date-parts":[["2020",2,22]]},"issued":{"date-parts":[["2007",10,18]]}},"label":"page"},{"id":16342,"uris":["http://zotero.org/groups/2352922/items/3925FUC2"],"itemData":{"id":16342,"type":"article-journal","container-title":"PLoS ONE","DOI":"10.1371/journal.pone.0121053","ISSN":"1932-6203","issue":"3","journalAbbreviation":"PLoS ONE","language":"en","page":"e0121053","source":"DOI.org (Crossref)","title":"The Development of a Plant Risk Evaluation (PRE) Tool for Assessing the Invasive Potential of Ornamental Plants","URL":"https://dx.plos.org/10.1371/journal.pone.0121053","volume":"10","author":[{"family":"Conser","given":"Christiana"},{"family":"Seebacher","given":"Lizbeth"},{"family":"Fujino","given":"David W."},{"family":"Reichard","given":"Sarah"},{"family":"DiTomaso","given":"Joseph M."}],"editor":[{"family":"Liu","given":"Jian"}],"accessed":{"date-parts":[["2019",11,6]]},"issued":{"date-parts":[["2015",3,24]]}},"label":"page"}],"schema":"https://github.com/citation-style-language/schema/raw/master/csl-citation.json"} </w:instrText>
      </w:r>
      <w:r w:rsidRPr="00837161">
        <w:fldChar w:fldCharType="separate"/>
      </w:r>
      <w:r w:rsidR="00271B78" w:rsidRPr="00271B78">
        <w:t>(Harrington et al., 2003; Burt et al., 2007; Conser et al., 2015)</w:t>
      </w:r>
      <w:r w:rsidRPr="00837161">
        <w:fldChar w:fldCharType="end"/>
      </w:r>
      <w:r w:rsidRPr="00837161">
        <w:t xml:space="preserve"> and landowner </w:t>
      </w:r>
      <w:r w:rsidRPr="00837161">
        <w:fldChar w:fldCharType="begin"/>
      </w:r>
      <w:r w:rsidR="000F35EB">
        <w:instrText xml:space="preserve"> ADDIN ZOTERO_ITEM CSL_CITATION {"citationID":"GrgW5m8x","properties":{"formattedCitation":"(G. R. Marshall et al., 2016; Niemiec et al., 2017)","plainCitation":"(G. R. Marshall et al., 2016; Niemiec et al., 2017)","noteIndex":0},"citationItems":[{"id":10010,"uris":["http://zotero.org/groups/2352922/items/MZTX9XFJ"],"itemData":{"id":10010,"type":"article-journal","abstract":"Responsibility for solving collective action problems in invasive species control has conventionally been assigned to government. The large continuing costs arising from invasive species demonstrate the limitations of government-centred (monocentric) approaches to governance in this domain, and indicate a need for polycentric alternatives which complement government capacities with those of landholders and their community organisations. We sought to add to existing knowledge about collective action problems for invasive species management, and to explore the potential for community-based, polycentric approaches to improve management in this domain, through workshops and a survey of landholders regarding the weed serrated tussock (Nassella trichotoma) in two regions of New South Wales, Australia. Serrated tussock threatens the private interests of a substantial proportion of landholders in the two regions. Private landholders recognise how management of this weed on their own properties poses a collective action problem, where success is dependent on the diligent control efforts of neighbouring private and public landholders. They are more likely to consider issues relating to horizontal social capital (e.g. relationships with public and private neighbours) as barriers to effective serrated tussock control on their own property, than issues relating to information and education about this species. Community-based approaches to this weed have the potential to improve its management across the landscape, and a great majority of private landholders appear willing to participate in such a program. Such an approach will require the active participation of public land managers, continued coercion of non-cooperative landholders, and can be developed from the foundation of existing institutional arrangements for land management, taking into account unique regional relationships and characteristics. It should complement and build on, rather than replace existing legislative, research, and extension approaches.","container-title":"Land Use Policy","DOI":"10.1016/j.landusepol.2016.04.028","ISSN":"0264-8377","journalAbbreviation":"Land Use Policy","language":"en","page":"100-111","title":"Collective action in invasive species control, and prospects for community-based governance: The case of serrated tussock (&lt;i&gt;Nassella trichotoma&lt;/i&gt;) in New South Wales, Australia","title-short":"Collective action in invasive species control, and prospects for community-based governance","URL":"https://linkinghub.elsevier.com/retrieve/pii/S0264837715301745","volume":"56","author":[{"family":"Marshall","given":"Graham R."},{"family":"Coleman","given":"Michael J."},{"family":"Sindel","given":"Brian M."},{"family":"Reeve","given":"Ian J."},{"family":"Berney","given":"Peter J."}],"issued":{"date-parts":[["2016",11]]}},"label":"page"},{"id":31712,"uris":["http://zotero.org/groups/2352922/items/PSZBGXW8"],"itemData":{"id":31712,"type":"article-journal","abstract":"To achieve biodiversity gains, landowner engagement in coordinated invasive species control programs across private lands is needed. Understanding landowners’ perspectives toward such coordinated control efforts is crucial to facilitating engagement. We conducted in person and mail surveys of 68 landowners in and adjacent to the area of a proposed invasive predator control program in New Zealand. We ﬁnd that, similar to previous studies, landowners consider the potential socioeconomic and ecological beneﬁts of invasive species control and express a strong desire to enhance native biodiversity. However, we also ﬁnd that landowners take into account the complexity of the local social and ecological context in which a program will unfold in three ways: they consider (1) the level of contribution by other landowners and urban residents who are beneﬁting from collective control efforts; (2) the potential for the program to upset the local “ecological balance”, leading to increases in other pests; and (3) the probability that the program will be successful given the likelihood of others participating and control tactics being effective. We suggest that managers of coordinated invasive species control efforts may beneﬁt from devoting time and resources toward addressing beliefs about social and ecological context, rather than solely providing ﬁnancial subsidies and information about control tactics or the impacts of invasive species.","container-title":"Environmental Management","DOI":"10.1007/s00267-016-0807-y","ISSN":"0364-152X, 1432-1009","issue":"3","journalAbbreviation":"Environmental Management","language":"en","page":"477-489","source":"DOI.org (Crossref)","title":"Landowners’ Perspectives on Coordinated, Landscape-Level Invasive Species Control: The Role of Social and Ecological Context","title-short":"Landowners’ Perspectives on Coordinated, Landscape-Level Invasive Species Control","URL":"http://link.springer.com/10.1007/s00267-016-0807-y","volume":"59","author":[{"family":"Niemiec","given":"Rebecca M."},{"family":"Pech","given":"Roger P."},{"family":"Norbury","given":"Grant L."},{"family":"Byrom","given":"Andrea E."}],"accessed":{"date-parts":[["2019",11,6]]},"issued":{"date-parts":[["2017",3]]}},"label":"page"}],"schema":"https://github.com/citation-style-language/schema/raw/master/csl-citation.json"} </w:instrText>
      </w:r>
      <w:r w:rsidRPr="00837161">
        <w:fldChar w:fldCharType="separate"/>
      </w:r>
      <w:r w:rsidR="00271B78" w:rsidRPr="00271B78">
        <w:t>(G. R. Marshall et al., 2016; Niemiec et al., 2017)</w:t>
      </w:r>
      <w:r w:rsidRPr="00837161">
        <w:fldChar w:fldCharType="end"/>
      </w:r>
      <w:r w:rsidRPr="00837161">
        <w:t xml:space="preserve"> engagement in prevention and management of </w:t>
      </w:r>
      <w:r w:rsidR="002F2F42">
        <w:t>biological invasions.</w:t>
      </w:r>
    </w:p>
    <w:p w14:paraId="04D2B6FA" w14:textId="4EE79DD3" w:rsidR="002F2F42" w:rsidRDefault="00383764" w:rsidP="00C11DFA">
      <w:pPr>
        <w:spacing w:before="240" w:after="120" w:line="240" w:lineRule="auto"/>
      </w:pPr>
      <w:r w:rsidRPr="00837161">
        <w:rPr>
          <w:b/>
          <w:bCs/>
        </w:rPr>
        <w:t>Lack of expertise</w:t>
      </w:r>
      <w:r w:rsidRPr="00837161">
        <w:t xml:space="preserve">: Declining numbers of specialist taxonomists and a shortage of invasive alien </w:t>
      </w:r>
      <w:r w:rsidR="00FC2D8D">
        <w:t xml:space="preserve">species </w:t>
      </w:r>
      <w:r w:rsidRPr="00837161">
        <w:t xml:space="preserve">management specialists creates capability impediments to </w:t>
      </w:r>
      <w:r w:rsidR="002F2F42">
        <w:t xml:space="preserve">management of biological invasions </w:t>
      </w:r>
      <w:r w:rsidRPr="00837161">
        <w:t xml:space="preserve">(e.g., </w:t>
      </w:r>
      <w:r w:rsidRPr="00837161">
        <w:fldChar w:fldCharType="begin"/>
      </w:r>
      <w:r w:rsidR="000F35EB">
        <w:instrText xml:space="preserve"> ADDIN ZOTERO_ITEM CSL_CITATION {"citationID":"5DtYSFzy","properties":{"formattedCitation":"(Py\\uc0\\u353{}ek et al., 2013)","plainCitation":"(Pyšek et al., 2013)","dontUpdate":true,"noteIndex":0},"citationItems":[{"id":29207,"uris":["http://zotero.org/groups/2352922/items/YG4LGN6Y"],"itemData":{"id":29207,"type":"article-journal","abstract":"This paper explores how a lack of taxonomic expertise, and by implication a dearth of taxonomic products such as identification tools, has hindered progress in understanding andmanaging biological invasions. It also explores how the taxonomic endeavour could benefit from studies of invasive species. We review the literature on the current situation in taxonomy with a focus on the challenges of identifying alien plant species and explorehowthis has affected the study of biological invasions. Biosecurity strategies, legislation dealing with invasive species, quarantine, weed surveillance and monitoring all depend on accurate and rapid identification of non-native taxa. However, such identification can be challenging because the taxonomic skill base in most countries is diffuse and lacks critical mass. Taxonomic resources are essential for the effective management of invasive plants and incorrect identifications can impede ecological studies. On the other hand, biological invasions have provided important tests of basic theories about species concepts. Better integration of classical alpha taxonomy and modern genetic taxonomic approaches will improve the accuracy of species identification and further refine taxonomic classification at the level of populations and genotypes in the field and laboratory. Modern taxonomy therefore needs to integrate both classical and new concepts and approaches. In particular, differing points of view between the proponents of morphological and molecular approaches should be negotiated because a narrow taxonomic perspective is harmful; the rigour of taxonomic decision- making clearly increases if insights from a variety of different complementary disciplines are combined and confronted. Taxonomy plays a critical role in the study of plant invasions and in turn benefits from the insights gained from these studies. © 2013 The Authors.","container-title":"AoB PLANTS","DOI":"10.1093/aobpla/plt042","ISSN":"2041-2851","journalAbbreviation":"AoB PLANTS","language":"en","page":"plt042","source":"DOI.org (Crossref)","title":"Hitting the right target: taxonomic challenges for, and of, plant invasions","title-short":"Hitting the right target","URL":"https://academic.oup.com/aobpla/article-lookup/doi/10.1093/aobpla/plt042","volume":"5","author":[{"family":"Pyšek","given":"Petr"},{"family":"Hulme","given":"P. E."},{"family":"Meyerson","given":"L. A."},{"family":"Smith","given":"G. F."},{"family":"Boatwright","given":"J. S."},{"family":"Crouch","given":"N. R."},{"family":"Figueiredo","given":"E."},{"family":"Foxcroft","given":"L. C."},{"family":"Jarošík","given":"V."},{"family":"Richardson","given":"D. M."},{"family":"Suda","given":"J."},{"family":"Wilson","given":"J. R. U."}],"accessed":{"date-parts":[["2021",6,16]]},"issued":{"date-parts":[["2013",11,13]]}},"label":"page"}],"schema":"https://github.com/citation-style-language/schema/raw/master/csl-citation.json"} </w:instrText>
      </w:r>
      <w:r w:rsidRPr="00837161">
        <w:fldChar w:fldCharType="separate"/>
      </w:r>
      <w:r w:rsidR="008A7E69" w:rsidRPr="00837161">
        <w:t>Pyšek et al., 2013)</w:t>
      </w:r>
      <w:r w:rsidRPr="00837161">
        <w:fldChar w:fldCharType="end"/>
      </w:r>
      <w:r w:rsidRPr="00837161">
        <w:t xml:space="preserve"> and regulations at policy level </w:t>
      </w:r>
      <w:r w:rsidR="00D34D15" w:rsidRPr="00837161">
        <w:fldChar w:fldCharType="begin"/>
      </w:r>
      <w:r w:rsidR="000F35EB">
        <w:instrText xml:space="preserve"> ADDIN ZOTERO_ITEM CSL_CITATION {"citationID":"4UoLCbHv","properties":{"formattedCitation":"(Hieda et al., 2020)","plainCitation":"(Hieda et al., 2020)","noteIndex":0},"citationItems":[{"id":53160,"uris":["http://zotero.org/groups/2352922/items/2EL4PFHR"],"itemData":{"id":53160,"type":"article-journal","abstract":"Ludwigia grandiflora (Michx.) Greuter &amp; Burdet is an invasive aquatic plant native to an area ranging from the southeastern United States to South America. In previous reports, L. grandiflora in Lake Biwa has been identified as L. grandiflora subsp. grandiflora, a hexaploid subspecies (2n = 48) or L. grandiflora sensu lato. Species of Ludwigia sect. Jussiaea, are morphologically very similar. Morphological characters, especially floral characters and cytology (chromosome number) have been used to identify species and subspecies. In our study, the morphological characteristics of L. grandiflora in Lake Biwa substantially corresponded to those of L. grandiflora subsp. hexapetala (Hook. &amp; Arn.) G. L. Nesom &amp; Kartesz, a decaploid (2n = 80) subspecies. The chromosome number of L. grandiflora in Lake Biwa was 2n = ca. 80, the same as in L. grandiflora subsp. hexapetala (2n = 80). Importantly, L. grandiflora in Lake Biwa is not L. grandiflora subsp. grandiflora, but rather L. grandiflora subsp. hexapetala. This re-identification has implications for management in Lake Biwa, since the life history of L. grandiflora subsp. hexapetala has been studied in Europe.","container-title":"Acta Phytotaxonomica et Geobotanica","DOI":"10.18942/apg.201911","ISSN":"2189-7042","issue":"1","language":"en","page":"65-71","source":"DOI.org (CSL JSON)","title":"&lt;i&gt;Ludwigia grandiflora &lt;/i&gt;(Michx.) Greuter &amp; Burdet subsp. &lt;i&gt;hexapetala&lt;/i&gt; (Hook. &amp; Arn.) G. L. Nesom &amp; Kartesz, an Invasive Aquatic Plant in Lake Biwa, the Largest Lake in Japan","URL":"https://doi.org/10.18942/apg.201911","volume":"71","author":[{"family":"Hieda","given":"Shinya"},{"family":"Kaneko","given":"Yuko"},{"family":"Nakagawa","given":"Masato"},{"family":"Noma","given":"Naohiko"}],"accessed":{"date-parts":[["2022",9,2]]},"issued":{"date-parts":[["2020",2,29]]}},"label":"page"}],"schema":"https://github.com/citation-style-language/schema/raw/master/csl-citation.json"} </w:instrText>
      </w:r>
      <w:r w:rsidR="00D34D15" w:rsidRPr="00837161">
        <w:fldChar w:fldCharType="separate"/>
      </w:r>
      <w:r w:rsidR="00271B78" w:rsidRPr="00271B78">
        <w:t>(Hieda et al., 2020)</w:t>
      </w:r>
      <w:r w:rsidR="00D34D15" w:rsidRPr="00837161">
        <w:fldChar w:fldCharType="end"/>
      </w:r>
      <w:r w:rsidRPr="00837161">
        <w:t>, leading to errors in decisions in many cases</w:t>
      </w:r>
      <w:r w:rsidR="00F26EC4" w:rsidRPr="00837161">
        <w:t xml:space="preserve"> </w:t>
      </w:r>
      <w:r w:rsidRPr="00837161">
        <w:fldChar w:fldCharType="begin"/>
      </w:r>
      <w:r w:rsidR="000F35EB">
        <w:instrText xml:space="preserve"> ADDIN ZOTERO_ITEM CSL_CITATION {"citationID":"4F9AYB5Q","properties":{"formattedCitation":"(Bortolus, 2008)","plainCitation":"(Bortolus, 2008)","noteIndex":0},"citationItems":[{"id":31773,"uris":["http://zotero.org/groups/2352922/items/QJUH6JCE"],"itemData":{"id":31773,"type":"article-journal","abstract":"Why do ecologists seem to underestimate the consequences of using bad taxonomy? Is it because the consequences of doing so have not been yet scrutinized well enough? Is it because these consequences are irrelevant? In this paper I examine and discuss these questions, focusing on the fact that because ecological works provide baseline information for many other biological disciplines, they play a key role in spreading and magnifying the abundance of a variety of conceptual and methodological errors. Although overlooked and underestimated, this cascade-like process originates from trivial taxonomical problems that affect hypotheses and ideas, but it soon shifts into a profound practical problem affecting our knowledge about nature, as well as the ecosystem structure and functioning and the efficiency of human health care programs. In order to improve the intercommunication among disciplines, I propose a set of specific requirements that peer reviewed journals should request from all authors, and I also advocate for urgent institutional and financial support directed at reinvigorating the formation of scientific collections that integrate taxonomy and ecology.","container-title":"AMBIO: A Journal of the Human Environment","DOI":"10.1579/0044-7447(2008)37[114:ECITBS]2.0.CO;2","ISSN":"0044-7447","issue":"2","journalAbbreviation":"AMBIO: A Journal of the Human Environment","language":"en","page":"114-118","source":"DOI.org (Crossref)","title":"Error Cascades in the Biological Sciences: The Unwanted Consequences of Using Bad Taxonomy in Ecology","title-short":"Error Cascades in the Biological Sciences","URL":"http://www.bioone.org/doi/abs/10.1579/0044-7447%282008%2937%5B114%3AECITBS%5D2.0.CO%3B2","volume":"37","author":[{"family":"Bortolus","given":"Alejandro"}],"accessed":{"date-parts":[["2019",10,21]]},"issued":{"date-parts":[["2008",3]]}},"label":"page"}],"schema":"https://github.com/citation-style-language/schema/raw/master/csl-citation.json"} </w:instrText>
      </w:r>
      <w:r w:rsidRPr="00837161">
        <w:fldChar w:fldCharType="separate"/>
      </w:r>
      <w:r w:rsidR="00271B78" w:rsidRPr="00271B78">
        <w:t>(Bortolus, 2008)</w:t>
      </w:r>
      <w:r w:rsidRPr="00837161">
        <w:fldChar w:fldCharType="end"/>
      </w:r>
      <w:r w:rsidRPr="00837161">
        <w:t xml:space="preserve">. This is also a weakness for understanding the status and trends </w:t>
      </w:r>
      <w:r w:rsidR="00197924" w:rsidRPr="00837161">
        <w:t>(</w:t>
      </w:r>
      <w:r w:rsidR="00012C85">
        <w:rPr>
          <w:b/>
          <w:iCs/>
        </w:rPr>
        <w:t>C</w:t>
      </w:r>
      <w:r w:rsidRPr="00012C85">
        <w:rPr>
          <w:b/>
          <w:iCs/>
        </w:rPr>
        <w:t>hapter 2</w:t>
      </w:r>
      <w:r w:rsidRPr="00837161">
        <w:t xml:space="preserve">) and impacts </w:t>
      </w:r>
      <w:r w:rsidR="00197924" w:rsidRPr="00837161">
        <w:t>(</w:t>
      </w:r>
      <w:r w:rsidR="00012C85">
        <w:rPr>
          <w:b/>
          <w:iCs/>
        </w:rPr>
        <w:t>C</w:t>
      </w:r>
      <w:r w:rsidRPr="00012C85">
        <w:rPr>
          <w:b/>
          <w:iCs/>
        </w:rPr>
        <w:t>hapter 4</w:t>
      </w:r>
      <w:r w:rsidRPr="00837161">
        <w:t xml:space="preserve">) of invasive alien species. </w:t>
      </w:r>
      <w:r w:rsidR="002F2F42">
        <w:rPr>
          <w:i/>
        </w:rPr>
        <w:t>Sporobolus densiflorus</w:t>
      </w:r>
      <w:r w:rsidR="002F2F42">
        <w:t xml:space="preserve"> </w:t>
      </w:r>
      <w:r w:rsidRPr="00837161">
        <w:t xml:space="preserve">(denseflower cordgrass) introduced in California from </w:t>
      </w:r>
      <w:r w:rsidR="00FC2D8D">
        <w:t>south-</w:t>
      </w:r>
      <w:r w:rsidRPr="00837161">
        <w:t xml:space="preserve">eastern America was confused with </w:t>
      </w:r>
      <w:r w:rsidR="007D3EF9" w:rsidRPr="00837161">
        <w:rPr>
          <w:i/>
          <w:iCs/>
        </w:rPr>
        <w:t>Sporobolus foliosus</w:t>
      </w:r>
      <w:r w:rsidRPr="00837161">
        <w:t xml:space="preserve"> (</w:t>
      </w:r>
      <w:r w:rsidR="007D3EF9" w:rsidRPr="00837161">
        <w:t>California cordgrass</w:t>
      </w:r>
      <w:r w:rsidRPr="00837161">
        <w:t xml:space="preserve">) and </w:t>
      </w:r>
      <w:r w:rsidR="004A57D1">
        <w:t xml:space="preserve">ecosystem </w:t>
      </w:r>
      <w:r w:rsidRPr="00837161">
        <w:t>restoration activities along the west coast of North America led to its spread (e.g., present in 94</w:t>
      </w:r>
      <w:r w:rsidR="006215F0" w:rsidRPr="00837161">
        <w:t xml:space="preserve"> per cent</w:t>
      </w:r>
      <w:r w:rsidRPr="00837161">
        <w:t xml:space="preserve"> of the Humboldt Bay) until 1985 </w:t>
      </w:r>
      <w:r w:rsidRPr="00837161">
        <w:fldChar w:fldCharType="begin"/>
      </w:r>
      <w:r w:rsidR="000F35EB">
        <w:instrText xml:space="preserve"> ADDIN ZOTERO_ITEM CSL_CITATION {"citationID":"vT6zX63J","properties":{"formattedCitation":"(Bortolus, 2008; Kittelson &amp; Boyd, 1997)","plainCitation":"(Bortolus, 2008; Kittelson &amp; Boyd, 1997)","noteIndex":0},"citationItems":[{"id":31773,"uris":["http://zotero.org/groups/2352922/items/QJUH6JCE"],"itemData":{"id":31773,"type":"article-journal","abstract":"Why do ecologists seem to underestimate the consequences of using bad taxonomy? Is it because the consequences of doing so have not been yet scrutinized well enough? Is it because these consequences are irrelevant? In this paper I examine and discuss these questions, focusing on the fact that because ecological works provide baseline information for many other biological disciplines, they play a key role in spreading and magnifying the abundance of a variety of conceptual and methodological errors. Although overlooked and underestimated, this cascade-like process originates from trivial taxonomical problems that affect hypotheses and ideas, but it soon shifts into a profound practical problem affecting our knowledge about nature, as well as the ecosystem structure and functioning and the efficiency of human health care programs. In order to improve the intercommunication among disciplines, I propose a set of specific requirements that peer reviewed journals should request from all authors, and I also advocate for urgent institutional and financial support directed at reinvigorating the formation of scientific collections that integrate taxonomy and ecology.","container-title":"AMBIO: A Journal of the Human Environment","DOI":"10.1579/0044-7447(2008)37[114:ECITBS]2.0.CO;2","ISSN":"0044-7447","issue":"2","journalAbbreviation":"AMBIO: A Journal of the Human Environment","language":"en","page":"114-118","source":"DOI.org (Crossref)","title":"Error Cascades in the Biological Sciences: The Unwanted Consequences of Using Bad Taxonomy in Ecology","title-short":"Error Cascades in the Biological Sciences","URL":"http://www.bioone.org/doi/abs/10.1579/0044-7447%282008%2937%5B114%3AECITBS%5D2.0.CO%3B2","volume":"37","author":[{"family":"Bortolus","given":"Alejandro"}],"accessed":{"date-parts":[["2019",10,21]]},"issued":{"date-parts":[["2008",3]]}}},{"id":23917,"uris":["http://zotero.org/groups/2352922/items/RPNBWHDX"],"itemData":{"id":23917,"type":"article-journal","container-title":"Estuaries","DOI":"10.2307/1352250","ISSN":"01608347","issue":"4","journalAbbreviation":"Estuaries","page":"770-778","source":"DOI.org (Crossref)","title":"Mechanisms of Expansion for an Introduced Species of Cordgrass, &lt;i&gt;Spartina densiflora&lt;/i&gt;, in Humboldt Bay, California","URL":"http://link.springer.com/10.2307/1352250","volume":"20","author":[{"family":"Kittelson","given":"Pamela M."},{"family":"Boyd","given":"Milton J."}],"accessed":{"date-parts":[["2020",8,26]]},"issued":{"date-parts":[["1997",12]]}},"label":"page"}],"schema":"https://github.com/citation-style-language/schema/raw/master/csl-citation.json"} </w:instrText>
      </w:r>
      <w:r w:rsidRPr="00837161">
        <w:fldChar w:fldCharType="separate"/>
      </w:r>
      <w:r w:rsidR="00271B78" w:rsidRPr="00271B78">
        <w:t>(Bortolus, 2008; Kittelson &amp; Boyd, 1997)</w:t>
      </w:r>
      <w:r w:rsidRPr="00837161">
        <w:fldChar w:fldCharType="end"/>
      </w:r>
      <w:r w:rsidRPr="00837161">
        <w:t xml:space="preserve"> preventing effective eradication </w:t>
      </w:r>
      <w:r w:rsidR="00030503" w:rsidRPr="00837161">
        <w:fldChar w:fldCharType="begin"/>
      </w:r>
      <w:r w:rsidR="000F35EB">
        <w:instrText xml:space="preserve"> ADDIN ZOTERO_ITEM CSL_CITATION {"citationID":"xRmqJVnE","properties":{"formattedCitation":"(Pickart, 2012)","plainCitation":"(Pickart, 2012)","noteIndex":0},"citationItems":[{"id":54349,"uris":["http://zotero.org/groups/2352922/items/KXUKCN4M"],"itemData":{"id":54349,"type":"article-journal","container-title":"Unpublished report, US Fish &amp; Wildlife Service, Arcata, California","title":"&lt;i&gt;Spartina densiflora&lt;/i&gt; invasion ecology and the restoration of native salt marshes, Huumboldt Bay, California","URL":"https://www.nfwf.org/sites/default/files/finalreports1/25318_FinalReport.pdf","author":[{"family":"Pickart","given":"A."}],"issued":{"date-parts":[["2012"]]}}}],"schema":"https://github.com/citation-style-language/schema/raw/master/csl-citation.json"} </w:instrText>
      </w:r>
      <w:r w:rsidR="00030503" w:rsidRPr="00837161">
        <w:fldChar w:fldCharType="separate"/>
      </w:r>
      <w:r w:rsidR="00271B78" w:rsidRPr="00271B78">
        <w:t>(Pickart, 2012)</w:t>
      </w:r>
      <w:r w:rsidR="00030503" w:rsidRPr="00837161">
        <w:fldChar w:fldCharType="end"/>
      </w:r>
      <w:r w:rsidRPr="00837161">
        <w:t xml:space="preserve">. In Australia, </w:t>
      </w:r>
      <w:r w:rsidRPr="00837161">
        <w:rPr>
          <w:i/>
          <w:iCs/>
        </w:rPr>
        <w:t xml:space="preserve">Asterias amurensis </w:t>
      </w:r>
      <w:r w:rsidRPr="00837161">
        <w:t>(northern Pacific seastar) was also confused with the native species (</w:t>
      </w:r>
      <w:r w:rsidRPr="00837161">
        <w:rPr>
          <w:i/>
          <w:iCs/>
        </w:rPr>
        <w:t>Uniophora granifera</w:t>
      </w:r>
      <w:r w:rsidRPr="00837161">
        <w:t xml:space="preserve">) and by the time this was realized, eradication and control were no longer possible </w:t>
      </w:r>
      <w:r w:rsidRPr="00837161">
        <w:fldChar w:fldCharType="begin"/>
      </w:r>
      <w:r w:rsidR="007746C5">
        <w:instrText xml:space="preserve"> ADDIN ZOTERO_ITEM CSL_CITATION {"citationID":"ukUgOMrU","properties":{"formattedCitation":"(M. L. Campbell et al., 2007)","plainCitation":"(M. L. Campbell et al., 2007)","noteIndex":0},"citationItems":[{"id":10053,"uris":["http://zotero.org/groups/2352922/items/CFLMUCMT","http://zotero.org/groups/2352922/items/KSTDZY7B"],"itemData":{"id":10053,"type":"article-journal","abstract":"Countries need to know what species are present within their waters to effectively manage the issue of non-indigenous marine species. Five survey methods are currently employed to detect introduced marine species: the Hewitt and Martin protocols (66% of effort; 73 ports, 12 countries); Rapid Assessment Surveys (7% of effort; 8 regions, 4 countries); the Bishop Museum protocols (7% of effort; 8 ports, 3 countries); the Chilean aquaculture surveys (1% of effort; numerous regions; 1 country); and Passive Sampling protocols (18% of effort; 20 ports, 2 countries). These methods use either quantitative, qualitative, or a mixture of the two sampling techniques and tend to target locations that are potential inoculation sites (i.e., such as ports, marinas and aquaculture facilities). To date, introduced marine species surveys have been implemented in 19 countries and have detected more than 1185 non-indigenous, 735 cryptogenic and 15,315 native species.","collection-title":"Marine Bioinvasions: A collection of reviews","container-title":"Marine Pollution Bulletin","DOI":"10.1016/j.marpolbul.2007.01.015","ISSN":"0025-326X","issue":"7","journalAbbreviation":"Marine Pollution Bulletin","language":"en","page":"360-378","source":"ScienceDirect","title":"Survey evaluations to assess marine bioinvasions","URL":"https://www.sciencedirect.com/science/article/pii/S0025326X07000392","volume":"55","author":[{"family":"Campbell","given":"Marnie L."},{"family":"Gould","given":"Brendan"},{"family":"Hewitt","given":"Chad L."}],"accessed":{"date-parts":[["2021",11,14]]},"issued":{"date-parts":[["2007",1,1]]}},"label":"page"}],"schema":"https://github.com/citation-style-language/schema/raw/master/csl-citation.json"} </w:instrText>
      </w:r>
      <w:r w:rsidRPr="00837161">
        <w:fldChar w:fldCharType="separate"/>
      </w:r>
      <w:r w:rsidR="00271B78" w:rsidRPr="00271B78">
        <w:t>(M. L. Campbell et al., 2007)</w:t>
      </w:r>
      <w:r w:rsidRPr="00837161">
        <w:fldChar w:fldCharType="end"/>
      </w:r>
      <w:r w:rsidRPr="00837161">
        <w:t xml:space="preserve">. In Kerala, India, the invasive tree </w:t>
      </w:r>
      <w:r w:rsidRPr="00837161">
        <w:rPr>
          <w:i/>
          <w:iCs/>
        </w:rPr>
        <w:t>Senna</w:t>
      </w:r>
      <w:r w:rsidRPr="00837161">
        <w:t xml:space="preserve"> </w:t>
      </w:r>
      <w:r w:rsidRPr="00837161">
        <w:rPr>
          <w:i/>
          <w:iCs/>
        </w:rPr>
        <w:t>spectabilis</w:t>
      </w:r>
      <w:r w:rsidRPr="00837161">
        <w:t xml:space="preserve"> (whitebark senna) was misidentified as the native </w:t>
      </w:r>
      <w:r w:rsidRPr="00837161">
        <w:rPr>
          <w:i/>
          <w:iCs/>
        </w:rPr>
        <w:t xml:space="preserve">Cassia fistula </w:t>
      </w:r>
      <w:r w:rsidRPr="00837161">
        <w:t xml:space="preserve">(Indian laburnum) and widely planted, and is now widespread in the Wayanad wildlife sanctuary and in the Nilgiris causing impacts to natural and planted forests and coffee plantations </w:t>
      </w:r>
      <w:r w:rsidRPr="00837161">
        <w:fldChar w:fldCharType="begin"/>
      </w:r>
      <w:r w:rsidR="000F35EB">
        <w:instrText xml:space="preserve"> ADDIN ZOTERO_ITEM CSL_CITATION {"citationID":"3O8IJw0I","properties":{"formattedCitation":"(Vishnu Chandran &amp; Gopakumar, 2018)","plainCitation":"(Vishnu Chandran &amp; Gopakumar, 2018)","noteIndex":0},"citationItems":[{"id":31346,"uris":["http://zotero.org/groups/2352922/items/95F4PM4B"],"itemData":{"id":31346,"type":"thesis","abstract":"The present study “Impact of invasive alien plants (IAP) on understorey vegetation in Wayanad Wildlife Sanctuary” was conducted in three vegetation types (Plantation, NF and Vayal) of WS II part of the sanctuary. The distribution characteristics of selected invasive alien species (IAPS) viz. Lantana camara L., Senna spectabilis (DC.) H.S. Irwin and R.C. Barneby and Chromolaena odorata (L.) R.M. King &amp; H. Rob and the impact of these invasive alien species on the regeneration of other plant communities were studied and compared. L. camara and C. odorata invaded all areas of the sanctuary except in the borders of Kurichiat and Sulthan bathery forest ranges. Lantana invasion was high in the Kurichiat RF (Reserve forest) and Rampur RF. Chromolaena invasion was found to be high in Mavinahalla and Kurichiat RF. In WS II part of the sanctuary, S. spectabilis was mainly distributed along the boundaries of Sulthan bathery and Muthanga ranges. In Muthanga, Senna invasion was extended up to “Kakkapadam” (2.5 km from Muthanga station). Among the IAPS, Chromolaena showed the highest density in all the three vegetation types, while the density of Senna was lowest in all the three vegetation types in WS II area. The density of Chromolaena in plantation and NF was 4943.52 ± 1079.07 and 4996.47 ± 1484.42 respectively. The density of Lantana in plantation and NF was 322.35 ± 88.18 and 85.42 ± 29.55 respectively. The density of Senna in plantation and NF was 63.5 ± 31.66 and 49.74 ± 23.93 respectively. Senna invasion was absent in vayal. Vayal showed highest density of Chromolaena (5810.59 ± 1262.43). Chromolaena had the highest percentage cover in both plantation and vayal. In NF, Lantana has (14.2 ± 2.8) the highest percentage cover. In all the three vegetation types, Chromolaena had the highest frequency and abundance. Among the seven weed category areas identified from the study area, highest MSR (Mean Species Richness) was seen in Control (weed free area), followed by L (Lantana invaded) and LC (Lantana and Chromolaena invaded)regions. The lowest MSR was obtained in S (Senna invaded) and CS (Chromolaena and Senna invaded) regions. All the three IAPS negatively influenced the native species richness. But no specific declining trend in species richness was observed during regression analysis. Results of regression analysis showed that, among the three IAPS, C. odorata had the biggest impact on the species richness of native species. It was followed by L. camara and S. spectabilis. Species richness of each growth form (herb &amp; shrub) declined significantly with increasing Lantana, Chromolaena and Senna cover. In the current study, trees and climbers did not show any significant variation with increasing percentage covers of IAPS. For every 10% increase in percentage cover of C. odorata, two native herb species were observed being removed from the study area. At the same time only one shrub species was removed at every 10% increase in Chromolaena cover. For every 10% increase in Lantana cover, one native herb species was removed from the study area of the sanctuary. The species richness of shrubs also declined due to Lantana invasion. On plotting herb species richness against Senna percentage cover, only four herb species were obtained at 50% Senna cover. On further increase in percentage cover of Senna the herb species richness declined linearly and it was decreased to one at 100% Senna cover. It was also found during the study that, in plots where Senna and Chromolaena occured together, the species richness decreased from 86 to 4. Similarly in plots where Senna occured with Lantana and Chromolaena, species richness declined. This probably indicates a dominating interference of Senna on the recruitment of native species and could be because of the impacts of its larger size, big and wider canopy, competitive reproductive ability, allelopathy and a broad, deeper root system. Out of the 125 plant species identified from the sanctuary, only thirteen were observed from Senna invaded region. But during regression analysis it was found that, among the three IAPS Senna has the least impact on native species richness. This may be due to the fact that compared with Lantana and Chromolaena, the invasion of Senna is restricted to only a small portion of Wayanad WLS. But left uncontrolled Senna will soon become a major threat in Wayanad WLS in the near future","call-number":"634.9","event-place":"Vellanikkara","number-of-pages":"94","publisher":"Department of Natural Resource Management College of Forestry","publisher-place":"Vellanikkara","source":"Library Catalog (Koha)","title":"Impact of invasive alien plants on understorey vegetation in Wayanad wildlife sanctuary","URL":"http://hdl.handle.net/123456789/8047","author":[{"family":"Vishnu Chandran","given":"M."},{"family":"Gopakumar","given":"S. (Guide)"}],"issued":{"date-parts":[["2018"]]}},"label":"page"}],"schema":"https://github.com/citation-style-language/schema/raw/master/csl-citation.json"} </w:instrText>
      </w:r>
      <w:r w:rsidRPr="00837161">
        <w:fldChar w:fldCharType="separate"/>
      </w:r>
      <w:r w:rsidR="00271B78" w:rsidRPr="00271B78">
        <w:t xml:space="preserve">(Vishnu Chandran &amp; Gopakumar, </w:t>
      </w:r>
      <w:r w:rsidR="00271B78" w:rsidRPr="00271B78">
        <w:lastRenderedPageBreak/>
        <w:t>2018)</w:t>
      </w:r>
      <w:r w:rsidRPr="00837161">
        <w:fldChar w:fldCharType="end"/>
      </w:r>
      <w:r w:rsidRPr="00837161">
        <w:t xml:space="preserve">. </w:t>
      </w:r>
      <w:r w:rsidR="002F2F42">
        <w:t xml:space="preserve">In developing </w:t>
      </w:r>
      <w:r w:rsidR="00FC2D8D">
        <w:t>countries</w:t>
      </w:r>
      <w:r w:rsidR="002F2F42">
        <w:t>, lack of capability in the use of effective prevention and management approaches for biological invasions, tools and technologies are severe impediments to implement better management approaches and could be a focus of international support and aid programmes</w:t>
      </w:r>
    </w:p>
    <w:p w14:paraId="5E1486C9" w14:textId="5C33D808" w:rsidR="00383764" w:rsidRPr="00837161" w:rsidRDefault="430490D0" w:rsidP="00C11DFA">
      <w:pPr>
        <w:spacing w:before="240" w:after="120" w:line="240" w:lineRule="auto"/>
      </w:pPr>
      <w:r w:rsidRPr="00837161">
        <w:rPr>
          <w:b/>
          <w:bCs/>
        </w:rPr>
        <w:t>Resourcing</w:t>
      </w:r>
      <w:r w:rsidRPr="00837161">
        <w:rPr>
          <w:i/>
          <w:iCs/>
        </w:rPr>
        <w:t>:</w:t>
      </w:r>
      <w:r w:rsidRPr="00837161">
        <w:t xml:space="preserve"> Seeking adequate resources to undertake effective and sustainable </w:t>
      </w:r>
      <w:r w:rsidR="002F2F42">
        <w:t>management of biological invasions</w:t>
      </w:r>
      <w:r w:rsidR="002F2F42" w:rsidRPr="00837161">
        <w:t xml:space="preserve"> </w:t>
      </w:r>
      <w:r w:rsidRPr="00837161">
        <w:t>is a global problem</w:t>
      </w:r>
      <w:r w:rsidR="00FC2D8D">
        <w:t>, while</w:t>
      </w:r>
      <w:r w:rsidRPr="00837161">
        <w:t xml:space="preserve"> many resources </w:t>
      </w:r>
      <w:r w:rsidR="00FC2D8D">
        <w:t>aree being</w:t>
      </w:r>
      <w:r w:rsidR="00FC2D8D" w:rsidRPr="00837161">
        <w:t xml:space="preserve"> </w:t>
      </w:r>
      <w:r w:rsidRPr="00837161">
        <w:t xml:space="preserve">used ineffectively </w:t>
      </w:r>
      <w:r w:rsidR="00383764" w:rsidRPr="00837161">
        <w:fldChar w:fldCharType="begin"/>
      </w:r>
      <w:r w:rsidR="000F35EB">
        <w:instrText xml:space="preserve"> ADDIN ZOTERO_ITEM CSL_CITATION {"citationID":"Vor68iV6","properties":{"formattedCitation":"(Courchamp et al., 2017)","plainCitation":"(Courchamp et al., 2017)","noteIndex":0},"citationItems":[{"id":23950,"uris":["http://zotero.org/groups/2352922/items/EBL2FE2Y"],"itemData":{"id":23950,"type":"article-journal","abstract":"Biological invasions have been unambiguously shown to be one of the major global causes of biodiversity loss. Despite the magnitude of this threat and recent scientific advances, this field remains a regular target of criticism – from outright deniers of the threat to scientists questioning the utility of the discipline. This unique situation, combining internal strife and an unaware society, greatly hinders the progress of invasion biology. It is crucial to identify the specificities of this discipline that lead to such difficulties. We outline here 24 specificities and problems of this discipline and categorize them into four groups: understanding, alerting, supporting, and implementing the issues associated with invasive alien species, and we offer solutions to tackle these problems and push the field forward.","container-title":"Trends in Ecology &amp; Evolution","DOI":"10.1016/j.tree.2016.11.001","ISSN":"01695347","issue":"1","journalAbbreviation":"Trends in Ecology &amp; Evolution","language":"en","page":"13-22","source":"DOI.org (Crossref)","title":"Invasion Biology: Specific Problems and Possible Solutions","title-short":"Invasion Biology","URL":"https://linkinghub.elsevier.com/retrieve/pii/S0169534716302129","volume":"32","author":[{"family":"Courchamp","given":"Franck"},{"family":"Fournier","given":"Alice"},{"family":"Bellard","given":"Céline"},{"family":"Bertelsmeier","given":"Cleo"},{"family":"Bonnaud","given":"Elsa"},{"family":"Jeschke","given":"Jonathan M."},{"family":"Russell","given":"James C."}],"accessed":{"date-parts":[["2019",10,23]]},"issued":{"date-parts":[["2017",1]]}},"label":"page"}],"schema":"https://github.com/citation-style-language/schema/raw/master/csl-citation.json"} </w:instrText>
      </w:r>
      <w:r w:rsidR="00383764" w:rsidRPr="00837161">
        <w:fldChar w:fldCharType="separate"/>
      </w:r>
      <w:r w:rsidR="00271B78" w:rsidRPr="00271B78">
        <w:t>(Courchamp et al., 2017)</w:t>
      </w:r>
      <w:r w:rsidR="00383764" w:rsidRPr="00837161">
        <w:fldChar w:fldCharType="end"/>
      </w:r>
      <w:r w:rsidRPr="00837161">
        <w:t xml:space="preserve">. Making the case for investment requires a) evidence-based economic, social and environmental impact analyses </w:t>
      </w:r>
      <w:r w:rsidR="00197924" w:rsidRPr="00837161">
        <w:t>(</w:t>
      </w:r>
      <w:r w:rsidR="00012C85">
        <w:rPr>
          <w:b/>
          <w:iCs/>
        </w:rPr>
        <w:t>C</w:t>
      </w:r>
      <w:r w:rsidRPr="00012C85">
        <w:rPr>
          <w:b/>
          <w:iCs/>
        </w:rPr>
        <w:t>hapter 4</w:t>
      </w:r>
      <w:r w:rsidRPr="00012C85">
        <w:rPr>
          <w:iCs/>
        </w:rPr>
        <w:t>,</w:t>
      </w:r>
      <w:r w:rsidRPr="00012C85">
        <w:rPr>
          <w:b/>
          <w:iCs/>
        </w:rPr>
        <w:t xml:space="preserve"> section 4.1.1</w:t>
      </w:r>
      <w:r w:rsidRPr="00837161">
        <w:t xml:space="preserve">) and b) demonstration that any particular invasive </w:t>
      </w:r>
      <w:r w:rsidR="6302283A" w:rsidRPr="00837161">
        <w:rPr>
          <w:rFonts w:eastAsia="Times New Roman"/>
        </w:rPr>
        <w:t xml:space="preserve">alien </w:t>
      </w:r>
      <w:r w:rsidRPr="00837161">
        <w:t xml:space="preserve">species management approach provides cost-effective and sustainable mitigation of these impacts, in competition with other government investment priorities. The lack of success of many invasive alien species management programmes does not help this case </w:t>
      </w:r>
      <w:r w:rsidR="00030503" w:rsidRPr="00837161">
        <w:fldChar w:fldCharType="begin"/>
      </w:r>
      <w:r w:rsidR="000F35EB">
        <w:instrText xml:space="preserve"> ADDIN ZOTERO_ITEM CSL_CITATION {"citationID":"XMrM3peo","properties":{"formattedCitation":"(Latombe et al., 2019)","plainCitation":"(Latombe et al., 2019)","noteIndex":0},"citationItems":[{"id":11700,"uris":["http://zotero.org/groups/2352922/items/YH5QKCTG"],"itemData":{"id":11700,"type":"article-journal","abstract":"Although uncertainty is an integral part of any science, it raises doubts in public perception about scientiﬁc evidence, is exploited by denialists, and therefore potentially hinders the implementation of management actions. As a relatively young ﬁeld of study, invasion science contains many uncertainties. This may explain why, despite international policies aimed at mitigating biological invasions, the implementation of national- and regional-scale measures to prevent or control alien species has done little to slow the increase in extent of invasions and the magnitude of impacts. Uncertainty is therefore a critical aspect of invasion science that should be addressed to enable the ﬁeld to progress further. To improve how uncertainties in invasion science are captured and characterized, we propose a framework, which is also applicable to other applied research ﬁelds such as climate and conservation science, divided into four components: the need (1) to clearly circumscribe the phenomenon, (2) to measure and provide evidence for the phenomenon (i.e., conﬁrmation), (3) to understand the mechanisms that cause the phenomenon, and (4) to understand the mechanisms through which the phenomenon results in consequences. We link these issues to three major types of uncertainty: linguistic, psychological, and epistemic. The application of this framework shows that the four components tend to be characterized by different types of uncertainty in invasion science. We explain how these uncertainties can be detrimental to the implementation of management measures and propose ways to reduce them. Since biological invasions are increasingly tightly embedded in complex socio-ecological systems, many problems associated with these uncertainties have convoluted solutions. They demand the consensus of many stakeholders to deﬁne and frame the dimensions of the phenomenon, and to decide on appropriate actions. While many of the uncertainties cannot be eliminated completely, we believe that using this framework to explicitly identify and communicate them will help to improve collaboration between researchers and managers, increase scientiﬁc, political, and public support for invasion research, and provide a stronger foundation for sustainable management strategies.","container-title":"Ecosphere","DOI":"10.1002/ecs2.2669","ISSN":"2150-8925, 2150-8925","issue":"4","journalAbbreviation":"Ecosphere","language":"en","page":"e02669","source":"DOI.org (Crossref)","title":</w:instrText>
      </w:r>
      <w:r w:rsidR="000F35EB">
        <w:rPr>
          <w:rFonts w:hint="eastAsia"/>
        </w:rPr>
        <w:instrText>"A four</w:instrText>
      </w:r>
      <w:r w:rsidR="000F35EB">
        <w:rPr>
          <w:rFonts w:hint="eastAsia"/>
        </w:rPr>
        <w:instrText>‐</w:instrText>
      </w:r>
      <w:r w:rsidR="000F35EB">
        <w:rPr>
          <w:rFonts w:hint="eastAsia"/>
        </w:rPr>
        <w:instrText>component classification of uncertainties in biological invasions: implications for management","title-short":"A four</w:instrText>
      </w:r>
      <w:r w:rsidR="000F35EB">
        <w:rPr>
          <w:rFonts w:hint="eastAsia"/>
        </w:rPr>
        <w:instrText>‐</w:instrText>
      </w:r>
      <w:r w:rsidR="000F35EB">
        <w:rPr>
          <w:rFonts w:hint="eastAsia"/>
        </w:rPr>
        <w:instrText>component classification of uncertainties in biological invasions","URL":"https://onlinelibrary.wiley.com/doi/abs/10.1002/ecs2.26</w:instrText>
      </w:r>
      <w:r w:rsidR="000F35EB">
        <w:instrText>69","volume":"10","author":[{"family":"Latombe","given":"G."},{"family":"Canavan","given":"S."},{"family":"Hirsch","given":"H."},{"family":"Hui","given":"C."},{"family":"Kumschick","given":"S."},{"family":"Nsikani","given":"M. M."},{"family":"Potgieter","</w:instrText>
      </w:r>
      <w:r w:rsidR="000F35EB">
        <w:rPr>
          <w:rFonts w:hint="eastAsia"/>
        </w:rPr>
        <w:instrText>given":"L. J."},{"family":"Robinson","given":"T. B."},{"family":"Saul","given":"W.</w:instrText>
      </w:r>
      <w:r w:rsidR="000F35EB">
        <w:rPr>
          <w:rFonts w:hint="eastAsia"/>
        </w:rPr>
        <w:instrText>‐</w:instrText>
      </w:r>
      <w:r w:rsidR="000F35EB">
        <w:rPr>
          <w:rFonts w:hint="eastAsia"/>
        </w:rPr>
        <w:instrText>C."},{"family":"Turner","given":"S. C."},{"family":"Wilson","given":"J. R. U."},{"family":"Yannelli","given":"F. A."},{"family":"Richardson","given":"D. M."}],"accessed":{"</w:instrText>
      </w:r>
      <w:r w:rsidR="000F35EB">
        <w:instrText xml:space="preserve">date-parts":[["2019",9,11]]},"issued":{"date-parts":[["2019",4]]}},"label":"page"}],"schema":"https://github.com/citation-style-language/schema/raw/master/csl-citation.json"} </w:instrText>
      </w:r>
      <w:r w:rsidR="00030503" w:rsidRPr="00837161">
        <w:fldChar w:fldCharType="separate"/>
      </w:r>
      <w:r w:rsidR="00271B78" w:rsidRPr="00271B78">
        <w:t>(Latombe et al., 2019)</w:t>
      </w:r>
      <w:r w:rsidR="00030503" w:rsidRPr="00837161">
        <w:fldChar w:fldCharType="end"/>
      </w:r>
      <w:r w:rsidR="00030503" w:rsidRPr="00837161">
        <w:t xml:space="preserve">. </w:t>
      </w:r>
      <w:r w:rsidRPr="00837161">
        <w:t xml:space="preserve">Some management approaches such as biological control have a long history of cost-effectiveness </w:t>
      </w:r>
      <w:r w:rsidR="00197924" w:rsidRPr="00837161">
        <w:t>(</w:t>
      </w:r>
      <w:r w:rsidRPr="00012C85">
        <w:rPr>
          <w:b/>
          <w:iCs/>
        </w:rPr>
        <w:t xml:space="preserve">section </w:t>
      </w:r>
      <w:r w:rsidR="00186DB4" w:rsidRPr="00012C85">
        <w:rPr>
          <w:b/>
          <w:iCs/>
        </w:rPr>
        <w:t>5.5.5</w:t>
      </w:r>
      <w:r w:rsidRPr="00012C85">
        <w:rPr>
          <w:b/>
          <w:iCs/>
        </w:rPr>
        <w:t>.</w:t>
      </w:r>
      <w:r w:rsidR="1C8FE1D2" w:rsidRPr="00012C85">
        <w:rPr>
          <w:b/>
          <w:iCs/>
        </w:rPr>
        <w:t>3</w:t>
      </w:r>
      <w:r w:rsidRPr="00837161">
        <w:t xml:space="preserve">) and create a strong case for investment. This will need to be demonstrated for the new technologies under development. </w:t>
      </w:r>
      <w:r w:rsidR="002F2F42">
        <w:t xml:space="preserve">Developing national capability and capacity for management of biological invasions is also linked to sustained funding </w:t>
      </w:r>
      <w:r w:rsidR="00383764" w:rsidRPr="00837161">
        <w:fldChar w:fldCharType="begin"/>
      </w:r>
      <w:r w:rsidR="000F35EB">
        <w:instrText xml:space="preserve"> ADDIN ZOTERO_ITEM CSL_CITATION {"citationID":"KFLEQn4p","properties":{"formattedCitation":"(Nu\\uc0\\u241{}ez &amp; Pauchard, 2010)","plainCitation":"(Nuñez &amp; Pauchard, 2010)","noteIndex":0},"citationItems":[{"id":29104,"uris":["http://zotero.org/groups/2352922/items/JDLDS9FJ"],"itemData":{"id":29104,"type":"article-journal","container-title":"Biological Invasions","DOI":"10.1007/s10530-009-9517-1","ISSN":"1387-3547, 1573-1464","issue":"4","journalAbbreviation":"Biol Invasions","language":"en","page":"707-714","source":"DOI.org (Crossref)","title":"Biological invasions in developing and developed countries: does one model fit all?","title-short":"Biological invasions in developing and developed countries","URL":"http://link.springer.com/10.1007/s10530-009-9517-1","volume":"12","author":[{"family":"Nuñez","given":"Martin A."},{"family":"Pauchard","given":"Aníbal"}],"accessed":{"date-parts":[["2019",11,5]]},"issued":{"date-parts":[["2010",4]]}},"label":"page"}],"schema":"https://github.com/citation-style-language/schema/raw/master/csl-citation.json"} </w:instrText>
      </w:r>
      <w:r w:rsidR="00383764" w:rsidRPr="00837161">
        <w:fldChar w:fldCharType="separate"/>
      </w:r>
      <w:r w:rsidR="00271B78" w:rsidRPr="00271B78">
        <w:t>(Nuñez &amp; Pauchard, 2010)</w:t>
      </w:r>
      <w:r w:rsidR="00383764" w:rsidRPr="00837161">
        <w:fldChar w:fldCharType="end"/>
      </w:r>
      <w:r w:rsidRPr="00837161">
        <w:t>.</w:t>
      </w:r>
    </w:p>
    <w:p w14:paraId="5483C86D" w14:textId="034FEBCC" w:rsidR="00383764" w:rsidRPr="00837161" w:rsidRDefault="430490D0" w:rsidP="00C11DFA">
      <w:pPr>
        <w:spacing w:before="240" w:after="120" w:line="240" w:lineRule="auto"/>
        <w:rPr>
          <w:color w:val="000000"/>
        </w:rPr>
      </w:pPr>
      <w:r w:rsidRPr="00837161">
        <w:rPr>
          <w:b/>
          <w:bCs/>
          <w:lang w:eastAsia="ja-JP"/>
        </w:rPr>
        <w:t>Resistance to management approaches and technologies</w:t>
      </w:r>
      <w:r w:rsidRPr="00837161">
        <w:rPr>
          <w:i/>
          <w:iCs/>
          <w:lang w:eastAsia="ja-JP"/>
        </w:rPr>
        <w:t>:</w:t>
      </w:r>
      <w:r w:rsidRPr="00837161">
        <w:rPr>
          <w:lang w:eastAsia="ja-JP"/>
        </w:rPr>
        <w:t xml:space="preserve"> </w:t>
      </w:r>
      <w:r w:rsidR="002F2F42">
        <w:t>Public opposition to uncertainty</w:t>
      </w:r>
      <w:r w:rsidR="007B4368">
        <w:t>, often resulting</w:t>
      </w:r>
      <w:r w:rsidR="002F2F42">
        <w:t xml:space="preserve"> from </w:t>
      </w:r>
      <w:r w:rsidR="007B4368">
        <w:t xml:space="preserve">a </w:t>
      </w:r>
      <w:r w:rsidR="002F2F42">
        <w:t>poor understanding of management approaches for biological invasions and technologies</w:t>
      </w:r>
      <w:r w:rsidR="007B4368">
        <w:t>,</w:t>
      </w:r>
      <w:r w:rsidR="002F2F42">
        <w:t xml:space="preserve"> is a significant impediment to effective management</w:t>
      </w:r>
      <w:r w:rsidRPr="00837161">
        <w:rPr>
          <w:lang w:eastAsia="ja-JP"/>
        </w:rPr>
        <w:t xml:space="preserve"> </w:t>
      </w:r>
      <w:r w:rsidR="00197924" w:rsidRPr="00837161">
        <w:rPr>
          <w:lang w:eastAsia="ja-JP"/>
        </w:rPr>
        <w:t>(</w:t>
      </w:r>
      <w:r w:rsidR="0043126D">
        <w:rPr>
          <w:b/>
          <w:iCs/>
          <w:lang w:eastAsia="ja-JP"/>
        </w:rPr>
        <w:t>C</w:t>
      </w:r>
      <w:r w:rsidRPr="0043126D">
        <w:rPr>
          <w:b/>
          <w:iCs/>
          <w:lang w:eastAsia="ja-JP"/>
        </w:rPr>
        <w:t>hapter 3</w:t>
      </w:r>
      <w:r w:rsidRPr="0043126D">
        <w:rPr>
          <w:iCs/>
          <w:lang w:eastAsia="ja-JP"/>
        </w:rPr>
        <w:t>,</w:t>
      </w:r>
      <w:r w:rsidRPr="0043126D">
        <w:rPr>
          <w:b/>
          <w:iCs/>
          <w:lang w:eastAsia="ja-JP"/>
        </w:rPr>
        <w:t xml:space="preserve"> section</w:t>
      </w:r>
      <w:r w:rsidR="00EC18D3" w:rsidRPr="0043126D">
        <w:rPr>
          <w:b/>
          <w:iCs/>
          <w:lang w:eastAsia="ja-JP"/>
        </w:rPr>
        <w:t>s 3.3.2.4,</w:t>
      </w:r>
      <w:r w:rsidRPr="0043126D">
        <w:rPr>
          <w:b/>
          <w:iCs/>
          <w:lang w:eastAsia="ja-JP"/>
        </w:rPr>
        <w:t xml:space="preserve"> 3.3.5.2</w:t>
      </w:r>
      <w:r w:rsidRPr="00837161">
        <w:rPr>
          <w:lang w:eastAsia="ja-JP"/>
        </w:rPr>
        <w:t>). Classical biological control, despite a long history of development and be</w:t>
      </w:r>
      <w:r w:rsidR="5939CB32" w:rsidRPr="00837161">
        <w:rPr>
          <w:lang w:eastAsia="ja-JP"/>
        </w:rPr>
        <w:t xml:space="preserve">nefits and support by both the </w:t>
      </w:r>
      <w:r w:rsidRPr="00837161">
        <w:rPr>
          <w:lang w:eastAsia="ja-JP"/>
        </w:rPr>
        <w:t xml:space="preserve">IPPC and the CBD still attracts negative views </w:t>
      </w:r>
      <w:r w:rsidR="00383764" w:rsidRPr="00837161">
        <w:fldChar w:fldCharType="begin"/>
      </w:r>
      <w:r w:rsidR="000F35EB">
        <w:rPr>
          <w:strike/>
          <w:lang w:eastAsia="ja-JP"/>
        </w:rPr>
        <w:instrText xml:space="preserve"> ADDIN ZOTERO_ITEM CSL_CITATION {"citationID":"pyZ19BZb","properties":{"formattedCitation":"(Downey &amp; Paterson, 2016)","plainCitation":"(Downey &amp; Paterson, 2016)","noteIndex":0},"citationItems":[{"id":12536,"uris":["http://zotero.org/groups/2352922/items/6NHTYPXU"],"itemData":{"id":12536,"type":"article-journal","container-title":"BioControl","DOI":"10.1007/s10526-016-9744-1","ISSN":"1386-6141, 1573-8248","issue":"6","journalAbbreviation":"BioControl","language":"en","page":"615-630","source":"DOI.org (Crossref)","title":"Encompassing the relative non-target risks from agents and their alien plant targets in biological control assessments","URL":"http://link.springer.com/10.1007/s10526-016-9744-1","volume":"61","author":[{"family":"Downey","given":"Paul O."},{"family":"Paterson","given":"Iain D."}],"accessed":{"date-parts":[["2019",11,25]]},"issued":{"date-parts":[["2016",12]]}},"label":"page"}],"schema":"https://github.com/citation-style-language/schema/raw/master/csl-citation.json"} </w:instrText>
      </w:r>
      <w:r w:rsidR="00383764" w:rsidRPr="00837161">
        <w:rPr>
          <w:lang w:eastAsia="ja-JP"/>
        </w:rPr>
        <w:fldChar w:fldCharType="separate"/>
      </w:r>
      <w:r w:rsidR="00271B78" w:rsidRPr="00271B78">
        <w:t>(Downey &amp; Paterson, 2016)</w:t>
      </w:r>
      <w:r w:rsidR="00383764" w:rsidRPr="00837161">
        <w:fldChar w:fldCharType="end"/>
      </w:r>
      <w:r w:rsidR="005B36F8" w:rsidRPr="00837161">
        <w:t>.</w:t>
      </w:r>
      <w:r w:rsidRPr="00837161">
        <w:t xml:space="preserve"> This is </w:t>
      </w:r>
      <w:r w:rsidRPr="00837161">
        <w:rPr>
          <w:lang w:eastAsia="ja-JP"/>
        </w:rPr>
        <w:t xml:space="preserve">based on historic evidence of non-target impacts </w:t>
      </w:r>
      <w:r w:rsidR="00383764" w:rsidRPr="00837161">
        <w:fldChar w:fldCharType="begin"/>
      </w:r>
      <w:r w:rsidR="000F35EB">
        <w:rPr>
          <w:strike/>
          <w:lang w:eastAsia="ja-JP"/>
        </w:rPr>
        <w:instrText xml:space="preserve"> ADDIN ZOTERO_ITEM CSL_CITATION {"citationID":"lOKY5sXe","properties":{"formattedCitation":"(Carvalheiro et al., 2008; Pearson &amp; Callaway, 2005; Willis &amp; Memmott, 2005)","plainCitation":"(Carvalheiro et al., 2008; Pearson &amp; Callaway, 2005; Willis &amp; Memmott, 2005)","noteIndex":0},"citationItems":[{"id":24293,"uris":["http://zotero.org/groups/2352922/items/PV2BD6RE"],"itemData":{"id":24293,"type":"article-journal","abstract":"Classical biological control of weeds currently operates under the assumption that biological control agents are safe (i.e., low risk) if they do not directly attack nontarget species. However, recent studies indicate that even highly host-speciWc biological control agents can impact nontarget species through indirect eVects. This Wnding has profound implications for biological control. To better understand the causes of these interactions and their implications, we evaluate recent case studies of indirect nontarget eVects of biological control agents in the context of theoretical work in community ecology. We Wnd that although particular indirect nontarget eVects are extremely diYcult to predict, all indirect nontarget eVects of host speciWc biological control agents derive from the nature and strength of the interaction between the biological control agent and the pest. Additionally, recent theoretical work suggests that the degree of impact of a biological control agent on nontarget species is proportional to the agent’s abundance, which will be highest for moderately successful control agents. Therefore, the key to safeguarding against indirect nontarget eVects of host-speciWc biological control agents is to ensure the biological control agents are not only host speciWc, but also eYcacious. Biological control agents that greatly reduce their target species while remaining host-speciWc will reduce their own populations through density-dependent feedbacks that minimize risks to nontarget species.","collection-title":"Science and Decision Making in Biological Control of Weeds: Benefits and Risks of Biological Control","container-title":"Biological Control","DOI":"10.1016/j.biocontrol.2005.05.011","ISSN":"10499644","issue":"3","journalAbbreviation":"Biological Control","language":"en","page":"288-298","source":"DOI.org (Crossref)","title":"Indirect nontarget effects of host-specific biological control agents: Implications for biological control","title-short":"Indirect nontarget effects of host-specific biological control agents","URL":"http://www.sciencedirect.com/science/article/pii/S1049964405001350","volume":"35","author":[{"family":"Pearson","given":"Dean E."},{"family":"Callaway","given":"Ragan M."}],"accessed":{"date-parts":[["2019",11,25]]},"issued":{"date-parts":[["2005",12]]}},"label":"page"},{"id":12534,"uris":["http://zotero.org/groups/2352922/items/XLZ5AC6H"],"itemData":{"id":12534,"type":"article-journal","abstract":"The safety of biological control is a contentious issue. We suggest that constructing and analyzing food webs may be a valuable addition to standard biological control research techniques, as they oVer a means of assessing the post-release safety of control agents. Using preliminary data to demonstrate the value of food webs in biocontrol programs, we quantiWed the extent to which a key agent has inWltrated natural communities in Australia and, potentially, impacted on non-target species. Using these data, we also demonstrate how food webs can be used to generate testable hypotheses regarding indirect interactions between introduced agents and non-target species. We developed food webs in communities invaded to varying degrees by an exotic weed, bitou bush, Chrysanthemoides monilifera ssp. rotundata, and a key biocontrol agent for this weed in Australia, the tephritid Xy, Mesoclanis polana. Three food webs were constructed during springtime showing the interactions between plants, seed-feeding insects and their parasitoids. One food web was constructed in a plot of native Australian vegetation that was free of bitou bush (‘bitou-free’), another in a plot of Australian vegetation surrounded by an invasion of bitou bush (‘bitou-threatened’) and a third from a plot infested with a monoculture of bitou bush (‘bitou-infested’). The bitou-free web contained 36 species, the bitou-threatened plot 9 species and the bitouinfested web contained 6 species. One native Australian herbivore attacked the seeds of bitou bush. M. polana, a seed-feeding Xy, was heavily attacked by native parasitoids, these being more abundant than the parasitoids feeding on the native seed feeders. A surprising result is that none of the three species of native parasitoids reared from M. polana were reared from any of the native herbivores. The food webs revealed how a highly host-speciWc biocontrol agent, such as M. polana has the potential to change community structure by increasing the abundance of native parasitoids. The webs also suggest that indirect interactions between M. polana and native non-target species are possible, these been mediated by shared parasitoids. The experiments necessary to determine the presence of these interactions are outlined.","container-title":"Biological Control","DOI":"10.1016/j.biocontrol.2005.07.013","ISSN":"10499644","issue":"3","journalAbbreviation":"Biological Control","language":"en","page":"299-306","source":"DOI.org (Crossref)","title":"The potential for indirect effects between a weed, one of its biocontrol agents and native herbivores: A food web approach","title-short":"The potential for indirect effects between a weed, one of its biocontrol agents and native herbivores","URL":"https://linkinghub.elsevier.com/retrieve/pii/S1049964405002021","volume":"35","author":[{"family":"Willis","given":"A.J."},{"family":"Memmott","given":"J."}],"accessed":{"date-parts":[["2019",11,25]]},"issued":{"date-parts":[["2005",12]]}},"label":"page"},{"id":12535,"uris":["http://zotero.org/groups/2352922/items/86RAQD7U"],"itemData":{"id":12535,"type":"article-journal","abstract":"Despite current concern about the safety of biological control of weeds, assessing the indirect impacts of introduced agents is not common practice. Using 17 replicate food webs, we demonstrate that the use of a highly host-plant speciﬁc weed biocontrol agent, recently introduced into Australia, is associated with declines of local insect communities. The agent shares natural enemies (predators and parasitoids) with seed herbivore species from native plants, so apparent competition is the most likely cause for these losses. Both species richness and abundance in insect communities (seed herbivores and their parasitoids) were negatively correlated with the abundance of the biocontrol agent. Local losses of up to 11 species (dipteran seed herbivores and parasitoids) took place as the biocontrol agent abundance increased. Ineffective biocontrol agents that remain highly abundant in the community are most likely to have persistent, indirect negative effects. Our ﬁndings suggest that more investment is required in pre-release studies on the effectiveness of biocontrol agents, as well as in post-release studies assessing indirect impacts, to avoid or minimize the release of potentially damaging species.","container-title":"Ecology Letters","DOI":"10.1111/j.1461-0248.2008.01184.x","ISSN":"1461023X, 14610248","issue":"7","language":"en","page":"690-700","source":"DOI.org (Crossref)","title":"Apparent competition can compromise the safety of highly specific biocontrol agents","URL":"http://doi.wiley.com/10.1111/j.1461-0248.2008.01184.x","volume":"11","author":[{"family":"Carvalheiro","given":"Luisa G."},{"family":"Buckley","given":"Yvonne M."},{"family":"Ventim","given":"Rita"},{"family":"Fowler","given":"Simon V."},{"family":"Memmott","given":"Jane"}],"accessed":{"date-parts":[["2019",11,25]]},"issued":{"date-parts":[["2008",7]]}},"label":"page"}],"schema":"https://github.com/citation-style-language/schema/raw/master/csl-citation.json"} </w:instrText>
      </w:r>
      <w:r w:rsidR="00383764" w:rsidRPr="00837161">
        <w:rPr>
          <w:lang w:eastAsia="ja-JP"/>
        </w:rPr>
        <w:fldChar w:fldCharType="separate"/>
      </w:r>
      <w:r w:rsidR="00271B78" w:rsidRPr="00271B78">
        <w:t>(Carvalheiro et al., 2008; Pearson &amp; Callaway, 2005; Willis &amp; Memmott, 2005)</w:t>
      </w:r>
      <w:r w:rsidR="00383764" w:rsidRPr="00837161">
        <w:fldChar w:fldCharType="end"/>
      </w:r>
      <w:r w:rsidRPr="00837161">
        <w:t xml:space="preserve">, some </w:t>
      </w:r>
      <w:r w:rsidRPr="00837161">
        <w:rPr>
          <w:lang w:eastAsia="ja-JP"/>
        </w:rPr>
        <w:t xml:space="preserve">from a time before regulations under internationally agreed risk analysis </w:t>
      </w:r>
      <w:r w:rsidR="00383764" w:rsidRPr="00837161">
        <w:rPr>
          <w:lang w:eastAsia="ja-JP"/>
        </w:rPr>
        <w:fldChar w:fldCharType="begin"/>
      </w:r>
      <w:r w:rsidR="000F35EB">
        <w:rPr>
          <w:lang w:eastAsia="ja-JP"/>
        </w:rPr>
        <w:instrText xml:space="preserve"> ADDIN ZOTERO_ITEM CSL_CITATION {"citationID":"cSOp1sWo","properties":{"formattedCitation":"(Howarth, 1991)","plainCitation":"(Howarth, 1991)","dontUpdate":true,"noteIndex":0},"citationItems":[{"id":10035,"uris":["http://zotero.org/groups/2352922/items/ZEGQUWSI"],"itemData":{"id":10035,"type":"article-journal","container-title":"Annual Review of Entomology","DOI":"10.1146/annurev.en.36.010191.002413","issue":"1","note":"_eprint: https://doi.org/10.1146/annurev.en.36.010191.002413","page":"485-509","source":"Annual Reviews","title":"Environmental Impacts of Classical Biological Control","URL":"https://doi.org/10.1146/annurev.en.36.010191.002413","volume":"36","author":[{"family":"Howarth","given":"Francis G."}],"accessed":{"date-parts":[["2021",11,18]]},"issued":{"date-parts":[["1991"]]}},"label":"page"}],"schema":"https://github.com/citation-style-language/schema/raw/master/csl-citation.json"} </w:instrText>
      </w:r>
      <w:r w:rsidR="00383764" w:rsidRPr="00837161">
        <w:rPr>
          <w:lang w:eastAsia="ja-JP"/>
        </w:rPr>
        <w:fldChar w:fldCharType="separate"/>
      </w:r>
      <w:r w:rsidR="007E67DF" w:rsidRPr="00837161">
        <w:t>(Howarth, 1991</w:t>
      </w:r>
      <w:r w:rsidR="00383764" w:rsidRPr="00837161">
        <w:rPr>
          <w:lang w:eastAsia="ja-JP"/>
        </w:rPr>
        <w:fldChar w:fldCharType="end"/>
      </w:r>
      <w:r w:rsidR="001C0274" w:rsidRPr="00837161">
        <w:rPr>
          <w:lang w:eastAsia="ja-JP"/>
        </w:rPr>
        <w:t>;</w:t>
      </w:r>
      <w:r w:rsidRPr="00837161">
        <w:rPr>
          <w:lang w:eastAsia="ja-JP"/>
        </w:rPr>
        <w:t xml:space="preserve"> </w:t>
      </w:r>
      <w:r w:rsidRPr="0040026F">
        <w:rPr>
          <w:b/>
          <w:iCs/>
          <w:lang w:eastAsia="ja-JP"/>
        </w:rPr>
        <w:t>sections 5.</w:t>
      </w:r>
      <w:r w:rsidR="008C44D1" w:rsidRPr="0040026F">
        <w:rPr>
          <w:b/>
          <w:iCs/>
          <w:lang w:eastAsia="ja-JP"/>
        </w:rPr>
        <w:t>5.5</w:t>
      </w:r>
      <w:r w:rsidRPr="0040026F">
        <w:rPr>
          <w:b/>
          <w:iCs/>
          <w:lang w:eastAsia="ja-JP"/>
        </w:rPr>
        <w:t>.3</w:t>
      </w:r>
      <w:r w:rsidRPr="0040026F">
        <w:rPr>
          <w:iCs/>
          <w:lang w:eastAsia="ja-JP"/>
        </w:rPr>
        <w:t xml:space="preserve">, </w:t>
      </w:r>
      <w:r w:rsidR="00186DB4" w:rsidRPr="0040026F">
        <w:rPr>
          <w:b/>
          <w:iCs/>
          <w:lang w:eastAsia="ja-JP"/>
        </w:rPr>
        <w:t>5.5.5</w:t>
      </w:r>
      <w:r w:rsidRPr="00837161">
        <w:rPr>
          <w:lang w:eastAsia="ja-JP"/>
        </w:rPr>
        <w:t xml:space="preserve">). Acceptability is impeded by a general lack of government investment to monitor non-target impacts </w:t>
      </w:r>
      <w:r w:rsidR="00383764" w:rsidRPr="00837161">
        <w:fldChar w:fldCharType="begin"/>
      </w:r>
      <w:r w:rsidR="000F35EB">
        <w:rPr>
          <w:strike/>
          <w:lang w:eastAsia="ja-JP"/>
        </w:rPr>
        <w:instrText xml:space="preserve"> ADDIN ZOTERO_ITEM CSL_CITATION {"citationID":"D0pu9nA7","properties":{"formattedCitation":"(Barratt et al., 2021; Simberloff et al., 2005)","plainCitation":"(Barratt et al., 2021; Simberloff et al., 2005)","noteIndex":0},"citationItems":[{"id":10095,"uris":["http://zotero.org/groups/2352922/items/L9MWHV6N"],"itemData":{"id":10095,"type":"chapter","container-title":"Biological Control: Global Impacts, Challenges and Future Directions of Pest Management","ISBN":"978-1-03-210927-5","page":"166-196","publisher":"CSIRO","title":"Regulatory challenges for biological control","URL":"https://ebooks.publish.csiro.au/content/biological-control","author":[{"family":"Barratt","given":"Barbara I P"},{"family":"Colmenarez","given":"Yelitza C."},{"family":"Day","given":"Michael D."},{"family":"Ivey","given":"Philip"},{"family":"Klapwijk","given":"Johannette N."},{"family":"Loomans","given":"Antoon J M"},{"family":"Mason","given":"Peter G."},{"family":"Palmer","given":"William A."},{"family":"Sankaran","given":"K. V."},{"family":"Zhang","given":"Feng"}],"editor":[{"family":"Mason","given":"P. G."}],"issued":{"date-parts":[["2021"]]}},"label":"page"},{"id":29149,"uris":["http://zotero.org/groups/2352922/items/P3WI2WYU"],"itemData":{"id":29149,"type":"article-journal","abstract":"Introduced species represent an accelerated global change, and current efforts to manage them, though effective in particular situations, are not controlling the general problem. In the US, this failure is the result of insufficient policy, inadequate research and management funding, and gaps in scientific knowledge. Comparative policy analysis is urgently needed; the main US shortcoming is the absence of a coherent set of policies to address the entire issue, rather than individual invaders. Deliberate introductions should be more stringently regulated and risk assessments must become more predictive. Monitoring and attempts to identify new invasions (both deliberate and inadvertent) are technically feasible but not sufficiently funded and coordinated. Techniques to manage established invaders have often succeeded, but have been hamstrung by inconsistent funding. All of these problems could be improved by more fundamental research, ranging from basic natural history and simple advances in control technologies to more sophisticated ecological modeling and remote sensing techniques.","container-title":"Frontiers in Ecology and the Environment","DOI":"10.1890/1540-9295(2005)003[0012:ISPMAF]2.0.CO;2","ISSN":"1540-9295","issue":"1","journalAbbreviation":"Frontiers in Ecology and the Environment","language":"en","page":"12-20","source":"DOI.org (Crossref)","title":"Introduced species policy, management, and future research needs","URL":"http://doi.wiley.com/10.1890/1540-9295(2005)003[0012:ISPMAF]2.0.CO;2","volume":"3","author":[{"family":"Simberloff","given":"Daniel"},{"family":"Parker","given":"Ingrid M."},{"family":"Windle","given":"Phyllis N."}],"accessed":{"date-parts":[["2019",10,23]]},"issued":{"date-parts":[["2005",2]]}},"label":"page"}],"schema":"https://github.com/citation-style-language/schema/raw/master/csl-citation.json"} </w:instrText>
      </w:r>
      <w:r w:rsidR="00383764" w:rsidRPr="00837161">
        <w:rPr>
          <w:lang w:eastAsia="ja-JP"/>
        </w:rPr>
        <w:fldChar w:fldCharType="separate"/>
      </w:r>
      <w:r w:rsidR="00271B78" w:rsidRPr="00271B78">
        <w:t>(Barratt et al., 2021; Simberloff et al., 2005)</w:t>
      </w:r>
      <w:r w:rsidR="00383764" w:rsidRPr="00837161">
        <w:fldChar w:fldCharType="end"/>
      </w:r>
      <w:r w:rsidRPr="00837161">
        <w:t>.</w:t>
      </w:r>
      <w:r w:rsidRPr="00837161">
        <w:rPr>
          <w:lang w:eastAsia="ja-JP"/>
        </w:rPr>
        <w:t xml:space="preserve"> Pesticide</w:t>
      </w:r>
      <w:r w:rsidR="007B4368">
        <w:rPr>
          <w:lang w:eastAsia="ja-JP"/>
        </w:rPr>
        <w:t>-</w:t>
      </w:r>
      <w:r w:rsidRPr="00837161">
        <w:rPr>
          <w:lang w:eastAsia="ja-JP"/>
        </w:rPr>
        <w:t xml:space="preserve">based chemical control is also becoming less acceptable related to short term efficacy and </w:t>
      </w:r>
      <w:r w:rsidR="00C43852" w:rsidRPr="00837161">
        <w:rPr>
          <w:lang w:eastAsia="ja-JP"/>
        </w:rPr>
        <w:t>non-target</w:t>
      </w:r>
      <w:r w:rsidRPr="00837161">
        <w:rPr>
          <w:lang w:eastAsia="ja-JP"/>
        </w:rPr>
        <w:t xml:space="preserve"> effects </w:t>
      </w:r>
      <w:r w:rsidR="00197924" w:rsidRPr="00837161">
        <w:rPr>
          <w:lang w:eastAsia="ja-JP"/>
        </w:rPr>
        <w:t>(</w:t>
      </w:r>
      <w:r w:rsidRPr="0040026F">
        <w:rPr>
          <w:b/>
          <w:iCs/>
          <w:lang w:eastAsia="ja-JP"/>
        </w:rPr>
        <w:t>section 5.4.</w:t>
      </w:r>
      <w:r w:rsidR="0033306B" w:rsidRPr="0040026F">
        <w:rPr>
          <w:b/>
          <w:iCs/>
          <w:lang w:eastAsia="ja-JP"/>
        </w:rPr>
        <w:t>3</w:t>
      </w:r>
      <w:r w:rsidRPr="0040026F">
        <w:rPr>
          <w:b/>
          <w:iCs/>
          <w:lang w:eastAsia="ja-JP"/>
        </w:rPr>
        <w:t>.</w:t>
      </w:r>
      <w:r w:rsidR="0F80B876" w:rsidRPr="0040026F">
        <w:rPr>
          <w:b/>
          <w:iCs/>
          <w:lang w:eastAsia="ja-JP"/>
        </w:rPr>
        <w:t>2</w:t>
      </w:r>
      <w:r w:rsidRPr="00837161">
        <w:rPr>
          <w:lang w:eastAsia="ja-JP"/>
        </w:rPr>
        <w:t xml:space="preserve">; </w:t>
      </w:r>
      <w:r w:rsidR="00383764" w:rsidRPr="00837161">
        <w:fldChar w:fldCharType="begin"/>
      </w:r>
      <w:r w:rsidR="000F35EB">
        <w:rPr>
          <w:strike/>
          <w:lang w:eastAsia="ja-JP"/>
        </w:rPr>
        <w:instrText xml:space="preserve"> ADDIN ZOTERO_ITEM CSL_CITATION {"citationID":"G7BudKCy","properties":{"formattedCitation":"(Simberloff et al., 2005)","plainCitation":"(Simberloff et al., 2005)","dontUpdate":true,"noteIndex":0},"citationItems":[{"id":29149,"uris":["http://zotero.org/groups/2352922/items/P3WI2WYU"],"itemData":{"id":29149,"type":"article-journal","abstract":"Introduced species represent an accelerated global change, and current efforts to manage them, though effective in particular situations, are not controlling the general problem. In the US, this failure is the result of insufficient policy, inadequate research and management funding, and gaps in scientific knowledge. Comparative policy analysis is urgently needed; the main US shortcoming is the absence of a coherent set of policies to address the entire issue, rather than individual invaders. Deliberate introductions should be more stringently regulated and risk assessments must become more predictive. Monitoring and attempts to identify new invasions (both deliberate and inadvertent) are technically feasible but not sufficiently funded and coordinated. Techniques to manage established invaders have often succeeded, but have been hamstrung by inconsistent funding. All of these problems could be improved by more fundamental research, ranging from basic natural history and simple advances in control technologies to more sophisticated ecological modeling and remote sensing techniques.","container-title":"Frontiers in Ecology and the Environment","DOI":"10.1890/1540-9295(2005)003[0012:ISPMAF]2.0.CO;2","ISSN":"1540-9295","issue":"1","journalAbbreviation":"Frontiers in Ecology and the Environment","language":"en","page":"12-20","source":"DOI.org (Crossref)","title":"Introduced species policy, management, and future research needs","URL":"http://doi.wiley.com/10.1890/1540-9295(2005)003[0012:ISPMAF]2.0.CO;2","volume":"3","author":[{"family":"Simberloff","given":"Daniel"},{"family":"Parker","given":"Ingrid M."},{"family":"Windle","given":"Phyllis N."}],"accessed":{"date-parts":[["2019",10,23]]},"issued":{"date-parts":[["2005",2]]}},"label":"page"}],"schema":"https://github.com/citation-style-language/schema/raw/master/csl-citation.json"} </w:instrText>
      </w:r>
      <w:r w:rsidR="00383764" w:rsidRPr="00837161">
        <w:rPr>
          <w:lang w:eastAsia="ja-JP"/>
        </w:rPr>
        <w:fldChar w:fldCharType="separate"/>
      </w:r>
      <w:r w:rsidR="00612A32" w:rsidRPr="00837161">
        <w:t>Simberloff et al., 2005)</w:t>
      </w:r>
      <w:r w:rsidR="00383764" w:rsidRPr="00837161">
        <w:fldChar w:fldCharType="end"/>
      </w:r>
      <w:r w:rsidRPr="00837161">
        <w:rPr>
          <w:lang w:eastAsia="ja-JP"/>
        </w:rPr>
        <w:t xml:space="preserve">. Similarly, opinions on the use of lethal control of invasive alien vertebrates vary widely based on country and stakeholder groups, with the ethical consideration thereof now of high importance </w:t>
      </w:r>
      <w:r w:rsidR="00197924" w:rsidRPr="00837161">
        <w:rPr>
          <w:lang w:eastAsia="ja-JP"/>
        </w:rPr>
        <w:t>(</w:t>
      </w:r>
      <w:r w:rsidR="0040026F">
        <w:rPr>
          <w:b/>
          <w:iCs/>
          <w:lang w:eastAsia="ja-JP"/>
        </w:rPr>
        <w:t>C</w:t>
      </w:r>
      <w:r w:rsidRPr="0040026F">
        <w:rPr>
          <w:b/>
          <w:iCs/>
          <w:lang w:eastAsia="ja-JP"/>
        </w:rPr>
        <w:t>hapter 1</w:t>
      </w:r>
      <w:r w:rsidRPr="0040026F">
        <w:rPr>
          <w:iCs/>
          <w:lang w:eastAsia="ja-JP"/>
        </w:rPr>
        <w:t>,</w:t>
      </w:r>
      <w:r w:rsidRPr="0040026F">
        <w:rPr>
          <w:b/>
          <w:iCs/>
          <w:lang w:eastAsia="ja-JP"/>
        </w:rPr>
        <w:t xml:space="preserve"> section 1.5.3</w:t>
      </w:r>
      <w:r w:rsidR="0033306B" w:rsidRPr="0040026F">
        <w:rPr>
          <w:iCs/>
          <w:lang w:eastAsia="ja-JP"/>
        </w:rPr>
        <w:t>;</w:t>
      </w:r>
      <w:r w:rsidR="0033306B" w:rsidRPr="0040026F">
        <w:rPr>
          <w:b/>
          <w:iCs/>
          <w:lang w:eastAsia="ja-JP"/>
        </w:rPr>
        <w:t xml:space="preserve"> </w:t>
      </w:r>
      <w:r w:rsidRPr="0040026F">
        <w:rPr>
          <w:b/>
          <w:iCs/>
          <w:lang w:eastAsia="ja-JP"/>
        </w:rPr>
        <w:t>section 5.4.</w:t>
      </w:r>
      <w:r w:rsidR="0033306B" w:rsidRPr="0040026F">
        <w:rPr>
          <w:b/>
          <w:iCs/>
          <w:lang w:eastAsia="ja-JP"/>
        </w:rPr>
        <w:t>3</w:t>
      </w:r>
      <w:r w:rsidRPr="0040026F">
        <w:rPr>
          <w:b/>
          <w:iCs/>
          <w:lang w:eastAsia="ja-JP"/>
        </w:rPr>
        <w:t>.</w:t>
      </w:r>
      <w:r w:rsidR="1FDAEF73" w:rsidRPr="0040026F">
        <w:rPr>
          <w:b/>
          <w:iCs/>
          <w:lang w:eastAsia="ja-JP"/>
        </w:rPr>
        <w:t>2</w:t>
      </w:r>
      <w:r w:rsidRPr="00837161">
        <w:rPr>
          <w:lang w:eastAsia="ja-JP"/>
        </w:rPr>
        <w:t xml:space="preserve">). This is not helped by the many baiting and culling programmes that are poorly planned/implemented or unsustainably resourced. Some </w:t>
      </w:r>
      <w:r w:rsidR="00875C95" w:rsidRPr="00837161">
        <w:rPr>
          <w:lang w:eastAsia="ja-JP"/>
        </w:rPr>
        <w:t>Indigenous Peoples</w:t>
      </w:r>
      <w:r w:rsidRPr="00837161">
        <w:rPr>
          <w:lang w:eastAsia="ja-JP"/>
        </w:rPr>
        <w:t xml:space="preserve"> and local communities have a moral dilemma about using chemical and biological control methods to manage invasive alien species, because the methods can be incompatible with their spiritual connections with the land </w:t>
      </w:r>
      <w:r w:rsidR="00612A32" w:rsidRPr="00837161">
        <w:rPr>
          <w:lang w:eastAsia="ja-JP"/>
        </w:rPr>
        <w:fldChar w:fldCharType="begin"/>
      </w:r>
      <w:r w:rsidR="000F35EB">
        <w:rPr>
          <w:lang w:eastAsia="ja-JP"/>
        </w:rPr>
        <w:instrText xml:space="preserve"> ADDIN ZOTERO_ITEM CSL_CITATION {"citationID":"GpXP1shk","properties":{"formattedCitation":"(IPBES, 2022a)","plainCitation":"(IPBES, 2022a)","noteIndex":0},"citationItems":[{"id":53070,"uris":["http://zotero.org/groups/2352922/items/6TY3XELK"],"itemData":{"id":53070,"type":"report","abstract":"The values assessment is a ‘methodological assessment regarding the diverse conceptualizations of the multiple values of nature and its benefits, including biodiversity and ecosystem services’ as set out in IPBES/6/INF/9. The overall scope of the values assessment is to assess multiple sources and traditions of knowledge regarding diverse values of nature, including the strengths and weaknesses associated with existing valuation methods and approaches to make such values visible. The assessment provides conceptual and practical tools to aid policymakers in the recognition and accounting of nature’s values in different decision-making contexts. The values assessment provides guidelines, criteria, tools and a road map to navigate the ways in which values play out in decisions, as well as the role values and valuation can have in achieving more sustainable pathways. It should be noted that the assessment does not provide quantifications (e.g., in monetary or other indicators) of the diverse values of nature across the globe as its emphasis is on methodologies. The assessment report is composed of the summary for policymakers together with the six chapters and some front and back matters, which will be added following the ninth session of the Plenary.","event-place":"Bonn, Germany","language":"en","license":"Creative Commons Attribution 4.0 International, Embargoed Access","note":"DOI: 10.5281/ZENODO.6522522","publisher":"Secretariat of the Intergovernmental Science-Policy Platform on Biodiversity and Ecosystem Services","publisher-place":"Bonn, Germany","source":"DOI.org (Datacite)","title":"Methodological assessment of the diverse values and valuation of nature of the Intergovernmental Science-Policy Platform on Biodiversity and Ecosystem Services","URL":"https://zenodo.org/record/6522522","author":[{"literal":"IPBES"}],"contributor":[{"family":"Balvanera","given":"Patricia"},{"family":"Pascual","given":"Unai"},{"family":"Christie","given":"Michael"},{"family":"Baptiste","given":"Brigitte"},{"family":"González-Jiménez","given":"David"}],"accessed":{"date-parts":[["2022",8,31]]},"issued":{"date-parts":[["2022"]]}},"label":"page"}],"schema":"https://github.com/citation-style-language/schema/raw/master/csl-citation.json"} </w:instrText>
      </w:r>
      <w:r w:rsidR="00612A32" w:rsidRPr="00837161">
        <w:rPr>
          <w:lang w:eastAsia="ja-JP"/>
        </w:rPr>
        <w:fldChar w:fldCharType="separate"/>
      </w:r>
      <w:r w:rsidR="00271B78" w:rsidRPr="00271B78">
        <w:t>(IPBES, 2022a)</w:t>
      </w:r>
      <w:r w:rsidR="00612A32" w:rsidRPr="00837161">
        <w:rPr>
          <w:lang w:eastAsia="ja-JP"/>
        </w:rPr>
        <w:fldChar w:fldCharType="end"/>
      </w:r>
      <w:r w:rsidR="00612A32" w:rsidRPr="00837161">
        <w:rPr>
          <w:lang w:eastAsia="ja-JP"/>
        </w:rPr>
        <w:t xml:space="preserve">. </w:t>
      </w:r>
      <w:r w:rsidR="007B4368">
        <w:rPr>
          <w:color w:val="000000" w:themeColor="text1"/>
        </w:rPr>
        <w:t>A</w:t>
      </w:r>
      <w:r w:rsidRPr="00837161">
        <w:rPr>
          <w:color w:val="000000" w:themeColor="text1"/>
        </w:rPr>
        <w:t>nimal welfare constrain</w:t>
      </w:r>
      <w:r w:rsidR="00A05C69">
        <w:rPr>
          <w:color w:val="000000" w:themeColor="text1"/>
        </w:rPr>
        <w:t>t</w:t>
      </w:r>
      <w:r w:rsidRPr="00837161">
        <w:rPr>
          <w:color w:val="000000" w:themeColor="text1"/>
        </w:rPr>
        <w:t xml:space="preserve">s can also arise from opposing public perspectives on invasive alien species </w:t>
      </w:r>
      <w:r w:rsidR="00383764" w:rsidRPr="00837161">
        <w:rPr>
          <w:color w:val="000000" w:themeColor="text1"/>
        </w:rPr>
        <w:fldChar w:fldCharType="begin"/>
      </w:r>
      <w:r w:rsidR="000F35EB">
        <w:rPr>
          <w:color w:val="000000" w:themeColor="text1"/>
        </w:rPr>
        <w:instrText xml:space="preserve"> ADDIN ZOTERO_ITEM CSL_CITATION {"citationID":"SqlQqTC3","properties":{"formattedCitation":"(Est\\uc0\\u233{}vez et al., 2015)","plainCitation":"(Estévez et al., 2015)","noteIndex":0},"citationItems":[{"id":30389,"uris":["http://zotero.org/groups/2352922/items/RICLEV26"],"itemData":{"id":30389,"type":"article-journal","abstract":"Decision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A."}],"accessed":{"date-parts":[["2021",4,13]]},"issued":{"date-parts":[["2015",2]]}},"label":"page"}],"schema":"https://github.com/citation-style-language/schema/raw/master/csl-citation.json"} </w:instrText>
      </w:r>
      <w:r w:rsidR="00383764" w:rsidRPr="00837161">
        <w:rPr>
          <w:color w:val="000000" w:themeColor="text1"/>
        </w:rPr>
        <w:fldChar w:fldCharType="separate"/>
      </w:r>
      <w:r w:rsidR="00271B78" w:rsidRPr="00271B78">
        <w:t>(Estévez et al., 2015)</w:t>
      </w:r>
      <w:r w:rsidR="00383764" w:rsidRPr="00837161">
        <w:rPr>
          <w:color w:val="000000" w:themeColor="text1"/>
        </w:rPr>
        <w:fldChar w:fldCharType="end"/>
      </w:r>
      <w:r w:rsidRPr="00837161">
        <w:rPr>
          <w:color w:val="000000" w:themeColor="text1"/>
        </w:rPr>
        <w:t xml:space="preserve">, which is detailed in </w:t>
      </w:r>
      <w:r w:rsidRPr="0040026F">
        <w:rPr>
          <w:b/>
          <w:iCs/>
          <w:color w:val="000000" w:themeColor="text1"/>
        </w:rPr>
        <w:t>section 5.6</w:t>
      </w:r>
      <w:r w:rsidRPr="00837161">
        <w:rPr>
          <w:color w:val="000000" w:themeColor="text1"/>
        </w:rPr>
        <w:t>.</w:t>
      </w:r>
    </w:p>
    <w:p w14:paraId="5EACDDA7" w14:textId="2C1598E6" w:rsidR="00383764" w:rsidRPr="00837161" w:rsidRDefault="00383764" w:rsidP="00C11DFA">
      <w:pPr>
        <w:spacing w:before="240" w:after="120" w:line="240" w:lineRule="auto"/>
      </w:pPr>
      <w:r w:rsidRPr="00837161">
        <w:rPr>
          <w:b/>
          <w:bCs/>
        </w:rPr>
        <w:t>Inadequate communication and lack of awareness</w:t>
      </w:r>
      <w:r w:rsidRPr="00837161">
        <w:t xml:space="preserve">: Lack of understanding of invasive alien species impacts </w:t>
      </w:r>
      <w:r w:rsidRPr="00837161">
        <w:fldChar w:fldCharType="begin"/>
      </w:r>
      <w:r w:rsidR="000F35EB">
        <w:instrText xml:space="preserve"> ADDIN ZOTERO_ITEM CSL_CITATION {"citationID":"ENwwTnpN","properties":{"formattedCitation":"(Kleitou et al., 2019)","plainCitation":"(Kleitou et al., 2019)","noteIndex":0},"citationItems":[{"id":25014,"uris":["http://zotero.org/groups/2352922/items/VL6IFE6Z"],"itemData":{"id":25014,"type":"article-journal","abstract":"A lionfish invasion in the Western Atlantic has been one of the most ecologically harmful fish invasions to date. Experience there has shown that its management is most effective when the public and stakeholders are involved. The lionfish (Pterois miles) has recently invaded the Mediterranean, spreading at an alarming rate. To understand lionfish knowledge and perceptions, questionnaire surveys were conducted with a representative cross section of the adult general public (via telephone) and stakeholders (via organised meetings) in Cyprus. Results from 300 public surveys revealed limited awareness about the lionfish but strong support for its local management. Men and older respondents showed stronger support compared to women and younger respondents, respectively. Results from 108 stakeholder revealed high level of awareness and almost unanimous support for management measures. The majority had not experienced any effects from the recent lionfish invasion, but some reported negative impacts such as limited access to dive sites, ecosystem damage and fishing gear destruction. Few stakeholders perceived benefits of this invasive species, e.g. to dive tourism or as a food source. Almost all stakeholders expressed a willingness to get involved in lionfish management, but only around half would consider personal consumption, or sports incentives as good incentives for their participation. Encouragement from scientists through coordination, training and support was suggested as an essential part of effective management strategy. The results of this study can inform an efficient adaptive management process across the Mediterranean region and assist future engagement of citizen scientists in lionfish control and mitigation.","container-title":"Marine Policy","DOI":"10.1016/j.marpol.2019.02.052","ISSN":"0308597X","journalAbbreviation":"Marine Policy","language":"en","page":"66-74","source":"DOI.org (Crossref)","title":"Invasive lionfish in the Mediterranean: Low public awareness yet high stakeholder concerns","title-short":"Invasive lionfish in the Mediterranean","URL":"https://linkinghub.elsevier.com/retrieve/pii/S0308597X18307085","volume":"104","author":[{"family":"Kleitou","given":"Periklis"},{"family":"Savva","given":"Ioannis"},{"family":"Kletou","given":"Demetris"},{"family":"Hall-Spencer","given":"Jason M."},{"family":"Antoniou","given":"Charalampos"},{"family":"Christodoulides","given":"Yiannis"},{"family":"Chartosia","given":"Niki"},{"family":"Hadjioannou","given":"Louis"},{"family":"Dimitriou","given":"Andreas C."},{"family":"Jimenez","given":"Carlos"},{"family":"Petrou","given":"Antonis"},{"family":"Sfenthourakis","given":"Spyros"},{"family":"Rees","given":"Sian"}],"accessed":{"date-parts":[["2019",11,28]]},"issued":{"date-parts":[["2019",6]]}},"label":"page"}],"schema":"https://github.com/citation-style-language/schema/raw/master/csl-citation.json"} </w:instrText>
      </w:r>
      <w:r w:rsidRPr="00837161">
        <w:fldChar w:fldCharType="separate"/>
      </w:r>
      <w:r w:rsidR="00271B78" w:rsidRPr="00271B78">
        <w:t>(Kleitou et al., 2019)</w:t>
      </w:r>
      <w:r w:rsidRPr="00837161">
        <w:fldChar w:fldCharType="end"/>
      </w:r>
      <w:r w:rsidRPr="00837161">
        <w:t xml:space="preserve"> and linguistic problems in communication can be a constraint in management planning across culturally different stakeholder groups, but can be addressed through co-developed communication planning. Stakeholder groups are also likely to be more engaged and committed to implement management strategies in ecosystems they use</w:t>
      </w:r>
      <w:r w:rsidR="007B4368">
        <w:t>,</w:t>
      </w:r>
      <w:r w:rsidRPr="00837161">
        <w:t xml:space="preserve"> which may lead to a bias in management towards terrestrial ecosystems </w:t>
      </w:r>
      <w:r w:rsidRPr="00837161">
        <w:fldChar w:fldCharType="begin"/>
      </w:r>
      <w:r w:rsidR="000F35EB">
        <w:instrText xml:space="preserve"> ADDIN ZOTERO_ITEM CSL_CITATION {"citationID":"oKASj8xi","properties":{"formattedCitation":"(Mungi et al., 2019)","plainCitation":"(Mungi et al., 2019)","noteIndex":0},"citationItems":[{"id":24271,"uris":["http://zotero.org/groups/2352922/items/MKQYNBER"],"itemData":{"id":24271,"type":"article-journal","abstract":"India, a megadiverse tropical country is grappling with the issue of biological invasions. As a signatory to the Convention on Biological Diversity, India is committed for managing its major biological invasions by 2020. Lack of prioritization of invasive species for control and management is the biggest hurdle for achieving this commitment. We reviewed 21 High Concern Invasive Species (HiCIS) across four major ecosystems (terrestrial mainland, island, freshwater, and marine) in India, utilizing the prioritization framework for understanding the existing knowledge and gaps. We reviewed the existing peer-reviewed and grey literature on HiCIS for information on their ecology, impacts, and management. Prioritization framework provided “priority scores” and “confidence scores” to each HiCIS, where priority score comprised of the species’ ecology and its management lacunae. Confidence score represented the reliability of the priority score. We found that invasions on terrestrial mainland ecosystem in India are the most studied invasions followed by freshwater, island, and marine ecosystem. Priority score of a given HiCIS was positively correlated with its impacts on biodiversity (R = 0.63), physical environment (R = 0.70), and ecosystem services (R = 0.60). This correlation supports scientific focus on deleterious species. The study also indicates policies and guidelines in place for management of invasions as a part of a larger scheme or Legal Act, resulting in their obscurity to the managers, and hindering management of HiCIS. This quantitative synthesis provides a model framework for countries struggling with channelizing management efforts to an overwhelmingly large number of invasive species.","container-title":"Biologia","DOI":"10.2478/s11756-018-00186-8","ISSN":"1336-9563","issue":"6","journalAbbreviation":"Biologia","language":"en","page":"623-629","source":"Springer Link","title":"Identifying knowledge gaps in the research and management of invasive species in India","URL":"https://doi.org/10.2478/s11756-018-00186-8","volume":"74","author":[{"family":"Mungi","given":"Ninad Avinash"},{"family":"Kaushik","given":"Monica"},{"family":"Mohanty","given":"Nitya Prakash"},{"family":"Rastogi","given":"Rajat"},{"family":"Johnson","given":"J. Antony"},{"family":"Qureshi","given":"Qamar"}],"accessed":{"date-parts":[["2020",1,18]]},"issued":{"date-parts":[["2019",6,1]]}},"label":"page"}],"schema":"https://github.com/citation-style-language/schema/raw/master/csl-citation.json"} </w:instrText>
      </w:r>
      <w:r w:rsidRPr="00837161">
        <w:fldChar w:fldCharType="separate"/>
      </w:r>
      <w:r w:rsidR="00271B78" w:rsidRPr="00271B78">
        <w:t>(Mungi et al., 2019)</w:t>
      </w:r>
      <w:r w:rsidRPr="00837161">
        <w:fldChar w:fldCharType="end"/>
      </w:r>
      <w:r w:rsidRPr="00FC199D">
        <w:rPr>
          <w:lang w:val="de-DE"/>
        </w:rPr>
        <w:t xml:space="preserve">. </w:t>
      </w:r>
      <w:r w:rsidR="00612A32" w:rsidRPr="00FC199D">
        <w:rPr>
          <w:lang w:val="de-DE"/>
        </w:rPr>
        <w:t xml:space="preserve">Sosa et al. </w:t>
      </w:r>
      <w:r w:rsidR="00612A32" w:rsidRPr="00837161">
        <w:rPr>
          <w:rFonts w:eastAsia="Times New Roman"/>
          <w:color w:val="212121"/>
        </w:rPr>
        <w:fldChar w:fldCharType="begin"/>
      </w:r>
      <w:r w:rsidR="000F35EB">
        <w:rPr>
          <w:rFonts w:eastAsia="Times New Roman"/>
          <w:color w:val="212121"/>
          <w:lang w:val="de-DE"/>
        </w:rPr>
        <w:instrText xml:space="preserve"> ADDIN ZOTERO_ITEM CSL_CITATION {"citationID":"Wsj1IEFa","properties":{"formattedCitation":"(2021)","plainCitation":"(2021)","noteIndex":0},"citationItems":[{"id":53159,"uris":["http://zotero.org/groups/2352922/items/27MZ9KZS"],"itemData":{"id":53159,"type":"article-journal","abstract":"Environmental education seeks to foster an appreciation for nature and the impact of humans on it while introducing citizens to scientific thinking. Biological invasions affect different aspects of life on earth and mandate urgent management actions. Education and public awareness are strongly recommended for successful prevention and management of invasive alien species (IAS). This work presents a study on knowledge and perception of the educational community of Argentina about native species and IAS. We designed an on-line semi-structured questionnaire to examine perception of the environment, recognition of native species and IAS and awareness about biological invasions. Educators recognised an important number of biotic components, mostly represented by trees, birds and mammals. Recognition of native species and IAS, and awareness of biological invasions were different between NST (Natural Science Teachers) and non-NST. Respondents had different performances when they were exposed to recognising native species though written names or photographs. Out of 532 respondents, 56% knew what biological invasions are, 21% answered “Maybe” and 23% had never heard about them. We need to foster capacity-building and encourage a two-way communication between educators and scientists, formally and informally, to engage the participation of the whole society in recognition, prevention and management of IAS.","container-title":"Scientific Reports","DOI":"10.1038/s41598-021-00683-y","ISSN":"2045-2322","issue":"1","journalAbbreviation":"Sci Rep","language":"en","license":"2021 The Author(s)","note":"number: 1\npublisher: Nature Publishing Group","page":"21474","source":"www.nature.com","title":"The educational community and its knowledge and perceptions of native and invasive alien species","URL":"https://www.nature.com/articles/s41598-021-00683-y","volume":"11","author":[{"family":"Sosa","given":"Alejandro J."},{"family":"Jiménez","given":"Nadia L."},{"family":"Faltlhauser","given":"Ana C."},{"family":"Righetti","given":"Tomás"},{"family":"Mc Kay","given":"Fernando"},{"family":"Bruzzone","given":"Octavio A."},{"family":"Stiers","given":"Iris"},{"family":"Fernández Souto","given":"Adriana"}],"accessed":{"date-parts":[["2022",9,2]]},"issued":{"date-parts":[["2021",11,2]]}},"label":"page","suppress-author":true}],"schema":"https://github.com/citation-style-language/schema/raw/master/csl-citation.json"} </w:instrText>
      </w:r>
      <w:r w:rsidR="00612A32" w:rsidRPr="00837161">
        <w:rPr>
          <w:rFonts w:eastAsia="Times New Roman"/>
          <w:color w:val="212121"/>
        </w:rPr>
        <w:fldChar w:fldCharType="separate"/>
      </w:r>
      <w:r w:rsidR="00271B78" w:rsidRPr="00271B78">
        <w:t>(2021)</w:t>
      </w:r>
      <w:r w:rsidR="00612A32" w:rsidRPr="00837161">
        <w:rPr>
          <w:rFonts w:eastAsia="Times New Roman"/>
          <w:color w:val="212121"/>
        </w:rPr>
        <w:fldChar w:fldCharType="end"/>
      </w:r>
      <w:r w:rsidR="00612A32" w:rsidRPr="00FC199D">
        <w:rPr>
          <w:rFonts w:eastAsia="Times New Roman"/>
          <w:color w:val="212121"/>
          <w:lang w:val="de-DE"/>
        </w:rPr>
        <w:t xml:space="preserve"> </w:t>
      </w:r>
      <w:r w:rsidRPr="00FC199D">
        <w:rPr>
          <w:rFonts w:eastAsia="Times New Roman"/>
          <w:color w:val="212121"/>
          <w:lang w:val="de-DE"/>
        </w:rPr>
        <w:t xml:space="preserve">suggested that support to manage </w:t>
      </w:r>
      <w:r w:rsidR="002F2F42" w:rsidRPr="5E4965FB">
        <w:rPr>
          <w:color w:val="212121"/>
        </w:rPr>
        <w:t>biological invasions</w:t>
      </w:r>
      <w:r w:rsidR="002F2F42">
        <w:rPr>
          <w:color w:val="212121"/>
        </w:rPr>
        <w:t xml:space="preserve"> </w:t>
      </w:r>
      <w:r w:rsidRPr="00FC199D">
        <w:rPr>
          <w:rFonts w:eastAsia="Times New Roman"/>
          <w:color w:val="212121"/>
          <w:lang w:val="de-DE"/>
        </w:rPr>
        <w:t>can be enhanced by promoting communication between educators and teachers</w:t>
      </w:r>
      <w:r w:rsidR="007B4368">
        <w:rPr>
          <w:rFonts w:eastAsia="Times New Roman"/>
          <w:color w:val="212121"/>
          <w:lang w:val="de-DE"/>
        </w:rPr>
        <w:t>,</w:t>
      </w:r>
      <w:r w:rsidRPr="00FC199D">
        <w:rPr>
          <w:rFonts w:eastAsia="Times New Roman"/>
          <w:color w:val="212121"/>
          <w:lang w:val="de-DE"/>
        </w:rPr>
        <w:t xml:space="preserve"> which will encourage public participation in the process. </w:t>
      </w:r>
      <w:r w:rsidRPr="00837161">
        <w:rPr>
          <w:rFonts w:eastAsia="Times New Roman"/>
          <w:color w:val="212121"/>
        </w:rPr>
        <w:t xml:space="preserve">They also proposed increasing awareness among students by including invasive alien species identification and their potential threats in educational curricula from Kindergarten to University levels </w:t>
      </w:r>
      <w:r w:rsidR="00D34D15" w:rsidRPr="00837161">
        <w:rPr>
          <w:rFonts w:eastAsia="Times New Roman"/>
          <w:color w:val="212121"/>
        </w:rPr>
        <w:fldChar w:fldCharType="begin"/>
      </w:r>
      <w:r w:rsidR="000F35EB">
        <w:rPr>
          <w:rFonts w:eastAsia="Times New Roman"/>
          <w:color w:val="212121"/>
        </w:rPr>
        <w:instrText xml:space="preserve"> ADDIN ZOTERO_ITEM CSL_CITATION {"citationID":"s4X0PaoJ","properties":{"formattedCitation":"(Sosa et al., 2021)","plainCitation":"(Sosa et al., 2021)","dontUpdate":true,"noteIndex":0},"citationItems":[{"id":53159,"uris":["http://zotero.org/groups/2352922/items/27MZ9KZS"],"itemData":{"id":53159,"type":"article-journal","abstract":"Environmental education seeks to foster an appreciation for nature and the impact of humans on it while introducing citizens to scientific thinking. Biological invasions affect different aspects of life on earth and mandate urgent management actions. Education and public awareness are strongly recommended for successful prevention and management of invasive alien species (IAS). This work presents a study on knowledge and perception of the educational community of Argentina about native species and IAS. We designed an on-line semi-structured questionnaire to examine perception of the environment, recognition of native species and IAS and awareness about biological invasions. Educators recognised an important number of biotic components, mostly represented by trees, birds and mammals. Recognition of native species and IAS, and awareness of biological invasions were different between NST (Natural Science Teachers) and non-NST. Respondents had different performances when they were exposed to recognising native species though written names or photographs. Out of 532 respondents, 56% knew what biological invasions are, 21% answered “Maybe” and 23% had never heard about them. We need to foster capacity-building and encourage a two-way communication between educators and scientists, formally and informally, to engage the participation of the whole society in recognition, prevention and management of IAS.","container-title":"Scientific Reports","DOI":"10.1038/s41598-021-00683-y","ISSN":"2045-2322","issue":"1","journalAbbreviation":"Sci Rep","language":"en","license":"2021 The Author(s)","note":"number: 1\npublisher: Nature Publishing Group","page":"21474","source":"www.nature.com","title":"The educational community and its knowledge and perceptions of native and invasive alien species","URL":"https://www.nature.com/articles/s41598-021-00683-y","volume":"11","author":[{"family":"Sosa","given":"Alejandro J."},{"family":"Jiménez","given":"Nadia L."},{"family":"Faltlhauser","given":"Ana C."},{"family":"Righetti","given":"Tomás"},{"family":"Mc Kay","given":"Fernando"},{"family":"Bruzzone","given":"Octavio A."},{"family":"Stiers","given":"Iris"},{"family":"Fernández Souto","given":"Adriana"}],"accessed":{"date-parts":[["2022",9,2]]},"issued":{"date-parts":[["2021",11,2]]}},"label":"page"}],"schema":"https://github.com/citation-style-language/schema/raw/master/csl-citation.json"} </w:instrText>
      </w:r>
      <w:r w:rsidR="00D34D15" w:rsidRPr="00837161">
        <w:rPr>
          <w:rFonts w:eastAsia="Times New Roman"/>
          <w:color w:val="212121"/>
        </w:rPr>
        <w:fldChar w:fldCharType="separate"/>
      </w:r>
      <w:r w:rsidR="00612A32" w:rsidRPr="00837161">
        <w:t>(Sosa et al., 2021</w:t>
      </w:r>
      <w:r w:rsidR="00D34D15" w:rsidRPr="00837161">
        <w:rPr>
          <w:rFonts w:eastAsia="Times New Roman"/>
          <w:color w:val="212121"/>
        </w:rPr>
        <w:fldChar w:fldCharType="end"/>
      </w:r>
      <w:r w:rsidR="001C0274" w:rsidRPr="00837161">
        <w:t>;</w:t>
      </w:r>
      <w:r w:rsidRPr="00837161">
        <w:t xml:space="preserve"> </w:t>
      </w:r>
      <w:r w:rsidR="0040026F">
        <w:rPr>
          <w:b/>
          <w:iCs/>
        </w:rPr>
        <w:t>C</w:t>
      </w:r>
      <w:r w:rsidRPr="0040026F">
        <w:rPr>
          <w:b/>
          <w:iCs/>
        </w:rPr>
        <w:t>hapter 6</w:t>
      </w:r>
      <w:r w:rsidRPr="0040026F">
        <w:rPr>
          <w:iCs/>
        </w:rPr>
        <w:t>,</w:t>
      </w:r>
      <w:r w:rsidRPr="0040026F">
        <w:rPr>
          <w:b/>
          <w:iCs/>
        </w:rPr>
        <w:t xml:space="preserve"> section 6.</w:t>
      </w:r>
      <w:r w:rsidR="0005319D" w:rsidRPr="0040026F">
        <w:rPr>
          <w:b/>
          <w:iCs/>
        </w:rPr>
        <w:t>7.2.4</w:t>
      </w:r>
      <w:r w:rsidRPr="00837161">
        <w:t>).</w:t>
      </w:r>
    </w:p>
    <w:p w14:paraId="00000760" w14:textId="4E5E6D01" w:rsidR="00A758FD" w:rsidRPr="00AC1F76" w:rsidRDefault="00C81287" w:rsidP="002F2F42">
      <w:pPr>
        <w:pStyle w:val="Heading3"/>
      </w:pPr>
      <w:bookmarkStart w:id="661" w:name="_heading=h.1maplo9" w:colFirst="0" w:colLast="0"/>
      <w:bookmarkStart w:id="662" w:name="_Toc131681673"/>
      <w:bookmarkEnd w:id="661"/>
      <w:r w:rsidRPr="00AC1F76">
        <w:lastRenderedPageBreak/>
        <w:t xml:space="preserve">Knowledge and implementation gaps in the management of </w:t>
      </w:r>
      <w:bookmarkEnd w:id="662"/>
      <w:r w:rsidR="44D3E13B">
        <w:t>biological invasions</w:t>
      </w:r>
    </w:p>
    <w:p w14:paraId="00000761" w14:textId="47488EBD" w:rsidR="00A758FD" w:rsidRPr="00C0338D" w:rsidRDefault="007B4368">
      <w:pPr>
        <w:spacing w:before="240" w:after="120" w:line="240" w:lineRule="auto"/>
        <w:rPr>
          <w:b/>
        </w:rPr>
      </w:pPr>
      <w:bookmarkStart w:id="663" w:name="_heading=h.46ad4c2" w:colFirst="0" w:colLast="0"/>
      <w:bookmarkEnd w:id="663"/>
      <w:r>
        <w:t>This chapter has</w:t>
      </w:r>
      <w:r w:rsidR="00C81287" w:rsidRPr="00C0338D">
        <w:t xml:space="preserve"> identified gaps in the implementation of knowledge, or knowledge gaps that constrain successful long-term control, in pathway, species-</w:t>
      </w:r>
      <w:r w:rsidR="54587AF9">
        <w:t>based</w:t>
      </w:r>
      <w:r w:rsidR="00C81287" w:rsidRPr="00C0338D">
        <w:t xml:space="preserve"> and site/ecosystem-based management </w:t>
      </w:r>
      <w:r w:rsidR="23163BFA" w:rsidRPr="00C0338D">
        <w:t xml:space="preserve">of </w:t>
      </w:r>
      <w:r w:rsidR="23163BFA">
        <w:t>biological invasions</w:t>
      </w:r>
      <w:r w:rsidR="5A7C5823" w:rsidRPr="00C0338D">
        <w:t>.</w:t>
      </w:r>
      <w:r w:rsidR="00C81287" w:rsidRPr="00C0338D">
        <w:t xml:space="preserve"> Addressing the gaps identified below can directly support improved management actions, in cases providing the minimum information for decision-making. Alternatively, while certain tools and methods have been developed, how to use them in a particular scenario or at a large enough scale, is not currently known. A summary of these is presented in </w:t>
      </w:r>
      <w:bookmarkStart w:id="664" w:name="_Ref113011896"/>
      <w:r w:rsidR="00191A6E">
        <w:rPr>
          <w:b/>
          <w:iCs/>
        </w:rPr>
        <w:t>Table 5.11</w:t>
      </w:r>
      <w:r w:rsidR="00344D2F" w:rsidRPr="00837161">
        <w:rPr>
          <w:i/>
          <w:iCs/>
          <w:lang w:eastAsia="en-ZA"/>
        </w:rPr>
        <w:t>.</w:t>
      </w:r>
    </w:p>
    <w:p w14:paraId="00000762" w14:textId="41DE21BF" w:rsidR="00A758FD" w:rsidRPr="00AC1F76" w:rsidRDefault="00C81287" w:rsidP="002F2F42">
      <w:pPr>
        <w:keepNext/>
        <w:pBdr>
          <w:top w:val="nil"/>
          <w:left w:val="nil"/>
          <w:bottom w:val="nil"/>
          <w:right w:val="nil"/>
          <w:between w:val="nil"/>
        </w:pBdr>
        <w:spacing w:before="240" w:after="120" w:line="240" w:lineRule="auto"/>
        <w:rPr>
          <w:b/>
          <w:color w:val="000000"/>
        </w:rPr>
      </w:pPr>
      <w:bookmarkStart w:id="665" w:name="_heading=h.2lfnejv" w:colFirst="0" w:colLast="0"/>
      <w:bookmarkStart w:id="666" w:name="_Ref131673962"/>
      <w:bookmarkStart w:id="667" w:name="_Toc147489088"/>
      <w:bookmarkEnd w:id="665"/>
      <w:r w:rsidRPr="002F2F42">
        <w:rPr>
          <w:b/>
          <w:color w:val="000000" w:themeColor="text1"/>
        </w:rPr>
        <w:t>Table 5</w:t>
      </w:r>
      <w:r w:rsidR="00D34D15" w:rsidRPr="002F2F42">
        <w:rPr>
          <w:b/>
        </w:rPr>
        <w:t>.</w:t>
      </w:r>
      <w:r w:rsidR="00D34D15" w:rsidRPr="002F2F42">
        <w:rPr>
          <w:b/>
        </w:rPr>
        <w:fldChar w:fldCharType="begin"/>
      </w:r>
      <w:r w:rsidR="00D34D15" w:rsidRPr="002F2F42">
        <w:rPr>
          <w:b/>
        </w:rPr>
        <w:instrText xml:space="preserve"> SEQ Table_5. \* ARABIC </w:instrText>
      </w:r>
      <w:r w:rsidR="00D34D15" w:rsidRPr="002F2F42">
        <w:rPr>
          <w:b/>
        </w:rPr>
        <w:fldChar w:fldCharType="separate"/>
      </w:r>
      <w:r w:rsidR="00DC77F8" w:rsidRPr="002F2F42">
        <w:rPr>
          <w:b/>
          <w:noProof/>
        </w:rPr>
        <w:t>11</w:t>
      </w:r>
      <w:r w:rsidR="00D34D15" w:rsidRPr="002F2F42">
        <w:rPr>
          <w:b/>
        </w:rPr>
        <w:fldChar w:fldCharType="end"/>
      </w:r>
      <w:bookmarkEnd w:id="664"/>
      <w:bookmarkEnd w:id="666"/>
      <w:r w:rsidR="001F1A6B" w:rsidRPr="002F2F42">
        <w:rPr>
          <w:b/>
        </w:rPr>
        <w:t>.</w:t>
      </w:r>
      <w:r w:rsidRPr="002F2F42">
        <w:rPr>
          <w:b/>
          <w:color w:val="000000" w:themeColor="text1"/>
        </w:rPr>
        <w:t xml:space="preserve"> </w:t>
      </w:r>
      <w:r w:rsidRPr="002F2F42">
        <w:rPr>
          <w:color w:val="000000" w:themeColor="text1"/>
        </w:rPr>
        <w:t xml:space="preserve">A summary of gaps in knowledge and implementation impeding </w:t>
      </w:r>
      <w:r w:rsidRPr="00AC1F76">
        <w:rPr>
          <w:color w:val="000000" w:themeColor="text1"/>
        </w:rPr>
        <w:t>management</w:t>
      </w:r>
      <w:r w:rsidR="6A100154" w:rsidRPr="5E4965FB">
        <w:rPr>
          <w:rFonts w:eastAsia="Times New Roman"/>
          <w:color w:val="000000" w:themeColor="text1"/>
        </w:rPr>
        <w:t xml:space="preserve"> </w:t>
      </w:r>
      <w:r w:rsidR="6A100154">
        <w:t>of biological invasions</w:t>
      </w:r>
      <w:r w:rsidR="5A7C5823" w:rsidRPr="00AC1F76">
        <w:rPr>
          <w:color w:val="000000" w:themeColor="text1"/>
        </w:rPr>
        <w:t>.</w:t>
      </w:r>
      <w:r w:rsidRPr="00AC1F76">
        <w:rPr>
          <w:color w:val="000000" w:themeColor="text1"/>
        </w:rPr>
        <w:t xml:space="preserve"> The gaps were developed through an expert elicitation process with authors of Chapter 5.</w:t>
      </w:r>
      <w:bookmarkEnd w:id="667"/>
      <w:r w:rsidRPr="00AC1F76">
        <w:rPr>
          <w:b/>
          <w:color w:val="000000" w:themeColor="text1"/>
        </w:rPr>
        <w:t xml:space="preserve"> </w:t>
      </w:r>
    </w:p>
    <w:p w14:paraId="00000763" w14:textId="77777777" w:rsidR="00A758FD" w:rsidRPr="00C0338D" w:rsidRDefault="00A758FD"/>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00" w:firstRow="0" w:lastRow="0" w:firstColumn="0" w:lastColumn="0" w:noHBand="0" w:noVBand="1"/>
      </w:tblPr>
      <w:tblGrid>
        <w:gridCol w:w="562"/>
        <w:gridCol w:w="1843"/>
        <w:gridCol w:w="2835"/>
        <w:gridCol w:w="2855"/>
        <w:gridCol w:w="1256"/>
      </w:tblGrid>
      <w:tr w:rsidR="00A758FD" w14:paraId="6DBCF180" w14:textId="77777777" w:rsidTr="00AC1F76">
        <w:trPr>
          <w:cantSplit/>
          <w:trHeight w:val="1134"/>
          <w:tblHeader/>
        </w:trPr>
        <w:tc>
          <w:tcPr>
            <w:tcW w:w="562" w:type="dxa"/>
            <w:textDirection w:val="btLr"/>
          </w:tcPr>
          <w:p w14:paraId="00000764" w14:textId="77777777" w:rsidR="00A758FD" w:rsidRPr="00C0338D" w:rsidRDefault="00A758FD" w:rsidP="002F2F42">
            <w:pPr>
              <w:spacing w:line="240" w:lineRule="auto"/>
              <w:ind w:left="113" w:right="113"/>
              <w:jc w:val="center"/>
              <w:rPr>
                <w:b/>
              </w:rPr>
            </w:pPr>
          </w:p>
        </w:tc>
        <w:tc>
          <w:tcPr>
            <w:tcW w:w="1843" w:type="dxa"/>
            <w:tcMar>
              <w:top w:w="0" w:type="dxa"/>
              <w:left w:w="108" w:type="dxa"/>
              <w:bottom w:w="0" w:type="dxa"/>
              <w:right w:w="108" w:type="dxa"/>
            </w:tcMar>
          </w:tcPr>
          <w:p w14:paraId="00000765" w14:textId="77777777" w:rsidR="00A758FD" w:rsidRPr="00C0338D" w:rsidRDefault="00C81287">
            <w:pPr>
              <w:spacing w:line="240" w:lineRule="auto"/>
              <w:rPr>
                <w:b/>
              </w:rPr>
            </w:pPr>
            <w:r w:rsidRPr="00C0338D">
              <w:rPr>
                <w:b/>
              </w:rPr>
              <w:t xml:space="preserve">Gap type </w:t>
            </w:r>
          </w:p>
          <w:p w14:paraId="00000766" w14:textId="77777777" w:rsidR="00A758FD" w:rsidRPr="00C0338D" w:rsidRDefault="00C81287">
            <w:pPr>
              <w:spacing w:line="240" w:lineRule="auto"/>
            </w:pPr>
            <w:r w:rsidRPr="00C0338D">
              <w:rPr>
                <w:b/>
                <w:sz w:val="20"/>
              </w:rPr>
              <w:t>and category</w:t>
            </w:r>
          </w:p>
        </w:tc>
        <w:tc>
          <w:tcPr>
            <w:tcW w:w="2835" w:type="dxa"/>
            <w:tcMar>
              <w:top w:w="0" w:type="dxa"/>
              <w:left w:w="108" w:type="dxa"/>
              <w:bottom w:w="0" w:type="dxa"/>
              <w:right w:w="108" w:type="dxa"/>
            </w:tcMar>
          </w:tcPr>
          <w:p w14:paraId="00000767" w14:textId="77777777" w:rsidR="00A758FD" w:rsidRPr="00C0338D" w:rsidRDefault="00C81287">
            <w:pPr>
              <w:spacing w:line="240" w:lineRule="auto"/>
            </w:pPr>
            <w:r w:rsidRPr="00C0338D">
              <w:rPr>
                <w:b/>
              </w:rPr>
              <w:t>Gap description</w:t>
            </w:r>
          </w:p>
        </w:tc>
        <w:tc>
          <w:tcPr>
            <w:tcW w:w="2855" w:type="dxa"/>
          </w:tcPr>
          <w:p w14:paraId="00000768" w14:textId="77777777" w:rsidR="00A758FD" w:rsidRPr="00C0338D" w:rsidRDefault="00C81287">
            <w:pPr>
              <w:spacing w:line="240" w:lineRule="auto"/>
              <w:rPr>
                <w:b/>
              </w:rPr>
            </w:pPr>
            <w:r w:rsidRPr="00C0338D">
              <w:rPr>
                <w:b/>
              </w:rPr>
              <w:t>Why is it important?</w:t>
            </w:r>
          </w:p>
        </w:tc>
        <w:tc>
          <w:tcPr>
            <w:tcW w:w="1256" w:type="dxa"/>
            <w:tcMar>
              <w:top w:w="0" w:type="dxa"/>
              <w:left w:w="108" w:type="dxa"/>
              <w:bottom w:w="0" w:type="dxa"/>
              <w:right w:w="108" w:type="dxa"/>
            </w:tcMar>
          </w:tcPr>
          <w:p w14:paraId="00000769" w14:textId="77777777" w:rsidR="00A758FD" w:rsidRPr="00C0338D" w:rsidRDefault="00C81287">
            <w:pPr>
              <w:spacing w:line="240" w:lineRule="auto"/>
              <w:rPr>
                <w:b/>
              </w:rPr>
            </w:pPr>
            <w:r w:rsidRPr="00C0338D">
              <w:rPr>
                <w:b/>
              </w:rPr>
              <w:t>Cross-reference</w:t>
            </w:r>
          </w:p>
        </w:tc>
      </w:tr>
      <w:tr w:rsidR="003666A4" w14:paraId="0489AD9F" w14:textId="77777777" w:rsidTr="002F2F42">
        <w:tc>
          <w:tcPr>
            <w:tcW w:w="562" w:type="dxa"/>
            <w:vMerge w:val="restart"/>
            <w:shd w:val="clear" w:color="auto" w:fill="F2F2F2" w:themeFill="background1" w:themeFillShade="F2"/>
            <w:textDirection w:val="btLr"/>
          </w:tcPr>
          <w:p w14:paraId="0000076A" w14:textId="77777777" w:rsidR="00A758FD" w:rsidRPr="00C0338D" w:rsidRDefault="00C81287" w:rsidP="002F2F42">
            <w:pPr>
              <w:spacing w:line="240" w:lineRule="auto"/>
              <w:ind w:left="113" w:right="113"/>
              <w:jc w:val="center"/>
              <w:rPr>
                <w:b/>
              </w:rPr>
            </w:pPr>
            <w:r w:rsidRPr="00C0338D">
              <w:rPr>
                <w:b/>
              </w:rPr>
              <w:t>Pathway Management</w:t>
            </w:r>
          </w:p>
        </w:tc>
        <w:tc>
          <w:tcPr>
            <w:tcW w:w="1843" w:type="dxa"/>
            <w:shd w:val="clear" w:color="auto" w:fill="F2F2F2" w:themeFill="background1" w:themeFillShade="F2"/>
            <w:tcMar>
              <w:top w:w="0" w:type="dxa"/>
              <w:left w:w="108" w:type="dxa"/>
              <w:bottom w:w="0" w:type="dxa"/>
              <w:right w:w="108" w:type="dxa"/>
            </w:tcMar>
          </w:tcPr>
          <w:p w14:paraId="0000076B" w14:textId="77777777" w:rsidR="00A758FD" w:rsidRPr="00C0338D" w:rsidRDefault="00C81287" w:rsidP="00D2715A">
            <w:pPr>
              <w:spacing w:line="240" w:lineRule="auto"/>
            </w:pPr>
            <w:r w:rsidRPr="00C0338D">
              <w:t xml:space="preserve">Knowledge and implementation; </w:t>
            </w:r>
            <w:r w:rsidRPr="00C0338D">
              <w:rPr>
                <w:sz w:val="20"/>
              </w:rPr>
              <w:t>potential instruments, including policy and enabling approaches</w:t>
            </w:r>
          </w:p>
        </w:tc>
        <w:tc>
          <w:tcPr>
            <w:tcW w:w="2835" w:type="dxa"/>
            <w:shd w:val="clear" w:color="auto" w:fill="F2F2F2" w:themeFill="background1" w:themeFillShade="F2"/>
            <w:tcMar>
              <w:top w:w="0" w:type="dxa"/>
              <w:left w:w="108" w:type="dxa"/>
              <w:bottom w:w="0" w:type="dxa"/>
              <w:right w:w="108" w:type="dxa"/>
            </w:tcMar>
          </w:tcPr>
          <w:p w14:paraId="0000076C" w14:textId="77777777" w:rsidR="00A758FD" w:rsidRPr="00C0338D" w:rsidRDefault="00C81287">
            <w:pPr>
              <w:spacing w:line="240" w:lineRule="auto"/>
            </w:pPr>
            <w:r w:rsidRPr="00C0338D">
              <w:t>Eradication strategies and guidelines for generalist invasive alien invertebrates, diseases and hard to detect freshwater and marine invasive alien species (not restricted to defined hosts).</w:t>
            </w:r>
          </w:p>
        </w:tc>
        <w:tc>
          <w:tcPr>
            <w:tcW w:w="2855" w:type="dxa"/>
            <w:shd w:val="clear" w:color="auto" w:fill="F2F2F2" w:themeFill="background1" w:themeFillShade="F2"/>
          </w:tcPr>
          <w:p w14:paraId="0000076D" w14:textId="77777777" w:rsidR="00A758FD" w:rsidRPr="00C0338D" w:rsidRDefault="00C81287">
            <w:pPr>
              <w:spacing w:line="240" w:lineRule="auto"/>
            </w:pPr>
            <w:r w:rsidRPr="00C0338D">
              <w:t>These groups have been understudied. Even where information is available, developing and implementing guidelines remains difficult and is seldom done.</w:t>
            </w:r>
          </w:p>
        </w:tc>
        <w:tc>
          <w:tcPr>
            <w:tcW w:w="1256" w:type="dxa"/>
            <w:shd w:val="clear" w:color="auto" w:fill="F2F2F2" w:themeFill="background1" w:themeFillShade="F2"/>
            <w:tcMar>
              <w:top w:w="0" w:type="dxa"/>
              <w:left w:w="108" w:type="dxa"/>
              <w:bottom w:w="0" w:type="dxa"/>
              <w:right w:w="108" w:type="dxa"/>
            </w:tcMar>
          </w:tcPr>
          <w:p w14:paraId="0000076E" w14:textId="77777777" w:rsidR="00A758FD" w:rsidRPr="00C0338D" w:rsidRDefault="00C81287">
            <w:r w:rsidRPr="00C0338D">
              <w:t>5.2.2.1, 5.2.2.2, 5.5.3</w:t>
            </w:r>
          </w:p>
        </w:tc>
      </w:tr>
      <w:tr w:rsidR="003666A4" w14:paraId="30D65274" w14:textId="77777777" w:rsidTr="002F2F42">
        <w:tc>
          <w:tcPr>
            <w:tcW w:w="562" w:type="dxa"/>
            <w:vMerge/>
            <w:textDirection w:val="btLr"/>
          </w:tcPr>
          <w:p w14:paraId="0000076F"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70" w14:textId="77777777" w:rsidR="00A758FD" w:rsidRPr="00C0338D" w:rsidRDefault="00C81287">
            <w:pPr>
              <w:spacing w:line="240" w:lineRule="auto"/>
            </w:pPr>
            <w:r w:rsidRPr="00C0338D">
              <w:t xml:space="preserve">Knowledge; </w:t>
            </w:r>
            <w:r w:rsidRPr="00C0338D">
              <w:rPr>
                <w:sz w:val="20"/>
              </w:rPr>
              <w:t>gaps on biomes, units of analysis or taxonomic gaps</w:t>
            </w:r>
          </w:p>
        </w:tc>
        <w:tc>
          <w:tcPr>
            <w:tcW w:w="2835" w:type="dxa"/>
            <w:shd w:val="clear" w:color="auto" w:fill="F2F2F2" w:themeFill="background1" w:themeFillShade="F2"/>
            <w:tcMar>
              <w:top w:w="0" w:type="dxa"/>
              <w:left w:w="108" w:type="dxa"/>
              <w:bottom w:w="0" w:type="dxa"/>
              <w:right w:w="108" w:type="dxa"/>
            </w:tcMar>
          </w:tcPr>
          <w:p w14:paraId="00000771" w14:textId="35B9E056" w:rsidR="00A758FD" w:rsidRPr="00C0338D" w:rsidRDefault="00C81287">
            <w:pPr>
              <w:spacing w:line="240" w:lineRule="auto"/>
            </w:pPr>
            <w:r w:rsidRPr="00C0338D">
              <w:t>Risk management, cost-effective species-</w:t>
            </w:r>
            <w:r w:rsidR="6B7A73B5">
              <w:t>based</w:t>
            </w:r>
            <w:r w:rsidRPr="00C0338D">
              <w:t xml:space="preserve"> surveillance and detection strategies for multiple invasive alien species groups, e.g., fungi and other microbes.</w:t>
            </w:r>
          </w:p>
        </w:tc>
        <w:tc>
          <w:tcPr>
            <w:tcW w:w="2855" w:type="dxa"/>
            <w:shd w:val="clear" w:color="auto" w:fill="F2F2F2" w:themeFill="background1" w:themeFillShade="F2"/>
          </w:tcPr>
          <w:p w14:paraId="00000772" w14:textId="36E01FB4" w:rsidR="00A758FD" w:rsidRPr="00C0338D" w:rsidRDefault="00C81287">
            <w:pPr>
              <w:spacing w:line="240" w:lineRule="auto"/>
            </w:pPr>
            <w:r w:rsidRPr="00C0338D">
              <w:t>Species-</w:t>
            </w:r>
            <w:r w:rsidR="0885D128">
              <w:t>based</w:t>
            </w:r>
            <w:r w:rsidRPr="00C0338D">
              <w:t xml:space="preserve"> approaches are limited by taxonomic un- certainty, e.g., microbes. Strategies are needed at a higher taxonomic level than species in such cases.</w:t>
            </w:r>
          </w:p>
        </w:tc>
        <w:tc>
          <w:tcPr>
            <w:tcW w:w="1256" w:type="dxa"/>
            <w:shd w:val="clear" w:color="auto" w:fill="F2F2F2" w:themeFill="background1" w:themeFillShade="F2"/>
            <w:tcMar>
              <w:top w:w="0" w:type="dxa"/>
              <w:left w:w="108" w:type="dxa"/>
              <w:bottom w:w="0" w:type="dxa"/>
              <w:right w:w="108" w:type="dxa"/>
            </w:tcMar>
          </w:tcPr>
          <w:p w14:paraId="00000773" w14:textId="77777777" w:rsidR="00A758FD" w:rsidRPr="00C0338D" w:rsidRDefault="00C81287">
            <w:pPr>
              <w:spacing w:line="240" w:lineRule="auto"/>
            </w:pPr>
            <w:r w:rsidRPr="00C0338D">
              <w:t>5.2.2.1, 5.3.1.2, 5.4.3.2</w:t>
            </w:r>
          </w:p>
        </w:tc>
      </w:tr>
      <w:tr w:rsidR="003666A4" w14:paraId="2925EDA1" w14:textId="77777777" w:rsidTr="002F2F42">
        <w:tc>
          <w:tcPr>
            <w:tcW w:w="562" w:type="dxa"/>
            <w:vMerge/>
            <w:textDirection w:val="btLr"/>
          </w:tcPr>
          <w:p w14:paraId="00000774"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75" w14:textId="77777777" w:rsidR="00A758FD" w:rsidRPr="00C0338D" w:rsidRDefault="00C81287">
            <w:pPr>
              <w:spacing w:line="240" w:lineRule="auto"/>
            </w:pPr>
            <w:r w:rsidRPr="00C0338D">
              <w:t xml:space="preserve">Implementation; </w:t>
            </w:r>
            <w:r w:rsidRPr="00C0338D">
              <w:rPr>
                <w:sz w:val="20"/>
              </w:rPr>
              <w:t>potential instruments, including policy and enabling approaches</w:t>
            </w:r>
            <w:r w:rsidRPr="00C0338D">
              <w:t xml:space="preserve"> </w:t>
            </w:r>
          </w:p>
        </w:tc>
        <w:tc>
          <w:tcPr>
            <w:tcW w:w="2835" w:type="dxa"/>
            <w:shd w:val="clear" w:color="auto" w:fill="F2F2F2" w:themeFill="background1" w:themeFillShade="F2"/>
            <w:tcMar>
              <w:top w:w="0" w:type="dxa"/>
              <w:left w:w="108" w:type="dxa"/>
              <w:bottom w:w="0" w:type="dxa"/>
              <w:right w:w="108" w:type="dxa"/>
            </w:tcMar>
          </w:tcPr>
          <w:p w14:paraId="00000776" w14:textId="77777777" w:rsidR="00A758FD" w:rsidRPr="00C0338D" w:rsidRDefault="00C81287">
            <w:pPr>
              <w:spacing w:line="240" w:lineRule="auto"/>
            </w:pPr>
            <w:r w:rsidRPr="00C0338D">
              <w:t>Risk analysis for movement of marine invasive alien species.</w:t>
            </w:r>
          </w:p>
        </w:tc>
        <w:tc>
          <w:tcPr>
            <w:tcW w:w="2855" w:type="dxa"/>
            <w:shd w:val="clear" w:color="auto" w:fill="F2F2F2" w:themeFill="background1" w:themeFillShade="F2"/>
          </w:tcPr>
          <w:p w14:paraId="00000777" w14:textId="77777777" w:rsidR="00A758FD" w:rsidRPr="00C0338D" w:rsidRDefault="00C81287">
            <w:pPr>
              <w:spacing w:line="240" w:lineRule="auto"/>
            </w:pPr>
            <w:r w:rsidRPr="00C0338D">
              <w:t>Risk analysis tools are available but not consistently applied. Pathway management is the highest priority for marine species.</w:t>
            </w:r>
          </w:p>
        </w:tc>
        <w:tc>
          <w:tcPr>
            <w:tcW w:w="1256" w:type="dxa"/>
            <w:shd w:val="clear" w:color="auto" w:fill="F2F2F2" w:themeFill="background1" w:themeFillShade="F2"/>
            <w:tcMar>
              <w:top w:w="0" w:type="dxa"/>
              <w:left w:w="108" w:type="dxa"/>
              <w:bottom w:w="0" w:type="dxa"/>
              <w:right w:w="108" w:type="dxa"/>
            </w:tcMar>
          </w:tcPr>
          <w:p w14:paraId="00000778" w14:textId="4C244E09" w:rsidR="00A758FD" w:rsidRPr="00C0338D" w:rsidRDefault="00C81287">
            <w:pPr>
              <w:spacing w:line="240" w:lineRule="auto"/>
            </w:pPr>
            <w:r w:rsidRPr="00C0338D">
              <w:t xml:space="preserve">5.2.2.1, </w:t>
            </w:r>
            <w:r w:rsidR="002C7BE7" w:rsidRPr="0040026F">
              <w:rPr>
                <w:iCs/>
              </w:rPr>
              <w:t>Figure</w:t>
            </w:r>
            <w:r w:rsidRPr="00C0338D">
              <w:t xml:space="preserve"> 5.4</w:t>
            </w:r>
          </w:p>
        </w:tc>
      </w:tr>
      <w:tr w:rsidR="003666A4" w14:paraId="2F1A09E3" w14:textId="77777777" w:rsidTr="002F2F42">
        <w:tc>
          <w:tcPr>
            <w:tcW w:w="562" w:type="dxa"/>
            <w:vMerge/>
            <w:textDirection w:val="btLr"/>
          </w:tcPr>
          <w:p w14:paraId="00000779" w14:textId="77777777" w:rsidR="00A758FD" w:rsidRPr="00C0338D" w:rsidRDefault="00A758FD" w:rsidP="002F2F42">
            <w:pPr>
              <w:spacing w:line="240"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7A" w14:textId="77777777" w:rsidR="00A758FD" w:rsidRPr="00C0338D" w:rsidRDefault="00C81287">
            <w:pPr>
              <w:spacing w:line="240" w:lineRule="auto"/>
            </w:pPr>
            <w:r w:rsidRPr="00C0338D">
              <w:t xml:space="preserve">Implementation; </w:t>
            </w:r>
            <w:r w:rsidRPr="00C0338D">
              <w:rPr>
                <w:sz w:val="20"/>
              </w:rPr>
              <w:t>potential instruments, including policy and enabling approaches and management</w:t>
            </w:r>
          </w:p>
        </w:tc>
        <w:tc>
          <w:tcPr>
            <w:tcW w:w="2835" w:type="dxa"/>
            <w:shd w:val="clear" w:color="auto" w:fill="F2F2F2" w:themeFill="background1" w:themeFillShade="F2"/>
            <w:tcMar>
              <w:top w:w="0" w:type="dxa"/>
              <w:left w:w="108" w:type="dxa"/>
              <w:bottom w:w="0" w:type="dxa"/>
              <w:right w:w="108" w:type="dxa"/>
            </w:tcMar>
          </w:tcPr>
          <w:p w14:paraId="0000077B" w14:textId="77777777" w:rsidR="00A758FD" w:rsidRPr="00C0338D" w:rsidRDefault="00C81287">
            <w:pPr>
              <w:spacing w:line="240" w:lineRule="auto"/>
            </w:pPr>
            <w:r w:rsidRPr="00C0338D">
              <w:t>Managing alien species movements and biosecurity risks along trade supply chains, e.g., via shipping containers.</w:t>
            </w:r>
          </w:p>
        </w:tc>
        <w:tc>
          <w:tcPr>
            <w:tcW w:w="2855" w:type="dxa"/>
            <w:shd w:val="clear" w:color="auto" w:fill="F2F2F2" w:themeFill="background1" w:themeFillShade="F2"/>
          </w:tcPr>
          <w:p w14:paraId="0000077C" w14:textId="77777777" w:rsidR="00A758FD" w:rsidRPr="00C0338D" w:rsidRDefault="00C81287">
            <w:pPr>
              <w:spacing w:line="240" w:lineRule="auto"/>
            </w:pPr>
            <w:r w:rsidRPr="00C0338D">
              <w:t>Trade based pathways such as shipping containers and illegal mail order remain poorly managed, particularly for contaminating pests and diseases.</w:t>
            </w:r>
          </w:p>
        </w:tc>
        <w:tc>
          <w:tcPr>
            <w:tcW w:w="1256" w:type="dxa"/>
            <w:shd w:val="clear" w:color="auto" w:fill="F2F2F2" w:themeFill="background1" w:themeFillShade="F2"/>
            <w:tcMar>
              <w:top w:w="0" w:type="dxa"/>
              <w:left w:w="108" w:type="dxa"/>
              <w:bottom w:w="0" w:type="dxa"/>
              <w:right w:w="108" w:type="dxa"/>
            </w:tcMar>
          </w:tcPr>
          <w:p w14:paraId="0000077D" w14:textId="77777777" w:rsidR="00A758FD" w:rsidRPr="00C0338D" w:rsidRDefault="00C81287">
            <w:pPr>
              <w:spacing w:line="240" w:lineRule="auto"/>
            </w:pPr>
            <w:r w:rsidRPr="00C0338D">
              <w:t xml:space="preserve">5.3.1.1, </w:t>
            </w:r>
          </w:p>
          <w:p w14:paraId="0000077E" w14:textId="77777777" w:rsidR="00A758FD" w:rsidRPr="00C0338D" w:rsidRDefault="00C81287">
            <w:pPr>
              <w:spacing w:line="240" w:lineRule="auto"/>
            </w:pPr>
            <w:r w:rsidRPr="00C0338D">
              <w:t>5.4.3.1,</w:t>
            </w:r>
          </w:p>
          <w:p w14:paraId="0000077F" w14:textId="13C6067B" w:rsidR="00A758FD" w:rsidRPr="00C0338D" w:rsidRDefault="002C7BE7">
            <w:pPr>
              <w:spacing w:line="240" w:lineRule="auto"/>
            </w:pPr>
            <w:r w:rsidRPr="0040026F">
              <w:rPr>
                <w:rFonts w:eastAsia="Calibri"/>
                <w:iCs/>
              </w:rPr>
              <w:t>Box</w:t>
            </w:r>
            <w:r w:rsidR="00C81287" w:rsidRPr="00C0338D">
              <w:t xml:space="preserve"> 5.2</w:t>
            </w:r>
          </w:p>
        </w:tc>
      </w:tr>
      <w:tr w:rsidR="003666A4" w14:paraId="14FA1F7C" w14:textId="77777777" w:rsidTr="002F2F42">
        <w:tc>
          <w:tcPr>
            <w:tcW w:w="562" w:type="dxa"/>
            <w:vMerge/>
            <w:textDirection w:val="btLr"/>
          </w:tcPr>
          <w:p w14:paraId="00000780" w14:textId="77777777" w:rsidR="00A758FD" w:rsidRPr="00C0338D" w:rsidRDefault="00A758FD" w:rsidP="002F2F42">
            <w:pPr>
              <w:spacing w:line="240"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81" w14:textId="77777777" w:rsidR="00A758FD" w:rsidRPr="00C0338D" w:rsidRDefault="00C81287">
            <w:pPr>
              <w:spacing w:line="240" w:lineRule="auto"/>
            </w:pPr>
            <w:r w:rsidRPr="00C0338D">
              <w:t xml:space="preserve">Implementation; </w:t>
            </w:r>
            <w:r w:rsidRPr="00C0338D">
              <w:rPr>
                <w:sz w:val="20"/>
              </w:rPr>
              <w:t>potential instruments, including policy and enabling approaches and management</w:t>
            </w:r>
          </w:p>
        </w:tc>
        <w:tc>
          <w:tcPr>
            <w:tcW w:w="2835" w:type="dxa"/>
            <w:shd w:val="clear" w:color="auto" w:fill="F2F2F2" w:themeFill="background1" w:themeFillShade="F2"/>
            <w:tcMar>
              <w:top w:w="0" w:type="dxa"/>
              <w:left w:w="108" w:type="dxa"/>
              <w:bottom w:w="0" w:type="dxa"/>
              <w:right w:w="108" w:type="dxa"/>
            </w:tcMar>
          </w:tcPr>
          <w:p w14:paraId="00000782" w14:textId="77777777" w:rsidR="00A758FD" w:rsidRPr="00C0338D" w:rsidRDefault="00C81287">
            <w:pPr>
              <w:spacing w:line="240" w:lineRule="auto"/>
            </w:pPr>
            <w:r w:rsidRPr="00C0338D">
              <w:t>Effective management and compliance of biofouling policy.</w:t>
            </w:r>
          </w:p>
        </w:tc>
        <w:tc>
          <w:tcPr>
            <w:tcW w:w="2855" w:type="dxa"/>
            <w:shd w:val="clear" w:color="auto" w:fill="F2F2F2" w:themeFill="background1" w:themeFillShade="F2"/>
          </w:tcPr>
          <w:p w14:paraId="00000783" w14:textId="77777777" w:rsidR="00A758FD" w:rsidRPr="00C0338D" w:rsidRDefault="00C81287">
            <w:pPr>
              <w:spacing w:line="240" w:lineRule="auto"/>
            </w:pPr>
            <w:r w:rsidRPr="00C0338D">
              <w:t xml:space="preserve">International (and national) policy instruments are available but not consistently applied. New biofouling treatments are needed. </w:t>
            </w:r>
          </w:p>
        </w:tc>
        <w:tc>
          <w:tcPr>
            <w:tcW w:w="1256" w:type="dxa"/>
            <w:shd w:val="clear" w:color="auto" w:fill="F2F2F2" w:themeFill="background1" w:themeFillShade="F2"/>
            <w:tcMar>
              <w:top w:w="0" w:type="dxa"/>
              <w:left w:w="108" w:type="dxa"/>
              <w:bottom w:w="0" w:type="dxa"/>
              <w:right w:w="108" w:type="dxa"/>
            </w:tcMar>
          </w:tcPr>
          <w:p w14:paraId="00000784" w14:textId="77777777" w:rsidR="00A758FD" w:rsidRPr="00C0338D" w:rsidRDefault="00C81287">
            <w:pPr>
              <w:spacing w:line="240" w:lineRule="auto"/>
            </w:pPr>
            <w:r w:rsidRPr="00C0338D">
              <w:t>5.5.1,</w:t>
            </w:r>
          </w:p>
          <w:p w14:paraId="00000785" w14:textId="77777777" w:rsidR="00A758FD" w:rsidRPr="00C0338D" w:rsidRDefault="00C81287">
            <w:pPr>
              <w:spacing w:line="240" w:lineRule="auto"/>
            </w:pPr>
            <w:r w:rsidRPr="00C0338D">
              <w:t>Chapter 6, section 6.2.1(5)</w:t>
            </w:r>
          </w:p>
        </w:tc>
      </w:tr>
      <w:tr w:rsidR="003666A4" w14:paraId="5A969F9A" w14:textId="77777777" w:rsidTr="002F2F42">
        <w:tc>
          <w:tcPr>
            <w:tcW w:w="562" w:type="dxa"/>
            <w:vMerge/>
            <w:textDirection w:val="btLr"/>
          </w:tcPr>
          <w:p w14:paraId="00000786" w14:textId="77777777" w:rsidR="00A758FD" w:rsidRPr="00C0338D" w:rsidRDefault="00A758FD" w:rsidP="002F2F42">
            <w:pPr>
              <w:spacing w:line="240"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87" w14:textId="77777777" w:rsidR="00A758FD" w:rsidRPr="00C0338D" w:rsidRDefault="00C81287">
            <w:pPr>
              <w:spacing w:line="240" w:lineRule="auto"/>
            </w:pPr>
            <w:r w:rsidRPr="00C0338D">
              <w:t xml:space="preserve">Implementation; </w:t>
            </w:r>
            <w:r w:rsidRPr="00C0338D">
              <w:rPr>
                <w:sz w:val="20"/>
              </w:rPr>
              <w:t>management</w:t>
            </w:r>
          </w:p>
        </w:tc>
        <w:tc>
          <w:tcPr>
            <w:tcW w:w="2835" w:type="dxa"/>
            <w:shd w:val="clear" w:color="auto" w:fill="F2F2F2" w:themeFill="background1" w:themeFillShade="F2"/>
            <w:tcMar>
              <w:top w:w="0" w:type="dxa"/>
              <w:left w:w="108" w:type="dxa"/>
              <w:bottom w:w="0" w:type="dxa"/>
              <w:right w:w="108" w:type="dxa"/>
            </w:tcMar>
          </w:tcPr>
          <w:p w14:paraId="00000788" w14:textId="77777777" w:rsidR="00A758FD" w:rsidRPr="00C0338D" w:rsidRDefault="00C81287">
            <w:pPr>
              <w:spacing w:line="240" w:lineRule="auto"/>
            </w:pPr>
            <w:r w:rsidRPr="00C0338D">
              <w:t>Management of deliberate movements of species across jurisdictional land-borders. Domestic quarantine is poorly implemented in several developing countries.</w:t>
            </w:r>
          </w:p>
          <w:p w14:paraId="00000789" w14:textId="77777777" w:rsidR="00A758FD" w:rsidRPr="00C0338D" w:rsidRDefault="00A758FD">
            <w:pPr>
              <w:spacing w:line="240" w:lineRule="auto"/>
            </w:pPr>
          </w:p>
        </w:tc>
        <w:tc>
          <w:tcPr>
            <w:tcW w:w="2855" w:type="dxa"/>
            <w:shd w:val="clear" w:color="auto" w:fill="F2F2F2" w:themeFill="background1" w:themeFillShade="F2"/>
          </w:tcPr>
          <w:p w14:paraId="0000078A" w14:textId="77777777" w:rsidR="00A758FD" w:rsidRPr="00C0338D" w:rsidRDefault="00C81287">
            <w:pPr>
              <w:spacing w:line="240" w:lineRule="auto"/>
            </w:pPr>
            <w:r w:rsidRPr="00C0338D">
              <w:t>Needs better policy to support management. Natural pathways cannot be prevented, but may benefit from improved surveillance.</w:t>
            </w:r>
          </w:p>
        </w:tc>
        <w:tc>
          <w:tcPr>
            <w:tcW w:w="1256" w:type="dxa"/>
            <w:shd w:val="clear" w:color="auto" w:fill="F2F2F2" w:themeFill="background1" w:themeFillShade="F2"/>
            <w:tcMar>
              <w:top w:w="0" w:type="dxa"/>
              <w:left w:w="108" w:type="dxa"/>
              <w:bottom w:w="0" w:type="dxa"/>
              <w:right w:w="108" w:type="dxa"/>
            </w:tcMar>
          </w:tcPr>
          <w:p w14:paraId="0000078B" w14:textId="43463035" w:rsidR="00A758FD" w:rsidRPr="00C0338D" w:rsidRDefault="00C81287">
            <w:pPr>
              <w:spacing w:line="240" w:lineRule="auto"/>
            </w:pPr>
            <w:r w:rsidRPr="00C0338D">
              <w:t xml:space="preserve">5.6.2.1, </w:t>
            </w:r>
            <w:r w:rsidR="002C7BE7" w:rsidRPr="0040026F">
              <w:rPr>
                <w:rFonts w:eastAsia="Calibri"/>
                <w:iCs/>
              </w:rPr>
              <w:t>Table</w:t>
            </w:r>
            <w:r w:rsidRPr="00C0338D">
              <w:t xml:space="preserve"> 5.10</w:t>
            </w:r>
          </w:p>
        </w:tc>
      </w:tr>
      <w:tr w:rsidR="003666A4" w14:paraId="5F75C2B1" w14:textId="77777777" w:rsidTr="002F2F42">
        <w:trPr>
          <w:trHeight w:val="2219"/>
        </w:trPr>
        <w:tc>
          <w:tcPr>
            <w:tcW w:w="562" w:type="dxa"/>
            <w:vMerge/>
            <w:textDirection w:val="btLr"/>
          </w:tcPr>
          <w:p w14:paraId="0000078C" w14:textId="77777777" w:rsidR="00A758FD" w:rsidRPr="00C0338D" w:rsidRDefault="00A758FD" w:rsidP="002F2F42">
            <w:pPr>
              <w:spacing w:line="240"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8D" w14:textId="77777777" w:rsidR="00A758FD" w:rsidRPr="00C0338D" w:rsidRDefault="00C81287">
            <w:pPr>
              <w:spacing w:line="240" w:lineRule="auto"/>
            </w:pPr>
            <w:r w:rsidRPr="00C0338D">
              <w:t xml:space="preserve">Knowledge; </w:t>
            </w:r>
            <w:r w:rsidRPr="00C0338D">
              <w:rPr>
                <w:sz w:val="20"/>
              </w:rPr>
              <w:t>integrated scenarios and models; technical development</w:t>
            </w:r>
          </w:p>
        </w:tc>
        <w:tc>
          <w:tcPr>
            <w:tcW w:w="2835" w:type="dxa"/>
            <w:shd w:val="clear" w:color="auto" w:fill="F2F2F2" w:themeFill="background1" w:themeFillShade="F2"/>
            <w:tcMar>
              <w:top w:w="0" w:type="dxa"/>
              <w:left w:w="108" w:type="dxa"/>
              <w:bottom w:w="0" w:type="dxa"/>
              <w:right w:w="108" w:type="dxa"/>
            </w:tcMar>
          </w:tcPr>
          <w:p w14:paraId="0000078E" w14:textId="77777777" w:rsidR="00A758FD" w:rsidRPr="00C0338D" w:rsidRDefault="00C81287">
            <w:pPr>
              <w:spacing w:line="240" w:lineRule="auto"/>
              <w:rPr>
                <w:highlight w:val="yellow"/>
              </w:rPr>
            </w:pPr>
            <w:r w:rsidRPr="00C0338D">
              <w:t>Understanding of direct and indirect non-target impacts of chemical, manual, mechanical and biological control of an invasive alien species on other species and ecosystems.</w:t>
            </w:r>
          </w:p>
        </w:tc>
        <w:tc>
          <w:tcPr>
            <w:tcW w:w="2855" w:type="dxa"/>
            <w:shd w:val="clear" w:color="auto" w:fill="F2F2F2" w:themeFill="background1" w:themeFillShade="F2"/>
          </w:tcPr>
          <w:p w14:paraId="0000078F" w14:textId="77777777" w:rsidR="00A758FD" w:rsidRPr="00C0338D" w:rsidRDefault="00C81287">
            <w:pPr>
              <w:spacing w:line="240" w:lineRule="auto"/>
              <w:rPr>
                <w:highlight w:val="yellow"/>
              </w:rPr>
            </w:pPr>
            <w:r w:rsidRPr="00C0338D">
              <w:t xml:space="preserve">Non-target impacts can be substantial and are important therefore data need to be collected and included in risk analysis. </w:t>
            </w:r>
          </w:p>
        </w:tc>
        <w:tc>
          <w:tcPr>
            <w:tcW w:w="1256" w:type="dxa"/>
            <w:shd w:val="clear" w:color="auto" w:fill="F2F2F2" w:themeFill="background1" w:themeFillShade="F2"/>
            <w:tcMar>
              <w:top w:w="0" w:type="dxa"/>
              <w:left w:w="108" w:type="dxa"/>
              <w:bottom w:w="0" w:type="dxa"/>
              <w:right w:w="108" w:type="dxa"/>
            </w:tcMar>
          </w:tcPr>
          <w:p w14:paraId="00000790" w14:textId="77777777" w:rsidR="00A758FD" w:rsidRPr="00C0338D" w:rsidRDefault="00C81287">
            <w:pPr>
              <w:spacing w:line="240" w:lineRule="auto"/>
            </w:pPr>
            <w:r w:rsidRPr="00C0338D">
              <w:t>5.5.5</w:t>
            </w:r>
          </w:p>
        </w:tc>
      </w:tr>
      <w:tr w:rsidR="00A758FD" w14:paraId="43BAE1C8" w14:textId="77777777" w:rsidTr="002F2F42">
        <w:tc>
          <w:tcPr>
            <w:tcW w:w="562" w:type="dxa"/>
            <w:vMerge w:val="restart"/>
            <w:textDirection w:val="btLr"/>
          </w:tcPr>
          <w:p w14:paraId="00000791" w14:textId="4F2D1BC6" w:rsidR="00A758FD" w:rsidRPr="00C0338D" w:rsidRDefault="00C81287" w:rsidP="002F2F42">
            <w:pPr>
              <w:spacing w:line="240" w:lineRule="auto"/>
              <w:ind w:left="113" w:right="113"/>
              <w:jc w:val="center"/>
              <w:rPr>
                <w:b/>
              </w:rPr>
            </w:pPr>
            <w:r w:rsidRPr="00C0338D">
              <w:rPr>
                <w:b/>
              </w:rPr>
              <w:t>Species-</w:t>
            </w:r>
            <w:r w:rsidR="66A86966" w:rsidRPr="776B8B26">
              <w:rPr>
                <w:b/>
                <w:bCs/>
              </w:rPr>
              <w:t>based</w:t>
            </w:r>
            <w:r w:rsidRPr="00C0338D">
              <w:rPr>
                <w:b/>
              </w:rPr>
              <w:t xml:space="preserve"> Management</w:t>
            </w:r>
          </w:p>
        </w:tc>
        <w:tc>
          <w:tcPr>
            <w:tcW w:w="1843" w:type="dxa"/>
            <w:tcMar>
              <w:top w:w="0" w:type="dxa"/>
              <w:left w:w="108" w:type="dxa"/>
              <w:bottom w:w="0" w:type="dxa"/>
              <w:right w:w="108" w:type="dxa"/>
            </w:tcMar>
          </w:tcPr>
          <w:p w14:paraId="00000792" w14:textId="77777777" w:rsidR="00A758FD" w:rsidRPr="00C0338D" w:rsidRDefault="00C81287">
            <w:pPr>
              <w:spacing w:line="240" w:lineRule="auto"/>
            </w:pPr>
            <w:r w:rsidRPr="00C0338D">
              <w:t xml:space="preserve">Knowledge; </w:t>
            </w:r>
            <w:r w:rsidRPr="00C0338D">
              <w:rPr>
                <w:sz w:val="20"/>
              </w:rPr>
              <w:t>gaps on biomes, units of analysis or taxonomic gaps</w:t>
            </w:r>
          </w:p>
        </w:tc>
        <w:tc>
          <w:tcPr>
            <w:tcW w:w="2835" w:type="dxa"/>
            <w:tcMar>
              <w:top w:w="0" w:type="dxa"/>
              <w:left w:w="108" w:type="dxa"/>
              <w:bottom w:w="0" w:type="dxa"/>
              <w:right w:w="108" w:type="dxa"/>
            </w:tcMar>
          </w:tcPr>
          <w:p w14:paraId="00000793" w14:textId="77777777" w:rsidR="00A758FD" w:rsidRPr="00C0338D" w:rsidRDefault="00C81287">
            <w:pPr>
              <w:spacing w:line="240" w:lineRule="auto"/>
            </w:pPr>
            <w:r w:rsidRPr="00C0338D">
              <w:t>Incorrect taxonomic species identification (or varieties) impeding management.</w:t>
            </w:r>
          </w:p>
        </w:tc>
        <w:tc>
          <w:tcPr>
            <w:tcW w:w="2855" w:type="dxa"/>
          </w:tcPr>
          <w:p w14:paraId="00000794" w14:textId="77777777" w:rsidR="00A758FD" w:rsidRPr="00C0338D" w:rsidRDefault="00C81287">
            <w:pPr>
              <w:spacing w:line="240" w:lineRule="auto"/>
            </w:pPr>
            <w:r w:rsidRPr="00C0338D">
              <w:t>Access to strong taxonomic capability for invasive alien species in all key groups is critical.</w:t>
            </w:r>
          </w:p>
        </w:tc>
        <w:tc>
          <w:tcPr>
            <w:tcW w:w="1256" w:type="dxa"/>
            <w:tcMar>
              <w:top w:w="0" w:type="dxa"/>
              <w:left w:w="108" w:type="dxa"/>
              <w:bottom w:w="0" w:type="dxa"/>
              <w:right w:w="108" w:type="dxa"/>
            </w:tcMar>
          </w:tcPr>
          <w:p w14:paraId="00000795" w14:textId="77777777" w:rsidR="00A758FD" w:rsidRPr="00C0338D" w:rsidRDefault="00C81287">
            <w:pPr>
              <w:spacing w:line="240" w:lineRule="auto"/>
            </w:pPr>
            <w:r w:rsidRPr="00C0338D">
              <w:t>5.4.3.2, 5.6.2.1,</w:t>
            </w:r>
          </w:p>
          <w:p w14:paraId="00000796" w14:textId="1C724849" w:rsidR="00A758FD" w:rsidRPr="00C0338D" w:rsidRDefault="002C7BE7">
            <w:pPr>
              <w:spacing w:line="240" w:lineRule="auto"/>
            </w:pPr>
            <w:r w:rsidRPr="0040026F">
              <w:rPr>
                <w:rFonts w:eastAsia="Calibri"/>
                <w:iCs/>
              </w:rPr>
              <w:t>Table</w:t>
            </w:r>
            <w:r w:rsidR="00C81287" w:rsidRPr="00C0338D">
              <w:t xml:space="preserve"> 5.4,</w:t>
            </w:r>
          </w:p>
          <w:p w14:paraId="00000797" w14:textId="1DB9612C" w:rsidR="00A758FD" w:rsidRPr="00C0338D" w:rsidRDefault="002C7BE7">
            <w:pPr>
              <w:spacing w:line="240" w:lineRule="auto"/>
            </w:pPr>
            <w:r w:rsidRPr="0040026F">
              <w:rPr>
                <w:rFonts w:eastAsia="Calibri"/>
                <w:iCs/>
              </w:rPr>
              <w:t>Table</w:t>
            </w:r>
            <w:r w:rsidR="00C81287" w:rsidRPr="00C0338D">
              <w:t xml:space="preserve"> 5.12</w:t>
            </w:r>
          </w:p>
        </w:tc>
      </w:tr>
      <w:tr w:rsidR="00A758FD" w14:paraId="73749B8E" w14:textId="77777777" w:rsidTr="002F2F42">
        <w:tc>
          <w:tcPr>
            <w:tcW w:w="562" w:type="dxa"/>
            <w:vMerge/>
            <w:textDirection w:val="btLr"/>
          </w:tcPr>
          <w:p w14:paraId="00000798"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tcMar>
              <w:top w:w="0" w:type="dxa"/>
              <w:left w:w="108" w:type="dxa"/>
              <w:bottom w:w="0" w:type="dxa"/>
              <w:right w:w="108" w:type="dxa"/>
            </w:tcMar>
          </w:tcPr>
          <w:p w14:paraId="00000799" w14:textId="77777777" w:rsidR="00A758FD" w:rsidRPr="00C0338D" w:rsidRDefault="00C81287">
            <w:pPr>
              <w:spacing w:line="240" w:lineRule="auto"/>
            </w:pPr>
            <w:r w:rsidRPr="00C0338D">
              <w:t xml:space="preserve">Knowledge and implementation; </w:t>
            </w:r>
            <w:r w:rsidRPr="00C0338D">
              <w:rPr>
                <w:sz w:val="20"/>
              </w:rPr>
              <w:t>integrated scenarios and models; technical development</w:t>
            </w:r>
          </w:p>
        </w:tc>
        <w:tc>
          <w:tcPr>
            <w:tcW w:w="2835" w:type="dxa"/>
            <w:tcMar>
              <w:top w:w="0" w:type="dxa"/>
              <w:left w:w="108" w:type="dxa"/>
              <w:bottom w:w="0" w:type="dxa"/>
              <w:right w:w="108" w:type="dxa"/>
            </w:tcMar>
          </w:tcPr>
          <w:p w14:paraId="0000079A" w14:textId="77777777" w:rsidR="00A758FD" w:rsidRPr="00C0338D" w:rsidRDefault="00C81287">
            <w:pPr>
              <w:spacing w:line="240" w:lineRule="auto"/>
            </w:pPr>
            <w:r w:rsidRPr="00C0338D">
              <w:t xml:space="preserve">Prioritizing invasive alien species management and developing the necessary strategies under climate change and habitat or land-use change. </w:t>
            </w:r>
          </w:p>
        </w:tc>
        <w:tc>
          <w:tcPr>
            <w:tcW w:w="2855" w:type="dxa"/>
          </w:tcPr>
          <w:p w14:paraId="0000079B" w14:textId="77777777" w:rsidR="00A758FD" w:rsidRPr="00C0338D" w:rsidRDefault="00C81287">
            <w:pPr>
              <w:spacing w:line="240" w:lineRule="auto"/>
            </w:pPr>
            <w:r w:rsidRPr="00C0338D">
              <w:t>Considering climate change effects on invasive alien species and their management is rare but will be critical in the future.</w:t>
            </w:r>
          </w:p>
        </w:tc>
        <w:tc>
          <w:tcPr>
            <w:tcW w:w="1256" w:type="dxa"/>
            <w:tcMar>
              <w:top w:w="0" w:type="dxa"/>
              <w:left w:w="108" w:type="dxa"/>
              <w:bottom w:w="0" w:type="dxa"/>
              <w:right w:w="108" w:type="dxa"/>
            </w:tcMar>
          </w:tcPr>
          <w:p w14:paraId="0000079C" w14:textId="52637E0A" w:rsidR="00A758FD" w:rsidRPr="00C0338D" w:rsidRDefault="00C81287">
            <w:pPr>
              <w:spacing w:line="240" w:lineRule="auto"/>
            </w:pPr>
            <w:r w:rsidRPr="00C0338D">
              <w:t xml:space="preserve">5.6.1.3, </w:t>
            </w:r>
            <w:r w:rsidR="002C7BE7" w:rsidRPr="0040026F">
              <w:rPr>
                <w:rFonts w:eastAsia="Calibri"/>
                <w:iCs/>
              </w:rPr>
              <w:t>Figure</w:t>
            </w:r>
            <w:r w:rsidRPr="00C0338D">
              <w:t xml:space="preserve"> 5.27; Chapter 6, section 6.7.2.2</w:t>
            </w:r>
          </w:p>
        </w:tc>
      </w:tr>
      <w:tr w:rsidR="00A758FD" w14:paraId="5B8097FC" w14:textId="77777777" w:rsidTr="002F2F42">
        <w:tc>
          <w:tcPr>
            <w:tcW w:w="562" w:type="dxa"/>
            <w:vMerge/>
            <w:textDirection w:val="btLr"/>
          </w:tcPr>
          <w:p w14:paraId="0000079D"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tcMar>
              <w:top w:w="0" w:type="dxa"/>
              <w:left w:w="108" w:type="dxa"/>
              <w:bottom w:w="0" w:type="dxa"/>
              <w:right w:w="108" w:type="dxa"/>
            </w:tcMar>
          </w:tcPr>
          <w:p w14:paraId="0000079E" w14:textId="77777777" w:rsidR="00A758FD" w:rsidRPr="00C0338D" w:rsidRDefault="00C81287">
            <w:pPr>
              <w:spacing w:line="240" w:lineRule="auto"/>
            </w:pPr>
            <w:r w:rsidRPr="00C0338D">
              <w:t xml:space="preserve">Knowledge and implementation; </w:t>
            </w:r>
            <w:r w:rsidRPr="00C0338D">
              <w:rPr>
                <w:sz w:val="20"/>
              </w:rPr>
              <w:t>integrated scenarios and models; technical development</w:t>
            </w:r>
          </w:p>
        </w:tc>
        <w:tc>
          <w:tcPr>
            <w:tcW w:w="2835" w:type="dxa"/>
            <w:tcMar>
              <w:top w:w="0" w:type="dxa"/>
              <w:left w:w="108" w:type="dxa"/>
              <w:bottom w:w="0" w:type="dxa"/>
              <w:right w:w="108" w:type="dxa"/>
            </w:tcMar>
          </w:tcPr>
          <w:p w14:paraId="0000079F" w14:textId="108F5D8A" w:rsidR="00A758FD" w:rsidRPr="00C0338D" w:rsidRDefault="00C81287">
            <w:pPr>
              <w:spacing w:line="240" w:lineRule="auto"/>
            </w:pPr>
            <w:r w:rsidRPr="00C0338D">
              <w:t xml:space="preserve">Prioritizing management </w:t>
            </w:r>
            <w:r w:rsidR="2DA726F3">
              <w:t xml:space="preserve">of biological invasions </w:t>
            </w:r>
            <w:r w:rsidRPr="00C0338D">
              <w:t xml:space="preserve">over other actions (e.g., threatened and endangered species protection and management). </w:t>
            </w:r>
          </w:p>
        </w:tc>
        <w:tc>
          <w:tcPr>
            <w:tcW w:w="2855" w:type="dxa"/>
          </w:tcPr>
          <w:p w14:paraId="000007A0" w14:textId="3F73732C" w:rsidR="00A758FD" w:rsidRPr="00C0338D" w:rsidRDefault="00C81287">
            <w:pPr>
              <w:spacing w:line="240" w:lineRule="auto"/>
            </w:pPr>
            <w:r w:rsidRPr="00C0338D">
              <w:t>Protecting threatened species and communities may be improved by understanding cost</w:t>
            </w:r>
            <w:r w:rsidR="005D7B59">
              <w:t>-</w:t>
            </w:r>
            <w:r w:rsidRPr="00C0338D">
              <w:t xml:space="preserve">effectiveness of different actions including management </w:t>
            </w:r>
            <w:r w:rsidR="4AA21305">
              <w:t>of biological invasions</w:t>
            </w:r>
            <w:r w:rsidR="5A7C5823">
              <w:t xml:space="preserve"> </w:t>
            </w:r>
            <w:r w:rsidRPr="00C0338D">
              <w:t xml:space="preserve">to prioritize investments. </w:t>
            </w:r>
          </w:p>
        </w:tc>
        <w:tc>
          <w:tcPr>
            <w:tcW w:w="1256" w:type="dxa"/>
            <w:tcMar>
              <w:top w:w="0" w:type="dxa"/>
              <w:left w:w="108" w:type="dxa"/>
              <w:bottom w:w="0" w:type="dxa"/>
              <w:right w:w="108" w:type="dxa"/>
            </w:tcMar>
          </w:tcPr>
          <w:p w14:paraId="000007A1" w14:textId="77777777" w:rsidR="00A758FD" w:rsidRPr="00C0338D" w:rsidRDefault="00C81287">
            <w:pPr>
              <w:spacing w:line="240" w:lineRule="auto"/>
            </w:pPr>
            <w:r w:rsidRPr="00C0338D">
              <w:t>5.2.2.2, 5.3.1.4</w:t>
            </w:r>
          </w:p>
          <w:p w14:paraId="000007A2" w14:textId="77777777" w:rsidR="00A758FD" w:rsidRPr="00C0338D" w:rsidRDefault="00A758FD">
            <w:pPr>
              <w:spacing w:line="240" w:lineRule="auto"/>
            </w:pPr>
          </w:p>
        </w:tc>
      </w:tr>
      <w:tr w:rsidR="00A758FD" w14:paraId="6F53930F" w14:textId="77777777" w:rsidTr="002F2F42">
        <w:tc>
          <w:tcPr>
            <w:tcW w:w="562" w:type="dxa"/>
            <w:vMerge/>
            <w:textDirection w:val="btLr"/>
          </w:tcPr>
          <w:p w14:paraId="000007A3"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tcMar>
              <w:top w:w="0" w:type="dxa"/>
              <w:left w:w="108" w:type="dxa"/>
              <w:bottom w:w="0" w:type="dxa"/>
              <w:right w:w="108" w:type="dxa"/>
            </w:tcMar>
          </w:tcPr>
          <w:p w14:paraId="000007A4" w14:textId="77777777" w:rsidR="00A758FD" w:rsidRPr="00C0338D" w:rsidRDefault="00C81287">
            <w:pPr>
              <w:spacing w:line="240" w:lineRule="auto"/>
            </w:pPr>
            <w:r w:rsidRPr="00C0338D">
              <w:t xml:space="preserve">Implementation; </w:t>
            </w:r>
            <w:r w:rsidRPr="00C0338D">
              <w:rPr>
                <w:sz w:val="20"/>
              </w:rPr>
              <w:t>management</w:t>
            </w:r>
          </w:p>
        </w:tc>
        <w:tc>
          <w:tcPr>
            <w:tcW w:w="2835" w:type="dxa"/>
            <w:tcMar>
              <w:top w:w="0" w:type="dxa"/>
              <w:left w:w="108" w:type="dxa"/>
              <w:bottom w:w="0" w:type="dxa"/>
              <w:right w:w="108" w:type="dxa"/>
            </w:tcMar>
          </w:tcPr>
          <w:p w14:paraId="000007A5" w14:textId="77777777" w:rsidR="00A758FD" w:rsidRPr="00C0338D" w:rsidRDefault="00C81287">
            <w:pPr>
              <w:spacing w:line="240" w:lineRule="auto"/>
            </w:pPr>
            <w:r w:rsidRPr="00C0338D">
              <w:t>Containment of slow spreading pervasive invasive alien invertebrates and plants.</w:t>
            </w:r>
          </w:p>
        </w:tc>
        <w:tc>
          <w:tcPr>
            <w:tcW w:w="2855" w:type="dxa"/>
          </w:tcPr>
          <w:p w14:paraId="000007A6" w14:textId="77777777" w:rsidR="00A758FD" w:rsidRPr="00C0338D" w:rsidRDefault="00C81287">
            <w:pPr>
              <w:spacing w:line="240" w:lineRule="auto"/>
            </w:pPr>
            <w:r w:rsidRPr="00C0338D">
              <w:t xml:space="preserve">Slow spreading invasive alien species are often a lower priority for management but they may be harder to control later and have greater long-term impacts. </w:t>
            </w:r>
          </w:p>
        </w:tc>
        <w:tc>
          <w:tcPr>
            <w:tcW w:w="1256" w:type="dxa"/>
            <w:tcMar>
              <w:top w:w="0" w:type="dxa"/>
              <w:left w:w="108" w:type="dxa"/>
              <w:bottom w:w="0" w:type="dxa"/>
              <w:right w:w="108" w:type="dxa"/>
            </w:tcMar>
          </w:tcPr>
          <w:p w14:paraId="000007A7" w14:textId="77777777" w:rsidR="00A758FD" w:rsidRPr="00C0338D" w:rsidRDefault="00C81287">
            <w:pPr>
              <w:spacing w:line="240" w:lineRule="auto"/>
            </w:pPr>
            <w:r w:rsidRPr="00C0338D">
              <w:t>5.5.4</w:t>
            </w:r>
          </w:p>
        </w:tc>
      </w:tr>
      <w:tr w:rsidR="002F2F42" w14:paraId="743D9198" w14:textId="77777777" w:rsidTr="002F2F42">
        <w:tc>
          <w:tcPr>
            <w:tcW w:w="562" w:type="dxa"/>
            <w:vMerge/>
            <w:textDirection w:val="btLr"/>
          </w:tcPr>
          <w:p w14:paraId="000007A8"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tcMar>
              <w:top w:w="0" w:type="dxa"/>
              <w:left w:w="108" w:type="dxa"/>
              <w:bottom w:w="0" w:type="dxa"/>
              <w:right w:w="108" w:type="dxa"/>
            </w:tcMar>
          </w:tcPr>
          <w:p w14:paraId="000007A9" w14:textId="77777777" w:rsidR="00A758FD" w:rsidRPr="00C0338D" w:rsidRDefault="00C81287">
            <w:pPr>
              <w:spacing w:line="240" w:lineRule="auto"/>
            </w:pPr>
            <w:r w:rsidRPr="00C0338D">
              <w:t xml:space="preserve">Implementation; </w:t>
            </w:r>
            <w:r w:rsidRPr="00C0338D">
              <w:rPr>
                <w:sz w:val="20"/>
              </w:rPr>
              <w:t>technical development</w:t>
            </w:r>
          </w:p>
        </w:tc>
        <w:tc>
          <w:tcPr>
            <w:tcW w:w="2835" w:type="dxa"/>
            <w:tcMar>
              <w:top w:w="0" w:type="dxa"/>
              <w:left w:w="108" w:type="dxa"/>
              <w:bottom w:w="0" w:type="dxa"/>
              <w:right w:w="108" w:type="dxa"/>
            </w:tcMar>
          </w:tcPr>
          <w:p w14:paraId="000007AA" w14:textId="77777777" w:rsidR="00A758FD" w:rsidRPr="00C0338D" w:rsidRDefault="00C81287">
            <w:pPr>
              <w:spacing w:line="240" w:lineRule="auto"/>
              <w:rPr>
                <w:highlight w:val="yellow"/>
              </w:rPr>
            </w:pPr>
            <w:r w:rsidRPr="00C0338D">
              <w:t>Humane management approaches for invasive alien species subject to animal ethics.</w:t>
            </w:r>
          </w:p>
        </w:tc>
        <w:tc>
          <w:tcPr>
            <w:tcW w:w="2855" w:type="dxa"/>
          </w:tcPr>
          <w:p w14:paraId="000007AB" w14:textId="77777777" w:rsidR="00A758FD" w:rsidRPr="00C0338D" w:rsidRDefault="00C81287">
            <w:pPr>
              <w:spacing w:line="240" w:lineRule="auto"/>
              <w:rPr>
                <w:highlight w:val="yellow"/>
              </w:rPr>
            </w:pPr>
            <w:r w:rsidRPr="00C0338D">
              <w:t>Humane management approaches for invasive alien species often increases social acceptability</w:t>
            </w:r>
          </w:p>
        </w:tc>
        <w:tc>
          <w:tcPr>
            <w:tcW w:w="1256" w:type="dxa"/>
            <w:tcMar>
              <w:top w:w="0" w:type="dxa"/>
              <w:left w:w="108" w:type="dxa"/>
              <w:bottom w:w="0" w:type="dxa"/>
              <w:right w:w="108" w:type="dxa"/>
            </w:tcMar>
          </w:tcPr>
          <w:p w14:paraId="000007AC" w14:textId="77777777" w:rsidR="00A758FD" w:rsidRPr="00C0338D" w:rsidRDefault="00C81287">
            <w:pPr>
              <w:tabs>
                <w:tab w:val="left" w:pos="553"/>
              </w:tabs>
              <w:spacing w:line="240" w:lineRule="auto"/>
              <w:rPr>
                <w:highlight w:val="yellow"/>
              </w:rPr>
            </w:pPr>
            <w:r w:rsidRPr="00C0338D">
              <w:t>5.4.3.2, 5.5.5.2</w:t>
            </w:r>
          </w:p>
          <w:p w14:paraId="000007AD" w14:textId="77777777" w:rsidR="00A758FD" w:rsidRPr="00C0338D" w:rsidRDefault="00A758FD">
            <w:pPr>
              <w:tabs>
                <w:tab w:val="left" w:pos="553"/>
              </w:tabs>
              <w:spacing w:line="240" w:lineRule="auto"/>
              <w:rPr>
                <w:highlight w:val="yellow"/>
              </w:rPr>
            </w:pPr>
          </w:p>
        </w:tc>
      </w:tr>
      <w:tr w:rsidR="002F2F42" w14:paraId="79076AD4" w14:textId="77777777" w:rsidTr="002F2F42">
        <w:tc>
          <w:tcPr>
            <w:tcW w:w="562" w:type="dxa"/>
            <w:vMerge/>
            <w:textDirection w:val="btLr"/>
          </w:tcPr>
          <w:p w14:paraId="000007AE" w14:textId="77777777" w:rsidR="00A758FD" w:rsidRPr="00AC1F76" w:rsidRDefault="00A758FD" w:rsidP="00AC1F76">
            <w:pPr>
              <w:widowControl w:val="0"/>
              <w:pBdr>
                <w:top w:val="nil"/>
                <w:left w:val="nil"/>
                <w:bottom w:val="nil"/>
                <w:right w:val="nil"/>
                <w:between w:val="nil"/>
              </w:pBdr>
              <w:spacing w:line="276" w:lineRule="auto"/>
              <w:ind w:left="113" w:right="113"/>
              <w:jc w:val="center"/>
              <w:rPr>
                <w:highlight w:val="yellow"/>
              </w:rPr>
            </w:pPr>
          </w:p>
        </w:tc>
        <w:tc>
          <w:tcPr>
            <w:tcW w:w="1843" w:type="dxa"/>
            <w:tcMar>
              <w:top w:w="0" w:type="dxa"/>
              <w:left w:w="108" w:type="dxa"/>
              <w:bottom w:w="0" w:type="dxa"/>
              <w:right w:w="108" w:type="dxa"/>
            </w:tcMar>
          </w:tcPr>
          <w:p w14:paraId="000007AF" w14:textId="77777777" w:rsidR="00A758FD" w:rsidRPr="00C0338D" w:rsidRDefault="00C81287">
            <w:pPr>
              <w:spacing w:line="240" w:lineRule="auto"/>
            </w:pPr>
            <w:r w:rsidRPr="00C0338D">
              <w:t xml:space="preserve">Implementation; </w:t>
            </w:r>
            <w:r w:rsidRPr="00C0338D">
              <w:rPr>
                <w:sz w:val="20"/>
              </w:rPr>
              <w:t xml:space="preserve">integrated scenarios and models; </w:t>
            </w:r>
            <w:r w:rsidRPr="00C0338D">
              <w:rPr>
                <w:sz w:val="20"/>
              </w:rPr>
              <w:lastRenderedPageBreak/>
              <w:t>technical development</w:t>
            </w:r>
          </w:p>
        </w:tc>
        <w:tc>
          <w:tcPr>
            <w:tcW w:w="2835" w:type="dxa"/>
            <w:tcMar>
              <w:top w:w="0" w:type="dxa"/>
              <w:left w:w="108" w:type="dxa"/>
              <w:bottom w:w="0" w:type="dxa"/>
              <w:right w:w="108" w:type="dxa"/>
            </w:tcMar>
          </w:tcPr>
          <w:p w14:paraId="000007B0" w14:textId="77777777" w:rsidR="00A758FD" w:rsidRPr="00C0338D" w:rsidRDefault="00C81287">
            <w:pPr>
              <w:tabs>
                <w:tab w:val="left" w:pos="1067"/>
              </w:tabs>
              <w:spacing w:line="240" w:lineRule="auto"/>
              <w:rPr>
                <w:highlight w:val="yellow"/>
              </w:rPr>
            </w:pPr>
            <w:r w:rsidRPr="00C0338D">
              <w:lastRenderedPageBreak/>
              <w:t xml:space="preserve">Management of invasive alien invertebrates and plants under increasingly </w:t>
            </w:r>
            <w:r w:rsidRPr="00C0338D">
              <w:lastRenderedPageBreak/>
              <w:t>restrictive chemical control options.</w:t>
            </w:r>
          </w:p>
        </w:tc>
        <w:tc>
          <w:tcPr>
            <w:tcW w:w="2855" w:type="dxa"/>
          </w:tcPr>
          <w:p w14:paraId="000007B1" w14:textId="77777777" w:rsidR="00A758FD" w:rsidRPr="00C0338D" w:rsidRDefault="00C81287">
            <w:pPr>
              <w:spacing w:line="240" w:lineRule="auto"/>
              <w:rPr>
                <w:highlight w:val="yellow"/>
              </w:rPr>
            </w:pPr>
            <w:r w:rsidRPr="00C0338D">
              <w:lastRenderedPageBreak/>
              <w:t xml:space="preserve">With the preference to alternative management options, it is important to </w:t>
            </w:r>
            <w:r w:rsidRPr="00C0338D">
              <w:lastRenderedPageBreak/>
              <w:t>proactively consider and develop better integrated management approaches including biological options.</w:t>
            </w:r>
          </w:p>
        </w:tc>
        <w:tc>
          <w:tcPr>
            <w:tcW w:w="1256" w:type="dxa"/>
            <w:tcMar>
              <w:top w:w="0" w:type="dxa"/>
              <w:left w:w="108" w:type="dxa"/>
              <w:bottom w:w="0" w:type="dxa"/>
              <w:right w:w="108" w:type="dxa"/>
            </w:tcMar>
          </w:tcPr>
          <w:p w14:paraId="000007B2" w14:textId="77777777" w:rsidR="00A758FD" w:rsidRPr="00C0338D" w:rsidRDefault="00C81287">
            <w:pPr>
              <w:tabs>
                <w:tab w:val="left" w:pos="553"/>
              </w:tabs>
              <w:spacing w:line="240" w:lineRule="auto"/>
            </w:pPr>
            <w:r w:rsidRPr="00C0338D">
              <w:lastRenderedPageBreak/>
              <w:t>5.4.3.2,</w:t>
            </w:r>
          </w:p>
          <w:p w14:paraId="000007B3" w14:textId="77777777" w:rsidR="00A758FD" w:rsidRPr="00C0338D" w:rsidRDefault="00C81287">
            <w:pPr>
              <w:spacing w:line="240" w:lineRule="auto"/>
              <w:rPr>
                <w:highlight w:val="yellow"/>
              </w:rPr>
            </w:pPr>
            <w:r w:rsidRPr="00C0338D">
              <w:t>5.4.3.3</w:t>
            </w:r>
          </w:p>
        </w:tc>
      </w:tr>
      <w:tr w:rsidR="00A758FD" w14:paraId="2C9A3589" w14:textId="77777777" w:rsidTr="002F2F42">
        <w:tc>
          <w:tcPr>
            <w:tcW w:w="562" w:type="dxa"/>
            <w:vMerge/>
            <w:textDirection w:val="btLr"/>
          </w:tcPr>
          <w:p w14:paraId="000007B4" w14:textId="77777777" w:rsidR="00A758FD" w:rsidRPr="00AC1F76" w:rsidRDefault="00A758FD" w:rsidP="00AC1F76">
            <w:pPr>
              <w:widowControl w:val="0"/>
              <w:pBdr>
                <w:top w:val="nil"/>
                <w:left w:val="nil"/>
                <w:bottom w:val="nil"/>
                <w:right w:val="nil"/>
                <w:between w:val="nil"/>
              </w:pBdr>
              <w:spacing w:line="276" w:lineRule="auto"/>
              <w:ind w:left="113" w:right="113"/>
              <w:jc w:val="center"/>
              <w:rPr>
                <w:highlight w:val="yellow"/>
              </w:rPr>
            </w:pPr>
          </w:p>
        </w:tc>
        <w:tc>
          <w:tcPr>
            <w:tcW w:w="1843" w:type="dxa"/>
            <w:tcMar>
              <w:top w:w="0" w:type="dxa"/>
              <w:left w:w="108" w:type="dxa"/>
              <w:bottom w:w="0" w:type="dxa"/>
              <w:right w:w="108" w:type="dxa"/>
            </w:tcMar>
          </w:tcPr>
          <w:p w14:paraId="000007B5" w14:textId="77777777" w:rsidR="00A758FD" w:rsidRPr="00C0338D" w:rsidRDefault="00C81287">
            <w:pPr>
              <w:spacing w:line="240" w:lineRule="auto"/>
            </w:pPr>
            <w:r w:rsidRPr="00C0338D">
              <w:t xml:space="preserve">Implementation; </w:t>
            </w:r>
            <w:r w:rsidRPr="00C0338D">
              <w:rPr>
                <w:sz w:val="20"/>
              </w:rPr>
              <w:t>management</w:t>
            </w:r>
          </w:p>
        </w:tc>
        <w:tc>
          <w:tcPr>
            <w:tcW w:w="2835" w:type="dxa"/>
            <w:tcMar>
              <w:top w:w="0" w:type="dxa"/>
              <w:left w:w="108" w:type="dxa"/>
              <w:bottom w:w="0" w:type="dxa"/>
              <w:right w:w="108" w:type="dxa"/>
            </w:tcMar>
          </w:tcPr>
          <w:p w14:paraId="000007B6" w14:textId="77777777" w:rsidR="00A758FD" w:rsidRPr="00C0338D" w:rsidRDefault="00C81287">
            <w:pPr>
              <w:spacing w:line="240" w:lineRule="auto"/>
              <w:rPr>
                <w:highlight w:val="yellow"/>
              </w:rPr>
            </w:pPr>
            <w:r w:rsidRPr="00C0338D">
              <w:t>Management of marine invasive alien species for population suppression.</w:t>
            </w:r>
          </w:p>
        </w:tc>
        <w:tc>
          <w:tcPr>
            <w:tcW w:w="2855" w:type="dxa"/>
          </w:tcPr>
          <w:p w14:paraId="000007B7" w14:textId="77777777" w:rsidR="00A758FD" w:rsidRPr="00C0338D" w:rsidRDefault="00C81287">
            <w:pPr>
              <w:spacing w:line="240" w:lineRule="auto"/>
            </w:pPr>
            <w:r w:rsidRPr="00C0338D">
              <w:t xml:space="preserve">All current marine invasive alien species management programmes have been unsuccessful in the long-term as a means of control. </w:t>
            </w:r>
          </w:p>
        </w:tc>
        <w:tc>
          <w:tcPr>
            <w:tcW w:w="1256" w:type="dxa"/>
            <w:tcMar>
              <w:top w:w="0" w:type="dxa"/>
              <w:left w:w="108" w:type="dxa"/>
              <w:bottom w:w="0" w:type="dxa"/>
              <w:right w:w="108" w:type="dxa"/>
            </w:tcMar>
          </w:tcPr>
          <w:p w14:paraId="000007B8" w14:textId="77777777" w:rsidR="00A758FD" w:rsidRPr="00C0338D" w:rsidRDefault="00C81287">
            <w:pPr>
              <w:tabs>
                <w:tab w:val="left" w:pos="553"/>
              </w:tabs>
              <w:spacing w:line="240" w:lineRule="auto"/>
            </w:pPr>
            <w:r w:rsidRPr="00C0338D">
              <w:t>5.6.1.1,</w:t>
            </w:r>
          </w:p>
          <w:p w14:paraId="000007B9" w14:textId="3EE97F6E" w:rsidR="00A758FD" w:rsidRPr="00C0338D" w:rsidRDefault="002C7BE7">
            <w:pPr>
              <w:tabs>
                <w:tab w:val="left" w:pos="553"/>
              </w:tabs>
              <w:spacing w:line="240" w:lineRule="auto"/>
            </w:pPr>
            <w:r w:rsidRPr="0040026F">
              <w:rPr>
                <w:rFonts w:eastAsia="Calibri"/>
                <w:iCs/>
              </w:rPr>
              <w:t>Box</w:t>
            </w:r>
            <w:r w:rsidR="00C81287" w:rsidRPr="00C0338D">
              <w:t xml:space="preserve"> 5.3</w:t>
            </w:r>
          </w:p>
        </w:tc>
      </w:tr>
      <w:tr w:rsidR="002F2F42" w14:paraId="33049F9D" w14:textId="77777777" w:rsidTr="002F2F42">
        <w:tc>
          <w:tcPr>
            <w:tcW w:w="562" w:type="dxa"/>
            <w:vMerge/>
            <w:textDirection w:val="btLr"/>
          </w:tcPr>
          <w:p w14:paraId="000007BA" w14:textId="77777777" w:rsidR="00A758FD" w:rsidRPr="00C0338D" w:rsidRDefault="00A758FD" w:rsidP="002F2F42">
            <w:pPr>
              <w:spacing w:line="240" w:lineRule="auto"/>
              <w:ind w:left="113" w:right="113"/>
              <w:jc w:val="center"/>
            </w:pPr>
          </w:p>
        </w:tc>
        <w:tc>
          <w:tcPr>
            <w:tcW w:w="1843" w:type="dxa"/>
            <w:tcMar>
              <w:top w:w="0" w:type="dxa"/>
              <w:left w:w="108" w:type="dxa"/>
              <w:bottom w:w="0" w:type="dxa"/>
              <w:right w:w="108" w:type="dxa"/>
            </w:tcMar>
          </w:tcPr>
          <w:p w14:paraId="000007BB" w14:textId="77777777" w:rsidR="00A758FD" w:rsidRPr="00C0338D" w:rsidRDefault="00C81287">
            <w:pPr>
              <w:spacing w:line="240" w:lineRule="auto"/>
            </w:pPr>
            <w:r w:rsidRPr="00C0338D">
              <w:t xml:space="preserve">Implementation; </w:t>
            </w:r>
            <w:r w:rsidRPr="00C0338D">
              <w:rPr>
                <w:sz w:val="20"/>
              </w:rPr>
              <w:t>management</w:t>
            </w:r>
          </w:p>
        </w:tc>
        <w:tc>
          <w:tcPr>
            <w:tcW w:w="2835" w:type="dxa"/>
            <w:tcMar>
              <w:top w:w="0" w:type="dxa"/>
              <w:left w:w="108" w:type="dxa"/>
              <w:bottom w:w="0" w:type="dxa"/>
              <w:right w:w="108" w:type="dxa"/>
            </w:tcMar>
          </w:tcPr>
          <w:p w14:paraId="000007BC" w14:textId="77777777" w:rsidR="00A758FD" w:rsidRPr="00C0338D" w:rsidRDefault="00C81287">
            <w:pPr>
              <w:spacing w:line="240" w:lineRule="auto"/>
              <w:rPr>
                <w:highlight w:val="yellow"/>
              </w:rPr>
            </w:pPr>
            <w:r w:rsidRPr="00C0338D">
              <w:t>Management approaches for widespread established invasive alien species using available and novel tools and methods.</w:t>
            </w:r>
          </w:p>
        </w:tc>
        <w:tc>
          <w:tcPr>
            <w:tcW w:w="2855" w:type="dxa"/>
          </w:tcPr>
          <w:p w14:paraId="000007BD" w14:textId="77777777" w:rsidR="00A758FD" w:rsidRPr="00C0338D" w:rsidRDefault="00C81287">
            <w:pPr>
              <w:spacing w:line="240" w:lineRule="auto"/>
              <w:rPr>
                <w:highlight w:val="yellow"/>
              </w:rPr>
            </w:pPr>
            <w:r w:rsidRPr="00C0338D">
              <w:t xml:space="preserve">Once prevention has been optimized there is a need to consider and develop better technologies for control of widespread species. </w:t>
            </w:r>
          </w:p>
        </w:tc>
        <w:tc>
          <w:tcPr>
            <w:tcW w:w="1256" w:type="dxa"/>
            <w:tcMar>
              <w:top w:w="0" w:type="dxa"/>
              <w:left w:w="108" w:type="dxa"/>
              <w:bottom w:w="0" w:type="dxa"/>
              <w:right w:w="108" w:type="dxa"/>
            </w:tcMar>
          </w:tcPr>
          <w:p w14:paraId="000007BE" w14:textId="77777777" w:rsidR="00A758FD" w:rsidRPr="00C0338D" w:rsidRDefault="00C81287">
            <w:pPr>
              <w:tabs>
                <w:tab w:val="left" w:pos="553"/>
              </w:tabs>
              <w:spacing w:line="240" w:lineRule="auto"/>
              <w:rPr>
                <w:highlight w:val="yellow"/>
              </w:rPr>
            </w:pPr>
            <w:r w:rsidRPr="00C0338D">
              <w:t>5.5.5</w:t>
            </w:r>
          </w:p>
        </w:tc>
      </w:tr>
      <w:tr w:rsidR="00A758FD" w14:paraId="536C1184" w14:textId="77777777" w:rsidTr="002F2F42">
        <w:tc>
          <w:tcPr>
            <w:tcW w:w="562" w:type="dxa"/>
            <w:vMerge/>
            <w:textDirection w:val="btLr"/>
          </w:tcPr>
          <w:p w14:paraId="000007BF" w14:textId="77777777" w:rsidR="00A758FD" w:rsidRPr="002F2F42" w:rsidRDefault="00A758FD" w:rsidP="00AC1F76">
            <w:pPr>
              <w:widowControl w:val="0"/>
              <w:pBdr>
                <w:top w:val="nil"/>
                <w:left w:val="nil"/>
                <w:bottom w:val="nil"/>
                <w:right w:val="nil"/>
                <w:between w:val="nil"/>
              </w:pBdr>
              <w:spacing w:line="276" w:lineRule="auto"/>
              <w:ind w:left="113" w:right="113"/>
              <w:jc w:val="center"/>
            </w:pPr>
          </w:p>
        </w:tc>
        <w:tc>
          <w:tcPr>
            <w:tcW w:w="1843" w:type="dxa"/>
            <w:tcMar>
              <w:top w:w="0" w:type="dxa"/>
              <w:left w:w="108" w:type="dxa"/>
              <w:bottom w:w="0" w:type="dxa"/>
              <w:right w:w="108" w:type="dxa"/>
            </w:tcMar>
          </w:tcPr>
          <w:p w14:paraId="000007C0" w14:textId="77777777" w:rsidR="00A758FD" w:rsidRPr="00C0338D" w:rsidRDefault="00C81287">
            <w:pPr>
              <w:spacing w:line="240" w:lineRule="auto"/>
            </w:pPr>
            <w:r w:rsidRPr="00C0338D">
              <w:t xml:space="preserve">Implementation; </w:t>
            </w:r>
            <w:r w:rsidRPr="00C0338D">
              <w:rPr>
                <w:sz w:val="20"/>
              </w:rPr>
              <w:t>integrated scenarios and models</w:t>
            </w:r>
          </w:p>
        </w:tc>
        <w:tc>
          <w:tcPr>
            <w:tcW w:w="2835" w:type="dxa"/>
            <w:tcMar>
              <w:top w:w="0" w:type="dxa"/>
              <w:left w:w="108" w:type="dxa"/>
              <w:bottom w:w="0" w:type="dxa"/>
              <w:right w:w="108" w:type="dxa"/>
            </w:tcMar>
          </w:tcPr>
          <w:p w14:paraId="000007C1" w14:textId="77777777" w:rsidR="00A758FD" w:rsidRPr="00C0338D" w:rsidRDefault="00C81287">
            <w:pPr>
              <w:spacing w:line="240" w:lineRule="auto"/>
              <w:rPr>
                <w:highlight w:val="yellow"/>
              </w:rPr>
            </w:pPr>
            <w:r w:rsidRPr="00C0338D">
              <w:t>Management decision-making approaches for invasive alien species with benefits in some contexts (i.e., conflict species).</w:t>
            </w:r>
          </w:p>
        </w:tc>
        <w:tc>
          <w:tcPr>
            <w:tcW w:w="2855" w:type="dxa"/>
          </w:tcPr>
          <w:p w14:paraId="000007C2" w14:textId="6663C2A6" w:rsidR="00A758FD" w:rsidRPr="00C0338D" w:rsidRDefault="00C81287">
            <w:pPr>
              <w:spacing w:line="240" w:lineRule="auto"/>
            </w:pPr>
            <w:r w:rsidRPr="00C0338D">
              <w:t>Policy and collective decision-making approaches need to better address conflict species to prevent management being stalled.</w:t>
            </w:r>
          </w:p>
        </w:tc>
        <w:tc>
          <w:tcPr>
            <w:tcW w:w="1256" w:type="dxa"/>
            <w:tcMar>
              <w:top w:w="0" w:type="dxa"/>
              <w:left w:w="108" w:type="dxa"/>
              <w:bottom w:w="0" w:type="dxa"/>
              <w:right w:w="108" w:type="dxa"/>
            </w:tcMar>
          </w:tcPr>
          <w:p w14:paraId="000007C3" w14:textId="2CAF911B" w:rsidR="00A758FD" w:rsidRPr="00C0338D" w:rsidRDefault="00C81287">
            <w:pPr>
              <w:tabs>
                <w:tab w:val="left" w:pos="553"/>
              </w:tabs>
              <w:spacing w:line="240" w:lineRule="auto"/>
              <w:rPr>
                <w:highlight w:val="yellow"/>
              </w:rPr>
            </w:pPr>
            <w:r w:rsidRPr="00C0338D">
              <w:t xml:space="preserve">5.6.1.2, </w:t>
            </w:r>
            <w:r w:rsidR="002C7BE7" w:rsidRPr="0040026F">
              <w:rPr>
                <w:rFonts w:eastAsia="Calibri"/>
                <w:iCs/>
              </w:rPr>
              <w:t>Table</w:t>
            </w:r>
            <w:r w:rsidRPr="00C0338D">
              <w:t xml:space="preserve"> 5.9; Chapter 6, section 6.4.1</w:t>
            </w:r>
          </w:p>
        </w:tc>
      </w:tr>
      <w:tr w:rsidR="002F2F42" w14:paraId="73E8D9BB" w14:textId="77777777" w:rsidTr="002F2F42">
        <w:trPr>
          <w:trHeight w:val="1891"/>
        </w:trPr>
        <w:tc>
          <w:tcPr>
            <w:tcW w:w="562" w:type="dxa"/>
            <w:vMerge/>
            <w:textDirection w:val="btLr"/>
          </w:tcPr>
          <w:p w14:paraId="000007C4" w14:textId="77777777" w:rsidR="00A758FD" w:rsidRPr="00AC1F76" w:rsidRDefault="00A758FD" w:rsidP="00AC1F76">
            <w:pPr>
              <w:widowControl w:val="0"/>
              <w:pBdr>
                <w:top w:val="nil"/>
                <w:left w:val="nil"/>
                <w:bottom w:val="nil"/>
                <w:right w:val="nil"/>
                <w:between w:val="nil"/>
              </w:pBdr>
              <w:spacing w:line="276" w:lineRule="auto"/>
              <w:ind w:left="113" w:right="113"/>
              <w:jc w:val="center"/>
              <w:rPr>
                <w:highlight w:val="yellow"/>
              </w:rPr>
            </w:pPr>
          </w:p>
        </w:tc>
        <w:tc>
          <w:tcPr>
            <w:tcW w:w="1843" w:type="dxa"/>
            <w:tcMar>
              <w:top w:w="0" w:type="dxa"/>
              <w:left w:w="108" w:type="dxa"/>
              <w:bottom w:w="0" w:type="dxa"/>
              <w:right w:w="108" w:type="dxa"/>
            </w:tcMar>
          </w:tcPr>
          <w:p w14:paraId="000007C5" w14:textId="77777777" w:rsidR="00A758FD" w:rsidRPr="00C0338D" w:rsidRDefault="00C81287">
            <w:pPr>
              <w:spacing w:line="240" w:lineRule="auto"/>
            </w:pPr>
            <w:r w:rsidRPr="00C0338D">
              <w:t xml:space="preserve">Knowledge; </w:t>
            </w:r>
            <w:r w:rsidRPr="00C0338D">
              <w:rPr>
                <w:sz w:val="20"/>
              </w:rPr>
              <w:t>integrated scenarios and models</w:t>
            </w:r>
          </w:p>
        </w:tc>
        <w:tc>
          <w:tcPr>
            <w:tcW w:w="2835" w:type="dxa"/>
            <w:tcMar>
              <w:top w:w="0" w:type="dxa"/>
              <w:left w:w="108" w:type="dxa"/>
              <w:bottom w:w="0" w:type="dxa"/>
              <w:right w:w="108" w:type="dxa"/>
            </w:tcMar>
          </w:tcPr>
          <w:p w14:paraId="000007C6" w14:textId="77777777" w:rsidR="00A758FD" w:rsidRPr="00C0338D" w:rsidRDefault="00C81287">
            <w:pPr>
              <w:spacing w:line="240" w:lineRule="auto"/>
              <w:rPr>
                <w:highlight w:val="yellow"/>
              </w:rPr>
            </w:pPr>
            <w:r w:rsidRPr="00C0338D">
              <w:t>Prioritizing site-based management under multiple management contexts (i.e., nature, nature’s contributions to people and good quality of life).</w:t>
            </w:r>
          </w:p>
        </w:tc>
        <w:tc>
          <w:tcPr>
            <w:tcW w:w="2855" w:type="dxa"/>
          </w:tcPr>
          <w:p w14:paraId="000007C7" w14:textId="77777777" w:rsidR="00A758FD" w:rsidRPr="00C0338D" w:rsidRDefault="00C81287">
            <w:pPr>
              <w:spacing w:line="240" w:lineRule="auto"/>
              <w:rPr>
                <w:highlight w:val="yellow"/>
              </w:rPr>
            </w:pPr>
            <w:r w:rsidRPr="00C0338D">
              <w:t>Site-based, ecosystem-based and restoration generally focuses on biodiversity protection but needs to include impacts on Indigenous Peoples and local communities.</w:t>
            </w:r>
          </w:p>
        </w:tc>
        <w:tc>
          <w:tcPr>
            <w:tcW w:w="1256" w:type="dxa"/>
            <w:tcMar>
              <w:top w:w="0" w:type="dxa"/>
              <w:left w:w="108" w:type="dxa"/>
              <w:bottom w:w="0" w:type="dxa"/>
              <w:right w:w="108" w:type="dxa"/>
            </w:tcMar>
          </w:tcPr>
          <w:p w14:paraId="000007C8" w14:textId="77777777" w:rsidR="00A758FD" w:rsidRPr="00C0338D" w:rsidRDefault="00C81287">
            <w:pPr>
              <w:spacing w:line="240" w:lineRule="auto"/>
              <w:rPr>
                <w:highlight w:val="yellow"/>
              </w:rPr>
            </w:pPr>
            <w:r w:rsidRPr="00C0338D">
              <w:t>5.3.1</w:t>
            </w:r>
          </w:p>
        </w:tc>
      </w:tr>
      <w:tr w:rsidR="003666A4" w14:paraId="46F5C089" w14:textId="77777777" w:rsidTr="002F2F42">
        <w:tc>
          <w:tcPr>
            <w:tcW w:w="562" w:type="dxa"/>
            <w:vMerge w:val="restart"/>
            <w:shd w:val="clear" w:color="auto" w:fill="F2F2F2" w:themeFill="background1" w:themeFillShade="F2"/>
            <w:textDirection w:val="btLr"/>
          </w:tcPr>
          <w:p w14:paraId="000007C9" w14:textId="77777777" w:rsidR="00A758FD" w:rsidRPr="00C0338D" w:rsidRDefault="00C81287" w:rsidP="002F2F42">
            <w:pPr>
              <w:spacing w:line="240" w:lineRule="auto"/>
              <w:ind w:left="113" w:right="113"/>
              <w:jc w:val="center"/>
              <w:rPr>
                <w:b/>
              </w:rPr>
            </w:pPr>
            <w:r w:rsidRPr="00C0338D">
              <w:rPr>
                <w:b/>
              </w:rPr>
              <w:t>Site/ecosystem-based Management</w:t>
            </w:r>
          </w:p>
        </w:tc>
        <w:tc>
          <w:tcPr>
            <w:tcW w:w="1843" w:type="dxa"/>
            <w:shd w:val="clear" w:color="auto" w:fill="F2F2F2" w:themeFill="background1" w:themeFillShade="F2"/>
            <w:tcMar>
              <w:top w:w="0" w:type="dxa"/>
              <w:left w:w="108" w:type="dxa"/>
              <w:bottom w:w="0" w:type="dxa"/>
              <w:right w:w="108" w:type="dxa"/>
            </w:tcMar>
          </w:tcPr>
          <w:p w14:paraId="000007CA" w14:textId="77777777" w:rsidR="00A758FD" w:rsidRPr="00C0338D" w:rsidRDefault="00C81287">
            <w:pPr>
              <w:spacing w:line="240" w:lineRule="auto"/>
            </w:pPr>
            <w:r w:rsidRPr="00C0338D">
              <w:t xml:space="preserve">Knowledge; </w:t>
            </w:r>
            <w:r w:rsidRPr="00C0338D">
              <w:rPr>
                <w:sz w:val="20"/>
              </w:rPr>
              <w:t>integrated scenarios and models; technical development</w:t>
            </w:r>
          </w:p>
        </w:tc>
        <w:tc>
          <w:tcPr>
            <w:tcW w:w="2835" w:type="dxa"/>
            <w:shd w:val="clear" w:color="auto" w:fill="F2F2F2" w:themeFill="background1" w:themeFillShade="F2"/>
            <w:tcMar>
              <w:top w:w="0" w:type="dxa"/>
              <w:left w:w="108" w:type="dxa"/>
              <w:bottom w:w="0" w:type="dxa"/>
              <w:right w:w="108" w:type="dxa"/>
            </w:tcMar>
          </w:tcPr>
          <w:p w14:paraId="000007CB" w14:textId="77777777" w:rsidR="00A758FD" w:rsidRPr="00C0338D" w:rsidRDefault="00C81287">
            <w:pPr>
              <w:tabs>
                <w:tab w:val="left" w:pos="1007"/>
              </w:tabs>
              <w:spacing w:line="240" w:lineRule="auto"/>
            </w:pPr>
            <w:r w:rsidRPr="00C0338D">
              <w:t>Cost-effective scenarios and modelling for invasive alien species management and evaluation use.</w:t>
            </w:r>
          </w:p>
        </w:tc>
        <w:tc>
          <w:tcPr>
            <w:tcW w:w="2855" w:type="dxa"/>
            <w:shd w:val="clear" w:color="auto" w:fill="F2F2F2" w:themeFill="background1" w:themeFillShade="F2"/>
          </w:tcPr>
          <w:p w14:paraId="000007CC" w14:textId="77777777" w:rsidR="00A758FD" w:rsidRPr="00C0338D" w:rsidRDefault="00C81287">
            <w:pPr>
              <w:spacing w:line="240" w:lineRule="auto"/>
            </w:pPr>
            <w:r w:rsidRPr="00C0338D">
              <w:t>Scenarios and modelling are generally underutilized for invasive alien species management planning.</w:t>
            </w:r>
          </w:p>
        </w:tc>
        <w:tc>
          <w:tcPr>
            <w:tcW w:w="1256" w:type="dxa"/>
            <w:shd w:val="clear" w:color="auto" w:fill="F2F2F2" w:themeFill="background1" w:themeFillShade="F2"/>
            <w:tcMar>
              <w:top w:w="0" w:type="dxa"/>
              <w:left w:w="108" w:type="dxa"/>
              <w:bottom w:w="0" w:type="dxa"/>
              <w:right w:w="108" w:type="dxa"/>
            </w:tcMar>
          </w:tcPr>
          <w:p w14:paraId="000007CD" w14:textId="77777777" w:rsidR="00A758FD" w:rsidRPr="00C0338D" w:rsidRDefault="00C81287">
            <w:pPr>
              <w:spacing w:line="240" w:lineRule="auto"/>
            </w:pPr>
            <w:r w:rsidRPr="00C0338D">
              <w:t>5.2.2.4, 5.6.3.2,</w:t>
            </w:r>
          </w:p>
          <w:p w14:paraId="000007CE" w14:textId="657CCB7D" w:rsidR="00A758FD" w:rsidRPr="00C0338D" w:rsidRDefault="002C7BE7">
            <w:pPr>
              <w:spacing w:line="240" w:lineRule="auto"/>
            </w:pPr>
            <w:r w:rsidRPr="0040026F">
              <w:rPr>
                <w:rFonts w:eastAsia="Calibri"/>
                <w:iCs/>
              </w:rPr>
              <w:t>Table</w:t>
            </w:r>
            <w:r w:rsidR="00C81287" w:rsidRPr="00C0338D">
              <w:t xml:space="preserve"> 5.14, </w:t>
            </w:r>
            <w:r w:rsidRPr="0040026F">
              <w:rPr>
                <w:rFonts w:eastAsia="Calibri"/>
                <w:iCs/>
              </w:rPr>
              <w:t>Table</w:t>
            </w:r>
            <w:r w:rsidR="00C81287" w:rsidRPr="00C0338D">
              <w:t xml:space="preserve"> 5.15</w:t>
            </w:r>
          </w:p>
        </w:tc>
      </w:tr>
      <w:tr w:rsidR="003666A4" w14:paraId="5CE82D4C" w14:textId="77777777" w:rsidTr="002F2F42">
        <w:tc>
          <w:tcPr>
            <w:tcW w:w="562" w:type="dxa"/>
            <w:vMerge/>
            <w:textDirection w:val="btLr"/>
          </w:tcPr>
          <w:p w14:paraId="000007CF"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D0" w14:textId="77777777" w:rsidR="00A758FD" w:rsidRPr="00C0338D" w:rsidRDefault="00C81287">
            <w:pPr>
              <w:spacing w:line="240" w:lineRule="auto"/>
            </w:pPr>
            <w:r w:rsidRPr="00C0338D">
              <w:t xml:space="preserve">Knowledge; </w:t>
            </w:r>
            <w:r w:rsidRPr="00C0338D">
              <w:rPr>
                <w:sz w:val="20"/>
              </w:rPr>
              <w:t>potential instruments, including policy and enabling approaches and management</w:t>
            </w:r>
          </w:p>
        </w:tc>
        <w:tc>
          <w:tcPr>
            <w:tcW w:w="2835" w:type="dxa"/>
            <w:shd w:val="clear" w:color="auto" w:fill="F2F2F2" w:themeFill="background1" w:themeFillShade="F2"/>
            <w:tcMar>
              <w:top w:w="0" w:type="dxa"/>
              <w:left w:w="108" w:type="dxa"/>
              <w:bottom w:w="0" w:type="dxa"/>
              <w:right w:w="108" w:type="dxa"/>
            </w:tcMar>
          </w:tcPr>
          <w:p w14:paraId="000007D1" w14:textId="77777777" w:rsidR="00A758FD" w:rsidRPr="00D2715A" w:rsidRDefault="00C81287" w:rsidP="00AC1F76">
            <w:pPr>
              <w:pBdr>
                <w:top w:val="nil"/>
                <w:left w:val="nil"/>
                <w:bottom w:val="nil"/>
                <w:right w:val="nil"/>
                <w:between w:val="nil"/>
              </w:pBdr>
              <w:tabs>
                <w:tab w:val="left" w:pos="1007"/>
              </w:tabs>
              <w:spacing w:line="240" w:lineRule="auto"/>
            </w:pPr>
            <w:r w:rsidRPr="00D2715A">
              <w:t>Managing urban and peri-urban areas, including urban-marine linked areas, in the context of impacts on surrounding ecosystems and ecosystem services on which local communities depend.</w:t>
            </w:r>
          </w:p>
        </w:tc>
        <w:tc>
          <w:tcPr>
            <w:tcW w:w="2855" w:type="dxa"/>
            <w:shd w:val="clear" w:color="auto" w:fill="F2F2F2" w:themeFill="background1" w:themeFillShade="F2"/>
          </w:tcPr>
          <w:p w14:paraId="000007D2" w14:textId="77777777" w:rsidR="00A758FD" w:rsidRPr="00C0338D" w:rsidRDefault="00C81287" w:rsidP="00AC1F76">
            <w:pPr>
              <w:tabs>
                <w:tab w:val="left" w:pos="1007"/>
              </w:tabs>
              <w:spacing w:line="240" w:lineRule="auto"/>
            </w:pPr>
            <w:r w:rsidRPr="00C0338D">
              <w:t>As urban and peri-urban areas put increasing pressure on native communities through local biodiversity loss, managing this driver of invasive alien species impacts needs to be prioritized and addressed.</w:t>
            </w:r>
          </w:p>
        </w:tc>
        <w:tc>
          <w:tcPr>
            <w:tcW w:w="1256" w:type="dxa"/>
            <w:shd w:val="clear" w:color="auto" w:fill="F2F2F2" w:themeFill="background1" w:themeFillShade="F2"/>
            <w:tcMar>
              <w:top w:w="0" w:type="dxa"/>
              <w:left w:w="108" w:type="dxa"/>
              <w:bottom w:w="0" w:type="dxa"/>
              <w:right w:w="108" w:type="dxa"/>
            </w:tcMar>
          </w:tcPr>
          <w:p w14:paraId="000007D3" w14:textId="77777777" w:rsidR="00A758FD" w:rsidRPr="00C0338D" w:rsidRDefault="00C81287">
            <w:pPr>
              <w:spacing w:line="240" w:lineRule="auto"/>
            </w:pPr>
            <w:r w:rsidRPr="00C0338D">
              <w:t>5.6.1.4</w:t>
            </w:r>
          </w:p>
        </w:tc>
      </w:tr>
      <w:tr w:rsidR="003666A4" w14:paraId="521E9B2B" w14:textId="77777777" w:rsidTr="002F2F42">
        <w:tc>
          <w:tcPr>
            <w:tcW w:w="562" w:type="dxa"/>
            <w:vMerge/>
            <w:textDirection w:val="btLr"/>
          </w:tcPr>
          <w:p w14:paraId="000007D4"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D5" w14:textId="77777777" w:rsidR="00A758FD" w:rsidRPr="00C0338D" w:rsidRDefault="00C81287">
            <w:pPr>
              <w:spacing w:line="240" w:lineRule="auto"/>
            </w:pPr>
            <w:r w:rsidRPr="00C0338D">
              <w:t xml:space="preserve">Implementation; </w:t>
            </w:r>
            <w:r w:rsidRPr="00C0338D">
              <w:rPr>
                <w:sz w:val="20"/>
              </w:rPr>
              <w:t>management</w:t>
            </w:r>
          </w:p>
        </w:tc>
        <w:tc>
          <w:tcPr>
            <w:tcW w:w="2835" w:type="dxa"/>
            <w:shd w:val="clear" w:color="auto" w:fill="F2F2F2" w:themeFill="background1" w:themeFillShade="F2"/>
            <w:tcMar>
              <w:top w:w="0" w:type="dxa"/>
              <w:left w:w="108" w:type="dxa"/>
              <w:bottom w:w="0" w:type="dxa"/>
              <w:right w:w="108" w:type="dxa"/>
            </w:tcMar>
          </w:tcPr>
          <w:p w14:paraId="000007D6" w14:textId="4B1634B4" w:rsidR="00A758FD" w:rsidRPr="00C0338D" w:rsidRDefault="00C81287">
            <w:pPr>
              <w:tabs>
                <w:tab w:val="left" w:pos="1007"/>
              </w:tabs>
              <w:spacing w:line="240" w:lineRule="auto"/>
            </w:pPr>
            <w:r w:rsidRPr="00C0338D">
              <w:t xml:space="preserve">Effective inclusion of </w:t>
            </w:r>
            <w:r w:rsidR="00A91F9F">
              <w:t>I</w:t>
            </w:r>
            <w:r w:rsidRPr="00C0338D">
              <w:t>ndigenous and local knowledge in management design and decision-making.</w:t>
            </w:r>
          </w:p>
        </w:tc>
        <w:tc>
          <w:tcPr>
            <w:tcW w:w="2855" w:type="dxa"/>
            <w:shd w:val="clear" w:color="auto" w:fill="F2F2F2" w:themeFill="background1" w:themeFillShade="F2"/>
          </w:tcPr>
          <w:p w14:paraId="000007D7" w14:textId="2DF0AF70" w:rsidR="00A758FD" w:rsidRPr="00C0338D" w:rsidRDefault="00C81287">
            <w:pPr>
              <w:spacing w:line="240" w:lineRule="auto"/>
            </w:pPr>
            <w:r w:rsidRPr="00C0338D">
              <w:t>Indigenous and local knowledge is critical for long-term, integrated, management</w:t>
            </w:r>
            <w:r w:rsidR="3CCE41E7">
              <w:t xml:space="preserve"> of biological invasions</w:t>
            </w:r>
            <w:r w:rsidRPr="00C0338D">
              <w:t>.</w:t>
            </w:r>
          </w:p>
        </w:tc>
        <w:tc>
          <w:tcPr>
            <w:tcW w:w="1256" w:type="dxa"/>
            <w:shd w:val="clear" w:color="auto" w:fill="F2F2F2" w:themeFill="background1" w:themeFillShade="F2"/>
            <w:tcMar>
              <w:top w:w="0" w:type="dxa"/>
              <w:left w:w="108" w:type="dxa"/>
              <w:bottom w:w="0" w:type="dxa"/>
              <w:right w:w="108" w:type="dxa"/>
            </w:tcMar>
          </w:tcPr>
          <w:p w14:paraId="000007D8" w14:textId="77777777" w:rsidR="00A758FD" w:rsidRPr="00C0338D" w:rsidRDefault="00C81287">
            <w:pPr>
              <w:tabs>
                <w:tab w:val="left" w:pos="553"/>
              </w:tabs>
              <w:spacing w:line="240" w:lineRule="auto"/>
            </w:pPr>
            <w:r w:rsidRPr="00C0338D">
              <w:t xml:space="preserve">5.1.3, 5.5.2, </w:t>
            </w:r>
          </w:p>
          <w:p w14:paraId="000007D9" w14:textId="77777777" w:rsidR="00A758FD" w:rsidRPr="00C0338D" w:rsidRDefault="00C81287">
            <w:pPr>
              <w:spacing w:line="240" w:lineRule="auto"/>
            </w:pPr>
            <w:r w:rsidRPr="00C0338D">
              <w:t xml:space="preserve">5.7, </w:t>
            </w:r>
          </w:p>
          <w:p w14:paraId="000007DA" w14:textId="7C790E13" w:rsidR="00A758FD" w:rsidRPr="00C0338D" w:rsidRDefault="002C7BE7">
            <w:pPr>
              <w:spacing w:line="240" w:lineRule="auto"/>
            </w:pPr>
            <w:r w:rsidRPr="0040026F">
              <w:rPr>
                <w:rFonts w:eastAsia="Calibri"/>
                <w:iCs/>
              </w:rPr>
              <w:t>Box</w:t>
            </w:r>
            <w:r w:rsidR="00C81287" w:rsidRPr="00C0338D">
              <w:t xml:space="preserve"> 5.15</w:t>
            </w:r>
          </w:p>
        </w:tc>
      </w:tr>
      <w:tr w:rsidR="003666A4" w14:paraId="7B33A34C" w14:textId="77777777" w:rsidTr="002F2F42">
        <w:tc>
          <w:tcPr>
            <w:tcW w:w="562" w:type="dxa"/>
            <w:vMerge/>
            <w:textDirection w:val="btLr"/>
          </w:tcPr>
          <w:p w14:paraId="000007DB"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shd w:val="clear" w:color="auto" w:fill="F2F2F2" w:themeFill="background1" w:themeFillShade="F2"/>
            <w:tcMar>
              <w:top w:w="0" w:type="dxa"/>
              <w:left w:w="108" w:type="dxa"/>
              <w:bottom w:w="0" w:type="dxa"/>
              <w:right w:w="108" w:type="dxa"/>
            </w:tcMar>
          </w:tcPr>
          <w:p w14:paraId="000007DC" w14:textId="77777777" w:rsidR="00A758FD" w:rsidRPr="00C0338D" w:rsidRDefault="00C81287">
            <w:pPr>
              <w:spacing w:line="240" w:lineRule="auto"/>
            </w:pPr>
            <w:r w:rsidRPr="00C0338D">
              <w:t xml:space="preserve">Implementation; </w:t>
            </w:r>
            <w:r w:rsidRPr="00C0338D">
              <w:rPr>
                <w:sz w:val="20"/>
              </w:rPr>
              <w:t>management</w:t>
            </w:r>
            <w:r w:rsidRPr="00C0338D">
              <w:t xml:space="preserve"> </w:t>
            </w:r>
          </w:p>
        </w:tc>
        <w:tc>
          <w:tcPr>
            <w:tcW w:w="2835" w:type="dxa"/>
            <w:shd w:val="clear" w:color="auto" w:fill="F2F2F2" w:themeFill="background1" w:themeFillShade="F2"/>
            <w:tcMar>
              <w:top w:w="0" w:type="dxa"/>
              <w:left w:w="108" w:type="dxa"/>
              <w:bottom w:w="0" w:type="dxa"/>
              <w:right w:w="108" w:type="dxa"/>
            </w:tcMar>
          </w:tcPr>
          <w:p w14:paraId="000007DD" w14:textId="77777777" w:rsidR="00A758FD" w:rsidRPr="00C0338D" w:rsidRDefault="00C81287">
            <w:pPr>
              <w:spacing w:line="240" w:lineRule="auto"/>
              <w:rPr>
                <w:highlight w:val="yellow"/>
              </w:rPr>
            </w:pPr>
            <w:r w:rsidRPr="00C0338D">
              <w:t xml:space="preserve">Adaptive integrated invasive alien species management with ecosystem restoration to </w:t>
            </w:r>
            <w:r w:rsidRPr="00C0338D">
              <w:lastRenderedPageBreak/>
              <w:t>improve ecosystem resilience and broader ecosystem-based management.</w:t>
            </w:r>
          </w:p>
        </w:tc>
        <w:tc>
          <w:tcPr>
            <w:tcW w:w="2855" w:type="dxa"/>
            <w:shd w:val="clear" w:color="auto" w:fill="F2F2F2" w:themeFill="background1" w:themeFillShade="F2"/>
          </w:tcPr>
          <w:p w14:paraId="000007DE" w14:textId="77777777" w:rsidR="00A758FD" w:rsidRPr="00C0338D" w:rsidRDefault="00C81287">
            <w:pPr>
              <w:spacing w:line="240" w:lineRule="auto"/>
              <w:rPr>
                <w:highlight w:val="yellow"/>
              </w:rPr>
            </w:pPr>
            <w:r w:rsidRPr="00C0338D">
              <w:lastRenderedPageBreak/>
              <w:t xml:space="preserve">Improving adaptive management from governance to implementation is a priority, </w:t>
            </w:r>
            <w:r w:rsidRPr="00C0338D">
              <w:lastRenderedPageBreak/>
              <w:t>as it is a proven approach to managing dynamic ecosystems.</w:t>
            </w:r>
          </w:p>
        </w:tc>
        <w:tc>
          <w:tcPr>
            <w:tcW w:w="1256" w:type="dxa"/>
            <w:shd w:val="clear" w:color="auto" w:fill="F2F2F2" w:themeFill="background1" w:themeFillShade="F2"/>
            <w:tcMar>
              <w:top w:w="0" w:type="dxa"/>
              <w:left w:w="108" w:type="dxa"/>
              <w:bottom w:w="0" w:type="dxa"/>
              <w:right w:w="108" w:type="dxa"/>
            </w:tcMar>
          </w:tcPr>
          <w:p w14:paraId="000007DF" w14:textId="77777777" w:rsidR="00A758FD" w:rsidRPr="00C0338D" w:rsidRDefault="00C81287">
            <w:pPr>
              <w:tabs>
                <w:tab w:val="left" w:pos="553"/>
              </w:tabs>
              <w:spacing w:line="240" w:lineRule="auto"/>
            </w:pPr>
            <w:r w:rsidRPr="00C0338D">
              <w:lastRenderedPageBreak/>
              <w:t>5.4.3.3, 5.5.6,</w:t>
            </w:r>
          </w:p>
          <w:p w14:paraId="000007E0" w14:textId="77777777" w:rsidR="00A758FD" w:rsidRPr="00C0338D" w:rsidRDefault="00C81287">
            <w:pPr>
              <w:tabs>
                <w:tab w:val="left" w:pos="553"/>
              </w:tabs>
              <w:spacing w:line="240" w:lineRule="auto"/>
            </w:pPr>
            <w:r w:rsidRPr="00C0338D">
              <w:t>5.6.2.5;</w:t>
            </w:r>
          </w:p>
          <w:p w14:paraId="000007E1" w14:textId="26181C6A" w:rsidR="00A758FD" w:rsidRPr="00C0338D" w:rsidRDefault="00C81287">
            <w:pPr>
              <w:tabs>
                <w:tab w:val="left" w:pos="553"/>
              </w:tabs>
              <w:spacing w:line="240" w:lineRule="auto"/>
              <w:rPr>
                <w:highlight w:val="yellow"/>
              </w:rPr>
            </w:pPr>
            <w:r w:rsidRPr="00C0338D">
              <w:lastRenderedPageBreak/>
              <w:t xml:space="preserve">Chapter 6., </w:t>
            </w:r>
            <w:r w:rsidR="002C7BE7" w:rsidRPr="0040026F">
              <w:rPr>
                <w:rFonts w:eastAsia="Calibri"/>
                <w:iCs/>
              </w:rPr>
              <w:t>Box</w:t>
            </w:r>
            <w:r w:rsidRPr="00C0338D">
              <w:t xml:space="preserve"> 6.14 and </w:t>
            </w:r>
            <w:r w:rsidR="002C7BE7" w:rsidRPr="0040026F">
              <w:rPr>
                <w:rFonts w:eastAsia="Calibri"/>
                <w:iCs/>
              </w:rPr>
              <w:t>Box</w:t>
            </w:r>
            <w:r w:rsidRPr="00C0338D">
              <w:t xml:space="preserve"> 6.16</w:t>
            </w:r>
          </w:p>
        </w:tc>
      </w:tr>
      <w:tr w:rsidR="00A758FD" w14:paraId="070CA348" w14:textId="77777777" w:rsidTr="002F2F42">
        <w:trPr>
          <w:trHeight w:val="2155"/>
        </w:trPr>
        <w:tc>
          <w:tcPr>
            <w:tcW w:w="562" w:type="dxa"/>
            <w:vMerge w:val="restart"/>
            <w:textDirection w:val="btLr"/>
          </w:tcPr>
          <w:p w14:paraId="000007E2" w14:textId="77777777" w:rsidR="00A758FD" w:rsidRPr="00C0338D" w:rsidRDefault="00C81287" w:rsidP="002F2F42">
            <w:pPr>
              <w:spacing w:line="240" w:lineRule="auto"/>
              <w:ind w:left="113" w:right="113"/>
              <w:jc w:val="center"/>
              <w:rPr>
                <w:b/>
              </w:rPr>
            </w:pPr>
            <w:r w:rsidRPr="00C0338D">
              <w:rPr>
                <w:b/>
              </w:rPr>
              <w:lastRenderedPageBreak/>
              <w:t>Other implementation gaps</w:t>
            </w:r>
          </w:p>
        </w:tc>
        <w:tc>
          <w:tcPr>
            <w:tcW w:w="1843" w:type="dxa"/>
            <w:tcMar>
              <w:top w:w="0" w:type="dxa"/>
              <w:left w:w="108" w:type="dxa"/>
              <w:bottom w:w="0" w:type="dxa"/>
              <w:right w:w="108" w:type="dxa"/>
            </w:tcMar>
          </w:tcPr>
          <w:p w14:paraId="000007E3" w14:textId="77777777" w:rsidR="00A758FD" w:rsidRPr="00AC1F76" w:rsidRDefault="00C81287">
            <w:pPr>
              <w:spacing w:line="240" w:lineRule="auto"/>
              <w:rPr>
                <w:color w:val="2E75B5"/>
                <w:sz w:val="20"/>
              </w:rPr>
            </w:pPr>
            <w:r w:rsidRPr="00C0338D">
              <w:t xml:space="preserve">Essential supporting processes as impediments to invasive alien species management; </w:t>
            </w:r>
            <w:r w:rsidRPr="00C0338D">
              <w:rPr>
                <w:sz w:val="20"/>
              </w:rPr>
              <w:t>potential instruments, including policy and enabling approaches and management</w:t>
            </w:r>
          </w:p>
        </w:tc>
        <w:tc>
          <w:tcPr>
            <w:tcW w:w="2835" w:type="dxa"/>
            <w:tcMar>
              <w:top w:w="0" w:type="dxa"/>
              <w:left w:w="108" w:type="dxa"/>
              <w:bottom w:w="0" w:type="dxa"/>
              <w:right w:w="108" w:type="dxa"/>
            </w:tcMar>
          </w:tcPr>
          <w:p w14:paraId="000007E4" w14:textId="77777777" w:rsidR="00A758FD" w:rsidRPr="00C0338D" w:rsidRDefault="00C81287">
            <w:pPr>
              <w:spacing w:line="240" w:lineRule="auto"/>
            </w:pPr>
            <w:r w:rsidRPr="00C0338D">
              <w:t>Procedural (policy, cross-jurisdictional, stakeholder engagement).</w:t>
            </w:r>
          </w:p>
          <w:p w14:paraId="000007E5" w14:textId="77777777" w:rsidR="00A758FD" w:rsidRPr="00C0338D" w:rsidRDefault="00C81287">
            <w:pPr>
              <w:spacing w:line="240" w:lineRule="auto"/>
            </w:pPr>
            <w:r w:rsidRPr="00C0338D">
              <w:t>Capacity-related (capability, lack of knowledge on modern tools and techniques, resourcing and communication).</w:t>
            </w:r>
          </w:p>
          <w:p w14:paraId="000007E6" w14:textId="77777777" w:rsidR="00A758FD" w:rsidRPr="00C0338D" w:rsidRDefault="00C81287">
            <w:pPr>
              <w:spacing w:line="240" w:lineRule="auto"/>
              <w:rPr>
                <w:highlight w:val="yellow"/>
              </w:rPr>
            </w:pPr>
            <w:r w:rsidRPr="00C0338D">
              <w:t>Societal (lack of awareness, resistance) challenges will need to be addressed.</w:t>
            </w:r>
          </w:p>
        </w:tc>
        <w:tc>
          <w:tcPr>
            <w:tcW w:w="2855" w:type="dxa"/>
          </w:tcPr>
          <w:p w14:paraId="000007E7" w14:textId="77777777" w:rsidR="00A758FD" w:rsidRPr="00C0338D" w:rsidRDefault="00C81287">
            <w:pPr>
              <w:spacing w:line="240" w:lineRule="auto"/>
              <w:rPr>
                <w:highlight w:val="yellow"/>
              </w:rPr>
            </w:pPr>
            <w:r w:rsidRPr="00C0338D">
              <w:t>Biosecurity and invasive alien species have a human cause, are a function of human values and endeavour, and therefore need greater cooperation and social and societal analysis and solutions.</w:t>
            </w:r>
          </w:p>
        </w:tc>
        <w:tc>
          <w:tcPr>
            <w:tcW w:w="1256" w:type="dxa"/>
            <w:tcMar>
              <w:top w:w="0" w:type="dxa"/>
              <w:left w:w="108" w:type="dxa"/>
              <w:bottom w:w="0" w:type="dxa"/>
              <w:right w:w="108" w:type="dxa"/>
            </w:tcMar>
          </w:tcPr>
          <w:p w14:paraId="000007E8" w14:textId="029475EC" w:rsidR="00A758FD" w:rsidRPr="00C0338D" w:rsidRDefault="00C81287">
            <w:pPr>
              <w:tabs>
                <w:tab w:val="left" w:pos="553"/>
              </w:tabs>
              <w:spacing w:line="240" w:lineRule="auto"/>
            </w:pPr>
            <w:r w:rsidRPr="00C0338D">
              <w:t xml:space="preserve">5.6.3.3, </w:t>
            </w:r>
            <w:r w:rsidR="002C7BE7" w:rsidRPr="0040026F">
              <w:rPr>
                <w:rFonts w:eastAsia="Calibri"/>
                <w:iCs/>
              </w:rPr>
              <w:t>Table</w:t>
            </w:r>
            <w:r w:rsidRPr="00C0338D">
              <w:t xml:space="preserve"> 5.10; Chapter 6, sections 6.4 and 6.7</w:t>
            </w:r>
          </w:p>
        </w:tc>
      </w:tr>
      <w:tr w:rsidR="002F2F42" w14:paraId="0AE0C0A0" w14:textId="77777777" w:rsidTr="002F2F42">
        <w:trPr>
          <w:trHeight w:val="716"/>
        </w:trPr>
        <w:tc>
          <w:tcPr>
            <w:tcW w:w="562" w:type="dxa"/>
            <w:vMerge/>
            <w:textDirection w:val="btLr"/>
          </w:tcPr>
          <w:p w14:paraId="000007E9" w14:textId="77777777" w:rsidR="00A758FD" w:rsidRPr="00C0338D" w:rsidRDefault="00A758FD" w:rsidP="00AC1F76">
            <w:pPr>
              <w:widowControl w:val="0"/>
              <w:pBdr>
                <w:top w:val="nil"/>
                <w:left w:val="nil"/>
                <w:bottom w:val="nil"/>
                <w:right w:val="nil"/>
                <w:between w:val="nil"/>
              </w:pBdr>
              <w:spacing w:line="276" w:lineRule="auto"/>
              <w:ind w:left="113" w:right="113"/>
              <w:jc w:val="center"/>
            </w:pPr>
          </w:p>
        </w:tc>
        <w:tc>
          <w:tcPr>
            <w:tcW w:w="1843" w:type="dxa"/>
            <w:tcMar>
              <w:top w:w="0" w:type="dxa"/>
              <w:left w:w="108" w:type="dxa"/>
              <w:bottom w:w="0" w:type="dxa"/>
              <w:right w:w="108" w:type="dxa"/>
            </w:tcMar>
          </w:tcPr>
          <w:p w14:paraId="000007EA" w14:textId="77777777" w:rsidR="00A758FD" w:rsidRPr="00C0338D" w:rsidRDefault="00C81287">
            <w:pPr>
              <w:spacing w:line="240" w:lineRule="auto"/>
            </w:pPr>
            <w:r w:rsidRPr="00C0338D">
              <w:t xml:space="preserve">Uncertainty; </w:t>
            </w:r>
            <w:r w:rsidRPr="00C0338D">
              <w:rPr>
                <w:sz w:val="20"/>
              </w:rPr>
              <w:t>integrated scenarios and models; technical development</w:t>
            </w:r>
          </w:p>
        </w:tc>
        <w:tc>
          <w:tcPr>
            <w:tcW w:w="2835" w:type="dxa"/>
            <w:tcMar>
              <w:top w:w="0" w:type="dxa"/>
              <w:left w:w="108" w:type="dxa"/>
              <w:bottom w:w="0" w:type="dxa"/>
              <w:right w:w="108" w:type="dxa"/>
            </w:tcMar>
          </w:tcPr>
          <w:p w14:paraId="000007EB" w14:textId="77777777" w:rsidR="00A758FD" w:rsidRPr="00C0338D" w:rsidRDefault="00C81287">
            <w:pPr>
              <w:spacing w:line="240" w:lineRule="auto"/>
              <w:rPr>
                <w:highlight w:val="yellow"/>
              </w:rPr>
            </w:pPr>
            <w:r w:rsidRPr="00C0338D">
              <w:t>Decision-making in the context of uncertainty.</w:t>
            </w:r>
          </w:p>
        </w:tc>
        <w:tc>
          <w:tcPr>
            <w:tcW w:w="2855" w:type="dxa"/>
          </w:tcPr>
          <w:p w14:paraId="000007EC" w14:textId="77777777" w:rsidR="00A758FD" w:rsidRPr="00C0338D" w:rsidRDefault="00C81287">
            <w:pPr>
              <w:spacing w:line="240" w:lineRule="auto"/>
            </w:pPr>
            <w:r w:rsidRPr="00C0338D">
              <w:t>The precautionary approach argues that actions should not be hampered by incomplete knowledge where doing nothing is not an option.</w:t>
            </w:r>
          </w:p>
        </w:tc>
        <w:tc>
          <w:tcPr>
            <w:tcW w:w="1256" w:type="dxa"/>
            <w:tcMar>
              <w:top w:w="0" w:type="dxa"/>
              <w:left w:w="108" w:type="dxa"/>
              <w:bottom w:w="0" w:type="dxa"/>
              <w:right w:w="108" w:type="dxa"/>
            </w:tcMar>
          </w:tcPr>
          <w:p w14:paraId="000007ED" w14:textId="77777777" w:rsidR="00A758FD" w:rsidRPr="00C0338D" w:rsidRDefault="00C81287">
            <w:pPr>
              <w:tabs>
                <w:tab w:val="left" w:pos="553"/>
              </w:tabs>
              <w:spacing w:line="240" w:lineRule="auto"/>
              <w:rPr>
                <w:highlight w:val="yellow"/>
              </w:rPr>
            </w:pPr>
            <w:r w:rsidRPr="00C0338D">
              <w:t>5.2.2.3, 5.6.2.5</w:t>
            </w:r>
          </w:p>
        </w:tc>
      </w:tr>
    </w:tbl>
    <w:p w14:paraId="000007EE" w14:textId="77777777" w:rsidR="00A758FD" w:rsidRPr="00C0338D" w:rsidRDefault="00A758FD"/>
    <w:p w14:paraId="000007EF" w14:textId="77777777" w:rsidR="00A758FD" w:rsidRPr="002F2F42" w:rsidRDefault="00C81287" w:rsidP="002F2F42">
      <w:pPr>
        <w:pStyle w:val="Heading3"/>
      </w:pPr>
      <w:r w:rsidRPr="002F2F42">
        <w:t xml:space="preserve"> </w:t>
      </w:r>
      <w:bookmarkStart w:id="668" w:name="_Toc131681674"/>
      <w:r w:rsidRPr="002F2F42">
        <w:t>Challenges to management in relation to</w:t>
      </w:r>
      <w:bookmarkStart w:id="669" w:name="_Toc69314037"/>
      <w:r w:rsidRPr="002F2F42">
        <w:t xml:space="preserve"> knowledge gaps in invasion biology</w:t>
      </w:r>
      <w:bookmarkEnd w:id="668"/>
      <w:r w:rsidRPr="002F2F42">
        <w:t xml:space="preserve"> </w:t>
      </w:r>
    </w:p>
    <w:bookmarkEnd w:id="669"/>
    <w:p w14:paraId="0D5F61D0" w14:textId="4753BC5B" w:rsidR="00383764" w:rsidRPr="00837161" w:rsidRDefault="00383764" w:rsidP="00FA6DFB">
      <w:pPr>
        <w:spacing w:before="240" w:after="120" w:line="240" w:lineRule="auto"/>
        <w:rPr>
          <w:lang w:eastAsia="en-ZA"/>
        </w:rPr>
      </w:pPr>
      <w:r w:rsidRPr="00837161">
        <w:rPr>
          <w:lang w:eastAsia="en-ZA"/>
        </w:rPr>
        <w:t xml:space="preserve">While technological advances </w:t>
      </w:r>
      <w:r w:rsidR="00197924" w:rsidRPr="00837161">
        <w:rPr>
          <w:lang w:eastAsia="en-ZA"/>
        </w:rPr>
        <w:t>(</w:t>
      </w:r>
      <w:r w:rsidRPr="0040026F">
        <w:rPr>
          <w:b/>
          <w:iCs/>
          <w:lang w:eastAsia="en-ZA"/>
        </w:rPr>
        <w:t>section 5.4</w:t>
      </w:r>
      <w:r w:rsidRPr="00837161">
        <w:rPr>
          <w:lang w:eastAsia="en-ZA"/>
        </w:rPr>
        <w:t xml:space="preserve">) are assisting </w:t>
      </w:r>
      <w:r w:rsidR="002F2F42">
        <w:t>management of biological invasions</w:t>
      </w:r>
      <w:r w:rsidRPr="00837161">
        <w:rPr>
          <w:lang w:eastAsia="en-ZA"/>
        </w:rPr>
        <w:t xml:space="preserve">, it is critically important </w:t>
      </w:r>
      <w:r w:rsidR="007B4368">
        <w:rPr>
          <w:lang w:eastAsia="en-ZA"/>
        </w:rPr>
        <w:t xml:space="preserve">that </w:t>
      </w:r>
      <w:r w:rsidRPr="00837161">
        <w:rPr>
          <w:lang w:eastAsia="en-ZA"/>
        </w:rPr>
        <w:t>ecological understanding</w:t>
      </w:r>
      <w:r w:rsidR="007B4368">
        <w:rPr>
          <w:lang w:eastAsia="en-ZA"/>
        </w:rPr>
        <w:t xml:space="preserve"> at the species and community levels</w:t>
      </w:r>
      <w:r w:rsidRPr="00837161">
        <w:rPr>
          <w:lang w:eastAsia="en-ZA"/>
        </w:rPr>
        <w:t xml:space="preserve"> </w:t>
      </w:r>
      <w:r w:rsidR="009D49A6" w:rsidRPr="00837161">
        <w:rPr>
          <w:rFonts w:eastAsia="Times New Roman"/>
          <w:lang w:eastAsia="en-ZA"/>
        </w:rPr>
        <w:fldChar w:fldCharType="begin"/>
      </w:r>
      <w:r w:rsidR="000F35EB">
        <w:rPr>
          <w:rFonts w:eastAsia="Times New Roman"/>
          <w:lang w:eastAsia="en-ZA"/>
        </w:rPr>
        <w:instrText xml:space="preserve"> ADDIN ZOTERO_ITEM CSL_CITATION {"citationID":"8Utb4Syz","properties":{"formattedCitation":"(Zavaleta et al., 2001)","plainCitation":"(Zavaleta et al., 2001)","noteIndex":0},"citationItems":[{"id":17465,"uris":["http://zotero.org/groups/2352922/items/WGFCZE2M"],"itemData":{"id":17465,"type":"article-journal","abstract":"Eradications of invasive species often have striking positive effects on native biota. However, recent research has shown that species removal in isolation can also result in unexpected changes to other ecosystem components. These secondary effects will become more likely as numbers of interacting invaders increase in ecosystems, and as exotics in late stages of invasion eliminate native species and replace their functional roles. Food web and functional role frameworks can be used to identify ecological conditions that forecast the potential for unwanted secondary impacts. Integration of eradication into a holistic process of assessment and restoration will help safeguard against accidental, adverse effects on native ecosystems.","container-title":"Trends in Ecology &amp; Evolution","DOI":"10.1016/S0169-5347(01)02194-2","ISSN":"0169-5347","issue":"8","journalAbbreviation":"Trends in Ecology &amp; Evolution","page":"454-459","source":"ScienceDirect","title":"Viewing invasive species removal in a whole-ecosystem context","URL":"http://www.sciencedirect.com/science/article/pii/S0169534701021942","volume":"16","author":[{"family":"Zavaleta","given":"Erika S."},{"family":"Hobbs","given":"Richard J."},{"family":"Mooney","given":"Harold A."}],"accessed":{"date-parts":[["2019",10,4]]},"issued":{"date-parts":[["2001",8,1]]}},"label":"page"}],"schema":"https://github.com/citation-style-language/schema/raw/master/csl-citation.json"} </w:instrText>
      </w:r>
      <w:r w:rsidR="009D49A6" w:rsidRPr="00837161">
        <w:rPr>
          <w:rFonts w:eastAsia="Times New Roman"/>
          <w:lang w:eastAsia="en-ZA"/>
        </w:rPr>
        <w:fldChar w:fldCharType="separate"/>
      </w:r>
      <w:r w:rsidR="00271B78" w:rsidRPr="00271B78">
        <w:t>(Zavaleta et al., 2001)</w:t>
      </w:r>
      <w:r w:rsidR="009D49A6" w:rsidRPr="00837161">
        <w:rPr>
          <w:rFonts w:eastAsia="Times New Roman"/>
          <w:lang w:eastAsia="en-ZA"/>
        </w:rPr>
        <w:fldChar w:fldCharType="end"/>
      </w:r>
      <w:r w:rsidR="009D49A6" w:rsidRPr="00837161">
        <w:rPr>
          <w:rFonts w:eastAsia="Times New Roman"/>
          <w:lang w:eastAsia="en-ZA"/>
        </w:rPr>
        <w:t xml:space="preserve"> </w:t>
      </w:r>
      <w:r w:rsidRPr="00837161">
        <w:rPr>
          <w:lang w:eastAsia="en-ZA"/>
        </w:rPr>
        <w:t xml:space="preserve">and </w:t>
      </w:r>
      <w:r w:rsidR="009E438E" w:rsidRPr="00837161">
        <w:rPr>
          <w:lang w:eastAsia="en-ZA"/>
        </w:rPr>
        <w:t>I</w:t>
      </w:r>
      <w:r w:rsidRPr="00837161">
        <w:rPr>
          <w:lang w:eastAsia="en-ZA"/>
        </w:rPr>
        <w:t xml:space="preserve">ndigenous and local knowledge underwrite their application to avoid perverse outcomes (e.g., </w:t>
      </w:r>
      <w:r w:rsidRPr="00837161">
        <w:rPr>
          <w:lang w:eastAsia="en-ZA"/>
        </w:rPr>
        <w:fldChar w:fldCharType="begin"/>
      </w:r>
      <w:r w:rsidR="000F35EB">
        <w:rPr>
          <w:lang w:eastAsia="en-ZA"/>
        </w:rPr>
        <w:instrText xml:space="preserve"> ADDIN ZOTERO_ITEM CSL_CITATION {"citationID":"63ZGVoTL","properties":{"formattedCitation":"(Caut et al., 2009)","plainCitation":"(Caut et al., 2009)","dontUpdate":true,"noteIndex":0},"citationItems":[{"id":22885,"uris":["http://zotero.org/groups/2352922/items/SWR8V5RN"],"itemData":{"id":22885,"type":"article-journal","abstract":"Eradications of invasive alien species have generally benefited biodiversity. However, without sufficient planning, successful eradications can have unexpected and unwanted consequences for native species and ecosystems. In particular, the “surprise effect” is the rapid increase of hitherto unnoticed species following the sudden removal of an invasive alien that was exerting an ecological force on those species (predation, competition or herbivory, for example). The only way to prevent these undesired outcomes is to adapt the control programme following the characterization of the trophic relationships between the invasive alien species and the invaded communities, that is, to view the control with a holistic perspective. Here, we illustrate this point with the study of the role of the ship rat (Rattus rattus), which invaded a tropical pacific atoll, Surprise Island, New Caledonia. We assessed the risk of surprise effects during a pre-eradication phase of several years, and then adapted our eradication strategy accordingly.","container-title":"Biological Invasions","DOI":"10.1007/s10530-008-9397-9","ISSN":"1573-1464","issue":"7","journalAbbreviation":"Biol Invasions","language":"en","page":"1689-1703","source":"Springer Link","title":"Avoiding surprise effects on Surprise Island: alien species control in a multitrophic level perspective","title-short":"Avoiding surprise effects on Surprise Island","URL":"https://doi.org/10.1007/s10530-008-9397-9","volume":"11","author":[{"family":"Caut","given":"Stéphane"},{"family":"Angulo","given":"Elena"},{"family":"Courchamp","given":"Franck"}],"accessed":{"date-parts":[["2020",8,11]]},"issued":{"date-parts":[["2009",8,1]]}},"label":"page"}],"schema":"https://github.com/citation-style-language/schema/raw/master/csl-citation.json"} </w:instrText>
      </w:r>
      <w:r w:rsidRPr="00837161">
        <w:rPr>
          <w:lang w:eastAsia="en-ZA"/>
        </w:rPr>
        <w:fldChar w:fldCharType="separate"/>
      </w:r>
      <w:r w:rsidR="00FE3F04" w:rsidRPr="00837161">
        <w:t>Caut et al., 2009</w:t>
      </w:r>
      <w:r w:rsidRPr="00837161">
        <w:rPr>
          <w:lang w:eastAsia="en-ZA"/>
        </w:rPr>
        <w:fldChar w:fldCharType="end"/>
      </w:r>
      <w:r w:rsidR="001C0274" w:rsidRPr="00837161">
        <w:rPr>
          <w:lang w:eastAsia="en-ZA"/>
        </w:rPr>
        <w:t>;</w:t>
      </w:r>
      <w:r w:rsidRPr="00837161">
        <w:rPr>
          <w:lang w:eastAsia="en-ZA"/>
        </w:rPr>
        <w:t xml:space="preserve"> </w:t>
      </w:r>
      <w:r w:rsidRPr="0040026F">
        <w:rPr>
          <w:b/>
          <w:iCs/>
          <w:lang w:eastAsia="en-ZA"/>
        </w:rPr>
        <w:t xml:space="preserve">section </w:t>
      </w:r>
      <w:r w:rsidR="00186DB4" w:rsidRPr="0040026F">
        <w:rPr>
          <w:b/>
          <w:iCs/>
          <w:lang w:eastAsia="en-ZA"/>
        </w:rPr>
        <w:t>5.5.4</w:t>
      </w:r>
      <w:r w:rsidRPr="00837161">
        <w:rPr>
          <w:lang w:eastAsia="en-ZA"/>
        </w:rPr>
        <w:t xml:space="preserve">). Since biological invasions are non-linear and dynamic </w:t>
      </w:r>
      <w:r w:rsidR="00197924" w:rsidRPr="00837161">
        <w:rPr>
          <w:lang w:eastAsia="en-ZA"/>
        </w:rPr>
        <w:t>(</w:t>
      </w:r>
      <w:r w:rsidR="0040026F">
        <w:rPr>
          <w:b/>
          <w:iCs/>
          <w:lang w:eastAsia="en-ZA"/>
        </w:rPr>
        <w:t>C</w:t>
      </w:r>
      <w:r w:rsidRPr="0040026F">
        <w:rPr>
          <w:b/>
          <w:iCs/>
          <w:lang w:eastAsia="en-ZA"/>
        </w:rPr>
        <w:t>hapter 6</w:t>
      </w:r>
      <w:r w:rsidRPr="0040026F">
        <w:rPr>
          <w:iCs/>
          <w:lang w:eastAsia="en-ZA"/>
        </w:rPr>
        <w:t xml:space="preserve">, </w:t>
      </w:r>
      <w:r w:rsidRPr="0040026F">
        <w:rPr>
          <w:b/>
          <w:iCs/>
          <w:lang w:eastAsia="en-ZA"/>
        </w:rPr>
        <w:t>section 6.6.1.1</w:t>
      </w:r>
      <w:r w:rsidRPr="00837161">
        <w:rPr>
          <w:lang w:eastAsia="en-ZA"/>
        </w:rPr>
        <w:t xml:space="preserve">) the resulting complexity needs to be recognized when preventing and managing </w:t>
      </w:r>
      <w:r w:rsidR="002F2F42">
        <w:t xml:space="preserve">biological invasions </w:t>
      </w:r>
      <w:r w:rsidRPr="00837161">
        <w:rPr>
          <w:lang w:eastAsia="en-ZA"/>
        </w:rPr>
        <w:t>around the world. There are multiple examples of invasive alien plant replacement</w:t>
      </w:r>
      <w:r w:rsidR="007B4368">
        <w:rPr>
          <w:lang w:eastAsia="en-ZA"/>
        </w:rPr>
        <w:t>s</w:t>
      </w:r>
      <w:r w:rsidRPr="00837161">
        <w:rPr>
          <w:lang w:eastAsia="en-ZA"/>
        </w:rPr>
        <w:t xml:space="preserve"> following mis-informed management that can make the system worse </w:t>
      </w:r>
      <w:r w:rsidRPr="00837161">
        <w:rPr>
          <w:lang w:eastAsia="en-ZA"/>
        </w:rPr>
        <w:fldChar w:fldCharType="begin"/>
      </w:r>
      <w:r w:rsidR="000F35EB">
        <w:rPr>
          <w:lang w:eastAsia="en-ZA"/>
        </w:rPr>
        <w:instrText xml:space="preserve"> ADDIN ZOTERO_ITEM CSL_CITATION {"citationID":"Tiro7451","properties":{"formattedCitation":"(Pearson et al., 2016)","plainCitation":"(Pearson et al., 2016)","noteIndex":0},"citationItems":[{"id":30192,"uris":["http://zotero.org/groups/2352922/items/HTKIYX55"],"itemData":{"id":30192,"type":"article-journal","abstract":"Exotic plant invasions present a global threat to natural ecosystems, yet the efficacy of management efforts in mitigating invader impacts remains unclear. A rapidly emerging problem is that of secondary invasion — an increase in abundance of non-target exotics following treatment of targeted invasive plants. Here, we present a global literature review and meta-analysis directed at quantifying the magnitude of secondary invasion effects and identifying possible causes. Of 168 studies examining the efficacy of exotic plant management in terrestrial habitats, 29% quantified community responses sufficiently to evaluate secondary invasion. Meta-analysis of 60 cases from 38 studies showed that control efforts strongly reduced target invader abundance overall, but secondary invaders increased, with a mean effect size double what was found for native plants, which increased only weakly. Moreover, 89% of the secondary invaders identified were classified as noxious or invasive plants. Increases in secondary invaders were correlated with target invader reductions, but control method and target invader growth form failed to explain variation in secondary invader responses. These results suggest that target invader suppression is the key factor driving release of secondary invaders. However, management side effects, target invader legacy effects, provenance effects, and shifting environmental conditions may all facilitate secondary invasion. Invasive plant management often successfully suppresses target invaders, but the result is largely secondary invasion. Addressing this problem requires management strategies that anticipate and suppress secondary invaders while rapidly restoring native plants to fill the space vacated by the target weed. Accomplishing the latter will require improved re-vegetation techniques.","container-title":"Biological Conservation","DOI":"10.1016/j.biocon.2016.02.029","ISSN":"0006-3207","journalAbbreviation":"Biological Conservation","page":"8-17","source":"ScienceDirect","title":"Secondary invasion: The bane of weed management","title-short":"Secondary invasion","URL":"http://www.sciencedirect.com/science/article/pii/S0006320716300726","volume":"197","author":[{"family":"Pearson","given":"Dean E."},{"family":"Ortega","given":"Yvette K."},{"family":"Runyon","given":"Justin B."},{"family":"Butler","given":"Jack L."}],"accessed":{"date-parts":[["2019",10,5]]},"issued":{"date-parts":[["2016",5,1]]}},"label":"page"}],"schema":"https://github.com/citation-style-language/schema/raw/master/csl-citation.json"} </w:instrText>
      </w:r>
      <w:r w:rsidRPr="00837161">
        <w:rPr>
          <w:lang w:eastAsia="en-ZA"/>
        </w:rPr>
        <w:fldChar w:fldCharType="separate"/>
      </w:r>
      <w:r w:rsidR="00271B78" w:rsidRPr="00271B78">
        <w:t>(Pearson et al., 2016)</w:t>
      </w:r>
      <w:r w:rsidRPr="00837161">
        <w:rPr>
          <w:lang w:eastAsia="en-ZA"/>
        </w:rPr>
        <w:fldChar w:fldCharType="end"/>
      </w:r>
      <w:r w:rsidRPr="00837161">
        <w:rPr>
          <w:lang w:eastAsia="en-ZA"/>
        </w:rPr>
        <w:t>. Invasive alien vertebrate management programmes can also lead to unexpected consequences. Invasive pig</w:t>
      </w:r>
      <w:r w:rsidRPr="00837161">
        <w:rPr>
          <w:rFonts w:eastAsia="Times New Roman"/>
          <w:lang w:eastAsia="en-ZA"/>
        </w:rPr>
        <w:t xml:space="preserve"> control in Hawaiian rainforest removed a disturbance agent supporting native species recovery in some areas </w:t>
      </w:r>
      <w:r w:rsidRPr="00837161">
        <w:rPr>
          <w:rFonts w:eastAsia="Times New Roman"/>
          <w:lang w:eastAsia="en-ZA"/>
        </w:rPr>
        <w:fldChar w:fldCharType="begin"/>
      </w:r>
      <w:r w:rsidR="000F35EB">
        <w:rPr>
          <w:rFonts w:eastAsia="Times New Roman"/>
          <w:lang w:eastAsia="en-ZA"/>
        </w:rPr>
        <w:instrText xml:space="preserve"> ADDIN ZOTERO_ITEM CSL_CITATION {"citationID":"d79b0pRz","properties":{"formattedCitation":"(Loope et al., 2013)","plainCitation":"(Loope et al., 2013)","noteIndex":0},"citationItems":[{"id":31012,"uris":["http://zotero.org/groups/2352922/items/BSKZG3TU"],"itemData":{"id":31012,"type":"chapter","abstract":"Isolated tropical islands are notoriously vulnerable to plant invasions. Serious management for protection of native biodiversity in Hawaii began in the 1970s, arguably at Hawaii Volcanoes National Park. Concerted alien plant management began there in the 1980s and has in a sense become a model for protected areas throughout Hawaii and Pacific Island countries and territories. We review the relative successes of their strategies and touch upon how their experience has been applied elsewhere. Protected areas in Hawaii are fortunate in having relatively good resources for addressing plant invasions, but many invasions remain intractable, and invasions from outside the boundaries continue from a highly globalised society with a penchant for horticultural novelty. There are likely few efforts in most Pacific Islands to combat alien plant invasions in protected areas, but such areas may often have fewer plant invasions as a result of their relative remoteness and/or socio-economic development status. The greatest current needs for protected areas in this region may be for establishment of yet more protected areas, for better resources to combat invasions in Pacific Island countries and territories, for more effective control methods including biological control programme to contain intractable species, and for meaningful efforts to address prevention and early detection of potential new invaders.","collection-title":"Invading Nature - Springer Series in Invasion Ecology","container-title":"Plant Invasions in Protected Areas: Patterns, Problems and Challenges","event-place":"Dordrecht","ISBN":"978-94-007-7750-7","language":"en","note":"DOI: 10.1007/978-94-007-7750-7_15","page":"313-348","publisher":"Springer Netherlands","publisher-place":"Dordrecht","source":"Springer Link","title":"Plant Invasions in Protected Areas of Tropical Pacific Islands, with Special Reference to Hawaii","URL":"https://doi.org/10.1007/978-94-007-7750-7_15","volume":"7","author":[{"family":"Loope","given":"Lloyd L."},{"family":"Hughes","given":"R. Flint"},{"family":"Meyer","given":"Jean-Yves"}],"editor":[{"family":"Foxcroft","given":"Llewellyn C."},{"family":"Pyšek","given":"Petr"},{"family":"Richardson","given":"David M."},{"family":"Genovesi","given":"Piero"}],"accessed":{"date-parts":[["2020",8,21]]},"issued":{"date-parts":[["2013"]]}},"label":"page"}],"schema":"https://github.com/citation-style-language/schema/raw/master/csl-citation.json"} </w:instrText>
      </w:r>
      <w:r w:rsidRPr="00837161">
        <w:rPr>
          <w:rFonts w:eastAsia="Times New Roman"/>
          <w:lang w:eastAsia="en-ZA"/>
        </w:rPr>
        <w:fldChar w:fldCharType="separate"/>
      </w:r>
      <w:r w:rsidR="00271B78" w:rsidRPr="00271B78">
        <w:t>(Loope et al., 2013)</w:t>
      </w:r>
      <w:r w:rsidRPr="00837161">
        <w:rPr>
          <w:rFonts w:eastAsia="Times New Roman"/>
          <w:lang w:eastAsia="en-ZA"/>
        </w:rPr>
        <w:fldChar w:fldCharType="end"/>
      </w:r>
      <w:r w:rsidRPr="00837161">
        <w:rPr>
          <w:rFonts w:eastAsia="Times New Roman"/>
          <w:lang w:eastAsia="en-ZA"/>
        </w:rPr>
        <w:t xml:space="preserve">, but led to a five-fold increase in the invasive alien plant </w:t>
      </w:r>
      <w:r w:rsidRPr="00837161">
        <w:rPr>
          <w:rFonts w:eastAsia="Times New Roman"/>
          <w:i/>
          <w:iCs/>
          <w:lang w:eastAsia="en-ZA"/>
        </w:rPr>
        <w:t>Psidium cattleianum</w:t>
      </w:r>
      <w:r w:rsidRPr="00837161">
        <w:rPr>
          <w:rFonts w:eastAsia="Times New Roman"/>
          <w:lang w:eastAsia="en-ZA"/>
        </w:rPr>
        <w:t xml:space="preserve"> (strawberry guava) in others </w:t>
      </w:r>
      <w:r w:rsidRPr="00837161">
        <w:rPr>
          <w:rFonts w:eastAsia="Times New Roman"/>
          <w:lang w:eastAsia="en-ZA"/>
        </w:rPr>
        <w:fldChar w:fldCharType="begin"/>
      </w:r>
      <w:r w:rsidR="000F35EB">
        <w:rPr>
          <w:rFonts w:eastAsia="Times New Roman"/>
          <w:lang w:eastAsia="en-ZA"/>
        </w:rPr>
        <w:instrText xml:space="preserve"> ADDIN ZOTERO_ITEM CSL_CITATION {"citationID":"fi3J7cGP","properties":{"formattedCitation":"(Kellner et al., 2011)","plainCitation":"(Kellner et al., 2011)","noteIndex":0},"citationItems":[{"id":16464,"uris":["http://zotero.org/groups/2352922/items/NNHB52T9"],"itemData":{"id":16464,"type":"article-journal","abstract":"Escape from natural enemies is a widely held generalization for the success of exotic plants. We conducted a large-scale experiment in Hawaii (USA) to quantify impacts of ungulate removal on plant growth and performance, and to test whether elimination of an exotic generalist herbivore facilitated exotic success. Assessment of impacted and control sites before and after ungulate exclusion using airborne imaging spectroscopy and LiDAR, time series satellite observations, and ground-based field studies over nine years indicated that removal of generalist herbivores facilitated exotic success, but the abundance of native species was unchanged. Vegetation cover &lt;1 m in height increased in ungulate-free areas from 48.7% +/- 1.5% to 74.3% +/- 1.8% over 8.4 years, corresponding to an annualized growth rate of lambda = 1.05 +/- 0.01 yr(-1) (median +/- SD). Most of the change was attributable to exotic plant species, which increased from 24.4% +/- 1.4% to 49.1% +/- 2.0%, (lambda = 1.08 +/- 0.01 yr(-1)). Native plants experienced no significant change in cover (23.0% +/- 1.3% to 24.2% +/- 1.8%, lambda = 1.01 +/- 0.01 yr(-1)). Time series of satellite phenology were indistinguishable between the treatment and a 3.0-km2 control site for four years prior to ungulate removal, but they diverged immediately following exclusion of ungulates. Comparison of monthly EVI means before and after ungulate exclusion and between the managed and control areas indicates that EVI strongly increased in the managed area after ungulate exclusion. Field studies and airborne analyses show that the dominant invader was Senecio madagascariensis, an invasive annual forb that increased from &lt; 0.01% to 14.7% fractional cover in ungulate-free areas (lambda = 1.89 +/- 0.34 yr(-1)), but which was nearly absent from the control site. A combination of canopy LAI, water, and fractional cover were expressed in satellite EVI time series and indicate that the invaded region maintained greenness during drought conditions. These findings demonstrate that enemy release from generalist herbivores can facilitate exotic success and suggest a plausible mechanism by which invasion occurred. They also show how novel remote-sensing technology can be integrated with conservation and management to help address exotic plant invasions.","container-title":"Ecological Applications: A Publication of the Ecological Society of America","DOI":"10.1890/10-0859.1","ISSN":"1051-0761","issue":"6","journalAbbreviation":"Ecol Appl","language":"eng","note":"PMID: 21939046","page":"2094-2104","source":"PubMed","title":"Remote analysis of biological invasion and the impact of enemy release","volume":"21","author":[{"family":"Kellner","given":"James R."},{"family":"Asner","given":"Gregory P."},{"family":"Kinney","given":"Kealoha M."},{"family":"Loarie","given":"Scott R."},{"family":"Knapp","given":"David E."},{"family":"Kennedy-Bowdoin","given":"Ty"},{"family":"Questad","given":"Erin J."},{"family":"Cordell","given":"Susan"},{"family":"Thaxton","given":"Jarrod M."}],"issued":{"date-parts":[["2011",9]]}},"label":"page"}],"schema":"https://github.com/citation-style-language/schema/raw/master/csl-citation.json"} </w:instrText>
      </w:r>
      <w:r w:rsidRPr="00837161">
        <w:rPr>
          <w:rFonts w:eastAsia="Times New Roman"/>
          <w:lang w:eastAsia="en-ZA"/>
        </w:rPr>
        <w:fldChar w:fldCharType="separate"/>
      </w:r>
      <w:r w:rsidR="00271B78" w:rsidRPr="00271B78">
        <w:t>(Kellner et al., 2011)</w:t>
      </w:r>
      <w:r w:rsidRPr="00837161">
        <w:rPr>
          <w:rFonts w:eastAsia="Times New Roman"/>
          <w:lang w:eastAsia="en-ZA"/>
        </w:rPr>
        <w:fldChar w:fldCharType="end"/>
      </w:r>
      <w:r w:rsidRPr="00837161">
        <w:rPr>
          <w:rFonts w:eastAsia="Times New Roman"/>
          <w:lang w:eastAsia="en-ZA"/>
        </w:rPr>
        <w:t xml:space="preserve">. Similarly invasive cat suppression can allow invasive alien rodent densities to increase </w:t>
      </w:r>
      <w:r w:rsidRPr="00837161">
        <w:rPr>
          <w:rFonts w:eastAsia="Times New Roman"/>
          <w:lang w:eastAsia="en-ZA"/>
        </w:rPr>
        <w:fldChar w:fldCharType="begin"/>
      </w:r>
      <w:r w:rsidR="000F35EB">
        <w:rPr>
          <w:rFonts w:eastAsia="Times New Roman"/>
          <w:lang w:eastAsia="en-ZA"/>
        </w:rPr>
        <w:instrText xml:space="preserve"> ADDIN ZOTERO_ITEM CSL_CITATION {"citationID":"TFZxB49f","properties":{"formattedCitation":"(Karl &amp; Best, 1982; Zavaleta et al., 2001)","plainCitation":"(Karl &amp; Best, 1982; Zavaleta et al., 2001)","noteIndex":0},"citationItems":[{"id":22884,"uris":["http://zotero.org/groups/2352922/items/3RZUEGZ5"],"itemData":{"id":22884,"type":"article-journal","container-title":"New Zealand Journal of Zoology","DOI":"10.1080/03014223.1982.10423857","issue":"2","page":"287-293","title":"Feral cats on Stewart Island; their foods, and their effects on kakapo","URL":"https://www.tandfonline.com/doi/abs/10.1080/03014223.1982.10423857","volume":"9","author":[{"family":"Karl","given":"B. J."},{"family":"Best","given":"H. A."}],"accessed":{"date-parts":[["2020",8,11]]},"issued":{"date-parts":[["1982"]]}},"label":"page"},{"id":17465,"uris":["http://zotero.org/groups/2352922/items/WGFCZE2M"],"itemData":{"id":17465,"type":"article-journal","abstract":"Eradications of invasive species often have striking positive effects on native biota. However, recent research has shown that species removal in isolation can also result in unexpected changes to other ecosystem components. These secondary effects will become more likely as numbers of interacting invaders increase in ecosystems, and as exotics in late stages of invasion eliminate native species and replace their functional roles. Food web and functional role frameworks can be used to identify ecological conditions that forecast the potential for unwanted secondary impacts. Integration of eradication into a holistic process of assessment and restoration will help safeguard against accidental, adverse effects on native ecosystems.","container-title":"Trends in Ecology &amp; Evolution","DOI":"10.1016/S0169-5347(01)02194-2","ISSN":"0169-5347","issue":"8","journalAbbreviation":"Trends in Ecology &amp; Evolution","page":"454-459","source":"ScienceDirect","title":"Viewing invasive species removal in a whole-ecosystem context","URL":"http://www.sciencedirect.com/science/article/pii/S0169534701021942","volume":"16","author":[{"family":"Zavaleta","given":"Erika S."},{"family":"Hobbs","given":"Richard J."},{"family":"Mooney","given":"Harold A."}],"accessed":{"date-parts":[["2019",10,4]]},"issued":{"date-parts":[["2001",8,1]]}},"label":"page"}],"schema":"https://github.com/citation-style-language/schema/raw/master/csl-citation.json"} </w:instrText>
      </w:r>
      <w:r w:rsidRPr="00837161">
        <w:rPr>
          <w:rFonts w:eastAsia="Times New Roman"/>
          <w:lang w:eastAsia="en-ZA"/>
        </w:rPr>
        <w:fldChar w:fldCharType="separate"/>
      </w:r>
      <w:r w:rsidR="00271B78" w:rsidRPr="00271B78">
        <w:t>(Karl &amp; Best, 1982; Zavaleta et al., 2001)</w:t>
      </w:r>
      <w:r w:rsidRPr="00837161">
        <w:rPr>
          <w:rFonts w:eastAsia="Times New Roman"/>
          <w:lang w:eastAsia="en-ZA"/>
        </w:rPr>
        <w:fldChar w:fldCharType="end"/>
      </w:r>
      <w:r w:rsidRPr="00837161">
        <w:rPr>
          <w:rFonts w:eastAsia="Times New Roman"/>
          <w:lang w:eastAsia="en-ZA"/>
        </w:rPr>
        <w:t xml:space="preserve">. In Kakadu National Park (Australia), expansion of </w:t>
      </w:r>
      <w:r w:rsidR="000D688B" w:rsidRPr="00837161">
        <w:rPr>
          <w:rFonts w:eastAsia="Times New Roman"/>
          <w:i/>
          <w:iCs/>
          <w:lang w:eastAsia="en-ZA"/>
        </w:rPr>
        <w:t>Urochloa</w:t>
      </w:r>
      <w:r w:rsidRPr="00837161">
        <w:rPr>
          <w:rFonts w:eastAsia="Times New Roman"/>
          <w:i/>
          <w:iCs/>
          <w:lang w:eastAsia="en-ZA"/>
        </w:rPr>
        <w:t xml:space="preserve"> mutica</w:t>
      </w:r>
      <w:r w:rsidRPr="00837161">
        <w:rPr>
          <w:rFonts w:eastAsia="Times New Roman"/>
          <w:lang w:eastAsia="en-ZA"/>
        </w:rPr>
        <w:t xml:space="preserve"> (para grass) expansion followed invasive </w:t>
      </w:r>
      <w:r w:rsidRPr="00837161">
        <w:rPr>
          <w:rFonts w:eastAsia="Times New Roman"/>
          <w:i/>
          <w:iCs/>
          <w:lang w:eastAsia="en-ZA"/>
        </w:rPr>
        <w:t>Bubalus bubalis</w:t>
      </w:r>
      <w:r w:rsidRPr="00837161">
        <w:rPr>
          <w:rFonts w:eastAsia="Times New Roman"/>
          <w:lang w:eastAsia="en-ZA"/>
        </w:rPr>
        <w:t xml:space="preserve"> (</w:t>
      </w:r>
      <w:r w:rsidR="00FF13F2">
        <w:rPr>
          <w:rFonts w:eastAsia="Times New Roman"/>
          <w:lang w:eastAsia="en-ZA"/>
        </w:rPr>
        <w:t xml:space="preserve">Asian </w:t>
      </w:r>
      <w:r w:rsidRPr="00837161">
        <w:rPr>
          <w:rFonts w:eastAsia="Times New Roman"/>
          <w:lang w:eastAsia="en-ZA"/>
        </w:rPr>
        <w:t xml:space="preserve">water buffalo) removal </w:t>
      </w:r>
      <w:r w:rsidRPr="00837161">
        <w:rPr>
          <w:rFonts w:eastAsia="Times New Roman"/>
          <w:lang w:eastAsia="en-ZA"/>
        </w:rPr>
        <w:fldChar w:fldCharType="begin"/>
      </w:r>
      <w:r w:rsidR="000F35EB">
        <w:rPr>
          <w:rFonts w:eastAsia="Times New Roman"/>
          <w:lang w:eastAsia="en-ZA"/>
        </w:rPr>
        <w:instrText xml:space="preserve"> ADDIN ZOTERO_ITEM CSL_CITATION {"citationID":"pbEgxffW","properties":{"formattedCitation":"(Morris, 1996)","plainCitation":"(Morris, 1996)","dontUpdate":true,"noteIndex":0},"citationItems":[{"id":22883,"uris":["http://zotero.org/groups/2352922/items/EN6RNIPJ"],"itemData":{"id":22883,"type":"book","ISBN":"978-1-875932-40-5","publisher":"Steve Parish Publishing","title":"Kakadu National Park, Australia.","author":[{"family":"Morris","given":"I."}],"issued":{"date-parts":[["1996"]]}},"label":"page"}],"schema":"https://github.com/citation-style-language/schema/raw/master/csl-citation.json"} </w:instrText>
      </w:r>
      <w:r w:rsidRPr="00837161">
        <w:rPr>
          <w:rFonts w:eastAsia="Times New Roman"/>
          <w:lang w:eastAsia="en-ZA"/>
        </w:rPr>
        <w:fldChar w:fldCharType="separate"/>
      </w:r>
      <w:r w:rsidR="00FE3F04" w:rsidRPr="00837161">
        <w:t>(Morris, 1996</w:t>
      </w:r>
      <w:r w:rsidRPr="00837161">
        <w:rPr>
          <w:rFonts w:eastAsia="Times New Roman"/>
          <w:lang w:eastAsia="en-ZA"/>
        </w:rPr>
        <w:fldChar w:fldCharType="end"/>
      </w:r>
      <w:r w:rsidR="001C0274" w:rsidRPr="00837161">
        <w:rPr>
          <w:rFonts w:eastAsia="Times New Roman"/>
          <w:lang w:eastAsia="en-ZA"/>
        </w:rPr>
        <w:t>;</w:t>
      </w:r>
      <w:r w:rsidRPr="00837161">
        <w:rPr>
          <w:rFonts w:eastAsia="Times New Roman"/>
          <w:lang w:eastAsia="en-ZA"/>
        </w:rPr>
        <w:t xml:space="preserve"> </w:t>
      </w:r>
      <w:r w:rsidR="0040026F">
        <w:rPr>
          <w:rFonts w:eastAsia="Times New Roman"/>
          <w:b/>
          <w:iCs/>
          <w:lang w:eastAsia="en-ZA"/>
        </w:rPr>
        <w:t>C</w:t>
      </w:r>
      <w:r w:rsidRPr="0040026F">
        <w:rPr>
          <w:rFonts w:eastAsia="Times New Roman"/>
          <w:b/>
          <w:iCs/>
          <w:lang w:eastAsia="en-ZA"/>
        </w:rPr>
        <w:t>hapter 3</w:t>
      </w:r>
      <w:r w:rsidRPr="0040026F">
        <w:rPr>
          <w:rFonts w:eastAsia="Times New Roman"/>
          <w:iCs/>
          <w:lang w:eastAsia="en-ZA"/>
        </w:rPr>
        <w:t>,</w:t>
      </w:r>
      <w:r w:rsidRPr="0040026F">
        <w:rPr>
          <w:rFonts w:eastAsia="Times New Roman"/>
          <w:b/>
          <w:iCs/>
          <w:lang w:eastAsia="en-ZA"/>
        </w:rPr>
        <w:t xml:space="preserve"> section 3.3.5.2</w:t>
      </w:r>
      <w:r w:rsidRPr="00837161">
        <w:rPr>
          <w:rFonts w:eastAsia="Times New Roman"/>
          <w:lang w:eastAsia="en-ZA"/>
        </w:rPr>
        <w:t>). Monitoring biodiversity and freshwater ecosystems using macroinvertebrate-based indices is a widel</w:t>
      </w:r>
      <w:r w:rsidR="007B4368">
        <w:rPr>
          <w:rFonts w:eastAsia="Times New Roman"/>
          <w:lang w:eastAsia="en-ZA"/>
        </w:rPr>
        <w:t>y-</w:t>
      </w:r>
      <w:r w:rsidRPr="00837161">
        <w:rPr>
          <w:rFonts w:eastAsia="Times New Roman"/>
          <w:lang w:eastAsia="en-ZA"/>
        </w:rPr>
        <w:t xml:space="preserve">used method globally, however knowledge is lacking on how invasive alien species may affect the metric scores and therefore classification of a river's status </w:t>
      </w:r>
      <w:r w:rsidR="001E00C2" w:rsidRPr="00837161">
        <w:rPr>
          <w:rFonts w:eastAsia="Times New Roman"/>
          <w:lang w:eastAsia="en-ZA"/>
        </w:rPr>
        <w:fldChar w:fldCharType="begin"/>
      </w:r>
      <w:r w:rsidR="000F35EB">
        <w:rPr>
          <w:rFonts w:eastAsia="Times New Roman"/>
          <w:lang w:eastAsia="en-ZA"/>
        </w:rPr>
        <w:instrText xml:space="preserve"> ADDIN ZOTERO_ITEM CSL_CITATION {"citationID":"Wms8b3xV","properties":{"formattedCitation":"(Guareschi &amp; Wood, 2019)","plainCitation":"(Guareschi &amp; Wood, 2019)","noteIndex":0},"citationItems":[{"id":11125,"uris":["http://zotero.org/groups/2352922/items/GRDK59ZT"],"itemData":{"id":11125,"type":"article-journal","abstract":"Freshwater ecosystems face many threats in the form of reduced water quantity, poor water quality and the loss of biodiversity. As a result, aquatic biomonitoring tools are required to enable the evaluation of these critical changes. Currently, macroinvertebrate-based indices are globally the most widely used biomonitoring tools in fluvial ecosystems. However, very little is known about the potential effects of changes in taxonomic understanding (updating of classification and nomenclature) or the presence of new non-native species for biotic indices calculation. This is especially relevant given that errors, incorrect classification or exclusion of new/updated nomenclature may affect ecological status evaluations and have direct consequences for the management and conservation of freshwater systems. In this discussion paper the main constraints, challenges and implications of these issues are outlined and case studies from a range of European countries are discussed. However, similar challenges affect rivers and managers globally and will potentially be amplified further in the future. Bioassessment science needs to be open to improvements, and current tools and protocols need to be flexible so that they can be updated and revised rapidly to allow new scientific developments to be integrated. This discussion highlights specific examples and new ideas that may contribute to the future development of aquatic biomonitoring using macroinvertebrates and other faunal and floral groups in riverine ecosystems.","container-title":"Science of The Total Environment","DOI":"10.1016/j.scitotenv.2019.01.008","ISSN":"0048-9697","journalAbbreviation":"Science of The Total Environment","language":"en","page":"40-46","source":"ScienceDirect","title":"Taxonomic changes and non-native species: An overview of constraints and new challenges for macroinvertebrate-based indices calculation in river ecosystems","title-short":"Taxonomic changes and non-native species","URL":"https://www.sciencedirect.com/science/article/pii/S0048969719300087","volume":"660","author":[{"family":"Guareschi","given":"Simone"},{"family":"Wood","given":"Paul J."}],"accessed":{"date-parts":[["2021",4,12]]},"issued":{"date-parts":[["2019",4,10]]}},"label":"page"}],"schema":"https://github.com/citation-style-language/schema/raw/master/csl-citation.json"} </w:instrText>
      </w:r>
      <w:r w:rsidR="001E00C2" w:rsidRPr="00837161">
        <w:rPr>
          <w:rFonts w:eastAsia="Times New Roman"/>
          <w:lang w:eastAsia="en-ZA"/>
        </w:rPr>
        <w:fldChar w:fldCharType="separate"/>
      </w:r>
      <w:r w:rsidR="00271B78" w:rsidRPr="00271B78">
        <w:t>(Guareschi &amp; Wood, 2019)</w:t>
      </w:r>
      <w:r w:rsidR="001E00C2" w:rsidRPr="00837161">
        <w:rPr>
          <w:rFonts w:eastAsia="Times New Roman"/>
          <w:lang w:eastAsia="en-ZA"/>
        </w:rPr>
        <w:fldChar w:fldCharType="end"/>
      </w:r>
      <w:r w:rsidRPr="00837161">
        <w:rPr>
          <w:rFonts w:eastAsia="Times New Roman"/>
          <w:lang w:eastAsia="en-ZA"/>
        </w:rPr>
        <w:t>.</w:t>
      </w:r>
    </w:p>
    <w:p w14:paraId="000007F1" w14:textId="77777777" w:rsidR="00A758FD" w:rsidRPr="00AC1F76" w:rsidRDefault="00C81287" w:rsidP="002F2F42">
      <w:pPr>
        <w:pStyle w:val="Heading3"/>
      </w:pPr>
      <w:bookmarkStart w:id="670" w:name="_heading=h.3kkl7fh" w:colFirst="0" w:colLast="0"/>
      <w:bookmarkStart w:id="671" w:name="_Toc69314038"/>
      <w:bookmarkStart w:id="672" w:name="_Toc87623178"/>
      <w:bookmarkStart w:id="673" w:name="_Toc131681675"/>
      <w:bookmarkEnd w:id="670"/>
      <w:r w:rsidRPr="00AC1F76">
        <w:lastRenderedPageBreak/>
        <w:t>Insufficient technological expertise in implementing management techniques</w:t>
      </w:r>
      <w:bookmarkEnd w:id="671"/>
      <w:bookmarkEnd w:id="672"/>
      <w:bookmarkEnd w:id="673"/>
      <w:r w:rsidRPr="00AC1F76">
        <w:t xml:space="preserve"> </w:t>
      </w:r>
    </w:p>
    <w:p w14:paraId="000007F2" w14:textId="1C37C989" w:rsidR="00A758FD" w:rsidRPr="00C0338D" w:rsidRDefault="00C81287">
      <w:pPr>
        <w:spacing w:before="240" w:after="120" w:line="240" w:lineRule="auto"/>
      </w:pPr>
      <w:r w:rsidRPr="00C0338D">
        <w:t xml:space="preserve">Based on the available information, the numbers of invasive alien species in developed countries are significantly higher compared to developing countries </w:t>
      </w:r>
      <w:r w:rsidR="00383764" w:rsidRPr="00837161">
        <w:rPr>
          <w:lang w:eastAsia="en-ZA"/>
        </w:rPr>
        <w:fldChar w:fldCharType="begin"/>
      </w:r>
      <w:r w:rsidR="000F35EB">
        <w:rPr>
          <w:lang w:eastAsia="en-ZA"/>
        </w:rPr>
        <w:instrText xml:space="preserve"> ADDIN ZOTERO_ITEM CSL_CITATION {"citationID":"gWZMtfbR","properties":{"formattedCitation":"(IPBES,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383764" w:rsidRPr="00837161">
        <w:rPr>
          <w:lang w:eastAsia="en-ZA"/>
        </w:rPr>
        <w:fldChar w:fldCharType="separate"/>
      </w:r>
      <w:r w:rsidR="00271B78" w:rsidRPr="00271B78">
        <w:t>(IPBES, 2019)</w:t>
      </w:r>
      <w:r w:rsidR="00383764" w:rsidRPr="00837161">
        <w:rPr>
          <w:lang w:eastAsia="en-ZA"/>
        </w:rPr>
        <w:fldChar w:fldCharType="end"/>
      </w:r>
      <w:r w:rsidR="430490D0" w:rsidRPr="00837161">
        <w:t>.</w:t>
      </w:r>
      <w:r w:rsidRPr="00C0338D">
        <w:t xml:space="preserve"> However, this could be an incorrect assertion since several developing countries are underexplored for invasive alien species and/or data </w:t>
      </w:r>
      <w:r w:rsidR="007B4368">
        <w:t>are</w:t>
      </w:r>
      <w:r w:rsidR="007B4368" w:rsidRPr="00C0338D">
        <w:t xml:space="preserve"> </w:t>
      </w:r>
      <w:r w:rsidRPr="00C0338D">
        <w:t>unavailable</w:t>
      </w:r>
      <w:r w:rsidR="007B4368">
        <w:t>, especially for some ecosystems (e.g.,</w:t>
      </w:r>
      <w:r w:rsidRPr="00C0338D">
        <w:t xml:space="preserve"> for marine ecosystems</w:t>
      </w:r>
      <w:r w:rsidR="007B4368">
        <w:t>)</w:t>
      </w:r>
      <w:r w:rsidRPr="00C0338D">
        <w:t xml:space="preserve">, resulting in significant data gaps. As a result, invasive alien species are poorly managed or unmanaged in these regions </w:t>
      </w:r>
      <w:r w:rsidR="00383764" w:rsidRPr="00837161">
        <w:rPr>
          <w:lang w:eastAsia="en-ZA"/>
        </w:rPr>
        <w:fldChar w:fldCharType="begin"/>
      </w:r>
      <w:r w:rsidR="007746C5">
        <w:rPr>
          <w:lang w:eastAsia="en-ZA"/>
        </w:rPr>
        <w:instrText xml:space="preserve"> ADDIN ZOTERO_ITEM CSL_CITATION {"citationID":"zcqdlauT","properties":{"formattedCitation":"(McGeoch et al., 2010)","plainCitation":"(McGeoch et al., 2010)","noteIndex":0},"citationItems":[{"id":"aIyXQQKj/LShdccHz","uris":["http://zotero.org/groups/2352922/items/TA9WEFBP"],"itemData":{"id":28832,"type":"article-journal","abstract":"Aim Invasive alien species (IAS) pose a significant threat to biodiversity. The Convention on Biological Diversity’s 2010 Biodiversity Target, and the associated indicator for IAS, has stimulated globally coordinated efforts to quantify patterns in the extent of biological invasion, its impact on biodiversity and policy responses. Here, we report on the outcome of indicators of alien invasion at a global scale. Location Global. Methods We developed four indicators in a pressure-state-response framework, i.e. number of documented IAS (pressure), trends in the impact of IAS on biodiversity (state) and trends in international agreements and national policy adoption relevant to reducing IAS threats to biodiversity (response). These measures were considered best suited to providing globally representative, standardized and sustainable indicators by 2010. Results We show that the number of documented IAS is a significant underestimate, because its value is negatively affected by country development status and positively by research effort and information availability. The Red List Index demonstrates that IAS pressure is driving declines in species diversity, with the overall impact apparently increasing. The policy response trend has nonetheless been positive for the last several decades, although only half of countries that are signatory to the Convention on Biological Diversity (CBD) have IAS-relevant national legislation. Although IAS pressure has apparently driven the policy response, this has clearly not been sufficient and/or adequately implemented to reduce biodiversity impact. Main conclusions For this indicator of threat to biodiversity, the 2010 Biodiversity Target has thus not been achieved. The results nonetheless provide clear direction for bridging the current divide between information available on IAS and that needed for policy and management for the prevention and control of IAS. It further highlights the need for measures to ensure that policy is effectively implemented, such that it translates into reduced IAS pressure and impact on biodiversity beyond 2010.","container-title":"Diversity and Distributions","DOI":"10.1111/j.1472-4642.2009.00633.x","ISSN":"1472-4642","issue":"1","language":"en","license":"© 2010 Blackwell Publishing Ltd","page":"95-108","source":"Wiley Online Library","title":"Global indicators of biological invasion: species numbers, biodiversity impact and policy responses","title-short":"Global indicators of biological invasion","URL":"https://doi.org/10.1111/j.1472-4642.2009.00633.x","volume":"16","author":[{"family":"McGeoch","given":"Melodie A."},{"family":"Butchart","given":"Stuart H. M."},{"family":"Spear","given":"Dian"},{"family":"Marais","given":"Elrike"},{"family":"Kleynhans","given":"Elizabeth J."},{"family":"Symes","given":"Andy"},{"family":"Chanson","given":"Janice"},{"family":"Hoffmann","given":"Michael"}],"accessed":{"date-parts":[["2019",4,16]]},"issued":{"date-parts":[["2010"]]}},"label":"page"}],"schema":"https://github.com/citation-style-language/schema/raw/master/csl-citation.json"} </w:instrText>
      </w:r>
      <w:r w:rsidR="00383764" w:rsidRPr="00837161">
        <w:rPr>
          <w:lang w:eastAsia="en-ZA"/>
        </w:rPr>
        <w:fldChar w:fldCharType="separate"/>
      </w:r>
      <w:r w:rsidR="00271B78" w:rsidRPr="00271B78">
        <w:t>(McGeoch et al., 2010)</w:t>
      </w:r>
      <w:r w:rsidR="00383764" w:rsidRPr="00837161">
        <w:rPr>
          <w:lang w:eastAsia="en-ZA"/>
        </w:rPr>
        <w:fldChar w:fldCharType="end"/>
      </w:r>
      <w:r w:rsidR="430490D0" w:rsidRPr="00837161">
        <w:rPr>
          <w:lang w:eastAsia="en-ZA"/>
        </w:rPr>
        <w:t>.</w:t>
      </w:r>
      <w:r w:rsidRPr="00C0338D">
        <w:t xml:space="preserve"> This may also be due to the gaps in capacity and capability (i.e., expertise and experience) between developed and developing countries in management</w:t>
      </w:r>
      <w:r w:rsidR="0FA2A2BB">
        <w:t xml:space="preserve"> of biological invasions</w:t>
      </w:r>
      <w:r w:rsidR="5A7C5823" w:rsidRPr="00C0338D">
        <w:t>.</w:t>
      </w:r>
      <w:r w:rsidRPr="00C0338D">
        <w:t xml:space="preserve"> Technologically advanced countries may provide strategies and solutions through aid programmes to developing </w:t>
      </w:r>
      <w:r w:rsidR="00474607" w:rsidRPr="00C0338D">
        <w:t>countries</w:t>
      </w:r>
      <w:r w:rsidR="00474607">
        <w:t>,</w:t>
      </w:r>
      <w:r w:rsidRPr="00C0338D">
        <w:t xml:space="preserve"> but aid programmes rarely have the long-term support to ensure systemic adoption </w:t>
      </w:r>
      <w:r w:rsidR="00383764" w:rsidRPr="00837161">
        <w:rPr>
          <w:lang w:eastAsia="en-ZA"/>
        </w:rPr>
        <w:fldChar w:fldCharType="begin"/>
      </w:r>
      <w:r w:rsidR="000F35EB">
        <w:rPr>
          <w:lang w:eastAsia="en-ZA"/>
        </w:rPr>
        <w:instrText xml:space="preserve"> ADDIN ZOTERO_ITEM CSL_CITATION {"citationID":"ZKObAmyq","properties":{"formattedCitation":"(Boy &amp; Witt, 2013)","plainCitation":"(Boy &amp; Witt, 2013)","noteIndex":0},"citationItems":[{"id":11580,"uris":["http://zotero.org/groups/2352922/items/2XVNTL2D"],"itemData":{"id":11580,"type":"book","event-place":"CABI Africa, Nairobi, Kenya","ISBN":"978 1 78064 408 0","number-of-pages":"184","publisher":"UNEP/GEF Removing Barriers to Invasive Plant Management Project International Coordination Unit","publisher-place":"CABI Africa, Nairobi, Kenya","title":"Invasive alien plants and their management in Africa","URL":"https://www.cabi.org/Uploads/CABI/publishing/promotional-materials/african-invasives-book.pdf","author":[{"family":"Boy","given":"Gordon"},{"family":"Witt","given":"Arne"}],"accessed":{"date-parts":[["2020",7,28]]},"issued":{"date-parts":[["2013"]]}},"label":"page"}],"schema":"https://github.com/citation-style-language/schema/raw/master/csl-citation.json"} </w:instrText>
      </w:r>
      <w:r w:rsidR="00383764" w:rsidRPr="00837161">
        <w:rPr>
          <w:lang w:eastAsia="en-ZA"/>
        </w:rPr>
        <w:fldChar w:fldCharType="separate"/>
      </w:r>
      <w:r w:rsidR="00271B78" w:rsidRPr="00271B78">
        <w:t>(Boy &amp; Witt, 2013)</w:t>
      </w:r>
      <w:r w:rsidR="00383764" w:rsidRPr="00837161">
        <w:rPr>
          <w:lang w:eastAsia="en-ZA"/>
        </w:rPr>
        <w:fldChar w:fldCharType="end"/>
      </w:r>
      <w:r w:rsidRPr="00C0338D">
        <w:t xml:space="preserve"> and generally fail when development of local expertise is not supported, not adequately co-designed, institutionalized and resourced. This creates a huge impediment for the adoption of the many effective tools and technologies currently available (</w:t>
      </w:r>
      <w:r w:rsidRPr="00C0338D">
        <w:rPr>
          <w:b/>
        </w:rPr>
        <w:t>section 5.4</w:t>
      </w:r>
      <w:r w:rsidRPr="00C0338D">
        <w:t>) as many regions are unable to utilize them. Local communit</w:t>
      </w:r>
      <w:r w:rsidR="007B4368">
        <w:t>ies’</w:t>
      </w:r>
      <w:r w:rsidRPr="00C0338D">
        <w:t xml:space="preserve"> distrust of unfamiliar techniques is also one of the impediments for adoption (</w:t>
      </w:r>
      <w:r w:rsidRPr="00C0338D">
        <w:rPr>
          <w:b/>
        </w:rPr>
        <w:t>sections 5.4</w:t>
      </w:r>
      <w:r w:rsidRPr="00C0338D">
        <w:t>,</w:t>
      </w:r>
      <w:r w:rsidRPr="00C0338D">
        <w:rPr>
          <w:b/>
        </w:rPr>
        <w:t xml:space="preserve"> 5.5</w:t>
      </w:r>
      <w:r w:rsidRPr="00C0338D">
        <w:t>). For monitoring, lack of resources or skills precludes adopting many advances in technology such as environmental DNA, remote sensing, or the use of unmanned aerial vehicles for invasive alien species detection (</w:t>
      </w:r>
      <w:r w:rsidRPr="00C0338D">
        <w:rPr>
          <w:b/>
        </w:rPr>
        <w:t>section 5.4.3.1</w:t>
      </w:r>
      <w:r w:rsidRPr="00C0338D">
        <w:t xml:space="preserve">). Technological solutions need to be set in the local context encouraging local communities to adopt them in a manner applicable to their conditions, experience and resourcing. Adoption of autonomous technological solutions in developing countries has been effective in other sectors (e.g., </w:t>
      </w:r>
      <w:hyperlink r:id="rId121">
        <w:r w:rsidR="430490D0" w:rsidRPr="00837161">
          <w:rPr>
            <w:lang w:eastAsia="en-ZA"/>
          </w:rPr>
          <w:t>vaccine delivery in Ghana</w:t>
        </w:r>
      </w:hyperlink>
      <w:r w:rsidR="430490D0" w:rsidRPr="00837161">
        <w:rPr>
          <w:lang w:eastAsia="en-ZA"/>
        </w:rPr>
        <w:t>).</w:t>
      </w:r>
      <w:r w:rsidRPr="00C0338D">
        <w:t xml:space="preserve"> In many regions, the use of pesticides is disallowed due to lack of regulations and for fear of non-target effects. For weeding in agricultural areas, which frequently includes invasive alien plants, this leaves manual removal as the only option. In Africa and the Asia-Pacific region </w:t>
      </w:r>
      <w:r w:rsidR="007B4368">
        <w:t>manual removal</w:t>
      </w:r>
      <w:r w:rsidR="007B4368" w:rsidRPr="00C0338D">
        <w:t xml:space="preserve"> </w:t>
      </w:r>
      <w:r w:rsidRPr="00C0338D">
        <w:t xml:space="preserve">is the most time consuming and costly activity for local farming communities </w:t>
      </w:r>
      <w:r w:rsidR="00383764" w:rsidRPr="00837161">
        <w:rPr>
          <w:lang w:eastAsia="en-ZA"/>
        </w:rPr>
        <w:fldChar w:fldCharType="begin"/>
      </w:r>
      <w:r w:rsidR="00A4003D">
        <w:rPr>
          <w:lang w:eastAsia="en-ZA"/>
        </w:rPr>
        <w:instrText xml:space="preserve"> ADDIN ZOTERO_ITEM CSL_CITATION {"citationID":"AvbVvCF4","properties":{"formattedCitation":"(Day, Kawi, Tunabuna, et al., 2011; FAO, 2006; Muraleedharan &amp; Anitha, 2000; Sims et al., 2012)","plainCitation":"(Day, Kawi, Tunabuna, et al., 2011; FAO, 2006; Muraleedharan &amp; Anitha, 2000; Sims et al., 2012)","noteIndex":0},"citationItems":[{"id":53158,"uris":["http://zotero.org/groups/2352922/items/XQXMDDWY"],"itemData":{"id":53158,"type":"paper-conference","container-title":"Proceedings of the 23rd Asian-Pacific Weed Science Society Conference. Asian-Pacific Weed Science Society","event-title":"23rd Asian-Pacific Weed Science Society Conference","ISBN":"978-0-9871961-0-1","page":"146-153","publisher":"Cairns Australia","title":"The distribution and socio-economic impacts of &lt;i&gt;Mikania micrantha&lt;/i&gt; (Asteraceae) in Papua New Guinea and Fiji and prospects for its biocontrol","URL":"https://researchoutput.csu.edu.au/files/9704340/29497_Weston_23rd%20APWSS%20Conference%20Proceedings%20Vol%201.pdf","volume":"1","author":[{"family":"Day","given":"Michael D."},{"family":"Kawi","given":"A."},{"family":"Tunabuna","given":"A."},{"family":"Fidelis","given":"J."},{"family":"Swamy","given":"B."},{"family":"Ratutuni","given":"J."},{"family":"Saul-Maora","given":"J."},{"family":"Dewhurst","given":"C. F."},{"family":"Orapa","given":"W."}],"issued":{"date-parts":[["2011"]]}},"label":"page"},{"id":53156,"uris":["http://zotero.org/groups/2352922/items/2N3TC2M6"],"itemData":{"id":53156,"type":"document","publisher":"FAO","title":"Recommendations for improved weed management","URL":"https://www.fao.org/3/a0884e/a0884e00.pdf","author":[{"literal":"FAO"}],"issued":{"date-parts":[["2006"]]}},"label":"page"},{"id":53157,"uris":["http://zotero.org/groups/2352922/items/ZAASF2LS"],"itemData":{"id":53157,"type":"article-journal","container-title":"Indian Journal of Forestry","issue":"3","note":"ISBN: 0971-9431\npublisher: Indian Journal of Forestry","page":"248-251","title":"The economic impact of &lt;i&gt;Mikania micrantha&lt;/i&gt; on teak plantations in Kerala.","volume":"23","author":[{"family":"Muraleedharan","given":"P. K."},{"family":"Anitha","given":"V."}],"issued":{"date-parts":[["2000"]]}},"label":"page"},{"id":31540,"uris":["http://zotero.org/groups/2352922/items/H8V7BVLG"],"itemData":{"id":31540,"type":"article-journal","container-title":"Applied Engineering in Agriculture","DOI":"10.13031/2013.42472","ISSN":"1943-7838","issue":"6","language":"en","page":"813-823","source":"DOI.org (Crossref)","title":"Development of the Conservation Agriculture Equipment Industry in Sub-Saharan Africa","URL":"http://elibrary.asabe.org/abstract.asp??JID=3&amp;AID=42472&amp;CID=aeaj2012&amp;v=28&amp;i=6&amp;T=1","volume":"28","author":[{"family":"Sims","given":"B. G."},{"family":"Thierfelder","given":"C."},{"family":"Kienzle","given":"J."},{"family":"Friedrich","given":"T."},{"family":"Kassam","given":"A."}],"accessed":{"date-parts":[["2021",11,22]]},"issued":{"date-parts":[["2012"]]}},"label":"page"}],"schema":"https://github.com/citation-style-language/schema/raw/master/csl-citation.json"} </w:instrText>
      </w:r>
      <w:r w:rsidR="00383764" w:rsidRPr="00837161">
        <w:rPr>
          <w:lang w:eastAsia="en-ZA"/>
        </w:rPr>
        <w:fldChar w:fldCharType="separate"/>
      </w:r>
      <w:r w:rsidR="00A4003D" w:rsidRPr="00A4003D">
        <w:t>(Day, Kawi, Tunabuna, et al., 2011; FAO, 2006; Muraleedharan &amp; Anitha, 2000; Sims et al., 2012)</w:t>
      </w:r>
      <w:r w:rsidR="00383764" w:rsidRPr="00837161">
        <w:rPr>
          <w:lang w:eastAsia="en-ZA"/>
        </w:rPr>
        <w:fldChar w:fldCharType="end"/>
      </w:r>
      <w:r w:rsidR="00FE3F04" w:rsidRPr="00837161">
        <w:rPr>
          <w:lang w:eastAsia="en-ZA"/>
        </w:rPr>
        <w:t>.</w:t>
      </w:r>
      <w:r w:rsidRPr="00C0338D">
        <w:t xml:space="preserve"> In such cases, the use of classical biological control may provide long-term solutions, however aversion to such techniques needs to be overcome </w:t>
      </w:r>
      <w:r w:rsidR="00383764" w:rsidRPr="00837161">
        <w:rPr>
          <w:lang w:eastAsia="en-ZA"/>
        </w:rPr>
        <w:fldChar w:fldCharType="begin"/>
      </w:r>
      <w:r w:rsidR="000F35EB">
        <w:rPr>
          <w:lang w:eastAsia="en-ZA"/>
        </w:rPr>
        <w:instrText xml:space="preserve"> ADDIN ZOTERO_ITEM CSL_CITATION {"citationID":"9gMx4tks","properties":{"formattedCitation":"(Boy &amp; Witt, 2013)","plainCitation":"(Boy &amp; Witt, 2013)","noteIndex":0},"citationItems":[{"id":11580,"uris":["http://zotero.org/groups/2352922/items/2XVNTL2D"],"itemData":{"id":11580,"type":"book","event-place":"CABI Africa, Nairobi, Kenya","ISBN":"978 1 78064 408 0","number-of-pages":"184","publisher":"UNEP/GEF Removing Barriers to Invasive Plant Management Project International Coordination Unit","publisher-place":"CABI Africa, Nairobi, Kenya","title":"Invasive alien plants and their management in Africa","URL":"https://www.cabi.org/Uploads/CABI/publishing/promotional-materials/african-invasives-book.pdf","author":[{"family":"Boy","given":"Gordon"},{"family":"Witt","given":"Arne"}],"accessed":{"date-parts":[["2020",7,28]]},"issued":{"date-parts":[["2013"]]}},"label":"page"}],"schema":"https://github.com/citation-style-language/schema/raw/master/csl-citation.json"} </w:instrText>
      </w:r>
      <w:r w:rsidR="00383764" w:rsidRPr="00837161">
        <w:rPr>
          <w:lang w:eastAsia="en-ZA"/>
        </w:rPr>
        <w:fldChar w:fldCharType="separate"/>
      </w:r>
      <w:r w:rsidR="00271B78" w:rsidRPr="00271B78">
        <w:t>(Boy &amp; Witt, 2013)</w:t>
      </w:r>
      <w:r w:rsidR="00383764" w:rsidRPr="00837161">
        <w:rPr>
          <w:lang w:eastAsia="en-ZA"/>
        </w:rPr>
        <w:fldChar w:fldCharType="end"/>
      </w:r>
      <w:r w:rsidR="430490D0" w:rsidRPr="00837161">
        <w:rPr>
          <w:lang w:eastAsia="en-ZA"/>
        </w:rPr>
        <w:t>.</w:t>
      </w:r>
      <w:r w:rsidRPr="00C0338D">
        <w:t xml:space="preserve"> Sharing of technological expertise to manage </w:t>
      </w:r>
      <w:r w:rsidR="7F3DF1B8">
        <w:t>biological invasions</w:t>
      </w:r>
      <w:r w:rsidRPr="00C0338D">
        <w:t xml:space="preserve"> can be achieved with international cooperation and by building long-term relationships </w:t>
      </w:r>
      <w:r w:rsidR="00383764" w:rsidRPr="00837161">
        <w:rPr>
          <w:lang w:eastAsia="en-ZA"/>
        </w:rPr>
        <w:fldChar w:fldCharType="begin"/>
      </w:r>
      <w:r w:rsidR="000F35EB">
        <w:rPr>
          <w:lang w:eastAsia="en-ZA"/>
        </w:rPr>
        <w:instrText xml:space="preserve"> ADDIN ZOTERO_ITEM CSL_CITATION {"citationID":"n7kVnJuL","properties":{"formattedCitation":"(Hulme, 2020b)","plainCitation":"(Hulme, 2020b)","dontUpdate":true,"noteIndex":0},"citationItems":[{"id":56418,"uris":["http://zotero.org/groups/2352922/items/22XLFGB4","http://zotero.org/groups/2352922/items/CFXAKMXQ"],"itemData":{"id":56418,"type":"article-journal","abstract":"In the wake of the SARS-CoV-2 pandemic, the world has woken up to the importance of biosecurity and the need to manage international borders. Yet strong sectorial identities exist within biosecurity that are associated with specific international standards, individual economic interests, specific research communities, and unique stakeholder involvement. Despite considerable research addressing human, animal, plant, and environmental health, the science connections between these sectors remain quite limited. One Biosecurity aims to address these limitations at global, national, and local scales. It is an interdisciplinary approach to biosecurity policy and research that builds on the interconnections between human, animal, plant, and environmental health to effectively prevent and mitigate the impacts of invasive alien species. It provides an integrated perspective to address the many biosecurity risks that transcend the traditional boundaries of health, agriculture, and the environment. Individual invasive alien plant and animal species often have multiple impacts across sectors: as hosts of zoonotic parasites, vectors of pathogens, pests of agriculture or forestry, as well as threats to biodiversity and ecosystem function. It is time these risks were addressed in a systematic way. One Biosecurity is essential to address several major sociological and environmental challenges to biosecurity: climate change, increasing urbanisation, agricultural intensification, human global mobility, loss of technical capability as well as public resistance to pesticides and vaccines. One Biosecurity will require the bringing together of taxonomists, population biologists, modellers, economists, chemists, engineers, and social scientists to engage in a new agenda that is shaped by politics, legislation, and public perceptions.","container-title":"Emerging Topics in Life Sciences","DOI":"10.1042/ETLS20200067","ISSN":"2397-8554, 2397-8562","issue":"5","language":"en","page":"539-549","source":"DOI.org (Crossref)","title":"One Biosecurity: a unified concept to integrate human, animal, plant, and environmental health","title-short":"One Biosecurity","URL":"https://portlandpress.com/emergtoplifesci/article/4/5/539/226789/One-Biosecurity-a-unified-concept-to-integrate","volume":"4","editor":[{"family":"MacLeod","given":"Alan"},{"family":"Spence","given":"Nicola"}],"author":[{"family":"Hulme","given":"Philip E."}],"accessed":{"date-parts":[["2023",6,8]]},"issued":{"date-parts":[["2020",12,15]]}},"label":"page"}],"schema":"https://github.com/citation-style-language/schema/raw/master/csl-citation.json"} </w:instrText>
      </w:r>
      <w:r w:rsidR="00383764" w:rsidRPr="00837161">
        <w:rPr>
          <w:lang w:eastAsia="en-ZA"/>
        </w:rPr>
        <w:fldChar w:fldCharType="separate"/>
      </w:r>
      <w:r w:rsidR="00A06997" w:rsidRPr="00837161">
        <w:t>(Hulme, 2020b</w:t>
      </w:r>
      <w:r w:rsidR="00383764" w:rsidRPr="00837161">
        <w:rPr>
          <w:lang w:eastAsia="en-ZA"/>
        </w:rPr>
        <w:fldChar w:fldCharType="end"/>
      </w:r>
      <w:r w:rsidR="001C0274" w:rsidRPr="00837161">
        <w:rPr>
          <w:lang w:eastAsia="en-ZA"/>
        </w:rPr>
        <w:t>;</w:t>
      </w:r>
      <w:r w:rsidRPr="00C0338D">
        <w:t xml:space="preserve"> </w:t>
      </w:r>
      <w:r w:rsidRPr="00C0338D">
        <w:rPr>
          <w:b/>
        </w:rPr>
        <w:t>section 5.6</w:t>
      </w:r>
      <w:r w:rsidRPr="00C0338D">
        <w:t>;</w:t>
      </w:r>
      <w:r w:rsidRPr="00C0338D">
        <w:rPr>
          <w:b/>
        </w:rPr>
        <w:t xml:space="preserve"> Chapter 6</w:t>
      </w:r>
      <w:r w:rsidRPr="00C0338D">
        <w:t xml:space="preserve">, </w:t>
      </w:r>
      <w:r w:rsidRPr="00C0338D">
        <w:rPr>
          <w:b/>
        </w:rPr>
        <w:t>sections 6.3.1</w:t>
      </w:r>
      <w:r w:rsidRPr="00C0338D">
        <w:t>,</w:t>
      </w:r>
      <w:r w:rsidRPr="00C0338D">
        <w:rPr>
          <w:b/>
        </w:rPr>
        <w:t xml:space="preserve"> 6.6.2.2</w:t>
      </w:r>
      <w:r w:rsidRPr="00C0338D">
        <w:t xml:space="preserve">). </w:t>
      </w:r>
    </w:p>
    <w:p w14:paraId="000007F3" w14:textId="77777777" w:rsidR="00A758FD" w:rsidRPr="00AC1F76" w:rsidRDefault="00C81287" w:rsidP="002F2F42">
      <w:pPr>
        <w:pStyle w:val="Heading3"/>
      </w:pPr>
      <w:bookmarkStart w:id="674" w:name="_heading=h.1zpvhna" w:colFirst="0" w:colLast="0"/>
      <w:bookmarkStart w:id="675" w:name="_Toc69314043"/>
      <w:bookmarkStart w:id="676" w:name="_Toc87623180"/>
      <w:bookmarkStart w:id="677" w:name="_Toc131681676"/>
      <w:bookmarkEnd w:id="674"/>
      <w:r w:rsidRPr="00AC1F76">
        <w:t>Applying adaptive management under uncertainty</w:t>
      </w:r>
      <w:bookmarkEnd w:id="675"/>
      <w:bookmarkEnd w:id="676"/>
      <w:bookmarkEnd w:id="677"/>
    </w:p>
    <w:p w14:paraId="4B972E59" w14:textId="27DFB09E" w:rsidR="00344D2F" w:rsidRPr="00837161" w:rsidRDefault="00383764" w:rsidP="00344D2F">
      <w:pPr>
        <w:spacing w:before="240" w:after="120" w:line="240" w:lineRule="auto"/>
      </w:pPr>
      <w:bookmarkStart w:id="678" w:name="_heading=h.4jpj0b3" w:colFirst="0" w:colLast="0"/>
      <w:bookmarkStart w:id="679" w:name="_Toc69314045"/>
      <w:bookmarkEnd w:id="678"/>
      <w:bookmarkEnd w:id="679"/>
      <w:r w:rsidRPr="00837161">
        <w:rPr>
          <w:lang w:eastAsia="en-ZA"/>
        </w:rPr>
        <w:t xml:space="preserve">Adaptive management is a key approach in </w:t>
      </w:r>
      <w:r w:rsidR="002F2F42">
        <w:t>management of biological invasions</w:t>
      </w:r>
      <w:r w:rsidR="002F2F42" w:rsidRPr="00837161">
        <w:rPr>
          <w:lang w:eastAsia="en-ZA"/>
        </w:rPr>
        <w:t xml:space="preserve"> </w:t>
      </w:r>
      <w:r w:rsidRPr="00837161">
        <w:rPr>
          <w:lang w:eastAsia="en-ZA"/>
        </w:rPr>
        <w:fldChar w:fldCharType="begin"/>
      </w:r>
      <w:r w:rsidR="000F35EB">
        <w:rPr>
          <w:lang w:eastAsia="en-ZA"/>
        </w:rPr>
        <w:instrText xml:space="preserve"> ADDIN ZOTERO_ITEM CSL_CITATION {"citationID":"WHAdbdm8","properties":{"formattedCitation":"(Foxcroft &amp; McGeoch, 2011; Zalba &amp; Ziller, 2007)","plainCitation":"(Foxcroft &amp; McGeoch, 2011; Zalba &amp; Ziller, 2007)","noteIndex":0},"citationItems":[{"id":30573,"uris":["http://zotero.org/groups/2352922/items/85PNTEE7"],"itemData":{"id":30573,"type":"article-journal","abstract":"Adaptive management theory has attracted substantial interest in recent years, in natural resource management in general and also for invasive alien species management. However, whilst many theoretical and conceptual advances have been made, documented cases of practical applications are rare. Coupling invasive species management components with adaptive feedback processes is not without challenges, requiring a substantial change in the thinking and practice of all those involved. Drawing on a decade of experience in South African National Parks, we suggest an approach to implementing adaptive management for controlling invasive alien species. Whilst efforts have been made to advance components of the overall management strategy, the absence of a framework for decision making and feedback mechanisms, inflexibility in the system and shortcomings in the governance structure are all identified as barriers to learning and knowledge integration for the purposes of effective invasive alien species management. The framework provided here, encompassing documents, committees and processes, is aimed at addressing these shortcomings. Conservation implication: Adaptive management theory offers a robust tool for managing inherently complex systems. Its practical application, however, requires distilling the theory into useable functions. We offer a framework to advance implementation of strategic adaptive management for the control of invasive alien species using experiences gained from South African National Parks.","container-title":"Koedoe : African Protected Area Conservation and Science","DOI":"10.10520/EJC132237","issue":"2","note":"publisher: AOSIS","page":"1-11","source":"journals.co.za (Atypon)","title":"Implementing invasive species management in an adaptive management framework","URL":"https://journals.co.za/doi/abs/10.10520/EJC132237","volume":"53","author":[{"family":"Foxcroft","given":"Llewellyn C."},{"family":"McGeoch","given":"Melodie"}],"accessed":{"date-parts":[["2021",8,23]]},"issued":{"date-parts":[["2011",1,1]]}},"label":"page"},{"id":30486,"uris":["http://zotero.org/groups/2352922/items/33GY2JXZ"],"itemData":{"id":30486,"type":"article-journal","abstract":"Even though often based on scarce information, many actions due to conservation of biodiversity need to be carried out as matters of urgency. In the case of biological invasions, this is a common situation, as the real possibilities for controlling an invasive alien species are significantly reduced as it establishes and spreads over natural ecosystems. Adaptive management, that is, management...","container-title":"Natureza &amp; Conservação","ISSN":"1679-0073","issue":"2","language":"en","note":"publisher: Fundação O Boticário de Proteção à Natureza","page":"86-92","source":"www.cabdirect.org","title":"Adaptive management of alien invasive species: putting the theory into practice.","title-short":"Adaptive management of alien invasive species","URL":"https://www.cabdirect.org/cabdirect/abstract/20073250023","volume":"5","author":[{"family":"Zalba","given":"S."},{"family":"Ziller","given":"S. R."}],"accessed":{"date-parts":[["2021",8,23]]},"issued":{"date-parts":[["2007"]]}},"label":"page"}],"schema":"https://github.com/citation-style-language/schema/raw/master/csl-citation.json"} </w:instrText>
      </w:r>
      <w:r w:rsidRPr="00837161">
        <w:rPr>
          <w:lang w:eastAsia="en-ZA"/>
        </w:rPr>
        <w:fldChar w:fldCharType="separate"/>
      </w:r>
      <w:r w:rsidR="00271B78" w:rsidRPr="00271B78">
        <w:t>(Foxcroft &amp; McGeoch, 2011; Zalba &amp; Ziller, 2007)</w:t>
      </w:r>
      <w:r w:rsidRPr="00837161">
        <w:rPr>
          <w:lang w:eastAsia="en-ZA"/>
        </w:rPr>
        <w:fldChar w:fldCharType="end"/>
      </w:r>
      <w:r w:rsidRPr="00837161">
        <w:rPr>
          <w:lang w:eastAsia="en-ZA"/>
        </w:rPr>
        <w:t xml:space="preserve">, assisting decision-making in management where there are data and knowledge gaps </w:t>
      </w:r>
      <w:r w:rsidR="00197924" w:rsidRPr="00837161">
        <w:rPr>
          <w:lang w:eastAsia="en-ZA"/>
        </w:rPr>
        <w:t>(</w:t>
      </w:r>
      <w:r w:rsidR="0040026F">
        <w:rPr>
          <w:b/>
          <w:iCs/>
          <w:lang w:eastAsia="en-ZA"/>
        </w:rPr>
        <w:t>C</w:t>
      </w:r>
      <w:r w:rsidRPr="0040026F">
        <w:rPr>
          <w:b/>
          <w:iCs/>
          <w:lang w:eastAsia="en-ZA"/>
        </w:rPr>
        <w:t>hapter 6</w:t>
      </w:r>
      <w:r w:rsidRPr="0040026F">
        <w:rPr>
          <w:iCs/>
          <w:lang w:eastAsia="en-ZA"/>
        </w:rPr>
        <w:t>,</w:t>
      </w:r>
      <w:r w:rsidRPr="0040026F">
        <w:rPr>
          <w:b/>
          <w:iCs/>
          <w:lang w:eastAsia="en-ZA"/>
        </w:rPr>
        <w:t xml:space="preserve"> section 6.6</w:t>
      </w:r>
      <w:r w:rsidRPr="0040026F">
        <w:rPr>
          <w:iCs/>
          <w:lang w:eastAsia="en-ZA"/>
        </w:rPr>
        <w:t xml:space="preserve">, </w:t>
      </w:r>
      <w:r w:rsidRPr="0040026F">
        <w:rPr>
          <w:b/>
          <w:iCs/>
          <w:lang w:eastAsia="en-ZA"/>
        </w:rPr>
        <w:t>Figure 6.</w:t>
      </w:r>
      <w:r w:rsidR="00FC584D" w:rsidRPr="0040026F">
        <w:rPr>
          <w:b/>
          <w:iCs/>
          <w:lang w:eastAsia="en-ZA"/>
        </w:rPr>
        <w:t>20</w:t>
      </w:r>
      <w:r w:rsidRPr="00837161">
        <w:rPr>
          <w:lang w:eastAsia="en-ZA"/>
        </w:rPr>
        <w:t xml:space="preserve">). This is usually the case when resources are </w:t>
      </w:r>
      <w:r w:rsidR="00DF69A1" w:rsidRPr="00837161">
        <w:rPr>
          <w:lang w:eastAsia="en-ZA"/>
        </w:rPr>
        <w:t>limited,</w:t>
      </w:r>
      <w:r w:rsidRPr="00837161">
        <w:rPr>
          <w:lang w:eastAsia="en-ZA"/>
        </w:rPr>
        <w:t xml:space="preserve"> and the management system is socially and ecologically complex </w:t>
      </w:r>
      <w:r w:rsidR="00197924" w:rsidRPr="00837161">
        <w:rPr>
          <w:lang w:eastAsia="en-ZA"/>
        </w:rPr>
        <w:t>(</w:t>
      </w:r>
      <w:r w:rsidRPr="0040026F">
        <w:rPr>
          <w:b/>
          <w:iCs/>
          <w:lang w:eastAsia="en-ZA"/>
        </w:rPr>
        <w:t>sections 5.4</w:t>
      </w:r>
      <w:r w:rsidRPr="0040026F">
        <w:rPr>
          <w:iCs/>
          <w:lang w:eastAsia="en-ZA"/>
        </w:rPr>
        <w:t>,</w:t>
      </w:r>
      <w:r w:rsidRPr="0040026F">
        <w:rPr>
          <w:b/>
          <w:iCs/>
          <w:lang w:eastAsia="en-ZA"/>
        </w:rPr>
        <w:t xml:space="preserve"> 5.5</w:t>
      </w:r>
      <w:r w:rsidRPr="00837161">
        <w:rPr>
          <w:lang w:eastAsia="en-ZA"/>
        </w:rPr>
        <w:t xml:space="preserve">). </w:t>
      </w:r>
      <w:r w:rsidR="007B4368">
        <w:rPr>
          <w:lang w:eastAsia="en-ZA"/>
        </w:rPr>
        <w:t>U</w:t>
      </w:r>
      <w:r w:rsidRPr="00837161">
        <w:rPr>
          <w:lang w:eastAsia="en-ZA"/>
        </w:rPr>
        <w:t xml:space="preserve">ncertainty </w:t>
      </w:r>
      <w:r w:rsidR="007B4368">
        <w:rPr>
          <w:lang w:eastAsia="en-ZA"/>
        </w:rPr>
        <w:t xml:space="preserve">often </w:t>
      </w:r>
      <w:r w:rsidRPr="00837161">
        <w:rPr>
          <w:lang w:eastAsia="en-ZA"/>
        </w:rPr>
        <w:t xml:space="preserve">leads to the tendency of inaction and delaying management actions for want of complete information </w:t>
      </w:r>
      <w:r w:rsidRPr="00837161">
        <w:rPr>
          <w:lang w:eastAsia="en-ZA"/>
        </w:rPr>
        <w:fldChar w:fldCharType="begin"/>
      </w:r>
      <w:r w:rsidR="000F35EB">
        <w:rPr>
          <w:lang w:eastAsia="en-ZA"/>
        </w:rPr>
        <w:instrText xml:space="preserve"> ADDIN ZOTERO_ITEM CSL_CITATION {"citationID":"LEXiLGzE","properties":{"formattedCitation":"(Salafsky et al., 2001)","plainCitation":"(Salafsky et al., 2001)","noteIndex":0},"citationItems":[{"id":16117,"uris":["http://zotero.org/groups/2352922/items/UPV8VYBI"],"itemData":{"id":16117,"type":"report","event-place":"Washington, D.C.","publisher":"Biodiversity Support Program","publisher-place":"Washington, D.C.","title":"Adaptive management: A tool for conservation practitioners","URL":"http://hdl.handle.net/10919/67624","author":[{"family":"Salafsky","given":"Nick"},{"family":"Margoluis","given":"Michael"},{"family":"Redford","given":"Kent H"}],"issued":{"date-parts":[["2001"]]}},"label":"page"}],"schema":"https://github.com/citation-style-language/schema/raw/master/csl-citation.json"} </w:instrText>
      </w:r>
      <w:r w:rsidRPr="00837161">
        <w:rPr>
          <w:lang w:eastAsia="en-ZA"/>
        </w:rPr>
        <w:fldChar w:fldCharType="separate"/>
      </w:r>
      <w:r w:rsidR="00271B78" w:rsidRPr="00271B78">
        <w:t>(Salafsky et al., 2001)</w:t>
      </w:r>
      <w:r w:rsidRPr="00837161">
        <w:rPr>
          <w:lang w:eastAsia="en-ZA"/>
        </w:rPr>
        <w:fldChar w:fldCharType="end"/>
      </w:r>
      <w:r w:rsidRPr="00837161">
        <w:rPr>
          <w:lang w:eastAsia="en-ZA"/>
        </w:rPr>
        <w:t xml:space="preserve">, however, this needs to be compared to the consequences of inaction. In </w:t>
      </w:r>
      <w:r w:rsidR="002F2F42">
        <w:t>management of biological invasions,</w:t>
      </w:r>
      <w:r w:rsidRPr="00837161">
        <w:rPr>
          <w:lang w:eastAsia="en-ZA"/>
        </w:rPr>
        <w:t xml:space="preserve"> some decisions and actions need to be taken rapidly, for example, </w:t>
      </w:r>
      <w:r w:rsidR="007B4368">
        <w:rPr>
          <w:lang w:eastAsia="en-ZA"/>
        </w:rPr>
        <w:t xml:space="preserve">to manage a </w:t>
      </w:r>
      <w:r w:rsidRPr="00837161">
        <w:rPr>
          <w:lang w:eastAsia="en-ZA"/>
        </w:rPr>
        <w:t>pathway</w:t>
      </w:r>
      <w:r w:rsidR="007B4368">
        <w:rPr>
          <w:lang w:eastAsia="en-ZA"/>
        </w:rPr>
        <w:t xml:space="preserve"> </w:t>
      </w:r>
      <w:r w:rsidRPr="00837161">
        <w:rPr>
          <w:lang w:eastAsia="en-ZA"/>
        </w:rPr>
        <w:t>during an unexpected incursion</w:t>
      </w:r>
      <w:r w:rsidR="007B4368">
        <w:rPr>
          <w:lang w:eastAsia="en-ZA"/>
        </w:rPr>
        <w:t>,</w:t>
      </w:r>
      <w:r w:rsidRPr="00837161">
        <w:rPr>
          <w:lang w:eastAsia="en-ZA"/>
        </w:rPr>
        <w:t xml:space="preserve"> or to initiate species-</w:t>
      </w:r>
      <w:r w:rsidR="002F2F42">
        <w:rPr>
          <w:lang w:eastAsia="en-ZA"/>
        </w:rPr>
        <w:t xml:space="preserve">based </w:t>
      </w:r>
      <w:r w:rsidRPr="00837161">
        <w:rPr>
          <w:lang w:eastAsia="en-ZA"/>
        </w:rPr>
        <w:t xml:space="preserve">eradication while it is still feasible </w:t>
      </w:r>
      <w:r w:rsidRPr="00837161">
        <w:rPr>
          <w:lang w:eastAsia="en-ZA"/>
        </w:rPr>
        <w:fldChar w:fldCharType="begin"/>
      </w:r>
      <w:r w:rsidR="000F35EB">
        <w:rPr>
          <w:lang w:eastAsia="en-ZA"/>
        </w:rPr>
        <w:instrText xml:space="preserve"> ADDIN ZOTERO_ITEM CSL_CITATION {"citationID":"QUi5pYP8","properties":{"formattedCitation":"(S. Liu et al., 2011)","plainCitation":"(S. Liu et al., 2011)","noteIndex":0},"citationItems":[{"id":30560,"uris":["http://zotero.org/groups/2352922/items/QKXHQTGH"],"itemData":{"id":30560,"type":"article-journal","abstract":"The management of Invasive Alien Species (IAS) is stymied by complex social values and severe levels of uncertainty. However, these two challenges are often hidden in the conventional model of management by \"value-free\" analyses and probability-based estimates of risk. As a result, diverse social values and wide margins of error in risk assessment carry zero weights in the decision-making process, leaving IAS risk decisions to be made in the wake of political pressure and the crisis atmosphere of incursion. We propose to use a Deliberative Multi-Criteria Evaluation (DMCE) to incorporate multiple social values and profound uncertainty into decision-making processes. The DMCE process combines the advantages of conventional multi-criteria decision analysis methods with the benefits of stakeholder participation to provide an analytical structure to assess complex multi-dimensional objectives. It, therefore, offers an opportunity for diverse views to enter the decision-making process, and for the negotiation of consensus positions. The DMCE process can also function as a platform for risk communication in which scientists, stakeholders, and decision-makers can interact and discuss the uncertainty associated with biological invasions. We examine two case studies that demonstrate how DMCE provides scientific rigor and transparency in the decision-making process of invasion risk management. The first case regards pre-border priority ranking for potential invasive species and the second relates to selecting the most desirable policy option for managing a post-border invader. © 2011 Springer Science+Business Media B.V.","container-title":"Biological Invasions","DOI":"10.1007/s10530-011-0045-4","ISSN":"1387-3547, 1573-1464","issue":"10","journalAbbreviation":"Biol Invasions","language":"en","page":"2323-2337","source":"DOI.org (Crossref)","title":"Incorporating uncertainty and social values in managing invasive alien species: a deliberative multi-criteria evaluation approach","title-short":"Incorporating uncertainty and social values in managing invasive alien species","URL":"http://link.springer.com/10.1007/s10530-011-0045-4","volume":"13","author":[{"family":"Liu","given":"Shuang"},{"family":"Sheppard","given":"Andy"},{"family":"Kriticos","given":"Darren J."},{"family":"Cook","given":"David"}],"accessed":{"date-parts":[["2019",9,11]]},"issued":{"date-parts":[["2011",8,9]]}},"label":"page"}],"schema":"https://github.com/citation-style-language/schema/raw/master/csl-citation.json"} </w:instrText>
      </w:r>
      <w:r w:rsidRPr="00837161">
        <w:rPr>
          <w:lang w:eastAsia="en-ZA"/>
        </w:rPr>
        <w:fldChar w:fldCharType="separate"/>
      </w:r>
      <w:r w:rsidR="00271B78" w:rsidRPr="00271B78">
        <w:t>(S. Liu et al., 2011)</w:t>
      </w:r>
      <w:r w:rsidRPr="00837161">
        <w:rPr>
          <w:lang w:eastAsia="en-ZA"/>
        </w:rPr>
        <w:fldChar w:fldCharType="end"/>
      </w:r>
      <w:r w:rsidRPr="00837161">
        <w:rPr>
          <w:lang w:eastAsia="en-ZA"/>
        </w:rPr>
        <w:t xml:space="preserve">. Therefore, management decisions need to be made and actions implemented based on the best available knowledge </w:t>
      </w:r>
      <w:r w:rsidRPr="00837161">
        <w:rPr>
          <w:lang w:eastAsia="en-ZA"/>
        </w:rPr>
        <w:fldChar w:fldCharType="begin"/>
      </w:r>
      <w:r w:rsidR="000F35EB">
        <w:rPr>
          <w:lang w:eastAsia="en-ZA"/>
        </w:rPr>
        <w:instrText xml:space="preserve"> ADDIN ZOTERO_ITEM CSL_CITATION {"citationID":"cXlol9GS","properties":{"formattedCitation":"(Stohlgren &amp; Jarnevich, 2009)","plainCitation":"(Stohlgren &amp; Jarnevich, 2009)","noteIndex":0},"citationItems":[{"id":22887,"uris":["http://zotero.org/groups/2352922/items/WQZWK2IF"],"itemData":{"id":22887,"type":"chapter","collection-title":"Techniques in Ecology &amp; Conservation","container-title":"Invasive species management. A handbook of principles and techniques.","event-place":"New York","ISBN":"978-0-19-921633-8","page":"19-35","publisher":"Oxford University Press","publisher-place":"New York","title":"Risk assessment of invasive species","URL":"https://global.oup.com/academic/product/invasive-species-management-9780199216338?cc=jp&amp;lang=en&amp;","author":[{"family":"Stohlgren","given":"Thomas J"},{"family":"Jarnevich","given":"Catherine S."}],"editor":[{"family":"Clout","given":"Mick N."},{"family":"Williams","given":"Peter A."}],"issued":{"date-parts":[["2009"]]}},"label":"page"}],"schema":"https://github.com/citation-style-language/schema/raw/master/csl-citation.json"} </w:instrText>
      </w:r>
      <w:r w:rsidRPr="00837161">
        <w:rPr>
          <w:lang w:eastAsia="en-ZA"/>
        </w:rPr>
        <w:fldChar w:fldCharType="separate"/>
      </w:r>
      <w:r w:rsidR="00271B78" w:rsidRPr="00271B78">
        <w:t>(Stohlgren &amp; Jarnevich, 2009)</w:t>
      </w:r>
      <w:r w:rsidRPr="00837161">
        <w:rPr>
          <w:lang w:eastAsia="en-ZA"/>
        </w:rPr>
        <w:fldChar w:fldCharType="end"/>
      </w:r>
      <w:r w:rsidRPr="00837161">
        <w:rPr>
          <w:lang w:eastAsia="en-ZA"/>
        </w:rPr>
        <w:t xml:space="preserve">. Accurate information is a precondition for undertaking effective and timely management measures, including species identification, gained from field and literature surveys (e.g., </w:t>
      </w:r>
      <w:r w:rsidRPr="00837161">
        <w:rPr>
          <w:lang w:eastAsia="en-ZA"/>
        </w:rPr>
        <w:fldChar w:fldCharType="begin"/>
      </w:r>
      <w:r w:rsidR="000F35EB">
        <w:rPr>
          <w:lang w:eastAsia="en-ZA"/>
        </w:rPr>
        <w:instrText xml:space="preserve"> ADDIN ZOTERO_ITEM CSL_CITATION {"citationID":"elhkIHtj","properties":{"formattedCitation":"(Island Conservation, 2018)","plainCitation":"(Island Conservation, 2018)","dontUpdate":true,"noteIndex":0},"citationItems":[{"id":22873,"uris":["http://zotero.org/groups/2352922/items/ASCRKN6C"],"itemData":{"id":22873,"type":"report","event-place":"Washington, DC","number":"Contractor’s Report 2018-1.","publisher":"National Invasive Species Council Secretariat","publisher-place":"Washington, DC","title":"Data matters: informing the eradication of invasive species on islands: North America and the Arctic region.","URL":"https://www.doi.gov/sites/doi.gov/files/uploads/data_matters_island_conservation_report.pdf","author":[{"literal":"Island Conservation"}],"accessed":{"date-parts":[["2020",8,11]]},"issued":{"date-parts":[["2018"]]}},"label":"page"}],"schema":"https://github.com/citation-style-language/schema/raw/master/csl-citation.json"} </w:instrText>
      </w:r>
      <w:r w:rsidRPr="00837161">
        <w:rPr>
          <w:lang w:eastAsia="en-ZA"/>
        </w:rPr>
        <w:fldChar w:fldCharType="separate"/>
      </w:r>
      <w:r w:rsidR="00A06997" w:rsidRPr="00837161">
        <w:t>Island Conservation, 2018)</w:t>
      </w:r>
      <w:r w:rsidRPr="00837161">
        <w:rPr>
          <w:lang w:eastAsia="en-ZA"/>
        </w:rPr>
        <w:fldChar w:fldCharType="end"/>
      </w:r>
      <w:r w:rsidRPr="00837161">
        <w:rPr>
          <w:lang w:eastAsia="en-ZA"/>
        </w:rPr>
        <w:t xml:space="preserve">. Errors often lie across the scales and types of invasive alien species data with potentially serious consequences for prevention and management </w:t>
      </w:r>
      <w:r w:rsidRPr="00837161">
        <w:rPr>
          <w:lang w:eastAsia="en-ZA"/>
        </w:rPr>
        <w:fldChar w:fldCharType="begin"/>
      </w:r>
      <w:r w:rsidR="000F35EB">
        <w:rPr>
          <w:lang w:eastAsia="en-ZA"/>
        </w:rPr>
        <w:instrText xml:space="preserve"> ADDIN ZOTERO_ITEM CSL_CITATION {"citationID":"t4WBRRy1","properties":{"formattedCitation":"(McGeoch et al., 2012)","plainCitation":"(McGeoch et al., 2012)","noteIndex":0},"citationItems":[{"id":29287,"uris":["http://zotero.org/groups/2352922/items/I5I5N6GD"],"itemData":{"id":29287,"type":"article-journal","abstract":"Lists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J."},{"family":"Marais","given":"Elrike"}],"accessed":{"date-parts":[["2019",11,9]]},"issued":{"date-parts":[["2012",4]]}},"label":"page"}],"schema":"https://github.com/citation-style-language/schema/raw/master/csl-citation.json"} </w:instrText>
      </w:r>
      <w:r w:rsidRPr="00837161">
        <w:rPr>
          <w:lang w:eastAsia="en-ZA"/>
        </w:rPr>
        <w:fldChar w:fldCharType="separate"/>
      </w:r>
      <w:r w:rsidR="00271B78" w:rsidRPr="00271B78">
        <w:t>(McGeoch et al., 2012)</w:t>
      </w:r>
      <w:r w:rsidRPr="00837161">
        <w:rPr>
          <w:lang w:eastAsia="en-ZA"/>
        </w:rPr>
        <w:fldChar w:fldCharType="end"/>
      </w:r>
      <w:r w:rsidRPr="00837161">
        <w:rPr>
          <w:lang w:eastAsia="en-ZA"/>
        </w:rPr>
        <w:t>. Examples are given in</w:t>
      </w:r>
      <w:r w:rsidR="00B02EB7">
        <w:rPr>
          <w:lang w:eastAsia="en-ZA"/>
        </w:rPr>
        <w:t xml:space="preserve"> </w:t>
      </w:r>
      <w:r w:rsidR="00B02EB7" w:rsidRPr="00B02EB7">
        <w:rPr>
          <w:b/>
          <w:bCs/>
          <w:lang w:eastAsia="en-ZA"/>
        </w:rPr>
        <w:t>Table 5.12</w:t>
      </w:r>
      <w:r w:rsidR="00B02EB7">
        <w:rPr>
          <w:lang w:eastAsia="en-ZA"/>
        </w:rPr>
        <w:t>.</w:t>
      </w:r>
      <w:r w:rsidRPr="00837161">
        <w:rPr>
          <w:lang w:eastAsia="en-ZA"/>
        </w:rPr>
        <w:t xml:space="preserve"> Field validation of knowledge is important</w:t>
      </w:r>
      <w:r w:rsidR="00AF70E4">
        <w:rPr>
          <w:lang w:eastAsia="en-ZA"/>
        </w:rPr>
        <w:t xml:space="preserve"> and </w:t>
      </w:r>
      <w:r w:rsidRPr="00837161">
        <w:rPr>
          <w:lang w:eastAsia="en-ZA"/>
        </w:rPr>
        <w:t>can be obtained during the management implementation using an adaptive management approach.</w:t>
      </w:r>
      <w:bookmarkStart w:id="680" w:name="_Ref104971796"/>
      <w:bookmarkStart w:id="681" w:name="_Toc87553794"/>
      <w:bookmarkStart w:id="682" w:name="_Toc87623093"/>
      <w:bookmarkStart w:id="683" w:name="_Ref131673988"/>
    </w:p>
    <w:p w14:paraId="000007F5" w14:textId="4655AC82" w:rsidR="00A758FD" w:rsidRPr="00C0338D" w:rsidRDefault="00383764">
      <w:pPr>
        <w:spacing w:before="240" w:after="120" w:line="240" w:lineRule="auto"/>
        <w:rPr>
          <w:color w:val="FF0000"/>
        </w:rPr>
      </w:pPr>
      <w:bookmarkStart w:id="684" w:name="_Toc147489089"/>
      <w:r w:rsidRPr="00837161">
        <w:rPr>
          <w:b/>
          <w:bCs/>
        </w:rPr>
        <w:lastRenderedPageBreak/>
        <w:t>Table 5.</w:t>
      </w:r>
      <w:r w:rsidRPr="00837161">
        <w:rPr>
          <w:b/>
          <w:bCs/>
        </w:rPr>
        <w:fldChar w:fldCharType="begin"/>
      </w:r>
      <w:r w:rsidRPr="00837161">
        <w:rPr>
          <w:b/>
          <w:bCs/>
        </w:rPr>
        <w:instrText>SEQ Table_5. \* ARABIC</w:instrText>
      </w:r>
      <w:r w:rsidRPr="00837161">
        <w:rPr>
          <w:b/>
          <w:bCs/>
        </w:rPr>
        <w:fldChar w:fldCharType="separate"/>
      </w:r>
      <w:r w:rsidR="00DC77F8">
        <w:rPr>
          <w:b/>
          <w:bCs/>
          <w:noProof/>
        </w:rPr>
        <w:t>12</w:t>
      </w:r>
      <w:r w:rsidRPr="00837161">
        <w:rPr>
          <w:b/>
          <w:bCs/>
        </w:rPr>
        <w:fldChar w:fldCharType="end"/>
      </w:r>
      <w:bookmarkEnd w:id="680"/>
      <w:bookmarkEnd w:id="681"/>
      <w:bookmarkEnd w:id="682"/>
      <w:bookmarkEnd w:id="683"/>
      <w:r w:rsidR="00FA6DFB" w:rsidRPr="00837161">
        <w:rPr>
          <w:b/>
          <w:bCs/>
        </w:rPr>
        <w:t>.</w:t>
      </w:r>
      <w:bookmarkStart w:id="685" w:name="_heading=h.2yutaiw" w:colFirst="0" w:colLast="0"/>
      <w:bookmarkEnd w:id="685"/>
      <w:r w:rsidR="00C81287" w:rsidRPr="00C0338D">
        <w:t xml:space="preserve"> Impacts of errors in data on invasive alien species presence, distribution, socio-economic and political perceptions and potential responses to improve the efficacy of management interventions on biological invasions.</w:t>
      </w:r>
      <w:bookmarkEnd w:id="684"/>
    </w:p>
    <w:p w14:paraId="000007F6" w14:textId="063FA44C" w:rsidR="00A758FD" w:rsidRPr="00C0338D" w:rsidRDefault="00C81287">
      <w:pPr>
        <w:spacing w:after="240"/>
      </w:pPr>
      <w:r w:rsidRPr="00C0338D">
        <w:t xml:space="preserve">Adapted from McGeoch et al. </w:t>
      </w:r>
      <w:r w:rsidR="00383764" w:rsidRPr="00837161">
        <w:fldChar w:fldCharType="begin"/>
      </w:r>
      <w:r w:rsidR="000F35EB">
        <w:instrText xml:space="preserve"> ADDIN ZOTERO_ITEM CSL_CITATION {"citationID":"wk3PQmI0","properties":{"formattedCitation":"(2012)","plainCitation":"(2012)","noteIndex":0},"citationItems":[{"id":29287,"uris":["http://zotero.org/groups/2352922/items/I5I5N6GD"],"itemData":{"id":29287,"type":"article-journal","abstract":"Lists of invasive alien species (IAS) are essential for preventing, controlling, and reporting on the state of biological invasions. However, these lists suffer from a range of errors, with serious consequences for their use in science, policy, and management. Here we (1) collated and classified errors in IAS listing using a taxonomy of uncertainty; and (2) estimated the size of these errors using data from a completed listing exercise, with the purpose of better understanding, communicating, and dealing with them. Ten errors were identified. Most result from a lack of knowledge or measurement error (epistemic uncertainty), although two were a result of context dependence and vagueness (linguistic uncertainty). Estimates of the size of the effects of these errors were substantial in a number of cases and unknown in others. Most errors, and those with the largest estimated effect, result in underestimates of IAS numbers. However, there are a number of errors where the size and direction of the effect remains poorly understood.","container-title":"Ecological Applications","DOI":"10.1890/11-1252.1","ISSN":"1051-0761","issue":"3","journalAbbreviation":"Ecological Applications","language":"en","note":"PMID: 22645824","page":"959-971","source":"DOI.org (Crossref)","title":"Uncertainty in invasive alien species listing","URL":"http://doi.wiley.com/10.1890/11-1252.1","volume":"22","author":[{"family":"McGeoch","given":"Melodie A."},{"family":"Spear","given":"Dian"},{"family":"Kleynhans","given":"Elizabeth J."},{"family":"Marais","given":"Elrike"}],"accessed":{"date-parts":[["2019",11,9]]},"issued":{"date-parts":[["2012",4]]}},"label":"page","suppress-author":true}],"schema":"https://github.com/citation-style-language/schema/raw/master/csl-citation.json"} </w:instrText>
      </w:r>
      <w:r w:rsidR="00383764" w:rsidRPr="00837161">
        <w:fldChar w:fldCharType="separate"/>
      </w:r>
      <w:r w:rsidR="00271B78" w:rsidRPr="00271B78">
        <w:t>(2012)</w:t>
      </w:r>
      <w:r w:rsidR="00383764" w:rsidRPr="00837161">
        <w:fldChar w:fldCharType="end"/>
      </w:r>
      <w:r w:rsidR="00383764" w:rsidRPr="00837161">
        <w:rPr>
          <w:rFonts w:eastAsia="游明朝"/>
          <w:lang w:eastAsia="ja-JP"/>
        </w:rPr>
        <w:t>.</w:t>
      </w:r>
      <w:r w:rsidRPr="00C0338D">
        <w:t xml:space="preserve"> See </w:t>
      </w:r>
      <w:r w:rsidRPr="002F2F42">
        <w:rPr>
          <w:b/>
        </w:rPr>
        <w:t>sections 5.4</w:t>
      </w:r>
      <w:r w:rsidRPr="00C0338D">
        <w:t xml:space="preserve"> and </w:t>
      </w:r>
      <w:r w:rsidRPr="002F2F42">
        <w:rPr>
          <w:b/>
        </w:rPr>
        <w:t>5.5</w:t>
      </w:r>
      <w:r w:rsidRPr="00C0338D">
        <w:t xml:space="preserve"> for details on management methods.</w:t>
      </w:r>
    </w:p>
    <w:tbl>
      <w:tblPr>
        <w:tblW w:w="9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456"/>
        <w:gridCol w:w="2769"/>
        <w:gridCol w:w="3210"/>
        <w:gridCol w:w="2041"/>
      </w:tblGrid>
      <w:tr w:rsidR="003666A4" w14:paraId="6B4A67D4" w14:textId="77777777" w:rsidTr="5E4965FB">
        <w:trPr>
          <w:tblHeader/>
        </w:trPr>
        <w:tc>
          <w:tcPr>
            <w:tcW w:w="1456" w:type="dxa"/>
            <w:shd w:val="clear" w:color="auto" w:fill="FFFFFF" w:themeFill="background1"/>
          </w:tcPr>
          <w:p w14:paraId="000007F7" w14:textId="77777777" w:rsidR="00A758FD" w:rsidRPr="00C0338D" w:rsidRDefault="00C81287">
            <w:pPr>
              <w:rPr>
                <w:b/>
              </w:rPr>
            </w:pPr>
            <w:r w:rsidRPr="00C0338D">
              <w:rPr>
                <w:b/>
              </w:rPr>
              <w:t>Type of error</w:t>
            </w:r>
          </w:p>
        </w:tc>
        <w:tc>
          <w:tcPr>
            <w:tcW w:w="2769" w:type="dxa"/>
            <w:shd w:val="clear" w:color="auto" w:fill="FFFFFF" w:themeFill="background1"/>
          </w:tcPr>
          <w:p w14:paraId="000007F8" w14:textId="77777777" w:rsidR="00A758FD" w:rsidRPr="00C0338D" w:rsidRDefault="00C81287">
            <w:pPr>
              <w:rPr>
                <w:b/>
              </w:rPr>
            </w:pPr>
            <w:r w:rsidRPr="00C0338D">
              <w:rPr>
                <w:b/>
              </w:rPr>
              <w:t>Explanation</w:t>
            </w:r>
          </w:p>
        </w:tc>
        <w:tc>
          <w:tcPr>
            <w:tcW w:w="3210" w:type="dxa"/>
            <w:shd w:val="clear" w:color="auto" w:fill="FFFFFF" w:themeFill="background1"/>
          </w:tcPr>
          <w:p w14:paraId="000007F9" w14:textId="77777777" w:rsidR="00A758FD" w:rsidRPr="00C0338D" w:rsidRDefault="00C81287">
            <w:pPr>
              <w:rPr>
                <w:b/>
              </w:rPr>
            </w:pPr>
            <w:r w:rsidRPr="00C0338D">
              <w:rPr>
                <w:b/>
              </w:rPr>
              <w:t>Effect on management or policy development</w:t>
            </w:r>
          </w:p>
        </w:tc>
        <w:tc>
          <w:tcPr>
            <w:tcW w:w="2041" w:type="dxa"/>
            <w:shd w:val="clear" w:color="auto" w:fill="FFFFFF" w:themeFill="background1"/>
          </w:tcPr>
          <w:p w14:paraId="000007FA" w14:textId="77777777" w:rsidR="00A758FD" w:rsidRPr="00C0338D" w:rsidRDefault="00C81287">
            <w:pPr>
              <w:rPr>
                <w:b/>
              </w:rPr>
            </w:pPr>
            <w:r w:rsidRPr="00C0338D">
              <w:rPr>
                <w:b/>
              </w:rPr>
              <w:t xml:space="preserve">Management responses (instruments tools and approaches) </w:t>
            </w:r>
          </w:p>
        </w:tc>
      </w:tr>
      <w:tr w:rsidR="003666A4" w14:paraId="207E2894" w14:textId="77777777" w:rsidTr="5E4965FB">
        <w:tc>
          <w:tcPr>
            <w:tcW w:w="1456" w:type="dxa"/>
            <w:shd w:val="clear" w:color="auto" w:fill="FFFFFF" w:themeFill="background1"/>
          </w:tcPr>
          <w:p w14:paraId="000007FB" w14:textId="77777777" w:rsidR="00A758FD" w:rsidRPr="00C0338D" w:rsidRDefault="00C81287">
            <w:r w:rsidRPr="00C0338D">
              <w:t>Data collection</w:t>
            </w:r>
          </w:p>
        </w:tc>
        <w:tc>
          <w:tcPr>
            <w:tcW w:w="2769" w:type="dxa"/>
            <w:shd w:val="clear" w:color="auto" w:fill="FFFFFF" w:themeFill="background1"/>
          </w:tcPr>
          <w:p w14:paraId="000007FC" w14:textId="77777777" w:rsidR="00A758FD" w:rsidRPr="00C0338D" w:rsidRDefault="00C81287">
            <w:r w:rsidRPr="00C0338D">
              <w:t>There can be a lack of survey information on the presence, extent, and population dynamics outside the native range of a species.</w:t>
            </w:r>
          </w:p>
          <w:p w14:paraId="000007FD" w14:textId="77777777" w:rsidR="00A758FD" w:rsidRPr="00C0338D" w:rsidRDefault="00A758FD"/>
          <w:p w14:paraId="000007FE" w14:textId="77777777" w:rsidR="00A758FD" w:rsidRPr="00C0338D" w:rsidRDefault="00C81287">
            <w:r w:rsidRPr="00C0338D">
              <w:t>Resolution of data and scaling in the introduced range of the invasive alien species: he low-resolution of alien species distribution maps or geographic regions can lead to overestimation of species distribution</w:t>
            </w:r>
          </w:p>
        </w:tc>
        <w:tc>
          <w:tcPr>
            <w:tcW w:w="3210" w:type="dxa"/>
            <w:shd w:val="clear" w:color="auto" w:fill="FFFFFF" w:themeFill="background1"/>
          </w:tcPr>
          <w:p w14:paraId="000007FF" w14:textId="77777777" w:rsidR="00A758FD" w:rsidRPr="00C0338D" w:rsidRDefault="00C81287">
            <w:r w:rsidRPr="00C0338D">
              <w:t xml:space="preserve">a) Data on the establishment and spread is required to designate alien species as invasive. Insufficient survey information results in failure to recognize invasive alien species. </w:t>
            </w:r>
          </w:p>
          <w:p w14:paraId="00000800" w14:textId="77777777" w:rsidR="00A758FD" w:rsidRPr="00C0338D" w:rsidRDefault="00A758FD"/>
          <w:p w14:paraId="00000801" w14:textId="5EE74B78" w:rsidR="00A758FD" w:rsidRPr="00C0338D" w:rsidRDefault="00C81287">
            <w:r w:rsidRPr="00C0338D">
              <w:t>b) Invasive alien species assemblages are dynamic</w:t>
            </w:r>
            <w:r w:rsidR="00D74958">
              <w:t>,</w:t>
            </w:r>
            <w:r w:rsidRPr="00C0338D">
              <w:t xml:space="preserve"> and the lack of regular surveys can lead to inaccurate species lists and data on distribution and population sizes.</w:t>
            </w:r>
          </w:p>
          <w:p w14:paraId="00000802" w14:textId="77777777" w:rsidR="00A758FD" w:rsidRPr="00C0338D" w:rsidRDefault="00A758FD"/>
          <w:p w14:paraId="00000803" w14:textId="77777777" w:rsidR="00A758FD" w:rsidRPr="00C0338D" w:rsidRDefault="00C81287">
            <w:r w:rsidRPr="00C0338D">
              <w:t>c) Populations may be incorrectly delimited (prevalence known) leading to incorrect decision-making and management errors.</w:t>
            </w:r>
          </w:p>
          <w:p w14:paraId="00000804" w14:textId="77777777" w:rsidR="00A758FD" w:rsidRPr="00C0338D" w:rsidRDefault="00A758FD"/>
          <w:p w14:paraId="00000805" w14:textId="77777777" w:rsidR="00A758FD" w:rsidRPr="00C0338D" w:rsidRDefault="00C81287">
            <w:r w:rsidRPr="00C0338D">
              <w:t xml:space="preserve">d) Prematurely declaring eradication campaigns successful when not enough monitoring has been done to ensure confidence in eradication as cryptic populations remain un-detected. </w:t>
            </w:r>
          </w:p>
          <w:p w14:paraId="00000806" w14:textId="77777777" w:rsidR="00A758FD" w:rsidRPr="00C0338D" w:rsidRDefault="00A758FD"/>
          <w:p w14:paraId="00000807" w14:textId="77777777" w:rsidR="00A758FD" w:rsidRPr="00C0338D" w:rsidRDefault="00A758FD"/>
          <w:p w14:paraId="00000808" w14:textId="77777777" w:rsidR="00A758FD" w:rsidRPr="00C0338D" w:rsidRDefault="00A758FD"/>
        </w:tc>
        <w:tc>
          <w:tcPr>
            <w:tcW w:w="2041" w:type="dxa"/>
            <w:shd w:val="clear" w:color="auto" w:fill="FFFFFF" w:themeFill="background1"/>
          </w:tcPr>
          <w:p w14:paraId="00000809" w14:textId="520C513C" w:rsidR="00A758FD" w:rsidRPr="00C0338D" w:rsidRDefault="00C81287">
            <w:r w:rsidRPr="00C0338D">
              <w:t>Increased attention to detail and taking care to record data correctly, and increasing efforts to search for information to ensure correct species identification (including synonyms, name changes, incorrect names)</w:t>
            </w:r>
            <w:r w:rsidR="0081530F">
              <w:t>.</w:t>
            </w:r>
            <w:r w:rsidRPr="00C0338D">
              <w:t xml:space="preserve"> </w:t>
            </w:r>
          </w:p>
          <w:p w14:paraId="0000080A" w14:textId="77777777" w:rsidR="00A758FD" w:rsidRPr="00C0338D" w:rsidRDefault="00A758FD"/>
          <w:p w14:paraId="0000080D" w14:textId="44F72998" w:rsidR="00A758FD" w:rsidRPr="00C0338D" w:rsidRDefault="00C81287">
            <w:r w:rsidRPr="00C0338D">
              <w:t>Increased frequency of data surveys for a better recognition and definition of invasive alien species distribution</w:t>
            </w:r>
            <w:r w:rsidR="0081530F">
              <w:t xml:space="preserve"> </w:t>
            </w:r>
            <w:r w:rsidRPr="00C0338D">
              <w:t>(Chapter 6, sections 6.6.2.4 to 6.6.2.7)</w:t>
            </w:r>
            <w:r w:rsidR="0081530F">
              <w:t>.</w:t>
            </w:r>
          </w:p>
        </w:tc>
      </w:tr>
      <w:tr w:rsidR="003666A4" w14:paraId="22E77349" w14:textId="77777777" w:rsidTr="5E4965FB">
        <w:tc>
          <w:tcPr>
            <w:tcW w:w="1456" w:type="dxa"/>
            <w:shd w:val="clear" w:color="auto" w:fill="FFFFFF" w:themeFill="background1"/>
          </w:tcPr>
          <w:p w14:paraId="0000080E" w14:textId="77777777" w:rsidR="00A758FD" w:rsidRPr="00C0338D" w:rsidRDefault="00C81287">
            <w:r w:rsidRPr="00C0338D">
              <w:t xml:space="preserve">Data and knowledge not documented or not readily or </w:t>
            </w:r>
            <w:r w:rsidRPr="00C0338D">
              <w:lastRenderedPageBreak/>
              <w:t>widely accessible</w:t>
            </w:r>
          </w:p>
        </w:tc>
        <w:tc>
          <w:tcPr>
            <w:tcW w:w="2769" w:type="dxa"/>
            <w:shd w:val="clear" w:color="auto" w:fill="FFFFFF" w:themeFill="background1"/>
          </w:tcPr>
          <w:p w14:paraId="0000080F" w14:textId="77777777" w:rsidR="00A758FD" w:rsidRPr="00C0338D" w:rsidRDefault="00C81287">
            <w:r w:rsidRPr="00C0338D">
              <w:lastRenderedPageBreak/>
              <w:t xml:space="preserve">Data are not available in books and peer-reviewed literature, electronic, or online databases. Information may exist (and specialists may </w:t>
            </w:r>
            <w:r w:rsidRPr="00C0338D">
              <w:lastRenderedPageBreak/>
              <w:t xml:space="preserve">recognize invasive alien species), but is not yet documented, or is outdated. </w:t>
            </w:r>
          </w:p>
          <w:p w14:paraId="00000810" w14:textId="77777777" w:rsidR="00A758FD" w:rsidRPr="00C0338D" w:rsidRDefault="00A758FD"/>
          <w:p w14:paraId="00000811" w14:textId="77777777" w:rsidR="00A758FD" w:rsidRPr="00C0338D" w:rsidRDefault="00C81287">
            <w:r w:rsidRPr="00C0338D">
              <w:t xml:space="preserve">Grey literature is not easily accessible and may be in different languages. Some of the new taxa data are published in obscure journals. A wide range of data sources exist, but are not always sufficiently well collated, published or easily accessible. </w:t>
            </w:r>
          </w:p>
        </w:tc>
        <w:tc>
          <w:tcPr>
            <w:tcW w:w="3210" w:type="dxa"/>
            <w:shd w:val="clear" w:color="auto" w:fill="FFFFFF" w:themeFill="background1"/>
          </w:tcPr>
          <w:p w14:paraId="00000812" w14:textId="77777777" w:rsidR="00A758FD" w:rsidRPr="00C0338D" w:rsidRDefault="00C81287">
            <w:r w:rsidRPr="00C0338D">
              <w:lastRenderedPageBreak/>
              <w:t xml:space="preserve">This may result, for example, in a time delay between discovery and publication. This may influence the likelihood of eradication opportunities. Eradicated or </w:t>
            </w:r>
            <w:r w:rsidRPr="00C0338D">
              <w:lastRenderedPageBreak/>
              <w:t>extirpated species may also remain on species lists.</w:t>
            </w:r>
          </w:p>
          <w:p w14:paraId="00000813" w14:textId="77777777" w:rsidR="00A758FD" w:rsidRPr="00C0338D" w:rsidRDefault="00A758FD"/>
          <w:p w14:paraId="00000814" w14:textId="4B875D3D" w:rsidR="00A758FD" w:rsidRPr="00C0338D" w:rsidRDefault="00C81287">
            <w:r w:rsidRPr="00C0338D">
              <w:t xml:space="preserve">Inadequate </w:t>
            </w:r>
            <w:r w:rsidR="00D2715A">
              <w:t>native</w:t>
            </w:r>
            <w:r w:rsidR="00D2715A" w:rsidRPr="00C0338D">
              <w:t xml:space="preserve"> </w:t>
            </w:r>
            <w:r w:rsidRPr="00C0338D">
              <w:t xml:space="preserve">range information (e.g., cryptogenic species – see </w:t>
            </w:r>
            <w:r w:rsidR="002F2F42">
              <w:rPr>
                <w:b/>
              </w:rPr>
              <w:t>G</w:t>
            </w:r>
            <w:r w:rsidRPr="00AC1F76">
              <w:rPr>
                <w:b/>
              </w:rPr>
              <w:t>lossary</w:t>
            </w:r>
            <w:r w:rsidRPr="00C0338D">
              <w:t xml:space="preserve">), may result in subjective or incorrect listing of species as being alien or not. </w:t>
            </w:r>
          </w:p>
          <w:p w14:paraId="00000815" w14:textId="77777777" w:rsidR="00A758FD" w:rsidRPr="00C0338D" w:rsidRDefault="00A758FD"/>
          <w:p w14:paraId="00000816" w14:textId="77777777" w:rsidR="00A758FD" w:rsidRPr="00C0338D" w:rsidRDefault="00C81287">
            <w:r w:rsidRPr="00C0338D">
              <w:t>Identifying an alien species incorrectly, a lack of information on how to implement management, and a lack of specific/appropriate management tools.</w:t>
            </w:r>
          </w:p>
        </w:tc>
        <w:tc>
          <w:tcPr>
            <w:tcW w:w="2041" w:type="dxa"/>
            <w:shd w:val="clear" w:color="auto" w:fill="FFFFFF" w:themeFill="background1"/>
          </w:tcPr>
          <w:p w14:paraId="00000817" w14:textId="77777777" w:rsidR="00A758FD" w:rsidRPr="00C0338D" w:rsidRDefault="00C81287">
            <w:r w:rsidRPr="00C0338D">
              <w:lastRenderedPageBreak/>
              <w:t xml:space="preserve">Enhance connectedness of global repositories (section 5.4), especially for data </w:t>
            </w:r>
            <w:r w:rsidRPr="00C0338D">
              <w:lastRenderedPageBreak/>
              <w:t xml:space="preserve">and grey literature (section 5.4). </w:t>
            </w:r>
          </w:p>
          <w:p w14:paraId="00000818" w14:textId="77777777" w:rsidR="00A758FD" w:rsidRPr="00C0338D" w:rsidRDefault="00A758FD"/>
          <w:p w14:paraId="0000081B" w14:textId="5C7F31E4" w:rsidR="00A758FD" w:rsidRPr="00C0338D" w:rsidRDefault="0041377B">
            <w:r>
              <w:t>Use of</w:t>
            </w:r>
            <w:r w:rsidR="00383764" w:rsidRPr="00837161">
              <w:t xml:space="preserve"> taxonomic expertise </w:t>
            </w:r>
            <w:r w:rsidR="00383764" w:rsidRPr="00837161">
              <w:fldChar w:fldCharType="begin"/>
            </w:r>
            <w:r w:rsidR="000F35EB">
              <w:instrText xml:space="preserve"> ADDIN ZOTERO_ITEM CSL_CITATION {"citationID":"CV6Pu3EG","properties":{"formattedCitation":"(Py\\uc0\\u353{}ek et al., 2013)","plainCitation":"(Pyšek et al., 2013)","noteIndex":0},"citationItems":[{"id":29207,"uris":["http://zotero.org/groups/2352922/items/YG4LGN6Y"],"itemData":{"id":29207,"type":"article-journal","abstract":"This paper explores how a lack of taxonomic expertise, and by implication a dearth of taxonomic products such as identification tools, has hindered progress in understanding andmanaging biological invasions. It also explores how the taxonomic endeavour could benefit from studies of invasive species. We review the literature on the current situation in taxonomy with a focus on the challenges of identifying alien plant species and explorehowthis has affected the study of biological invasions. Biosecurity strategies, legislation dealing with invasive species, quarantine, weed surveillance and monitoring all depend on accurate and rapid identification of non-native taxa. However, such identification can be challenging because the taxonomic skill base in most countries is diffuse and lacks critical mass. Taxonomic resources are essential for the effective management of invasive plants and incorrect identifications can impede ecological studies. On the other hand, biological invasions have provided important tests of basic theories about species concepts. Better integration of classical alpha taxonomy and modern genetic taxonomic approaches will improve the accuracy of species identification and further refine taxonomic classification at the level of populations and genotypes in the field and laboratory. Modern taxonomy therefore needs to integrate both classical and new concepts and approaches. In particular, differing points of view between the proponents of morphological and molecular approaches should be negotiated because a narrow taxonomic perspective is harmful; the rigour of taxonomic decision- making clearly increases if insights from a variety of different complementary disciplines are combined and confronted. Taxonomy plays a critical role in the study of plant invasions and in turn benefits from the insights gained from these studies. © 2013 The Authors.","container-title":"AoB PLANTS","DOI":"10.1093/aobpla/plt042","ISSN":"2041-2851","journalAbbreviation":"AoB PLANTS","language":"en","page":"plt042","source":"DOI.org (Crossref)","title":"Hitting the right target: taxonomic challenges for, and of, plant invasions","title-short":"Hitting the right target","URL":"https://academic.oup.com/aobpla/article-lookup/doi/10.1093/aobpla/plt042","volume":"5","author":[{"family":"Pyšek","given":"Petr"},{"family":"Hulme","given":"P. E."},{"family":"Meyerson","given":"L. A."},{"family":"Smith","given":"G. F."},{"family":"Boatwright","given":"J. S."},{"family":"Crouch","given":"N. R."},{"family":"Figueiredo","given":"E."},{"family":"Foxcroft","given":"L. C."},{"family":"Jarošík","given":"V."},{"family":"Richardson","given":"D. M."},{"family":"Suda","given":"J."},{"family":"Wilson","given":"J. R. U."}],"accessed":{"date-parts":[["2021",6,16]]},"issued":{"date-parts":[["2013",11,13]]}},"label":"page"}],"schema":"https://github.com/citation-style-language/schema/raw/master/csl-citation.json"} </w:instrText>
            </w:r>
            <w:r w:rsidR="00383764" w:rsidRPr="00837161">
              <w:fldChar w:fldCharType="separate"/>
            </w:r>
            <w:r w:rsidR="00271B78" w:rsidRPr="00271B78">
              <w:t>(Pyšek et al., 2013)</w:t>
            </w:r>
            <w:r w:rsidR="00383764" w:rsidRPr="00837161">
              <w:fldChar w:fldCharType="end"/>
            </w:r>
            <w:r w:rsidR="00383764" w:rsidRPr="00837161">
              <w:t xml:space="preserve"> and identification tools </w:t>
            </w:r>
            <w:r>
              <w:t>to assist in</w:t>
            </w:r>
            <w:r w:rsidR="00383764" w:rsidRPr="00837161">
              <w:t xml:space="preserve"> correct </w:t>
            </w:r>
            <w:r>
              <w:t xml:space="preserve">species </w:t>
            </w:r>
            <w:r w:rsidR="00383764" w:rsidRPr="00837161">
              <w:t>identification</w:t>
            </w:r>
            <w:r w:rsidR="0081530F">
              <w:t xml:space="preserve"> </w:t>
            </w:r>
            <w:r w:rsidR="00C81287" w:rsidRPr="00C0338D">
              <w:t>(section 5.4; Chapter 6, section 6.6.2.2)</w:t>
            </w:r>
            <w:r w:rsidR="0081530F">
              <w:t>.</w:t>
            </w:r>
          </w:p>
        </w:tc>
      </w:tr>
      <w:tr w:rsidR="003666A4" w14:paraId="243E6FDE" w14:textId="77777777" w:rsidTr="5E4965FB">
        <w:tc>
          <w:tcPr>
            <w:tcW w:w="1456" w:type="dxa"/>
            <w:shd w:val="clear" w:color="auto" w:fill="FFFFFF" w:themeFill="background1"/>
          </w:tcPr>
          <w:p w14:paraId="0000081C" w14:textId="77777777" w:rsidR="00A758FD" w:rsidRPr="00C0338D" w:rsidRDefault="00C81287">
            <w:r w:rsidRPr="00C0338D">
              <w:lastRenderedPageBreak/>
              <w:t>Incomplete information/literature searches and species misidentification</w:t>
            </w:r>
          </w:p>
        </w:tc>
        <w:tc>
          <w:tcPr>
            <w:tcW w:w="2769" w:type="dxa"/>
            <w:shd w:val="clear" w:color="auto" w:fill="FFFFFF" w:themeFill="background1"/>
          </w:tcPr>
          <w:p w14:paraId="0000081D" w14:textId="77777777" w:rsidR="00A758FD" w:rsidRPr="00C0338D" w:rsidRDefault="00C81287">
            <w:r w:rsidRPr="00C0338D">
              <w:t xml:space="preserve">Erroneous information in lists and databases may be perpetuated. </w:t>
            </w:r>
          </w:p>
          <w:p w14:paraId="0000081E" w14:textId="77777777" w:rsidR="00A758FD" w:rsidRPr="00C0338D" w:rsidRDefault="00A758FD"/>
        </w:tc>
        <w:tc>
          <w:tcPr>
            <w:tcW w:w="3210" w:type="dxa"/>
            <w:shd w:val="clear" w:color="auto" w:fill="FFFFFF" w:themeFill="background1"/>
          </w:tcPr>
          <w:p w14:paraId="0000081F" w14:textId="77777777" w:rsidR="00A758FD" w:rsidRPr="00C0338D" w:rsidRDefault="00C81287">
            <w:r w:rsidRPr="00C0338D">
              <w:t>Misidentification of species, without recognizing synonyms, changing names and other errors in data entry.</w:t>
            </w:r>
          </w:p>
          <w:p w14:paraId="00000820" w14:textId="77777777" w:rsidR="00A758FD" w:rsidRPr="00C0338D" w:rsidRDefault="00C81287">
            <w:r w:rsidRPr="00C0338D">
              <w:t xml:space="preserve">Lack of comprehensive information searches can result in incomplete lists. </w:t>
            </w:r>
          </w:p>
          <w:p w14:paraId="00000821" w14:textId="77777777" w:rsidR="00A758FD" w:rsidRPr="00C0338D" w:rsidRDefault="00C81287">
            <w:r w:rsidRPr="00C0338D">
              <w:t xml:space="preserve">Alien species can be misidentified as a result of lack of taxonomic data, such as undescribed species or taxa where the systematics have not been fully resolved. </w:t>
            </w:r>
          </w:p>
        </w:tc>
        <w:tc>
          <w:tcPr>
            <w:tcW w:w="2041" w:type="dxa"/>
            <w:shd w:val="clear" w:color="auto" w:fill="FFFFFF" w:themeFill="background1"/>
          </w:tcPr>
          <w:p w14:paraId="00000824" w14:textId="0F8C3461" w:rsidR="00A758FD" w:rsidRPr="00C0338D" w:rsidRDefault="00C81287" w:rsidP="0081530F">
            <w:r w:rsidRPr="00C0338D">
              <w:t>Conscientious and thorough reviews and assessments before decision-making (section 5.2; Chapter 6, section 6.6.1)</w:t>
            </w:r>
            <w:r w:rsidR="0081530F">
              <w:t>.</w:t>
            </w:r>
          </w:p>
        </w:tc>
      </w:tr>
      <w:tr w:rsidR="003666A4" w14:paraId="0A5661E8" w14:textId="77777777" w:rsidTr="5E4965FB">
        <w:tc>
          <w:tcPr>
            <w:tcW w:w="1456" w:type="dxa"/>
            <w:shd w:val="clear" w:color="auto" w:fill="FFFFFF" w:themeFill="background1"/>
          </w:tcPr>
          <w:p w14:paraId="00000825" w14:textId="77777777" w:rsidR="00A758FD" w:rsidRPr="00C0338D" w:rsidRDefault="00C81287">
            <w:r w:rsidRPr="00C0338D">
              <w:t xml:space="preserve">Socio-economic and perception data </w:t>
            </w:r>
          </w:p>
        </w:tc>
        <w:tc>
          <w:tcPr>
            <w:tcW w:w="2769" w:type="dxa"/>
            <w:shd w:val="clear" w:color="auto" w:fill="FFFFFF" w:themeFill="background1"/>
          </w:tcPr>
          <w:p w14:paraId="00000826" w14:textId="77777777" w:rsidR="00A758FD" w:rsidRPr="00C0338D" w:rsidRDefault="00C81287">
            <w:r w:rsidRPr="00C0338D">
              <w:t>Differing perspectives leading to different perceptions in the community concerning management. E.g., hunters have a vested interest not to reduce density of an invasive alien species of their interest or completely eliminate the target species.</w:t>
            </w:r>
          </w:p>
        </w:tc>
        <w:tc>
          <w:tcPr>
            <w:tcW w:w="3210" w:type="dxa"/>
            <w:shd w:val="clear" w:color="auto" w:fill="FFFFFF" w:themeFill="background1"/>
          </w:tcPr>
          <w:p w14:paraId="00000827" w14:textId="6349A765" w:rsidR="00A758FD" w:rsidRPr="00C0338D" w:rsidRDefault="00C81287">
            <w:r w:rsidRPr="00C0338D">
              <w:t>Difficulty to gain consistent perspectives on invasive alien species management directions and planning</w:t>
            </w:r>
            <w:r w:rsidR="0081530F">
              <w:t>.</w:t>
            </w:r>
          </w:p>
        </w:tc>
        <w:tc>
          <w:tcPr>
            <w:tcW w:w="2041" w:type="dxa"/>
            <w:shd w:val="clear" w:color="auto" w:fill="FFFFFF" w:themeFill="background1"/>
          </w:tcPr>
          <w:p w14:paraId="0000082A" w14:textId="0103AE74" w:rsidR="00A758FD" w:rsidRPr="00C0338D" w:rsidRDefault="00C81287">
            <w:r w:rsidRPr="00C0338D">
              <w:t>Collaborative and adaptive co-management (section 5.4; Chapter 1, section 1.5.2; Chapter 6, section 6.7.2.4)</w:t>
            </w:r>
            <w:r w:rsidR="0081530F">
              <w:t>.</w:t>
            </w:r>
          </w:p>
        </w:tc>
      </w:tr>
      <w:tr w:rsidR="003666A4" w14:paraId="2EF6B4FC" w14:textId="77777777" w:rsidTr="5E4965FB">
        <w:tc>
          <w:tcPr>
            <w:tcW w:w="1456" w:type="dxa"/>
            <w:shd w:val="clear" w:color="auto" w:fill="FFFFFF" w:themeFill="background1"/>
          </w:tcPr>
          <w:p w14:paraId="0000082B" w14:textId="77777777" w:rsidR="00A758FD" w:rsidRPr="00C0338D" w:rsidRDefault="00C81287">
            <w:r w:rsidRPr="00C0338D">
              <w:t>Political perspectives</w:t>
            </w:r>
          </w:p>
        </w:tc>
        <w:tc>
          <w:tcPr>
            <w:tcW w:w="2769" w:type="dxa"/>
            <w:shd w:val="clear" w:color="auto" w:fill="FFFFFF" w:themeFill="background1"/>
          </w:tcPr>
          <w:p w14:paraId="0000082C" w14:textId="77777777" w:rsidR="00A758FD" w:rsidRPr="00C0338D" w:rsidRDefault="00C81287">
            <w:r w:rsidRPr="00C0338D">
              <w:t xml:space="preserve">Political will may vary with different political </w:t>
            </w:r>
            <w:r w:rsidRPr="00C0338D">
              <w:lastRenderedPageBreak/>
              <w:t>perspectives and situations.</w:t>
            </w:r>
          </w:p>
        </w:tc>
        <w:tc>
          <w:tcPr>
            <w:tcW w:w="3210" w:type="dxa"/>
            <w:shd w:val="clear" w:color="auto" w:fill="FFFFFF" w:themeFill="background1"/>
          </w:tcPr>
          <w:p w14:paraId="0000082D" w14:textId="2310BDB6" w:rsidR="00A758FD" w:rsidRPr="00C0338D" w:rsidRDefault="538802D2">
            <w:r>
              <w:lastRenderedPageBreak/>
              <w:t>M</w:t>
            </w:r>
            <w:r w:rsidR="5A7C5823">
              <w:t xml:space="preserve">anagement </w:t>
            </w:r>
            <w:r w:rsidR="64A12905">
              <w:t>of biological invasions</w:t>
            </w:r>
            <w:r w:rsidR="00C81287" w:rsidRPr="00C0338D">
              <w:t xml:space="preserve"> is not a priority item </w:t>
            </w:r>
            <w:r w:rsidR="00C81287" w:rsidRPr="00C0338D">
              <w:lastRenderedPageBreak/>
              <w:t xml:space="preserve">for some countries and may receive only limited/intermittent funding. </w:t>
            </w:r>
          </w:p>
          <w:p w14:paraId="0000082E" w14:textId="77777777" w:rsidR="00A758FD" w:rsidRPr="00C0338D" w:rsidRDefault="00C81287">
            <w:r w:rsidRPr="00C0338D">
              <w:t>Jurisdictional boundaries complicate management responses (</w:t>
            </w:r>
            <w:r w:rsidRPr="009A04E6">
              <w:rPr>
                <w:iCs/>
              </w:rPr>
              <w:t>section 5.5</w:t>
            </w:r>
            <w:r w:rsidRPr="00C0338D">
              <w:t>).</w:t>
            </w:r>
          </w:p>
        </w:tc>
        <w:tc>
          <w:tcPr>
            <w:tcW w:w="2041" w:type="dxa"/>
            <w:shd w:val="clear" w:color="auto" w:fill="FFFFFF" w:themeFill="background1"/>
          </w:tcPr>
          <w:p w14:paraId="0000082F" w14:textId="77777777" w:rsidR="00A758FD" w:rsidRPr="00C0338D" w:rsidRDefault="00C81287">
            <w:r w:rsidRPr="00C0338D">
              <w:lastRenderedPageBreak/>
              <w:t xml:space="preserve">Globally, implementing </w:t>
            </w:r>
            <w:r w:rsidRPr="00C0338D">
              <w:lastRenderedPageBreak/>
              <w:t xml:space="preserve">treaties and conventions (section 5.5; Chapter 6, section 6.1.3). </w:t>
            </w:r>
          </w:p>
          <w:p w14:paraId="00000830" w14:textId="77777777" w:rsidR="00A758FD" w:rsidRPr="00C0338D" w:rsidRDefault="00C81287">
            <w:r w:rsidRPr="00C0338D">
              <w:t xml:space="preserve">Locally, initiatives such as Trans-frontier protected areas or biospheres reserves provide vehicles for collaboration </w:t>
            </w:r>
          </w:p>
          <w:p w14:paraId="00000831" w14:textId="77777777" w:rsidR="00A758FD" w:rsidRPr="00C0338D" w:rsidRDefault="00C81287">
            <w:r w:rsidRPr="00C0338D">
              <w:t>(section 5.3; Chapter 6, section 6.3).</w:t>
            </w:r>
          </w:p>
        </w:tc>
      </w:tr>
    </w:tbl>
    <w:p w14:paraId="00000832" w14:textId="77777777" w:rsidR="00A758FD" w:rsidRPr="00C0338D" w:rsidRDefault="00C81287">
      <w:r w:rsidRPr="00C0338D">
        <w:lastRenderedPageBreak/>
        <w:t xml:space="preserve"> </w:t>
      </w:r>
    </w:p>
    <w:p w14:paraId="00000833" w14:textId="544AACB5" w:rsidR="00A758FD" w:rsidRPr="0079215C" w:rsidRDefault="00C81287" w:rsidP="002F2F42">
      <w:pPr>
        <w:pStyle w:val="Heading2"/>
      </w:pPr>
      <w:bookmarkStart w:id="686" w:name="_Toc69314046"/>
      <w:bookmarkStart w:id="687" w:name="_Toc87623181"/>
      <w:r w:rsidRPr="00C0338D">
        <w:t xml:space="preserve"> </w:t>
      </w:r>
      <w:bookmarkStart w:id="688" w:name="_Toc131681677"/>
      <w:bookmarkStart w:id="689" w:name="_Toc146810126"/>
      <w:bookmarkStart w:id="690" w:name="_Toc149555491"/>
      <w:r w:rsidRPr="00C0338D">
        <w:t>Supporting approaches to improve the uptake of effective management</w:t>
      </w:r>
      <w:bookmarkEnd w:id="686"/>
      <w:bookmarkEnd w:id="687"/>
      <w:bookmarkEnd w:id="688"/>
      <w:r w:rsidRPr="00C0338D">
        <w:t xml:space="preserve"> </w:t>
      </w:r>
      <w:r w:rsidR="5BF1CF02" w:rsidRPr="003666A4">
        <w:t>of biological invasions</w:t>
      </w:r>
      <w:bookmarkEnd w:id="689"/>
      <w:bookmarkEnd w:id="690"/>
    </w:p>
    <w:p w14:paraId="78DB0581" w14:textId="77777777" w:rsidR="00383764" w:rsidRPr="00837161" w:rsidRDefault="00383764" w:rsidP="00E87F41">
      <w:pPr>
        <w:pStyle w:val="Heading3"/>
      </w:pPr>
      <w:bookmarkStart w:id="691" w:name="_heading=h.3xzr3ei" w:colFirst="0" w:colLast="0"/>
      <w:bookmarkStart w:id="692" w:name="_Toc69314026"/>
      <w:bookmarkStart w:id="693" w:name="_Toc87623168"/>
      <w:bookmarkStart w:id="694" w:name="_Toc131681678"/>
      <w:bookmarkEnd w:id="691"/>
      <w:r w:rsidRPr="00837161">
        <w:t>Role of national and international networks and regional partnerships in management</w:t>
      </w:r>
      <w:bookmarkEnd w:id="692"/>
      <w:bookmarkEnd w:id="693"/>
      <w:bookmarkEnd w:id="694"/>
    </w:p>
    <w:p w14:paraId="056F2FA9" w14:textId="419BB343" w:rsidR="00930B68" w:rsidRDefault="5115BF83" w:rsidP="000B4441">
      <w:r w:rsidRPr="00837161">
        <w:t xml:space="preserve">The capacity of governments and resource managers to prevent and manage biological invasions depends on open and quick access to the best available scientific information, data and evidence of impacts (including socio-economic impacts) and access to suitable management tools and approaches </w:t>
      </w:r>
      <w:r w:rsidR="00197924" w:rsidRPr="00837161">
        <w:t>(</w:t>
      </w:r>
      <w:r w:rsidR="002A1B25">
        <w:rPr>
          <w:b/>
          <w:iCs/>
        </w:rPr>
        <w:t>C</w:t>
      </w:r>
      <w:r w:rsidRPr="002A1B25">
        <w:rPr>
          <w:b/>
          <w:iCs/>
        </w:rPr>
        <w:t xml:space="preserve">hapter </w:t>
      </w:r>
      <w:r w:rsidR="001B54C5" w:rsidRPr="002A1B25">
        <w:rPr>
          <w:b/>
          <w:iCs/>
        </w:rPr>
        <w:t>6</w:t>
      </w:r>
      <w:r w:rsidR="001B54C5" w:rsidRPr="002A1B25">
        <w:rPr>
          <w:iCs/>
        </w:rPr>
        <w:t xml:space="preserve">, </w:t>
      </w:r>
      <w:r w:rsidRPr="002A1B25">
        <w:rPr>
          <w:b/>
          <w:iCs/>
        </w:rPr>
        <w:t>section 6.</w:t>
      </w:r>
      <w:r w:rsidR="00CB6353" w:rsidRPr="002A1B25">
        <w:rPr>
          <w:b/>
          <w:iCs/>
        </w:rPr>
        <w:t>6.1</w:t>
      </w:r>
      <w:r w:rsidRPr="00837161">
        <w:t xml:space="preserve">). National and international networks and partnerships are key to achieve these goals </w:t>
      </w:r>
      <w:r w:rsidR="00197924" w:rsidRPr="00837161">
        <w:t>(</w:t>
      </w:r>
      <w:r w:rsidR="002F2F42">
        <w:rPr>
          <w:b/>
          <w:iCs/>
        </w:rPr>
        <w:t>S</w:t>
      </w:r>
      <w:r w:rsidR="76312DF9" w:rsidRPr="002A1B25">
        <w:rPr>
          <w:b/>
          <w:iCs/>
        </w:rPr>
        <w:t>upplementary material 5.1</w:t>
      </w:r>
      <w:r w:rsidR="00AC6190" w:rsidRPr="002A1B25">
        <w:rPr>
          <w:b/>
          <w:iCs/>
        </w:rPr>
        <w:t>3</w:t>
      </w:r>
      <w:r w:rsidR="005840BC" w:rsidRPr="00837161">
        <w:t>;</w:t>
      </w:r>
      <w:r w:rsidR="005840BC" w:rsidRPr="00837161">
        <w:rPr>
          <w:b/>
          <w:bCs/>
        </w:rPr>
        <w:t xml:space="preserve"> </w:t>
      </w:r>
      <w:r w:rsidR="0025786C" w:rsidRPr="00837161">
        <w:fldChar w:fldCharType="begin"/>
      </w:r>
      <w:r w:rsidR="007746C5">
        <w:instrText xml:space="preserve"> ADDIN ZOTERO_ITEM CSL_CITATION {"citationID":"Yf6o1TLU","properties":{"formattedCitation":"(Fonseca et al., 2013; Simpson, 2004; Simpson et al., 2009; Soubeyran et al., 2015; Wallace et al., 2020)","plainCitation":"(Fonseca et al., 2013; Simpson, 2004; Simpson et al., 2009; Soubeyran et al., 2015; Wallace et al., 2020)","dontUpdate":true,"noteIndex":0},"citationItems":[{"id":29126,"uris":["http://zotero.org/groups/2352922/items/KZ9BUYL9"],"itemData":{"id":29126,"type":"article-journal","abstract":"The challenge of managing biological invasions requires novel approaches and coordinated efforts, especially among countries linked by intense trade routes and sharing common biomes. This is the case in Southern South America, where Argentina, Brazil and Uruguay maintain intense commercial relationships, whilst sharing continuous portions of the Pampas grasslands. Transnational similarities in this case exceed ecological features, including a common colonization history and similar development trends. This study represents a tri-national cooperation effort to describe the alien plant flora invading the Pampas grasslands of Argentina, Brazil and Uruguay and analyses their characteristics in order to detect species and traits that are shared among the three countries and those that have not yet managed to invade the whole region. Furthermore, we highlight the opportunities and needs of a common approach across countries to deal with plant invasions. Information about alien plant species was retrieved from the IABIN Invasives Information Network (I3N) project databases of Argentina, Brazil and Uruguay, complemented with some national herbaria. Three hundred and fifty-six alien plant species were recorded growing in natural or semi-natural habitats of the Pampas. A total of 50 species were found in Pampas grasslands of the three countries. Argentina shared 48 and 36 species with Brazil and Uruguay, respectively, while the Brazilian and the Uruguayan Pampas shared only 20 species. Poaceae, Asteraceae and Fabaceae were the families with the highest number of invasive species, and herbs were the most common life form (75 %). Most invasive plants originated from Europe, Asia and Africa, and almost one-quarter of the species is associated with some human use, especially gardening. We discuss the opportunities and needs for international cooperation, as the prevention of introductions from one country to another through the use of risk analysis tools, definition of priority invasive species, as well as the detection, containment, eradication and control of common invasions. Furthermore, we suggest the establishment of coherent regional legislation and the inclusion of social issues and the public perception in the biological invasion quest. © 2013 Springer Science+Business Media Dordrecht.","container-title":"Biological Invasions","DOI":"10.1007/s10530-013-0406-2","ISSN":"1387-3547, 1573-1464","issue":"8","journalAbbreviation":"Biol Invasions","language":"en","page":"1751-1763","source":"DOI.org (Crossref)","title":"Invasive alien plants in the Pampas grasslands: A tri-national cooperation challenge","title-short":"Invasive alien plants in the Pampas grasslands","URL":"http://link.springer.com/10.1007/s10530-013-0406-2","volume":"15","author":[{"family":"Fonseca","given":"Carlos Roberto"},{"family":"Guadagnin","given":"Demetrio Luis"},{"family":"Emer","given":"Carine"},{"family":"Masciadri","given":"Silvana"},{"family":"Germain","given":"Paola"},{"family":"Zalba","given":"Sergio Martin"}],"accessed":{"date-parts":[["2020",3,28]]},"issued":{"date-parts":[["2013",8]]}},"label":"page"},{"id":10785,"uris":["http://zotero.org/groups/2352922/items/SVAUY7BQ"],"itemData":{"id":10785,"type":"article-journal","container-title":"BioScience","DOI":"10.1641/0006-3568(2004)054[0613:TGISIN]2.0.CO;2","ISSN":"0006-3568","issue":"7","journalAbbreviation":"BioScience","language":"en","page":"613-614","source":"DOI.org (Crossref)","title":"The Global Invasive Species Information Network: What's in It for You?","title-short":"The Global Invasive Species Information Network","URL":"https://academic.oup.com/bioscience/article/54/7/613-614/223512","volume":"54","author":[{"family":"Simpson","given":"Annie"}],"accessed":{"date-parts":[["2019",10,19]]},"issued":{"date-parts":[["2004"]]}},"label":"page"},{"id":10784,"uris":["http://zotero.org/groups/2352922/items/WXSGDQDX"],"itemData":{"id":10784,"type":"article-journal","abstract":"Accurate analysis of present distributions and effective modeling of future distributions of invasive alien species (IAS) are both highly dependent on the availability and accessibility of occurrence data and natural history information about the species. Invasive alien species monitoring and detection networks (such as the Invasive Plant Atlas of New England and the Invasive Plant Atlas of the MidSouth) generate occurrence data at local and regional levels within the United States, which are shared through the US National Institute of Invasive Species Science. The Inter-American Biodiversity Information Network's Invasives Information Network (I3N), facilitates cooperation on sharing invasive species occurrence data throughout the Western Hemisphere. The I3N and other national and regional networks expose their data globally via the Global Invasive Species Information Network (GISIN). International and interdisciplinary cooperation on data sharing strengthens cooperation on strategies and responses to invasions. However, limitations to effective collaboration among invasive species networks leading to successful early detection and rapid response to invasive species include: lack of interoperability; data accessibility; funding; and technical expertise. This paper proposes various solutions to these obstacles at different geographic levels and briefly describes success stories from the invasive species information networks mentioned above. Using biological informatics to facilitate global information sharing is especially critical in invasive species science, as research has shown that one of the best indicators of the invasiveness of a species is whether it has been invasive elsewhere. Data must also be shared across disciplines because natural history information (e.g. diet, predators, habitat requirements, etc.) about a species in its native range is vital for effective prevention, detection, and rapid response to an invasion. Finally, it has been our experience that sharing information, including invasive species dispersal mechanisms and rates, impacts, and prevention and control strategies, enables resource managers and decision-makers to mount a more effective response to biological invasions","container-title":"Biodiversity","DOI":"10.1080/14888386.2009.9712839","ISSN":"1488-8386, 2160-0651","issue":"2-3","journalAbbreviation":"Biodiversity","language":"en","page":"5-13","source":"DOI.org (Crossref)","title":"Invasive species information networks: collaboration at multiple scales for prevention, early detection, and rapid response to invasive alien species","title-short":"Invasive species information networks","URL":"http://www.tandfonline.com/doi/abs/10.1080/14888386.2009.9712839","volume":"10","author":[{"family":"Simpson","given":"Annie"},{"family":"Jarnevich","given":"Catherine"},{"family":"Madsen","given":"John"},{"family":"Westbrooks","given":"Randy"},{"family":"Fournier","given":"Christine"},{"family":"Mehrhoff","given":"Les"},{"family":"Browne","given":"Michael"},{"family":"Graham","given":"Jim"},{"family":"Sellers","given":"Elizabeth"}],"accessed":{"date-parts":[["2019",10,12]]},"issued":{"date-parts":[["2009",9]]}},"label":"page"},{"id":26897,"uris":["http://zotero.org/groups/2352922/items/PVU9Y7F6"],"itemData":{"id":26897,"type":"article-journal","abstract":"Invasive alien species (IAS) are one of the most serious threats to the rich and unique biodiversity of the 13 French overseas territories (FOTs) scattered across three oceans and two continents. To address this critical issue, a dedicated Initiative has been conducted since 2005, with the support of a large panel of national and local experts and stakeholders. This paper summarizes the main results and benefits of this project after 7 years. As a first phase, an unprecedented overview of IAS and their impacts in all the FOTs was achieved. A total of 630 alien taxa were recorded, among which 258 plants, 52 terrestrial vertebrates and 32 invertebrates were identified as a threat, or a potential threat, to native species and/or natural habitats. Gaps in the knowledge about invasive species were also highlighted and a comprehensive set of recommendations was developed. Using a range of targeted collaborative actions and promoting the exchange of information and regional cooperation, the Initiative raised awareness of invasive species issues, improved access to information and strengthened local and regional capacities. In this paper, we report on the outcomes of the Initiative and what remains to be done with regards to the prevention of new introductions, early detection, rapid response and public awareness, as well as future challenges.","container-title":"Biological Invasions","DOI":"10.1007/s10530-014-0766-2","ISSN":"1573-1464","issue":"2","journalAbbreviation":"Biol Invasions","language":"en","page":"545-554","source":"Springer Link","title":"Dealing with invasive alien species in the French overseas territories: results and benefits of a 7-year Initiative","title-short":"Dealing with invasive alien species in the French overseas territories","URL":"https://doi.org/10.1007/s10530-014-0766-2","volume":"17","author":[{"family":"Soubeyran","given":"Yohann"},{"family":"Meyer","given":"Jean-Yves"},{"family":"Lebouvier","given":"Marc"},{"family":"De Thoisy","given":"Benoit"},{"family":"Lavergne","given":"Christophe"},{"family":"Urtizberea","given":"Frank"},{"family":"Kirchner","given":"Florian"}],"accessed":{"date-parts":[["2021",6,8]]},"issued":{"date-parts":[["2015",2,1]]}},"label":"page"},{"id":27447,"uris":["http://zotero.org/groups/2352922/items/ZR89WRD9"],"itemData":{"id":27447,"type":"article-journal","abstract":"The issue of how to detect and rapidly respond to invasive species before it is economically infeasible to control them is one of urgency and importance at international, national, and subnational scales. Barriers to sharing invasive species data—whether in the form of policy, culture, technology, or operational logistics—need to be addressed and overcome at all levels. We propose guiding principles for following standards, formats, and protocols to improve information sharing among US invasive species information systems and conclude that existing invasive species information standards are adequate for the facilitation of data sharing among all sectors. Rather than creating a single information-sharing system, there is a need to promote interfaces among existing information systems that will enable them to become inter-operable, to foster simultaneous access, and to deliver any and all relevant information to a particular user or application in a seamless fashion. The actions we propose include implementing a national campaign to mobilize invasive species occurrence data into publicly available information systems; maintaining a current list of invasive species data integrators/clearinghouses; establishing an agreement for sharing data among the primary US invasive species information systems; enhancing the Integrated Taxonomic Information System to fully cover taxonomic groups not yet complete; further developing and hosting data standards for critical aspects of invasive species biology; supporting and maintaining the North American Invasive Species Management Association’s mapping standards; identifying standard metrics for capturing the environmental and socio-economic impact of invasive species, including impacts and management options; continuing to support US engagement in international invasive species data sharing platforms; and continuing US membership in the Global Biodiversity Information Facility.","container-title":"Biological Invasions","DOI":"10.1007/s10530-019-02142-2","ISSN":"1573-1464","issue":"1","journalAbbreviation":"Biol Invasions","language":"en","page":"37-45","source":"Springer Link","title":"Enabling decisions that make a difference: guidance for improving access to and analysis of invasive species information","title-short":"Enabling decisions that make a difference","URL":"https://doi.org/10.1007/s10530-019-02142-2","volume":"22","author":[{"family":"Wallace","given":"Rebekah D."},{"family":"Bargeron","given":"Charles T."},{"family":"Reaser","given":"Jamie K."}],"accessed":{"date-parts":[["2021",6,8]]},"issued":{"date-parts":[["2020",1,1]]}},"label":"page"}],"schema":"https://github.com/citation-style-language/schema/raw/master/csl-citation.json"} </w:instrText>
      </w:r>
      <w:r w:rsidR="0025786C" w:rsidRPr="00837161">
        <w:fldChar w:fldCharType="separate"/>
      </w:r>
      <w:r w:rsidR="00EC6A3A" w:rsidRPr="00EC6A3A">
        <w:t>Fonseca et al., 2013; Simpson, 2004; Simpson et al., 2009; Soubeyran et al., 2015; Wallace et al., 2020)</w:t>
      </w:r>
      <w:r w:rsidR="0025786C" w:rsidRPr="00837161">
        <w:fldChar w:fldCharType="end"/>
      </w:r>
      <w:r w:rsidR="76312DF9" w:rsidRPr="00837161">
        <w:t xml:space="preserve"> </w:t>
      </w:r>
      <w:r w:rsidRPr="00837161">
        <w:t xml:space="preserve">through trust and a feeling of shared responsibility </w:t>
      </w:r>
      <w:r w:rsidR="00383764" w:rsidRPr="00837161">
        <w:fldChar w:fldCharType="begin"/>
      </w:r>
      <w:r w:rsidR="000F35EB">
        <w:instrText xml:space="preserve"> ADDIN ZOTERO_ITEM CSL_CITATION {"citationID":"tCG7Wyrc","properties":{"formattedCitation":"(S. Graham et al., 2019; Nourani et al., 2018)","plainCitation":"(S. Graham et al., 2019; Nourani et al., 2018)","noteIndex":0},"citationItems":[{"id":53412,"uris":["http://zotero.org/groups/2352922/items/7NSVFK8W"],"itemData":{"id":53412,"type":"article-journal","container-title":"Conservation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id":10793,"uris":["http://zotero.org/groups/2352922/items/HHBPHS6N"],"itemData":{"id":10793,"type":"article-journal","abstract":"Invasive species can create economic and safety concerns. Responding to invasive species requires communication of research, localized management, and collaboration across jurisdictional boundaries. We examined the use of adaptive comanagement in three New York counties to mitigate the impacts of emerald ash borer, a wood-boring beetle that causes widespread death of ash trees. We assessed learning along three typologies (cognitive, normative, and relational), linking (through network analysis), and connections of learning and linking to management outcomes. Findings indicate that knowledge networks were built through task forces that brought together local and state government, university, and private stakeholders. In addition, this study suggests types of learning that are needed for stakeholders to respond to invasive species management.","container-title":"Ecology and Society","DOI":"10.5751/ES-10327-230329","ISSN":"1708-3087","issue":"3","journalAbbreviation":"E&amp;S","language":"en","page":"29","source":"DOI.org (Crossref)","title":"Learning and linking for invasive species management","URL":"https://www.ecologyandsociety.org/vol23/iss3/art29/","volume":"23","author":[{"family":"Nourani","given":"Sally W."},{"family":"Krasny","given":"Marianne E."},{"family":"Decker","given":"Daniel J."}],"accessed":{"date-parts":[["2019",11,28]]},"issued":{"date-parts":[["2018"]]}},"label":"page"}],"schema":"https://github.com/citation-style-language/schema/raw/master/csl-citation.json"} </w:instrText>
      </w:r>
      <w:r w:rsidR="00383764" w:rsidRPr="00837161">
        <w:fldChar w:fldCharType="separate"/>
      </w:r>
      <w:r w:rsidR="00271B78" w:rsidRPr="00271B78">
        <w:t>(S. Graham et al., 2019; Nourani et al., 2018)</w:t>
      </w:r>
      <w:r w:rsidR="00383764" w:rsidRPr="00837161">
        <w:fldChar w:fldCharType="end"/>
      </w:r>
      <w:r w:rsidRPr="00837161">
        <w:t>.</w:t>
      </w:r>
      <w:r w:rsidR="0041377B">
        <w:t xml:space="preserve"> </w:t>
      </w:r>
      <w:r w:rsidR="0041377B" w:rsidRPr="0041377B">
        <w:rPr>
          <w:b/>
          <w:bCs/>
        </w:rPr>
        <w:t>Table 5.13</w:t>
      </w:r>
      <w:r w:rsidRPr="00837161">
        <w:rPr>
          <w:i/>
          <w:iCs/>
        </w:rPr>
        <w:t xml:space="preserve"> </w:t>
      </w:r>
      <w:r w:rsidRPr="00837161">
        <w:t>presents an overview of common challenges in national and international network development as opposed to local collaborative governance networks focused on active management implementation</w:t>
      </w:r>
      <w:r w:rsidR="00CB6353" w:rsidRPr="00837161">
        <w:t xml:space="preserve"> (</w:t>
      </w:r>
      <w:r w:rsidR="002A1B25">
        <w:rPr>
          <w:b/>
          <w:iCs/>
        </w:rPr>
        <w:t>C</w:t>
      </w:r>
      <w:r w:rsidRPr="002A1B25">
        <w:rPr>
          <w:b/>
          <w:iCs/>
        </w:rPr>
        <w:t>hapter 6</w:t>
      </w:r>
      <w:r w:rsidR="00CB6353" w:rsidRPr="002A1B25">
        <w:t xml:space="preserve">, </w:t>
      </w:r>
      <w:r w:rsidRPr="002A1B25">
        <w:rPr>
          <w:b/>
          <w:iCs/>
        </w:rPr>
        <w:t>section</w:t>
      </w:r>
      <w:r w:rsidRPr="002A1B25">
        <w:rPr>
          <w:b/>
        </w:rPr>
        <w:t xml:space="preserve"> </w:t>
      </w:r>
      <w:r w:rsidRPr="002A1B25">
        <w:rPr>
          <w:b/>
          <w:iCs/>
        </w:rPr>
        <w:t>6.4.4</w:t>
      </w:r>
      <w:r w:rsidRPr="00837161">
        <w:t xml:space="preserve">). Networks and partnerships also encourage collective efforts which may lead to socially acceptable and feasible strategies for management </w:t>
      </w:r>
      <w:r w:rsidR="00383764" w:rsidRPr="00837161">
        <w:fldChar w:fldCharType="begin"/>
      </w:r>
      <w:r w:rsidR="000F35EB">
        <w:instrText xml:space="preserve"> ADDIN ZOTERO_ITEM CSL_CITATION {"citationID":"dEgkCSmu","properties":{"formattedCitation":"(S. Graham et al., 2019; S. W. Nourani et al., 2018)","plainCitation":"(S. Graham et al., 2019; S. W. Nourani et al., 2018)","dontUpdate":true,"noteIndex":0},"citationItems":[{"id":53412,"uris":["http://zotero.org/groups/2352922/items/7NSVFK8W"],"itemData":{"id":53412,"type":"article-journal","container-title":"Conservation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id":10793,"uris":["http://zotero.org/groups/2352922/items/HHBPHS6N"],"itemData":{"id":10793,"type":"article-journal","abstract":"Invasive species can create economic and safety concerns. Responding to invasive species requires communication of research, localized management, and collaboration across jurisdictional boundaries. We examined the use of adaptive comanagement in three New York counties to mitigate the impacts of emerald ash borer, a wood-boring beetle that causes widespread death of ash trees. We assessed learning along three typologies (cognitive, normative, and relational), linking (through network analysis), and connections of learning and linking to management outcomes. Findings indicate that knowledge networks were built through task forces that brought together local and state government, university, and private stakeholders. In addition, this study suggests types of learning that are needed for stakeholders to respond to invasive species management.","container-title":"Ecology and Society","DOI":"10.5751/ES-10327-230329","ISSN":"1708-3087","issue":"3","journalAbbreviation":"E&amp;S","language":"en","page":"29","source":"DOI.org (Crossref)","title":"Learning and linking for invasive species management","URL":"https://www.ecologyandsociety.org/vol23/iss3/art29/","volume":"23","author":[{"family":"Nourani","given":"Sally W."},{"family":"Krasny","given":"Marianne E."},{"family":"Decker","given":"Daniel J."}],"accessed":{"date-parts":[["2019",11,28]]},"issued":{"date-parts":[["2018"]]}},"label":"page"}],"schema":"https://github.com/citation-style-language/schema/raw/master/csl-citation.json"} </w:instrText>
      </w:r>
      <w:r w:rsidR="00383764" w:rsidRPr="00837161">
        <w:fldChar w:fldCharType="end"/>
      </w:r>
      <w:r w:rsidR="00EB60F7" w:rsidRPr="00837161">
        <w:fldChar w:fldCharType="begin"/>
      </w:r>
      <w:r w:rsidR="000F35EB">
        <w:instrText xml:space="preserve"> ADDIN ZOTERO_ITEM CSL_CITATION {"citationID":"1mlkfBTo","properties":{"formattedCitation":"(S. Graham et al., 2019; Nourani et al., 2018)","plainCitation":"(S. Graham et al., 2019; Nourani et al., 2018)","noteIndex":0},"citationItems":[{"id":53412,"uris":["http://zotero.org/groups/2352922/items/7NSVFK8W"],"itemData":{"id":53412,"type":"article-journal","container-title":"Conservation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id":10793,"uris":["http://zotero.org/groups/2352922/items/HHBPHS6N"],"itemData":{"id":10793,"type":"article-journal","abstract":"Invasive species can create economic and safety concerns. Responding to invasive species requires communication of research, localized management, and collaboration across jurisdictional boundaries. We examined the use of adaptive comanagement in three New York counties to mitigate the impacts of emerald ash borer, a wood-boring beetle that causes widespread death of ash trees. We assessed learning along three typologies (cognitive, normative, and relational), linking (through network analysis), and connections of learning and linking to management outcomes. Findings indicate that knowledge networks were built through task forces that brought together local and state government, university, and private stakeholders. In addition, this study suggests types of learning that are needed for stakeholders to respond to invasive species management.","container-title":"Ecology and Society","DOI":"10.5751/ES-10327-230329","ISSN":"1708-3087","issue":"3","journalAbbreviation":"E&amp;S","language":"en","page":"29","source":"DOI.org (Crossref)","title":"Learning and linking for invasive species management","URL":"https://www.ecologyandsociety.org/vol23/iss3/art29/","volume":"23","author":[{"family":"Nourani","given":"Sally W."},{"family":"Krasny","given":"Marianne E."},{"family":"Decker","given":"Daniel J."}],"accessed":{"date-parts":[["2019",11,28]]},"issued":{"date-parts":[["2018"]]}},"label":"page"}],"schema":"https://github.com/citation-style-language/schema/raw/master/csl-citation.json"} </w:instrText>
      </w:r>
      <w:r w:rsidR="00EB60F7" w:rsidRPr="00837161">
        <w:fldChar w:fldCharType="separate"/>
      </w:r>
      <w:r w:rsidR="00271B78" w:rsidRPr="00271B78">
        <w:t>(S. Graham et al., 2019; Nourani et al., 2018)</w:t>
      </w:r>
      <w:r w:rsidR="00EB60F7" w:rsidRPr="00837161">
        <w:fldChar w:fldCharType="end"/>
      </w:r>
      <w:r w:rsidR="009D49A6" w:rsidRPr="00837161">
        <w:t xml:space="preserve">. </w:t>
      </w:r>
      <w:r w:rsidRPr="00837161">
        <w:t xml:space="preserve">International conventions </w:t>
      </w:r>
      <w:r w:rsidR="005B0616">
        <w:t xml:space="preserve">and organizations </w:t>
      </w:r>
      <w:r w:rsidRPr="00837161">
        <w:t>such as IPPC</w:t>
      </w:r>
      <w:r w:rsidR="00E0085C" w:rsidRPr="00837161">
        <w:t xml:space="preserve"> </w:t>
      </w:r>
      <w:r w:rsidRPr="00837161">
        <w:t xml:space="preserve">for plant-based trade, the WOAH for animal health, the IMO for shipping pathways (ballast water and biofouling), the CBD for e-Commerce and Convention on International Trade in Endangered Species of Wild Fauna and Flora (CITES) for movement of protected species help global coordination and cooperation in the management of pathways which is crucial to significantly reduce unintentional introductions via international pathways. </w:t>
      </w:r>
      <w:r w:rsidRPr="007458D1">
        <w:rPr>
          <w:b/>
          <w:iCs/>
        </w:rPr>
        <w:t>Chapter 6</w:t>
      </w:r>
      <w:r w:rsidRPr="007458D1">
        <w:rPr>
          <w:iCs/>
        </w:rPr>
        <w:t xml:space="preserve">, </w:t>
      </w:r>
      <w:r w:rsidRPr="007458D1">
        <w:rPr>
          <w:b/>
          <w:iCs/>
        </w:rPr>
        <w:t>sections 6.3.2</w:t>
      </w:r>
      <w:r w:rsidRPr="007458D1">
        <w:rPr>
          <w:iCs/>
        </w:rPr>
        <w:t>,</w:t>
      </w:r>
      <w:r w:rsidRPr="007458D1">
        <w:rPr>
          <w:b/>
          <w:iCs/>
        </w:rPr>
        <w:t xml:space="preserve"> 6.4.4</w:t>
      </w:r>
      <w:r w:rsidRPr="007458D1">
        <w:t xml:space="preserve"> and </w:t>
      </w:r>
      <w:r w:rsidRPr="007458D1">
        <w:rPr>
          <w:b/>
          <w:iCs/>
        </w:rPr>
        <w:t>Box 6.9</w:t>
      </w:r>
      <w:r w:rsidRPr="007458D1">
        <w:t xml:space="preserve"> cover the role of networks and partnerships in managing biological invasions in more detail.</w:t>
      </w:r>
      <w:r w:rsidRPr="00837161">
        <w:t xml:space="preserve"> </w:t>
      </w:r>
      <w:bookmarkStart w:id="695" w:name="_Ref104971714"/>
      <w:bookmarkStart w:id="696" w:name="_Toc87553791"/>
      <w:bookmarkStart w:id="697" w:name="_Toc87623090"/>
    </w:p>
    <w:p w14:paraId="249645D7" w14:textId="77777777" w:rsidR="000B4441" w:rsidRPr="00837161" w:rsidRDefault="000B4441" w:rsidP="000B4441"/>
    <w:p w14:paraId="00000837" w14:textId="2172B122" w:rsidR="00A758FD" w:rsidRPr="00C0338D" w:rsidRDefault="00C81287">
      <w:bookmarkStart w:id="698" w:name="_heading=h.2d51dmb" w:colFirst="0" w:colLast="0"/>
      <w:bookmarkStart w:id="699" w:name="_heading=h.sabnu4" w:colFirst="0" w:colLast="0"/>
      <w:bookmarkStart w:id="700" w:name="_Toc147489090"/>
      <w:bookmarkEnd w:id="698"/>
      <w:bookmarkEnd w:id="699"/>
      <w:r w:rsidRPr="00C0338D">
        <w:rPr>
          <w:b/>
        </w:rPr>
        <w:lastRenderedPageBreak/>
        <w:t>Table 5</w:t>
      </w:r>
      <w:r w:rsidR="00383764" w:rsidRPr="00837161">
        <w:rPr>
          <w:b/>
          <w:bCs/>
        </w:rPr>
        <w:t>.</w:t>
      </w:r>
      <w:r w:rsidR="00383764" w:rsidRPr="00837161">
        <w:rPr>
          <w:b/>
          <w:bCs/>
        </w:rPr>
        <w:fldChar w:fldCharType="begin"/>
      </w:r>
      <w:r w:rsidR="00383764" w:rsidRPr="00837161">
        <w:rPr>
          <w:b/>
          <w:bCs/>
        </w:rPr>
        <w:instrText>SEQ Table_5. \* ARABIC</w:instrText>
      </w:r>
      <w:r w:rsidR="00383764" w:rsidRPr="00837161">
        <w:rPr>
          <w:b/>
          <w:bCs/>
        </w:rPr>
        <w:fldChar w:fldCharType="separate"/>
      </w:r>
      <w:r w:rsidR="00DC77F8">
        <w:rPr>
          <w:b/>
          <w:bCs/>
          <w:noProof/>
        </w:rPr>
        <w:t>13</w:t>
      </w:r>
      <w:r w:rsidR="00383764" w:rsidRPr="00837161">
        <w:rPr>
          <w:b/>
          <w:bCs/>
        </w:rPr>
        <w:fldChar w:fldCharType="end"/>
      </w:r>
      <w:bookmarkEnd w:id="695"/>
      <w:r w:rsidR="001B54C5" w:rsidRPr="00837161">
        <w:rPr>
          <w:b/>
          <w:bCs/>
        </w:rPr>
        <w:t>.</w:t>
      </w:r>
      <w:r w:rsidRPr="00C0338D">
        <w:t xml:space="preserve"> Overview of challenges in international and national network development and potential solutions to address </w:t>
      </w:r>
      <w:bookmarkEnd w:id="696"/>
      <w:bookmarkEnd w:id="697"/>
      <w:r w:rsidRPr="00C0338D">
        <w:t>them</w:t>
      </w:r>
      <w:bookmarkEnd w:id="700"/>
    </w:p>
    <w:p w14:paraId="00000838" w14:textId="31204F64" w:rsidR="00A758FD" w:rsidRPr="002F2F42" w:rsidRDefault="001B54C5" w:rsidP="00AC1F76">
      <w:pPr>
        <w:keepNext/>
        <w:pBdr>
          <w:top w:val="nil"/>
          <w:left w:val="nil"/>
          <w:bottom w:val="nil"/>
          <w:right w:val="nil"/>
          <w:between w:val="nil"/>
        </w:pBdr>
        <w:spacing w:after="120" w:line="240" w:lineRule="auto"/>
      </w:pPr>
      <w:r w:rsidRPr="00837161">
        <w:t>R</w:t>
      </w:r>
      <w:r w:rsidR="00C2683A" w:rsidRPr="00837161">
        <w:t>eview and synthesis</w:t>
      </w:r>
      <w:r w:rsidRPr="00837161">
        <w:t xml:space="preserve"> of</w:t>
      </w:r>
      <w:r w:rsidR="00C2683A" w:rsidRPr="00837161">
        <w:rPr>
          <w:szCs w:val="22"/>
          <w:lang w:eastAsia="it-IT"/>
        </w:rPr>
        <w:t xml:space="preserve"> </w:t>
      </w:r>
      <w:r w:rsidR="00335AE6" w:rsidRPr="007458D1">
        <w:rPr>
          <w:b/>
          <w:bCs/>
          <w:szCs w:val="22"/>
          <w:lang w:eastAsia="it-IT"/>
        </w:rPr>
        <w:fldChar w:fldCharType="begin"/>
      </w:r>
      <w:r w:rsidR="007746C5">
        <w:rPr>
          <w:szCs w:val="22"/>
          <w:lang w:eastAsia="it-IT"/>
        </w:rPr>
        <w:instrText xml:space="preserve"> ADDIN ZOTERO_ITEM CSL_CITATION {"citationID":"ACv5uSY5","properties":{"formattedCitation":"(S. Graham et al., 2019; Groom, Desmet, et al., 2019; Katsanevakis et al., 2013; Lucy et al., 2016; Piria et al., 2017; Reaser, Simpson, et al., 2020; Simpson et al., 2006, 2009)","plainCitation":"(S. Graham et al., 2019; Groom, Desmet, et al., 2019; Katsanevakis et al., 2013; Lucy et al., 2016; Piria et al., 2017; Reaser, Simpson, et al., 2020; Simpson et al., 2006, 2009)","dontUpdate":true,"noteIndex":0},"citationItems":[{"id":53412,"uris":["http://zotero.org/groups/2352922/items/7NSVFK8W"],"itemData":{"id":53412,"type":"article-journal","container-title":"Conservation Biology","DOI":"10.1111/cobi.13266","ISSN":"0888-8892, 1523-1739","issue":"2","journalAbbreviation":"Conservation Biology","language":"en","page":"275-287","source":"DOI.org (Crossref)","title":"Opportunities for better use of collective action theory in research and governance for invasive species management","URL":"https://onlinelibrary.wiley.com/doi/10.1111/cobi.13266","volume":"33","author":[{"family":"Graham","given":"Sonia"},{"family":"Metcalf","given":"Alexander L."},{"family":"Gill","given":"Nicholas"},{"family":"Niemiec","given":"Rebecca"},{"family":"Moreno","given":"Carlo"},{"family":"Bach","given":"Thomas"},{"family":"Ikutegbe","given":"Victoria"},{"family":"Hallstrom","given":"Lars"},{"family":"Ma","given":"Zhao"},{"family":"Lubeck","given":"Alice"}],"accessed":{"date-parts":[["2022",9,14]]},"issued":{"date-parts":[["2019",4]]}},"label":"page"},{"id":29174,"uris":["http://zotero.org/groups/2352922/items/ZMMWLP9A"],"itemData":{"id":29174,"type":"article-journal","abstract":"To improve the suitability of the Darwin Core standard for the research and management of alien species, the standard needs to express the native status of organisms, how well established they are and how they came to occupy a location. To facilitate this, we propose:\n  1. To adopt a controlled vocabulary for the existing Darwin Core term dwc:establishmentMeans\n  2. To elevate the pathway term from the Invasive Species Pathways extension to become a new Darwin Core term dwc:pathway maintained as part of the Darwin Core standard\n  3. To adopt a new Darwin Core term dwc:degreeOfEstablishment with an associated controlled vocabulary\n  These changes to the standard will allow users to clearly state whether an occurrence of a species is native to a location or not, how it got there (pathway), and to what extent the species has become a permanent feature of the location. By improving Darwin Core for capturing and sharing these data, we aim to improve the quality of occurrence and checklist data in general and to increase the number of potential uses of these data.","container-title":"Biodiversity Information Science and Standards","DOI":"10.3897/biss.3.38084","ISSN":"2535-0897","language":"en","license":"2021Quentin Groom, Peter Desmet, Lien Reyserhove, Tim Adriaens, Damiano Oldoni, Sonia Vanderhoeven, Steven J Baskauf, Arthur Chapman, Melodie McGeoch, Ramona Walls, John Wieczorek, John Wilson, Paula F Zermoglio, Annie Simpson","note":"publisher: Pensoft Publishers","page":"e38084","source":"biss.pensoft.net","title":"Improving Darwin Core for research and management of alien species","URL":"https://biss.pensoft.net/article/38084/","volume":"3","author":[{"family":"Groom","given":"Quentin J."},{"family":"Desmet","given":"Peter"},{"family":"Reyserhove","given":"Lien"},{"family":"Adriaens","given":"Tim"},{"family":"Oldoni","given":"Damiano"},{"family":"Vanderhoeven","given":"Sonia"},{"family":"Baskauf","given":"Steven J."},{"family":"Chapman","given":"Arthur"},{"family":"McGeoch","given":"Melodie A."},{"family":"Walls","given":"Ramona"},{"family":"Wieczorek","given":"John"},{"family":"Wilson","given":"John R U"},{"family":"Zermoglio","given":"Paula F."},{"family":"Simpson","given":"Annie"}],"accessed":{"date-parts":[["2021",6,8]]},"issued":{"date-parts":[["2019",10,10]]}},"label":"page"},{"id":53357,"uris":["http://zotero.org/groups/2352922/items/LBS9PBN9"],"itemData":{"id":53357,"type":"article-journal","container-title":"Management of Biological Invasions","DOI":"10.3391/mbi.2013.4.1.02","ISSN":"19898649","issue":"1","journalAbbreviation":"MBI","page":"3-6","source":"DOI.org (Crossref)","title":"Implementing the European policies for alien species – networking, science, and partnership in a complex environment","URL":"http://www.reabic.net/journals/mbi/2013/Issue1.aspx","volume":"4","author":[{"family":"Katsanevakis","given":"Stelios"},{"family":"Genovesi","given":"Piero"},{"family":"Gaiji","given":"Samy"},{"family":"Hvid","given":"Helene Nyegaard"},{"family":"Roy","given":"Helen E."},{"family":"Nunes","given":"Ana Luisa"},{"family":"Aguado","given":"Francisco Sanchez"},{"family":"Bogucarskis","given":"Konstantins"},{"family":"Debusscher","given":"Bos"},{"family":"Deriu","given":"Ivan"},{"family":"Harrower","given":"Colin"},{"family":"Josefsson","given":"Melanie"},{"family":"Lucy","given":"Frances"},{"family":"Marchini","given":"Agnese"},{"family":"Richards","given":"Gareth"},{"family":"Trichkova","given":"Teodora"},{"family":"Vanderhoeven","given":"Sonia"},{"family":"Zenetos","given":"Argyro"},{"family":"Cardoso","given":"Ana Cristina"}],"accessed":{"date-parts":[["2022",9,15]]},"issued":{"date-parts":[["2013",2]]}},"label":"page"},{"id":17269,"uris":["http://zotero.org/groups/2352922/items/Q9ED7TGK"],"itemData":{"id":17269,"type":"article-journal","abstract":"© 2016 The Author(s). In a world where invasive alien species (IAS) are recognised as one of the major threats to biodiversity, leading scientists from five continents have come together to propose the concept of developing an international association for open knowledge and open data on IAS—termed “INVASIVESNET”. This new association will facilitate greater understanding and improved management of invasive alien species (IAS) and biological invasions globally, by developing a sustainable network of networks for effective knowledge exchange. In addition to their inclusion in the CBD Strategic Plan for Biodiversity, the increasing ecological, social, cultural and economic impacts associated with IAS have driven the development of multiple legal instruments and policies. This increases the need for greater co-ordination, co-operation, and information exchange among scientists, management, the community of practice and the public. INVASIVESNET will be formed by linking new and existing networks of interested stakeholders including international and national expert working groups and initiatives, individual scientists, database managers, thematic open access journals, environmental agencies, practitioners, managers, industry, non-government organisations, citizens and educational bodies. The association will develop technical tools and cyberinfrastructure for the collection, management and dissemination of data and information on IAS create an effective communication platform for global stakeholders and promote coordination and collaboration through international meetings, workshops, education, training and outreach. To date, the sustainability of many strategic national and international initiatives on IAS have unfortunately been hampered by time-limited grants or funding cycles. Recognising that IAS initiatives need to be globally coordinated and ongoing, we aim to develop a sustainable knowledge sharing association to connect the outputs of IAS research and to inform the consequential management and societal challenges arising from IAS introductions. INVASIVESNET will provide a dynamic and enduring network of networks to ensure the continuity of connections among the IAS community of practice, science and management.","container-title":"Management of Biological Invasions","DOI":"10.3391/mbi.2016.7.2.01","ISSN":"19898649","issue":"2","journalAbbreviation":"MBI","page":"131-139","source":"DOI.org (Crossref)","title":"INVASIVESNET towards an international association for open knowledge on invasive alien species","URL":"http://doi.org/10.3391/mbi.2016.7.2.01","volume":"7","author":[{"family":"Lucy","given":"F. E."},{"family":"Roy","given":"H."},{"family":"Simpson","given":"A."},{"family":"Carlton","given":"J.T."},{"family":"Hanson","given":"J.M."},{"family":"Magellan","given":"K."},{"family":"Campbell","given":"M.L."},{"family":"Costello","given":"M.J."},{"family":"Pagad","given":"S."},{"family":"Hewitt","given":"C.L."},{"family":"McDonald","given":"J."},{"family":"Cassey","given":"P."},{"family":"Thomaz","given":"S.M."},{"family":"Katsanevakis","given":"S."},{"family":"Zenetos","given":"A."},{"family":"Tricarico","given":"E."},{"family":"Boggero","given":"A."},{"family":"Groom","given":"Q.J."},{"family":"Adriaens","given":"T."},{"family":"Vanderhoeven","given":"S."},{"family":"Torchin","given":"M."},{"family":"Hufbauer","given":"R."},{"family":"Fuller","given":"P."},{"family":"Carman","given":"M.R."},{"family":"Conn","given":"D.B."},{"family":"Vitule","given":"J.R.S."},{"family":"Canning-Clode","given":"J."},{"family":"Galil","given":"B.S."},{"family":"Ojaveer","given":"H."},{"family":"Bailey","given":"S.A."},{"family":"Therriault","given":"T.W."},{"family":"Claudi","given":"R."},{"family":"Gazda","given":"A."},{"family":"Dick","given":"J.T.A."},{"family":"Caffrey","given":"J."},{"family":"Witt","given":"A."},{"family":"Kenis","given":"M."},{"family":"Lehtiniemi","given":"M."},{"family":"Helmisaari","given":"H."},{"family":"Panov","given":"V.E."}],"issued":{"date-parts":[["2016"]]}},"label":"page"},{"id":29919,"uris":["http://zotero.org/groups/2352922/items/T4CQIE5T"],"itemData":{"id":29919,"type":"article-journal","container-title":"Management of Biological Invasions","DOI":"10.3391/mbi.2017.8.3.02","ISSN":"19898649","issue":"3","journalAbbreviation":"MBI","page":"273-286","source":"DOI.org (Crossref)","title":"Tackling invasive alien species in Europe II: threats and opportunities until 2020","title-short":"Tackling invasive alien species in Europe II","URL":"http://www.reabic.net/journals/mbi/2017/Issue3.aspx","volume":"8","author":[{"family":"Piria","given":"Marina"},{"family":"Copp","given":"Gordon H."},{"family":"Dick","given":"Jaimie T. A."},{"family":"Duplić","given":"Aljoša"},{"family":"Groom","given":"Quentin"},{"family":"Jelić","given":"Dušan"},{"family":"Lucy","given":"Frances E."},{"family":"Roy","given":"Helen E."},{"family":"Sarat","given":"Emmanuelle"},{"family":"Simonović","given":"Predrag"},{"family":"Tomljanović","given":"Tea"},{"family":"Tricarico","given":"Elena"},{"family":"Weinlander","given":"Martin"},{"family":"Adámek","given":"Zdeněk"},{"literal":"Sarah Bedolfe"},{"family":"Coughlan","given":"Neil E."},{"family":"Davis","given":"Eithne"},{"family":"Dobrzycka-Krahel","given":"Aldona"},{"family":"Grgić","given":"Zoran"},{"family":"Kırankaya","given":"Şerıfe G."},{"family":"Ekmekçi","given":"F. Güler"},{"family":"Lajtner","given":"Jasna"},{"family":"Lukas","given":"Juliane A.Y."},{"family":"Koutsikos","given":"Nicholas"},{"family":"Mennen","given":"Gloria J."},{"family":"Mitić","given":"Božena"},{"family":"Pastorino","given":"Paolo"},{"family":"Ruokonen","given":"Timo J."},{"family":"Skóra","given":"Michał E."},{"family":"Smith","given":"Emily R.C."},{"family":"Šprem","given":"Nikica"},{"family":"Tarkan","given":"Ali Serhan"},{"family":"Treer","given":"Tomislav"},{"family":"Vardakas","given":"Leonidas"},{"family":"Vehanen","given":"Teppo"},{"family":"Vilizzi","given":"Lorenzo"},{"family":"Zanella","given":"Davor"},{"family":"Caffrey","given":"Joe M."}],"accessed":{"date-parts":[["2021",7,13]]},"issued":{"date-parts":[["2017"]]}},"label":"page"},{"id":56572,"uris":["http://zotero.org/groups/2352922/items/9XNJMBFZ","http://zotero.org/groups/2352922/items/CMZSBKMT"],"itemData":{"id":56572,"type":"article-journal","abstract":"Abstract\n            \n              With a view toward creating a national Early Detection and Rapid Response Program (EDRR) program, the United States\n              National Invasive Species Council Management Plan\n              for 2016–2018 calls for a series of assessments of federal EDRR capacities, including the evaluation of “relevant federal information systems to provide the data and other information necessary for risk analyses/horizon scanning, rapid specimen identification, and rapid response planning.” This paper is a response to that directive. We provide an overview of information management needs for enacting EDRR and discuss challenges to meeting these needs. We then review the history of relevant US policy directives for advancing invasive species information systems and provide an overview of federal invasive species information system capacities, including current gaps and inconsistencies. We conclude with a summary of key principles and needs for establishing a national invasive species information framework. Our findings are consistent with earlier studies and, thus, emphasize the need to act on long-recognized needs. As a supplement to this paper, we have cataloged federal invasive species databases and information tools identified through this work.","container-title":"Biological Invasions","DOI":"10.1007/s10530-019-02141-3","ISSN":"1387-3547, 1573-1464","issue":"1","journalAbbreviation":"Biol Invasions","language":"en","page":"21-36","source":"DOI.org (Crossref)","title":"Envisioning a national invasive species information framework","URL":"http://link.springer.com/10.1007/s10530-019-02141-3","volume":"22","author":[{"family":"Reaser","given":"Jamie K."},{"family":"Simpson","given":"Annie"},{"family":"Guala","given":"Gerald F."},{"family":"Morisette","given":"Jeffrey T."},{"family":"Fuller","given":"Pam"}],"accessed":{"date-parts":[["2023",6,8]]},"issued":{"date-parts":[["2020",1]]}},"label":"page"},{"id":26898,"uris":["http://zotero.org/groups/2352922/items/M4LVW7SB"],"itemData":{"id":26898,"type":"article-journal","abstract":"In order to be effective, information must be placed in the proper context and organized in a manner that is logical and (preferably) standardized. Recently, invasive alien species (IAS) scientists have begun to create online networks to share their information concerning IAS prevention and control. At a special networking session at the Beijing International Symposium on Biological Invasions, an online Eastern Asia–North American IAS Information Network (EA–NA Network) was proposed. To prepare for the development of this network, and to provide models for other regional collaborations, we compare four examples of global, regional, and national online IAS information networks: the Global Invasive Species Information Network, the Invasives Information Network of the Inter-American Biodiversity Information Network, the Chinese Species Information System, and the Invasive Species Information Node of the US National Biological Information Infrastructure. We conclude that IAS networks require a common goal, dedicated leaders, effective communication, and broad endorsement, in order to obtain sustainable, long-term funding and long-term stability. They need to start small, use the experience of other networks, partner with others, and showcase benefits. Global integration and synergy among invasive species networks will succeed with contributions from both the top-down and the bottom-up.","container-title":"Biological Invasions","DOI":"10.1007/s10530-005-5850-1","ISSN":"1573-1464","issue":"7","journalAbbreviation":"Biol Invasions","language":"en","page":"1579-1587","source":"Springer Link","title":"Essential elements of online information networks on invasive alien species","URL":"https://doi.org/10.1007/s10530-005-5850-1","volume":"8","author":[{"family":"Simpson","given":"Annie"},{"family":"Sellers","given":"Elizabeth"},{"family":"Grosse","given":"Andrea"},{"family":"Xie","given":"Yan"}],"accessed":{"date-parts":[["2021",6,8]]},"issued":{"date-parts":[["2006",10,1]]}},"label":"page"},{"id":10784,"uris":["http://zotero.org/groups/2352922/items/WXSGDQDX"],"itemData":{"id":10784,"type":"article-journal","abstract":"Accurate analysis of present distributions and effective modeling of future distributions of invasive alien species (IAS) are both highly dependent on the availability and accessibility of occurrence data and natural history information about the species. Invasive alien species monitoring and detection networks (such as the Invasive Plant Atlas of New England and the Invasive Plant Atlas of the MidSouth) generate occurrence data at local and regional levels within the United States, which are shared through the US National Institute of Invasive Species Science. The Inter-American Biodiversity Information Network's Invasives Information Network (I3N), facilitates cooperation on sharing invasive species occurrence data throughout the Western Hemisphere. The I3N and other national and regional networks expose their data globally via the Global Invasive Species Information Network (GISIN). International and interdisciplinary cooperation on data sharing strengthens cooperation on strategies and responses to invasions. However, limitations to effective collaboration among invasive species networks leading to successful early detection and rapid response to invasive species include: lack of interoperability; data accessibility; funding; and technical expertise. This paper proposes various solutions to these obstacles at different geographic levels and briefly describes success stories from the invasive species information networks mentioned above. Using biological informatics to facilitate global information sharing is especially critical in invasive species science, as research has shown that one of the best indicators of the invasiveness of a species is whether it has been invasive elsewhere. Data must also be shared across disciplines because natural history information (e.g. diet, predators, habitat requirements, etc.) about a species in its native range is vital for effective prevention, detection, and rapid response to an invasion. Finally, it has been our experience that sharing information, including invasive species dispersal mechanisms and rates, impacts, and prevention and control strategies, enables resource managers and decision-makers to mount a more effective response to biological invasions","container-title":"Biodiversity","DOI":"10.1080/14888386.2009.9712839","ISSN":"1488-8386, 2160-0651","issue":"2-3","journalAbbreviation":"Biodiversity","language":"en","page":"5-13","source":"DOI.org (Crossref)","title":"Invasive species information networks: collaboration at multiple scales for prevention, early detection, and rapid response to invasive alien species","title-short":"Invasive species information networks","URL":"http://www.tandfonline.com/doi/abs/10.1080/14888386.2009.9712839","volume":"10","author":[{"family":"Simpson","given":"Annie"},{"family":"Jarnevich","given":"Catherine"},{"family":"Madsen","given":"John"},{"family":"Westbrooks","given":"Randy"},{"family":"Fournier","given":"Christine"},{"family":"Mehrhoff","given":"Les"},{"family":"Browne","given":"Michael"},{"family":"Graham","given":"Jim"},{"family":"Sellers","given":"Elizabeth"}],"accessed":{"date-parts":[["2019",10,12]]},"issued":{"date-parts":[["2009",9]]}},"label":"page"}],"schema":"https://github.com/citation-style-language/schema/raw/master/csl-citation.json"} </w:instrText>
      </w:r>
      <w:r w:rsidR="00335AE6" w:rsidRPr="007458D1">
        <w:rPr>
          <w:b/>
          <w:bCs/>
          <w:szCs w:val="22"/>
          <w:lang w:eastAsia="it-IT"/>
        </w:rPr>
        <w:fldChar w:fldCharType="separate"/>
      </w:r>
      <w:r w:rsidR="00271B78" w:rsidRPr="00271B78">
        <w:t xml:space="preserve">S. Graham et al. </w:t>
      </w:r>
      <w:r w:rsidR="004A06AA">
        <w:t>(</w:t>
      </w:r>
      <w:r w:rsidR="00271B78" w:rsidRPr="00271B78">
        <w:t>2019</w:t>
      </w:r>
      <w:r w:rsidR="004A06AA">
        <w:t>)</w:t>
      </w:r>
      <w:r w:rsidR="00271B78" w:rsidRPr="00271B78">
        <w:t xml:space="preserve">; Groom, Desmet, et al. </w:t>
      </w:r>
      <w:r w:rsidR="004A06AA">
        <w:t>(</w:t>
      </w:r>
      <w:r w:rsidR="00271B78" w:rsidRPr="00271B78">
        <w:t>2019</w:t>
      </w:r>
      <w:r w:rsidR="004A06AA">
        <w:t>)</w:t>
      </w:r>
      <w:r w:rsidR="00271B78" w:rsidRPr="00271B78">
        <w:t xml:space="preserve">; Katsanevakis et al. </w:t>
      </w:r>
      <w:r w:rsidR="004A06AA">
        <w:t>(</w:t>
      </w:r>
      <w:r w:rsidR="00271B78" w:rsidRPr="00271B78">
        <w:t>2013</w:t>
      </w:r>
      <w:r w:rsidR="004A06AA">
        <w:t>)</w:t>
      </w:r>
      <w:r w:rsidR="00271B78" w:rsidRPr="00271B78">
        <w:t>; Lucy et al</w:t>
      </w:r>
      <w:r w:rsidR="004A06AA">
        <w:t>.</w:t>
      </w:r>
      <w:r w:rsidR="00271B78" w:rsidRPr="00271B78">
        <w:t xml:space="preserve"> </w:t>
      </w:r>
      <w:r w:rsidR="004A06AA">
        <w:t>(</w:t>
      </w:r>
      <w:r w:rsidR="00271B78" w:rsidRPr="00271B78">
        <w:t>2016</w:t>
      </w:r>
      <w:r w:rsidR="004A06AA">
        <w:t>)</w:t>
      </w:r>
      <w:r w:rsidR="00271B78" w:rsidRPr="00271B78">
        <w:t xml:space="preserve">; Piria et al. </w:t>
      </w:r>
      <w:r w:rsidR="004A06AA">
        <w:t>(</w:t>
      </w:r>
      <w:r w:rsidR="00271B78" w:rsidRPr="00271B78">
        <w:t>2017</w:t>
      </w:r>
      <w:r w:rsidR="004A06AA">
        <w:t>)</w:t>
      </w:r>
      <w:r w:rsidR="00271B78" w:rsidRPr="00271B78">
        <w:t xml:space="preserve">; Reaser, Simpson, et al. </w:t>
      </w:r>
      <w:r w:rsidR="004A06AA">
        <w:t>(</w:t>
      </w:r>
      <w:r w:rsidR="00271B78" w:rsidRPr="00271B78">
        <w:t>2020</w:t>
      </w:r>
      <w:r w:rsidR="004A06AA">
        <w:t>)</w:t>
      </w:r>
      <w:r w:rsidR="00271B78" w:rsidRPr="00271B78">
        <w:t xml:space="preserve">; Simpson et al. </w:t>
      </w:r>
      <w:r w:rsidR="004A06AA">
        <w:t>(</w:t>
      </w:r>
      <w:r w:rsidR="00271B78" w:rsidRPr="00271B78">
        <w:t>2006, 2009)</w:t>
      </w:r>
      <w:r w:rsidR="00335AE6" w:rsidRPr="007458D1">
        <w:rPr>
          <w:b/>
          <w:bCs/>
          <w:szCs w:val="22"/>
          <w:lang w:eastAsia="it-IT"/>
        </w:rPr>
        <w:fldChar w:fldCharType="end"/>
      </w:r>
      <w:r w:rsidR="00C93B14" w:rsidRPr="007458D1">
        <w:rPr>
          <w:szCs w:val="22"/>
          <w:lang w:eastAsia="it-IT"/>
        </w:rPr>
        <w:t>.</w:t>
      </w:r>
      <w:r w:rsidR="00C81287" w:rsidRPr="002F2F42">
        <w:t xml:space="preserve"> </w:t>
      </w:r>
    </w:p>
    <w:tbl>
      <w:tblPr>
        <w:tblW w:w="842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A0" w:firstRow="1" w:lastRow="0" w:firstColumn="1" w:lastColumn="0" w:noHBand="0" w:noVBand="1"/>
      </w:tblPr>
      <w:tblGrid>
        <w:gridCol w:w="2600"/>
        <w:gridCol w:w="5820"/>
      </w:tblGrid>
      <w:tr w:rsidR="00A758FD" w14:paraId="1C014400" w14:textId="77777777" w:rsidTr="002F2F42">
        <w:trPr>
          <w:trHeight w:val="576"/>
        </w:trPr>
        <w:tc>
          <w:tcPr>
            <w:tcW w:w="2600" w:type="dxa"/>
          </w:tcPr>
          <w:p w14:paraId="00000839" w14:textId="77777777" w:rsidR="00A758FD" w:rsidRPr="00C0338D" w:rsidRDefault="00C81287">
            <w:r w:rsidRPr="00C0338D">
              <w:t>Challenge</w:t>
            </w:r>
          </w:p>
        </w:tc>
        <w:tc>
          <w:tcPr>
            <w:tcW w:w="5820" w:type="dxa"/>
          </w:tcPr>
          <w:p w14:paraId="0000083A" w14:textId="77777777" w:rsidR="00A758FD" w:rsidRPr="00C0338D" w:rsidRDefault="00C81287">
            <w:r w:rsidRPr="00C0338D">
              <w:t>Solutions</w:t>
            </w:r>
          </w:p>
        </w:tc>
      </w:tr>
      <w:tr w:rsidR="00A758FD" w14:paraId="779A752F" w14:textId="77777777" w:rsidTr="002F2F42">
        <w:trPr>
          <w:trHeight w:val="254"/>
        </w:trPr>
        <w:tc>
          <w:tcPr>
            <w:tcW w:w="2600" w:type="dxa"/>
            <w:vMerge w:val="restart"/>
            <w:vAlign w:val="center"/>
          </w:tcPr>
          <w:p w14:paraId="0000083B" w14:textId="77777777" w:rsidR="00A758FD" w:rsidRPr="00C0338D" w:rsidRDefault="00C81287">
            <w:r w:rsidRPr="00C0338D">
              <w:t>Technical</w:t>
            </w:r>
          </w:p>
        </w:tc>
        <w:tc>
          <w:tcPr>
            <w:tcW w:w="5820" w:type="dxa"/>
          </w:tcPr>
          <w:p w14:paraId="0000083C" w14:textId="77777777" w:rsidR="00A758FD" w:rsidRPr="00C0338D" w:rsidRDefault="00C81287">
            <w:r w:rsidRPr="00C0338D">
              <w:t xml:space="preserve">Co-develop tools for early detection, eradication and control, </w:t>
            </w:r>
          </w:p>
        </w:tc>
      </w:tr>
      <w:tr w:rsidR="00A758FD" w14:paraId="7B8E8D52" w14:textId="77777777" w:rsidTr="002F2F42">
        <w:trPr>
          <w:trHeight w:val="288"/>
        </w:trPr>
        <w:tc>
          <w:tcPr>
            <w:tcW w:w="2600" w:type="dxa"/>
            <w:vMerge/>
            <w:vAlign w:val="center"/>
          </w:tcPr>
          <w:p w14:paraId="0000083D" w14:textId="77777777" w:rsidR="00A758FD" w:rsidRPr="00C0338D" w:rsidRDefault="00A758FD" w:rsidP="00AC1F76">
            <w:pPr>
              <w:widowControl w:val="0"/>
              <w:pBdr>
                <w:top w:val="nil"/>
                <w:left w:val="nil"/>
                <w:bottom w:val="nil"/>
                <w:right w:val="nil"/>
                <w:between w:val="nil"/>
              </w:pBdr>
              <w:spacing w:line="276" w:lineRule="auto"/>
            </w:pPr>
          </w:p>
        </w:tc>
        <w:tc>
          <w:tcPr>
            <w:tcW w:w="5820" w:type="dxa"/>
          </w:tcPr>
          <w:p w14:paraId="0000083E" w14:textId="3EAFA008" w:rsidR="00A758FD" w:rsidRPr="00C0338D" w:rsidRDefault="00C81287">
            <w:r w:rsidRPr="00C0338D">
              <w:t>Provide high quality, up-to date</w:t>
            </w:r>
            <w:r w:rsidR="00C16EEB">
              <w:t xml:space="preserve"> and</w:t>
            </w:r>
            <w:r w:rsidRPr="00C0338D">
              <w:t xml:space="preserve"> accessible data</w:t>
            </w:r>
          </w:p>
        </w:tc>
      </w:tr>
      <w:tr w:rsidR="00A758FD" w14:paraId="26D08FBB" w14:textId="77777777" w:rsidTr="002F2F42">
        <w:trPr>
          <w:trHeight w:val="288"/>
        </w:trPr>
        <w:tc>
          <w:tcPr>
            <w:tcW w:w="2600" w:type="dxa"/>
            <w:vMerge/>
            <w:vAlign w:val="center"/>
          </w:tcPr>
          <w:p w14:paraId="0000083F" w14:textId="77777777" w:rsidR="00A758FD" w:rsidRPr="00C0338D" w:rsidRDefault="00A758FD" w:rsidP="00AC1F76">
            <w:pPr>
              <w:widowControl w:val="0"/>
              <w:pBdr>
                <w:top w:val="nil"/>
                <w:left w:val="nil"/>
                <w:bottom w:val="nil"/>
                <w:right w:val="nil"/>
                <w:between w:val="nil"/>
              </w:pBdr>
              <w:spacing w:line="276" w:lineRule="auto"/>
            </w:pPr>
          </w:p>
        </w:tc>
        <w:tc>
          <w:tcPr>
            <w:tcW w:w="5820" w:type="dxa"/>
          </w:tcPr>
          <w:p w14:paraId="00000840" w14:textId="77777777" w:rsidR="00A758FD" w:rsidRPr="00C0338D" w:rsidRDefault="00C81287">
            <w:r w:rsidRPr="00C0338D">
              <w:t>Assure interoperability and data standardization</w:t>
            </w:r>
          </w:p>
        </w:tc>
      </w:tr>
      <w:tr w:rsidR="00A758FD" w14:paraId="2A26C609" w14:textId="77777777" w:rsidTr="002F2F42">
        <w:trPr>
          <w:trHeight w:val="288"/>
        </w:trPr>
        <w:tc>
          <w:tcPr>
            <w:tcW w:w="2600" w:type="dxa"/>
            <w:vMerge w:val="restart"/>
            <w:vAlign w:val="center"/>
          </w:tcPr>
          <w:p w14:paraId="00000841" w14:textId="77777777" w:rsidR="00A758FD" w:rsidRPr="00C0338D" w:rsidRDefault="00C81287">
            <w:r w:rsidRPr="00C0338D">
              <w:t>Societal</w:t>
            </w:r>
          </w:p>
        </w:tc>
        <w:tc>
          <w:tcPr>
            <w:tcW w:w="5820" w:type="dxa"/>
          </w:tcPr>
          <w:p w14:paraId="00000842" w14:textId="77777777" w:rsidR="00A758FD" w:rsidRPr="00C0338D" w:rsidRDefault="00C81287">
            <w:r w:rsidRPr="00C0338D">
              <w:t>Raise awareness</w:t>
            </w:r>
          </w:p>
        </w:tc>
      </w:tr>
      <w:tr w:rsidR="00A758FD" w14:paraId="2C881D97" w14:textId="77777777" w:rsidTr="002F2F42">
        <w:trPr>
          <w:trHeight w:val="288"/>
        </w:trPr>
        <w:tc>
          <w:tcPr>
            <w:tcW w:w="2600" w:type="dxa"/>
            <w:vMerge/>
            <w:vAlign w:val="center"/>
          </w:tcPr>
          <w:p w14:paraId="00000843" w14:textId="77777777" w:rsidR="00A758FD" w:rsidRPr="00C0338D" w:rsidRDefault="00A758FD" w:rsidP="00AC1F76">
            <w:pPr>
              <w:widowControl w:val="0"/>
              <w:pBdr>
                <w:top w:val="nil"/>
                <w:left w:val="nil"/>
                <w:bottom w:val="nil"/>
                <w:right w:val="nil"/>
                <w:between w:val="nil"/>
              </w:pBdr>
              <w:spacing w:line="276" w:lineRule="auto"/>
            </w:pPr>
          </w:p>
        </w:tc>
        <w:tc>
          <w:tcPr>
            <w:tcW w:w="5820" w:type="dxa"/>
          </w:tcPr>
          <w:p w14:paraId="00000844" w14:textId="77777777" w:rsidR="00A758FD" w:rsidRPr="00C0338D" w:rsidRDefault="00C81287">
            <w:r w:rsidRPr="00C0338D">
              <w:t>Drive political choices</w:t>
            </w:r>
          </w:p>
        </w:tc>
      </w:tr>
      <w:tr w:rsidR="00A758FD" w14:paraId="7CE3E6EB" w14:textId="77777777" w:rsidTr="002F2F42">
        <w:trPr>
          <w:trHeight w:val="288"/>
        </w:trPr>
        <w:tc>
          <w:tcPr>
            <w:tcW w:w="2600" w:type="dxa"/>
            <w:vMerge/>
            <w:vAlign w:val="center"/>
          </w:tcPr>
          <w:p w14:paraId="00000845" w14:textId="77777777" w:rsidR="00A758FD" w:rsidRPr="00C0338D" w:rsidRDefault="00A758FD" w:rsidP="00AC1F76">
            <w:pPr>
              <w:widowControl w:val="0"/>
              <w:pBdr>
                <w:top w:val="nil"/>
                <w:left w:val="nil"/>
                <w:bottom w:val="nil"/>
                <w:right w:val="nil"/>
                <w:between w:val="nil"/>
              </w:pBdr>
              <w:spacing w:line="276" w:lineRule="auto"/>
            </w:pPr>
          </w:p>
        </w:tc>
        <w:tc>
          <w:tcPr>
            <w:tcW w:w="5820" w:type="dxa"/>
          </w:tcPr>
          <w:p w14:paraId="00000846" w14:textId="77777777" w:rsidR="00A758FD" w:rsidRPr="00C0338D" w:rsidRDefault="00C81287">
            <w:r w:rsidRPr="00C0338D">
              <w:t>Ensure access to funds wherever necessary</w:t>
            </w:r>
          </w:p>
        </w:tc>
      </w:tr>
      <w:tr w:rsidR="00A758FD" w14:paraId="4E1EC6FF" w14:textId="77777777" w:rsidTr="002F2F42">
        <w:trPr>
          <w:trHeight w:val="288"/>
        </w:trPr>
        <w:tc>
          <w:tcPr>
            <w:tcW w:w="2600" w:type="dxa"/>
            <w:vMerge w:val="restart"/>
            <w:vAlign w:val="center"/>
          </w:tcPr>
          <w:p w14:paraId="00000847" w14:textId="77777777" w:rsidR="00A758FD" w:rsidRPr="00C0338D" w:rsidRDefault="00C81287">
            <w:r w:rsidRPr="00C0338D">
              <w:t>Coordination</w:t>
            </w:r>
          </w:p>
        </w:tc>
        <w:tc>
          <w:tcPr>
            <w:tcW w:w="5820" w:type="dxa"/>
          </w:tcPr>
          <w:p w14:paraId="00000848" w14:textId="77777777" w:rsidR="00A758FD" w:rsidRPr="00C0338D" w:rsidRDefault="00C81287">
            <w:r w:rsidRPr="00C0338D">
              <w:t>Overcome national boundaries</w:t>
            </w:r>
          </w:p>
        </w:tc>
      </w:tr>
      <w:tr w:rsidR="00A758FD" w14:paraId="0DC507C5" w14:textId="77777777" w:rsidTr="002F2F42">
        <w:trPr>
          <w:trHeight w:val="288"/>
        </w:trPr>
        <w:tc>
          <w:tcPr>
            <w:tcW w:w="2600" w:type="dxa"/>
            <w:vMerge/>
            <w:vAlign w:val="center"/>
          </w:tcPr>
          <w:p w14:paraId="00000849" w14:textId="77777777" w:rsidR="00A758FD" w:rsidRPr="00C0338D" w:rsidRDefault="00A758FD" w:rsidP="00AC1F76">
            <w:pPr>
              <w:widowControl w:val="0"/>
              <w:pBdr>
                <w:top w:val="nil"/>
                <w:left w:val="nil"/>
                <w:bottom w:val="nil"/>
                <w:right w:val="nil"/>
                <w:between w:val="nil"/>
              </w:pBdr>
              <w:spacing w:line="276" w:lineRule="auto"/>
            </w:pPr>
          </w:p>
        </w:tc>
        <w:tc>
          <w:tcPr>
            <w:tcW w:w="5820" w:type="dxa"/>
          </w:tcPr>
          <w:p w14:paraId="0000084A" w14:textId="77777777" w:rsidR="00A758FD" w:rsidRPr="00C0338D" w:rsidRDefault="00C81287">
            <w:r w:rsidRPr="00C0338D">
              <w:t>Avoid overlaps and fill gaps in knowledge</w:t>
            </w:r>
          </w:p>
        </w:tc>
      </w:tr>
      <w:tr w:rsidR="00A758FD" w14:paraId="5AC7CFF4" w14:textId="77777777" w:rsidTr="002F2F42">
        <w:trPr>
          <w:trHeight w:val="288"/>
        </w:trPr>
        <w:tc>
          <w:tcPr>
            <w:tcW w:w="2600" w:type="dxa"/>
            <w:vMerge/>
            <w:vAlign w:val="center"/>
          </w:tcPr>
          <w:p w14:paraId="0000084B" w14:textId="77777777" w:rsidR="00A758FD" w:rsidRPr="00C0338D" w:rsidRDefault="00A758FD" w:rsidP="00AC1F76">
            <w:pPr>
              <w:widowControl w:val="0"/>
              <w:pBdr>
                <w:top w:val="nil"/>
                <w:left w:val="nil"/>
                <w:bottom w:val="nil"/>
                <w:right w:val="nil"/>
                <w:between w:val="nil"/>
              </w:pBdr>
              <w:spacing w:line="276" w:lineRule="auto"/>
            </w:pPr>
          </w:p>
        </w:tc>
        <w:tc>
          <w:tcPr>
            <w:tcW w:w="5820" w:type="dxa"/>
          </w:tcPr>
          <w:p w14:paraId="0000084C" w14:textId="77777777" w:rsidR="00A758FD" w:rsidRPr="00C0338D" w:rsidRDefault="00C81287">
            <w:r w:rsidRPr="00C0338D">
              <w:t>Link thematic group and local networks</w:t>
            </w:r>
          </w:p>
        </w:tc>
      </w:tr>
      <w:tr w:rsidR="00A758FD" w14:paraId="3E81B71B" w14:textId="77777777" w:rsidTr="002F2F42">
        <w:trPr>
          <w:trHeight w:val="288"/>
        </w:trPr>
        <w:tc>
          <w:tcPr>
            <w:tcW w:w="2600" w:type="dxa"/>
            <w:vMerge/>
            <w:vAlign w:val="center"/>
          </w:tcPr>
          <w:p w14:paraId="0000084D" w14:textId="77777777" w:rsidR="00A758FD" w:rsidRPr="00C0338D" w:rsidRDefault="00A758FD" w:rsidP="00AC1F76">
            <w:pPr>
              <w:widowControl w:val="0"/>
              <w:pBdr>
                <w:top w:val="nil"/>
                <w:left w:val="nil"/>
                <w:bottom w:val="nil"/>
                <w:right w:val="nil"/>
                <w:between w:val="nil"/>
              </w:pBdr>
              <w:spacing w:line="276" w:lineRule="auto"/>
            </w:pPr>
          </w:p>
        </w:tc>
        <w:tc>
          <w:tcPr>
            <w:tcW w:w="5820" w:type="dxa"/>
            <w:shd w:val="clear" w:color="auto" w:fill="auto"/>
          </w:tcPr>
          <w:p w14:paraId="0000084E" w14:textId="77777777" w:rsidR="00A758FD" w:rsidRPr="00C0338D" w:rsidRDefault="00C81287">
            <w:r w:rsidRPr="00C0338D">
              <w:t>Designate governance and responsibility</w:t>
            </w:r>
          </w:p>
        </w:tc>
      </w:tr>
    </w:tbl>
    <w:p w14:paraId="0000084F" w14:textId="77777777" w:rsidR="00A758FD" w:rsidRPr="00AC1F76" w:rsidRDefault="00C81287" w:rsidP="002F2F42">
      <w:pPr>
        <w:pStyle w:val="Heading3"/>
      </w:pPr>
      <w:bookmarkStart w:id="701" w:name="_heading=h.3c9z6hx" w:colFirst="0" w:colLast="0"/>
      <w:bookmarkStart w:id="702" w:name="_Toc87623183"/>
      <w:bookmarkStart w:id="703" w:name="_Toc131681679"/>
      <w:bookmarkEnd w:id="701"/>
      <w:r w:rsidRPr="00AC1F76">
        <w:t>Scenarios and models to support the design and implementation of management</w:t>
      </w:r>
      <w:bookmarkEnd w:id="702"/>
      <w:bookmarkEnd w:id="703"/>
    </w:p>
    <w:p w14:paraId="00000850" w14:textId="72BF19E7" w:rsidR="00A758FD" w:rsidRPr="00C0338D" w:rsidRDefault="00C81287">
      <w:pPr>
        <w:spacing w:before="240" w:after="120" w:line="240" w:lineRule="auto"/>
      </w:pPr>
      <w:bookmarkStart w:id="704" w:name="_heading=h.1rf9gpq" w:colFirst="0" w:colLast="0"/>
      <w:bookmarkStart w:id="705" w:name="_Hlk104830382"/>
      <w:bookmarkEnd w:id="704"/>
      <w:r w:rsidRPr="00C0338D">
        <w:t xml:space="preserve">Many useful scenarios and modelling approaches have been developed and used to support </w:t>
      </w:r>
      <w:r w:rsidR="002F2F42">
        <w:t>decision-making and implementation in the context of biological invasions</w:t>
      </w:r>
      <w:r w:rsidR="002F2F42" w:rsidRPr="00837161">
        <w:rPr>
          <w:lang w:eastAsia="en-ZA"/>
        </w:rPr>
        <w:t xml:space="preserve"> </w:t>
      </w:r>
      <w:r w:rsidR="00C93B14" w:rsidRPr="00837161">
        <w:rPr>
          <w:lang w:eastAsia="en-ZA"/>
        </w:rPr>
        <w:t>(e.g.,</w:t>
      </w:r>
      <w:r w:rsidR="430490D0" w:rsidRPr="00837161">
        <w:rPr>
          <w:lang w:eastAsia="en-ZA"/>
        </w:rPr>
        <w:t xml:space="preserve"> </w:t>
      </w:r>
      <w:r w:rsidR="00383764" w:rsidRPr="00837161">
        <w:rPr>
          <w:lang w:eastAsia="en-ZA"/>
        </w:rPr>
        <w:fldChar w:fldCharType="begin"/>
      </w:r>
      <w:r w:rsidR="000F35EB">
        <w:rPr>
          <w:lang w:eastAsia="en-ZA"/>
        </w:rPr>
        <w:instrText xml:space="preserve"> ADDIN ZOTERO_ITEM CSL_CITATION {"citationID":"gLR4CcP6","properties":{"formattedCitation":"(Buchadas et al., 2017; Dinis et al., 2020; Gallien et al., 2010; Hall et al., 2021)","plainCitation":"(Buchadas et al., 2017; Dinis et al., 2020; Gallien et al., 2010; Hall et al., 2021)","dontUpdate":true,"noteIndex":0},"citationItems":[{"id":31771,"uris":["http://zotero.org/groups/2352922/items/8K8VXNMB"],"itemData":{"id":31771,"type":"article-journal","abstract":"Invasive species are increasing in number, extent and impact worldwide. Effective invasion management has thus become a core socio-ecological challenge. To tackle this challenge, integrating spatial-temporal dynamics of invasion processes with modelling approaches is a promising approach. The inclusion of dynamic processes in such modelling frameworks (i.e. dynamic or hybrid models, here deﬁned as models that integrate both dynamic and static approaches) adds an explicit temporal dimension to the study and management of invasions, enabling the prediction of invasions and optimisation of multi-scale management and governance. However, the extent to which dynamic approaches have been used for that purpose is under-investigated. Based on a literature review, we examined the extent to which dynamic modelling has been used to address invasions worldwide. We then evaluated how the use of dynamic modelling has evolved through time in the scope of invasive species management. The results suggest that modelling, in particular dynamic modelling, has been increasingly applied to biological invasions, especially to support management decisions at local scales. Also, the combination of dynamic and static modelling approaches (hybrid models with a spatially explicit output) can be especially effective, not only to support management at early invasion stages (from prevention to early detection), but also to improve the monitoring of invasion processes and impact assessment. Further development and testing of such hybrid models may well be regarded as a priority for future research aiming to improve the management of invasions across scales.","container-title":"Journal of Environmental Management","DOI":"10.1016/j.jenvman.2017.03.060","ISSN":"03014797","journalAbbreviation":"Journal of Environmental Management","language":"en","page":"594-606","source":"DOI.org (Crossref)","title":"Dynamic models in research and management of biological invasions","URL":"https://linkinghub.elsevier.com/retrieve/pii/S030147971730275X","volume":"196","author":[{"family":"Buchadas","given":"Ana"},{"family":"Vaz","given":"Ana Sofia"},{"family":"Honrado","given":"João P."},{"family":"Alagador","given":"Diogo"},{"family":"Bastos","given":"Rita"},{"family":"Cabral","given":"João A."},{"family":"Santos","given":"Mário"},{"family":"Vicente","given":"Joana R."}],"accessed":{"date-parts":[["2020",2,4]]},"issued":{"date-parts":[["2017",7]]}},"label":"page"},{"id":53154,"uris":["http://zotero.org/groups/2352922/items/5NAEENVG"],"itemData":{"id":53154,"type":"article-journal","abstract":"Biological invasions are among the major contemporary threats to biodiversity. Biocontrol has a long history as a safe and effective strategy for the control of invasive species in several world regions, yet the life history and ecological requirements of biocontrol agents are often poorly understood. Species distribution models and assessments of niche overlap and dynamics constitute a way to quantify and compare ecological niches and are widely used for predicting biological invasions. While these tools can also be valuable to predict the effectiveness of biocontrol programs and anticipate whether biocontrol agents can establish on areas targeted for control, they remain underutilized for this purpose. In this work, species distribution models and comparisons of niche dynamics are used to predict the success of the ongoing biocontrol program for Acacia longifolia in Portugal, and potentially along the Mediterranean Basin, using the Australian gall-forming wasp Trichilogaster acaciaelongifoliae, previously released in South Africa. Niches of both the invasive plant and the biocontrol agent were found to be highly similar and to remain conserved through the introduction process. Distribution models identify suitable climatic areas for A. longifolia in 19% of the Mediterranean Basin and predict successful establishment of T. acaciaelongifoliae in 41% of the suitable area for A. longifolia, despite excluding a few locations where very recent establishment occurred. These results allow us to quantify the risk of future A. longifolia invasion and potential success of biocontrol, as well as establish a comparative framework for similar programs being considered in other regions of the world dealing with A. longifolia invasions.","container-title":"Frontiers in Ecology and Evolution","DOI":"https://doi.org/10.3389/fevo.2020.576667","ISSN":"2296-701X","source":"Frontiers","title":"Can Niche Dynamics and Distribution Modeling Predict the Success of Invasive Species Management Using Biocontrol? Insights from &lt;i&gt;Acacia longifolia&lt;/i&gt; in Portugal","title-short":"Can Niche Dynamics and Distribution Modeling Predict the Success of Invasive Species Management Using Biocontrol?","URL":"https://www.frontiersin.org/articles/10.3389/fevo.2020.576667","volume":"8","author":[{"family":"Dinis","given":"Marco"},{"family":"Vicente","given":"Joana R."},{"family":"César de Sá","given":"Nuno"},{"family":"López-Núñez","given":"Francisco A."},{"family":"Marchante","given":"Elizabete"},{"family":"Marchante","given":"Hélia"}],"accessed":{"date-parts":[["2022",9,2]]},"issued":{"date-parts":[["2020"]]}},"label":"page"},{"id":30444,"uris":["http://zotero.org/groups/2352922/items/DRNCYUQ5"],"itemData":{"id":30444,"type":"article-journal","container-title":"Diversity and Distributions","DOI":"https://doi.org/10.1111/j.1472-4642.2010.00652.x","issue":"3","note":"number: 3","page":"331-342","title":"Predicting potential distributions of invasive species: where to go from here?","volume":"16","author":[{"family":"Gallien","given":"L"},{"family":"Münkem</w:instrText>
      </w:r>
      <w:r w:rsidR="000F35EB">
        <w:rPr>
          <w:rFonts w:hint="eastAsia"/>
          <w:lang w:eastAsia="en-ZA"/>
        </w:rPr>
        <w:instrText>ü</w:instrText>
      </w:r>
      <w:r w:rsidR="000F35EB">
        <w:rPr>
          <w:lang w:eastAsia="en-ZA"/>
        </w:rPr>
        <w:instrText xml:space="preserve">ller","given":"T"},{"family":"Albert","given":"C H"},{"family":"Boulangeat","given":"I"},{"family":"Thuiller","given":"Wilfried"}],"issued":{"date-parts":[["2010",5]]}},"label":"page"},{"id":56373,"uris":["http://zotero.org/groups/2352922/items/3ERD56C8","http://zotero.org/groups/2352922/items/JTN2FJM9","http://zotero.org/groups/2352922/items/3WLJZQ8I"],"itemData":{"id":56373,"type":"article-journal","container-title":"Restoration Ecology","DOI":"10.1111/rec.13324","ISSN":"1061-2971, 1526-100X","issue":"3","journalAbbreviation":"Restoration Ecology","language":"en","page":"e13324","source":"DOI.org (Crossref)","title":"A dynamic modeling tool to anticipate the effectiveness of invasive plant control and restoration recovery trajectories in South African fynbos","URL":"https://onlinelibrary.wiley.com/doi/10.1111/rec.13324","volume":"29","author":[{"family":"Hall","given":"Stuart A."},{"family":"Bastos","given":"Rita"},{"family":"Vicente","given":"Joana"},{"family":"Vaz","given":"Ana Sofia"},{"family":"Honrado","given":"João P."},{"family":"Holmes","given":"Patricia M."},{"family":"Gaertner","given":"Mirijam"},{"family":"Esler","given":"Karen J."},{"family":"Cabral","given":"João Alexandre"}],"accessed":{"date-parts":[["2023",6,8]]},"issued":{"date-parts":[["2021",3]]}},"label":"page"}],"schema":"https://github.com/citation-style-language/schema/raw/master/csl-citation.json"} </w:instrText>
      </w:r>
      <w:r w:rsidR="00383764" w:rsidRPr="00837161">
        <w:rPr>
          <w:lang w:eastAsia="en-ZA"/>
        </w:rPr>
        <w:fldChar w:fldCharType="separate"/>
      </w:r>
      <w:r w:rsidR="00C93B14" w:rsidRPr="00767086">
        <w:rPr>
          <w:lang w:val="es-ES"/>
        </w:rPr>
        <w:t>Buchadas et al., 2017; Dinis et al., 2020; Gallien et al., 2010; Hall et al., 2021</w:t>
      </w:r>
      <w:r w:rsidR="00383764" w:rsidRPr="00837161">
        <w:rPr>
          <w:lang w:eastAsia="en-ZA"/>
        </w:rPr>
        <w:fldChar w:fldCharType="end"/>
      </w:r>
      <w:r w:rsidR="001C0274" w:rsidRPr="00767086">
        <w:rPr>
          <w:lang w:val="es-ES" w:eastAsia="en-ZA"/>
        </w:rPr>
        <w:t>;</w:t>
      </w:r>
      <w:r w:rsidR="67242007" w:rsidRPr="00767086">
        <w:rPr>
          <w:lang w:val="es-ES" w:eastAsia="en-ZA"/>
        </w:rPr>
        <w:t xml:space="preserve"> </w:t>
      </w:r>
      <w:r w:rsidR="67242007" w:rsidRPr="00767086">
        <w:rPr>
          <w:b/>
          <w:iCs/>
          <w:lang w:val="es-ES" w:eastAsia="en-ZA"/>
        </w:rPr>
        <w:t>section</w:t>
      </w:r>
      <w:r w:rsidR="7524EDC1" w:rsidRPr="00767086">
        <w:rPr>
          <w:b/>
          <w:iCs/>
          <w:lang w:val="es-ES" w:eastAsia="en-ZA"/>
        </w:rPr>
        <w:t>s</w:t>
      </w:r>
      <w:r w:rsidR="67242007" w:rsidRPr="00767086">
        <w:rPr>
          <w:b/>
          <w:iCs/>
          <w:lang w:val="es-ES" w:eastAsia="en-ZA"/>
        </w:rPr>
        <w:t xml:space="preserve"> 5.2</w:t>
      </w:r>
      <w:r w:rsidR="00E87F41">
        <w:rPr>
          <w:iCs/>
          <w:lang w:val="es-ES" w:eastAsia="en-ZA"/>
        </w:rPr>
        <w:t xml:space="preserve"> and</w:t>
      </w:r>
      <w:r w:rsidR="5D286DF6" w:rsidRPr="00767086">
        <w:rPr>
          <w:b/>
          <w:iCs/>
          <w:lang w:val="es-ES" w:eastAsia="en-ZA"/>
        </w:rPr>
        <w:t xml:space="preserve"> </w:t>
      </w:r>
      <w:r w:rsidR="67242007" w:rsidRPr="00767086">
        <w:rPr>
          <w:b/>
          <w:iCs/>
          <w:lang w:val="es-ES" w:eastAsia="en-ZA"/>
        </w:rPr>
        <w:t>5.4</w:t>
      </w:r>
      <w:r w:rsidR="67242007" w:rsidRPr="00767086">
        <w:rPr>
          <w:lang w:val="es-ES" w:eastAsia="en-ZA"/>
        </w:rPr>
        <w:t>)</w:t>
      </w:r>
      <w:r w:rsidR="430490D0" w:rsidRPr="00767086">
        <w:rPr>
          <w:lang w:val="es-ES" w:eastAsia="en-ZA"/>
        </w:rPr>
        <w:t xml:space="preserve">. </w:t>
      </w:r>
      <w:r w:rsidR="430490D0" w:rsidRPr="00837161">
        <w:rPr>
          <w:lang w:eastAsia="en-ZA"/>
        </w:rPr>
        <w:t xml:space="preserve">Indeed, ecological population modelling as a discipline started through the exploration of the predator-prey relationships linked to classical biological control management systems against invertebrate pests (e.g., </w:t>
      </w:r>
      <w:r w:rsidR="001E00C2" w:rsidRPr="00837161">
        <w:rPr>
          <w:lang w:eastAsia="en-ZA"/>
        </w:rPr>
        <w:fldChar w:fldCharType="begin"/>
      </w:r>
      <w:r w:rsidR="000F35EB">
        <w:rPr>
          <w:lang w:eastAsia="en-ZA"/>
        </w:rPr>
        <w:instrText xml:space="preserve"> ADDIN ZOTERO_ITEM CSL_CITATION {"citationID":"AgXUy5rZ","properties":{"formattedCitation":"(Hassell, 1978; Mills &amp; Getz, 1996; Murdoch et al., 2013)","plainCitation":"(Hassell, 1978; Mills &amp; Getz, 1996; Murdoch et al., 2013)","dontUpdate":true,"noteIndex":0},"citationItems":[{"id":53336,"uris":["http://zotero.org/groups/2352922/items/EXI7KJC8","http://zotero.org/groups/2352922/items/IARFG6MK"],"itemData":{"id":53336,"type":"book","abstract":"In this study of arthropod predador-prey systems Michael Hassell shows how many of the components of predation may be simply modeled in order to reveal their effects on the overall dynamics of the interacting populations. Arthropods, particularly insects, make ideal subjects for such a study because their generation times are characteristically short and many have relatively discrete generations, inviting the use of difference equation models to describe population changes. Using analytical models framed in difference equations, Dr. Hassell is able to show how the detailed biological processes of insect predator-prey (including host-parasitoid) interactions may be understood. Emphasizing the development and subsequent stability analysis of general models, the author considers in detail several crucial components of predator-prey models: the prey's rate of increase as a function of density, non-random search, mutual interference, and the predator's rate of increase as a function of predator survival and fecundity. Drawing on the correspondence between the models and field and laboratory data, Dr. Hassell then discusses the practical implications for biological pest control and suggests how such models may help to formulate a theoretical basis for biological control practices.","ISBN":"978-0-691-20996-8","language":"en","note":"Google-Books-ID: kf3RDwAAQBAJ","number-of-pages":"250","publisher":"Princeton University Press","source":"Google Books","title":"The Dynamics of Arthopod Predator-Prey Systems. (MPB-13), Volume 13","author":[{"family":"Hassell","given":"Michael Patrick"}],"issued":{"date-parts":[["1978"]]}},"label":"page"},{"id":52387,"uris":["http://zotero.org/groups/2352922/items/VUFR47RW"],"itemData":{"id":52387,"type":"article-journal","abstract":"Successful biological control results when an introduced natural enemy, very often a parasitoid, is able to suppress the abundance of an insect pest to a level at which it no longer causes economic damage. We review the host-parasitoid models that have been developed to describe the process of biological control by parasitoids or more specifically, the dynamics of interacting host and parasitoid populations. We trace the origins and basic framework for both discrete time (Nicholson-Bailey) models and continuous time (Lotka-Volterra) models, through the search for stabilizing mechanisms in local populations to the more recent focus on spatial and temporal heterogeneity in the distribution of parasitoid attack. In particular, we review the functional response that underlies all consumer-resource models, partial host refuges generated by spatial heterogeneity or temporal asynchrony of parasitoid attack or by host stage structure, the co-existence of competing parasitoid species, and size-dependent host feeding and sex allocation by parasitoids. The mechanistic explanations for biological control derived from these host-parasitoid models are then compared with the few case studies of successful biological control projects that have received sufficient study. We conclude by questioning, and suggesting improvements for, the basic assumptions of discrete-time and continuous-time models for biological pest control.","collection-title":"Ecological Resource Modelling","container-title":"Ecological Modelling","DOI":"10.1016/0304-3800(95)00177-8","ISSN":"0304-3800","issue":"2","journalAbbreviation":"Ecological Modelling","language":"en","page":"121-143","source":"ScienceDirect","title":"Modelling the biological control of insect pests: a review of host-parasitoid models","title-short":"Modelling the biological control of insect pests","URL":"https://www.sciencedirect.com/science/article/pii/0304380095001778","volume":"92","author":[{"family":"Mills","given":"N. J."},{"family":"Getz","given":"W. M."}],"accessed":{"date-parts":[["2022",5,30]]},"issued":{"date-parts":[["1996",12,1]]}},"label":"page"},{"id":52390,"uris":["http://zotero.org/groups/2352922/items/I2ZHTDFJ"],"itemData":{"id":52390,"type":"book","abstract":"Despite often violent fluctuations in nature, species extinction is rare. California red scale, a potentially devastating pest of citrus, has been suppressed for fifty years in California to extremely low yet stable densities by its controlling parasitoid. Some larch budmoth populations undergo extreme cycles; others never cycle. In Consumer-Resource Dynamics, William Murdoch, Cherie Briggs, and Roger Nisbet use these and numerous other biological examples to lay the groundwork for a unifying theory applicable to predator-prey, parasitoid-host, and other consumer-resource interactions. Throughout, the focus is on how the properties of real organisms affect population dynamics. The core of the book synthesizes and extends the authors' own models involving insect parasitoids and their hosts, and explores in depth how consumer species compete for a dynamic resource. The emerging general consumer-resource theory accounts for how consumers respond to differences among individuals in the resource population. From here the authors move to other models of consumer-resource dynamics and population dynamics in general. Consideration of empirical examples, key concepts, and a necessary review of simple models is followed by examination of spatial processes affecting dynamics, and of implications for biological control of pest organisms. The book establishes the coherence and broad applicability of consumer-resource theory and connects it to single-species dynamics. It closes by stressing the theory's value as a hierarchy of models that allows both generality and testability in the field.","ISBN":"978-1-4008-4725-9","language":"en","note":"DOI: 10.1515/9781400847259\ncontainer-title: Consumer-Resource Dynamics (MPB-36)","publisher":"Princeton University Press","source":"www.degruyter.com","title":"Consumer-Resource Dynamics (MPB-36)","URL":"https://www.degruyter.com/document/doi/10.1515/9781400847259/html?lang=de","author":[{"family":"Murdoch","given":"William W."},{"family":"Briggs","given":"Cheryl J."},{"family":"Nisbet","given":"Roger M."}],"accessed":{"date-parts":[["2022",5,30]]},"issued":{"date-parts":[["2003",2,15]]}},"label":"page"}],"schema":"https://github.com/citation-style-language/schema/raw/master/csl-citation.json"} </w:instrText>
      </w:r>
      <w:r w:rsidR="001E00C2" w:rsidRPr="00837161">
        <w:rPr>
          <w:lang w:eastAsia="en-ZA"/>
        </w:rPr>
        <w:fldChar w:fldCharType="separate"/>
      </w:r>
      <w:r w:rsidR="00C93B14" w:rsidRPr="00837161">
        <w:t>Hassell, 1978; Mills &amp; Getz, 1996; Murdoch et al., 2013)</w:t>
      </w:r>
      <w:r w:rsidR="001E00C2" w:rsidRPr="00837161">
        <w:rPr>
          <w:lang w:eastAsia="en-ZA"/>
        </w:rPr>
        <w:fldChar w:fldCharType="end"/>
      </w:r>
      <w:r w:rsidR="430490D0" w:rsidRPr="00837161">
        <w:rPr>
          <w:lang w:eastAsia="en-ZA"/>
        </w:rPr>
        <w:t xml:space="preserve">. Since then, species ecological-based and epidemiological-based models have been used in a multitude of forms including deterministic and stochastic models, matrix-based, agent-based and simulation models. These have all actively been used to assist the understanding and management effectiveness of many terrestrial and a few aquatic invasive alien species including plants (e.g., </w:t>
      </w:r>
      <w:r w:rsidR="00C753D4" w:rsidRPr="00837161">
        <w:rPr>
          <w:lang w:eastAsia="en-ZA"/>
        </w:rPr>
        <w:fldChar w:fldCharType="begin"/>
      </w:r>
      <w:r w:rsidR="000F35EB">
        <w:rPr>
          <w:lang w:eastAsia="en-ZA"/>
        </w:rPr>
        <w:instrText xml:space="preserve"> ADDIN ZOTERO_ITEM CSL_CITATION {"citationID":"NkXxEaWH","properties":{"formattedCitation":"(Buckley et al., 2003a, 2003b, 2007)","plainCitation":"(Buckley et al., 2003a, 2003b, 2007)","dontUpdate":true,"noteIndex":0},"citationItems":[{"id":52385,"uris":["http://zotero.org/groups/2352922/items/KZBQICND"],"itemData":{"id":52385,"type":"article-journal","abstract":"1 Hypericum perforatum, St John's wort, is an invasive perennial herb that is especially problematic on waste ground, roadsides, pastures and open woodland in south-eastern Australia. We use detailed data from a long-term observational study to develop quantitative models of the factors affecting growth, survival and fecundity of H. perforatum individuals. 2 Multi-level or hierarchical mixed-effects statistical models are used to analyse how environmental and intrinsic plant variables affect growth and reproduction within a complex nested spatial and temporal context. These techniques are relatively underused in ecology, despite the prevalence of multi-level and repeated-measures data generated from ecological studies. 3 We found that plant size (rosette or flowering stems) was strongly correlated with all life stages studied (growth, probability of flowering, asexual reproduction, survival and fruit production). Environmental variables such as herbivory, ground cover and rainfall had significant effects on several life stages. 4 Significant spatial variation at the quadrat level was found in the probability of flowering, flowering stem growth and fruit production models; variation at all other spatial levels in all models was non-significant. Yearly temporal variation was significant in all models where multi-year data were available. 5 Plants in shaded habitats were smaller but had higher survival probabilities than plants in open habitats. They are therefore likely to have slightly different population dynamics. 6 Synthesis and applications. Analysis of these models for H. perforatum has provided insights into which plant traits and environmental factors determine how populations increase and persist in exotic ecosystems, enabling population management strategies to be most effectively targeted. Spatially and temporally correlated data are often collected in long-term ecological studies and multi-level models are a way in which we can fully exploit the wealth of data available. Without these tools data are either underexploited or crucial assumptions of independence on which many statistics are based are contravened.","container-title":"Journal of Applied Ecology","DOI":"10.1046/j.1365-2664.2003.00821.x","ISSN":"1365-2664","issue":"3","language":"en","note":"_eprint: https://onlinelibrary.wiley.com/doi/pdf/10.1046/j.1365-2664.2003.00821.x","page":"481-493","source":"Wiley Online Library","title":"Demography and management of the invasive plant species &lt;i&gt;Hypericum perforatum&lt;/i&gt;. I. Using multi-level mixed-effects models for characterizing growth, survival and fecundity in a long-term data set","URL":"https://onlinelibrary.wiley.com/doi/abs/10.1046/j.1365-2664.2003.00821.x","volume":"40","author":[{"family":"Buckley","given":"Yvonne M."},{"family":"Briese","given":"David T."},{"family":"Rees","given":"Mark"}],"accessed":{"date-parts":[["2022",5,30]]},"issued":{"date-parts":[["2003"]]}},"label":"page"},{"id":53210,"uris":["http://zotero.org/groups/2352922/items/ZQR4NWXF"],"itemData":{"id":53210,"type":"article-journal","abstract":"1 Hypericum perforatum, St John's wort, is an invasive weed of natural and agro-ecosystems in south-eastern Australia. In previous work we used a long-term data set to determine which plant traits and environmental factors influence population growth and persistence in this species. These results were then used to parameterize an individual-based model of the population dynamics of H. perforatum, and this model was used to make predictions about what control strategies will be most effective for populations in open and shaded sites. 2 The model was constructed using multi-level, mixed-effects statistical models of growth, survival, fecundity and damage, incorporating intrinsic plant variables, environmental variables, herbivory and spatial and temporal stochasticity. 3 We found that populations in shaded and open sites had different dynamics and responses to control strategies. Shaded populations took longer to reach infestation densities and were less affected by herbivory and reductions in survival than open populations. Open populations increased faster in response to increases in rainfall, but this was not so for shaded populations. 4 We used sensitivity testing and management simulations to predict that the most successful control strategies will involve a reduction in vegetative size in both open and shaded sites. Reductions in flowering stem size and survival in shaded and open sites, respectively, are predicted to be the next most successful strategies. Dry conditions in the austral autumn/winter adversely affect populations in both open and shaded sites. 5 Synthesis and applications. These models have enabled us to rank management strategies based on quantitative analysis of their potential effects on population size. This is an important tool not only for ecologists concerned with control of invasive species but for conservation biologists trying to understand the factors limiting a rare or endangered species.","container-title":"Journal of Applied Ecology","DOI":"10.1046/j.1365-2664.2003.00822.x","ISSN":"1365-2664","issue":"3","language":"en","note":"_eprint: https://onlinelibrary.wiley.com/doi/pdf/10.1046/j.1365-2664.2003.00822.x","page":"494-507","source":"Wiley Online Library","title":"Demography and management of the invasive plant species &lt;i&gt;Hypericum perforatum&lt;/i&gt;. II. Construction and use of an individual-based model to predict population dynamics and the effects of management strategies","URL":"https://onlinelibrary.wiley.com/doi/abs/10.1046/j.1365-2664.2003.00822.x","volume":"40","author":[{"family":"Buckley","given":"Yvonne M."},{"family":"Briese","given":"David T."},{"family":"Rees","given":"Mark"}],"accessed":{"date-parts":[["2022",9,6]]},"issued":{"date-parts":[["2003"]]}},"label":"page"},{"id":11127,"uris":["http://zotero.org/groups/2352922/items/4JHQ9XWE"],"itemData":{"id":11127,"type":"article-journal","abstract":"We aim to develop a simple model to explore how disturbance and propagule pressure determine conditions for successful invasion in systems where recruitment occurs only in disturbed sites. Disturbance is often thought to favour invaders as it allows recruitment; however, the effects of disturbance are more complicated when it results in mortality of the invader. When disturbance rates in both invader occupied and unoccupied sites are the same, recruitment and mortality effects are exactly balanced, and successful invasion is independent of the disturbance regime. Differences in the disturbance rates between invader occupied and unoccupied sites can occur through invader modification or management of disturbance. Under these conditions, we found a novel mechanism for the generation of an Allee effect, which occurs when the invader promotes disturbance in sites it already occupies. When Allee effects occur one-off, large-scale disturbances can result in permanent, dramatic shifts in invader abundance; and conversely, reducing the population below a critical threshold can cause extinction.","container-title":"Ecology Letters","DOI":"https://doi.org/10.1111/j.1461-0248.2007.01067.x","ISSN":"1461-0248","issue":"9","language":"en","note":"_eprint: https://onlinelibrary.wiley.com/doi/pdf/10.1111/j.1461-0248.2007.01067.x","page":"809-817","source":"Wiley Online Library","title":"Disturbance, invasion and re-invasion: managing the weed-shaped hole in disturbed ecosystems","title-short":"Disturbance, invasion and re-invasion","URL":"https://onlinelibrary.wiley.com/doi/abs/10.1111/j.1461-0248.2007.01067.x","volume":"10","author":[{"family":"Buckley","given":"Yvonne M."},{"family":"Bolker","given":"Benjamin M."},{"family":"Rees","given":"Mark"}],"accessed":{"date-parts":[["2021",4,12]]},"issued":{"date-parts":[["2007"]]}},"label":"page"}],"schema":"https://github.com/citation-style-language/schema/raw/master/csl-citation.json"} </w:instrText>
      </w:r>
      <w:r w:rsidR="00C753D4" w:rsidRPr="00837161">
        <w:rPr>
          <w:lang w:eastAsia="en-ZA"/>
        </w:rPr>
        <w:fldChar w:fldCharType="separate"/>
      </w:r>
      <w:r w:rsidR="00C93B14" w:rsidRPr="00837161">
        <w:t>Buckley et al., 2003a, 2003b, 2007)</w:t>
      </w:r>
      <w:r w:rsidR="00C753D4" w:rsidRPr="00837161">
        <w:rPr>
          <w:lang w:eastAsia="en-ZA"/>
        </w:rPr>
        <w:fldChar w:fldCharType="end"/>
      </w:r>
      <w:r w:rsidR="430490D0" w:rsidRPr="00837161">
        <w:rPr>
          <w:lang w:eastAsia="en-ZA"/>
        </w:rPr>
        <w:t xml:space="preserve">, vertebrates (e.g., </w:t>
      </w:r>
      <w:r w:rsidR="00C753D4" w:rsidRPr="00837161">
        <w:rPr>
          <w:lang w:eastAsia="en-ZA"/>
        </w:rPr>
        <w:fldChar w:fldCharType="begin"/>
      </w:r>
      <w:r w:rsidR="000F35EB">
        <w:rPr>
          <w:lang w:eastAsia="en-ZA"/>
        </w:rPr>
        <w:instrText xml:space="preserve"> ADDIN ZOTERO_ITEM CSL_CITATION {"citationID":"DBHOvon7","properties":{"formattedCitation":"(Calvete, 2006; Garrott et al., 1992; K. Graham et al., 2021; C. M. King &amp; Powell, 2011; McCarthy et al., 2013)","plainCitation":"(Calvete, 2006; Garrott et al., 1992; K. Graham et al., 2021; C. M. King &amp; Powell, 2011; McCarthy et al., 2013)","dontUpdate":true,"noteIndex":0},"citationItems":[{"id":52376,"uris":["http://zotero.org/groups/2352922/items/6S8ZGUX2"],"itemData":{"id":52376,"type":"article-journal","abstract":"Abstract: The European wild rabbit (Oryctolagus cuniculus) is a staple prey species in Mediterranean ecosystems. The arrival and subsequent spread of rabbit hemorrhagic disease throughout southwestern Europe, however, has caused a decline in rabbit numbers, leading to considerable efforts to enhance wild rabbit populations, especially through habitat management. Because rabbit population dynamics depend on habitat suitability and changes in habitat structure and composition subsequent to habitat management, I evaluated the effects of population dynamics on the long-term impact of rabbit hemorrhagic disease on rabbit populations. I used an age-structured model with varying degrees of population productivity and turnover and different habitat carrying capacities, and I assumed the existence of a unique, highly pathogenic virus. My results suggest that disease impact may be highly dependent on habitat carrying capacity and rabbit population dynamics, and the model provided some insight into the current abundance of wild rabbits in different locations in southwestern Europe. The highest disease impact was estimated for populations located in habitats with low to medium carrying capacity. In contrast, disease impact was lower in high-density populations in habitats with high carrying capacity, corresponding to a lower mean age of rabbit infection and a resulting lower mortality from rabbit hemorrhagic disease. The outcomes of the model suggest that management strategies to help rabbit populations recover should be based on improving habitats to their maximum carrying capacity and increasing rabbit population productivity. In contrast, the use of strategies based on temporary increases in rabbit density, including vaccination campaigns, translocations, and temporal habitat improvements at medium carrying capacities, may increase disease impact, resulting in short-term decreases in rabbit population density.","container-title":"Conservation Biology","DOI":"10.1111/j.1523-1739.2006.00371.x","ISSN":"1523-1739","issue":"4","language":"en","note":"_eprint: https://onlinelibrary.wiley.com/doi/pdf/10.1111/j.1523-1739.2006.00371.x","page":"1232-1241","source":"Wiley Online Library","title":"Modeling the Effect of Population Dynamics on the Impact of Rabbit Hemorrhagic Disease","URL":"https://onlinelibrary.wiley.com/doi/abs/10.1111/j.1523-1739.2006.00371.x","volume":"20","author":[{"family":"Calvete","given":"Carlos"}],"accessed":{"date-parts":[["2022",5,30]]},"issued":{"date-parts":[["2006"]]}},"label":"page"},{"id":52378,"uris":["http://zotero.org/groups/2352922/items/5NTCXGU7"],"itemData":{"id":52378,"type":"article-journal","container-title":"Wildlife Society Bulletin (1973-2006)","ISSN":"0091-7648","issue":"3","note":"publisher: [Wiley, Wildlife Society]","page":"318-326","source":"JSTOR","title":"A Comparison of Contraceptive Technologies for Feral Horse Management","URL":"https://www.jstor.org/stable/3783038","volume":"20","author":[{"family":"Garrott","given":"Robert A."},{"family":"Siniff","given":"Donald B."},{"family":"Tester","given":"John R."},{"family":"Eagle","given":"Thomas C."},{"family":"Plotka","given":"Edward D."}],"accessed":{"date-parts":[["2022",5,30]]},"issued":{"date-parts":[["1992"]]}},"label":"page"},{"id":53153,"uris":["http://zotero.org/groups/2352922/items/2U9DH95P","http://zotero.org/groups/2352922/items/QGLGNGME"],"itemData":{"id":53153,"type":"article-journal","abstract":"Common carp (Cyprinus carpio) are an invasive species of the rivers and waterways of south-eastern Australia, implicated in the serious decline of many native fish species. Over the past 50 years a variety of control options have been explored, all of which to date have proved either ineffective or cost prohibitive. Most recently the use of cyprinid herpesvirus 3 (CyHV-3) has been proposed as a biocontrol agent, but to assess the risks and benefits of this, as well as to develop a strategy for the release of the virus, a knowledge of the fundamental processes driving carp distribution and abundance is required. To this end, we developed a novel process-based modelling framework that integrates expert opinion with spatio-temporal datasets via the construction of a Bayesian Network. The resulting weekly networks thus enabled an estimate of the habitat suitability for carp across a range of hydrological habitats in south-eastern Australia, covering five diverse catchment areas encompassing in total a drainage area of 132,129 km2 over a period of 17–27 years. This showed that while suitability for adult and subadult carp was medium-high across most habitats throughout the period, nevertheless the majority of habitats were poorly suited for the recruitment of larvae and young-of-year (YOY). Instead, high population abundance was confirmed to depend on a small number of recruitment hotspots which occur in years of favourable inundation. Quantification of the underlying ecological drivers of carp abundance thus makes possible detailed planning by focusing on critical weaknesses in the population biology of carp. More specifically, it permits the rational planning for population reduction using the biocontrol agent, CyHV-3, targeting areas where the total population density is above a “damage threshold” of approximately 100 kg/ha.","container-title":"Journal of Environmental Management","DOI":"10.1016/j.jenvman.2021.113061","ISSN":"0301-4797","journalAbbreviation":"Journal of Environmental Management","language":"en","page":"113061","source":"ScienceDirect","title":"Use of spatio-temporal habitat suitability modelling to prioritise areas for common carp biocontrol in Australia using the virus CyHV-3","URL":"https://www.sciencedirect.com/science/article/pii/S0301479721011233","volume":"295","author":[{"family":"Graham","given":"K."},{"family":"Gilligan","given":"D."},{"family":"Brown","given":"P."},{"family":"Klinken","given":"R. D.","non-dropping-particle":"van"},{"family":"McColl","given":"K. A."},{"family":"Durr","given":"P. A."}],"accessed":{"date-parts":[["2022",9,2]]},"issued":{"date-parts":[["2021",10,1]]}},"label":"page"},{"id":52368,"uris":["http://zotero.org/groups/2352922/items/F7RLHL68"],"itemData":{"id":52368,"type":"article-journal","abstract":"The stoat (Mustela erminea) is a specialist predator that evolved to exploit the unstable populations of northern voles and lemmings. It was introduced to New Zealand, where it is pre-adapted to respond with a population irruption to the resource pulses that follow a heavy seedfall of southern beech (Nothofagus spp.). Culling stoats during an irruption is necessary to reduce damaging predation on nesting endemic birds. Culling might not reduce the stoat population long term, however, if high natural mortality exceeds culling mortality in peak years. During other phases of the beech-mast cycle, culling might have a greater effect on a smaller stoat population, whether or not damage prevention is critical. We developed a 4-matrix model to predict the effects of culling on λ, the annual rate of change in the size of the stoat population, through the four annual phases of an average masting cycle, explicitly distinguishing between apparent and real culling. In the Post-seedfall phase of the cycle, large numbers of stoats are killed, but little of this extra mortality is additive; in other phases, culling removes larger proportions of smaller total numbers of stoats that would otherwise have lived. Culling throughout all phases is most effective at reducing stoat populations, but is also the most expensive option. Culling in Post-seedfall plus Seed or Crash years is somewhat less effective but better than culling in one phase only. Culling has different short-term effects on stoat age distribution depending on the phase of the cycle when culling begins.","container-title":"Biological Invasions","DOI":"10.1007/s10530-011-9993-y","ISSN":"1573-1464","issue":"12","journalAbbreviation":"Biol Invasions","language":"en","page":"3039-3055","source":"Springer Link","title":"Managing an invasive predator pre-adapted to a pulsed resource: a model of stoat (&lt;i&gt;Mustela erminea&lt;/i&gt;) irruptions in New Zealand beech forests","title-short":"Managing an invasive predator pre-adapted to a pulsed resource","URL":"https://doi.org/10.1007/s10530-011-9993-y","volume":"13","author":[{"family":"King","given":"Carolyn M."},{"family":"Powell","given":"Roger A."}],"accessed":{"date-parts":[["2022",5,31]]},"issued":{"date-parts":[["2011",12,1]]}},"label":"page"},{"id":52377,"uris":["http://zotero.org/groups/2352922/items/P794VUQQ"],"itemData":{"id":52377,"type":"article-journal","abstract":"Abstract Objective—To predict effectiveness of 3 interventional methods of population control for feral cat colonies. Design—Population model. Sample—Estimates of vital data for feral cats. Procedures—Data were gathered from the literature regarding the demography and mating behavior of feral cats. An individual-based stochastic simulation model was developed to evaluate the effectiveness of trap-neuter-release (TNR), lethal control, and trap-vasectomy-hysterectomy-release (TVHR) in decreasing the size of feral cat populations. Results—TVHR outperformed both TNR and lethal control at all annual capture probabilities between 10% and 90%. Unless &gt; 57% of cats were captured and neutered annually by TNR or removed by lethal control, there was minimal effect on population size. In contrast, with an annual capture rate of ≥ 35%, TVHR caused population size to decrease. An annual capture rate of 57% eliminated the modeled population in 4,000 days by use of TVHR, whereas &gt; 82% was required for both TNR and lethal control. When the effect of fraction of adult cats neutered on kitten and young juvenile survival rate was included in the analysis, TNR performed progressively worse and could be counterproductive, such that population size increased, compared with no intervention at all. Conclusions and Clinical Relevance—TVHR should be preferred over TNR for management of feral cats if decrease in population size is the goal. This model allowed for many factors related to the trapping program and cats to be varied and should be useful for determining the financial and person-effort commitments required to have a desired effect on a given feral cat population.","container-title":"Journal of the American Veterinary Medical Association","DOI":"10.2460/javma.243.4.502","issue":"4","language":"en","note":"publisher: American Veterinary Medical Association\nsection: Journal of the American Veterinary Medical Association","page":"502-511","source":"avmajournals.avma.org","title":"Estimation of effectiveness of three methods of feral cat population control by use of a simulation model","URL":"https://avmajournals.avma.org/view/journals/javma/243/4/javma.243.4.502.xml","volume":"243","author":[{"family":"McCarthy","given":"Robert J."},{"family":"Levine","given":"Stephen H."},{"family":"Reed","given":"J. Michael"}],"accessed":{"date-parts":[["2022",5,30]]},"issued":{"date-parts":[["2013",8,15]]}},"label":"page"}],"schema":"https://github.com/citation-style-language/schema/raw/master/csl-citation.json"} </w:instrText>
      </w:r>
      <w:r w:rsidR="00C753D4" w:rsidRPr="00837161">
        <w:rPr>
          <w:lang w:eastAsia="en-ZA"/>
        </w:rPr>
        <w:fldChar w:fldCharType="separate"/>
      </w:r>
      <w:r w:rsidR="00C93B14" w:rsidRPr="00837161">
        <w:t>Calvete, 2006; Garrott et al., 1992; K. Graham et al., 2021; C. M. King &amp; Powell, 2011; McCarthy et al., 2013)</w:t>
      </w:r>
      <w:r w:rsidR="00C753D4" w:rsidRPr="00837161">
        <w:rPr>
          <w:lang w:eastAsia="en-ZA"/>
        </w:rPr>
        <w:fldChar w:fldCharType="end"/>
      </w:r>
      <w:r w:rsidR="430490D0" w:rsidRPr="00837161">
        <w:rPr>
          <w:lang w:eastAsia="en-ZA"/>
        </w:rPr>
        <w:t>, plant disease</w:t>
      </w:r>
      <w:r w:rsidR="005B0616">
        <w:rPr>
          <w:lang w:eastAsia="en-ZA"/>
        </w:rPr>
        <w:t>-</w:t>
      </w:r>
      <w:r w:rsidR="430490D0" w:rsidRPr="00837161">
        <w:rPr>
          <w:lang w:eastAsia="en-ZA"/>
        </w:rPr>
        <w:t xml:space="preserve">causing organisms (e.g., </w:t>
      </w:r>
      <w:r w:rsidR="009671D5" w:rsidRPr="00837161">
        <w:rPr>
          <w:lang w:eastAsia="en-ZA"/>
        </w:rPr>
        <w:fldChar w:fldCharType="begin"/>
      </w:r>
      <w:r w:rsidR="000F35EB">
        <w:rPr>
          <w:lang w:eastAsia="en-ZA"/>
        </w:rPr>
        <w:instrText xml:space="preserve"> ADDIN ZOTERO_ITEM CSL_CITATION {"citationID":"ttZ1dKYQ","properties":{"formattedCitation":"(Filipe et al., 2012; Harwood et al., 2011)","plainCitation":"(Filipe et al., 2012; Harwood et al., 2011)","dontUpdate":true,"noteIndex":0},"citationItems":[{"id":52369,"uris":["http://zotero.org/groups/2352922/items/4Y9WHGK3"],"itemData":{"id":52369,"type":"article-journal","abstract":"Exotic pathogens and pests threaten ecosystem service, biodiversity, and crop security globally. If an invasive agent can disperse asymptomatically over long distances, multiple spatial and temporal scales interplay, making identification of effective strategies to regulate, monitor, and control disease extremely difficult. The management of outbreaks is also challenged by limited data on the actual area infested and the dynamics of spatial spread, due to financial, technological, or social constraints. We examine principles of landscape epidemiology important in designing policy to prevent or slow invasion by such organisms, and use Phytophthora ramorum, the cause of sudden oak death, to illustrate how shortfalls in their understanding can render management applications inappropriate. This pathogen has invaded forests in coastal California, USA, and an isolated but fast-growing epidemic focus in northern California (Humboldt County) has the potential for extensive spread. The risk of spread is enhanced by the pathogen's generalist nature and survival. Additionally, the extent of cryptic infection is unknown due to limited surveying resources and access to private land. Here, we use an epidemiological model for transmission in heterogeneous landscapes and Bayesian Markov-chain-Monte-Carlo inference to estimate dispersal and life-cycle parameters of P. ramorum and forecast the distribution of infection and speed of the epidemic front in Humboldt County. We assess the viability of management options for containing the pathogen's northern spread and local impacts. Implementing a stand-alone host-free “barrier” had limited efficacy due to long-distance dispersal, but combining curative with preventive treatments ahead of the front reduced local damage and contained spread. While the large size of this focus makes effective control expensive, early synchronous treatment in newly-identified disease foci should be more cost-effective. We show how the successful management of forest ecosystems depends on estimating the spatial scales of invasion and treatment of pathogens and pests with cryptic long-distance dispersal.","container-title":"PLOS Computational Biology","DOI":"10.1371/journal.pcbi.1002328","ISSN":"1553-7358","issue":"1","journalAbbreviation":"PLOS Computational Biology","language":"en","note":"publisher: Public Library of Science","page":"e1002328","source":"PLoS Journals","title":"Landscape Epidemiology and Control of Pathogens with Cryptic and Long-Distance Dispersal: Sudden Oak Death in Northern Californian Forests","title-short":"Landscape Epidemiology and Control of Pathogens with Cryptic and Long-Distance Dispersal","URL":"https://journals.plos.org/ploscompbiol/article?id=10.1371/journal.pcbi.1002328","volume":"8","author":[{"family":"Filipe","given":"João A. N."},{"family":"Cobb","given":"Richard C."},{"family":"Meentemeyer","given":"Ross K."},{"family":"Lee","given":"Christopher A."},{"family":"Valachovic","given":"Yana S."},{"family":"Cook","given":"Alex R."},{"family":"Rizzo","given":"David M."},{"family":"Gilligan","given":"Christopher A."}],"accessed":{"date-parts":[["2022",5,31]]},"issued":{"date-parts":[["2012",1,5]]}},"label":"page"},{"id":52375,"uris":["http://zotero.org/groups/2352922/items/K2UT35JT"],"itemData":{"id":52375,"type":"article-journal","abstract":"The arrival of a new species of the fungus which causes Dutch elm disease into Great Britain in the 1960s caused widespread elm death and continues to be problematic following elm regeneration. Attempts at managing the disease have been largely unsuccessful. Forty years after the outbreak, however, researchers continue to be interested in both the underlying biology of such a severe and dramatic disease event and in the policy lessons that can be drawn from it. We develop a spatial model at a 1 km2 resolution. Following parameterization to replay the historical epidemic, the model is used to explore previously proposed counterfactual management strategies. A new introduction date of late 1962 is estimated. We show that, even had there been high intervention at a national level in terms of disease management early in the epidemic, there would have been little long-term effect on elm numbers. In Brighton, a local pocket of elm which survived the peak of the initial epidemic has been successfully managed. However, Brighton and similar locations are subject to repeated waves of the disease at a 15- to 20-year intervals following regeneration and reinfection of the surrounding areas, during which much more intensive management is required.","container-title":"Plant Pathology","DOI":"10.1111/j.1365-3059.2010.02391.x","ISSN":"1365-3059","issue":"3","language":"en","note":"_eprint: https://onlinelibrary.wiley.com/doi/pdf/10.1111/j.1365-3059.2010.02391.x","page":"545-555","source":"Wiley Online Library","title":"Dutch elm disease revisited: past, present and future management in Great Britain","title-short":"Dutch elm disease revisited","URL":"https://onlinelibrary.wiley.com/doi/abs/10.1111/j.1365-3059.2010.02391.x","volume":"60","author":[{"family":"Harwood","given":"T. D."},{"family":"Tomlinson","given":"I."},{"family":"Potter","given":"C. A."},{"family":"Knight","given":"J. D."}],"accessed":{"date-parts":[["2022",5,30]]},"issued":{"date-parts":[["2011"]]}},"label":"page"}],"schema":"https://github.com/citation-style-language/schema/raw/master/csl-citation.json"} </w:instrText>
      </w:r>
      <w:r w:rsidR="009671D5" w:rsidRPr="00837161">
        <w:rPr>
          <w:lang w:eastAsia="en-ZA"/>
        </w:rPr>
        <w:fldChar w:fldCharType="separate"/>
      </w:r>
      <w:r w:rsidR="00C93B14" w:rsidRPr="00837161">
        <w:t>Filipe et al., 2012; Harwood et al., 2011)</w:t>
      </w:r>
      <w:r w:rsidR="009671D5" w:rsidRPr="00837161">
        <w:rPr>
          <w:lang w:eastAsia="en-ZA"/>
        </w:rPr>
        <w:fldChar w:fldCharType="end"/>
      </w:r>
      <w:r w:rsidR="430490D0" w:rsidRPr="00837161">
        <w:rPr>
          <w:lang w:eastAsia="en-ZA"/>
        </w:rPr>
        <w:t xml:space="preserve"> and invertebrates (e.g., </w:t>
      </w:r>
      <w:r w:rsidR="00330068" w:rsidRPr="00837161">
        <w:rPr>
          <w:lang w:eastAsia="en-ZA"/>
        </w:rPr>
        <w:fldChar w:fldCharType="begin"/>
      </w:r>
      <w:r w:rsidR="000F35EB">
        <w:rPr>
          <w:lang w:eastAsia="en-ZA"/>
        </w:rPr>
        <w:instrText xml:space="preserve"> ADDIN ZOTERO_ITEM CSL_CITATION {"citationID":"A8dxJaqU","properties":{"formattedCitation":"(Herms &amp; McCullough, 2014)","plainCitation":"(Herms &amp; McCullough, 2014)","dontUpdate":true,"noteIndex":0},"citationItems":[{"id":52373,"uris":["http://zotero.org/groups/2352922/items/A6825TF8"],"itemData":{"id":52373,"type":"article-journal","abstract":"Since its accidental introduction from Asia, emerald ash borer (EAB), Agrilus planipennis Fairmaire (Coleoptera: Buprestidae), has killed millions of ash trees in North America. As it continues to spread, it could functionally extirpate ash with devastating economic and ecological impacts. Little was known about EAB when it was ﬁrst discovered in North America in 2002, but substantial advances in understanding of EAB biology, ecology, and management have occurred since. Ash species indigenous to China are generally resistant to EAB and may eventually provide resistance genes for introgression into North American species. EAB is characterized by stratiﬁed dispersal resulting from natural and human-assisted spread, and substantial effort has been devoted to the development of survey methods. Early eradication efforts were abandoned largely because of the difﬁculty of detecting and delineating infestations. Current management is focused on biological control, insecticide protection of high-value trees, and integrated efforts to slow ash mortality.","container-title":"Annual Review of Entomology","DOI":"10.1146/annurev-ento-011613-162051","ISSN":"0066-4170, 1545-4487","issue":"1","journalAbbreviation":"Annu. Rev. Entomol.","language":"en","page":"13-30","source":"DOI.org (Crossref)","title":"Emerald Ash Borer Invasion of North America: History, Biology, Ecology, Impacts, and Management","title-short":"Emerald Ash Borer Invasion of North America","URL":"https://www.annualreviews.org/doi/10.1146/annurev-ento-011613-162051","volume":"59","author":[{"family":"Herms","given":"Daniel A."},{"family":"McCullough","given":"Deborah G."}],"accessed":{"date-parts":[["2022",5,30]]},"issued":{"date-parts":[["2014",1,7]]}},"label":"page"}],"schema":"https://github.com/citation-style-language/schema/raw/master/csl-citation.json"} </w:instrText>
      </w:r>
      <w:r w:rsidR="00330068" w:rsidRPr="00837161">
        <w:rPr>
          <w:lang w:eastAsia="en-ZA"/>
        </w:rPr>
        <w:fldChar w:fldCharType="separate"/>
      </w:r>
      <w:r w:rsidR="00C93B14" w:rsidRPr="00837161">
        <w:t>Herms &amp; McCullough, 2014)</w:t>
      </w:r>
      <w:r w:rsidR="00330068" w:rsidRPr="00837161">
        <w:rPr>
          <w:lang w:eastAsia="en-ZA"/>
        </w:rPr>
        <w:fldChar w:fldCharType="end"/>
      </w:r>
      <w:r w:rsidR="430490D0" w:rsidRPr="00837161">
        <w:rPr>
          <w:lang w:eastAsia="en-ZA"/>
        </w:rPr>
        <w:t xml:space="preserve">. Process-based models, where the physiological or environmental characteristics of the invasive alien species are inputs and underly the model outputs have been used for decision-making and implementation of multiple management actions </w:t>
      </w:r>
      <w:r w:rsidR="009671D5" w:rsidRPr="00837161">
        <w:rPr>
          <w:lang w:eastAsia="en-ZA"/>
        </w:rPr>
        <w:fldChar w:fldCharType="begin"/>
      </w:r>
      <w:r w:rsidR="000F35EB">
        <w:rPr>
          <w:lang w:eastAsia="en-ZA"/>
        </w:rPr>
        <w:instrText xml:space="preserve"> ADDIN ZOTERO_ITEM CSL_CITATION {"citationID":"JgUFbZ8G","properties":{"formattedCitation":"(Strand, 2000; Sutherst et al., 2011)","plainCitation":"(Strand, 2000; Sutherst et al., 2011)","noteIndex":0},"citationItems":[{"id":52360,"uris":["http://zotero.org/groups/2352922/items/FN7MTA3H"],"itemData":{"id":52360,"type":"article-journal","abstract":"In the 21st century increasing societal, environmental, and economic pressures will create a changing context for solving agricultural pest management problems. Interdisciplinary approaches to problem solving will be needed to meet goals such as mitigating environmental degradation associated with the use of farm chemicals, and increasing productivity by reducing insect and disease damage to crops, and reducing competition from weeds. Crop system models will provide useful frameworks in which to examine the interrelationships among plants, the pest complex, and the environment to determine the most appropriate management strategies to meet individual and societal goals. Improved techniques for managing pests, such as transgenic plants resistant to pests and diseases, new biological control agents, innovative cultural controls, biological pesticides, and additional information to improve efficacy of traditional chemicals, will require weather data and forecasts in order to be used, and climate information to determine their suitability for use. Climatic change, including global warming and increased variability, will require improved analyses that can be used to assess risks associated with existing and newly developed pest management strategies and techniques, and to gauge the impact of these techniques on productivity and profitability. Control recommendations will need to be evaluated for suitability in the farming system where they are to be implemented. Training in the basics of agrometeorological relationships and pest management disciplines will have to be supplied to agricultural meteorologists, extension personnel involved in this work, and farmers. Research to successfully develop the new technologies and the weather and climatic information required by the technologies must be approached by interdisciplinary teams that include agricultural meteorologists.","container-title":"Agricultural and Forest Meteorology","DOI":"10.1016/S0168-1923(00)00119-2","ISSN":"0168-1923","issue":"1","journalAbbreviation":"Agricultural and Forest Meteorology","language":"en","page":"73-82","source":"ScienceDirect","title":"Some agrometeorological aspects of pest and disease management for the 21st century","URL":"https://www.sciencedirect.com/science/article/pii/S0168192300001192","volume":"103","author":[{"family":"Strand","given":"Joyce Fox"}],"accessed":{"date-parts":[["2022",5,31]]},"issued":{"date-parts":[["2000",6,1]]}},"label":"page"},{"id":52361,"uris":["http://zotero.org/groups/2352922/items/BNEATBDY"],"itemData":{"id":52361,"type":"article-journal","abstract":"The need for pest and pathogen management will increase as the intensification of food production proceeds to feed the burgeoning human population. Climate is a significant driver of pest population dynamics, so climate change will require adaptive management strategies to cope with the altered status of pests and pathogens. A hierarchy of analytical tools is required to conduct risk assessments, inform policy and design pest management on scales from regions to landscapes and fields. Such tools include models for predicting potential geographical distributions, seasonal phenology, and population dynamics at a range of spatial and temporal scales. The level of sophistication of such models and databases will be determined by the economic importance of specific species. Many obstacles remain in the way of designing reliable adaptation strategies, and several issues that ensure continuing uncertainty are discussed. Holistic approaches that include nonclimatic drivers of change are needed to address the combination of global change variables. Changed patterns of crop production will determine the pests and pathogens that require greater effort to control. Linked crop-pest models offer the best opportunities for management of important pests and pathogens. Examples of risk assessments for pests and pathogens are illustrated mostly with cases from Australia, and guidelines for adaptation of pest and pathogen management are reviewed. The plethora of species and strains of pests and pathogens demands a parsimonious approach to risk assessment and adaptation, based on identified needs to inform management. Due to some intractable issues the best approach may often be scenario planning to design systems which will be resilient under any global change. WIREs Clim Change 2011 2 220–237 DOI: 10.1002/wcc.102 This article is categorized under: Assessing Impacts of Climate Change &gt; Evaluating Future Impacts of Climate Change","container-title":"WIREs Climate Change","DOI":"10.1002/wcc.102","ISSN":"1757-7799","issue":"2","language":"en","note":"_eprint: https://onlinelibrary.wiley.com/doi/pdf/10.1002/wcc.102","page":"220-237","source":"Wiley Online Library","title":"Adapting to crop pest and pathogen risks under a changing climate","URL":"https://onlinelibrary.wiley.com/doi/abs/10.1002/wcc.102","volume":"2","author":[{"family":"Sutherst","given":"Robert W."},{"family":"Constable","given":"Fiona"},{"family":"Finlay","given":"Kyla J."},{"family":"Harrington","given":"Richard"},{"family":"Luck","given":"Jo"},{"family":"Zalucki","given":"Myron P."}],"accessed":{"date-parts":[["2022",5,31]]},"issued":{"date-parts":[["2011"]]}},"label":"page"}],"schema":"https://github.com/citation-style-language/schema/raw/master/csl-citation.json"} </w:instrText>
      </w:r>
      <w:r w:rsidR="009671D5" w:rsidRPr="00837161">
        <w:rPr>
          <w:lang w:eastAsia="en-ZA"/>
        </w:rPr>
        <w:fldChar w:fldCharType="separate"/>
      </w:r>
      <w:r w:rsidR="00271B78" w:rsidRPr="00271B78">
        <w:t>(Strand, 2000; Sutherst et al., 2011)</w:t>
      </w:r>
      <w:r w:rsidR="009671D5" w:rsidRPr="00837161">
        <w:rPr>
          <w:lang w:eastAsia="en-ZA"/>
        </w:rPr>
        <w:fldChar w:fldCharType="end"/>
      </w:r>
      <w:r w:rsidR="7B4C4CEF" w:rsidRPr="00837161">
        <w:rPr>
          <w:lang w:eastAsia="en-ZA"/>
        </w:rPr>
        <w:t xml:space="preserve"> </w:t>
      </w:r>
      <w:r w:rsidR="430490D0" w:rsidRPr="00837161">
        <w:rPr>
          <w:lang w:eastAsia="en-ZA"/>
        </w:rPr>
        <w:t xml:space="preserve">including biological control </w:t>
      </w:r>
      <w:r w:rsidR="009671D5" w:rsidRPr="00837161">
        <w:rPr>
          <w:lang w:eastAsia="en-ZA"/>
        </w:rPr>
        <w:fldChar w:fldCharType="begin"/>
      </w:r>
      <w:r w:rsidR="000F35EB">
        <w:rPr>
          <w:lang w:eastAsia="en-ZA"/>
        </w:rPr>
        <w:instrText xml:space="preserve"> ADDIN ZOTERO_ITEM CSL_CITATION {"citationID":"r98iIT8h","properties":{"formattedCitation":"(Shea et al., 2002)","plainCitation":"(Shea et al., 2002)","noteIndex":0},"citationItems":[{"id":52370,"uris":["http://zotero.org/groups/2352922/items/T4GQDS4Y"],"itemData":{"id":52370,"type":"article-journal","abstract":"A major problem in insect pest and weed management is uncertainty. Managers are faced with three main types of uncertainty: uncertainty about biological and environmental processes, and observational uncertainty. Active adaptive management (AAM) is management with a deliberate plan for learning about the managed system, so that management can be improved in the face of uncertainty. We discuss the potential benefits of applying AAM to insect pest and weed control with reference to a number of examples. We first address the possible uses for AAM in biological control, with particular reference to agent selection and release. We also propose applying AAM methods to resistance management and to spatial strategies for pest control. We conclude with an overview of AAM, a discussion of some of the potential limitations to its use in pest management, and the possibilities for increased implementation of AAM in the future.","container-title":"Ecological Applications","DOI":"10.1890/1051-0761(2002)012[0927:AAMIIP]2.0.CO;2","ISSN":"1939-5582","issue":"3","language":"en","note":"_eprint: https://onlinelibrary.wiley.com/doi/pdf/10.1890/1051-0761%282002%29012%5B0927%3AAAMIIP%5D2.0.CO%3B2","page":"927-936","source":"Wiley Online Library","title":"Active Adaptive Management in Insect Pest and Weed Control: Intervention with a Plan for Learning","title-short":"Active Adaptive Management in Insect Pest and Weed Control","URL":"https://onlinelibrary.wiley.com/doi/abs/10.1890/1051-0761%282002%29012%5B0927%3AAAMIIP%5D2.0.CO%3B2","volume":"12","author":[{"family":"Shea","given":"Katriona"},{"family":"Possingham","given":"Hugh P."},{"family":"Murdoch","given":"William W."},{"family":"Roush","given":"Rick"}],"accessed":{"date-parts":[["2022",5,30]]},"issued":{"date-parts":[["2002"]]}},"label":"page"}],"schema":"https://github.com/citation-style-language/schema/raw/master/csl-citation.json"} </w:instrText>
      </w:r>
      <w:r w:rsidR="009671D5" w:rsidRPr="00837161">
        <w:rPr>
          <w:lang w:eastAsia="en-ZA"/>
        </w:rPr>
        <w:fldChar w:fldCharType="separate"/>
      </w:r>
      <w:r w:rsidR="00271B78" w:rsidRPr="00271B78">
        <w:t>(Shea et al., 2002)</w:t>
      </w:r>
      <w:r w:rsidR="009671D5" w:rsidRPr="00837161">
        <w:rPr>
          <w:lang w:eastAsia="en-ZA"/>
        </w:rPr>
        <w:fldChar w:fldCharType="end"/>
      </w:r>
      <w:r w:rsidR="430490D0" w:rsidRPr="00837161">
        <w:rPr>
          <w:lang w:eastAsia="en-ZA"/>
        </w:rPr>
        <w:t>. They are used most frequently in scenario and modelling studies as identified in the literature review to this assessment (107 of 183 studies</w:t>
      </w:r>
      <w:r w:rsidR="002B4599" w:rsidRPr="00837161">
        <w:rPr>
          <w:lang w:eastAsia="en-ZA"/>
        </w:rPr>
        <w:t>;</w:t>
      </w:r>
      <w:r w:rsidR="430490D0" w:rsidRPr="00837161">
        <w:rPr>
          <w:lang w:eastAsia="en-ZA"/>
        </w:rPr>
        <w:t xml:space="preserve"> </w:t>
      </w:r>
      <w:r w:rsidR="00191A6E">
        <w:rPr>
          <w:b/>
          <w:iCs/>
        </w:rPr>
        <w:t>Table 5.14</w:t>
      </w:r>
      <w:r w:rsidR="00F13E57" w:rsidRPr="00F13E57">
        <w:rPr>
          <w:lang w:eastAsia="en-ZA"/>
        </w:rPr>
        <w:t>;</w:t>
      </w:r>
      <w:r w:rsidR="00F13E57">
        <w:rPr>
          <w:lang w:eastAsia="en-ZA"/>
        </w:rPr>
        <w:t xml:space="preserve"> </w:t>
      </w:r>
      <w:r w:rsidR="009671D5" w:rsidRPr="00837161">
        <w:rPr>
          <w:lang w:eastAsia="en-ZA"/>
        </w:rPr>
        <w:fldChar w:fldCharType="begin"/>
      </w:r>
      <w:r w:rsidR="000F35EB">
        <w:rPr>
          <w:lang w:eastAsia="en-ZA"/>
        </w:rPr>
        <w:instrText xml:space="preserve"> ADDIN ZOTERO_ITEM CSL_CITATION {"citationID":"Aned3DID","properties":{"formattedCitation":"(Lenzner et al., 2021)","plainCitation":"(Lenzner et al., 2021)","dontUpdate":true,"noteIndex":0},"citationItems":[{"id":53152,"uris":["http://zotero.org/groups/2352922/items/UC2V8VRX"],"itemData":{"id":53152,"type":"article-journal","abstract":"- Systematic literature review has been conducted by authors to analyse scenarios and models aspect of invasive alien species for IPBES thematic assessment of invasive alien species and their control. - List of references extracted from a search in ISI Web of Science and Scopus including information on the Authors, Title, Keywords, Abstracts and Journal. This search was based on a predefined set of keywords related to alien species, scenarios and models. The extracted references were screened in an inclusion/exclusion procedure to select relevant references for the extended literature review. - Full references of the selected references (as pdf) that have been identified in the inclusion/exclusion procedure for the extended literature review.","DOI":"10.5281/ZENODO.5706521","language":"en","license":"Restricted Access","note":"publisher: Zenodo\nversion: 1","source":"DOI.org (Datacite)","title":"IPBES IAS assessment, data management report for Scenarios and Models Liaison","URL":"https://zenodo.org/record/5706521","author":[{"family":"Lenzner","given":"Bernd"},{"family":"Vicente","given":"Joana"},{"family":"Roy","given":"Helen E."}],"accessed":{"date-parts":[["2022",9,2]]},"issued":{"date-parts":[["2021",11,30]]}},"label":"page"}],"schema":"https://github.com/citation-style-language/schema/raw/master/csl-citation.json"} </w:instrText>
      </w:r>
      <w:r w:rsidR="009671D5" w:rsidRPr="00837161">
        <w:rPr>
          <w:lang w:eastAsia="en-ZA"/>
        </w:rPr>
        <w:fldChar w:fldCharType="separate"/>
      </w:r>
      <w:r w:rsidR="00C93B14" w:rsidRPr="00837161">
        <w:t>Lenzner et al., 2021)</w:t>
      </w:r>
      <w:r w:rsidR="009671D5" w:rsidRPr="00837161">
        <w:rPr>
          <w:lang w:eastAsia="en-ZA"/>
        </w:rPr>
        <w:fldChar w:fldCharType="end"/>
      </w:r>
      <w:r w:rsidR="430490D0" w:rsidRPr="00837161">
        <w:rPr>
          <w:lang w:eastAsia="en-ZA"/>
        </w:rPr>
        <w:t>.</w:t>
      </w:r>
      <w:r w:rsidR="005B0616" w:rsidRPr="005B0616">
        <w:rPr>
          <w:rStyle w:val="FootnoteReference"/>
        </w:rPr>
        <w:t xml:space="preserve"> </w:t>
      </w:r>
      <w:r w:rsidR="005B0616" w:rsidRPr="00A4003D">
        <w:rPr>
          <w:rStyle w:val="FootnoteReference"/>
        </w:rPr>
        <w:footnoteReference w:id="28"/>
      </w:r>
      <w:r w:rsidR="430490D0" w:rsidRPr="00837161">
        <w:rPr>
          <w:lang w:eastAsia="en-ZA"/>
        </w:rPr>
        <w:t xml:space="preserve"> These models have supported strategies at national and sub-national level, on terrestrial invasive alien plants and invertebrates. Economic and </w:t>
      </w:r>
      <w:r w:rsidR="430490D0" w:rsidRPr="00837161">
        <w:t xml:space="preserve">bioeconomic models have also been developed to support management such as for feral pigs </w:t>
      </w:r>
      <w:r w:rsidR="009671D5" w:rsidRPr="00837161">
        <w:fldChar w:fldCharType="begin"/>
      </w:r>
      <w:r w:rsidR="000F35EB">
        <w:instrText xml:space="preserve"> ADDIN ZOTERO_ITEM CSL_CITATION {"citationID":"eVnBKJzm","properties":{"formattedCitation":"(Zivin et al., 2000)","plainCitation":"(Zivin et al., 2000)","noteIndex":0},"citationItems":[{"id":52379,"uris":["http://zotero.org/groups/2352922/items/S8668B3S"],"itemData":{"id":52379,"type":"article-journal","abstract":"Many wildlife populations cause damage in agricultural systems but are also valued resources, either for their recreational value or for their existence and contribution to biological diversity. As a result, the nature of a given species—whether it is considered a “pest” or a “resource”—is often determined by the economic and regulatory environment in which the species exists. In this paper we develop a bioeconomic model of one such environment. We apply the model to the case of feral pigs in California rangeland and consider the potential for recreational hunting as a policy for population control.","container-title":"Journal of Environmental Economics and Management","DOI":"10.1006/jeem.1999.1101","ISSN":"0095-0696","issue":"2","journalAbbreviation":"Journal of Environmental Economics and Management","language":"en","page":"189-204","source":"ScienceDirect","title":"Managing a Multiple-Use Resource: The Case of Feral Pig Management in California Rangeland","title-short":"Managing a Multiple-Use Resource","URL":"https://www.sciencedirect.com/science/article/pii/S0095069699911014","volume":"39","author":[{"family":"Zivin","given":"Joshua"},{"family":"Hueth","given":"Brent M."},{"family":"Zilberman","given":"David"}],"accessed":{"date-parts":[["2022",5,30]]},"issued":{"date-parts":[["2000",3,1]]}},"label":"page"}],"schema":"https://github.com/citation-style-language/schema/raw/master/csl-citation.json"} </w:instrText>
      </w:r>
      <w:r w:rsidR="009671D5" w:rsidRPr="00837161">
        <w:fldChar w:fldCharType="separate"/>
      </w:r>
      <w:r w:rsidR="00271B78" w:rsidRPr="00271B78">
        <w:t>(Zivin et al., 2000)</w:t>
      </w:r>
      <w:r w:rsidR="009671D5" w:rsidRPr="00837161">
        <w:fldChar w:fldCharType="end"/>
      </w:r>
      <w:r w:rsidR="430490D0" w:rsidRPr="00837161">
        <w:t xml:space="preserve">, diseases </w:t>
      </w:r>
      <w:r w:rsidR="009671D5" w:rsidRPr="00837161">
        <w:fldChar w:fldCharType="begin"/>
      </w:r>
      <w:r w:rsidR="000F35EB">
        <w:instrText xml:space="preserve"> ADDIN ZOTERO_ITEM CSL_CITATION {"citationID":"i2GT6aC9","properties":{"formattedCitation":"(Petucco et al., 2020)","plainCitation":"(Petucco et al., 2020)","noteIndex":0},"citationItems":[{"id":52374,"uris":["http://zotero.org/groups/2352922/items/63TLT6T6"],"itemData":{"id":52374,"type":"article-journal","abstract":"The invasion of a forest by a pathogen is a complex dynamic and spatial problem. The induced disturbances do not only reduce the present availability of the affected tree species but alter its future availability, population structure and distribution as well. These disturbances also have an impact on the prices of wood products via supply shocks, which, in turn, influence forest management choices, thus introducing feedback effects between market and ecological dynamics. The main objective of this paper is to evaluate the economic impact of an invasive pathogen at a large scale by integrating the biophysical and economic aspects of the invasion into a dynamic and spatially explicit setting. The analysis is developed using a modified version of the French Forest Sector Model (FFSM), a recursive partial equilibrium model, to which a specifically designed pathogen spread and mortality model have been coupled. We calibrated the model to represent the ash dieback invasion in France. Results showed that impacts are not homogeneous across regions and generally depend on the resource distribution, pathogen spread and market structure. We observed that the behavioural adaptation of forest managers (i.e. regeneration and harvesting choices) is a non-negligible component of the total standing volume loss.","container-title":"Environmental Modeling &amp; Assessment","DOI":"10.1007/s10666-019-09661-1","ISSN":"1573-2967","issue":"1","journalAbbreviation":"Environ Model Assess","language":"en","page":"1-21","source":"Springer Link","title":"Economic Evaluation of an Invasive Forest Pathogen at a Large Scale: The Case of Ash Dieback in France","title-short":"Economic Evaluation of an Invasive Forest Pathogen at a Large Scale","URL":"https://doi.org/10.1007/s10666-019-09661-1","volume":"25","author":[{"family":"Petucco","given":"Claudio"},{"family":"Lobianco","given":"Antonello"},{"family":"Caurla","given":"Sylvain"}],"accessed":{"date-parts":[["2022",5,30]]},"issued":{"date-parts":[["2020",2,1]]}},"label":"page"}],"schema":"https://github.com/citation-style-language/schema/raw/master/csl-citation.json"} </w:instrText>
      </w:r>
      <w:r w:rsidR="009671D5" w:rsidRPr="00837161">
        <w:fldChar w:fldCharType="separate"/>
      </w:r>
      <w:r w:rsidR="00271B78" w:rsidRPr="00271B78">
        <w:t>(Petucco et al., 2020)</w:t>
      </w:r>
      <w:r w:rsidR="009671D5" w:rsidRPr="00837161">
        <w:fldChar w:fldCharType="end"/>
      </w:r>
      <w:r w:rsidR="430490D0" w:rsidRPr="00837161">
        <w:t xml:space="preserve"> and invertebrates </w:t>
      </w:r>
      <w:r w:rsidR="009671D5" w:rsidRPr="00837161">
        <w:fldChar w:fldCharType="begin"/>
      </w:r>
      <w:r w:rsidR="000F35EB">
        <w:instrText xml:space="preserve"> ADDIN ZOTERO_ITEM CSL_CITATION {"citationID":"KZFzjowN","properties":{"formattedCitation":"(Marten &amp; Moore, 2011; Vannatta et al., 2012)","plainCitation":"(Marten &amp; Moore, 2011; Vannatta et al., 2012)","noteIndex":0},"citationItems":[{"id":52367,"uris":["http://zotero.org/groups/2352922/items/M6PGQVPR"],"itemData":{"id":52367,"type":"article-journal","abstract":"The management of non-native invasive species is a complex but crucial task given the potential for economic and environmental damages. For many invasions the development of socially optimal control strategies requires more than is offered by the single-species, single-control models that have dominated this area of research. We develop a general stochastic optimal control framework that accommodates multiple interacting species while accounting for uncertainty in the temporal population dynamics. This extension to the current line of bioeconomic control models allows for the design of optimal integrated pest management strategies that utilize both chemical and biological controls in an environment of uncertainty and irreversibility. We demonstrate the benefits of combining chemical and biological controls in long term management strategies through a case study of the hemlock wooly adelgid (Adelges tsugae) infestation in the eastern United States. In this application we find that the introduction of natural predators is usually sufficient to manage the infestation, though chemical insecticides can play an important role when detection of the infestation is delayed or when the biological control agent does not sufficiently increase mortality of the invasive species.","collection-title":"Special Section - Earth System Governance: Accountability and Legitimacy","container-title":"Ecological Economics","DOI":"10.1016/j.ecolecon.2011.05.022","ISSN":"0921-8009","issue":"11","journalAbbreviation":"Ecological Economics","language":"en","page":"2050-2061","source":"ScienceDirect","title":"An options based bioeconomic model for biological and chemical control of invasive species","URL":"https://www.sciencedirect.com/science/article/pii/S0921800911002357","volume":"70","author":[{"family":"Marten","given":"Alex L."},{"family":"Moore","given":"Christopher C."}],"accessed":{"date-parts":[["2022",5,31]]},"issued":{"date-parts":[["2011",9,15]]}},"label":"page"},{"id":52372,"uris":["http://zotero.org/groups/2352922/items/AAHS2RQD"],"itemData":{"id":52372,"type":"article-journal","abstract":"Emerald ash borer, Agrilus planipennis (Fairmaire) (Coleoptera: Buprestidae), plays a significant role in the health and extent of management of native North American ash species in urban forests. An economic analysis of management options was performed to aid decision makers in preparing for likely future infestations. Separate ash tree population valuations were derived from the i-Tree Streets program and the Council of Tree and Landscape Appraisers (CTLA) methodology. A relative economic analysis was used to compare a control option (do-nothing approach, only removing ash trees as they die) to three distinct management options: 1) preemptive removal of all ash trees over a 5 yr period, 2) preemptive removal of all ash trees and replacement with comparable nonash trees, or 3) treating the entire population of ash trees with insecticides to minimize mortality. For each valuation and management option, an annual analysis was performed for both the remaining ash tree population and those lost to emerald ash borer. Retention of ash trees using insecticide treatments typically retained greater urban forest value, followed by doing nothing (control), which was better than preemptive removal and replacement. Preemptive removal without tree replacement, which was the least expensive management option, also provided the lowest net urban forest value over the 20-yr simulation. A “no emerald ash borer” scenario was modeled to further serve as a benchmark for each management option and provide a level of economic justification for regulatory programs aimed at slowing the movement of emerald ash borer.","container-title":"Journal of Economic Entomology","DOI":"10.1603/EC11130","ISSN":"0022-0493","issue":"1","journalAbbreviation":"Journal of Economic Entomology","page":"196-206","source":"Silverchair","title":"Economic Analysis of Emerald Ash Borer (Coleoptera: Buprestidae) Management Options","title-short":"Economic Analysis of Emerald Ash Borer (Coleoptera","URL":"https://doi.org/10.1603/EC11130","volume":"105","author":[{"family":"Vannatta","given":"A. R."},{"family":"Hauer","given":"R. H."},{"family":"Schuettpelz","given":"N. M."}],"accessed":{"date-parts":[["2022",5,30]]},"issued":{"date-parts":[["2012",2,1]]}},"label":"page"}],"schema":"https://github.com/citation-style-language/schema/raw/master/csl-citation.json"} </w:instrText>
      </w:r>
      <w:r w:rsidR="009671D5" w:rsidRPr="00837161">
        <w:fldChar w:fldCharType="separate"/>
      </w:r>
      <w:r w:rsidR="00271B78" w:rsidRPr="00271B78">
        <w:t>(Marten &amp; Moore, 2011; Vannatta et al., 2012)</w:t>
      </w:r>
      <w:r w:rsidR="009671D5" w:rsidRPr="00837161">
        <w:fldChar w:fldCharType="end"/>
      </w:r>
      <w:r w:rsidR="7B4C4CEF" w:rsidRPr="00837161">
        <w:t xml:space="preserve">. </w:t>
      </w:r>
      <w:r w:rsidR="430490D0" w:rsidRPr="00837161">
        <w:rPr>
          <w:lang w:eastAsia="en-ZA"/>
        </w:rPr>
        <w:t xml:space="preserve">Modelling has also been applied to the understanding of invasive alien plant management as part of integrated management and ecosystem restoration </w:t>
      </w:r>
      <w:r w:rsidR="00A30C05" w:rsidRPr="00837161">
        <w:rPr>
          <w:lang w:eastAsia="en-ZA"/>
        </w:rPr>
        <w:fldChar w:fldCharType="begin"/>
      </w:r>
      <w:r w:rsidR="000F35EB">
        <w:rPr>
          <w:lang w:eastAsia="en-ZA"/>
        </w:rPr>
        <w:instrText xml:space="preserve"> ADDIN ZOTERO_ITEM CSL_CITATION {"citationID":"Wl3o9VVa","properties":{"formattedCitation":"(Caplat et al., 2012; Firn et al., 2010)","plainCitation":"(Caplat et al., 2012; Firn et al., 2010)","noteIndex":0},"citationItems":[{"id":52371,"uris":["http://zotero.org/groups/2352922/items/L25MUWI3"],"itemData":{"id":52371,"type":"article-journal","abstract":"Invasive plants cause substantial economic and environmental damage throughout the world. However, eradication of most invasive species is impossible and, in some cases, undesirable. An alternative is to slow the spread of an invasive species, which can delay impacts or reduce their extent. We identify three main areas where models are used extensively in the study of plant spread and its management: (i) identifying the key drivers of spread to better target management, (ii) determining the role spatial structure of landscapes plays in plant invasions, and (iii) integrating management structures and limitations to guide the implementation of control measures. We show how these three components have been approached in the ecological literature as well as their potential for improving management practices. Particularly, we argue that scientists can help managers of invasive species by providing information about plant invasion on which managers can base their decisions (i and ii) and by modeling the decision process through optimization and agent-based models (iii). Finally, we show how these approaches can be articulated for integrative studies.","container-title":"Annals of the New York Academy of Sciences","DOI":"10.1111/j.1749-6632.2011.06313.x","ISSN":"1749-6632","issue":"1","language":"en","note":"_eprint: https://onlinelibrary.wiley.com/doi/pdf/10.1111/j.1749-6632.2011.06313.x","page":"72-83","source":"Wiley Online Library","title":"Modeling population dynamics, landscape structure, and management decisions for controlling the spread of invasive plants","URL":"https://onlinelibrary.wiley.com/doi/abs/10.1111/j.1749-6632.2011.06313.x","volume":"1249","author":[{"family":"Caplat","given":"Paul"},{"family":"Coutts","given":"Shaun"},{"family":"Buckley","given":"Yvonne M."}],"accessed":{"date-parts":[["2022",5,30]]},"issued":{"date-parts":[["2012"]]}},"label":"page"},{"id":52383,"uris":["http://zotero.org/groups/2352922/items/ARSTZKV8"],"itemData":{"id":52383,"type":"article-journal","abstract":"1. Identifying the mechanisms that facilitate invasion is crucial for the design of preventative measures and understanding the invasion process, but not necessarily for the design of effective control strategies. 2. When a novel disturbance is identified as facilitating invasion, the intuitive control strategy is to restore the previous disturbance regime. This recommendation is implicitly based on traditional models of succession, which explain the dynamics of few natural ecosystems. We investigate whether the application and/or manipulation of novel disturbances designed explicitly under an alternative states model are more effective for restoration. 3. Using a field trial, we manipulated a relatively new disturbance (ungulate grazing), a facilitator of invasion, to determine its effects on the invasive grass species, Eragrostis curvula and the rest of the plant community. The split-plot design used excluded and permitted grazing and was combined with reductions in the biomass of the invader using mowing and selective application of herbicides. We also altered soil nutrient conditions and monitored responses over two growing seasons characterized by different rainfall patterns. 4. We found that the control strategy based implicitly on traditional successional models (removing the causal disturbance and killing the invasive grass) was not the most effective option for restoring a desirable native community. While this control strategy reduced the abundance of the invader and increased native grasses, it led to an increase in the abundance of an undesirable exotic forb, Verbena tenuisecta. The most effective control strategy was based on alternative states models and involved the maintenance of grazing and the use of fertilizers to increase the palatability of the invader. With this strategy, the abundance of the invader decreased because grazing pressure increased, native grasses increased and the exotic forb was maintained at low levels. 5. Synthesis and applications. The control strategy based on the alternative states models initially appears at odds with restoration efforts, because livestock grazing and nutrient addition are associated with the degradation of plant communities worldwide. However, for effective restoration, we found approaches that take into consideration the dynamics of the novel invader-dominated system were the most effective in the short term.","container-title":"Journal of Applied Ecology","DOI":"10.1111/j.1365-2664.2009.01741.x","ISSN":"1365-2664","issue":"1","language":"en","note":"_eprint: https://onlinelibrary.wiley.com/doi/pdf/10.1111/j.1365-2664.2009.01741.x","page":"96-105","source":"Wiley Online Library","title":"Alternative states models provide an effective framework for invasive species control and restoration of native communities","URL":"https://onlinelibrary.wiley.com/doi/abs/10.1111/j.1365-2664.2009.01741.x","volume":"47","author":[{"family":"Firn","given":"Jennifer"},{"family":"House","given":"Alan P. N."},{"family":"Buckley","given":"Yvonne M."}],"accessed":{"date-parts":[["2022",5,30]]},"issued":{"date-parts":[["2010"]]}},"label":"page"}],"schema":"https://github.com/citation-style-language/schema/raw/master/csl-citation.json"} </w:instrText>
      </w:r>
      <w:r w:rsidR="00A30C05" w:rsidRPr="00837161">
        <w:rPr>
          <w:lang w:eastAsia="en-ZA"/>
        </w:rPr>
        <w:fldChar w:fldCharType="separate"/>
      </w:r>
      <w:r w:rsidR="00271B78" w:rsidRPr="00271B78">
        <w:t>(Caplat et al., 2012; Firn et al., 2010)</w:t>
      </w:r>
      <w:r w:rsidR="00A30C05" w:rsidRPr="00837161">
        <w:rPr>
          <w:lang w:eastAsia="en-ZA"/>
        </w:rPr>
        <w:fldChar w:fldCharType="end"/>
      </w:r>
      <w:r w:rsidR="430490D0" w:rsidRPr="00837161">
        <w:rPr>
          <w:lang w:eastAsia="en-ZA"/>
        </w:rPr>
        <w:t xml:space="preserve">. However, the consistent use and application of these approaches to support </w:t>
      </w:r>
      <w:r w:rsidR="002F2F42">
        <w:t xml:space="preserve">management of biological invasions including </w:t>
      </w:r>
      <w:r w:rsidRPr="00C0338D">
        <w:t xml:space="preserve">decision-making and response </w:t>
      </w:r>
      <w:r w:rsidRPr="00C0338D">
        <w:lastRenderedPageBreak/>
        <w:t xml:space="preserve">actions to prevent or reduce negative impacts is lacking, particularly in marine systems where there are significant gaps. </w:t>
      </w:r>
    </w:p>
    <w:p w14:paraId="00000851" w14:textId="5B7AC32E" w:rsidR="00A758FD" w:rsidRPr="00C0338D" w:rsidRDefault="00C81287">
      <w:pPr>
        <w:spacing w:before="240" w:after="120" w:line="240" w:lineRule="auto"/>
      </w:pPr>
      <w:bookmarkStart w:id="706" w:name="_heading=h.4bewzdj" w:colFirst="0" w:colLast="0"/>
      <w:bookmarkEnd w:id="706"/>
      <w:r w:rsidRPr="00C0338D">
        <w:t>Correlative models, mostly found in the literature review conducted for this assessment (</w:t>
      </w:r>
      <w:r w:rsidRPr="00C0338D">
        <w:rPr>
          <w:b/>
        </w:rPr>
        <w:t>Chapter 1</w:t>
      </w:r>
      <w:r w:rsidRPr="00C0338D">
        <w:t xml:space="preserve">, </w:t>
      </w:r>
      <w:r w:rsidRPr="00C0338D">
        <w:rPr>
          <w:b/>
        </w:rPr>
        <w:t>section 1.6.7.3</w:t>
      </w:r>
      <w:r w:rsidRPr="00C0338D">
        <w:t xml:space="preserve">, have only been developed and applied to individual management activities (49 of 183 studies considering management; such as control. These correlative models have principally been implemented on invasive alien invertebrates and mammals from Asia and the Pacific, estimating and quantifying potential impacts and changes in species occurrence or abundance. Correlative models are also often used to build species risk maps both under current and future conditions to estimate invasion potential (e.g., under different climate change scenarios; </w:t>
      </w:r>
      <w:r w:rsidRPr="00C0338D">
        <w:rPr>
          <w:b/>
        </w:rPr>
        <w:t>section 5.2.2.4</w:t>
      </w:r>
      <w:r w:rsidRPr="00C0338D">
        <w:t>;</w:t>
      </w:r>
      <w:r w:rsidRPr="00C0338D">
        <w:rPr>
          <w:b/>
        </w:rPr>
        <w:t xml:space="preserve"> Chapter 1</w:t>
      </w:r>
      <w:r w:rsidRPr="00C0338D">
        <w:t xml:space="preserve">, </w:t>
      </w:r>
      <w:r w:rsidRPr="00C0338D">
        <w:rPr>
          <w:b/>
        </w:rPr>
        <w:t>section 1.6.7.3</w:t>
      </w:r>
      <w:r w:rsidRPr="00C0338D">
        <w:t xml:space="preserve">). Hybrid and expert-based models, far less found in the literature (22 and 6 of 183 studies considering management respectively), have been applied especially in Africa, Antarctica, Europe, Oceania and Central Asia, to help assess the prevention and preparedness for the </w:t>
      </w:r>
      <w:r w:rsidR="6C4FEA8C">
        <w:t xml:space="preserve">management of </w:t>
      </w:r>
      <w:r w:rsidRPr="00C0338D">
        <w:t xml:space="preserve">biological </w:t>
      </w:r>
      <w:r>
        <w:t>invasion</w:t>
      </w:r>
      <w:r w:rsidR="3C6C24E6">
        <w:t>s</w:t>
      </w:r>
      <w:r>
        <w:t xml:space="preserve"> </w:t>
      </w:r>
      <w:r w:rsidR="79B2B399">
        <w:t>across</w:t>
      </w:r>
      <w:r w:rsidR="7B3F6DA4">
        <w:t xml:space="preserve"> </w:t>
      </w:r>
      <w:r w:rsidRPr="00C0338D">
        <w:t>many different</w:t>
      </w:r>
      <w:r>
        <w:t xml:space="preserve"> </w:t>
      </w:r>
      <w:r w:rsidR="78837BBA" w:rsidRPr="00C0338D">
        <w:t xml:space="preserve">invasive </w:t>
      </w:r>
      <w:r w:rsidR="78837BBA">
        <w:t xml:space="preserve">alien </w:t>
      </w:r>
      <w:r w:rsidR="78837BBA" w:rsidRPr="00C0338D">
        <w:t>taxa</w:t>
      </w:r>
      <w:r w:rsidRPr="00C0338D">
        <w:t xml:space="preserve"> (e.g., amphibians, birds, fungi, fishes, reptiles) in freshwater and marine realm considering an international extent and context</w:t>
      </w:r>
      <w:r w:rsidR="430490D0" w:rsidRPr="00837161">
        <w:rPr>
          <w:lang w:eastAsia="en-ZA"/>
        </w:rPr>
        <w:t>.</w:t>
      </w:r>
      <w:r w:rsidR="005B0616" w:rsidRPr="00AC1F76">
        <w:rPr>
          <w:vertAlign w:val="superscript"/>
          <w:lang w:eastAsia="en-ZA"/>
        </w:rPr>
        <w:t>27</w:t>
      </w:r>
      <w:r w:rsidRPr="00C0338D">
        <w:t xml:space="preserve"> Examples are given in </w:t>
      </w:r>
      <w:r w:rsidR="00191A6E">
        <w:rPr>
          <w:b/>
          <w:iCs/>
        </w:rPr>
        <w:t>Table 5.15</w:t>
      </w:r>
      <w:r w:rsidR="430490D0" w:rsidRPr="00837161">
        <w:rPr>
          <w:lang w:eastAsia="en-ZA"/>
        </w:rPr>
        <w:t>.</w:t>
      </w:r>
      <w:r w:rsidRPr="00C0338D">
        <w:t xml:space="preserve"> The use of scenarios and models for the management of marine and cryptic species remains challenging due most likely to a lack of environmental data and data on species occurrence that can be used to develop scenarios. </w:t>
      </w:r>
    </w:p>
    <w:bookmarkEnd w:id="705"/>
    <w:p w14:paraId="00000852" w14:textId="3F927CBB" w:rsidR="00A758FD" w:rsidRPr="00C0338D" w:rsidRDefault="00C81287">
      <w:pPr>
        <w:spacing w:before="240" w:after="120" w:line="240" w:lineRule="auto"/>
      </w:pPr>
      <w:r w:rsidRPr="00C0338D">
        <w:t xml:space="preserve">As the process of invasion is dynamic, scenarios and models help make projections to assist, independently or in combination, with preparedness and management goals and decision-making </w:t>
      </w:r>
      <w:r w:rsidR="00383764" w:rsidRPr="00837161">
        <w:rPr>
          <w:lang w:eastAsia="en-ZA"/>
        </w:rPr>
        <w:t>(</w:t>
      </w:r>
      <w:r w:rsidR="00191A6E">
        <w:rPr>
          <w:b/>
          <w:iCs/>
        </w:rPr>
        <w:t>Figure 5.1</w:t>
      </w:r>
      <w:r w:rsidR="002B4599" w:rsidRPr="00B02AB7">
        <w:rPr>
          <w:lang w:eastAsia="en-ZA"/>
        </w:rPr>
        <w:t>;</w:t>
      </w:r>
      <w:r w:rsidRPr="00C0338D">
        <w:rPr>
          <w:b/>
        </w:rPr>
        <w:t xml:space="preserve"> section 5.2.2.4</w:t>
      </w:r>
      <w:r w:rsidRPr="00C0338D">
        <w:t xml:space="preserve">). Both long (until 2050-2100) and mid-term (until 2030-2050) projections have been obtained under varying management scenarios, but they were little used in retrospective policy evaluations </w:t>
      </w:r>
      <w:r w:rsidR="00A30C05" w:rsidRPr="00837161">
        <w:rPr>
          <w:lang w:eastAsia="en-ZA"/>
        </w:rPr>
        <w:fldChar w:fldCharType="begin"/>
      </w:r>
      <w:r w:rsidR="0044454C">
        <w:rPr>
          <w:lang w:eastAsia="en-ZA"/>
        </w:rPr>
        <w:instrText xml:space="preserve"> ADDIN ZOTERO_ITEM CSL_CITATION {"citationID":"U7q9w2t2","properties":{"formattedCitation":"(IPBES, 2016; C. M. Jones et al., 2021)","plainCitation":"(IPBES, 2016; C. M. Jones et al., 2021)","noteIndex":0},"citationItems":[{"id":29273,"uris":["http://zotero.org/groups/2352922/items/MIBPMHP5"],"itemData":{"id":29273,"type":"report","event-place":"Bonn, Germany","language":"en","license":"Creative Commons Attribution 4.0 International, Open Access","note":"DOI: 10.5281/ZENODO.3235428","publisher":"Secretariat of the Intergovernmental Science-Policy Platform on Biodiversity and Ecosystem Services","publisher-place":"Bonn, Germany","source":"DOI.org (Datacite)","title":"The methodological assessment report on scenarios and models of biodiversity and ecosystem services","URL":"https://zenodo.org/record/3235428","author":[{"literal":"IPBES"}],"collection-editor":[{"family":"Acosta","given":"L. A."},{"family":"Akçakaya","given":"H. R."},{"family":"Brotons","given":"L."},{"family":"Cheung","given":"W. W. L."},{"family":"Christensen","given":"V."},{"family":"Harhash","given":"K. A."},{"family":"Kabubo-Mariara","given":"J."},{"family":"Lundquist","given":"C."},{"family":"Obersteiner","given":"M."},{"family":"Pereira","given":"H. M."},{"family":"Peterson","given":"G."},{"family":"Pichs-Madruga","given":"R."},{"family":"Ravindranath","given":"N."},{"family":"Rondinini","given":"C."},{"family":"Wintle","given":"B. A."}],"accessed":{"date-parts":[["2021",2,22]]},"issued":{"date-parts":[["2016"]]}},"label":"page"},{"id":52359,"uris":["http://zotero.org/groups/2352922/items/V5S8RZZP"],"itemData":{"id":52359,"type":"article-journal","abstract":"Ecological forecasting has vast potential to support environmental decision making with repeated, testable predictions across management-relevant timescales and locations. Yet resource managers rarely use co-designed forecasting systems or embed them in decision making. Although prediction of planned management outcomes is particularly important for biological invasions to optimize when and where resources should be allocated, spatial–temporal models of spread typically have not been openly shared, iteratively updated, or interactive to facilitate exploration of management actions. We describe a species-agnostic, open-source framework – called the Pest or Pathogen Spread (PoPS) Forecasting Platform – for co-designing near-term iterative forecasts of biological invasions. Two case studies are presented to demonstrate that iterative calibration yields higher forecast skill than using only the earliest-available data to predict future spread. The PoPS framework is a primary example of an ecological forecasting system that has been both scientifically improved and optimized for real-world decision making through sustained participation and use by management stakeholders.","container-title":"Frontiers in Ecology and the Environment","DOI":"10.1002/fee.2357","ISSN":"1540-9309","issue":"7","language":"en","note":"_eprint: https://onlinelibrary.wiley.com/doi/pdf/10.1002/fee.2357","page":"411-418","source":"Wiley Online Library","title":"Iteratively forecasting biological invasions with PoPS and a little help from our friends","URL":"https://onlinelibrary.wiley.com/doi/abs/10.1002/fee.2357","volume":"19","author":[{"family":"Jones","given":"Chris M"},{"family":"Jones","given":"Shannon"},{"family":"Petrasova","given":"Anna"},{"family":"Petras","given":"Vaclav"},{"family":"Gaydos","given":"Devon"},{"family":"Skrip","given":"Megan M"},{"family":"Takeuchi","given":"Yu"},{"family":"Bigsby","given":"Kevin"},{"family":"Meentemeyer","given":"Ross K"}],"accessed":{"date-parts":[["2022",5,31]]},"issued":{"date-parts":[["2021"]]}},"label":"page"}],"schema":"https://github.com/citation-style-language/schema/raw/master/csl-citation.json"} </w:instrText>
      </w:r>
      <w:r w:rsidR="00A30C05" w:rsidRPr="00837161">
        <w:rPr>
          <w:lang w:eastAsia="en-ZA"/>
        </w:rPr>
        <w:fldChar w:fldCharType="separate"/>
      </w:r>
      <w:r w:rsidR="00271B78" w:rsidRPr="00271B78">
        <w:t>(IPBES, 2016; C. M. Jones et al., 2021)</w:t>
      </w:r>
      <w:r w:rsidR="00A30C05" w:rsidRPr="00837161">
        <w:rPr>
          <w:lang w:eastAsia="en-ZA"/>
        </w:rPr>
        <w:fldChar w:fldCharType="end"/>
      </w:r>
      <w:r w:rsidR="00383764" w:rsidRPr="00837161">
        <w:rPr>
          <w:lang w:eastAsia="en-ZA"/>
        </w:rPr>
        <w:t>.</w:t>
      </w:r>
      <w:r w:rsidRPr="00C0338D">
        <w:t xml:space="preserve"> Similarly, projections have been made on single or multiple management approaches addressing one or more drivers </w:t>
      </w:r>
      <w:r w:rsidR="20FAF152">
        <w:t xml:space="preserve">in the context </w:t>
      </w:r>
      <w:r w:rsidRPr="00C0338D">
        <w:t>of invasive alien species scenarios (</w:t>
      </w:r>
      <w:r w:rsidR="00383764" w:rsidRPr="00B02AB7">
        <w:rPr>
          <w:rFonts w:eastAsia="DengXian"/>
          <w:b/>
          <w:bCs/>
          <w:iCs/>
        </w:rPr>
        <w:t>Table</w:t>
      </w:r>
      <w:r w:rsidRPr="00C0338D">
        <w:rPr>
          <w:b/>
        </w:rPr>
        <w:t xml:space="preserve"> 5.14</w:t>
      </w:r>
      <w:r w:rsidRPr="00C0338D">
        <w:t>). Scenarios supporting management goals have been both qualitative and quantitative, mainly exploratory (109 of 183 studies considering management</w:t>
      </w:r>
      <w:r w:rsidR="008F1D3F" w:rsidRPr="00837161">
        <w:rPr>
          <w:lang w:eastAsia="en-ZA"/>
        </w:rPr>
        <w:t>)</w:t>
      </w:r>
      <w:r w:rsidR="00383764" w:rsidRPr="00837161">
        <w:rPr>
          <w:lang w:eastAsia="en-ZA"/>
        </w:rPr>
        <w:t>,</w:t>
      </w:r>
      <w:r w:rsidR="005B0616" w:rsidRPr="000D6428">
        <w:rPr>
          <w:vertAlign w:val="superscript"/>
          <w:lang w:eastAsia="en-ZA"/>
        </w:rPr>
        <w:t>27</w:t>
      </w:r>
      <w:r w:rsidRPr="00C0338D">
        <w:t xml:space="preserve"> and they have principally considered scenarios of management, invasive alien species characteristics (i.e., demographic, dispersal, interaction; 29 publications), climate change (35 publications) and land</w:t>
      </w:r>
      <w:r w:rsidR="005B0616">
        <w:t xml:space="preserve">- and </w:t>
      </w:r>
      <w:r w:rsidRPr="00C0338D">
        <w:t>sea</w:t>
      </w:r>
      <w:r w:rsidR="005B0616">
        <w:t>-</w:t>
      </w:r>
      <w:r w:rsidRPr="00C0338D">
        <w:t>use change (12 publications) as drivers, alone or along with other drivers (</w:t>
      </w:r>
      <w:r w:rsidR="00383764" w:rsidRPr="00B02AB7">
        <w:rPr>
          <w:b/>
          <w:bCs/>
          <w:iCs/>
          <w:lang w:eastAsia="en-ZA"/>
        </w:rPr>
        <w:t>Table</w:t>
      </w:r>
      <w:r w:rsidRPr="00C0338D">
        <w:rPr>
          <w:b/>
        </w:rPr>
        <w:t xml:space="preserve"> 5.14</w:t>
      </w:r>
      <w:r w:rsidRPr="00C0338D">
        <w:t>;</w:t>
      </w:r>
      <w:r w:rsidRPr="00C0338D">
        <w:rPr>
          <w:b/>
        </w:rPr>
        <w:t xml:space="preserve"> section 5.6.1.3</w:t>
      </w:r>
      <w:r w:rsidRPr="00C0338D">
        <w:t>).</w:t>
      </w:r>
    </w:p>
    <w:p w14:paraId="266BA54A" w14:textId="726280D0" w:rsidR="00383764" w:rsidRPr="00837161" w:rsidRDefault="00383764" w:rsidP="001B54C5">
      <w:pPr>
        <w:spacing w:before="240" w:after="120" w:line="240" w:lineRule="auto"/>
      </w:pPr>
      <w:r w:rsidRPr="00837161">
        <w:rPr>
          <w:lang w:eastAsia="en-ZA"/>
        </w:rPr>
        <w:t>Models and scenarios can be important tools to understand opportunities and contexts of desirable outcomes of management in terms of biodiversity, nature’s contributions to people</w:t>
      </w:r>
      <w:r w:rsidR="00C16EEB">
        <w:rPr>
          <w:lang w:eastAsia="en-ZA"/>
        </w:rPr>
        <w:t xml:space="preserve"> and</w:t>
      </w:r>
      <w:r w:rsidRPr="00837161">
        <w:rPr>
          <w:lang w:eastAsia="en-ZA"/>
        </w:rPr>
        <w:t xml:space="preserve"> good quality of life </w:t>
      </w:r>
      <w:r w:rsidRPr="00837161">
        <w:rPr>
          <w:lang w:eastAsia="en-ZA"/>
        </w:rPr>
        <w:fldChar w:fldCharType="begin"/>
      </w:r>
      <w:r w:rsidR="0044454C">
        <w:rPr>
          <w:lang w:eastAsia="en-ZA"/>
        </w:rPr>
        <w:instrText xml:space="preserve"> ADDIN ZOTERO_ITEM CSL_CITATION {"citationID":"4HgsAuA1","properties":{"formattedCitation":"(IPBES, 2016)","plainCitation":"(IPBES, 2016)","noteIndex":0},"citationItems":[{"id":29273,"uris":["http://zotero.org/groups/2352922/items/MIBPMHP5"],"itemData":{"id":29273,"type":"report","event-place":"Bonn, Germany","language":"en","license":"Creative Commons Attribution 4.0 International, Open Access","note":"DOI: 10.5281/ZENODO.3235428","publisher":"Secretariat of the Intergovernmental Science-Policy Platform on Biodiversity and Ecosystem Services","publisher-place":"Bonn, Germany","source":"DOI.org (Datacite)","title":"The methodological assessment report on scenarios and models of biodiversity and ecosystem services","URL":"https://zenodo.org/record/3235428","author":[{"literal":"IPBES"}],"collection-editor":[{"family":"Acosta","given":"L. A."},{"family":"Akçakaya","given":"H. R."},{"family":"Brotons","given":"L."},{"family":"Cheung","given":"W. W. L."},{"family":"Christensen","given":"V."},{"family":"Harhash","given":"K. A."},{"family":"Kabubo-Mariara","given":"J."},{"family":"Lundquist","given":"C."},{"family":"Obersteiner","given":"M."},{"family":"Pereira","given":"H. M."},{"family":"Peterson","given":"G."},{"family":"Pichs-Madruga","given":"R."},{"family":"Ravindranath","given":"N."},{"family":"Rondinini","given":"C."},{"family":"Wintle","given":"B. A."}],"accessed":{"date-parts":[["2021",2,22]]},"issued":{"date-parts":[["2016"]]}},"label":"page"}],"schema":"https://github.com/citation-style-language/schema/raw/master/csl-citation.json"} </w:instrText>
      </w:r>
      <w:r w:rsidRPr="00837161">
        <w:rPr>
          <w:lang w:eastAsia="en-ZA"/>
        </w:rPr>
        <w:fldChar w:fldCharType="separate"/>
      </w:r>
      <w:r w:rsidR="00271B78" w:rsidRPr="00271B78">
        <w:t>(IPBES, 2016)</w:t>
      </w:r>
      <w:r w:rsidRPr="00837161">
        <w:rPr>
          <w:lang w:eastAsia="en-ZA"/>
        </w:rPr>
        <w:fldChar w:fldCharType="end"/>
      </w:r>
      <w:r w:rsidRPr="00837161">
        <w:rPr>
          <w:lang w:eastAsia="en-ZA"/>
        </w:rPr>
        <w:t>. For example, d</w:t>
      </w:r>
      <w:r w:rsidRPr="00837161">
        <w:t>ifferent scenarios of effective management of rats</w:t>
      </w:r>
      <w:r w:rsidR="00C16EEB">
        <w:t xml:space="preserve"> and</w:t>
      </w:r>
      <w:r w:rsidRPr="00837161">
        <w:t xml:space="preserve"> an introduced </w:t>
      </w:r>
      <w:r w:rsidRPr="00837161">
        <w:rPr>
          <w:i/>
        </w:rPr>
        <w:t>Philornis downsi</w:t>
      </w:r>
      <w:r w:rsidR="00A93346" w:rsidRPr="00837161">
        <w:rPr>
          <w:i/>
        </w:rPr>
        <w:t xml:space="preserve"> </w:t>
      </w:r>
      <w:r w:rsidR="00A93346" w:rsidRPr="00837161">
        <w:t>(avian vampire fly)</w:t>
      </w:r>
      <w:r w:rsidRPr="00837161">
        <w:t xml:space="preserve">, on </w:t>
      </w:r>
      <w:r w:rsidRPr="00837161">
        <w:rPr>
          <w:lang w:eastAsia="en-ZA"/>
        </w:rPr>
        <w:t xml:space="preserve">nesting success of the critically endangered </w:t>
      </w:r>
      <w:r w:rsidRPr="00837161">
        <w:rPr>
          <w:i/>
        </w:rPr>
        <w:t>Camarhynchus heliobates</w:t>
      </w:r>
      <w:r w:rsidRPr="00837161">
        <w:rPr>
          <w:lang w:eastAsia="en-ZA"/>
        </w:rPr>
        <w:t xml:space="preserve"> (mangrove finch</w:t>
      </w:r>
      <w:r w:rsidRPr="00837161">
        <w:t xml:space="preserve">) were developed </w:t>
      </w:r>
      <w:r w:rsidRPr="00837161">
        <w:rPr>
          <w:lang w:eastAsia="en-ZA"/>
        </w:rPr>
        <w:t>as part of a management programme on Isabela Island in the Galápagos archipelago. These scenarios w</w:t>
      </w:r>
      <w:r w:rsidRPr="00837161">
        <w:t>ere used to understand potential management interventions on finch population</w:t>
      </w:r>
      <w:r w:rsidRPr="00837161">
        <w:rPr>
          <w:lang w:eastAsia="en-ZA"/>
        </w:rPr>
        <w:t xml:space="preserve"> </w:t>
      </w:r>
      <w:r w:rsidRPr="00837161">
        <w:t xml:space="preserve">recovery </w:t>
      </w:r>
      <w:r w:rsidRPr="00837161">
        <w:rPr>
          <w:lang w:eastAsia="en-ZA"/>
        </w:rPr>
        <w:t xml:space="preserve">to identify </w:t>
      </w:r>
      <w:r w:rsidRPr="00837161">
        <w:t xml:space="preserve">positive biodiversity outcomes </w:t>
      </w:r>
      <w:r w:rsidRPr="00837161">
        <w:fldChar w:fldCharType="begin"/>
      </w:r>
      <w:r w:rsidR="000F35EB">
        <w:instrText xml:space="preserve"> ADDIN ZOTERO_ITEM CSL_CITATION {"citationID":"IpPFm5s7","properties":{"formattedCitation":"(Fessl et al., 2010)","plainCitation":"(Fessl et al., 2010)","noteIndex":0},"citationItems":[{"id":31539,"uris":["http://zotero.org/groups/2352922/items/DIYPUPS4"],"itemData":{"id":31539,"type":"article-journal","abstract":"Habitat destruction and predation by invasive alien species has led to the disappearance of several island populations of Darwin's finches but to date none of the 13 recognized species have gone extinct. However, driven by rapid economic growth in the Galápagos, the effects of introduced species have accelerated and severely threatened these iconic birds. The critically endangered mangrove finch (Camarhynchus heliobates) is now confined to three small mangroves on Isabela Island. During 2006–2009, we assessed its population status and monitored nesting success, both before and after rat poisoning. Population size was estimated at around only 100 birds for the two main breeding sites, with possibly 5–10 birds surviving at a third mangrove. Before rat control, 54 per cent of nests during incubation phase were predated with only 18 per cent of nests producing fledglings. Post-rat control, nest predation during the incubation phase fell to 30 per cent with 37 per cent of nests producing fledglings. During the nestling phase, infestation by larvae of the introduced parasitic fly (Philornis downsi) caused 14 per cent additional mortality. Using population viability analysis, we simulated the probability of population persistence under various scenarios of control and showed that with effective management of these invasive species, mangrove finch populations should start to recover.","container-title":"Philosophical Transactions of the Royal Society B: Biological Sciences","DOI":"10.1098/rstb.2009.0288","ISSN":"0962-8436","issue":"1543","journalAbbreviation":"Philos Trans R Soc Lond B Biol Sci","note":"PMID: 20194165\nPMCID: PMC2830234","page":"1019-1030","source":"PubMed Central","title":"How to save the rarest Darwin's finch from extinction: the mangrove finch on Isabela Island","title-short":"How to save the rarest Darwin's finch from extinction","URL":"https://www.ncbi.nlm.nih.gov/pmc/articles/PMC2830234/","volume":"365","author":[{"family":"Fessl","given":"Birgit"},{"family":"Young","given":"Glyn H."},{"family":"Young","given":"Richard P."},{"family":"Rodríguez-Matamoros","given":"Jorge"},{"family":"Dvorak","given":"Michael"},{"family":"Tebbich","given":"Sabine"},{"family":"Fa","given":"John E."}],"accessed":{"date-parts":[["2021",11,22]]},"issued":{"date-parts":[["2010",4,12]]}},"label":"page"}],"schema":"https://github.com/citation-style-language/schema/raw/master/csl-citation.json"} </w:instrText>
      </w:r>
      <w:r w:rsidRPr="00837161">
        <w:fldChar w:fldCharType="separate"/>
      </w:r>
      <w:r w:rsidR="00271B78" w:rsidRPr="00271B78">
        <w:t>(Fessl et al., 2010)</w:t>
      </w:r>
      <w:r w:rsidRPr="00837161">
        <w:fldChar w:fldCharType="end"/>
      </w:r>
      <w:r w:rsidRPr="00837161">
        <w:rPr>
          <w:lang w:eastAsia="en-ZA"/>
        </w:rPr>
        <w:t xml:space="preserve">. Similarly, an agent-based model was developed for understanding hypothetical agricultural subsidy scenarios aimed at controlling invasive guava and assess the resulting population and land cover dynamics effecting community livelihoods on the same island </w:t>
      </w:r>
      <w:r w:rsidR="004A7D79" w:rsidRPr="00837161">
        <w:rPr>
          <w:lang w:eastAsia="en-ZA"/>
        </w:rPr>
        <w:fldChar w:fldCharType="begin"/>
      </w:r>
      <w:r w:rsidR="000F35EB">
        <w:rPr>
          <w:lang w:eastAsia="en-ZA"/>
        </w:rPr>
        <w:instrText xml:space="preserve"> ADDIN ZOTERO_ITEM CSL_CITATION {"citationID":"JNVJPC9P","properties":{"formattedCitation":"(Miller et al., 2010)","plainCitation":"(Miller et al., 2010)","noteIndex":0},"citationItems":[{"id":52364,"uris":["http://zotero.org/groups/2352922/items/M8FQCQFF"],"itemData":{"id":52364,"type":"article-journal","abstract":"Agent-based models (ABMs) are powerful tools for population–environment research but are subject to trade-offs between model complexity and abstraction. This study strikes a compromise between abstract and highly specified ABMs by designing a spatially explicit, stylized ABM and using it to explore policy scenarios in a setting that is facing substantial conservation and development challenges. Specifically, we present an ABM that reflects key Land Use/Land Cover dynamics and livelihood decisions on Isabela Island in the Galápagos Archipelago of Ecuador. We implement the model using the NetLogo software platform, a free program that requires relatively little programming experience. The landscape is composed of a satellite-derived distribution of a problematic invasive species (common guava) and a stylized representation of the Galápagos National Park, the community of Puerto Villamil, the agricultural zone, and the marine area. The agent module is based on publicly available data and household interviews and represents the primary livelihoods of the population in the Galápagos Islands—tourism, fisheries, and agriculture. We use the model to enact hypothetical agricultural subsidy scenarios aimed at controlling invasive guava and assess the resulting population and land cover dynamics. Findings suggest that spatially explicit, stylized ABMs have considerable utility, particularly during preliminary stages of research, as platforms for (1) sharpening conceptualizations of population–environment systems, (2) testing alternative scenarios, and (3) uncovering critical data gaps.","container-title":"Population and Environment","DOI":"10.1007/s11111-010-0110-4","ISSN":"1573-7810","issue":"6","journalAbbreviation":"Popul Environ","language":"en","page":"401-426","source":"Springer Link","title":"Using stylized agent-based models for population–environment research: a case study from the Galápagos Islands","title-short":"Using stylized agent-based models for population–environment research","URL":"https://doi.org/10.1007/s11111-010-0110-4","volume":"31","author":[{"family":"Miller","given":"Brian W."},{"family":"Breckheimer","given":"Ian"},{"family":"McCleary","given":"Amy L."},{"family":"Guzmán-Ramirez","given":"Liza"},{"family":"Caplow","given":"Susan C."},{"family":"Jones-Smith","given":"Jessica C."},{"family":"Walsh","given":"Stephen J."}],"accessed":{"date-parts":[["2022",5,31]]},"issued":{"date-parts":[["2010",7,1]]}},"label":"page"}],"schema":"https://github.com/citation-style-language/schema/raw/master/csl-citation.json"} </w:instrText>
      </w:r>
      <w:r w:rsidR="004A7D79" w:rsidRPr="00837161">
        <w:rPr>
          <w:lang w:eastAsia="en-ZA"/>
        </w:rPr>
        <w:fldChar w:fldCharType="separate"/>
      </w:r>
      <w:r w:rsidR="00271B78" w:rsidRPr="00271B78">
        <w:t>(Miller et al., 2010)</w:t>
      </w:r>
      <w:r w:rsidR="004A7D79" w:rsidRPr="00837161">
        <w:rPr>
          <w:lang w:eastAsia="en-ZA"/>
        </w:rPr>
        <w:fldChar w:fldCharType="end"/>
      </w:r>
      <w:r w:rsidRPr="00837161">
        <w:rPr>
          <w:lang w:eastAsia="en-ZA"/>
        </w:rPr>
        <w:t xml:space="preserve">. Management options have also been explored to provide positive outcomes to nature’s contributions to people (e.g., reduction of economic losses and carbon emissions; </w:t>
      </w:r>
      <w:r w:rsidRPr="00837161">
        <w:rPr>
          <w:lang w:eastAsia="en-ZA"/>
        </w:rPr>
        <w:fldChar w:fldCharType="begin"/>
      </w:r>
      <w:r w:rsidR="000F35EB">
        <w:rPr>
          <w:lang w:eastAsia="en-ZA"/>
        </w:rPr>
        <w:instrText xml:space="preserve"> ADDIN ZOTERO_ITEM CSL_CITATION {"citationID":"yTrsiDwP","properties":{"formattedCitation":"(Alaniz et al., 2020)","plainCitation":"(Alaniz et al., 2020)","dontUpdate":true,"noteIndex":0},"citationItems":[{"id":10054,"uris":["http://zotero.org/groups/2352922/items/QSA2HIMY"],"itemData":{"id":10054,"type":"article-journal","abstract":"BACKGROUND Solanum sisymbriifolium is a native plant of South America introduced into Africa, which has detrimental effects on crop yields, and on the environment due to weed control treatment by burning. In South America, S. sisymbriifolium is naturally controlled by the beetle Gratiana spadicea, making this a potential option for its control in Africa. Here, we aim to generate current and future scenarios for the introduction of G. spadicea as a biocontrol agent in Africa, analysing: (i) current and future effective biocontrol areas; (ii) potentially avoided economic losses (AEL), and chemical control costs and savings; and (iii) avoided carbon emissions (ACE) associated with the non-burning of crop fields. We combine species distribution models (SDM) with land cover maps to estimate current and future effective biocontrol considering Representative Concentration Pathways (RCP) 4.5 and 8.5 climate change scenarios. We then estimate AEL and ACE using biocontrol, and chemical control costs and savings. RESULTS The effective biocontrol area reached 392 405 km2 in 18 countries, representing 40% of potentially affected croplands. Climate change induced a decrease in affected croplands and effective biocontrol. The estimated AEL reached US$45 447.2 ± 5617.3 billion distributed across 16 countries, while the estimated chemical control costs and savings reached US$1988.5 billion and 1411.8 billion, respectively. Potential ACE reached 36.3 ± 5.4 Tg. CONCLUSIONS Our study provides evidence for the potential benefits of biological controllers on economic losses and carbon emissions, which can be incorporated into sustainable development in low-income countries.","container-title":"Pest Management Science","DOI":"10.1002/ps.5776","ISSN":"1526-4998","issue":"7","language":"en","note":"_eprint: https://onlinelibrary.wiley.com/doi/pdf/10.1002/ps.5776","page":"2395-2405","source":"Wiley Online Library","title":"Current and future spatial assessment of biological control as a mechanism to reduce economic losses and carbon emissions: the case of &lt;i&gt;Solanum sisymbriifolium&lt;/i&gt; in Africa","title-short":"Current and future spatial assessment of biological control as a mechanism to reduce economic losses and carbon emissions","URL":"https://onlinelibrary.wiley.com/doi/abs/10.1002/ps.5776","volume":"76","author":[{"family":"Alaniz","given":"Alberto J"},{"family":"Núñez-Hidalgo","given":"Ignacio"},{"family":"Carvajal","given":"Mario A"},{"family":"Alvarenga","given":"Thiago M"},{"family":"Gómez-Cantillana","given":"Paulina"},{"family":"Vergara","given":"Pablo M"}],"accessed":{"date-parts":[["2021",11,14]]},"issued":{"date-parts":[["2020"]]}},"label":"page"}],"schema":"https://github.com/citation-style-language/schema/raw/master/csl-citation.json"} </w:instrText>
      </w:r>
      <w:r w:rsidRPr="00837161">
        <w:rPr>
          <w:lang w:eastAsia="en-ZA"/>
        </w:rPr>
        <w:fldChar w:fldCharType="separate"/>
      </w:r>
      <w:r w:rsidR="00B50121" w:rsidRPr="00837161">
        <w:t>Alaniz et al., 2020)</w:t>
      </w:r>
      <w:r w:rsidRPr="00837161">
        <w:rPr>
          <w:lang w:eastAsia="en-ZA"/>
        </w:rPr>
        <w:fldChar w:fldCharType="end"/>
      </w:r>
      <w:r w:rsidRPr="00837161">
        <w:rPr>
          <w:lang w:eastAsia="en-ZA"/>
        </w:rPr>
        <w:t>. Scenarios and models have been poorly used, however, to evaluate the outcomes of management programmes for nature’s contributions to people (around 12</w:t>
      </w:r>
      <w:r w:rsidR="006215F0" w:rsidRPr="00837161">
        <w:t xml:space="preserve"> per cent</w:t>
      </w:r>
      <w:r w:rsidRPr="00837161">
        <w:rPr>
          <w:lang w:eastAsia="en-ZA"/>
        </w:rPr>
        <w:t xml:space="preserve"> of 183 studies)</w:t>
      </w:r>
      <w:r w:rsidR="00C16EEB">
        <w:rPr>
          <w:lang w:eastAsia="en-ZA"/>
        </w:rPr>
        <w:t xml:space="preserve"> and</w:t>
      </w:r>
      <w:r w:rsidRPr="00837161">
        <w:rPr>
          <w:lang w:eastAsia="en-ZA"/>
        </w:rPr>
        <w:t xml:space="preserve"> good quality of life (only 10</w:t>
      </w:r>
      <w:r w:rsidR="006215F0" w:rsidRPr="00837161">
        <w:t xml:space="preserve"> per cent</w:t>
      </w:r>
      <w:r w:rsidRPr="00837161">
        <w:rPr>
          <w:lang w:eastAsia="en-ZA"/>
        </w:rPr>
        <w:t xml:space="preserve"> of the studies</w:t>
      </w:r>
      <w:r w:rsidR="002B4599" w:rsidRPr="00837161">
        <w:rPr>
          <w:lang w:eastAsia="en-ZA"/>
        </w:rPr>
        <w:t>;</w:t>
      </w:r>
      <w:r w:rsidRPr="00837161">
        <w:rPr>
          <w:lang w:eastAsia="en-ZA"/>
        </w:rPr>
        <w:t xml:space="preserve"> </w:t>
      </w:r>
      <w:r w:rsidRPr="00B02AB7">
        <w:rPr>
          <w:b/>
          <w:bCs/>
          <w:iCs/>
          <w:lang w:eastAsia="en-ZA"/>
        </w:rPr>
        <w:t>Table 5.1</w:t>
      </w:r>
      <w:r w:rsidR="00554C45" w:rsidRPr="00B02AB7">
        <w:rPr>
          <w:b/>
          <w:bCs/>
          <w:iCs/>
          <w:lang w:eastAsia="en-ZA"/>
        </w:rPr>
        <w:t>4</w:t>
      </w:r>
      <w:r w:rsidRPr="00837161">
        <w:rPr>
          <w:lang w:eastAsia="en-ZA"/>
        </w:rPr>
        <w:t>).</w:t>
      </w:r>
      <w:r w:rsidR="00F26EC4" w:rsidRPr="00837161">
        <w:rPr>
          <w:lang w:eastAsia="en-ZA"/>
        </w:rPr>
        <w:t xml:space="preserve"> </w:t>
      </w:r>
      <w:r w:rsidRPr="00837161">
        <w:rPr>
          <w:lang w:eastAsia="en-ZA"/>
        </w:rPr>
        <w:t xml:space="preserve">Scenarios and models with emphasis on </w:t>
      </w:r>
      <w:r w:rsidR="00A91F9F">
        <w:rPr>
          <w:lang w:eastAsia="en-ZA"/>
        </w:rPr>
        <w:t>I</w:t>
      </w:r>
      <w:r w:rsidRPr="00837161">
        <w:rPr>
          <w:lang w:eastAsia="en-ZA"/>
        </w:rPr>
        <w:t xml:space="preserve">ndigenous and local knowledge </w:t>
      </w:r>
      <w:r w:rsidR="005B0616">
        <w:rPr>
          <w:lang w:eastAsia="en-ZA"/>
        </w:rPr>
        <w:t>or</w:t>
      </w:r>
      <w:r w:rsidR="005B0616" w:rsidRPr="00837161">
        <w:rPr>
          <w:lang w:eastAsia="en-ZA"/>
        </w:rPr>
        <w:t xml:space="preserve"> </w:t>
      </w:r>
      <w:r w:rsidR="00875C95" w:rsidRPr="00837161">
        <w:rPr>
          <w:lang w:eastAsia="en-ZA"/>
        </w:rPr>
        <w:t>Indigenous Peoples</w:t>
      </w:r>
      <w:r w:rsidRPr="00837161">
        <w:rPr>
          <w:lang w:eastAsia="en-ZA"/>
        </w:rPr>
        <w:t xml:space="preserve"> and local communities (e.g., with participatory target-seeking scenarios) have been rare (4</w:t>
      </w:r>
      <w:r w:rsidR="006215F0" w:rsidRPr="00837161">
        <w:t xml:space="preserve"> per cent</w:t>
      </w:r>
      <w:r w:rsidRPr="00837161">
        <w:rPr>
          <w:lang w:eastAsia="en-ZA"/>
        </w:rPr>
        <w:t xml:space="preserve"> of studies focused on management), though involvement of </w:t>
      </w:r>
      <w:r w:rsidR="00875C95" w:rsidRPr="00837161">
        <w:rPr>
          <w:lang w:eastAsia="en-ZA"/>
        </w:rPr>
        <w:t>Indigenous Peoples</w:t>
      </w:r>
      <w:r w:rsidRPr="00837161">
        <w:rPr>
          <w:lang w:eastAsia="en-ZA"/>
        </w:rPr>
        <w:t xml:space="preserve"> and local communities may lead to better invasive alien species management </w:t>
      </w:r>
      <w:r w:rsidR="00197924" w:rsidRPr="00837161">
        <w:rPr>
          <w:lang w:eastAsia="en-ZA"/>
        </w:rPr>
        <w:t>(</w:t>
      </w:r>
      <w:r w:rsidRPr="00B02AB7">
        <w:rPr>
          <w:b/>
          <w:iCs/>
          <w:lang w:eastAsia="en-ZA"/>
        </w:rPr>
        <w:t>section 5.5</w:t>
      </w:r>
      <w:r w:rsidRPr="00837161">
        <w:rPr>
          <w:lang w:eastAsia="en-ZA"/>
        </w:rPr>
        <w:t xml:space="preserve">). See </w:t>
      </w:r>
      <w:r w:rsidRPr="00B02AB7">
        <w:rPr>
          <w:b/>
          <w:iCs/>
          <w:lang w:eastAsia="en-ZA"/>
        </w:rPr>
        <w:t>section 5.6.2.1</w:t>
      </w:r>
      <w:r w:rsidRPr="00B02AB7">
        <w:rPr>
          <w:b/>
          <w:lang w:eastAsia="en-ZA"/>
        </w:rPr>
        <w:t xml:space="preserve"> </w:t>
      </w:r>
      <w:r w:rsidRPr="00837161">
        <w:rPr>
          <w:lang w:eastAsia="en-ZA"/>
        </w:rPr>
        <w:t xml:space="preserve">and </w:t>
      </w:r>
      <w:r w:rsidR="00B02AB7">
        <w:rPr>
          <w:b/>
          <w:iCs/>
          <w:lang w:eastAsia="en-ZA"/>
        </w:rPr>
        <w:t>C</w:t>
      </w:r>
      <w:r w:rsidRPr="00B02AB7">
        <w:rPr>
          <w:b/>
          <w:iCs/>
          <w:lang w:eastAsia="en-ZA"/>
        </w:rPr>
        <w:t>hapter 6</w:t>
      </w:r>
      <w:r w:rsidRPr="00B02AB7">
        <w:rPr>
          <w:iCs/>
          <w:lang w:eastAsia="en-ZA"/>
        </w:rPr>
        <w:t>,</w:t>
      </w:r>
      <w:r w:rsidRPr="00B02AB7">
        <w:rPr>
          <w:b/>
          <w:iCs/>
          <w:lang w:eastAsia="en-ZA"/>
        </w:rPr>
        <w:t xml:space="preserve"> section 6.6.1.</w:t>
      </w:r>
      <w:r w:rsidR="007D44E9" w:rsidRPr="00B02AB7">
        <w:rPr>
          <w:b/>
          <w:iCs/>
          <w:lang w:eastAsia="en-ZA"/>
        </w:rPr>
        <w:t>6</w:t>
      </w:r>
      <w:r w:rsidRPr="00B02AB7">
        <w:rPr>
          <w:lang w:eastAsia="en-ZA"/>
        </w:rPr>
        <w:t>,</w:t>
      </w:r>
      <w:r w:rsidRPr="00837161">
        <w:rPr>
          <w:lang w:eastAsia="en-ZA"/>
        </w:rPr>
        <w:t xml:space="preserve"> for gaps and future directions of scenarios and models which may support management of </w:t>
      </w:r>
      <w:r w:rsidR="002F2F42">
        <w:t xml:space="preserve">biological invasions. </w:t>
      </w:r>
      <w:r w:rsidRPr="00837161">
        <w:rPr>
          <w:lang w:eastAsia="en-ZA"/>
        </w:rPr>
        <w:t xml:space="preserve">Scenarios and models have </w:t>
      </w:r>
      <w:r w:rsidRPr="00837161">
        <w:t xml:space="preserve">also been used to translate the potential impact of </w:t>
      </w:r>
      <w:r w:rsidRPr="00837161">
        <w:lastRenderedPageBreak/>
        <w:t xml:space="preserve">management actions into consequences to good quality of life. For example, for </w:t>
      </w:r>
      <w:r w:rsidRPr="00837161">
        <w:rPr>
          <w:i/>
          <w:iCs/>
        </w:rPr>
        <w:t>Aphis glycines</w:t>
      </w:r>
      <w:r w:rsidRPr="00837161">
        <w:t xml:space="preserve"> (soybean aphid), an invasive pest of </w:t>
      </w:r>
      <w:r w:rsidRPr="00837161">
        <w:rPr>
          <w:i/>
          <w:iCs/>
        </w:rPr>
        <w:t>Glycine max</w:t>
      </w:r>
      <w:r w:rsidRPr="00837161">
        <w:t xml:space="preserve"> (soyabean), a dynamic bioeconomic model was developed to estimate the optimal chemical control strategy while considering explicitly the economic value of natural pest control (i.e., the control of the aphid by their natural enemies). Thus, this approach would reduce the economic inefficiency of pesticide use, leading to income security </w:t>
      </w:r>
      <w:r w:rsidR="004A7D79" w:rsidRPr="00837161">
        <w:fldChar w:fldCharType="begin"/>
      </w:r>
      <w:r w:rsidR="000F35EB">
        <w:instrText xml:space="preserve"> ADDIN ZOTERO_ITEM CSL_CITATION {"citationID":"fUGXhTsW","properties":{"formattedCitation":"(W. Zhang &amp; Swinton, 2009)","plainCitation":"(W. Zhang &amp; Swinton, 2009)","noteIndex":0},"citationItems":[{"id":10051,"uris":["http://zotero.org/groups/2352922/items/6X2B8KQU"],"itemData":{"id":10051,"type":"article-journal","abstract":"The control of pests by their natural enemies represents an important regulating ecosystem service that helps maintain the stability of crop ecosystems. These services, however, are often ignored in pest management decision making. In addition, the use of broad-spectrum insecticides can damage the populations of natural enemies, reducing the cost-effectiveness of insecticide investment if unaccounted for in treatment decisions. The existing literature on modeling of biological control of insect pests has generally focused on simulations of the population dynamics of pest and natural enemy species and the processes underlying pest control. But agriculture is a managed ecosystem where predator–prey relationships are heavily influenced by human managers. In modeling managerial choices, this study develops an intra-seasonal dynamic bioeconomic optimization model for insecticide-based pest management that explicitly takes into account both the biological control effect of natural enemies on pest density and the nontarget mortality effect of insecticides on the level of natural pest control supplied. The model captures predator–prey interactions, linking them to crop growth and yield damage functions, which in turn are evaluated in a dynamic optimization framework. We introduce a new decision rule for judicious insecticide decisions using a natural enemy-adjusted economic threshold. This threshold represents the pest population density at which insecticide control becomes optimal in spite of the opportunity cost of injury to natural enemies of the target pest. Using field data from Michigan, the model is applied to the case of soybean aphid (Aphis glycines, Matsumura), a recent invasive pest of soybean (Glycine max), whose management is of both economic and environmental importance to the North Central region of the United States. As illustrated by the numerical examples, such natural enemy-adjusted threshold is likely to lead to fewer recommendations for insecticide use than naïve models that ignore natural enemies, resulting in less insecticide use, while maintaining profitability for farmers that rely on chemical pest control methods. The bioeconomic model developed in this study can be used to conduct a wide variety of analyses such as identifying dynamically optimal spray strategies and estimating the implied economic value of natural control services. Furthermore, with the incorporation of inter-year carry-over factors, such as overwintering of pests and natural enemies, the current model can contribute to building multi-year models for studying long-term pest management.","container-title":"Ecological Modelling","DOI":"10.1016/j.ecolmodel.2009.01.027","ISSN":"0304-3800","issue":"9","journalAbbreviation":"Ecological Modelling","language":"en","page":"1315-1324","source":"ScienceDirect","title":"Incorporating natural enemies in an economic threshold for dynamically optimal pest management","URL":"https://www.sciencedirect.com/science/article/pii/S0304380009000830","volume":"220","author":[{"family":"Zhang","given":"Wei"},{"family":"Swinton","given":"Scott M."}],"accessed":{"date-parts":[["2021",11,14]]},"issued":{"date-parts":[["2009",5,17]]}},"label":"page"}],"schema":"https://github.com/citation-style-language/schema/raw/master/csl-citation.json"} </w:instrText>
      </w:r>
      <w:r w:rsidR="004A7D79" w:rsidRPr="00837161">
        <w:fldChar w:fldCharType="separate"/>
      </w:r>
      <w:r w:rsidR="00271B78" w:rsidRPr="00271B78">
        <w:t>(W. Zhang &amp; Swinton, 2009)</w:t>
      </w:r>
      <w:r w:rsidR="004A7D79" w:rsidRPr="00837161">
        <w:fldChar w:fldCharType="end"/>
      </w:r>
      <w:r w:rsidRPr="00837161">
        <w:t>.</w:t>
      </w:r>
    </w:p>
    <w:p w14:paraId="00000854" w14:textId="0285FDD7" w:rsidR="00A758FD" w:rsidRPr="00AC1F76" w:rsidRDefault="001B54C5" w:rsidP="00AC1F76">
      <w:pPr>
        <w:keepNext/>
        <w:pBdr>
          <w:top w:val="nil"/>
          <w:left w:val="nil"/>
          <w:bottom w:val="nil"/>
          <w:right w:val="nil"/>
          <w:between w:val="nil"/>
        </w:pBdr>
        <w:spacing w:before="240" w:after="120" w:line="240" w:lineRule="auto"/>
        <w:rPr>
          <w:color w:val="000000"/>
        </w:rPr>
      </w:pPr>
      <w:bookmarkStart w:id="707" w:name="_Ref131690391"/>
      <w:bookmarkStart w:id="708" w:name="_Toc147489091"/>
      <w:r w:rsidRPr="002F2F42">
        <w:rPr>
          <w:b/>
          <w:bCs/>
        </w:rPr>
        <w:t>Table 5.</w:t>
      </w:r>
      <w:r w:rsidRPr="002F2F42">
        <w:rPr>
          <w:b/>
          <w:bCs/>
        </w:rPr>
        <w:fldChar w:fldCharType="begin"/>
      </w:r>
      <w:r w:rsidRPr="002F2F42">
        <w:rPr>
          <w:b/>
          <w:bCs/>
        </w:rPr>
        <w:instrText xml:space="preserve"> SEQ Table_5. \* ARABIC </w:instrText>
      </w:r>
      <w:r w:rsidRPr="002F2F42">
        <w:rPr>
          <w:b/>
          <w:bCs/>
        </w:rPr>
        <w:fldChar w:fldCharType="separate"/>
      </w:r>
      <w:r w:rsidR="00DC77F8" w:rsidRPr="002F2F42">
        <w:rPr>
          <w:b/>
          <w:bCs/>
          <w:noProof/>
        </w:rPr>
        <w:t>14</w:t>
      </w:r>
      <w:r w:rsidRPr="002F2F42">
        <w:rPr>
          <w:b/>
          <w:bCs/>
        </w:rPr>
        <w:fldChar w:fldCharType="end"/>
      </w:r>
      <w:bookmarkEnd w:id="707"/>
      <w:r w:rsidRPr="002F2F42">
        <w:rPr>
          <w:b/>
          <w:bCs/>
        </w:rPr>
        <w:t>.</w:t>
      </w:r>
      <w:bookmarkStart w:id="709" w:name="_heading=h.2qk79lc" w:colFirst="0" w:colLast="0"/>
      <w:bookmarkEnd w:id="709"/>
      <w:r w:rsidR="00C81287" w:rsidRPr="00AC1F76">
        <w:rPr>
          <w:b/>
          <w:color w:val="000000"/>
        </w:rPr>
        <w:t xml:space="preserve"> </w:t>
      </w:r>
      <w:r w:rsidR="00C81287" w:rsidRPr="00AC1F76">
        <w:rPr>
          <w:color w:val="000000"/>
        </w:rPr>
        <w:t>Overview of model and scenario types as well as drivers</w:t>
      </w:r>
      <w:bookmarkEnd w:id="708"/>
      <w:r w:rsidR="00C81287" w:rsidRPr="00AC1F76">
        <w:rPr>
          <w:b/>
          <w:color w:val="000000"/>
        </w:rPr>
        <w:t xml:space="preserve"> </w:t>
      </w:r>
    </w:p>
    <w:p w14:paraId="00000855" w14:textId="13278A49" w:rsidR="00A758FD" w:rsidRPr="00C0338D" w:rsidRDefault="00C81287">
      <w:pPr>
        <w:rPr>
          <w:i/>
        </w:rPr>
      </w:pPr>
      <w:r w:rsidRPr="00C0338D">
        <w:t xml:space="preserve">Overall, 183 publications were identified to include management of biological invasions. Numbers for the different groups can be higher than 183 if multiple model or scenario types or multiple drivers were considered in the same study. Evidence from the systematic literature review on scenarios and models undertaken for the IPBES invasive alien species assessment. Data management report available at: </w:t>
      </w:r>
      <w:hyperlink r:id="rId122" w:history="1">
        <w:r w:rsidR="001E2A20" w:rsidRPr="00730499">
          <w:rPr>
            <w:rStyle w:val="Hyperlink"/>
          </w:rPr>
          <w:t>https://doi.org/10.5281/zenodo.570652</w:t>
        </w:r>
        <w:r w:rsidR="00730499" w:rsidRPr="00730499">
          <w:rPr>
            <w:rStyle w:val="Hyperlink"/>
          </w:rPr>
          <w:t>0</w:t>
        </w:r>
      </w:hyperlink>
    </w:p>
    <w:tbl>
      <w:tblPr>
        <w:tblW w:w="5354" w:type="dxa"/>
        <w:tblInd w:w="166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left w:w="85" w:type="dxa"/>
          <w:bottom w:w="28" w:type="dxa"/>
          <w:right w:w="85" w:type="dxa"/>
        </w:tblCellMar>
        <w:tblLook w:val="0400" w:firstRow="0" w:lastRow="0" w:firstColumn="0" w:lastColumn="0" w:noHBand="0" w:noVBand="1"/>
      </w:tblPr>
      <w:tblGrid>
        <w:gridCol w:w="2947"/>
        <w:gridCol w:w="2407"/>
      </w:tblGrid>
      <w:tr w:rsidR="00A758FD" w14:paraId="52B3780E" w14:textId="77777777" w:rsidTr="002F2F42">
        <w:tc>
          <w:tcPr>
            <w:tcW w:w="2947" w:type="dxa"/>
          </w:tcPr>
          <w:p w14:paraId="00000856" w14:textId="77777777" w:rsidR="00A758FD" w:rsidRPr="00C0338D" w:rsidRDefault="00A758FD"/>
        </w:tc>
        <w:tc>
          <w:tcPr>
            <w:tcW w:w="2407" w:type="dxa"/>
          </w:tcPr>
          <w:p w14:paraId="00000857" w14:textId="77777777" w:rsidR="00A758FD" w:rsidRPr="00C0338D" w:rsidRDefault="00C81287">
            <w:pPr>
              <w:rPr>
                <w:b/>
              </w:rPr>
            </w:pPr>
            <w:r w:rsidRPr="00C0338D">
              <w:rPr>
                <w:b/>
              </w:rPr>
              <w:t>Number of papers</w:t>
            </w:r>
          </w:p>
        </w:tc>
      </w:tr>
      <w:tr w:rsidR="00A758FD" w14:paraId="4A118C59" w14:textId="77777777" w:rsidTr="002F2F42">
        <w:tc>
          <w:tcPr>
            <w:tcW w:w="2947" w:type="dxa"/>
          </w:tcPr>
          <w:p w14:paraId="00000858" w14:textId="77777777" w:rsidR="00A758FD" w:rsidRPr="00C0338D" w:rsidRDefault="00C81287">
            <w:pPr>
              <w:rPr>
                <w:b/>
              </w:rPr>
            </w:pPr>
            <w:r w:rsidRPr="00C0338D">
              <w:rPr>
                <w:b/>
              </w:rPr>
              <w:t>Model types</w:t>
            </w:r>
          </w:p>
        </w:tc>
        <w:tc>
          <w:tcPr>
            <w:tcW w:w="2407" w:type="dxa"/>
          </w:tcPr>
          <w:p w14:paraId="00000859" w14:textId="77777777" w:rsidR="00A758FD" w:rsidRPr="00C0338D" w:rsidRDefault="00A758FD"/>
        </w:tc>
      </w:tr>
      <w:tr w:rsidR="00A758FD" w14:paraId="1E421551" w14:textId="77777777" w:rsidTr="002F2F42">
        <w:tc>
          <w:tcPr>
            <w:tcW w:w="2947" w:type="dxa"/>
          </w:tcPr>
          <w:p w14:paraId="0000085A" w14:textId="77777777" w:rsidR="00A758FD" w:rsidRPr="00C0338D" w:rsidRDefault="00C81287">
            <w:r w:rsidRPr="00C0338D">
              <w:t>Expert-based models</w:t>
            </w:r>
          </w:p>
        </w:tc>
        <w:tc>
          <w:tcPr>
            <w:tcW w:w="2407" w:type="dxa"/>
          </w:tcPr>
          <w:p w14:paraId="0000085B" w14:textId="77777777" w:rsidR="00A758FD" w:rsidRPr="00C0338D" w:rsidRDefault="00C81287">
            <w:r w:rsidRPr="00C0338D">
              <w:t>6</w:t>
            </w:r>
          </w:p>
        </w:tc>
      </w:tr>
      <w:tr w:rsidR="00A758FD" w14:paraId="683875E0" w14:textId="77777777" w:rsidTr="002F2F42">
        <w:tc>
          <w:tcPr>
            <w:tcW w:w="2947" w:type="dxa"/>
          </w:tcPr>
          <w:p w14:paraId="0000085C" w14:textId="77777777" w:rsidR="00A758FD" w:rsidRPr="00C0338D" w:rsidRDefault="00C81287">
            <w:r w:rsidRPr="00C0338D">
              <w:t>Correlative models</w:t>
            </w:r>
          </w:p>
        </w:tc>
        <w:tc>
          <w:tcPr>
            <w:tcW w:w="2407" w:type="dxa"/>
          </w:tcPr>
          <w:p w14:paraId="0000085D" w14:textId="77777777" w:rsidR="00A758FD" w:rsidRPr="00C0338D" w:rsidRDefault="00C81287">
            <w:r w:rsidRPr="00C0338D">
              <w:t>49</w:t>
            </w:r>
          </w:p>
        </w:tc>
      </w:tr>
      <w:tr w:rsidR="00A758FD" w14:paraId="590F0E15" w14:textId="77777777" w:rsidTr="002F2F42">
        <w:tc>
          <w:tcPr>
            <w:tcW w:w="2947" w:type="dxa"/>
          </w:tcPr>
          <w:p w14:paraId="0000085E" w14:textId="77777777" w:rsidR="00A758FD" w:rsidRPr="00C0338D" w:rsidRDefault="00C81287">
            <w:r w:rsidRPr="00C0338D">
              <w:t>Process-based models</w:t>
            </w:r>
          </w:p>
        </w:tc>
        <w:tc>
          <w:tcPr>
            <w:tcW w:w="2407" w:type="dxa"/>
          </w:tcPr>
          <w:p w14:paraId="0000085F" w14:textId="77777777" w:rsidR="00A758FD" w:rsidRPr="00C0338D" w:rsidRDefault="00C81287">
            <w:r w:rsidRPr="00C0338D">
              <w:t>106</w:t>
            </w:r>
          </w:p>
        </w:tc>
      </w:tr>
      <w:tr w:rsidR="00A758FD" w14:paraId="319C1133" w14:textId="77777777" w:rsidTr="002F2F42">
        <w:tc>
          <w:tcPr>
            <w:tcW w:w="2947" w:type="dxa"/>
          </w:tcPr>
          <w:p w14:paraId="00000860" w14:textId="77777777" w:rsidR="00A758FD" w:rsidRPr="00C0338D" w:rsidRDefault="00C81287">
            <w:r w:rsidRPr="00C0338D">
              <w:t>Hybrid models</w:t>
            </w:r>
          </w:p>
        </w:tc>
        <w:tc>
          <w:tcPr>
            <w:tcW w:w="2407" w:type="dxa"/>
          </w:tcPr>
          <w:p w14:paraId="00000861" w14:textId="77777777" w:rsidR="00A758FD" w:rsidRPr="00C0338D" w:rsidRDefault="00C81287">
            <w:r w:rsidRPr="00C0338D">
              <w:t>22</w:t>
            </w:r>
          </w:p>
        </w:tc>
      </w:tr>
      <w:tr w:rsidR="00A758FD" w14:paraId="4B4C95A3" w14:textId="77777777" w:rsidTr="002F2F42">
        <w:tc>
          <w:tcPr>
            <w:tcW w:w="2947" w:type="dxa"/>
          </w:tcPr>
          <w:p w14:paraId="00000862" w14:textId="77777777" w:rsidR="00A758FD" w:rsidRPr="00C0338D" w:rsidRDefault="00A758FD"/>
        </w:tc>
        <w:tc>
          <w:tcPr>
            <w:tcW w:w="2407" w:type="dxa"/>
          </w:tcPr>
          <w:p w14:paraId="00000863" w14:textId="77777777" w:rsidR="00A758FD" w:rsidRPr="00C0338D" w:rsidRDefault="00A758FD"/>
        </w:tc>
      </w:tr>
      <w:tr w:rsidR="00A758FD" w14:paraId="54156C53" w14:textId="77777777" w:rsidTr="002F2F42">
        <w:tc>
          <w:tcPr>
            <w:tcW w:w="2947" w:type="dxa"/>
          </w:tcPr>
          <w:p w14:paraId="00000864" w14:textId="77777777" w:rsidR="00A758FD" w:rsidRPr="00C0338D" w:rsidRDefault="00C81287">
            <w:pPr>
              <w:rPr>
                <w:b/>
              </w:rPr>
            </w:pPr>
            <w:r w:rsidRPr="00C0338D">
              <w:rPr>
                <w:b/>
              </w:rPr>
              <w:t>Scenario types</w:t>
            </w:r>
          </w:p>
        </w:tc>
        <w:tc>
          <w:tcPr>
            <w:tcW w:w="2407" w:type="dxa"/>
          </w:tcPr>
          <w:p w14:paraId="00000865" w14:textId="77777777" w:rsidR="00A758FD" w:rsidRPr="00C0338D" w:rsidRDefault="00A758FD"/>
        </w:tc>
      </w:tr>
      <w:tr w:rsidR="00A758FD" w14:paraId="54E98B63" w14:textId="77777777" w:rsidTr="002F2F42">
        <w:tc>
          <w:tcPr>
            <w:tcW w:w="2947" w:type="dxa"/>
          </w:tcPr>
          <w:p w14:paraId="00000866" w14:textId="77777777" w:rsidR="00A758FD" w:rsidRPr="00C0338D" w:rsidRDefault="00C81287">
            <w:r w:rsidRPr="00C0338D">
              <w:t>Exploratory scenario</w:t>
            </w:r>
          </w:p>
        </w:tc>
        <w:tc>
          <w:tcPr>
            <w:tcW w:w="2407" w:type="dxa"/>
          </w:tcPr>
          <w:p w14:paraId="00000867" w14:textId="77777777" w:rsidR="00A758FD" w:rsidRPr="00C0338D" w:rsidRDefault="00C81287">
            <w:r w:rsidRPr="00C0338D">
              <w:t>109</w:t>
            </w:r>
          </w:p>
        </w:tc>
      </w:tr>
      <w:tr w:rsidR="00A758FD" w14:paraId="1E9529A3" w14:textId="77777777" w:rsidTr="002F2F42">
        <w:tc>
          <w:tcPr>
            <w:tcW w:w="2947" w:type="dxa"/>
          </w:tcPr>
          <w:p w14:paraId="00000868" w14:textId="77777777" w:rsidR="00A758FD" w:rsidRPr="00C0338D" w:rsidRDefault="00C81287">
            <w:r w:rsidRPr="00C0338D">
              <w:t>Target-seeking scenario</w:t>
            </w:r>
          </w:p>
        </w:tc>
        <w:tc>
          <w:tcPr>
            <w:tcW w:w="2407" w:type="dxa"/>
          </w:tcPr>
          <w:p w14:paraId="00000869" w14:textId="77777777" w:rsidR="00A758FD" w:rsidRPr="00C0338D" w:rsidRDefault="00C81287">
            <w:r w:rsidRPr="00C0338D">
              <w:t>25</w:t>
            </w:r>
          </w:p>
        </w:tc>
      </w:tr>
      <w:tr w:rsidR="00A758FD" w14:paraId="5B6B0F6E" w14:textId="77777777" w:rsidTr="002F2F42">
        <w:tc>
          <w:tcPr>
            <w:tcW w:w="2947" w:type="dxa"/>
          </w:tcPr>
          <w:p w14:paraId="0000086A" w14:textId="77777777" w:rsidR="00A758FD" w:rsidRPr="00C0338D" w:rsidRDefault="00C81287">
            <w:r w:rsidRPr="00C0338D">
              <w:t>Intervention scenario</w:t>
            </w:r>
          </w:p>
        </w:tc>
        <w:tc>
          <w:tcPr>
            <w:tcW w:w="2407" w:type="dxa"/>
          </w:tcPr>
          <w:p w14:paraId="0000086B" w14:textId="77777777" w:rsidR="00A758FD" w:rsidRPr="00C0338D" w:rsidRDefault="00C81287">
            <w:r w:rsidRPr="00C0338D">
              <w:t>46</w:t>
            </w:r>
          </w:p>
        </w:tc>
      </w:tr>
      <w:tr w:rsidR="00A758FD" w14:paraId="353BD829" w14:textId="77777777" w:rsidTr="002F2F42">
        <w:tc>
          <w:tcPr>
            <w:tcW w:w="2947" w:type="dxa"/>
          </w:tcPr>
          <w:p w14:paraId="0000086C" w14:textId="77777777" w:rsidR="00A758FD" w:rsidRPr="00C0338D" w:rsidRDefault="00C81287">
            <w:pPr>
              <w:rPr>
                <w:i/>
              </w:rPr>
            </w:pPr>
            <w:r w:rsidRPr="00C0338D">
              <w:rPr>
                <w:i/>
              </w:rPr>
              <w:t>Missing information</w:t>
            </w:r>
          </w:p>
        </w:tc>
        <w:tc>
          <w:tcPr>
            <w:tcW w:w="2407" w:type="dxa"/>
          </w:tcPr>
          <w:p w14:paraId="0000086D" w14:textId="77777777" w:rsidR="00A758FD" w:rsidRPr="00C0338D" w:rsidRDefault="00C81287">
            <w:r w:rsidRPr="00C0338D">
              <w:t>3</w:t>
            </w:r>
          </w:p>
        </w:tc>
      </w:tr>
      <w:tr w:rsidR="00A758FD" w14:paraId="53E077A2" w14:textId="77777777" w:rsidTr="002F2F42">
        <w:tc>
          <w:tcPr>
            <w:tcW w:w="2947" w:type="dxa"/>
          </w:tcPr>
          <w:p w14:paraId="0000086E" w14:textId="77777777" w:rsidR="00A758FD" w:rsidRPr="00C0338D" w:rsidRDefault="00A758FD">
            <w:pPr>
              <w:rPr>
                <w:i/>
              </w:rPr>
            </w:pPr>
          </w:p>
        </w:tc>
        <w:tc>
          <w:tcPr>
            <w:tcW w:w="2407" w:type="dxa"/>
          </w:tcPr>
          <w:p w14:paraId="0000086F" w14:textId="77777777" w:rsidR="00A758FD" w:rsidRPr="00C0338D" w:rsidRDefault="00A758FD"/>
        </w:tc>
      </w:tr>
      <w:tr w:rsidR="00A758FD" w14:paraId="655A5A6A" w14:textId="77777777" w:rsidTr="002F2F42">
        <w:tc>
          <w:tcPr>
            <w:tcW w:w="2947" w:type="dxa"/>
          </w:tcPr>
          <w:p w14:paraId="00000870" w14:textId="77777777" w:rsidR="00A758FD" w:rsidRPr="00C0338D" w:rsidRDefault="00C81287">
            <w:pPr>
              <w:rPr>
                <w:b/>
              </w:rPr>
            </w:pPr>
            <w:r w:rsidRPr="00C0338D">
              <w:rPr>
                <w:b/>
              </w:rPr>
              <w:t>Drivers</w:t>
            </w:r>
          </w:p>
        </w:tc>
        <w:tc>
          <w:tcPr>
            <w:tcW w:w="2407" w:type="dxa"/>
          </w:tcPr>
          <w:p w14:paraId="00000871" w14:textId="77777777" w:rsidR="00A758FD" w:rsidRPr="00C0338D" w:rsidRDefault="00A758FD"/>
        </w:tc>
      </w:tr>
      <w:tr w:rsidR="00A758FD" w14:paraId="564B892C" w14:textId="77777777" w:rsidTr="002F2F42">
        <w:tc>
          <w:tcPr>
            <w:tcW w:w="2947" w:type="dxa"/>
          </w:tcPr>
          <w:p w14:paraId="00000872" w14:textId="77777777" w:rsidR="00A758FD" w:rsidRPr="00C0338D" w:rsidRDefault="00C81287">
            <w:r w:rsidRPr="00C0338D">
              <w:t>Climate change</w:t>
            </w:r>
          </w:p>
        </w:tc>
        <w:tc>
          <w:tcPr>
            <w:tcW w:w="2407" w:type="dxa"/>
          </w:tcPr>
          <w:p w14:paraId="00000873" w14:textId="77777777" w:rsidR="00A758FD" w:rsidRPr="00C0338D" w:rsidRDefault="00C81287">
            <w:r w:rsidRPr="00C0338D">
              <w:t>35</w:t>
            </w:r>
          </w:p>
        </w:tc>
      </w:tr>
      <w:tr w:rsidR="00A758FD" w14:paraId="2ADA2FB5" w14:textId="77777777" w:rsidTr="002F2F42">
        <w:tc>
          <w:tcPr>
            <w:tcW w:w="2947" w:type="dxa"/>
          </w:tcPr>
          <w:p w14:paraId="00000874" w14:textId="77777777" w:rsidR="00A758FD" w:rsidRPr="00C0338D" w:rsidRDefault="00C81287">
            <w:r w:rsidRPr="00C0338D">
              <w:t>Land/sea use change</w:t>
            </w:r>
          </w:p>
        </w:tc>
        <w:tc>
          <w:tcPr>
            <w:tcW w:w="2407" w:type="dxa"/>
          </w:tcPr>
          <w:p w14:paraId="00000875" w14:textId="77777777" w:rsidR="00A758FD" w:rsidRPr="00C0338D" w:rsidRDefault="00C81287">
            <w:r w:rsidRPr="00C0338D">
              <w:t>12</w:t>
            </w:r>
          </w:p>
        </w:tc>
      </w:tr>
      <w:tr w:rsidR="00A758FD" w14:paraId="0F64FA9D" w14:textId="77777777" w:rsidTr="002F2F42">
        <w:tc>
          <w:tcPr>
            <w:tcW w:w="2947" w:type="dxa"/>
          </w:tcPr>
          <w:p w14:paraId="00000876" w14:textId="77777777" w:rsidR="00A758FD" w:rsidRPr="00C0338D" w:rsidRDefault="00C81287">
            <w:r w:rsidRPr="00C0338D">
              <w:t>Pollution</w:t>
            </w:r>
          </w:p>
        </w:tc>
        <w:tc>
          <w:tcPr>
            <w:tcW w:w="2407" w:type="dxa"/>
          </w:tcPr>
          <w:p w14:paraId="00000877" w14:textId="77777777" w:rsidR="00A758FD" w:rsidRPr="00C0338D" w:rsidRDefault="00C81287">
            <w:r w:rsidRPr="00C0338D">
              <w:t>1</w:t>
            </w:r>
          </w:p>
        </w:tc>
      </w:tr>
      <w:tr w:rsidR="00A758FD" w14:paraId="2FEF13EE" w14:textId="77777777" w:rsidTr="002F2F42">
        <w:tc>
          <w:tcPr>
            <w:tcW w:w="2947" w:type="dxa"/>
          </w:tcPr>
          <w:p w14:paraId="00000878" w14:textId="77777777" w:rsidR="00A758FD" w:rsidRPr="00C0338D" w:rsidRDefault="00C81287">
            <w:r w:rsidRPr="00C0338D">
              <w:t>Demographics</w:t>
            </w:r>
          </w:p>
        </w:tc>
        <w:tc>
          <w:tcPr>
            <w:tcW w:w="2407" w:type="dxa"/>
          </w:tcPr>
          <w:p w14:paraId="00000879" w14:textId="77777777" w:rsidR="00A758FD" w:rsidRPr="00C0338D" w:rsidRDefault="00C81287">
            <w:r w:rsidRPr="00C0338D">
              <w:t>9</w:t>
            </w:r>
          </w:p>
        </w:tc>
      </w:tr>
      <w:tr w:rsidR="00A758FD" w14:paraId="01DC6276" w14:textId="77777777" w:rsidTr="002F2F42">
        <w:tc>
          <w:tcPr>
            <w:tcW w:w="2947" w:type="dxa"/>
          </w:tcPr>
          <w:p w14:paraId="0000087A" w14:textId="77777777" w:rsidR="00A758FD" w:rsidRPr="00C0338D" w:rsidRDefault="00C81287">
            <w:r w:rsidRPr="00C0338D">
              <w:t>Socio-economic development</w:t>
            </w:r>
          </w:p>
        </w:tc>
        <w:tc>
          <w:tcPr>
            <w:tcW w:w="2407" w:type="dxa"/>
          </w:tcPr>
          <w:p w14:paraId="0000087B" w14:textId="77777777" w:rsidR="00A758FD" w:rsidRPr="00C0338D" w:rsidRDefault="00C81287">
            <w:r w:rsidRPr="00C0338D">
              <w:t>16</w:t>
            </w:r>
          </w:p>
        </w:tc>
      </w:tr>
      <w:tr w:rsidR="00A758FD" w14:paraId="7EBA09E7" w14:textId="77777777" w:rsidTr="002F2F42">
        <w:tc>
          <w:tcPr>
            <w:tcW w:w="2947" w:type="dxa"/>
          </w:tcPr>
          <w:p w14:paraId="0000087C" w14:textId="77777777" w:rsidR="00A758FD" w:rsidRPr="00C0338D" w:rsidRDefault="00C81287">
            <w:r w:rsidRPr="00C0338D">
              <w:t>Resource extraction</w:t>
            </w:r>
          </w:p>
        </w:tc>
        <w:tc>
          <w:tcPr>
            <w:tcW w:w="2407" w:type="dxa"/>
          </w:tcPr>
          <w:p w14:paraId="0000087D" w14:textId="77777777" w:rsidR="00A758FD" w:rsidRPr="00C0338D" w:rsidRDefault="00C81287">
            <w:r w:rsidRPr="00C0338D">
              <w:t>2</w:t>
            </w:r>
          </w:p>
        </w:tc>
      </w:tr>
      <w:tr w:rsidR="00A758FD" w14:paraId="421AD63C" w14:textId="77777777" w:rsidTr="002F2F42">
        <w:tc>
          <w:tcPr>
            <w:tcW w:w="2947" w:type="dxa"/>
          </w:tcPr>
          <w:p w14:paraId="0000087E" w14:textId="77777777" w:rsidR="00A758FD" w:rsidRPr="00C0338D" w:rsidRDefault="00C81287">
            <w:r w:rsidRPr="00C0338D">
              <w:t>Governance</w:t>
            </w:r>
          </w:p>
        </w:tc>
        <w:tc>
          <w:tcPr>
            <w:tcW w:w="2407" w:type="dxa"/>
          </w:tcPr>
          <w:p w14:paraId="0000087F" w14:textId="77777777" w:rsidR="00A758FD" w:rsidRPr="00C0338D" w:rsidRDefault="00C81287">
            <w:r w:rsidRPr="00C0338D">
              <w:t>9</w:t>
            </w:r>
          </w:p>
        </w:tc>
      </w:tr>
      <w:tr w:rsidR="00A758FD" w14:paraId="1A999B2F" w14:textId="77777777" w:rsidTr="002F2F42">
        <w:tc>
          <w:tcPr>
            <w:tcW w:w="2947" w:type="dxa"/>
          </w:tcPr>
          <w:p w14:paraId="00000880" w14:textId="77777777" w:rsidR="00A758FD" w:rsidRPr="00C0338D" w:rsidRDefault="00C81287">
            <w:r w:rsidRPr="00C0338D">
              <w:t>Invasive alien species</w:t>
            </w:r>
          </w:p>
        </w:tc>
        <w:tc>
          <w:tcPr>
            <w:tcW w:w="2407" w:type="dxa"/>
          </w:tcPr>
          <w:p w14:paraId="00000881" w14:textId="77777777" w:rsidR="00A758FD" w:rsidRPr="00C0338D" w:rsidRDefault="00C81287">
            <w:r w:rsidRPr="00C0338D">
              <w:t>29</w:t>
            </w:r>
          </w:p>
        </w:tc>
      </w:tr>
    </w:tbl>
    <w:p w14:paraId="00000882" w14:textId="4992780C" w:rsidR="00A758FD" w:rsidRPr="002F2F42" w:rsidRDefault="00C81287" w:rsidP="002F2F42">
      <w:pPr>
        <w:keepNext/>
        <w:pBdr>
          <w:top w:val="nil"/>
          <w:left w:val="nil"/>
          <w:bottom w:val="nil"/>
          <w:right w:val="nil"/>
          <w:between w:val="nil"/>
        </w:pBdr>
        <w:spacing w:before="240" w:after="120" w:line="240" w:lineRule="auto"/>
        <w:rPr>
          <w:b/>
          <w:color w:val="000000"/>
        </w:rPr>
      </w:pPr>
      <w:bookmarkStart w:id="710" w:name="_Ref104971947"/>
      <w:bookmarkStart w:id="711" w:name="_Toc147489092"/>
      <w:r w:rsidRPr="002F2F42">
        <w:rPr>
          <w:b/>
          <w:color w:val="000000"/>
        </w:rPr>
        <w:t>Table 5</w:t>
      </w:r>
      <w:r w:rsidR="001B54C5" w:rsidRPr="002F2F42">
        <w:rPr>
          <w:b/>
          <w:bCs/>
        </w:rPr>
        <w:t>.</w:t>
      </w:r>
      <w:r w:rsidR="001B54C5" w:rsidRPr="002F2F42">
        <w:rPr>
          <w:b/>
          <w:bCs/>
        </w:rPr>
        <w:fldChar w:fldCharType="begin"/>
      </w:r>
      <w:r w:rsidR="001B54C5" w:rsidRPr="002F2F42">
        <w:rPr>
          <w:b/>
          <w:bCs/>
        </w:rPr>
        <w:instrText xml:space="preserve"> SEQ Table_5. \* ARABIC </w:instrText>
      </w:r>
      <w:r w:rsidR="001B54C5" w:rsidRPr="002F2F42">
        <w:rPr>
          <w:b/>
          <w:bCs/>
        </w:rPr>
        <w:fldChar w:fldCharType="separate"/>
      </w:r>
      <w:r w:rsidR="00DC77F8" w:rsidRPr="002F2F42">
        <w:rPr>
          <w:b/>
          <w:bCs/>
          <w:noProof/>
        </w:rPr>
        <w:t>15</w:t>
      </w:r>
      <w:r w:rsidR="001B54C5" w:rsidRPr="002F2F42">
        <w:rPr>
          <w:b/>
          <w:bCs/>
        </w:rPr>
        <w:fldChar w:fldCharType="end"/>
      </w:r>
      <w:bookmarkEnd w:id="710"/>
      <w:r w:rsidR="001B54C5" w:rsidRPr="002F2F42">
        <w:rPr>
          <w:b/>
          <w:bCs/>
        </w:rPr>
        <w:t>.</w:t>
      </w:r>
      <w:r w:rsidRPr="002F2F42">
        <w:rPr>
          <w:b/>
          <w:color w:val="000000"/>
        </w:rPr>
        <w:t xml:space="preserve"> </w:t>
      </w:r>
      <w:r w:rsidRPr="002F2F42">
        <w:rPr>
          <w:color w:val="000000"/>
        </w:rPr>
        <w:t>Examples of scenarios and models used for invasive alien species management</w:t>
      </w:r>
      <w:bookmarkEnd w:id="711"/>
    </w:p>
    <w:p w14:paraId="00000883" w14:textId="77777777" w:rsidR="00A758FD" w:rsidRPr="00C0338D" w:rsidRDefault="00A758FD">
      <w:pPr>
        <w:rPr>
          <w:b/>
        </w:rPr>
      </w:pPr>
    </w:p>
    <w:tbl>
      <w:tblPr>
        <w:tblW w:w="92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85" w:type="dxa"/>
          <w:bottom w:w="28" w:type="dxa"/>
          <w:right w:w="85" w:type="dxa"/>
        </w:tblCellMar>
        <w:tblLook w:val="0400" w:firstRow="0" w:lastRow="0" w:firstColumn="0" w:lastColumn="0" w:noHBand="0" w:noVBand="1"/>
      </w:tblPr>
      <w:tblGrid>
        <w:gridCol w:w="1365"/>
        <w:gridCol w:w="1605"/>
        <w:gridCol w:w="1155"/>
        <w:gridCol w:w="5085"/>
      </w:tblGrid>
      <w:tr w:rsidR="00A758FD" w14:paraId="11E31652" w14:textId="77777777" w:rsidTr="00AC1F76">
        <w:tc>
          <w:tcPr>
            <w:tcW w:w="1365" w:type="dxa"/>
          </w:tcPr>
          <w:p w14:paraId="00000884" w14:textId="77777777" w:rsidR="00A758FD" w:rsidRPr="00C0338D" w:rsidRDefault="00C81287">
            <w:r w:rsidRPr="002F2F42">
              <w:rPr>
                <w:b/>
                <w:color w:val="000000"/>
              </w:rPr>
              <w:t xml:space="preserve">Biomes </w:t>
            </w:r>
          </w:p>
        </w:tc>
        <w:tc>
          <w:tcPr>
            <w:tcW w:w="1605" w:type="dxa"/>
          </w:tcPr>
          <w:p w14:paraId="00000885" w14:textId="77777777" w:rsidR="00A758FD" w:rsidRPr="00C0338D" w:rsidRDefault="00C81287">
            <w:r w:rsidRPr="00C0338D">
              <w:rPr>
                <w:b/>
              </w:rPr>
              <w:t>Type of action</w:t>
            </w:r>
          </w:p>
        </w:tc>
        <w:tc>
          <w:tcPr>
            <w:tcW w:w="1155" w:type="dxa"/>
          </w:tcPr>
          <w:p w14:paraId="00000886" w14:textId="77777777" w:rsidR="00A758FD" w:rsidRPr="00C0338D" w:rsidRDefault="00C81287">
            <w:r w:rsidRPr="00C0338D">
              <w:rPr>
                <w:b/>
              </w:rPr>
              <w:t>IPBES zones</w:t>
            </w:r>
          </w:p>
        </w:tc>
        <w:tc>
          <w:tcPr>
            <w:tcW w:w="5085" w:type="dxa"/>
          </w:tcPr>
          <w:p w14:paraId="00000887" w14:textId="77777777" w:rsidR="00A758FD" w:rsidRPr="00C0338D" w:rsidRDefault="00C81287">
            <w:r w:rsidRPr="00C0338D">
              <w:rPr>
                <w:b/>
              </w:rPr>
              <w:t>Examples</w:t>
            </w:r>
          </w:p>
        </w:tc>
      </w:tr>
      <w:tr w:rsidR="00A758FD" w14:paraId="4FDBFCC3" w14:textId="77777777" w:rsidTr="00AC1F76">
        <w:tc>
          <w:tcPr>
            <w:tcW w:w="1365" w:type="dxa"/>
            <w:vMerge w:val="restart"/>
          </w:tcPr>
          <w:p w14:paraId="00000888" w14:textId="77777777" w:rsidR="00A758FD" w:rsidRPr="00C0338D" w:rsidRDefault="00C81287">
            <w:r w:rsidRPr="002F2F42">
              <w:rPr>
                <w:color w:val="000000"/>
              </w:rPr>
              <w:t>Terrestrial</w:t>
            </w:r>
          </w:p>
        </w:tc>
        <w:tc>
          <w:tcPr>
            <w:tcW w:w="1605" w:type="dxa"/>
          </w:tcPr>
          <w:p w14:paraId="00000889" w14:textId="77777777" w:rsidR="00A758FD" w:rsidRPr="00C0338D" w:rsidRDefault="00C81287">
            <w:r w:rsidRPr="00C0338D">
              <w:t>Prevention,</w:t>
            </w:r>
          </w:p>
          <w:p w14:paraId="0000088A" w14:textId="77777777" w:rsidR="00A758FD" w:rsidRPr="00C0338D" w:rsidRDefault="00C81287">
            <w:r w:rsidRPr="00C0338D">
              <w:t>containment</w:t>
            </w:r>
          </w:p>
        </w:tc>
        <w:tc>
          <w:tcPr>
            <w:tcW w:w="1155" w:type="dxa"/>
          </w:tcPr>
          <w:p w14:paraId="0000088B" w14:textId="77777777" w:rsidR="00A758FD" w:rsidRPr="00C0338D" w:rsidRDefault="00C81287">
            <w:r w:rsidRPr="00C0338D">
              <w:t>The Americas</w:t>
            </w:r>
          </w:p>
        </w:tc>
        <w:tc>
          <w:tcPr>
            <w:tcW w:w="5085" w:type="dxa"/>
          </w:tcPr>
          <w:p w14:paraId="0000088C" w14:textId="0C684DAF" w:rsidR="00A758FD" w:rsidRPr="00C0338D" w:rsidRDefault="00C81287">
            <w:r w:rsidRPr="00C0338D">
              <w:t xml:space="preserve">Spatial model screening the economic cost of programmes preventing the spread of satellite populations of an invasive beetle, under different scenarios of success and simulations of spread, </w:t>
            </w:r>
            <w:r w:rsidRPr="00C0338D">
              <w:lastRenderedPageBreak/>
              <w:t xml:space="preserve">versus the estimated delayed cost of control, under different scenarios of actions as removal, and/or no action. Preventing the establishment of new populations is cost-effective </w:t>
            </w:r>
            <w:r w:rsidR="009671D5" w:rsidRPr="00837161">
              <w:rPr>
                <w:rFonts w:eastAsia="Times New Roman"/>
              </w:rPr>
              <w:fldChar w:fldCharType="begin"/>
            </w:r>
            <w:r w:rsidR="000F35EB">
              <w:rPr>
                <w:rFonts w:eastAsia="Times New Roman"/>
              </w:rPr>
              <w:instrText xml:space="preserve"> ADDIN ZOTERO_ITEM CSL_CITATION {"citationID":"6XNl9bCx","properties":{"formattedCitation":"(Kovacs et al., 2011)","plainCitation":"(Kovacs et al., 2011)","noteIndex":0},"citationItems":[{"id":53151,"uris":["http://zotero.org/groups/2352922/items/ID93H2AC"],"itemData":{"id":53151,"type":"article-journal","container-title":"Journal of Environmental Management","DOI":"10.1016/j.jenvman.2011.03.043","ISSN":"03014797","issue":"9","journalAbbreviation":"Journal of Environmental Management","language":"en","page":"2170-2181","source":"DOI.org (Crossref)","title":"The influence of satellite populations of emerald ash borer on projected economic costs in U.S. communities, 2010–2020","URL":"https://linkinghub.elsevier.com/retrieve/pii/S0301479711001095","volume":"92","author":[{"family":"Kovacs","given":"Kent F."},{"family":"Mercader","given":"Rodrigo J."},{"family":"Haight","given":"Robert G."},{"family":"Siegert","given":"Nathan W."},{"family":"McCullough","given":"Deborah G."},{"family":"Liebhold","given":"Andrew M."}],"accessed":{"date-parts":[["2022",9,2]]},"issued":{"date-parts":[["2011",9]]}},"label":"page"}],"schema":"https://github.com/citation-style-language/schema/raw/master/csl-citation.json"} </w:instrText>
            </w:r>
            <w:r w:rsidR="009671D5" w:rsidRPr="00837161">
              <w:rPr>
                <w:rFonts w:eastAsia="Times New Roman"/>
              </w:rPr>
              <w:fldChar w:fldCharType="separate"/>
            </w:r>
            <w:r w:rsidR="00271B78" w:rsidRPr="00271B78">
              <w:t>(Kovacs et al., 2011)</w:t>
            </w:r>
            <w:r w:rsidR="009671D5" w:rsidRPr="00837161">
              <w:rPr>
                <w:rFonts w:eastAsia="Times New Roman"/>
              </w:rPr>
              <w:fldChar w:fldCharType="end"/>
            </w:r>
            <w:r w:rsidR="009671D5" w:rsidRPr="00837161">
              <w:rPr>
                <w:rFonts w:eastAsia="Times New Roman"/>
              </w:rPr>
              <w:t>.</w:t>
            </w:r>
          </w:p>
        </w:tc>
      </w:tr>
      <w:tr w:rsidR="00A758FD" w14:paraId="457CAECA" w14:textId="77777777" w:rsidTr="00AC1F76">
        <w:tc>
          <w:tcPr>
            <w:tcW w:w="1365" w:type="dxa"/>
            <w:vMerge/>
          </w:tcPr>
          <w:p w14:paraId="0000088D" w14:textId="77777777" w:rsidR="00A758FD" w:rsidRPr="00C0338D" w:rsidRDefault="00A758FD" w:rsidP="002F2F42"/>
        </w:tc>
        <w:tc>
          <w:tcPr>
            <w:tcW w:w="1605" w:type="dxa"/>
          </w:tcPr>
          <w:p w14:paraId="0000088E" w14:textId="77777777" w:rsidR="00A758FD" w:rsidRPr="00C0338D" w:rsidRDefault="00C81287">
            <w:r w:rsidRPr="00C0338D">
              <w:t>Early detection, containment, eradication</w:t>
            </w:r>
          </w:p>
        </w:tc>
        <w:tc>
          <w:tcPr>
            <w:tcW w:w="1155" w:type="dxa"/>
          </w:tcPr>
          <w:p w14:paraId="0000088F" w14:textId="77777777" w:rsidR="00A758FD" w:rsidRPr="00C0338D" w:rsidRDefault="00C81287">
            <w:r w:rsidRPr="002F2F42">
              <w:rPr>
                <w:color w:val="000000" w:themeColor="text1"/>
              </w:rPr>
              <w:t>Not stated</w:t>
            </w:r>
          </w:p>
        </w:tc>
        <w:tc>
          <w:tcPr>
            <w:tcW w:w="5085" w:type="dxa"/>
          </w:tcPr>
          <w:p w14:paraId="00000890" w14:textId="3EDCBCAD" w:rsidR="00A758FD" w:rsidRPr="00C0338D" w:rsidRDefault="00383764">
            <w:r w:rsidRPr="00837161">
              <w:rPr>
                <w:rFonts w:eastAsia="Times New Roman"/>
              </w:rPr>
              <w:t>Economic simulation model evaluating the cost and success of eradication or containment potential actions under different scenarios of detection rates and search efforts (i.e., early detection;</w:t>
            </w:r>
            <w:r w:rsidR="009671D5" w:rsidRPr="00837161">
              <w:rPr>
                <w:rFonts w:eastAsia="Times New Roman"/>
              </w:rPr>
              <w:t xml:space="preserve"> </w:t>
            </w:r>
            <w:r w:rsidR="009671D5" w:rsidRPr="00837161">
              <w:rPr>
                <w:rFonts w:eastAsia="Times New Roman"/>
              </w:rPr>
              <w:fldChar w:fldCharType="begin"/>
            </w:r>
            <w:r w:rsidR="000F35EB">
              <w:rPr>
                <w:rFonts w:eastAsia="Times New Roman"/>
              </w:rPr>
              <w:instrText xml:space="preserve"> ADDIN ZOTERO_ITEM CSL_CITATION {"citationID":"HsmlKJgI","properties":{"formattedCitation":"(Cacho et al., 2010)","plainCitation":"(Cacho et al., 2010)","dontUpdate":true,"noteIndex":0},"citationItems":[{"id":53150,"uris":["http://zotero.org/groups/2352922/items/N9SZDWXF","http://zotero.org/groups/2352922/items/DKN9HU64"],"itemData":{"id":53150,"type":"article-journal","container-title":"Environmental Modelling &amp; Software","DOI":"10.1016/j.envsoft.2009.10.014","ISSN":"13648152","issue":"4","journalAbbreviation":"Environmental Modelling &amp; Software","language":"en","page":"444-454","source":"DOI.org (Crossref)","title":"Allocating surveillance effort in the management of invasive species: A spatially-explicit model","title-short":"Allocating surveillance effort in the management of invasive species","URL":"https://linkinghub.elsevier.com/retrieve/pii/S1364815209002862","volume":"25","author":[{"family":"Cacho","given":"Oscar J."},{"family":"Spring","given":"Daniel"},{"family":"Hester","given":"Susan"},{"family":"Mac Nally","given":"Ralph"}],"accessed":{"date-parts":[["2022",9,2]]},"issued":{"date-parts":[["2010",4]]}},"label":"page"}],"schema":"https://github.com/citation-style-language/schema/raw/master/csl-citation.json"} </w:instrText>
            </w:r>
            <w:r w:rsidR="009671D5" w:rsidRPr="00837161">
              <w:rPr>
                <w:rFonts w:eastAsia="Times New Roman"/>
              </w:rPr>
              <w:fldChar w:fldCharType="separate"/>
            </w:r>
            <w:r w:rsidR="008C3629" w:rsidRPr="00837161">
              <w:t>Cacho et al., 2010)</w:t>
            </w:r>
            <w:r w:rsidR="009671D5" w:rsidRPr="00837161">
              <w:rPr>
                <w:rFonts w:eastAsia="Times New Roman"/>
              </w:rPr>
              <w:fldChar w:fldCharType="end"/>
            </w:r>
            <w:r w:rsidR="009671D5" w:rsidRPr="00837161">
              <w:rPr>
                <w:rFonts w:eastAsia="Times New Roman"/>
              </w:rPr>
              <w:t>.</w:t>
            </w:r>
          </w:p>
        </w:tc>
      </w:tr>
      <w:tr w:rsidR="00A758FD" w14:paraId="5B4A4F14" w14:textId="77777777" w:rsidTr="00AC1F76">
        <w:tc>
          <w:tcPr>
            <w:tcW w:w="1365" w:type="dxa"/>
            <w:vMerge/>
          </w:tcPr>
          <w:p w14:paraId="00000891" w14:textId="77777777" w:rsidR="00A758FD" w:rsidRPr="00C0338D" w:rsidRDefault="00A758FD" w:rsidP="002F2F42"/>
        </w:tc>
        <w:tc>
          <w:tcPr>
            <w:tcW w:w="1605" w:type="dxa"/>
          </w:tcPr>
          <w:p w14:paraId="00000892" w14:textId="77777777" w:rsidR="00A758FD" w:rsidRPr="00C0338D" w:rsidRDefault="00C81287">
            <w:r w:rsidRPr="00C0338D">
              <w:t>Eradication, containment</w:t>
            </w:r>
          </w:p>
        </w:tc>
        <w:tc>
          <w:tcPr>
            <w:tcW w:w="1155" w:type="dxa"/>
          </w:tcPr>
          <w:p w14:paraId="00000893" w14:textId="77777777" w:rsidR="00A758FD" w:rsidRPr="00C0338D" w:rsidRDefault="00C81287">
            <w:r w:rsidRPr="00C0338D">
              <w:t>Europe and Central Asia</w:t>
            </w:r>
          </w:p>
        </w:tc>
        <w:tc>
          <w:tcPr>
            <w:tcW w:w="5085" w:type="dxa"/>
          </w:tcPr>
          <w:p w14:paraId="00000894" w14:textId="5846A91C" w:rsidR="00A758FD" w:rsidRPr="00C0338D" w:rsidRDefault="00C81287">
            <w:r w:rsidRPr="00C0338D">
              <w:t xml:space="preserve">Simulation population model evaluating percentage of reduction in invasive plant species range under different scenarios of removal of individuals, human density and invasive populations characteristics </w:t>
            </w:r>
            <w:r w:rsidR="00A944A9" w:rsidRPr="00837161">
              <w:rPr>
                <w:rFonts w:eastAsia="Times New Roman"/>
              </w:rPr>
              <w:fldChar w:fldCharType="begin"/>
            </w:r>
            <w:r w:rsidR="000F35EB">
              <w:rPr>
                <w:rFonts w:eastAsia="Times New Roman"/>
              </w:rPr>
              <w:instrText xml:space="preserve"> ADDIN ZOTERO_ITEM CSL_CITATION {"citationID":"VjbmsadA","properties":{"formattedCitation":"(Wadsworth et al., 2000)","plainCitation":"(Wadsworth et al., 2000)","noteIndex":0},"citationItems":[{"id":53149,"uris":["http://zotero.org/groups/2352922/items/F326FFPQ"],"itemData":{"id":53149,"type":"article-journal","container-title":"Journal of Applied Ecology","DOI":"10.1046/j.1365-2664.2000.00551.x","ISSN":"0021-8901, 1365-2664","issue":"s1","journalAbbreviation":"J Appl Ecology","language":"en","page":"28-38","source":"DOI.org (Crossref)","title":"Simulating the spread and management of alien riparian weeds: are they out of control?","title-short":"Simulating the spread and management of alien riparian weeds","URL":"http://doi.wiley.com/10.1046/j.1365-2664.2000.00551.x","volume":"37","author":[{"family":"Wadsworth","given":"R.A."},{"family":"Collingham","given":"Y.C."},{"family":"Willis","given":"S.G."},{"family":"Huntley","given":"B."},{"family":"Hulme","given":"P.E."}],"accessed":{"date-parts":[["2022",9,2]]},"issued":{"date-parts":[["2000",9]]}},"label":"page"}],"schema":"https://github.com/citation-style-language/schema/raw/master/csl-citation.json"} </w:instrText>
            </w:r>
            <w:r w:rsidR="00A944A9" w:rsidRPr="00837161">
              <w:rPr>
                <w:rFonts w:eastAsia="Times New Roman"/>
              </w:rPr>
              <w:fldChar w:fldCharType="separate"/>
            </w:r>
            <w:r w:rsidR="00271B78" w:rsidRPr="00271B78">
              <w:t>(Wadsworth et al., 2000)</w:t>
            </w:r>
            <w:r w:rsidR="00A944A9" w:rsidRPr="00837161">
              <w:rPr>
                <w:rFonts w:eastAsia="Times New Roman"/>
              </w:rPr>
              <w:fldChar w:fldCharType="end"/>
            </w:r>
            <w:r w:rsidR="00383764" w:rsidRPr="00837161">
              <w:rPr>
                <w:rFonts w:eastAsia="Times New Roman"/>
              </w:rPr>
              <w:t>.</w:t>
            </w:r>
          </w:p>
        </w:tc>
      </w:tr>
      <w:tr w:rsidR="00A758FD" w14:paraId="4CC887FC" w14:textId="77777777" w:rsidTr="00AC1F76">
        <w:tc>
          <w:tcPr>
            <w:tcW w:w="1365" w:type="dxa"/>
            <w:vMerge/>
          </w:tcPr>
          <w:p w14:paraId="00000895" w14:textId="77777777" w:rsidR="00A758FD" w:rsidRPr="00C0338D" w:rsidRDefault="00A758FD" w:rsidP="002F2F42"/>
        </w:tc>
        <w:tc>
          <w:tcPr>
            <w:tcW w:w="1605" w:type="dxa"/>
          </w:tcPr>
          <w:p w14:paraId="00000896" w14:textId="77777777" w:rsidR="00A758FD" w:rsidRPr="00C0338D" w:rsidRDefault="00C81287">
            <w:r w:rsidRPr="00C0338D">
              <w:t>Eradication</w:t>
            </w:r>
          </w:p>
        </w:tc>
        <w:tc>
          <w:tcPr>
            <w:tcW w:w="1155" w:type="dxa"/>
          </w:tcPr>
          <w:p w14:paraId="00000897" w14:textId="77777777" w:rsidR="00A758FD" w:rsidRPr="00C0338D" w:rsidRDefault="00C81287">
            <w:r w:rsidRPr="00C0338D">
              <w:t>Asia and the Pacific</w:t>
            </w:r>
          </w:p>
        </w:tc>
        <w:tc>
          <w:tcPr>
            <w:tcW w:w="5085" w:type="dxa"/>
          </w:tcPr>
          <w:p w14:paraId="00000898" w14:textId="34D47ACF" w:rsidR="00A758FD" w:rsidRPr="00C0338D" w:rsidRDefault="00383764">
            <w:r w:rsidRPr="00837161">
              <w:rPr>
                <w:rFonts w:eastAsia="Times New Roman"/>
              </w:rPr>
              <w:t xml:space="preserve">Stochastic spatio-temporal model evaluating the rate of spread of invertebrates under different eradication scenarios </w:t>
            </w:r>
            <w:r w:rsidR="00A944A9" w:rsidRPr="00837161">
              <w:rPr>
                <w:rFonts w:eastAsia="Times New Roman"/>
              </w:rPr>
              <w:fldChar w:fldCharType="begin"/>
            </w:r>
            <w:r w:rsidR="000F35EB">
              <w:rPr>
                <w:rFonts w:eastAsia="Times New Roman"/>
              </w:rPr>
              <w:instrText xml:space="preserve"> ADDIN ZOTERO_ITEM CSL_CITATION {"citationID":"VMK8duo0","properties":{"formattedCitation":"(Kadoya &amp; Washitani, 2010)","plainCitation":"(Kadoya &amp; Washitani, 2010)","noteIndex":0},"citationItems":[{"id":53148,"uris":["http://zotero.org/groups/2352922/items/97PD86I2"],"itemData":{"id":53148,"type":"article-journal","container-title":"Biological Conservation","DOI":"10.1016/j.biocon.2010.02.030","ISSN":"00063207","issue":"5","journalAbbreviation":"Biological Conservation","language":"en","page":"1228-1235","source":"DOI.org (Crossref)","title":"Predicting the rate of range expansion of an invasive alien bumblebee (&lt;i&gt;Bombus terrestris&lt;/i&gt;) using a stochastic spatio-temporal model","URL":"https://linkinghub.elsevier.com/retrieve/pii/S0006320710000716","volume":"143","author":[{"family":"Kadoya","given":"Taku"},{"family":"Washitani","given":"Izumi"}],"accessed":{"date-parts":[["2022",9,2]]},"issued":{"date-parts":[["2010",5]]}},"label":"page"}],"schema":"https://github.com/citation-style-language/schema/raw/master/csl-citation.json"} </w:instrText>
            </w:r>
            <w:r w:rsidR="00A944A9" w:rsidRPr="00837161">
              <w:rPr>
                <w:rFonts w:eastAsia="Times New Roman"/>
              </w:rPr>
              <w:fldChar w:fldCharType="separate"/>
            </w:r>
            <w:r w:rsidR="00271B78" w:rsidRPr="00271B78">
              <w:t>(Kadoya &amp; Washitani, 2010)</w:t>
            </w:r>
            <w:r w:rsidR="00A944A9" w:rsidRPr="00837161">
              <w:rPr>
                <w:rFonts w:eastAsia="Times New Roman"/>
              </w:rPr>
              <w:fldChar w:fldCharType="end"/>
            </w:r>
            <w:r w:rsidR="00A944A9" w:rsidRPr="00837161">
              <w:rPr>
                <w:rFonts w:eastAsia="Times New Roman"/>
              </w:rPr>
              <w:t>.</w:t>
            </w:r>
          </w:p>
        </w:tc>
      </w:tr>
      <w:tr w:rsidR="00A758FD" w14:paraId="4415A098" w14:textId="77777777" w:rsidTr="00AC1F76">
        <w:tc>
          <w:tcPr>
            <w:tcW w:w="1365" w:type="dxa"/>
            <w:vMerge/>
          </w:tcPr>
          <w:p w14:paraId="00000899" w14:textId="77777777" w:rsidR="00A758FD" w:rsidRPr="00C0338D" w:rsidRDefault="00A758FD" w:rsidP="002F2F42"/>
        </w:tc>
        <w:tc>
          <w:tcPr>
            <w:tcW w:w="1605" w:type="dxa"/>
          </w:tcPr>
          <w:p w14:paraId="0000089A" w14:textId="77777777" w:rsidR="00A758FD" w:rsidRPr="00C0338D" w:rsidRDefault="00C81287">
            <w:r w:rsidRPr="00C0338D">
              <w:t>Containment</w:t>
            </w:r>
          </w:p>
        </w:tc>
        <w:tc>
          <w:tcPr>
            <w:tcW w:w="1155" w:type="dxa"/>
          </w:tcPr>
          <w:p w14:paraId="0000089B" w14:textId="77777777" w:rsidR="00A758FD" w:rsidRPr="00C0338D" w:rsidRDefault="00C81287">
            <w:r w:rsidRPr="00C0338D">
              <w:t>Oceania</w:t>
            </w:r>
          </w:p>
        </w:tc>
        <w:tc>
          <w:tcPr>
            <w:tcW w:w="5085" w:type="dxa"/>
          </w:tcPr>
          <w:p w14:paraId="0000089C" w14:textId="052488AE" w:rsidR="00A758FD" w:rsidRPr="00C0338D" w:rsidRDefault="00383764">
            <w:r w:rsidRPr="00837161">
              <w:rPr>
                <w:rFonts w:eastAsia="Times New Roman"/>
              </w:rPr>
              <w:t>Process-based model of the impact of climate change on the distribution change of an invasive shrub based on its physiological tolerances for growth and reproduction</w:t>
            </w:r>
            <w:r w:rsidR="00A944A9" w:rsidRPr="00837161">
              <w:rPr>
                <w:rFonts w:eastAsia="Times New Roman"/>
              </w:rPr>
              <w:t xml:space="preserve"> </w:t>
            </w:r>
            <w:r w:rsidR="00A944A9" w:rsidRPr="00837161">
              <w:rPr>
                <w:rFonts w:eastAsia="Times New Roman"/>
              </w:rPr>
              <w:fldChar w:fldCharType="begin"/>
            </w:r>
            <w:r w:rsidR="000F35EB">
              <w:rPr>
                <w:rFonts w:eastAsia="Times New Roman"/>
              </w:rPr>
              <w:instrText xml:space="preserve"> ADDIN ZOTERO_ITEM CSL_CITATION {"citationID":"sGRDCE20","properties":{"formattedCitation":"(Kriticos et al., 2003)","plainCitation":"(Kriticos et al., 2003)","noteIndex":0},"citationItems":[{"id":53147,"uris":["http://zotero.org/groups/2352922/items/6U9VVAZ5","http://zotero.org/groups/2352922/items/6YIGJDN7"],"itemData":{"id":53147,"type":"article-journal","container-title":"Journal of Applied Ecology","DOI":"10.1046/j.1365-2664.2003.00777.x","ISSN":"00218901","issue":"1","language":"en","page":"111-124","source":"DOI.org (Crossref)","title":"Climate change and the potential distribution of an invasive alien plant: &lt;i&gt;Acacia nilotica&lt;/i&gt; ssp. &lt;i&gt;indica&lt;/i&gt; in Australia","title-short":"Climate change and the potential distribution of an invasive alien plant","URL":"http://doi.wiley.com/10.1046/j.1365-2664.2003.00777.x","volume":"40","author":[{"family":"Kriticos","given":"D. J."},{"family":"Sutherst","given":"R. W."},{"family":"Brown","given":"J. R."},{"family":"Adkins","given":"S. W."},{"family":"Maywald","given":"G. F."}],"accessed":{"date-parts":[["2022",9,2]]},"issued":{"date-parts":[["2003",2]]}},"label":"page"}],"schema":"https://github.com/citation-style-language/schema/raw/master/csl-citation.json"} </w:instrText>
            </w:r>
            <w:r w:rsidR="00A944A9" w:rsidRPr="00837161">
              <w:rPr>
                <w:rFonts w:eastAsia="Times New Roman"/>
              </w:rPr>
              <w:fldChar w:fldCharType="separate"/>
            </w:r>
            <w:r w:rsidR="00271B78" w:rsidRPr="00271B78">
              <w:t>(Kriticos et al., 2003)</w:t>
            </w:r>
            <w:r w:rsidR="00A944A9" w:rsidRPr="00837161">
              <w:rPr>
                <w:rFonts w:eastAsia="Times New Roman"/>
              </w:rPr>
              <w:fldChar w:fldCharType="end"/>
            </w:r>
            <w:r w:rsidR="00F26EC4" w:rsidRPr="00837161">
              <w:rPr>
                <w:rFonts w:eastAsia="Times New Roman"/>
              </w:rPr>
              <w:t xml:space="preserve"> </w:t>
            </w:r>
          </w:p>
        </w:tc>
      </w:tr>
      <w:tr w:rsidR="00A758FD" w14:paraId="6D34834E" w14:textId="77777777" w:rsidTr="00AC1F76">
        <w:tc>
          <w:tcPr>
            <w:tcW w:w="1365" w:type="dxa"/>
            <w:vMerge/>
          </w:tcPr>
          <w:p w14:paraId="0000089D" w14:textId="77777777" w:rsidR="00A758FD" w:rsidRPr="00C0338D" w:rsidRDefault="00A758FD" w:rsidP="002F2F42"/>
        </w:tc>
        <w:tc>
          <w:tcPr>
            <w:tcW w:w="1605" w:type="dxa"/>
          </w:tcPr>
          <w:p w14:paraId="0000089E" w14:textId="77777777" w:rsidR="00A758FD" w:rsidRPr="00C0338D" w:rsidRDefault="00C81287">
            <w:r w:rsidRPr="00C0338D">
              <w:t xml:space="preserve">Control </w:t>
            </w:r>
          </w:p>
        </w:tc>
        <w:tc>
          <w:tcPr>
            <w:tcW w:w="1155" w:type="dxa"/>
          </w:tcPr>
          <w:p w14:paraId="0000089F" w14:textId="77777777" w:rsidR="00A758FD" w:rsidRPr="00C0338D" w:rsidRDefault="00C81287">
            <w:r w:rsidRPr="00C0338D">
              <w:t xml:space="preserve">The Americas </w:t>
            </w:r>
          </w:p>
        </w:tc>
        <w:tc>
          <w:tcPr>
            <w:tcW w:w="5085" w:type="dxa"/>
          </w:tcPr>
          <w:p w14:paraId="000008A0" w14:textId="39875B35" w:rsidR="00A758FD" w:rsidRPr="00C0338D" w:rsidRDefault="430490D0">
            <w:pPr>
              <w:rPr>
                <w:sz w:val="26"/>
              </w:rPr>
            </w:pPr>
            <w:r w:rsidRPr="00837161">
              <w:rPr>
                <w:rFonts w:eastAsia="Times New Roman"/>
              </w:rPr>
              <w:t xml:space="preserve">Epidemiological model to understand the capacity for spread of </w:t>
            </w:r>
            <w:r w:rsidR="0D67F628" w:rsidRPr="00837161">
              <w:rPr>
                <w:rFonts w:eastAsia="Times New Roman"/>
              </w:rPr>
              <w:t xml:space="preserve">the </w:t>
            </w:r>
            <w:r w:rsidRPr="00837161">
              <w:rPr>
                <w:rFonts w:eastAsia="Times New Roman"/>
              </w:rPr>
              <w:t xml:space="preserve">pathogen </w:t>
            </w:r>
            <w:r w:rsidRPr="00837161">
              <w:rPr>
                <w:rFonts w:eastAsia="Times New Roman"/>
                <w:i/>
                <w:iCs/>
              </w:rPr>
              <w:t>Phytophthora ramorum</w:t>
            </w:r>
            <w:r w:rsidRPr="00837161">
              <w:rPr>
                <w:rFonts w:eastAsia="Times New Roman"/>
              </w:rPr>
              <w:t xml:space="preserve"> (</w:t>
            </w:r>
            <w:r w:rsidR="002F2F42">
              <w:rPr>
                <w:rFonts w:eastAsia="Times New Roman"/>
              </w:rPr>
              <w:t>s</w:t>
            </w:r>
            <w:r w:rsidR="00BB02DB" w:rsidRPr="00837161">
              <w:rPr>
                <w:rFonts w:eastAsia="Times New Roman"/>
              </w:rPr>
              <w:t xml:space="preserve">udden </w:t>
            </w:r>
            <w:r w:rsidR="002F2F42">
              <w:rPr>
                <w:rFonts w:eastAsia="Times New Roman"/>
              </w:rPr>
              <w:t>o</w:t>
            </w:r>
            <w:r w:rsidR="00BB02DB" w:rsidRPr="00837161">
              <w:rPr>
                <w:rFonts w:eastAsia="Times New Roman"/>
              </w:rPr>
              <w:t xml:space="preserve">ak </w:t>
            </w:r>
            <w:r w:rsidR="002F2F42">
              <w:rPr>
                <w:rFonts w:eastAsia="Times New Roman"/>
              </w:rPr>
              <w:t>d</w:t>
            </w:r>
            <w:r w:rsidR="00BB02DB" w:rsidRPr="00837161">
              <w:rPr>
                <w:rFonts w:eastAsia="Times New Roman"/>
              </w:rPr>
              <w:t>eath</w:t>
            </w:r>
            <w:r w:rsidRPr="00837161">
              <w:rPr>
                <w:rFonts w:eastAsia="Times New Roman"/>
              </w:rPr>
              <w:t>) and the degree to which this is likely to influence management options</w:t>
            </w:r>
            <w:r w:rsidR="7BDF1403" w:rsidRPr="00837161">
              <w:rPr>
                <w:rFonts w:eastAsia="Times New Roman"/>
              </w:rPr>
              <w:t xml:space="preserve"> </w:t>
            </w:r>
            <w:r w:rsidR="00383764" w:rsidRPr="00837161">
              <w:rPr>
                <w:rFonts w:eastAsia="Times New Roman"/>
              </w:rPr>
              <w:fldChar w:fldCharType="begin"/>
            </w:r>
            <w:r w:rsidR="000F35EB">
              <w:rPr>
                <w:rFonts w:eastAsia="Times New Roman"/>
              </w:rPr>
              <w:instrText xml:space="preserve"> ADDIN ZOTERO_ITEM CSL_CITATION {"citationID":"XELJvmgu","properties":{"formattedCitation":"(Filipe et al., 2012)","plainCitation":"(Filipe et al., 2012)","noteIndex":0},"citationItems":[{"id":52369,"uris":["http://zotero.org/groups/2352922/items/4Y9WHGK3"],"itemData":{"id":52369,"type":"article-journal","abstract":"Exotic pathogens and pests threaten ecosystem service, biodiversity, and crop security globally. If an invasive agent can disperse asymptomatically over long distances, multiple spatial and temporal scales interplay, making identification of effective strategies to regulate, monitor, and control disease extremely difficult. The management of outbreaks is also challenged by limited data on the actual area infested and the dynamics of spatial spread, due to financial, technological, or social constraints. We examine principles of landscape epidemiology important in designing policy to prevent or slow invasion by such organisms, and use Phytophthora ramorum, the cause of sudden oak death, to illustrate how shortfalls in their understanding can render management applications inappropriate. This pathogen has invaded forests in coastal California, USA, and an isolated but fast-growing epidemic focus in northern California (Humboldt County) has the potential for extensive spread. The risk of spread is enhanced by the pathogen's generalist nature and survival. Additionally, the extent of cryptic infection is unknown due to limited surveying resources and access to private land. Here, we use an epidemiological model for transmission in heterogeneous landscapes and Bayesian Markov-chain-Monte-Carlo inference to estimate dispersal and life-cycle parameters of P. ramorum and forecast the distribution of infection and speed of the epidemic front in Humboldt County. We assess the viability of management options for containing the pathogen's northern spread and local impacts. Implementing a stand-alone host-free “barrier” had limited efficacy due to long-distance dispersal, but combining curative with preventive treatments ahead of the front reduced local damage and contained spread. While the large size of this focus makes effective control expensive, early synchronous treatment in newly-identified disease foci should be more cost-effective. We show how the successful management of forest ecosystems depends on estimating the spatial scales of invasion and treatment of pathogens and pests with cryptic long-distance dispersal.","container-title":"PLOS Computational Biology","DOI":"10.1371/journal.pcbi.1002328","ISSN":"1553-7358","issue":"1","journalAbbreviation":"PLOS Computational Biology","language":"en","note":"publisher: Public Library of Science","page":"e1002328","source":"PLoS Journals","title":"Landscape Epidemiology and Control of Pathogens with Cryptic and Long-Distance Dispersal: Sudden Oak Death in Northern Californian Forests","title-short":"Landscape Epidemiology and Control of Pathogens with Cryptic and Long-Distance Dispersal","URL":"https://journals.plos.org/ploscompbiol/article?id=10.1371/journal.pcbi.1002328","volume":"8","author":[{"family":"Filipe","given":"João A. N."},{"family":"Cobb","given":"Richard C."},{"family":"Meentemeyer","given":"Ross K."},{"family":"Lee","given":"Christopher A."},{"family":"Valachovic","given":"Yana S."},{"family":"Cook","given":"Alex R."},{"family":"Rizzo","given":"David M."},{"family":"Gilligan","given":"Christopher A."}],"accessed":{"date-parts":[["2022",5,31]]},"issued":{"date-parts":[["2012",1,5]]}},"label":"page"}],"schema":"https://github.com/citation-style-language/schema/raw/master/csl-citation.json"} </w:instrText>
            </w:r>
            <w:r w:rsidR="00383764" w:rsidRPr="00837161">
              <w:rPr>
                <w:rFonts w:eastAsia="Times New Roman"/>
              </w:rPr>
              <w:fldChar w:fldCharType="separate"/>
            </w:r>
            <w:r w:rsidR="00271B78" w:rsidRPr="00271B78">
              <w:t>(Filipe et al., 2012)</w:t>
            </w:r>
            <w:r w:rsidR="00383764" w:rsidRPr="00837161">
              <w:rPr>
                <w:rFonts w:eastAsia="Times New Roman"/>
              </w:rPr>
              <w:fldChar w:fldCharType="end"/>
            </w:r>
            <w:r w:rsidR="7BDF1403" w:rsidRPr="00837161">
              <w:rPr>
                <w:rFonts w:eastAsia="Times New Roman"/>
              </w:rPr>
              <w:t>.</w:t>
            </w:r>
          </w:p>
        </w:tc>
      </w:tr>
      <w:tr w:rsidR="00A758FD" w14:paraId="129E30FD" w14:textId="77777777" w:rsidTr="00AC1F76">
        <w:tc>
          <w:tcPr>
            <w:tcW w:w="1365" w:type="dxa"/>
            <w:vMerge/>
          </w:tcPr>
          <w:p w14:paraId="000008A1" w14:textId="77777777" w:rsidR="00A758FD" w:rsidRPr="002F2F42" w:rsidRDefault="00A758FD" w:rsidP="002F2F42"/>
        </w:tc>
        <w:tc>
          <w:tcPr>
            <w:tcW w:w="1605" w:type="dxa"/>
          </w:tcPr>
          <w:p w14:paraId="000008A2" w14:textId="77777777" w:rsidR="00A758FD" w:rsidRPr="00C0338D" w:rsidRDefault="00C81287">
            <w:r w:rsidRPr="00C0338D">
              <w:t>Control</w:t>
            </w:r>
          </w:p>
        </w:tc>
        <w:tc>
          <w:tcPr>
            <w:tcW w:w="1155" w:type="dxa"/>
          </w:tcPr>
          <w:p w14:paraId="000008A3" w14:textId="77777777" w:rsidR="00A758FD" w:rsidRPr="00C0338D" w:rsidRDefault="00C81287">
            <w:r w:rsidRPr="00C0338D">
              <w:t>Oceania islands</w:t>
            </w:r>
          </w:p>
        </w:tc>
        <w:tc>
          <w:tcPr>
            <w:tcW w:w="5085" w:type="dxa"/>
          </w:tcPr>
          <w:p w14:paraId="000008A4" w14:textId="34B109E3" w:rsidR="00A758FD" w:rsidRPr="00C0338D" w:rsidRDefault="00383764">
            <w:r w:rsidRPr="00837161">
              <w:rPr>
                <w:rFonts w:eastAsia="Times New Roman"/>
              </w:rPr>
              <w:t xml:space="preserve">Matrix-based population model for estimating the population growth rate of stoats to define dulling strategies that will lead to effective population and impact suppression of this introduced predator of ground nesting birds </w:t>
            </w:r>
            <w:r w:rsidR="00A944A9" w:rsidRPr="00837161">
              <w:rPr>
                <w:rFonts w:eastAsia="Times New Roman"/>
              </w:rPr>
              <w:fldChar w:fldCharType="begin"/>
            </w:r>
            <w:r w:rsidR="000F35EB">
              <w:rPr>
                <w:rFonts w:eastAsia="Times New Roman"/>
              </w:rPr>
              <w:instrText xml:space="preserve"> ADDIN ZOTERO_ITEM CSL_CITATION {"citationID":"O5qEJl18","properties":{"formattedCitation":"(C. M. King &amp; Powell, 2011)","plainCitation":"(C. M. King &amp; Powell, 2011)","noteIndex":0},"citationItems":[{"id":52368,"uris":["http://zotero.org/groups/2352922/items/F7RLHL68"],"itemData":{"id":52368,"type":"article-journal","abstract":"The stoat (Mustela erminea) is a specialist predator that evolved to exploit the unstable populations of northern voles and lemmings. It was introduced to New Zealand, where it is pre-adapted to respond with a population irruption to the resource pulses that follow a heavy seedfall of southern beech (Nothofagus spp.). Culling stoats during an irruption is necessary to reduce damaging predation on nesting endemic birds. Culling might not reduce the stoat population long term, however, if high natural mortality exceeds culling mortality in peak years. During other phases of the beech-mast cycle, culling might have a greater effect on a smaller stoat population, whether or not damage prevention is critical. We developed a 4-matrix model to predict the effects of culling on λ, the annual rate of change in the size of the stoat population, through the four annual phases of an average masting cycle, explicitly distinguishing between apparent and real culling. In the Post-seedfall phase of the cycle, large numbers of stoats are killed, but little of this extra mortality is additive; in other phases, culling removes larger proportions of smaller total numbers of stoats that would otherwise have lived. Culling throughout all phases is most effective at reducing stoat populations, but is also the most expensive option. Culling in Post-seedfall plus Seed or Crash years is somewhat less effective but better than culling in one phase only. Culling has different short-term effects on stoat age distribution depending on the phase of the cycle when culling begins.","container-title":"Biological Invasions","DOI":"10.1007/s10530-011-9993-y","ISSN":"1573-1464","issue":"12","journalAbbreviation":"Biol Invasions","language":"en","page":"3039-3055","source":"Springer Link","title":"Managing an invasive predator pre-adapted to a pulsed resource: a model of stoat (&lt;i&gt;Mustela erminea&lt;/i&gt;) irruptions in New Zealand beech forests","title-short":"Managing an invasive predator pre-adapted to a pulsed resource","URL":"https://doi.org/10.1007/s10530-011-9993-y","volume":"13","author":[{"family":"King","given":"Carolyn M."},{"family":"Powell","given":"Roger A."}],"accessed":{"date-parts":[["2022",5,31]]},"issued":{"date-parts":[["2011",12,1]]}},"label":"page"}],"schema":"https://github.com/citation-style-language/schema/raw/master/csl-citation.json"} </w:instrText>
            </w:r>
            <w:r w:rsidR="00A944A9" w:rsidRPr="00837161">
              <w:rPr>
                <w:rFonts w:eastAsia="Times New Roman"/>
              </w:rPr>
              <w:fldChar w:fldCharType="separate"/>
            </w:r>
            <w:r w:rsidR="00271B78" w:rsidRPr="00271B78">
              <w:t>(C. M. King &amp; Powell, 2011)</w:t>
            </w:r>
            <w:r w:rsidR="00A944A9" w:rsidRPr="00837161">
              <w:rPr>
                <w:rFonts w:eastAsia="Times New Roman"/>
              </w:rPr>
              <w:fldChar w:fldCharType="end"/>
            </w:r>
            <w:r w:rsidR="00A944A9" w:rsidRPr="00837161">
              <w:rPr>
                <w:rFonts w:eastAsia="Times New Roman"/>
              </w:rPr>
              <w:t>.</w:t>
            </w:r>
            <w:r w:rsidRPr="00837161">
              <w:rPr>
                <w:rFonts w:eastAsia="Times New Roman"/>
              </w:rPr>
              <w:t xml:space="preserve"> </w:t>
            </w:r>
          </w:p>
        </w:tc>
      </w:tr>
      <w:tr w:rsidR="00A758FD" w14:paraId="59CA11E1" w14:textId="77777777" w:rsidTr="00AC1F76">
        <w:tc>
          <w:tcPr>
            <w:tcW w:w="1365" w:type="dxa"/>
            <w:vMerge/>
          </w:tcPr>
          <w:p w14:paraId="000008A5" w14:textId="77777777" w:rsidR="00A758FD" w:rsidRPr="00C0338D" w:rsidRDefault="00A758FD" w:rsidP="002F2F42"/>
        </w:tc>
        <w:tc>
          <w:tcPr>
            <w:tcW w:w="1605" w:type="dxa"/>
          </w:tcPr>
          <w:p w14:paraId="000008A6" w14:textId="77777777" w:rsidR="00A758FD" w:rsidRPr="00C0338D" w:rsidRDefault="00C81287">
            <w:r w:rsidRPr="00C0338D">
              <w:t>Control,</w:t>
            </w:r>
            <w:r w:rsidRPr="00C0338D">
              <w:br/>
              <w:t>biological control</w:t>
            </w:r>
          </w:p>
        </w:tc>
        <w:tc>
          <w:tcPr>
            <w:tcW w:w="1155" w:type="dxa"/>
          </w:tcPr>
          <w:p w14:paraId="000008A7" w14:textId="77777777" w:rsidR="00A758FD" w:rsidRPr="00C0338D" w:rsidRDefault="00C81287">
            <w:r w:rsidRPr="00C0338D">
              <w:t>Oceania</w:t>
            </w:r>
          </w:p>
        </w:tc>
        <w:tc>
          <w:tcPr>
            <w:tcW w:w="5085" w:type="dxa"/>
          </w:tcPr>
          <w:p w14:paraId="000008A8" w14:textId="1BFA3720" w:rsidR="00A758FD" w:rsidRPr="00C0338D" w:rsidRDefault="00383764">
            <w:r w:rsidRPr="00837161">
              <w:rPr>
                <w:rFonts w:eastAsia="Times New Roman"/>
              </w:rPr>
              <w:t xml:space="preserve">Multi-level mixed effects and individual based ecological models allowed management strategy ranking based on potential to suppress population size of the invasive plant </w:t>
            </w:r>
            <w:r w:rsidRPr="00837161">
              <w:rPr>
                <w:rFonts w:eastAsia="Times New Roman"/>
                <w:i/>
                <w:iCs/>
              </w:rPr>
              <w:t>Hypericum perforatum</w:t>
            </w:r>
            <w:r w:rsidRPr="00837161">
              <w:rPr>
                <w:rFonts w:eastAsia="Times New Roman"/>
              </w:rPr>
              <w:t xml:space="preserve"> (St John’s wort</w:t>
            </w:r>
            <w:r w:rsidR="00350919" w:rsidRPr="00837161">
              <w:rPr>
                <w:rFonts w:eastAsia="Times New Roman"/>
              </w:rPr>
              <w:t>;</w:t>
            </w:r>
            <w:r w:rsidRPr="00837161">
              <w:rPr>
                <w:rFonts w:eastAsia="Times New Roman"/>
              </w:rPr>
              <w:t xml:space="preserve"> </w:t>
            </w:r>
            <w:r w:rsidR="0056725D" w:rsidRPr="00837161">
              <w:rPr>
                <w:rFonts w:eastAsia="Times New Roman"/>
              </w:rPr>
              <w:fldChar w:fldCharType="begin"/>
            </w:r>
            <w:r w:rsidR="000F35EB">
              <w:rPr>
                <w:rFonts w:eastAsia="Times New Roman"/>
              </w:rPr>
              <w:instrText xml:space="preserve"> ADDIN ZOTERO_ITEM CSL_CITATION {"citationID":"KTa8Tn26","properties":{"formattedCitation":"(Buckley et al., 2003b)","plainCitation":"(Buckley et al., 2003b)","dontUpdate":true,"noteIndex":0},"citationItems":[{"id":53210,"uris":["http://zotero.org/groups/2352922/items/ZQR4NWXF"],"itemData":{"id":53210,"type":"article-journal","abstract":"1 Hypericum perforatum, St John's wort, is an invasive weed of natural and agro-ecosystems in south-eastern Australia. In previous work we used a long-term data set to determine which plant traits and environmental factors influence population growth and persistence in this species. These results were then used to parameterize an individual-based model of the population dynamics of H. perforatum, and this model was used to make predictions about what control strategies will be most effective for populations in open and shaded sites. 2 The model was constructed using multi-level, mixed-effects statistical models of growth, survival, fecundity and damage, incorporating intrinsic plant variables, environmental variables, herbivory and spatial and temporal stochasticity. 3 We found that populations in shaded and open sites had different dynamics and responses to control strategies. Shaded populations took longer to reach infestation densities and were less affected by herbivory and reductions in survival than open populations. Open populations increased faster in response to increases in rainfall, but this was not so for shaded populations. 4 We used sensitivity testing and management simulations to predict that the most successful control strategies will involve a reduction in vegetative size in both open and shaded sites. Reductions in flowering stem size and survival in shaded and open sites, respectively, are predicted to be the next most successful strategies. Dry conditions in the austral autumn/winter adversely affect populations in both open and shaded sites. 5 Synthesis and applications. These models have enabled us to rank management strategies based on quantitative analysis of their potential effects on population size. This is an important tool not only for ecologists concerned with control of invasive species but for conservation biologists trying to understand the factors limiting a rare or endangered species.","container-title":"Journal of Applied Ecology","DOI":"10.1046/j.1365-2664.2003.00822.x","ISSN":"1365-2664","issue":"3","language":"en","note":"_eprint: https://onlinelibrary.wiley.com/doi/pdf/10.1046/j.1365-2664.2003.00822.x","page":"494-507","source":"Wiley Online Library","title":"Demography and management of the invasive plant species &lt;i&gt;Hypericum perforatum&lt;/i&gt;. II. Construction and use of an individual-based model to predict population dynamics and the effects of management strategies","URL":"https://onlinelibrary.wiley.com/doi/abs/10.1046/j.1365-2664.2003.00822.x","volume":"40","author":[{"family":"Buckley","given":"Yvonne M."},{"family":"Briese","given":"David T."},{"family":"Rees","given":"Mark"}],"accessed":{"date-parts":[["2022",9,6]]},"issued":{"date-parts":[["2003"]]}},"label":"page"}],"schema":"https://github.com/citation-style-language/schema/raw/master/csl-citation.json"} </w:instrText>
            </w:r>
            <w:r w:rsidR="0056725D" w:rsidRPr="00837161">
              <w:rPr>
                <w:rFonts w:eastAsia="Times New Roman"/>
              </w:rPr>
              <w:fldChar w:fldCharType="separate"/>
            </w:r>
            <w:r w:rsidR="008C3629" w:rsidRPr="00837161">
              <w:t>Buckley et al., 2003b)</w:t>
            </w:r>
            <w:r w:rsidR="0056725D" w:rsidRPr="00837161">
              <w:rPr>
                <w:rFonts w:eastAsia="Times New Roman"/>
              </w:rPr>
              <w:fldChar w:fldCharType="end"/>
            </w:r>
            <w:r w:rsidRPr="00837161">
              <w:rPr>
                <w:rFonts w:eastAsia="Times New Roman"/>
              </w:rPr>
              <w:t xml:space="preserve">. </w:t>
            </w:r>
          </w:p>
        </w:tc>
      </w:tr>
      <w:tr w:rsidR="00A758FD" w14:paraId="381CD8E1" w14:textId="77777777" w:rsidTr="00AC1F76">
        <w:tc>
          <w:tcPr>
            <w:tcW w:w="1365" w:type="dxa"/>
            <w:vMerge/>
          </w:tcPr>
          <w:p w14:paraId="000008A9" w14:textId="77777777" w:rsidR="00A758FD" w:rsidRPr="00C0338D" w:rsidRDefault="00A758FD" w:rsidP="002F2F42"/>
        </w:tc>
        <w:tc>
          <w:tcPr>
            <w:tcW w:w="1605" w:type="dxa"/>
          </w:tcPr>
          <w:p w14:paraId="000008AA" w14:textId="77777777" w:rsidR="00A758FD" w:rsidRPr="00C0338D" w:rsidRDefault="00C81287">
            <w:r w:rsidRPr="00C0338D">
              <w:t>Control, biological control</w:t>
            </w:r>
          </w:p>
        </w:tc>
        <w:tc>
          <w:tcPr>
            <w:tcW w:w="1155" w:type="dxa"/>
          </w:tcPr>
          <w:p w14:paraId="000008AB" w14:textId="77777777" w:rsidR="00A758FD" w:rsidRPr="00C0338D" w:rsidRDefault="00C81287">
            <w:r w:rsidRPr="00C0338D">
              <w:t>The Americas</w:t>
            </w:r>
          </w:p>
        </w:tc>
        <w:tc>
          <w:tcPr>
            <w:tcW w:w="5085" w:type="dxa"/>
          </w:tcPr>
          <w:p w14:paraId="000008AC" w14:textId="466E1C27" w:rsidR="00A758FD" w:rsidRPr="00C0338D" w:rsidRDefault="00383764">
            <w:r w:rsidRPr="00837161">
              <w:rPr>
                <w:rFonts w:eastAsia="Times New Roman"/>
              </w:rPr>
              <w:t xml:space="preserve">Bio-economic model to develop a general stochastic optimal control framework for the management of an invasive invertebrate using integrated pest management </w:t>
            </w:r>
            <w:r w:rsidR="00A944A9" w:rsidRPr="00837161">
              <w:rPr>
                <w:rFonts w:eastAsia="Times New Roman"/>
              </w:rPr>
              <w:fldChar w:fldCharType="begin"/>
            </w:r>
            <w:r w:rsidR="000F35EB">
              <w:rPr>
                <w:rFonts w:eastAsia="Times New Roman"/>
              </w:rPr>
              <w:instrText xml:space="preserve"> ADDIN ZOTERO_ITEM CSL_CITATION {"citationID":"DRjXueYx","properties":{"formattedCitation":"(Marten &amp; Moore, 2011)","plainCitation":"(Marten &amp; Moore, 2011)","noteIndex":0},"citationItems":[{"id":52367,"uris":["http://zotero.org/groups/2352922/items/M6PGQVPR"],"itemData":{"id":52367,"type":"article-journal","abstract":"The management of non-native invasive species is a complex but crucial task given the potential for economic and environmental damages. For many invasions the development of socially optimal control strategies requires more than is offered by the single-species, single-control models that have dominated this area of research. We develop a general stochastic optimal control framework that accommodates multiple interacting species while accounting for uncertainty in the temporal population dynamics. This extension to the current line of bioeconomic control models allows for the design of optimal integrated pest management strategies that utilize both chemical and biological controls in an environment of uncertainty and irreversibility. We demonstrate the benefits of combining chemical and biological controls in long term management strategies through a case study of the hemlock wooly adelgid (Adelges tsugae) infestation in the eastern United States. In this application we find that the introduction of natural predators is usually sufficient to manage the infestation, though chemical insecticides can play an important role when detection of the infestation is delayed or when the biological control agent does not sufficiently increase mortality of the invasive species.","collection-title":"Special Section - Earth System Governance: Accountability and Legitimacy","container-title":"Ecological Economics","DOI":"10.1016/j.ecolecon.2011.05.022","ISSN":"0921-8009","issue":"11","journalAbbreviation":"Ecological Economics","language":"en","page":"2050-2061","source":"ScienceDirect","title":"An options based bioeconomic model for biological and chemical control of invasive species","URL":"https://www.sciencedirect.com/science/article/pii/S0921800911002357","volume":"70","author":[{"family":"Marten","given":"Alex L."},{"family":"Moore","given":"Christopher C."}],"accessed":{"date-parts":[["2022",5,31]]},"issued":{"date-parts":[["2011",9,15]]}},"label":"page"}],"schema":"https://github.com/citation-style-language/schema/raw/master/csl-citation.json"} </w:instrText>
            </w:r>
            <w:r w:rsidR="00A944A9" w:rsidRPr="00837161">
              <w:rPr>
                <w:rFonts w:eastAsia="Times New Roman"/>
              </w:rPr>
              <w:fldChar w:fldCharType="separate"/>
            </w:r>
            <w:r w:rsidR="00271B78" w:rsidRPr="00271B78">
              <w:t>(Marten &amp; Moore, 2011)</w:t>
            </w:r>
            <w:r w:rsidR="00A944A9" w:rsidRPr="00837161">
              <w:rPr>
                <w:rFonts w:eastAsia="Times New Roman"/>
              </w:rPr>
              <w:fldChar w:fldCharType="end"/>
            </w:r>
            <w:r w:rsidR="00A944A9" w:rsidRPr="00837161">
              <w:rPr>
                <w:rFonts w:eastAsia="Times New Roman"/>
              </w:rPr>
              <w:t>.</w:t>
            </w:r>
          </w:p>
        </w:tc>
      </w:tr>
      <w:tr w:rsidR="00A758FD" w14:paraId="45B8F80B" w14:textId="77777777" w:rsidTr="00AC1F76">
        <w:tc>
          <w:tcPr>
            <w:tcW w:w="1365" w:type="dxa"/>
            <w:vMerge/>
          </w:tcPr>
          <w:p w14:paraId="000008AD" w14:textId="77777777" w:rsidR="00A758FD" w:rsidRPr="00C0338D" w:rsidRDefault="00A758FD" w:rsidP="002F2F42"/>
        </w:tc>
        <w:tc>
          <w:tcPr>
            <w:tcW w:w="1605" w:type="dxa"/>
          </w:tcPr>
          <w:p w14:paraId="000008AE" w14:textId="77777777" w:rsidR="00A758FD" w:rsidRPr="00C0338D" w:rsidRDefault="00C81287">
            <w:r w:rsidRPr="00C0338D">
              <w:t>Biological control</w:t>
            </w:r>
          </w:p>
        </w:tc>
        <w:tc>
          <w:tcPr>
            <w:tcW w:w="1155" w:type="dxa"/>
          </w:tcPr>
          <w:p w14:paraId="000008AF" w14:textId="77777777" w:rsidR="00A758FD" w:rsidRPr="00C0338D" w:rsidRDefault="00C81287">
            <w:r w:rsidRPr="00C0338D">
              <w:t>The Americas</w:t>
            </w:r>
          </w:p>
        </w:tc>
        <w:tc>
          <w:tcPr>
            <w:tcW w:w="5085" w:type="dxa"/>
          </w:tcPr>
          <w:p w14:paraId="000008B0" w14:textId="52DF1AD4" w:rsidR="00A758FD" w:rsidRPr="00C0338D" w:rsidRDefault="00383764">
            <w:r w:rsidRPr="00837161">
              <w:rPr>
                <w:rFonts w:eastAsia="Times New Roman"/>
              </w:rPr>
              <w:t xml:space="preserve">Deterministic and stochastic ecological population model evaluating the 20-year effective biocontrol of citrus red scale </w:t>
            </w:r>
            <w:r w:rsidR="0056725D" w:rsidRPr="00837161">
              <w:rPr>
                <w:rFonts w:eastAsia="Times New Roman"/>
              </w:rPr>
              <w:fldChar w:fldCharType="begin"/>
            </w:r>
            <w:r w:rsidR="000F35EB">
              <w:rPr>
                <w:rFonts w:eastAsia="Times New Roman"/>
              </w:rPr>
              <w:instrText xml:space="preserve"> ADDIN ZOTERO_ITEM CSL_CITATION {"citationID":"IWP0kkJZ","properties":{"formattedCitation":"(Murdoch et al., 2006)","plainCitation":"(Murdoch et al., 2006)","noteIndex":0},"citationItems":[{"id":52366,"uris":["http://zotero.org/groups/2352922/items/VNT9PGSU","http://zotero.org/groups/2352922/items/4Q3NQDQ4"],"itemData":{"id":52366,"type":"article-journal","container-title":"Population Ecology","DOI":"10.1007/s10144-006-0004-6","ISSN":"1438-3896, 1438-390X","issue":"4","journalAbbreviation":"Population Ecology","language":"en","page":"297-305","source":"DOI.org (Crossref)","title":"Biological control: lessons from a study of California red scale","title-short":"Biological control","URL":"https://onlinelibrary.wiley.com/doi/10.1007/s10144-006-0004-6","volume":"48","author":[{"family":"Murdoch","given":"William W."},{"family":"Swarbrick","given":"Susan L."},{"family":"Briggs","given":"Cherie J."}],"accessed":{"date-parts":[["2022",5,31]]},"issued":{"date-parts":[["2006",10]]}},"label":"page"}],"schema":"https://github.com/citation-style-language/schema/raw/master/csl-citation.json"} </w:instrText>
            </w:r>
            <w:r w:rsidR="0056725D" w:rsidRPr="00837161">
              <w:rPr>
                <w:rFonts w:eastAsia="Times New Roman"/>
              </w:rPr>
              <w:fldChar w:fldCharType="separate"/>
            </w:r>
            <w:r w:rsidR="00271B78" w:rsidRPr="00271B78">
              <w:t>(Murdoch et al., 2006)</w:t>
            </w:r>
            <w:r w:rsidR="0056725D" w:rsidRPr="00837161">
              <w:rPr>
                <w:rFonts w:eastAsia="Times New Roman"/>
              </w:rPr>
              <w:fldChar w:fldCharType="end"/>
            </w:r>
            <w:r w:rsidR="0056725D" w:rsidRPr="00837161">
              <w:rPr>
                <w:rFonts w:eastAsia="Times New Roman"/>
              </w:rPr>
              <w:t>.</w:t>
            </w:r>
            <w:r w:rsidRPr="00837161">
              <w:rPr>
                <w:rFonts w:eastAsia="Times New Roman"/>
              </w:rPr>
              <w:t xml:space="preserve"> </w:t>
            </w:r>
          </w:p>
        </w:tc>
      </w:tr>
      <w:tr w:rsidR="00A758FD" w14:paraId="6410A2B3" w14:textId="77777777" w:rsidTr="00AC1F76">
        <w:tc>
          <w:tcPr>
            <w:tcW w:w="1365" w:type="dxa"/>
            <w:vMerge/>
          </w:tcPr>
          <w:p w14:paraId="000008B1" w14:textId="77777777" w:rsidR="00A758FD" w:rsidRPr="00C0338D" w:rsidRDefault="00A758FD" w:rsidP="002F2F42"/>
        </w:tc>
        <w:tc>
          <w:tcPr>
            <w:tcW w:w="1605" w:type="dxa"/>
          </w:tcPr>
          <w:p w14:paraId="000008B2" w14:textId="77777777" w:rsidR="00A758FD" w:rsidRPr="00C0338D" w:rsidRDefault="00C81287">
            <w:r w:rsidRPr="00C0338D">
              <w:t>Restoration, management</w:t>
            </w:r>
          </w:p>
        </w:tc>
        <w:tc>
          <w:tcPr>
            <w:tcW w:w="1155" w:type="dxa"/>
          </w:tcPr>
          <w:p w14:paraId="000008B3" w14:textId="77777777" w:rsidR="00A758FD" w:rsidRPr="00C0338D" w:rsidRDefault="00C81287">
            <w:r w:rsidRPr="00C0338D">
              <w:t>The Americas</w:t>
            </w:r>
          </w:p>
        </w:tc>
        <w:tc>
          <w:tcPr>
            <w:tcW w:w="5085" w:type="dxa"/>
          </w:tcPr>
          <w:p w14:paraId="000008B4" w14:textId="1D138E0D" w:rsidR="00A758FD" w:rsidRPr="00C0338D" w:rsidRDefault="00C81287">
            <w:r w:rsidRPr="00C0338D">
              <w:t xml:space="preserve">Process-based state-transition model evaluating positive and negative impacts of different restoration scenarios of fire, livestock and grazing and invasion rates of non-native plant species </w:t>
            </w:r>
            <w:r w:rsidR="003F42B1" w:rsidRPr="00837161">
              <w:rPr>
                <w:rFonts w:eastAsia="Times New Roman"/>
              </w:rPr>
              <w:fldChar w:fldCharType="begin"/>
            </w:r>
            <w:r w:rsidR="000F35EB">
              <w:rPr>
                <w:rFonts w:eastAsia="Times New Roman"/>
              </w:rPr>
              <w:instrText xml:space="preserve"> ADDIN ZOTERO_ITEM CSL_CITATION {"citationID":"tvlojqwD","properties":{"formattedCitation":"(Forbis et al., 2006)","plainCitation":"(Forbis et al., 2006)","noteIndex":0},"citationItems":[{"id":11662,"uris":["http://zotero.org/groups/2352922/items/LHGIWPJY"],"itemData":{"id":11662,"type":"article-journal","container-title":"Environmental Management","DOI":"10.1007/s00267-005-0089-2","ISSN":"0364-152X, 1432-1009","issue":"1","journalAbbreviation":"Environmental Management","language":"en","page":"62-83","source":"DOI.org (Crossref)","title":"Great Basin Land Management Planning Using Ecological Modeling","URL":"http://link.springer.com/10.1007/s00267-005-0089-2","volume":"38","author":[{"family":"Forbis","given":"Tara A."},{"family":"Provencher","given":"Louis"},{"family":"Frid","given":"Leonardo"},{"family":"Medlyn","given":"Gary"}],"accessed":{"date-parts":[["2020",6,20]]},"issued":{"date-parts":[["2006",7]]}},"label":"page"}],"schema":"https://github.com/citation-style-language/schema/raw/master/csl-citation.json"} </w:instrText>
            </w:r>
            <w:r w:rsidR="003F42B1" w:rsidRPr="00837161">
              <w:rPr>
                <w:rFonts w:eastAsia="Times New Roman"/>
              </w:rPr>
              <w:fldChar w:fldCharType="separate"/>
            </w:r>
            <w:r w:rsidR="00271B78" w:rsidRPr="00271B78">
              <w:t>(Forbis et al., 2006)</w:t>
            </w:r>
            <w:r w:rsidR="003F42B1" w:rsidRPr="00837161">
              <w:rPr>
                <w:rFonts w:eastAsia="Times New Roman"/>
              </w:rPr>
              <w:fldChar w:fldCharType="end"/>
            </w:r>
            <w:r w:rsidR="003F42B1" w:rsidRPr="00837161">
              <w:rPr>
                <w:rFonts w:eastAsia="Times New Roman"/>
              </w:rPr>
              <w:t>.</w:t>
            </w:r>
          </w:p>
        </w:tc>
      </w:tr>
      <w:tr w:rsidR="00AB1CF0" w14:paraId="6D3E8BA9" w14:textId="77777777" w:rsidTr="000F35EB">
        <w:tc>
          <w:tcPr>
            <w:tcW w:w="1365" w:type="dxa"/>
            <w:vMerge w:val="restart"/>
          </w:tcPr>
          <w:p w14:paraId="000008B5" w14:textId="77777777" w:rsidR="00AB1CF0" w:rsidRPr="00C0338D" w:rsidRDefault="00AB1CF0">
            <w:r w:rsidRPr="002F2F42">
              <w:rPr>
                <w:color w:val="000000" w:themeColor="text1"/>
              </w:rPr>
              <w:t xml:space="preserve">Freshwater </w:t>
            </w:r>
          </w:p>
        </w:tc>
        <w:tc>
          <w:tcPr>
            <w:tcW w:w="1605" w:type="dxa"/>
          </w:tcPr>
          <w:p w14:paraId="000008B6" w14:textId="77777777" w:rsidR="00AB1CF0" w:rsidRPr="00C0338D" w:rsidRDefault="00AB1CF0">
            <w:r w:rsidRPr="00C0338D">
              <w:t>Prevention</w:t>
            </w:r>
          </w:p>
        </w:tc>
        <w:tc>
          <w:tcPr>
            <w:tcW w:w="1155" w:type="dxa"/>
          </w:tcPr>
          <w:p w14:paraId="000008B7" w14:textId="77777777" w:rsidR="00AB1CF0" w:rsidRPr="00C0338D" w:rsidRDefault="00AB1CF0">
            <w:r w:rsidRPr="00C0338D">
              <w:t>The Americas</w:t>
            </w:r>
          </w:p>
        </w:tc>
        <w:tc>
          <w:tcPr>
            <w:tcW w:w="5085" w:type="dxa"/>
          </w:tcPr>
          <w:p w14:paraId="000008B8" w14:textId="46C543B6" w:rsidR="00AB1CF0" w:rsidRPr="00C0338D" w:rsidRDefault="00AB1CF0">
            <w:r w:rsidRPr="00837161">
              <w:rPr>
                <w:rFonts w:eastAsia="Times New Roman"/>
              </w:rPr>
              <w:t xml:space="preserve">Correlative models are used in cost–benefit analyses for prevention efforts, considering various scenarios of lakes at risk of being invaded by crayfish and different actions, from full protection (i.e., all lakes) to few lakes protected. Even with high expenditure on lake protection, net economic benefits were higher </w:t>
            </w:r>
            <w:r w:rsidRPr="00837161">
              <w:rPr>
                <w:rFonts w:eastAsia="Times New Roman"/>
              </w:rPr>
              <w:fldChar w:fldCharType="begin"/>
            </w:r>
            <w:r w:rsidR="000F35EB">
              <w:rPr>
                <w:rFonts w:eastAsia="Times New Roman"/>
              </w:rPr>
              <w:instrText xml:space="preserve"> ADDIN ZOTERO_ITEM CSL_CITATION {"citationID":"xBdyQOiQ","properties":{"formattedCitation":"(Keller et al., 2008)","plainCitation":"(Keller et al., 2008)","noteIndex":0},"citationItems":[{"id":29980,"uris":["http://zotero.org/groups/2352922/items/XCY3BXSW"],"itemData":{"id":29980,"type":"article-journal","abstract":"Preventing the invasion of freshwater aquatic species is the surest way to reduce their impacts, but it is also often expensive. Hence, the most efficient prevention programs will rely on accurate predictions of sites most at risk of becoming invaded and concentrate resources at those sites. Using data from Vilas County, Wisconsin (U.S.A.), collected in the 1970s, we constructed a predictive occurrence model for rusty crayfish (Orconectes rusticus,) and applied it to an independent data set of 48 Vilas County lakes to predict which of these were most likely to become invaded between 1975 and 2005. We nested this invasion model within an economic framework to determine whether targeted management, derived from our quantitative predictions of likely invasion sites, would increase the economic value of lakes in the independent data set. Although the optimum expenditure on lake protection was high, protecting lakes at this level would have produced net economic benefits of at least $6 million over the last 30 years. We did not attempt to determine the value of nonmarket benefits of protection; thus, our results are likely to underestimate the total benefits from preventing invasions. Our results demonstrate that although few data are available early in an invasion, these data may be sufficient to support targeted, effective, and economically rational management. In addition, our results show that ecological predictions are becoming sufficiently accurate that their application in management can produce net economic benefits.","container-title":"Conservation Biology","DOI":"10.1111/j.1523-1739.2007.00811.x","ISSN":"08888892","issue":"1","language":"en","page":"80-88","source":"DOI.org (Crossref)","title":"Preventing the Spread of Invasive Species: Economic Benefits of Intervention Guided by Ecological Predictions: &lt;i&gt;Economic Benefits of Invasion Prevention&lt;/i&gt;","title-short":"Preventing the Spread of Invasive Species","URL":"https://onlinelibrary.wiley.com/doi/10.1111/j.1523-1739.2007.00811.x","volume":"22","author":[{"family":"Keller","given":"Reuben P."},{"family":"Frang","given":"Kristin"},{"family":"Lodge","given":"David M."}],"accessed":{"date-parts":[["2021",8,10]]},"issued":{"date-parts":[["2008",2]]}},"label":"page"}],"schema":"https://github.com/citation-style-language/schema/raw/master/csl-citation.json"} </w:instrText>
            </w:r>
            <w:r w:rsidRPr="00837161">
              <w:rPr>
                <w:rFonts w:eastAsia="Times New Roman"/>
              </w:rPr>
              <w:fldChar w:fldCharType="separate"/>
            </w:r>
            <w:r w:rsidR="00271B78" w:rsidRPr="00271B78">
              <w:t>(Keller et al., 2008)</w:t>
            </w:r>
            <w:r w:rsidRPr="00837161">
              <w:rPr>
                <w:rFonts w:eastAsia="Times New Roman"/>
              </w:rPr>
              <w:fldChar w:fldCharType="end"/>
            </w:r>
            <w:r w:rsidRPr="00837161">
              <w:rPr>
                <w:rFonts w:eastAsia="Times New Roman"/>
              </w:rPr>
              <w:t>.</w:t>
            </w:r>
          </w:p>
        </w:tc>
      </w:tr>
      <w:tr w:rsidR="00AB1CF0" w14:paraId="1380BC0C" w14:textId="77777777" w:rsidTr="000F35EB">
        <w:tc>
          <w:tcPr>
            <w:tcW w:w="1365" w:type="dxa"/>
            <w:vMerge/>
          </w:tcPr>
          <w:p w14:paraId="000008B9" w14:textId="77777777" w:rsidR="00AB1CF0" w:rsidRPr="00C0338D" w:rsidRDefault="00AB1CF0" w:rsidP="002F2F42"/>
        </w:tc>
        <w:tc>
          <w:tcPr>
            <w:tcW w:w="1605" w:type="dxa"/>
          </w:tcPr>
          <w:p w14:paraId="000008BA" w14:textId="77777777" w:rsidR="00AB1CF0" w:rsidRPr="00C0338D" w:rsidRDefault="00AB1CF0">
            <w:r w:rsidRPr="00C0338D">
              <w:t>Eradication</w:t>
            </w:r>
          </w:p>
        </w:tc>
        <w:tc>
          <w:tcPr>
            <w:tcW w:w="1155" w:type="dxa"/>
          </w:tcPr>
          <w:p w14:paraId="000008BB" w14:textId="77777777" w:rsidR="00AB1CF0" w:rsidRPr="00C0338D" w:rsidRDefault="00AB1CF0">
            <w:r w:rsidRPr="00C0338D">
              <w:t>Africa</w:t>
            </w:r>
          </w:p>
        </w:tc>
        <w:tc>
          <w:tcPr>
            <w:tcW w:w="5085" w:type="dxa"/>
          </w:tcPr>
          <w:p w14:paraId="000008BC" w14:textId="0C2BDA6A" w:rsidR="00AB1CF0" w:rsidRPr="00C0338D" w:rsidRDefault="00AB1CF0">
            <w:r w:rsidRPr="00C0338D">
              <w:t xml:space="preserve">Spatial ecological model evaluating potential management scenarios of pond-breeding frog species considering pond networks, ecotypes (i.e., arboreal, aquatic, terrestrial), access for managers to ponds due land use change (i.e., number of pods targeted) and percentage of individual removal </w:t>
            </w:r>
            <w:r w:rsidRPr="00837161">
              <w:rPr>
                <w:rFonts w:eastAsia="Times New Roman"/>
              </w:rPr>
              <w:fldChar w:fldCharType="begin"/>
            </w:r>
            <w:r w:rsidR="000F35EB">
              <w:rPr>
                <w:rFonts w:eastAsia="Times New Roman"/>
              </w:rPr>
              <w:instrText xml:space="preserve"> ADDIN ZOTERO_ITEM CSL_CITATION {"citationID":"pm3m3RZG","properties":{"formattedCitation":"(Vimercati et al., 2017)","plainCitation":"(Vimercati et al., 2017)","noteIndex":0},"citationItems":[{"id":53144,"uris":["http://zotero.org/groups/2352922/items/9E85K8A7"],"itemData":{"id":53144,"type":"article-journal","container-title":"Biological Invasions","DOI":"10.1007/s10530-017-1599-6","ISSN":"1387-3547, 1573-1464","issue":"12","journalAbbreviation":"Biol Invasions","language":"en","page":"3659-3674","source":"DOI.org (Crossref)","title":"Does restricted access limit management of invasive urban frogs?","URL":"http://link.springer.com/10.1007/s10530-017-1599-6","volume":"19","author":[{"family":"Vimercati","given":"Giovanni"},{"family":"Davies","given":"Sarah J."},{"family":"Hui","given":"Cang"},{"family":"Measey","given":"John"}],"accessed":{"date-parts":[["2022",9,2]]},"issued":{"date-parts":[["2017",12]]}},"label":"page"}],"schema":"https://github.com/citation-style-language/schema/raw/master/csl-citation.json"} </w:instrText>
            </w:r>
            <w:r w:rsidRPr="00837161">
              <w:rPr>
                <w:rFonts w:eastAsia="Times New Roman"/>
              </w:rPr>
              <w:fldChar w:fldCharType="separate"/>
            </w:r>
            <w:r w:rsidR="00271B78" w:rsidRPr="00271B78">
              <w:t>(Vimercati et al., 2017)</w:t>
            </w:r>
            <w:r w:rsidRPr="00837161">
              <w:rPr>
                <w:rFonts w:eastAsia="Times New Roman"/>
              </w:rPr>
              <w:fldChar w:fldCharType="end"/>
            </w:r>
            <w:r w:rsidRPr="00837161">
              <w:rPr>
                <w:rFonts w:eastAsia="Times New Roman"/>
              </w:rPr>
              <w:t>.</w:t>
            </w:r>
          </w:p>
        </w:tc>
      </w:tr>
      <w:tr w:rsidR="00AB1CF0" w14:paraId="4CBAD055" w14:textId="77777777" w:rsidTr="000F35EB">
        <w:tc>
          <w:tcPr>
            <w:tcW w:w="1365" w:type="dxa"/>
            <w:vMerge/>
          </w:tcPr>
          <w:p w14:paraId="000008BD" w14:textId="77777777" w:rsidR="00AB1CF0" w:rsidRPr="00C0338D" w:rsidRDefault="00AB1CF0" w:rsidP="002F2F42"/>
        </w:tc>
        <w:tc>
          <w:tcPr>
            <w:tcW w:w="1605" w:type="dxa"/>
          </w:tcPr>
          <w:p w14:paraId="000008BE" w14:textId="77777777" w:rsidR="00AB1CF0" w:rsidRPr="00C0338D" w:rsidRDefault="00AB1CF0">
            <w:r w:rsidRPr="00C0338D">
              <w:t>Eradication, Containment</w:t>
            </w:r>
          </w:p>
        </w:tc>
        <w:tc>
          <w:tcPr>
            <w:tcW w:w="1155" w:type="dxa"/>
          </w:tcPr>
          <w:p w14:paraId="000008BF" w14:textId="77777777" w:rsidR="00AB1CF0" w:rsidRPr="00C0338D" w:rsidRDefault="00AB1CF0">
            <w:r w:rsidRPr="00C0338D">
              <w:t>The Americas</w:t>
            </w:r>
          </w:p>
        </w:tc>
        <w:tc>
          <w:tcPr>
            <w:tcW w:w="5085" w:type="dxa"/>
          </w:tcPr>
          <w:p w14:paraId="000008C0" w14:textId="3B6EACDF" w:rsidR="00AB1CF0" w:rsidRPr="00C0338D" w:rsidRDefault="00AB1CF0">
            <w:r w:rsidRPr="00837161">
              <w:rPr>
                <w:rFonts w:eastAsia="Times New Roman"/>
              </w:rPr>
              <w:t xml:space="preserve">Process based model evaluating potential management scenarios that included selective and non-selective removal of fish individuals based on age-group </w:t>
            </w:r>
            <w:r w:rsidRPr="00837161">
              <w:rPr>
                <w:rFonts w:eastAsia="Times New Roman"/>
              </w:rPr>
              <w:fldChar w:fldCharType="begin"/>
            </w:r>
            <w:r w:rsidR="000F35EB">
              <w:rPr>
                <w:rFonts w:eastAsia="Times New Roman"/>
              </w:rPr>
              <w:instrText xml:space="preserve"> ADDIN ZOTERO_ITEM CSL_CITATION {"citationID":"GK6o65Xh","properties":{"formattedCitation":"(Chizinski et al., 2010)","plainCitation":"(Chizinski et al., 2010)","noteIndex":0},"citationItems":[{"id":53268,"uris":["http://zotero.org/groups/2352922/items/8NUDBWMZ"],"itemData":{"id":53268,"type":"article-journal","container-title":"Fisheries Management and Ecology","DOI":"10.1111/j.1365-2400.2009.00723.x","ISSN":"0969997X, 13652400","issue":"3","language":"en","page":"262-271","source":"DOI.org (Crossref)","title":"A modelling approach to evaluate potential management actions designed to increase growth of white perch in a high-density population","title-short":"A modelling approach to evaluate potential management actions designed to increase growth of white perch in a high-density population","URL":"https://onlinelibrary.wiley.com/doi/10.1111/j.1365-2400.2009.00723.x","volume":"17","author":[{"family":"Chizinski","given":"C. J."},{"family":"Pope","given":"K. L."},{"family":"Wilde","given":"G. R."}],"accessed":{"date-parts":[["2022",9,2]]},"issued":{"date-parts":[["2010",1,13]]}},"label":"page"}],"schema":"https://github.com/citation-style-language/schema/raw/master/csl-citation.json"} </w:instrText>
            </w:r>
            <w:r w:rsidRPr="00837161">
              <w:rPr>
                <w:rFonts w:eastAsia="Times New Roman"/>
              </w:rPr>
              <w:fldChar w:fldCharType="separate"/>
            </w:r>
            <w:r w:rsidR="00271B78" w:rsidRPr="00271B78">
              <w:t>(Chizinski et al., 2010)</w:t>
            </w:r>
            <w:r w:rsidRPr="00837161">
              <w:rPr>
                <w:rFonts w:eastAsia="Times New Roman"/>
              </w:rPr>
              <w:fldChar w:fldCharType="end"/>
            </w:r>
            <w:r w:rsidRPr="00837161">
              <w:rPr>
                <w:rFonts w:eastAsia="Times New Roman"/>
              </w:rPr>
              <w:t>.</w:t>
            </w:r>
          </w:p>
        </w:tc>
      </w:tr>
      <w:tr w:rsidR="00AB1CF0" w14:paraId="35D71AA8" w14:textId="77777777" w:rsidTr="000F35EB">
        <w:tc>
          <w:tcPr>
            <w:tcW w:w="1365" w:type="dxa"/>
            <w:vMerge/>
          </w:tcPr>
          <w:p w14:paraId="000008C1" w14:textId="77777777" w:rsidR="00AB1CF0" w:rsidRPr="00C0338D" w:rsidRDefault="00AB1CF0" w:rsidP="002F2F42"/>
        </w:tc>
        <w:tc>
          <w:tcPr>
            <w:tcW w:w="1605" w:type="dxa"/>
          </w:tcPr>
          <w:p w14:paraId="000008C2" w14:textId="77777777" w:rsidR="00AB1CF0" w:rsidRPr="00C0338D" w:rsidRDefault="00AB1CF0">
            <w:r w:rsidRPr="00C0338D">
              <w:t>Containment</w:t>
            </w:r>
          </w:p>
        </w:tc>
        <w:tc>
          <w:tcPr>
            <w:tcW w:w="1155" w:type="dxa"/>
          </w:tcPr>
          <w:p w14:paraId="000008C3" w14:textId="77777777" w:rsidR="00AB1CF0" w:rsidRPr="00C0338D" w:rsidRDefault="00AB1CF0">
            <w:r w:rsidRPr="00C0338D">
              <w:t>Asia and the Pacific</w:t>
            </w:r>
          </w:p>
        </w:tc>
        <w:tc>
          <w:tcPr>
            <w:tcW w:w="5085" w:type="dxa"/>
          </w:tcPr>
          <w:p w14:paraId="000008C4" w14:textId="27E859E4" w:rsidR="00AB1CF0" w:rsidRPr="00C0338D" w:rsidRDefault="00AB1CF0">
            <w:r w:rsidRPr="00C0338D">
              <w:t xml:space="preserve">Ecological population model evaluating potential management scenarios on abundance of invasive alien species considering river flow conditions for various corridors and containment through commercial fishing or trap removal of individuals </w:t>
            </w:r>
            <w:r w:rsidRPr="00837161">
              <w:rPr>
                <w:rFonts w:eastAsia="Times New Roman"/>
              </w:rPr>
              <w:fldChar w:fldCharType="begin"/>
            </w:r>
            <w:r w:rsidR="000F35EB">
              <w:rPr>
                <w:rFonts w:eastAsia="Times New Roman"/>
              </w:rPr>
              <w:instrText xml:space="preserve"> ADDIN ZOTERO_ITEM CSL_CITATION {"citationID":"yYP3iD8s","properties":{"formattedCitation":"(Koehn et al., 2018)","plainCitation":"(Koehn et al., 2018)","noteIndex":0},"citationItems":[{"id":53267,"uris":["http://zotero.org/groups/2352922/items/FHRXC7G5"],"itemData":{"id":53267,"type":"article-journal","container-title":"Environmental Management","DOI":"10.1007/s00267-017-0855-y","ISSN":"0364-152X, 1432-1009","issue":"3","journalAbbreviation":"Environmental Management","language":"en","page":"432-442","source":"DOI.org (Crossref)","title":"Using a Population Model to Inform the Management of River Flows and Invasive Carp (&lt;i&gt;Cyprinus carpio&lt;/i&gt;)","URL":"http://link.springer.com/10.1007/s00267-017-0855-y","volume":"61","author":[{"family":"Koehn","given":"John D."},{"family":"Todd","given":"Charles R."},{"family":"Zampatti","given":"Brenton P."},{"family":"Stuart","given":"Ivor G."},{"family":"Conallin","given":"Anthony"},{"family":"Thwaites","given":"Leigh"},{"family":"Ye","given":"Qifeng"}],"accessed":{"date-parts":[["2022",9,2]]},"issued":{"date-parts":[["2018",3]]}},"label":"page"}],"schema":"https://github.com/citation-style-language/schema/raw/master/csl-citation.json"} </w:instrText>
            </w:r>
            <w:r w:rsidRPr="00837161">
              <w:rPr>
                <w:rFonts w:eastAsia="Times New Roman"/>
              </w:rPr>
              <w:fldChar w:fldCharType="separate"/>
            </w:r>
            <w:r w:rsidR="00271B78" w:rsidRPr="00271B78">
              <w:t>(Koehn et al., 2018)</w:t>
            </w:r>
            <w:r w:rsidRPr="00837161">
              <w:rPr>
                <w:rFonts w:eastAsia="Times New Roman"/>
              </w:rPr>
              <w:fldChar w:fldCharType="end"/>
            </w:r>
            <w:r w:rsidRPr="00837161">
              <w:rPr>
                <w:rFonts w:eastAsia="Times New Roman"/>
              </w:rPr>
              <w:t>.</w:t>
            </w:r>
          </w:p>
        </w:tc>
      </w:tr>
      <w:tr w:rsidR="00AB1CF0" w14:paraId="18266757" w14:textId="77777777" w:rsidTr="000F35EB">
        <w:tc>
          <w:tcPr>
            <w:tcW w:w="1365" w:type="dxa"/>
            <w:vMerge/>
            <w:vAlign w:val="center"/>
          </w:tcPr>
          <w:p w14:paraId="000008C5" w14:textId="77777777" w:rsidR="00AB1CF0" w:rsidRPr="00C0338D" w:rsidRDefault="00AB1CF0"/>
        </w:tc>
        <w:tc>
          <w:tcPr>
            <w:tcW w:w="1605" w:type="dxa"/>
          </w:tcPr>
          <w:p w14:paraId="000008C6" w14:textId="77777777" w:rsidR="00AB1CF0" w:rsidRPr="00C0338D" w:rsidRDefault="00AB1CF0">
            <w:r w:rsidRPr="00C0338D">
              <w:t>Control, biological control</w:t>
            </w:r>
          </w:p>
        </w:tc>
        <w:tc>
          <w:tcPr>
            <w:tcW w:w="1155" w:type="dxa"/>
          </w:tcPr>
          <w:p w14:paraId="000008C7" w14:textId="77777777" w:rsidR="00AB1CF0" w:rsidRPr="00C0338D" w:rsidRDefault="00AB1CF0">
            <w:r w:rsidRPr="00C0338D">
              <w:t>Oceania</w:t>
            </w:r>
          </w:p>
        </w:tc>
        <w:tc>
          <w:tcPr>
            <w:tcW w:w="5085" w:type="dxa"/>
          </w:tcPr>
          <w:p w14:paraId="000008C8" w14:textId="44C344C5" w:rsidR="00AB1CF0" w:rsidRPr="00C0338D" w:rsidRDefault="00AB1CF0">
            <w:r w:rsidRPr="00AC1F76">
              <w:t xml:space="preserve">Correlative hydrological, ecological and epidemiological based spatio-temporal habitat suitability modelling to prioritize future areas for common carp biocontrol in Australia using the virus CyHV-3 </w:t>
            </w:r>
            <w:r w:rsidRPr="00AC1F76">
              <w:fldChar w:fldCharType="begin"/>
            </w:r>
            <w:r w:rsidR="000F35EB">
              <w:instrText xml:space="preserve"> ADDIN ZOTERO_ITEM CSL_CITATION {"citationID":"2ztlO7FN","properties":{"formattedCitation":"(K. Graham et al., 2021)","plainCitation":"(K. Graham et al., 2021)","noteIndex":0},"citationItems":[{"id":53153,"uris":["http://zotero.org/groups/2352922/items/2U9DH95P","http://zotero.org/groups/2352922/items/QGLGNGME"],"itemData":{"id":53153,"type":"article-journal","abstract":"Common carp (Cyprinus carpio) are an invasive species of the rivers and waterways of south-eastern Australia, implicated in the serious decline of many native fish species. Over the past 50 years a variety of control options have been explored, all of which to date have proved either ineffective or cost prohibitive. Most recently the use of cyprinid herpesvirus 3 (CyHV-3) has been proposed as a biocontrol agent, but to assess the risks and benefits of this, as well as to develop a strategy for the release of the virus, a knowledge of the fundamental processes driving carp distribution and abundance is required. To this end, we developed a novel process-based modelling framework that integrates expert opinion with spatio-temporal datasets via the construction of a Bayesian Network. The resulting weekly networks thus enabled an estimate of the habitat suitability for carp across a range of hydrological habitats in south-eastern Australia, covering five diverse catchment areas encompassing in total a drainage area of 132,129 km2 over a period of 17–27 years. This showed that while suitability for adult and subadult carp was medium-high across most habitats throughout the period, nevertheless the majority of habitats were poorly suited for the recruitment of larvae and young-of-year (YOY). Instead, high population abundance was confirmed to depend on a small number of recruitment hotspots which occur in years of favourable inundation. Quantification of the underlying ecological drivers of carp abundance thus makes possible detailed planning by focusing on critical weaknesses in the population biology of carp. More specifically, it permits the rational planning for population reduction using the biocontrol agent, CyHV-3, targeting areas where the total population density is above a “damage threshold” of approximately 100 kg/ha.","container-title":"Journal of Environmental Management","DOI":"10.1016/j.jenvman.2021.113061","ISSN":"0301-4797","journalAbbreviation":"Journal of Environmental Management","language":"en","page":"113061","source":"ScienceDirect","title":"Use of spatio-temporal habitat suitability modelling to prioritise areas for common carp biocontrol in Australia using the virus CyHV-3","URL":"https://www.sciencedirect.com/science/article/pii/S0301479721011233","volume":"295","author":[{"family":"Graham","given":"K."},{"family":"Gilligan","given":"D."},{"family":"Brown","given":"P."},{"family":"Klinken","given":"R. D.","non-dropping-particle":"van"},{"family":"McColl","given":"K. A."},{"family":"Durr","given":"P. A."}],"accessed":{"date-parts":[["2022",9,2]]},"issued":{"date-parts":[["2021",10,1]]}},"label":"page"}],"schema":"https://github.com/citation-style-language/schema/raw/master/csl-citation.json"} </w:instrText>
            </w:r>
            <w:r w:rsidRPr="00AC1F76">
              <w:fldChar w:fldCharType="separate"/>
            </w:r>
            <w:r w:rsidR="00271B78" w:rsidRPr="00271B78">
              <w:t>(K. Graham et al., 2021)</w:t>
            </w:r>
            <w:r w:rsidRPr="00AC1F76">
              <w:fldChar w:fldCharType="end"/>
            </w:r>
            <w:r w:rsidRPr="00AC1F76">
              <w:t>.</w:t>
            </w:r>
          </w:p>
        </w:tc>
      </w:tr>
      <w:tr w:rsidR="004A06AA" w14:paraId="71BD2002" w14:textId="77777777" w:rsidTr="006E74B6">
        <w:tc>
          <w:tcPr>
            <w:tcW w:w="1365" w:type="dxa"/>
            <w:vMerge w:val="restart"/>
          </w:tcPr>
          <w:p w14:paraId="15BFEA39" w14:textId="77777777" w:rsidR="004A06AA" w:rsidRPr="00C0338D" w:rsidRDefault="004A06AA" w:rsidP="00AB1CF0">
            <w:r w:rsidRPr="00C0338D">
              <w:t>Marine</w:t>
            </w:r>
          </w:p>
          <w:p w14:paraId="48885FBB" w14:textId="7E894AAB" w:rsidR="004A06AA" w:rsidRPr="00C0338D" w:rsidRDefault="004A06AA" w:rsidP="00AB1CF0">
            <w:r w:rsidRPr="00C0338D">
              <w:t xml:space="preserve"> </w:t>
            </w:r>
          </w:p>
        </w:tc>
        <w:tc>
          <w:tcPr>
            <w:tcW w:w="1605" w:type="dxa"/>
            <w:vMerge w:val="restart"/>
          </w:tcPr>
          <w:p w14:paraId="32CD76EE" w14:textId="74028AA3" w:rsidR="004A06AA" w:rsidRPr="00C0338D" w:rsidRDefault="004A06AA" w:rsidP="00AB1CF0">
            <w:r w:rsidRPr="00C0338D">
              <w:t>Prevention</w:t>
            </w:r>
          </w:p>
        </w:tc>
        <w:tc>
          <w:tcPr>
            <w:tcW w:w="1155" w:type="dxa"/>
          </w:tcPr>
          <w:p w14:paraId="0F5854D1" w14:textId="208D8D9F" w:rsidR="004A06AA" w:rsidRPr="00C0338D" w:rsidRDefault="004A06AA" w:rsidP="00AB1CF0">
            <w:r w:rsidRPr="00C0338D">
              <w:t>Europe and Central Asia</w:t>
            </w:r>
          </w:p>
        </w:tc>
        <w:tc>
          <w:tcPr>
            <w:tcW w:w="5085" w:type="dxa"/>
          </w:tcPr>
          <w:p w14:paraId="4ABA8CEC" w14:textId="1AB98A44" w:rsidR="004A06AA" w:rsidRPr="00AB1CF0" w:rsidRDefault="004A06AA" w:rsidP="00AB1CF0">
            <w:r w:rsidRPr="00837161">
              <w:rPr>
                <w:rFonts w:eastAsia="Times New Roman"/>
              </w:rPr>
              <w:t xml:space="preserve">Correlative age-base modelling and hydrodynamic models of surface flow are used to evaluate the risks of spreading of fish and invertebrates, associated with intentional or unintentional discharges of ballast water, and considering scenarios of dispersal (i.e., types spreading of groups of organisms) and connectivity </w:t>
            </w:r>
            <w:r w:rsidRPr="00837161">
              <w:rPr>
                <w:rFonts w:eastAsia="Times New Roman"/>
              </w:rPr>
              <w:fldChar w:fldCharType="begin"/>
            </w:r>
            <w:r>
              <w:rPr>
                <w:rFonts w:eastAsia="Times New Roman"/>
              </w:rPr>
              <w:instrText xml:space="preserve"> ADDIN ZOTERO_ITEM CSL_CITATION {"citationID":"v9bnwYTj","properties":{"formattedCitation":"(Hansen et al., 2015)","plainCitation":"(Hansen et al., 2015)","noteIndex":0},"citationItems":[{"id":53265,"uris":["http://zotero.org/groups/2352922/items/TTULBDCA"],"itemData":{"id":53265,"type":"article-journal","abstract":"Abstract\n            We report the development of a prototype tool for modeling the risks of spreading of non-indigenous invasive species via ballast water. The tool constitutes of two types of models: a 3D hydrodynamical model calculates the currents in the North Sea and Danish Straits, and an agent-based model estimates the dispersal of selected model organisms with the prevailing currents calculated by the 3D hydrodynamical model. The analysis is concluded by a postprocessing activity, where scenarios of dispersal are combined into an interim estimate of connectivity within the study area. The latter can be used for assessment of potential risk associated with intentional or unintentional discharges of ballast water. We discuss how this prototype tool can be used for ballast water risk management and outline other functions and uses, e.g., in regard to ecosystem-based management and the implementation of the EU Marine Strategy Framework Directive.","container-title":"WMU Journal of Maritime Affairs","DOI":"10.1007/s13437-014-0067-8","ISSN":"1651-436X, 1654-1642","issue":"2","journalAbbreviation":"WMU J Marit Affairs","language":"en","page":"219-245","source":"DOI.org (Crossref)","title":"Development of a prototype tool for ballast water risk management using a combination of hydrodynamic models and agent-based modeling","URL":"https://link.springer.com/10.1007/s13437-014-0067-8","volume":"14","author":[{"family":"Hansen","given":"Flemming T."},{"family":"Potthoff","given":"Michael"},{"family":"Uhrenholdt","given":"Thomas"},{"family":"Vo","given":"Hong D."},{"family":"Linden","given":"Olof"},{"family":"Andersen","given":"Jesper H."}],"accessed":{"date-parts":[["2022",9,2]]},"issued":{"date-parts":[["2015",10]]}},"label":"page"}],"schema":"https://github.com/citation-style-language/schema/raw/master/csl-citation.json"} </w:instrText>
            </w:r>
            <w:r w:rsidRPr="00837161">
              <w:rPr>
                <w:rFonts w:eastAsia="Times New Roman"/>
              </w:rPr>
              <w:fldChar w:fldCharType="separate"/>
            </w:r>
            <w:r w:rsidRPr="00271B78">
              <w:t>(Hansen et al., 2015)</w:t>
            </w:r>
            <w:r w:rsidRPr="00837161">
              <w:rPr>
                <w:rFonts w:eastAsia="Times New Roman"/>
              </w:rPr>
              <w:fldChar w:fldCharType="end"/>
            </w:r>
            <w:r w:rsidRPr="00837161">
              <w:rPr>
                <w:rFonts w:eastAsia="Times New Roman"/>
              </w:rPr>
              <w:t>.</w:t>
            </w:r>
          </w:p>
        </w:tc>
      </w:tr>
      <w:tr w:rsidR="004A06AA" w14:paraId="5B993D35" w14:textId="77777777" w:rsidTr="00E87F41">
        <w:tc>
          <w:tcPr>
            <w:tcW w:w="1365" w:type="dxa"/>
            <w:vMerge/>
            <w:vAlign w:val="center"/>
          </w:tcPr>
          <w:p w14:paraId="122E0CCF" w14:textId="77777777" w:rsidR="004A06AA" w:rsidRPr="00C0338D" w:rsidRDefault="004A06AA" w:rsidP="00AB1CF0"/>
        </w:tc>
        <w:tc>
          <w:tcPr>
            <w:tcW w:w="1605" w:type="dxa"/>
            <w:vMerge/>
          </w:tcPr>
          <w:p w14:paraId="0BAE1581" w14:textId="77777777" w:rsidR="004A06AA" w:rsidRPr="00C0338D" w:rsidRDefault="004A06AA" w:rsidP="00AB1CF0"/>
        </w:tc>
        <w:tc>
          <w:tcPr>
            <w:tcW w:w="1155" w:type="dxa"/>
          </w:tcPr>
          <w:p w14:paraId="307BA119" w14:textId="4F082FCF" w:rsidR="004A06AA" w:rsidRPr="00C0338D" w:rsidRDefault="004A06AA" w:rsidP="00AB1CF0">
            <w:r w:rsidRPr="00C0338D">
              <w:t>The Americas</w:t>
            </w:r>
          </w:p>
        </w:tc>
        <w:tc>
          <w:tcPr>
            <w:tcW w:w="5085" w:type="dxa"/>
          </w:tcPr>
          <w:p w14:paraId="11E00E82" w14:textId="55FD05FE" w:rsidR="004A06AA" w:rsidRPr="00AB1CF0" w:rsidRDefault="004A06AA" w:rsidP="00AB1CF0">
            <w:r w:rsidRPr="00C0338D">
              <w:t xml:space="preserve">A Bayesian network relative risk modelling is used to detect the areas of a coastal region at greatest risk of invasion. Risk reduction is evaluated under ballast water treatment scenarios considering a </w:t>
            </w:r>
            <w:r w:rsidRPr="00C0338D">
              <w:lastRenderedPageBreak/>
              <w:t xml:space="preserve">decrease in non-native species introductions or their removal after introduction </w:t>
            </w:r>
            <w:r w:rsidRPr="00837161">
              <w:rPr>
                <w:rFonts w:eastAsia="Times New Roman"/>
              </w:rPr>
              <w:fldChar w:fldCharType="begin"/>
            </w:r>
            <w:r>
              <w:rPr>
                <w:rFonts w:eastAsia="Times New Roman"/>
              </w:rPr>
              <w:instrText xml:space="preserve"> ADDIN ZOTERO_ITEM CSL_CITATION {"citationID":"nDRFVtze","properties":{"formattedCitation":"(Herring et al., 2015)","plainCitation":"(Herring et al., 2015)","noteIndex":0},"citationItems":[{"id":53264,"uris":["http://zotero.org/groups/2352922/items/6G24PJZE"],"itemData":{"id":53264,"type":"article-journal","container-title":"Integrated Environmental Assessment and Management","DOI":"10.1002/ieam.1643","ISSN":"15513777","issue":"4","journalAbbreviation":"Integr Environ Assess Manag","language":"en","page":"640-652","source":"DOI.org (Crossref)","title":"Evaluating nonindigenous species management in a Bayesian networks derived relative risk framework for Padilla Bay, WA, USA: Risk Assessment for Nonindigenous Species","title-short":"Evaluating nonindigenous species management in a Bayesian networks derived relative risk framework for Padilla Bay, WA, USA","URL":"https://onlinelibrary.wiley.com/doi/10.1002/ieam.1643","volume":"11","author":[{"family":"Herring","given":"Carlie E"},{"family":"Stinson","given":"Jonah"},{"family":"Landis","given":"Wayne G"}],"accessed":{"date-parts":[["2022",9,2]]},"issued":{"date-parts":[["2015",10]]}},"label":"page"}],"schema":"https://github.com/citation-style-language/schema/raw/master/csl-citation.json"} </w:instrText>
            </w:r>
            <w:r w:rsidRPr="00837161">
              <w:rPr>
                <w:rFonts w:eastAsia="Times New Roman"/>
              </w:rPr>
              <w:fldChar w:fldCharType="separate"/>
            </w:r>
            <w:r w:rsidRPr="00271B78">
              <w:t>(Herring et al., 2015)</w:t>
            </w:r>
            <w:r w:rsidRPr="00837161">
              <w:rPr>
                <w:rFonts w:eastAsia="Times New Roman"/>
              </w:rPr>
              <w:fldChar w:fldCharType="end"/>
            </w:r>
            <w:r w:rsidRPr="00837161">
              <w:rPr>
                <w:rFonts w:eastAsia="Times New Roman"/>
              </w:rPr>
              <w:t>.</w:t>
            </w:r>
          </w:p>
        </w:tc>
      </w:tr>
      <w:tr w:rsidR="00AB1CF0" w14:paraId="0F63090D" w14:textId="77777777" w:rsidTr="00E87F41">
        <w:tc>
          <w:tcPr>
            <w:tcW w:w="1365" w:type="dxa"/>
            <w:vMerge/>
            <w:vAlign w:val="center"/>
          </w:tcPr>
          <w:p w14:paraId="47FD82FA" w14:textId="77777777" w:rsidR="00AB1CF0" w:rsidRPr="00C0338D" w:rsidRDefault="00AB1CF0" w:rsidP="00AB1CF0"/>
        </w:tc>
        <w:tc>
          <w:tcPr>
            <w:tcW w:w="1605" w:type="dxa"/>
            <w:vMerge w:val="restart"/>
          </w:tcPr>
          <w:p w14:paraId="424E0AA6" w14:textId="77777777" w:rsidR="00AB1CF0" w:rsidRPr="00C0338D" w:rsidRDefault="00AB1CF0" w:rsidP="00AB1CF0">
            <w:r w:rsidRPr="00C0338D">
              <w:t>Eradication; Containment</w:t>
            </w:r>
          </w:p>
          <w:p w14:paraId="639678F9" w14:textId="77777777" w:rsidR="00AB1CF0" w:rsidRPr="00C0338D" w:rsidRDefault="00AB1CF0" w:rsidP="00AB1CF0"/>
        </w:tc>
        <w:tc>
          <w:tcPr>
            <w:tcW w:w="1155" w:type="dxa"/>
          </w:tcPr>
          <w:p w14:paraId="1EABE597" w14:textId="7A52E797" w:rsidR="00AB1CF0" w:rsidRPr="00C0338D" w:rsidRDefault="00AB1CF0" w:rsidP="00AB1CF0">
            <w:r w:rsidRPr="002F2F42">
              <w:rPr>
                <w:color w:val="000000" w:themeColor="text1"/>
              </w:rPr>
              <w:t>Not stated</w:t>
            </w:r>
          </w:p>
        </w:tc>
        <w:tc>
          <w:tcPr>
            <w:tcW w:w="5085" w:type="dxa"/>
          </w:tcPr>
          <w:p w14:paraId="4393925E" w14:textId="5B45246C" w:rsidR="00AB1CF0" w:rsidRPr="00C0338D" w:rsidRDefault="00AB1CF0" w:rsidP="00AB1CF0">
            <w:r w:rsidRPr="00837161">
              <w:rPr>
                <w:rFonts w:eastAsia="Times New Roman"/>
              </w:rPr>
              <w:t xml:space="preserve">Matrix models are used to explore the efficacy of possible control strategies by removal of crab individuals at critical stage ages and seasons </w:t>
            </w:r>
            <w:r w:rsidRPr="00837161">
              <w:rPr>
                <w:rFonts w:eastAsia="Times New Roman"/>
              </w:rPr>
              <w:fldChar w:fldCharType="begin"/>
            </w:r>
            <w:r w:rsidR="00CB1658">
              <w:rPr>
                <w:rFonts w:eastAsia="Times New Roman"/>
              </w:rPr>
              <w:instrText xml:space="preserve"> ADDIN ZOTERO_ITEM CSL_CITATION {"citationID":"4VfZXB2T","properties":{"formattedCitation":"(Z. Zhang et al., 2019)","plainCitation":"(Z. Zhang et al., 2019)","noteIndex":0},"citationItems":[{"id":53263,"uris":["http://zotero.org/groups/2352922/items/R26K4P96"],"itemData":{"id":53263,"type":"article-journal","container-title":"Journal of Crustacean Biology","DOI":"10.1093/jcbiol/ruy090","ISSN":"0278-0372, 1937-240X","issue":"1","language":"en","page":"28-35","source":"DOI.org (Crossref)","title":"A periodic matrix population model to predict growth potential of the invasive Chinese mitten crab &lt;i&gt;Eriocheir sinensis&lt;/i&gt; (H. Milne Edwards, 1853) (Decapoda: Brachyura: Varunidae)","title-short":"A periodic matrix population model to predict growth potential of the invasive Chinese mitten crab &lt;i&gt;Eriocheir sinensis&lt;/i&gt; (H. Milne Edwards, 1853) (Decapoda","URL":"https://academic.oup.com/jcb/article/39/1/28/5198792","volume":"39","author":[{"family":"Zhang","given":"Zhixin"},{"family":"Yokota","given":"Masashi"},{"family":"Strüssmann","given":"Carlos A"}],"accessed":{"date-parts":[["2022",9,2]]},"issued":{"date-parts":[["2019",2,18]]}},"label":"page"}],"schema":"https://github.com/citation-style-language/schema/raw/master/csl-citation.json"} </w:instrText>
            </w:r>
            <w:r w:rsidRPr="00837161">
              <w:rPr>
                <w:rFonts w:eastAsia="Times New Roman"/>
              </w:rPr>
              <w:fldChar w:fldCharType="separate"/>
            </w:r>
            <w:r w:rsidR="00271B78" w:rsidRPr="00271B78">
              <w:t>(Z. Zhang et al., 2019)</w:t>
            </w:r>
            <w:r w:rsidRPr="00837161">
              <w:rPr>
                <w:rFonts w:eastAsia="Times New Roman"/>
              </w:rPr>
              <w:fldChar w:fldCharType="end"/>
            </w:r>
            <w:r w:rsidRPr="00837161">
              <w:rPr>
                <w:rFonts w:eastAsia="Times New Roman"/>
              </w:rPr>
              <w:t>.</w:t>
            </w:r>
          </w:p>
        </w:tc>
      </w:tr>
      <w:tr w:rsidR="00AB1CF0" w14:paraId="31126B9E" w14:textId="77777777" w:rsidTr="00E87F41">
        <w:tc>
          <w:tcPr>
            <w:tcW w:w="1365" w:type="dxa"/>
            <w:vMerge/>
            <w:vAlign w:val="center"/>
          </w:tcPr>
          <w:p w14:paraId="7C249762" w14:textId="77777777" w:rsidR="00AB1CF0" w:rsidRPr="00C0338D" w:rsidRDefault="00AB1CF0" w:rsidP="00AB1CF0"/>
        </w:tc>
        <w:tc>
          <w:tcPr>
            <w:tcW w:w="1605" w:type="dxa"/>
            <w:vMerge/>
          </w:tcPr>
          <w:p w14:paraId="22D07574" w14:textId="77777777" w:rsidR="00AB1CF0" w:rsidRPr="00C0338D" w:rsidRDefault="00AB1CF0" w:rsidP="00AB1CF0"/>
        </w:tc>
        <w:tc>
          <w:tcPr>
            <w:tcW w:w="1155" w:type="dxa"/>
          </w:tcPr>
          <w:p w14:paraId="32369784" w14:textId="58C1812E" w:rsidR="00AB1CF0" w:rsidRPr="00C0338D" w:rsidRDefault="00AB1CF0" w:rsidP="00AB1CF0">
            <w:r w:rsidRPr="00C0338D">
              <w:t>The Americas</w:t>
            </w:r>
          </w:p>
        </w:tc>
        <w:tc>
          <w:tcPr>
            <w:tcW w:w="5085" w:type="dxa"/>
          </w:tcPr>
          <w:p w14:paraId="735F7B84" w14:textId="5B405D41" w:rsidR="00AB1CF0" w:rsidRPr="00C0338D" w:rsidRDefault="00AB1CF0" w:rsidP="00AB1CF0">
            <w:r w:rsidRPr="00C0338D">
              <w:t xml:space="preserve">Correlative models are used to evaluate the success of various fishermen harvest scenarios as control strategies, different levels of interaction complexity among the biotic and abiotic components of the ecosystem and restoration programmes of native species </w:t>
            </w:r>
            <w:r w:rsidRPr="00837161">
              <w:rPr>
                <w:rFonts w:eastAsia="Times New Roman"/>
              </w:rPr>
              <w:fldChar w:fldCharType="begin"/>
            </w:r>
            <w:r w:rsidR="000F35EB">
              <w:rPr>
                <w:rFonts w:eastAsia="Times New Roman"/>
              </w:rPr>
              <w:instrText xml:space="preserve"> ADDIN ZOTERO_ITEM CSL_CITATION {"citationID":"WZuQL4Dz","properties":{"formattedCitation":"(Ortiz et al., 2015)","plainCitation":"(Ortiz et al., 2015)","noteIndex":0},"citationItems":[{"id":53262,"uris":["http://zotero.org/groups/2352922/items/GL3BDTGF","http://zotero.org/groups/2352922/items/GT6NCY9U"],"itemData":{"id":53262,"type":"article-journal","container-title":"PLoS ONE","DOI":"10.1371/journal.pone.0130261","ISSN":"1932-6203","issue":"6","journalAbbreviation":"PLoS ONE","language":"en","page":"e0130261","source":"DOI.org (Crossref)","title":"Control Strategy Scenarios for the Alien Lionfish &lt;i&gt;Pterois volitans&lt;/i&gt; in Chinchorro Bank (Mexican Caribbean): Based on Semi-Quantitative Loop Analysis","title-short":"Control Strategy Scenarios for the Alien Lionfish Pterois volitans in Chinchorro Bank (Mexican Caribbean)","URL":"https://dx.plos.org/10.1371/journal.pone.0130261","volume":"10","author":[{"family":"Ortiz","given":"Marco"},{"family":"Rodriguez-Zaragoza","given":"Fabián"},{"family":"Hermosillo-Nuñez","given":"Brenda"},{"family":"Jordán","given":"Ferenc"}],"editor":[{"family":"Valentine","given":"John F."}],"accessed":{"date-parts":[["2022",9,2]]},"issued":{"date-parts":[["2015",6,26]]}},"label":"page"}],"schema":"https://github.com/citation-style-language/schema/raw/master/csl-citation.json"} </w:instrText>
            </w:r>
            <w:r w:rsidRPr="00837161">
              <w:rPr>
                <w:rFonts w:eastAsia="Times New Roman"/>
              </w:rPr>
              <w:fldChar w:fldCharType="separate"/>
            </w:r>
            <w:r w:rsidR="00271B78" w:rsidRPr="00271B78">
              <w:t>(Ortiz et al., 2015)</w:t>
            </w:r>
            <w:r w:rsidRPr="00837161">
              <w:rPr>
                <w:rFonts w:eastAsia="Times New Roman"/>
              </w:rPr>
              <w:fldChar w:fldCharType="end"/>
            </w:r>
            <w:r w:rsidRPr="00837161">
              <w:rPr>
                <w:rFonts w:eastAsia="Times New Roman"/>
              </w:rPr>
              <w:t>.</w:t>
            </w:r>
          </w:p>
        </w:tc>
      </w:tr>
      <w:tr w:rsidR="00AB1CF0" w14:paraId="05C107AB" w14:textId="77777777" w:rsidTr="00E87F41">
        <w:tc>
          <w:tcPr>
            <w:tcW w:w="1365" w:type="dxa"/>
            <w:vMerge/>
            <w:vAlign w:val="center"/>
          </w:tcPr>
          <w:p w14:paraId="79423CCF" w14:textId="77777777" w:rsidR="00AB1CF0" w:rsidRPr="00C0338D" w:rsidRDefault="00AB1CF0" w:rsidP="00AB1CF0"/>
        </w:tc>
        <w:tc>
          <w:tcPr>
            <w:tcW w:w="1605" w:type="dxa"/>
            <w:vMerge/>
          </w:tcPr>
          <w:p w14:paraId="7D23D645" w14:textId="77777777" w:rsidR="00AB1CF0" w:rsidRPr="00C0338D" w:rsidRDefault="00AB1CF0" w:rsidP="00AB1CF0"/>
        </w:tc>
        <w:tc>
          <w:tcPr>
            <w:tcW w:w="1155" w:type="dxa"/>
          </w:tcPr>
          <w:p w14:paraId="62E005AF" w14:textId="5C9D6E5E" w:rsidR="00AB1CF0" w:rsidRPr="00C0338D" w:rsidRDefault="00AB1CF0" w:rsidP="00AB1CF0">
            <w:r w:rsidRPr="00C0338D">
              <w:t>Asia and the Pacific</w:t>
            </w:r>
          </w:p>
        </w:tc>
        <w:tc>
          <w:tcPr>
            <w:tcW w:w="5085" w:type="dxa"/>
          </w:tcPr>
          <w:p w14:paraId="4746E4B6" w14:textId="7C4C6176" w:rsidR="00AB1CF0" w:rsidRPr="00C0338D" w:rsidRDefault="00AB1CF0" w:rsidP="00AB1CF0">
            <w:r w:rsidRPr="00C0338D">
              <w:t xml:space="preserve">Process-based spread models are used to forecast areas of potential arrival of invasive crabs through different pathways. These models are complemented with quarantine scenarios preventing transport of crabs by vessels and estimated delayed times of arrival are estimated for areas with greater risk </w:t>
            </w:r>
            <w:r w:rsidRPr="00837161">
              <w:rPr>
                <w:rFonts w:eastAsia="Times New Roman"/>
              </w:rPr>
              <w:fldChar w:fldCharType="begin"/>
            </w:r>
            <w:r w:rsidR="000F35EB">
              <w:rPr>
                <w:rFonts w:eastAsia="Times New Roman"/>
              </w:rPr>
              <w:instrText xml:space="preserve"> ADDIN ZOTERO_ITEM CSL_CITATION {"citationID":"fnvaU5fK","properties":{"formattedCitation":"(Koike &amp; Iwasaki, 2011)","plainCitation":"(Koike &amp; Iwasaki, 2011)","noteIndex":0},"citationItems":[{"id":53261,"uris":["http://zotero.org/groups/2352922/items/UV3T6XPU"],"itemData":{"id":53261,"type":"article-journal","container-title":"Biological Invasions","DOI":"10.1007/s10530-010-9841-5","ISSN":"1387-3547, 1573-1464","issue":"2","journalAbbreviation":"Biol Invasions","language":"en","page":"459-470","source":"DOI.org (Crossref)","title":"A simple range expansion model of multiple pathways: the case of nonindigenous green crab &lt;i&gt;Carcinus aestuarii&lt;/i&gt; in Japanese waters","title-short":"A simple range expansion model of multiple pathways","URL":"http://link.springer.com/10.1007/s10530-010-9841-5","volume":"13","author":[{"family":"Koike","given":"Fumito"},{"family":"Iwasaki","given":"Keiji"}],"accessed":{"date-parts":[["2022",9,2]]},"issued":{"date-parts":[["2011",2]]}},"label":"page"}],"schema":"https://github.com/citation-style-language/schema/raw/master/csl-citation.json"} </w:instrText>
            </w:r>
            <w:r w:rsidRPr="00837161">
              <w:rPr>
                <w:rFonts w:eastAsia="Times New Roman"/>
              </w:rPr>
              <w:fldChar w:fldCharType="separate"/>
            </w:r>
            <w:r w:rsidR="00271B78" w:rsidRPr="00271B78">
              <w:t>(Koike &amp; Iwasaki, 2011)</w:t>
            </w:r>
            <w:r w:rsidRPr="00837161">
              <w:rPr>
                <w:rFonts w:eastAsia="Times New Roman"/>
              </w:rPr>
              <w:fldChar w:fldCharType="end"/>
            </w:r>
            <w:r w:rsidRPr="00837161">
              <w:rPr>
                <w:rFonts w:eastAsia="Times New Roman"/>
              </w:rPr>
              <w:t>.</w:t>
            </w:r>
          </w:p>
        </w:tc>
      </w:tr>
    </w:tbl>
    <w:p w14:paraId="000008E0" w14:textId="77777777" w:rsidR="00A758FD" w:rsidRPr="00C0338D" w:rsidRDefault="00A758FD"/>
    <w:p w14:paraId="000008E1" w14:textId="77777777" w:rsidR="00A758FD" w:rsidRPr="002F2F42" w:rsidRDefault="00C81287" w:rsidP="002F2F42">
      <w:pPr>
        <w:pStyle w:val="Heading3"/>
      </w:pPr>
      <w:bookmarkStart w:id="712" w:name="_heading=h.3pp52gy" w:colFirst="0" w:colLast="0"/>
      <w:bookmarkStart w:id="713" w:name="_Toc69314047"/>
      <w:bookmarkStart w:id="714" w:name="_Toc87623182"/>
      <w:bookmarkStart w:id="715" w:name="_Toc131681680"/>
      <w:bookmarkEnd w:id="712"/>
      <w:r w:rsidRPr="002F2F42">
        <w:t>Biosecurity policy built on prevention</w:t>
      </w:r>
      <w:bookmarkEnd w:id="713"/>
      <w:r w:rsidRPr="002F2F42">
        <w:t xml:space="preserve"> and preparedness</w:t>
      </w:r>
      <w:bookmarkEnd w:id="714"/>
      <w:bookmarkEnd w:id="715"/>
    </w:p>
    <w:p w14:paraId="000008E4" w14:textId="0D6912D1" w:rsidR="00A758FD" w:rsidRPr="002F2F42" w:rsidRDefault="00C81287" w:rsidP="00AC1F76">
      <w:pPr>
        <w:spacing w:before="240" w:after="120" w:line="240" w:lineRule="auto"/>
      </w:pPr>
      <w:bookmarkStart w:id="716" w:name="_heading=h.24ufcor" w:colFirst="0" w:colLast="0"/>
      <w:bookmarkStart w:id="717" w:name="_Hlk69148194"/>
      <w:bookmarkEnd w:id="716"/>
      <w:r w:rsidRPr="00C0338D">
        <w:t xml:space="preserve">The cost-effectiveness of investing in prevention (e.g., pathway management) to thwart introduction and establishment of invasive alien species has been emphasized in this chapter. However, absolute prevention is not always possible and cannot be expected to be successful in all circumstances. It is also difficult to prove that preventative measures are effective, especially when the pathways are diverse and complex. Prevention is therefore best complemented by preparedness, by ensuring that the government, industry and the community are ready when new threats are intercepted, become established and start to spread (e.g., </w:t>
      </w:r>
      <w:r w:rsidR="004A7D79" w:rsidRPr="00837161">
        <w:rPr>
          <w:lang w:eastAsia="en-ZA"/>
        </w:rPr>
        <w:fldChar w:fldCharType="begin"/>
      </w:r>
      <w:r w:rsidR="000F35EB">
        <w:rPr>
          <w:lang w:eastAsia="en-ZA"/>
        </w:rPr>
        <w:instrText xml:space="preserve"> ADDIN ZOTERO_ITEM CSL_CITATION {"citationID":"XZctljFE","properties":{"formattedCitation":"(Bacon et al., 2012)","plainCitation":"(Bacon et al., 2012)","dontUpdate":true,"noteIndex":0},"citationItems":[{"id":53260,"uris":["http://zotero.org/groups/2352922/items/XCPGUY6S","http://zotero.org/groups/2352922/items/6U7RAZTP"],"itemData":{"id":53260,"type":"article-journal","container-title":"PLoS ONE","DOI":"10.1371/journal.pone.0047689","ISSN":"1932-6203","issue":"10","journalAbbreviation":"PLoS ONE","language":"en","page":"e47689","source":"DOI.org (Crossref)","title":"Gaps in Border Controls Are Related to Quarantine Alien Insect Invasions in Europe","URL":"https://dx.plos.org/10.1371/journal.pone.0047689","volume":"7","author":[{"family":"Bacon","given":"Steven James"},{"family":"Bacher","given":"Sven"},{"family":"Aebi","given":"Alexandre"}],"editor":[{"family":"Gibb","given":"Heloise"}],"accessed":{"date-parts":[["2022",9,2]]},"issued":{"date-parts":[["2012",10,24]]}},"label":"page"}],"schema":"https://github.com/citation-style-language/schema/raw/master/csl-citation.json"} </w:instrText>
      </w:r>
      <w:r w:rsidR="004A7D79" w:rsidRPr="00837161">
        <w:rPr>
          <w:lang w:eastAsia="en-ZA"/>
        </w:rPr>
        <w:fldChar w:fldCharType="separate"/>
      </w:r>
      <w:r w:rsidR="00304EEA" w:rsidRPr="00837161">
        <w:t>Bacon et al., 2012)</w:t>
      </w:r>
      <w:r w:rsidR="004A7D79" w:rsidRPr="00837161">
        <w:rPr>
          <w:lang w:eastAsia="en-ZA"/>
        </w:rPr>
        <w:fldChar w:fldCharType="end"/>
      </w:r>
      <w:r w:rsidR="00383764" w:rsidRPr="00837161">
        <w:rPr>
          <w:lang w:eastAsia="en-ZA"/>
        </w:rPr>
        <w:t xml:space="preserve">. Therefore, while preventive measures and biosecurity are essential components of a management strategy, </w:t>
      </w:r>
      <w:bookmarkStart w:id="718" w:name="_Hlk69147404"/>
      <w:r w:rsidR="00383764" w:rsidRPr="00837161">
        <w:rPr>
          <w:lang w:eastAsia="en-ZA"/>
        </w:rPr>
        <w:t xml:space="preserve">best practice includes investment </w:t>
      </w:r>
      <w:bookmarkEnd w:id="718"/>
      <w:r w:rsidR="00383764" w:rsidRPr="00837161">
        <w:rPr>
          <w:lang w:eastAsia="en-ZA"/>
        </w:rPr>
        <w:t xml:space="preserve">in preparedness </w:t>
      </w:r>
      <w:r w:rsidR="00197924" w:rsidRPr="00837161">
        <w:rPr>
          <w:lang w:eastAsia="en-ZA"/>
        </w:rPr>
        <w:t>(</w:t>
      </w:r>
      <w:r w:rsidR="00383764" w:rsidRPr="00B02AB7">
        <w:rPr>
          <w:b/>
          <w:iCs/>
          <w:lang w:eastAsia="en-ZA"/>
        </w:rPr>
        <w:t>section 5.4.</w:t>
      </w:r>
      <w:r w:rsidR="00D66E1A" w:rsidRPr="00B02AB7">
        <w:rPr>
          <w:b/>
          <w:iCs/>
          <w:lang w:eastAsia="en-ZA"/>
        </w:rPr>
        <w:t>2</w:t>
      </w:r>
      <w:r w:rsidR="00383764" w:rsidRPr="00837161">
        <w:rPr>
          <w:lang w:eastAsia="en-ZA"/>
        </w:rPr>
        <w:t>).</w:t>
      </w:r>
      <w:r w:rsidRPr="00C0338D">
        <w:t xml:space="preserve"> Well-developed biosecurity systems in island </w:t>
      </w:r>
      <w:r w:rsidR="004334BD">
        <w:t>lead to the</w:t>
      </w:r>
      <w:r w:rsidRPr="00C0338D">
        <w:t xml:space="preserve"> intercept</w:t>
      </w:r>
      <w:r w:rsidR="004334BD">
        <w:t>ion of</w:t>
      </w:r>
      <w:r w:rsidRPr="00C0338D">
        <w:t xml:space="preserve"> large numbers of potentially invasive alien species, which significantly reduce</w:t>
      </w:r>
      <w:r w:rsidR="004334BD">
        <w:t>s</w:t>
      </w:r>
      <w:r w:rsidRPr="00C0338D">
        <w:t xml:space="preserve"> the rates of new introductions (in the case of Australasia exponential introduction rates have been reduced to linear introduction rates; </w:t>
      </w:r>
      <w:r w:rsidR="004A7D79" w:rsidRPr="00837161">
        <w:rPr>
          <w:lang w:eastAsia="en-ZA"/>
        </w:rPr>
        <w:fldChar w:fldCharType="begin"/>
      </w:r>
      <w:r w:rsidR="000F35EB">
        <w:rPr>
          <w:lang w:eastAsia="en-ZA"/>
        </w:rPr>
        <w:instrText xml:space="preserve"> ADDIN ZOTERO_ITEM CSL_CITATION {"citationID":"gEIcZOHS","properties":{"formattedCitation":"(CSIRO, 2020)","plainCitation":"(CSIRO, 2020)","dontUpdate":true,"noteIndex":0},"citationItems":[{"id":10075,"uris":["http://zotero.org/groups/2352922/items/RMH2KB4V"],"itemData":{"id":10075,"type":"report","event-place":"Australia","page":"48","publisher":"Commonwealth Scientific and Industrial Research Organisation","publisher-place":"Australia","title":"Australia’s Biosecurity Future. Unlocking the next decade of resilience (2020–2030)","URL":"https://www.csiro.au/-/media/Do-Business/Files/Futures/Biosecurity/20-00277_SER-FUT_REPORT_BiosecurityFutures_WEB_201028.pdf","author":[{"literal":"CSIRO"}],"issued":{"date-parts":[["2020"]]}},"label":"page"}],"schema":"https://github.com/citation-style-language/schema/raw/master/csl-citation.json"} </w:instrText>
      </w:r>
      <w:r w:rsidR="004A7D79" w:rsidRPr="00837161">
        <w:rPr>
          <w:lang w:eastAsia="en-ZA"/>
        </w:rPr>
        <w:fldChar w:fldCharType="separate"/>
      </w:r>
      <w:r w:rsidR="00304EEA" w:rsidRPr="00837161">
        <w:t>CSIRO, 2020)</w:t>
      </w:r>
      <w:r w:rsidR="004A7D79" w:rsidRPr="00837161">
        <w:rPr>
          <w:lang w:eastAsia="en-ZA"/>
        </w:rPr>
        <w:fldChar w:fldCharType="end"/>
      </w:r>
      <w:r w:rsidR="00383764" w:rsidRPr="00837161">
        <w:rPr>
          <w:lang w:eastAsia="en-ZA"/>
        </w:rPr>
        <w:t>. New introductions are inevitable in any system, but preparedness and associated rapid response strategies help suppress impacts (</w:t>
      </w:r>
      <w:r w:rsidR="00383764" w:rsidRPr="00B02AB7">
        <w:rPr>
          <w:b/>
          <w:iCs/>
          <w:lang w:eastAsia="en-ZA"/>
        </w:rPr>
        <w:t>Box 5.2</w:t>
      </w:r>
      <w:r w:rsidR="00383764" w:rsidRPr="00837161">
        <w:rPr>
          <w:lang w:eastAsia="en-ZA"/>
        </w:rPr>
        <w:t xml:space="preserve">). In this context, the Australian biosecurity system has recently been forward valued at </w:t>
      </w:r>
      <w:r w:rsidR="00872404" w:rsidRPr="00837161">
        <w:rPr>
          <w:lang w:eastAsia="en-ZA"/>
        </w:rPr>
        <w:t xml:space="preserve">AU$ </w:t>
      </w:r>
      <w:r w:rsidR="00383764" w:rsidRPr="00837161">
        <w:rPr>
          <w:lang w:eastAsia="en-ZA"/>
        </w:rPr>
        <w:t xml:space="preserve">314 billion over the next 50 years, suggesting significant benefits </w:t>
      </w:r>
      <w:r w:rsidR="00383764" w:rsidRPr="00837161">
        <w:rPr>
          <w:lang w:eastAsia="en-ZA"/>
        </w:rPr>
        <w:fldChar w:fldCharType="begin"/>
      </w:r>
      <w:r w:rsidR="000F35EB">
        <w:rPr>
          <w:lang w:eastAsia="en-ZA"/>
        </w:rPr>
        <w:instrText xml:space="preserve"> ADDIN ZOTERO_ITEM CSL_CITATION {"citationID":"hBUoorGB","properties":{"formattedCitation":"(Dodd et al., 2020)","plainCitation":"(Dodd et al., 2020)","noteIndex":0},"citationItems":[{"id":10077,"uris":["http://zotero.org/groups/2352922/items/TLCV5P6K"],"itemData":{"id":10077,"type":"report","language":"en","number":"CEBRA Project 170713","page":"41","publisher":"Centre of Excellence for Biosecurity Risk Analysis","source":"Zotero","title":"Key Result Summary: Valuing Australia’s Biosecurity System","URL":"https://cebra.unimelb.edu.au/__data/assets/pdf_file/0020/3535013/CEBRA_Value_Docs_KeyResultSummary_v0.6_Endorsed.pdf","author":[{"family":"Dodd","given":"Aaron"},{"family":"Stoeckl","given":"Natalie"},{"family":"Baumgartner","given":"John"},{"family":"Kompas","given":"Tom"}],"issued":{"date-parts":[["2020"]]}},"label":"page"}],"schema":"https://github.com/citation-style-language/schema/raw/master/csl-citation.json"} </w:instrText>
      </w:r>
      <w:r w:rsidR="00383764" w:rsidRPr="00837161">
        <w:rPr>
          <w:lang w:eastAsia="en-ZA"/>
        </w:rPr>
        <w:fldChar w:fldCharType="separate"/>
      </w:r>
      <w:r w:rsidR="00271B78" w:rsidRPr="00271B78">
        <w:t>(Dodd et al., 2020)</w:t>
      </w:r>
      <w:r w:rsidR="00383764" w:rsidRPr="00837161">
        <w:rPr>
          <w:lang w:eastAsia="en-ZA"/>
        </w:rPr>
        <w:fldChar w:fldCharType="end"/>
      </w:r>
      <w:r w:rsidR="00383764" w:rsidRPr="00837161">
        <w:rPr>
          <w:lang w:eastAsia="en-ZA"/>
        </w:rPr>
        <w:t>.</w:t>
      </w:r>
      <w:bookmarkEnd w:id="717"/>
    </w:p>
    <w:p w14:paraId="000008E5" w14:textId="77777777" w:rsidR="00A758FD" w:rsidRPr="00C0338D" w:rsidRDefault="00C81287" w:rsidP="002F2F42">
      <w:pPr>
        <w:pStyle w:val="Heading1"/>
      </w:pPr>
      <w:bookmarkStart w:id="719" w:name="_Toc146810127"/>
      <w:bookmarkStart w:id="720" w:name="_Toc87623184"/>
      <w:bookmarkStart w:id="721" w:name="_Toc131681681"/>
      <w:bookmarkStart w:id="722" w:name="_Toc149555492"/>
      <w:r w:rsidRPr="00C0338D">
        <w:t>Conclusions</w:t>
      </w:r>
      <w:bookmarkEnd w:id="719"/>
      <w:bookmarkEnd w:id="720"/>
      <w:bookmarkEnd w:id="721"/>
      <w:bookmarkEnd w:id="722"/>
      <w:r w:rsidRPr="00C0338D">
        <w:t xml:space="preserve"> </w:t>
      </w:r>
    </w:p>
    <w:p w14:paraId="000008E6" w14:textId="0947D3BF" w:rsidR="00A758FD" w:rsidRPr="00C0338D" w:rsidRDefault="004334BD">
      <w:pPr>
        <w:spacing w:before="240" w:after="120" w:line="240" w:lineRule="auto"/>
      </w:pPr>
      <w:r>
        <w:t xml:space="preserve">Chapter 5 </w:t>
      </w:r>
      <w:r w:rsidR="00C81287" w:rsidRPr="00C0338D">
        <w:t>review</w:t>
      </w:r>
      <w:r>
        <w:t>s</w:t>
      </w:r>
      <w:r w:rsidR="00C81287" w:rsidRPr="00C0338D">
        <w:t xml:space="preserve"> and assess</w:t>
      </w:r>
      <w:r>
        <w:t>es</w:t>
      </w:r>
      <w:r w:rsidR="00C81287" w:rsidRPr="00C0338D">
        <w:t xml:space="preserve"> the efficacy of various approaches, programmes and tools, to prevent </w:t>
      </w:r>
      <w:r w:rsidR="420DC76C">
        <w:t xml:space="preserve">biological invasions </w:t>
      </w:r>
      <w:r w:rsidR="5A7C5823" w:rsidRPr="00C0338D">
        <w:t>and manage</w:t>
      </w:r>
      <w:r w:rsidR="4B77B18E" w:rsidRPr="00C0338D">
        <w:t xml:space="preserve"> </w:t>
      </w:r>
      <w:r w:rsidR="00C81287" w:rsidRPr="00C0338D">
        <w:t xml:space="preserve">invasive alien species and their negative impacts on biodiversity, threatened and endangered species and communities, sociological and economic systems and nature’s contributions to people. The chapter focuses on identifying solutions to manage these impacts across ecosystems, species and regions. To do so, the generalized invasion management continuum or invasion curve </w:t>
      </w:r>
      <w:r w:rsidR="54772749" w:rsidRPr="00837161">
        <w:t>(</w:t>
      </w:r>
      <w:r w:rsidR="00191A6E">
        <w:rPr>
          <w:b/>
          <w:iCs/>
        </w:rPr>
        <w:t>Figure 5.1</w:t>
      </w:r>
      <w:r w:rsidR="54772749" w:rsidRPr="00837161">
        <w:t>)</w:t>
      </w:r>
      <w:r w:rsidR="00C81287" w:rsidRPr="00C0338D">
        <w:t xml:space="preserve"> </w:t>
      </w:r>
      <w:r>
        <w:t xml:space="preserve">was used </w:t>
      </w:r>
      <w:r w:rsidR="00C81287" w:rsidRPr="00C0338D">
        <w:t xml:space="preserve">to illustrate the progression of </w:t>
      </w:r>
      <w:r w:rsidR="00C81287" w:rsidRPr="00C0338D">
        <w:lastRenderedPageBreak/>
        <w:t>invasion from pre-introduction to widespread invasion. Th</w:t>
      </w:r>
      <w:r>
        <w:t>is</w:t>
      </w:r>
      <w:r w:rsidR="00C81287" w:rsidRPr="00C0338D">
        <w:t xml:space="preserve"> figure also provides insights into potential management actions at different phases of invasion. </w:t>
      </w:r>
    </w:p>
    <w:p w14:paraId="000008E7" w14:textId="672677DB" w:rsidR="00A758FD" w:rsidRPr="00C0338D" w:rsidRDefault="00C81287">
      <w:pPr>
        <w:spacing w:before="240" w:after="120" w:line="240" w:lineRule="auto"/>
      </w:pPr>
      <w:r w:rsidRPr="00C0338D">
        <w:t xml:space="preserve">The chapter provides evidence that a large body of knowledge and experience already exists for the development and successful implementation of suitable </w:t>
      </w:r>
      <w:r w:rsidR="3787FE46">
        <w:t>biological invasion</w:t>
      </w:r>
      <w:r w:rsidR="00AB1CF0">
        <w:t xml:space="preserve"> </w:t>
      </w:r>
      <w:r>
        <w:t>management</w:t>
      </w:r>
      <w:r w:rsidRPr="00C0338D">
        <w:t xml:space="preserve"> plans at the local, regional and national levels (</w:t>
      </w:r>
      <w:r w:rsidRPr="00C0338D">
        <w:rPr>
          <w:b/>
        </w:rPr>
        <w:t>sections 5.2</w:t>
      </w:r>
      <w:r w:rsidRPr="00C0338D">
        <w:t>,</w:t>
      </w:r>
      <w:r w:rsidRPr="00C0338D">
        <w:rPr>
          <w:b/>
        </w:rPr>
        <w:t xml:space="preserve"> 5.6.3</w:t>
      </w:r>
      <w:r w:rsidRPr="00C0338D">
        <w:t>). Th</w:t>
      </w:r>
      <w:r w:rsidR="004334BD">
        <w:t>ese management plans</w:t>
      </w:r>
      <w:r w:rsidRPr="00C0338D">
        <w:t xml:space="preserve"> rel</w:t>
      </w:r>
      <w:r w:rsidR="004334BD">
        <w:t>y</w:t>
      </w:r>
      <w:r w:rsidRPr="00C0338D">
        <w:t xml:space="preserve"> on active engagement and knowledge-sharing of broad stakeholder groups and Indigenous Peoples and local communities in goal</w:t>
      </w:r>
      <w:r w:rsidR="004334BD">
        <w:t>-</w:t>
      </w:r>
      <w:r w:rsidRPr="00C0338D">
        <w:t xml:space="preserve">setting, decision-making and intervention through management actions. Since invasive alien species is a human concept, management of these species may </w:t>
      </w:r>
      <w:r w:rsidR="004334BD">
        <w:t>cause</w:t>
      </w:r>
      <w:r w:rsidR="004334BD" w:rsidRPr="00C0338D">
        <w:t xml:space="preserve"> </w:t>
      </w:r>
      <w:r w:rsidRPr="00C0338D">
        <w:t>conflicting values, interests and perceptions for different stakeholders and Indigenous Peoples and local communities (</w:t>
      </w:r>
      <w:r w:rsidRPr="00C0338D">
        <w:rPr>
          <w:b/>
        </w:rPr>
        <w:t>section 5.1.3</w:t>
      </w:r>
      <w:r w:rsidRPr="00C0338D">
        <w:t xml:space="preserve">). </w:t>
      </w:r>
    </w:p>
    <w:p w14:paraId="000008E8" w14:textId="6848A3AB" w:rsidR="00A758FD" w:rsidRPr="00C0338D" w:rsidRDefault="00C81287">
      <w:pPr>
        <w:spacing w:before="240" w:after="120" w:line="240" w:lineRule="auto"/>
      </w:pPr>
      <w:r w:rsidRPr="00C0338D">
        <w:t xml:space="preserve">Explicit decision-making </w:t>
      </w:r>
      <w:r w:rsidR="004334BD">
        <w:t>for the</w:t>
      </w:r>
      <w:r w:rsidR="004334BD" w:rsidRPr="00C0338D">
        <w:t xml:space="preserve"> </w:t>
      </w:r>
      <w:r w:rsidRPr="00C0338D">
        <w:t>management</w:t>
      </w:r>
      <w:r w:rsidR="62850E0F">
        <w:t xml:space="preserve"> of biological invasions</w:t>
      </w:r>
      <w:r w:rsidRPr="00C0338D">
        <w:t xml:space="preserve"> is transparent, adaptable, repeatable and ensures stakeholder participation, education and endorsement of management choices (</w:t>
      </w:r>
      <w:r w:rsidRPr="00C0338D">
        <w:rPr>
          <w:b/>
        </w:rPr>
        <w:t>sections 5.2</w:t>
      </w:r>
      <w:r w:rsidRPr="00C0338D">
        <w:t xml:space="preserve">, </w:t>
      </w:r>
      <w:r w:rsidRPr="00C0338D">
        <w:rPr>
          <w:b/>
        </w:rPr>
        <w:t>5.6.2</w:t>
      </w:r>
      <w:r w:rsidRPr="00C0338D">
        <w:t xml:space="preserve">; </w:t>
      </w:r>
      <w:r w:rsidR="00191A6E">
        <w:rPr>
          <w:b/>
        </w:rPr>
        <w:t>C</w:t>
      </w:r>
      <w:r w:rsidRPr="00C0338D">
        <w:rPr>
          <w:b/>
        </w:rPr>
        <w:t>hapter 6</w:t>
      </w:r>
      <w:r w:rsidRPr="00C0338D">
        <w:t xml:space="preserve">, </w:t>
      </w:r>
      <w:r w:rsidRPr="00C0338D">
        <w:rPr>
          <w:b/>
        </w:rPr>
        <w:t>section 6.2</w:t>
      </w:r>
      <w:r w:rsidRPr="00C0338D">
        <w:t>). This chapter has presented a range of decision</w:t>
      </w:r>
      <w:r w:rsidR="00A91F9F">
        <w:t>-</w:t>
      </w:r>
      <w:r w:rsidRPr="00C0338D">
        <w:t>support tools available for the identification of hazards, the prioritization of pathways, species and sites, the choice of the best management option and the evaluation of progress to achieve the desired outcomes (</w:t>
      </w:r>
      <w:r w:rsidRPr="00C0338D">
        <w:rPr>
          <w:b/>
        </w:rPr>
        <w:t>section 5.2.2</w:t>
      </w:r>
      <w:r w:rsidRPr="00C0338D">
        <w:t>,</w:t>
      </w:r>
      <w:r w:rsidRPr="00C0338D">
        <w:rPr>
          <w:b/>
        </w:rPr>
        <w:t xml:space="preserve"> </w:t>
      </w:r>
      <w:r w:rsidR="25861CDA" w:rsidRPr="00B02AB7">
        <w:rPr>
          <w:b/>
          <w:iCs/>
        </w:rPr>
        <w:t>Table</w:t>
      </w:r>
      <w:r w:rsidRPr="00C0338D">
        <w:rPr>
          <w:b/>
        </w:rPr>
        <w:t xml:space="preserve"> 5.6</w:t>
      </w:r>
      <w:r w:rsidRPr="00C0338D">
        <w:t xml:space="preserve">). Indigenous Peoples and local communities have unique systems for decision-making, from recognition of the need to manage invasive alien species to the choice of management options. The chapter also underlines the need of utilizing both scientific and </w:t>
      </w:r>
      <w:r w:rsidR="00A91F9F">
        <w:t>I</w:t>
      </w:r>
      <w:r w:rsidRPr="00C0338D">
        <w:t xml:space="preserve">ndigenous and local knowledge to </w:t>
      </w:r>
      <w:r w:rsidR="004334BD">
        <w:t>make</w:t>
      </w:r>
      <w:r w:rsidR="004334BD" w:rsidRPr="00C0338D">
        <w:t xml:space="preserve"> </w:t>
      </w:r>
      <w:r w:rsidRPr="00C0338D">
        <w:t>the optimal management decisions (</w:t>
      </w:r>
      <w:r w:rsidRPr="00C0338D">
        <w:rPr>
          <w:b/>
        </w:rPr>
        <w:t>section 5.2.1</w:t>
      </w:r>
      <w:r w:rsidRPr="00C0338D">
        <w:t>).</w:t>
      </w:r>
    </w:p>
    <w:p w14:paraId="000008E9" w14:textId="15D0C455" w:rsidR="00A758FD" w:rsidRPr="00C0338D" w:rsidRDefault="00C81287">
      <w:pPr>
        <w:spacing w:before="240" w:after="120" w:line="240" w:lineRule="auto"/>
      </w:pPr>
      <w:r w:rsidRPr="00C0338D">
        <w:t xml:space="preserve">Limited evidence and/or uncertainty on </w:t>
      </w:r>
      <w:r w:rsidR="13D2D702">
        <w:t>invasive alien species</w:t>
      </w:r>
      <w:r w:rsidR="13D2D702" w:rsidRPr="00C0338D">
        <w:t xml:space="preserve"> </w:t>
      </w:r>
      <w:r w:rsidRPr="00C0338D">
        <w:t xml:space="preserve">and their potential or actual impacts are not an obstacle to the implementation of management strategies. Instead, the adoption of </w:t>
      </w:r>
      <w:r w:rsidR="004334BD">
        <w:t xml:space="preserve">a </w:t>
      </w:r>
      <w:r w:rsidRPr="00C0338D">
        <w:t>precautionary approach</w:t>
      </w:r>
      <w:r w:rsidR="004334BD">
        <w:t>, as appropriate</w:t>
      </w:r>
      <w:r w:rsidRPr="00C0338D">
        <w:t>, risk assessment</w:t>
      </w:r>
      <w:r w:rsidR="004334BD">
        <w:t>s</w:t>
      </w:r>
      <w:r w:rsidRPr="00C0338D">
        <w:t xml:space="preserve"> and adaptive management approaches has been shown to provide long-term opportunities (</w:t>
      </w:r>
      <w:r w:rsidRPr="00C0338D">
        <w:rPr>
          <w:b/>
        </w:rPr>
        <w:t>sections 5.2.2</w:t>
      </w:r>
      <w:r w:rsidRPr="00C0338D">
        <w:t>,</w:t>
      </w:r>
      <w:r w:rsidRPr="00C0338D">
        <w:rPr>
          <w:b/>
        </w:rPr>
        <w:t xml:space="preserve"> 5.3.1</w:t>
      </w:r>
      <w:r w:rsidRPr="00C0338D">
        <w:t xml:space="preserve">, </w:t>
      </w:r>
      <w:r w:rsidRPr="00C0338D">
        <w:rPr>
          <w:b/>
        </w:rPr>
        <w:t>5.3.3</w:t>
      </w:r>
      <w:r w:rsidRPr="00C0338D">
        <w:t>,</w:t>
      </w:r>
      <w:r w:rsidRPr="00C0338D">
        <w:rPr>
          <w:b/>
        </w:rPr>
        <w:t xml:space="preserve"> 5.4.3.3</w:t>
      </w:r>
      <w:r w:rsidRPr="00C0338D">
        <w:t xml:space="preserve">). Management of biological invasions can be </w:t>
      </w:r>
      <w:r w:rsidR="004334BD">
        <w:t xml:space="preserve">achieved by managing </w:t>
      </w:r>
      <w:r w:rsidRPr="00C0338D">
        <w:t>pathway</w:t>
      </w:r>
      <w:r w:rsidR="004334BD">
        <w:t>s</w:t>
      </w:r>
      <w:r w:rsidRPr="00C0338D">
        <w:t>, species</w:t>
      </w:r>
      <w:r w:rsidR="004334BD">
        <w:t xml:space="preserve"> </w:t>
      </w:r>
      <w:r w:rsidRPr="00C0338D">
        <w:t xml:space="preserve">and site/ecosystem, </w:t>
      </w:r>
      <w:r w:rsidR="004334BD">
        <w:t>which</w:t>
      </w:r>
      <w:r w:rsidR="004334BD" w:rsidRPr="00C0338D">
        <w:t xml:space="preserve"> </w:t>
      </w:r>
      <w:r w:rsidRPr="00C0338D">
        <w:t xml:space="preserve">can be effectively </w:t>
      </w:r>
      <w:r w:rsidR="004334BD">
        <w:t>done</w:t>
      </w:r>
      <w:r w:rsidR="004334BD" w:rsidRPr="00C0338D">
        <w:t xml:space="preserve"> </w:t>
      </w:r>
      <w:r w:rsidRPr="00C0338D">
        <w:t>individually or in combination</w:t>
      </w:r>
      <w:r w:rsidR="004334BD">
        <w:t>,</w:t>
      </w:r>
      <w:r w:rsidRPr="00C0338D">
        <w:t xml:space="preserve"> depending on the management goal</w:t>
      </w:r>
      <w:r w:rsidR="004334BD">
        <w:t>s</w:t>
      </w:r>
      <w:r w:rsidRPr="00C0338D">
        <w:t>, the status of invasion, the type of ecosystem and the socio-economic context (</w:t>
      </w:r>
      <w:r w:rsidRPr="00C0338D">
        <w:rPr>
          <w:b/>
        </w:rPr>
        <w:t>section 5.3.1</w:t>
      </w:r>
      <w:r w:rsidRPr="00C0338D">
        <w:t>). Their combined use fosters more informed decision-making and resource allocation and can be applied at multiple scales (</w:t>
      </w:r>
      <w:r w:rsidRPr="00C0338D">
        <w:rPr>
          <w:b/>
        </w:rPr>
        <w:t>section 5.3.3</w:t>
      </w:r>
      <w:r w:rsidRPr="00C0338D">
        <w:t>). Of these, pathway management is critical since permeability of pathways may promote introduction and spread of new invasive alien species (</w:t>
      </w:r>
      <w:r w:rsidRPr="00C0338D">
        <w:rPr>
          <w:b/>
        </w:rPr>
        <w:t>section 5.3.1</w:t>
      </w:r>
      <w:r w:rsidRPr="00C0338D">
        <w:t>).</w:t>
      </w:r>
    </w:p>
    <w:p w14:paraId="000008EA" w14:textId="3F8A056A" w:rsidR="00A758FD" w:rsidRPr="00C0338D" w:rsidRDefault="00C81287">
      <w:pPr>
        <w:spacing w:before="240" w:after="120" w:line="240" w:lineRule="auto"/>
      </w:pPr>
      <w:r w:rsidRPr="00C0338D">
        <w:t>Many efficient management methods, tools and technologies such as precision application of pesticides, baits, biological control and gene drive technology are increasingly becoming available</w:t>
      </w:r>
      <w:r w:rsidR="004334BD">
        <w:t>,</w:t>
      </w:r>
      <w:r w:rsidRPr="00C0338D">
        <w:t xml:space="preserve"> and new technology is being rapidly developed (</w:t>
      </w:r>
      <w:r w:rsidRPr="00C0338D">
        <w:rPr>
          <w:b/>
        </w:rPr>
        <w:t>section 5.4.4</w:t>
      </w:r>
      <w:r w:rsidRPr="00C0338D">
        <w:t>). These methods relate to pathway management (</w:t>
      </w:r>
      <w:r w:rsidRPr="00C0338D">
        <w:rPr>
          <w:b/>
        </w:rPr>
        <w:t>sections 5.4.2.1</w:t>
      </w:r>
      <w:r w:rsidRPr="00C0338D">
        <w:t>,</w:t>
      </w:r>
      <w:r w:rsidRPr="00C0338D">
        <w:rPr>
          <w:b/>
        </w:rPr>
        <w:t xml:space="preserve"> 5.4.3.1</w:t>
      </w:r>
      <w:r w:rsidRPr="00C0338D">
        <w:t>,</w:t>
      </w:r>
      <w:r w:rsidRPr="00C0338D">
        <w:rPr>
          <w:b/>
        </w:rPr>
        <w:t xml:space="preserve"> 5.5.1</w:t>
      </w:r>
      <w:r w:rsidRPr="00C0338D">
        <w:t>), surveillance and detection, rapid response and eradication (</w:t>
      </w:r>
      <w:r w:rsidRPr="00C0338D">
        <w:rPr>
          <w:b/>
        </w:rPr>
        <w:t>sections 5.4.2.2</w:t>
      </w:r>
      <w:r w:rsidRPr="00C0338D">
        <w:t>,</w:t>
      </w:r>
      <w:r w:rsidRPr="00C0338D">
        <w:rPr>
          <w:b/>
        </w:rPr>
        <w:t xml:space="preserve"> 5.5.2</w:t>
      </w:r>
      <w:r w:rsidRPr="00C0338D">
        <w:t>,</w:t>
      </w:r>
      <w:r w:rsidRPr="00C0338D">
        <w:rPr>
          <w:b/>
        </w:rPr>
        <w:t xml:space="preserve"> 5.5.3</w:t>
      </w:r>
      <w:r w:rsidRPr="00C0338D">
        <w:t>), containment, local to landscape level management (</w:t>
      </w:r>
      <w:r w:rsidRPr="00C0338D">
        <w:rPr>
          <w:b/>
        </w:rPr>
        <w:t>sections 5.4.3.2</w:t>
      </w:r>
      <w:r w:rsidRPr="00C0338D">
        <w:t>,</w:t>
      </w:r>
      <w:r w:rsidRPr="00C0338D">
        <w:rPr>
          <w:b/>
        </w:rPr>
        <w:t xml:space="preserve"> 5.5.4</w:t>
      </w:r>
      <w:r w:rsidRPr="00C0338D">
        <w:t>,</w:t>
      </w:r>
      <w:r w:rsidRPr="00C0338D">
        <w:rPr>
          <w:b/>
        </w:rPr>
        <w:t xml:space="preserve"> 5.5.5</w:t>
      </w:r>
      <w:r w:rsidRPr="00C0338D">
        <w:t>) and ecosystem restoration (</w:t>
      </w:r>
      <w:r w:rsidRPr="00C0338D">
        <w:rPr>
          <w:b/>
        </w:rPr>
        <w:t>sections 5.4.3.3</w:t>
      </w:r>
      <w:r w:rsidRPr="00C0338D">
        <w:t>,</w:t>
      </w:r>
      <w:r w:rsidRPr="00C0338D">
        <w:rPr>
          <w:b/>
        </w:rPr>
        <w:t xml:space="preserve"> 5.5.6</w:t>
      </w:r>
      <w:r w:rsidRPr="00C0338D">
        <w:t>). Scenarios and modelling approaches are important in management</w:t>
      </w:r>
      <w:r>
        <w:t xml:space="preserve"> </w:t>
      </w:r>
      <w:r w:rsidR="441A350D">
        <w:t>of biological invasions</w:t>
      </w:r>
      <w:r w:rsidR="5A7C5823" w:rsidRPr="00C0338D">
        <w:t xml:space="preserve"> </w:t>
      </w:r>
      <w:r w:rsidRPr="00C0338D">
        <w:t>to assess management responses, to predict the risk of future incursions and to plan effective eradication-containment–control approaches (</w:t>
      </w:r>
      <w:r w:rsidRPr="00C0338D">
        <w:rPr>
          <w:b/>
        </w:rPr>
        <w:t>section 5.6.3.2</w:t>
      </w:r>
      <w:r w:rsidRPr="00C0338D">
        <w:t>).</w:t>
      </w:r>
    </w:p>
    <w:p w14:paraId="000008EB" w14:textId="22D40C09" w:rsidR="00A758FD" w:rsidRPr="00C0338D" w:rsidRDefault="00C81287">
      <w:pPr>
        <w:spacing w:before="240" w:after="120" w:line="240" w:lineRule="auto"/>
      </w:pPr>
      <w:r w:rsidRPr="00C0338D">
        <w:t>Involvement of all stakeholders is central for planning, decision-making and implementing</w:t>
      </w:r>
      <w:r w:rsidR="3A34509F" w:rsidRPr="00C0338D">
        <w:t xml:space="preserve"> </w:t>
      </w:r>
      <w:r w:rsidRPr="00C0338D">
        <w:t xml:space="preserve">management programmes </w:t>
      </w:r>
      <w:r w:rsidR="165C9EAD">
        <w:t>for biological invasions</w:t>
      </w:r>
      <w:r w:rsidR="00404C41">
        <w:t xml:space="preserve">, through the </w:t>
      </w:r>
      <w:r w:rsidRPr="00C0338D">
        <w:t>promot</w:t>
      </w:r>
      <w:r w:rsidR="00404C41">
        <w:t>ion of</w:t>
      </w:r>
      <w:r w:rsidRPr="00C0338D">
        <w:t xml:space="preserve"> co-implementation, social learning and broad partnerships (</w:t>
      </w:r>
      <w:r w:rsidRPr="00C0338D">
        <w:rPr>
          <w:b/>
        </w:rPr>
        <w:t>sections 5.2.1</w:t>
      </w:r>
      <w:r w:rsidRPr="00C0338D">
        <w:t>,</w:t>
      </w:r>
      <w:r w:rsidRPr="00C0338D">
        <w:rPr>
          <w:b/>
        </w:rPr>
        <w:t xml:space="preserve"> 5.6.2</w:t>
      </w:r>
      <w:r w:rsidRPr="00C0338D">
        <w:t>;</w:t>
      </w:r>
      <w:r w:rsidRPr="00C0338D">
        <w:rPr>
          <w:b/>
        </w:rPr>
        <w:t xml:space="preserve"> Chapter 6</w:t>
      </w:r>
      <w:r w:rsidRPr="00C0338D">
        <w:t xml:space="preserve">, </w:t>
      </w:r>
      <w:r w:rsidRPr="00C0338D">
        <w:rPr>
          <w:b/>
        </w:rPr>
        <w:t>section 6.2</w:t>
      </w:r>
      <w:r w:rsidRPr="00C0338D">
        <w:t>). Also, stakeholder-led adaptive management involving Indigenous Peoples and local communities promotes wide acceptance and capacity</w:t>
      </w:r>
      <w:r w:rsidR="00A91F9F">
        <w:t>-</w:t>
      </w:r>
      <w:r w:rsidRPr="00C0338D">
        <w:t>building and optimization of management success and economic, environmental and social outcomes (</w:t>
      </w:r>
      <w:r w:rsidRPr="00C0338D">
        <w:rPr>
          <w:b/>
        </w:rPr>
        <w:t>sections 5.2.1</w:t>
      </w:r>
      <w:r w:rsidRPr="00C0338D">
        <w:t xml:space="preserve">, </w:t>
      </w:r>
      <w:r w:rsidRPr="00C0338D">
        <w:rPr>
          <w:b/>
        </w:rPr>
        <w:t>5.6.1.2</w:t>
      </w:r>
      <w:r w:rsidRPr="00C0338D">
        <w:t xml:space="preserve">). Averting this partnership may impact good quality of life of people who are dependent on or have adapted to utilizing invasive alien species as a resource. </w:t>
      </w:r>
    </w:p>
    <w:p w14:paraId="000008EC" w14:textId="77777777" w:rsidR="00A758FD" w:rsidRPr="00C0338D" w:rsidRDefault="00C81287">
      <w:pPr>
        <w:spacing w:before="240" w:after="120" w:line="240" w:lineRule="auto"/>
      </w:pPr>
      <w:r w:rsidRPr="00C0338D">
        <w:lastRenderedPageBreak/>
        <w:t>Prevention and rapid intervention are the most efficient and cost-effective management approach sustainable in the long-term, which is crucial for marine ecosystems (</w:t>
      </w:r>
      <w:r w:rsidRPr="00C0338D">
        <w:rPr>
          <w:b/>
        </w:rPr>
        <w:t>section 5.5.1</w:t>
      </w:r>
      <w:r w:rsidRPr="00C0338D">
        <w:t>). However, prevention may not always be successful. National biosecurity systems and invasive alien species legislation can underwrite prevention by ensuring that jurisdictions have suitable regulations and incentives in place and that there is preparedness (surveillance and monitoring) and rapid response capability in the community to address future incursions (</w:t>
      </w:r>
      <w:r w:rsidRPr="00C0338D">
        <w:rPr>
          <w:b/>
        </w:rPr>
        <w:t>section 5.6.3</w:t>
      </w:r>
      <w:r w:rsidRPr="00C0338D">
        <w:t>;</w:t>
      </w:r>
      <w:r w:rsidRPr="00C0338D">
        <w:rPr>
          <w:b/>
        </w:rPr>
        <w:t xml:space="preserve"> Chapter 6</w:t>
      </w:r>
      <w:r w:rsidRPr="00C0338D">
        <w:t>,</w:t>
      </w:r>
      <w:r w:rsidRPr="00C0338D">
        <w:rPr>
          <w:b/>
        </w:rPr>
        <w:t xml:space="preserve"> section 6.3.2</w:t>
      </w:r>
      <w:r w:rsidRPr="00C0338D">
        <w:t>). Surveillance for newly introduced species through citizen science and social media provides broader security by upskilling and engaging the public (</w:t>
      </w:r>
      <w:r w:rsidRPr="00C0338D">
        <w:rPr>
          <w:b/>
        </w:rPr>
        <w:t>section 5.5.2)</w:t>
      </w:r>
      <w:r w:rsidRPr="00C0338D">
        <w:t>. Prevention through pathway management may be successful only if international biosecurity standards are implemented scrupulously (</w:t>
      </w:r>
      <w:r w:rsidRPr="00C0338D">
        <w:rPr>
          <w:b/>
        </w:rPr>
        <w:t>section 5.5.1</w:t>
      </w:r>
      <w:r w:rsidRPr="00C0338D">
        <w:t>).</w:t>
      </w:r>
    </w:p>
    <w:p w14:paraId="000008ED" w14:textId="370289E6" w:rsidR="00A758FD" w:rsidRPr="00C0338D" w:rsidRDefault="00C81287">
      <w:pPr>
        <w:spacing w:before="240" w:after="120" w:line="240" w:lineRule="auto"/>
      </w:pPr>
      <w:r w:rsidRPr="00C0338D">
        <w:t>Effective eradication approaches have been developed and may be cost-effective only on smaller islands, mountain tops, wetlands and other refuges of high socioecological and biodiversity values (</w:t>
      </w:r>
      <w:r w:rsidRPr="00C0338D">
        <w:rPr>
          <w:b/>
        </w:rPr>
        <w:t>section 5.5.3</w:t>
      </w:r>
      <w:r w:rsidRPr="00C0338D">
        <w:t>). Eradication elsewhere is unlikely to succeed</w:t>
      </w:r>
      <w:r w:rsidR="00404C41">
        <w:t>,</w:t>
      </w:r>
      <w:r w:rsidRPr="00C0338D">
        <w:t xml:space="preserve"> unless the incursion is very localized, easy to detect (no hidden propagules), delimited and spreads slowly. There is demonstrable technical know-how to eradicate invasive alien animals on islands, but success depends on a supporting community to implement actions. </w:t>
      </w:r>
    </w:p>
    <w:p w14:paraId="000008EE" w14:textId="30707677" w:rsidR="00A758FD" w:rsidRPr="00C0338D" w:rsidRDefault="00C81287">
      <w:pPr>
        <w:spacing w:before="240" w:after="120" w:line="240" w:lineRule="auto"/>
      </w:pPr>
      <w:r w:rsidRPr="00C0338D">
        <w:t>Challenges to management</w:t>
      </w:r>
      <w:r>
        <w:t xml:space="preserve"> </w:t>
      </w:r>
      <w:r w:rsidR="179D155E">
        <w:t>of biological invasions</w:t>
      </w:r>
      <w:r w:rsidR="179D155E" w:rsidRPr="00C0338D">
        <w:t xml:space="preserve"> </w:t>
      </w:r>
      <w:r w:rsidRPr="00C0338D">
        <w:t>include knowledge gaps (</w:t>
      </w:r>
      <w:r w:rsidRPr="00C0338D">
        <w:rPr>
          <w:b/>
        </w:rPr>
        <w:t>section 5.6.2.1</w:t>
      </w:r>
      <w:r w:rsidRPr="00C0338D">
        <w:t>), inadequate legislation, lapses in implementing the legislation, poor awareness, lack of capacity and capability, know-how and resources (</w:t>
      </w:r>
      <w:r w:rsidRPr="00C0338D">
        <w:rPr>
          <w:b/>
        </w:rPr>
        <w:t>sections 5.6.2.2</w:t>
      </w:r>
      <w:r w:rsidRPr="00C0338D">
        <w:t xml:space="preserve">, </w:t>
      </w:r>
      <w:r w:rsidRPr="00C0338D">
        <w:rPr>
          <w:b/>
        </w:rPr>
        <w:t>5.6.2.4</w:t>
      </w:r>
      <w:r w:rsidRPr="00C0338D">
        <w:t xml:space="preserve">; </w:t>
      </w:r>
      <w:r w:rsidRPr="00C0338D">
        <w:rPr>
          <w:b/>
        </w:rPr>
        <w:t>Chapter 6</w:t>
      </w:r>
      <w:r w:rsidRPr="00C0338D">
        <w:t>,</w:t>
      </w:r>
      <w:r w:rsidRPr="00C0338D">
        <w:rPr>
          <w:b/>
        </w:rPr>
        <w:t xml:space="preserve"> sections 6.6</w:t>
      </w:r>
      <w:r w:rsidRPr="00C0338D">
        <w:t>,</w:t>
      </w:r>
      <w:r w:rsidRPr="00C0338D">
        <w:rPr>
          <w:b/>
        </w:rPr>
        <w:t xml:space="preserve"> 6.5</w:t>
      </w:r>
      <w:r w:rsidRPr="00C0338D">
        <w:t xml:space="preserve">) and conflict of interests around </w:t>
      </w:r>
      <w:r w:rsidR="00404C41">
        <w:t xml:space="preserve">invasive alien </w:t>
      </w:r>
      <w:r w:rsidRPr="00C0338D">
        <w:t>species</w:t>
      </w:r>
      <w:r w:rsidR="00404C41">
        <w:t xml:space="preserve"> that are</w:t>
      </w:r>
      <w:r w:rsidRPr="00C0338D">
        <w:t xml:space="preserve"> </w:t>
      </w:r>
      <w:r w:rsidR="00404C41">
        <w:t>harmful</w:t>
      </w:r>
      <w:r w:rsidR="00404C41" w:rsidRPr="00C0338D">
        <w:t xml:space="preserve"> </w:t>
      </w:r>
      <w:r w:rsidRPr="00C0338D">
        <w:t>in one context or sector but beneficial in another (</w:t>
      </w:r>
      <w:r w:rsidRPr="00C0338D">
        <w:rPr>
          <w:b/>
        </w:rPr>
        <w:t>section 5.6.1.2</w:t>
      </w:r>
      <w:r w:rsidRPr="00C0338D">
        <w:t xml:space="preserve">). These impediments significantly </w:t>
      </w:r>
      <w:r w:rsidR="00404C41">
        <w:t>challenge</w:t>
      </w:r>
      <w:r w:rsidR="00404C41" w:rsidRPr="00C0338D">
        <w:t xml:space="preserve"> </w:t>
      </w:r>
      <w:r w:rsidRPr="00C0338D">
        <w:t>management attempts</w:t>
      </w:r>
      <w:r w:rsidR="00404C41">
        <w:t>,</w:t>
      </w:r>
      <w:r w:rsidRPr="00C0338D">
        <w:t xml:space="preserve"> especially in the developing economies (</w:t>
      </w:r>
      <w:r w:rsidRPr="00C0338D">
        <w:rPr>
          <w:b/>
        </w:rPr>
        <w:t>section 5.6.2</w:t>
      </w:r>
      <w:r w:rsidRPr="00C0338D">
        <w:t>).</w:t>
      </w:r>
    </w:p>
    <w:p w14:paraId="000008EF" w14:textId="2FAE5B3C" w:rsidR="00A758FD" w:rsidRPr="00C0338D" w:rsidRDefault="00C81287">
      <w:pPr>
        <w:spacing w:before="240" w:after="120" w:line="240" w:lineRule="auto"/>
      </w:pPr>
      <w:r w:rsidRPr="00C0338D">
        <w:t xml:space="preserve">A comprehensive review of the effectiveness of management </w:t>
      </w:r>
      <w:r w:rsidR="71ED0F57">
        <w:t>of biological invasions</w:t>
      </w:r>
      <w:r w:rsidR="5A7C5823">
        <w:t xml:space="preserve"> </w:t>
      </w:r>
      <w:r w:rsidRPr="00C0338D">
        <w:t xml:space="preserve">leading to measurable improvements in </w:t>
      </w:r>
      <w:r w:rsidR="16FE633D">
        <w:t xml:space="preserve">reducing </w:t>
      </w:r>
      <w:r w:rsidRPr="00C0338D">
        <w:t>the impacts of invasive alien species on biodiversity and ecosystem services was beyond the scope of this assessment. However, there is strong evidence that management success can be achieved if pathway, species-</w:t>
      </w:r>
      <w:r w:rsidR="212F9E43">
        <w:t>based</w:t>
      </w:r>
      <w:r w:rsidRPr="00C0338D">
        <w:t xml:space="preserve"> and site-based management strategies, identified through evidence-based decision-making, </w:t>
      </w:r>
      <w:r w:rsidR="00E8019E">
        <w:t>are</w:t>
      </w:r>
      <w:r w:rsidR="00E8019E" w:rsidRPr="00C0338D">
        <w:t xml:space="preserve"> </w:t>
      </w:r>
      <w:r w:rsidRPr="00C0338D">
        <w:t>implemented using appropriate tools and techniques (</w:t>
      </w:r>
      <w:r w:rsidRPr="00C0338D">
        <w:rPr>
          <w:b/>
        </w:rPr>
        <w:t>sections 5.2</w:t>
      </w:r>
      <w:r w:rsidRPr="00C0338D">
        <w:t>,</w:t>
      </w:r>
      <w:r w:rsidRPr="00C0338D">
        <w:rPr>
          <w:b/>
        </w:rPr>
        <w:t xml:space="preserve"> 5.3</w:t>
      </w:r>
      <w:r w:rsidRPr="00C0338D">
        <w:t>,</w:t>
      </w:r>
      <w:r w:rsidRPr="00C0338D">
        <w:rPr>
          <w:b/>
        </w:rPr>
        <w:t xml:space="preserve"> 5.4</w:t>
      </w:r>
      <w:r w:rsidRPr="00C0338D">
        <w:t xml:space="preserve">, </w:t>
      </w:r>
      <w:r w:rsidRPr="00C0338D">
        <w:rPr>
          <w:b/>
        </w:rPr>
        <w:t>5.5</w:t>
      </w:r>
      <w:r w:rsidRPr="00C0338D">
        <w:t xml:space="preserve">). These approaches may be applied during all </w:t>
      </w:r>
      <w:r w:rsidR="33DDB698">
        <w:t>stages</w:t>
      </w:r>
      <w:r w:rsidR="00E8019E">
        <w:t xml:space="preserve"> </w:t>
      </w:r>
      <w:r>
        <w:t xml:space="preserve">of </w:t>
      </w:r>
      <w:r w:rsidR="7AD9F9CB">
        <w:t>the biological</w:t>
      </w:r>
      <w:r w:rsidR="7AD9F9CB" w:rsidRPr="00C0338D">
        <w:t xml:space="preserve"> </w:t>
      </w:r>
      <w:r w:rsidRPr="00C0338D">
        <w:t>invasion</w:t>
      </w:r>
      <w:r w:rsidR="24C85814">
        <w:t xml:space="preserve"> process</w:t>
      </w:r>
      <w:r w:rsidRPr="00C0338D">
        <w:t xml:space="preserve"> in the proper context and depending on the types of invasive alien species and ecosystems (</w:t>
      </w:r>
      <w:r w:rsidRPr="00C0338D">
        <w:rPr>
          <w:b/>
        </w:rPr>
        <w:t>sections 5.1</w:t>
      </w:r>
      <w:r w:rsidRPr="00C0338D">
        <w:t>,</w:t>
      </w:r>
      <w:r w:rsidRPr="00C0338D">
        <w:rPr>
          <w:b/>
        </w:rPr>
        <w:t xml:space="preserve"> 5.5</w:t>
      </w:r>
      <w:r w:rsidRPr="00C0338D">
        <w:t xml:space="preserve">). Adaptive management strategies assist the process supported by stakeholder engagement and </w:t>
      </w:r>
      <w:r w:rsidR="00A91F9F">
        <w:t>I</w:t>
      </w:r>
      <w:r w:rsidRPr="00C0338D">
        <w:t>ndigenous and local knowledge (</w:t>
      </w:r>
      <w:r w:rsidRPr="00C0338D">
        <w:rPr>
          <w:b/>
        </w:rPr>
        <w:t>sections 5.4.3.3</w:t>
      </w:r>
      <w:r w:rsidRPr="00C0338D">
        <w:t>,</w:t>
      </w:r>
      <w:r w:rsidRPr="00C0338D">
        <w:rPr>
          <w:b/>
        </w:rPr>
        <w:t xml:space="preserve"> 5.6.2</w:t>
      </w:r>
      <w:r w:rsidRPr="00C0338D">
        <w:t xml:space="preserve">). The outcomes of these integrated approaches will provide maximum benefits for nature, nature’s contributions to people, </w:t>
      </w:r>
      <w:r w:rsidR="00404C41">
        <w:t xml:space="preserve">including the economy, </w:t>
      </w:r>
      <w:r w:rsidRPr="00C0338D">
        <w:t>good quality of life (</w:t>
      </w:r>
      <w:r w:rsidRPr="00C0338D">
        <w:rPr>
          <w:b/>
        </w:rPr>
        <w:t>section 5.4.3.3</w:t>
      </w:r>
      <w:r w:rsidRPr="00C0338D">
        <w:t xml:space="preserve">). </w:t>
      </w:r>
    </w:p>
    <w:p w14:paraId="000008F0" w14:textId="0E9E2110" w:rsidR="00A758FD" w:rsidRPr="00C0338D" w:rsidRDefault="00404C41">
      <w:pPr>
        <w:spacing w:before="240" w:after="120" w:line="240" w:lineRule="auto"/>
      </w:pPr>
      <w:r>
        <w:t>Chapter 5</w:t>
      </w:r>
      <w:r w:rsidR="00C81287" w:rsidRPr="00C0338D">
        <w:t xml:space="preserve"> has taken a positive and solutions</w:t>
      </w:r>
      <w:r>
        <w:t>-</w:t>
      </w:r>
      <w:r w:rsidR="00C81287" w:rsidRPr="00C0338D">
        <w:t xml:space="preserve">focussed approach. </w:t>
      </w:r>
      <w:r>
        <w:t>Although</w:t>
      </w:r>
      <w:r w:rsidR="00C81287" w:rsidRPr="00C0338D">
        <w:t xml:space="preserve"> the vast majority of actions taken to manage</w:t>
      </w:r>
      <w:r w:rsidR="5A7C5823" w:rsidRPr="00C0338D">
        <w:t xml:space="preserve"> </w:t>
      </w:r>
      <w:r w:rsidR="39E6EE7E">
        <w:t>biological invasions</w:t>
      </w:r>
      <w:r w:rsidR="00C81287" w:rsidRPr="00C0338D">
        <w:t xml:space="preserve"> around the world over the last 70 years have not provided long-term success, this chapter did not undertake a complete and objective review of successes versus failures. </w:t>
      </w:r>
      <w:r>
        <w:t>Chapter 5 recognizes that</w:t>
      </w:r>
      <w:r w:rsidR="00C81287" w:rsidRPr="00C0338D">
        <w:t xml:space="preserve">, around the world, failures have led to continued learning and this has resulted in an increasing number of successful programmes and outcomes. Successful results </w:t>
      </w:r>
      <w:r>
        <w:t>come</w:t>
      </w:r>
      <w:r w:rsidR="00C81287" w:rsidRPr="00C0338D">
        <w:t xml:space="preserve"> from failures</w:t>
      </w:r>
      <w:r>
        <w:t>,</w:t>
      </w:r>
      <w:r w:rsidR="00C81287" w:rsidRPr="00C0338D">
        <w:t xml:space="preserve"> from learning about the techniques and tools available and under development, and </w:t>
      </w:r>
      <w:r>
        <w:t xml:space="preserve">from </w:t>
      </w:r>
      <w:r w:rsidR="00C81287" w:rsidRPr="00C0338D">
        <w:t xml:space="preserve">understanding when, where and how they work best. Future management approaches will need to be taken in the context of climate change impacts on biodiversity, which will be a greater challenge. </w:t>
      </w:r>
    </w:p>
    <w:p w14:paraId="00000E17" w14:textId="1C365EAF" w:rsidR="00366563" w:rsidRDefault="00C81287" w:rsidP="00366563">
      <w:pPr>
        <w:spacing w:before="240" w:after="120" w:line="240" w:lineRule="auto"/>
      </w:pPr>
      <w:bookmarkStart w:id="723" w:name="_heading=h.33zd5kd" w:colFirst="0" w:colLast="0"/>
      <w:bookmarkEnd w:id="723"/>
      <w:r w:rsidRPr="00C0338D">
        <w:t>Globally, it may not be possible to address all impacts from undesirable invasive alien species, but the successes described in this chapter show how management</w:t>
      </w:r>
      <w:r>
        <w:t xml:space="preserve"> </w:t>
      </w:r>
      <w:r w:rsidR="618828D7">
        <w:t>of biological invasions</w:t>
      </w:r>
      <w:r w:rsidR="618828D7" w:rsidRPr="00C0338D">
        <w:t xml:space="preserve"> </w:t>
      </w:r>
      <w:r w:rsidRPr="00C0338D">
        <w:t>can deliver positive outcomes. This may save many threatened and endangered species and communities and improve ecosystems, nature’s contributions to people</w:t>
      </w:r>
      <w:r w:rsidR="00404C41">
        <w:t xml:space="preserve"> and good quality of life</w:t>
      </w:r>
      <w:r w:rsidRPr="00C0338D">
        <w:t xml:space="preserve">, using the tools and approaches that have </w:t>
      </w:r>
      <w:r w:rsidR="00404C41">
        <w:t xml:space="preserve">been </w:t>
      </w:r>
      <w:r w:rsidRPr="00C0338D">
        <w:t xml:space="preserve">and continue to be developed. Management of </w:t>
      </w:r>
      <w:r w:rsidR="2CF9EE97">
        <w:t>biological invasions</w:t>
      </w:r>
      <w:r w:rsidRPr="00C0338D">
        <w:t xml:space="preserve"> is </w:t>
      </w:r>
      <w:r w:rsidRPr="00C0338D">
        <w:lastRenderedPageBreak/>
        <w:t>critical to improve ecosystem resilience and protect biodiversity in the context of future environmental changes</w:t>
      </w:r>
      <w:r w:rsidR="00404C41">
        <w:t>,</w:t>
      </w:r>
      <w:r w:rsidRPr="00C0338D">
        <w:t xml:space="preserve"> especially climate change.</w:t>
      </w:r>
    </w:p>
    <w:p w14:paraId="4B84DE72" w14:textId="77777777" w:rsidR="00366563" w:rsidRDefault="00366563">
      <w:r>
        <w:br w:type="page"/>
      </w:r>
    </w:p>
    <w:p w14:paraId="19DC0D70" w14:textId="53BEE0BA" w:rsidR="00A758FD" w:rsidRDefault="00366563" w:rsidP="00366563">
      <w:pPr>
        <w:pStyle w:val="Heading1"/>
        <w:numPr>
          <w:ilvl w:val="0"/>
          <w:numId w:val="0"/>
        </w:numPr>
        <w:rPr>
          <w:lang w:eastAsia="ja-JP"/>
        </w:rPr>
      </w:pPr>
      <w:bookmarkStart w:id="724" w:name="_Toc149555493"/>
      <w:r>
        <w:rPr>
          <w:rFonts w:hint="eastAsia"/>
          <w:lang w:eastAsia="ja-JP"/>
        </w:rPr>
        <w:lastRenderedPageBreak/>
        <w:t>R</w:t>
      </w:r>
      <w:r>
        <w:rPr>
          <w:lang w:eastAsia="ja-JP"/>
        </w:rPr>
        <w:t>eference</w:t>
      </w:r>
      <w:bookmarkEnd w:id="724"/>
    </w:p>
    <w:p w14:paraId="05C70FA4" w14:textId="77777777" w:rsidR="007746C5" w:rsidRDefault="002A3E2C" w:rsidP="007746C5">
      <w:pPr>
        <w:pStyle w:val="Bibliography"/>
        <w:rPr>
          <w:lang w:eastAsia="ja-JP"/>
        </w:rPr>
      </w:pPr>
      <w:r w:rsidRPr="00A4003D">
        <w:rPr>
          <w:lang w:eastAsia="ja-JP"/>
        </w:rPr>
        <w:fldChar w:fldCharType="begin"/>
      </w:r>
      <w:r w:rsidR="007746C5">
        <w:rPr>
          <w:lang w:eastAsia="ja-JP"/>
        </w:rPr>
        <w:instrText xml:space="preserve"> ADDIN ZOTERO_BIBL {"uncited":[],"omitted":[],"custom":[]} CSL_BIBLIOGRAPHY </w:instrText>
      </w:r>
      <w:r w:rsidRPr="00A4003D">
        <w:rPr>
          <w:lang w:eastAsia="ja-JP"/>
        </w:rPr>
        <w:fldChar w:fldCharType="separate"/>
      </w:r>
    </w:p>
    <w:p w14:paraId="644E1923" w14:textId="5AB5A6A6" w:rsidR="007746C5" w:rsidRPr="007746C5" w:rsidRDefault="007746C5" w:rsidP="009A04E6">
      <w:pPr>
        <w:pStyle w:val="Bibliography"/>
        <w:spacing w:line="240" w:lineRule="auto"/>
      </w:pPr>
      <w:r w:rsidRPr="007746C5">
        <w:t xml:space="preserve">ABARES. (2021). </w:t>
      </w:r>
      <w:r w:rsidRPr="007746C5">
        <w:rPr>
          <w:i/>
          <w:iCs/>
        </w:rPr>
        <w:t>The National Priority List of Exotic Environmental Pests, Weeds and Diseases: Information Paper (Version 2.0)</w:t>
      </w:r>
      <w:r w:rsidRPr="007746C5">
        <w:t xml:space="preserve"> (ABARES Report to Client Prepared for the Chief Environmental Biosecurity Officer). Department of Agriculture, Water and the Environment. https://www.agriculture.gov.au/sites/default/files/documents/eepl-information-paper.pdf</w:t>
      </w:r>
    </w:p>
    <w:p w14:paraId="2327460F" w14:textId="77777777" w:rsidR="007746C5" w:rsidRPr="007746C5" w:rsidRDefault="007746C5" w:rsidP="009A04E6">
      <w:pPr>
        <w:pStyle w:val="Bibliography"/>
        <w:spacing w:line="240" w:lineRule="auto"/>
      </w:pPr>
      <w:r w:rsidRPr="007746C5">
        <w:rPr>
          <w:rFonts w:hint="eastAsia"/>
        </w:rPr>
        <w:t>Abbott, C., Coulson, M., Gagné, N., Lacoursière</w:t>
      </w:r>
      <w:r w:rsidRPr="007746C5">
        <w:rPr>
          <w:rFonts w:hint="eastAsia"/>
        </w:rPr>
        <w:t>‐</w:t>
      </w:r>
      <w:r w:rsidRPr="007746C5">
        <w:rPr>
          <w:rFonts w:hint="eastAsia"/>
        </w:rPr>
        <w:t xml:space="preserve">Roussel, A., Parent, G. J., Bajno, R., Dietrich, C., &amp; May-McNally, S. (2021). </w:t>
      </w:r>
      <w:r w:rsidRPr="007746C5">
        <w:rPr>
          <w:i/>
          <w:iCs/>
        </w:rPr>
        <w:t>Guidance on the Use of Targeted Environmental DNA (eDNA) Analysis for the Management of Aquatic Invasive Species and Species at Risk: Vol. Research Document 2021/019</w:t>
      </w:r>
      <w:r w:rsidRPr="007746C5">
        <w:t>. Canadian Science Advisory Secretariat (CSAS) Ottawa, ON, Canada. https://waves-vagues.dfo-mpo.gc.ca/Library/40960791.pdf</w:t>
      </w:r>
    </w:p>
    <w:p w14:paraId="34B767F8" w14:textId="77777777" w:rsidR="007746C5" w:rsidRPr="007746C5" w:rsidRDefault="007746C5" w:rsidP="009A04E6">
      <w:pPr>
        <w:pStyle w:val="Bibliography"/>
        <w:spacing w:line="240" w:lineRule="auto"/>
      </w:pPr>
      <w:r w:rsidRPr="007746C5">
        <w:t xml:space="preserve">Abbott, I. (2002). Origin and Spread of the cat, </w:t>
      </w:r>
      <w:r w:rsidRPr="007746C5">
        <w:rPr>
          <w:i/>
          <w:iCs/>
        </w:rPr>
        <w:t>Felis catus</w:t>
      </w:r>
      <w:r w:rsidRPr="007746C5">
        <w:t xml:space="preserve">, on mainland Australia, with a discussion of the magnitude of its early impact on native fauna. </w:t>
      </w:r>
      <w:r w:rsidRPr="007746C5">
        <w:rPr>
          <w:i/>
          <w:iCs/>
        </w:rPr>
        <w:t>Wildlife Research</w:t>
      </w:r>
      <w:r w:rsidRPr="007746C5">
        <w:t xml:space="preserve">, </w:t>
      </w:r>
      <w:r w:rsidRPr="007746C5">
        <w:rPr>
          <w:i/>
          <w:iCs/>
        </w:rPr>
        <w:t>29</w:t>
      </w:r>
      <w:r w:rsidRPr="007746C5">
        <w:t>(1), 51–74. https://doi.org/10.1071/WR01011</w:t>
      </w:r>
    </w:p>
    <w:p w14:paraId="7B1C699C" w14:textId="77777777" w:rsidR="007746C5" w:rsidRPr="007746C5" w:rsidRDefault="007746C5" w:rsidP="009A04E6">
      <w:pPr>
        <w:pStyle w:val="Bibliography"/>
        <w:spacing w:line="240" w:lineRule="auto"/>
      </w:pPr>
      <w:r w:rsidRPr="007746C5">
        <w:t xml:space="preserve">Aceves-Bueno, E., Adeleye, A. S., Feraud, M., Huang, Y., Tao, M., Yang, Y., &amp; Anderson, S. E. (2017). The Accuracy of Citizen Science Data: A Quantitative Review. </w:t>
      </w:r>
      <w:r w:rsidRPr="007746C5">
        <w:rPr>
          <w:i/>
          <w:iCs/>
        </w:rPr>
        <w:t>Bulletin of the Ecological Society of America</w:t>
      </w:r>
      <w:r w:rsidRPr="007746C5">
        <w:t xml:space="preserve">, </w:t>
      </w:r>
      <w:r w:rsidRPr="007746C5">
        <w:rPr>
          <w:i/>
          <w:iCs/>
        </w:rPr>
        <w:t>98</w:t>
      </w:r>
      <w:r w:rsidRPr="007746C5">
        <w:t>(4), 278–290. https://www.jstor.org/stable/90013289</w:t>
      </w:r>
    </w:p>
    <w:p w14:paraId="0C0C81AF" w14:textId="77777777" w:rsidR="007746C5" w:rsidRPr="007746C5" w:rsidRDefault="007746C5" w:rsidP="009A04E6">
      <w:pPr>
        <w:pStyle w:val="Bibliography"/>
        <w:spacing w:line="240" w:lineRule="auto"/>
      </w:pPr>
      <w:r w:rsidRPr="007746C5">
        <w:t xml:space="preserve">ACRDP. (2010). </w:t>
      </w:r>
      <w:r w:rsidRPr="007746C5">
        <w:rPr>
          <w:i/>
          <w:iCs/>
        </w:rPr>
        <w:t>Containment and Mitigation of Nuisance Tunicates on Prince Edward Island to Improve Mussel Farm Productivity</w:t>
      </w:r>
      <w:r w:rsidRPr="007746C5">
        <w:t xml:space="preserve"> (Fact Sheet 6). Aquaculture Collaborative Research and Development Program. https://waves-vagues.dfo-mpo.gc.ca/library-bibliotheque/346732.pdf</w:t>
      </w:r>
    </w:p>
    <w:p w14:paraId="56D7BB5D" w14:textId="77777777" w:rsidR="007746C5" w:rsidRPr="007746C5" w:rsidRDefault="007746C5" w:rsidP="009A04E6">
      <w:pPr>
        <w:pStyle w:val="Bibliography"/>
        <w:spacing w:line="240" w:lineRule="auto"/>
      </w:pPr>
      <w:r w:rsidRPr="007746C5">
        <w:t xml:space="preserve">Adams, C. I. M., Knapp, M., Gemmell, N. J., Jeunen, G.-J., Bunce, M., Lamare, M. D., &amp; Taylor, H. R. (2019). Beyond Biodiversity: Can Environmental DNA (eDNA) Cut It as a Population Genetics Tool? </w:t>
      </w:r>
      <w:r w:rsidRPr="007746C5">
        <w:rPr>
          <w:i/>
          <w:iCs/>
        </w:rPr>
        <w:t>Genes</w:t>
      </w:r>
      <w:r w:rsidRPr="007746C5">
        <w:t xml:space="preserve">, </w:t>
      </w:r>
      <w:r w:rsidRPr="007746C5">
        <w:rPr>
          <w:i/>
          <w:iCs/>
        </w:rPr>
        <w:t>10</w:t>
      </w:r>
      <w:r w:rsidRPr="007746C5">
        <w:t>(3), 192. https://doi.org/10.3390/genes10030192</w:t>
      </w:r>
    </w:p>
    <w:p w14:paraId="2D3BBFBE" w14:textId="77777777" w:rsidR="007746C5" w:rsidRPr="007746C5" w:rsidRDefault="007746C5" w:rsidP="009A04E6">
      <w:pPr>
        <w:pStyle w:val="Bibliography"/>
        <w:spacing w:line="240" w:lineRule="auto"/>
      </w:pPr>
      <w:r w:rsidRPr="007746C5">
        <w:t xml:space="preserve">Adams, S. N. (1975). Sheep and Cattle Grazing in Forests: A Review. </w:t>
      </w:r>
      <w:r w:rsidRPr="007746C5">
        <w:rPr>
          <w:i/>
          <w:iCs/>
        </w:rPr>
        <w:t>Journal of Applied Ecology</w:t>
      </w:r>
      <w:r w:rsidRPr="007746C5">
        <w:t xml:space="preserve">, </w:t>
      </w:r>
      <w:r w:rsidRPr="007746C5">
        <w:rPr>
          <w:i/>
          <w:iCs/>
        </w:rPr>
        <w:t>12</w:t>
      </w:r>
      <w:r w:rsidRPr="007746C5">
        <w:t>(1), 143–152. https://doi.org/10.2307/2401724</w:t>
      </w:r>
    </w:p>
    <w:p w14:paraId="6837B782" w14:textId="77777777" w:rsidR="007746C5" w:rsidRPr="007746C5" w:rsidRDefault="007746C5" w:rsidP="009A04E6">
      <w:pPr>
        <w:pStyle w:val="Bibliography"/>
        <w:spacing w:line="240" w:lineRule="auto"/>
      </w:pPr>
      <w:r w:rsidRPr="007746C5">
        <w:t xml:space="preserve">Adams, V. M., &amp; Setterfield, S. A. (2015). Optimal dynamic control of invasions: Applying a systematic conservation approach. </w:t>
      </w:r>
      <w:r w:rsidRPr="007746C5">
        <w:rPr>
          <w:i/>
          <w:iCs/>
        </w:rPr>
        <w:t>Ecological Applications</w:t>
      </w:r>
      <w:r w:rsidRPr="007746C5">
        <w:t xml:space="preserve">, </w:t>
      </w:r>
      <w:r w:rsidRPr="007746C5">
        <w:rPr>
          <w:i/>
          <w:iCs/>
        </w:rPr>
        <w:t>25</w:t>
      </w:r>
      <w:r w:rsidRPr="007746C5">
        <w:t>(4), 1131–1141. https://doi.org/10.1890/14-1062.1</w:t>
      </w:r>
    </w:p>
    <w:p w14:paraId="3C87EE1D" w14:textId="77777777" w:rsidR="007746C5" w:rsidRPr="007746C5" w:rsidRDefault="007746C5" w:rsidP="009A04E6">
      <w:pPr>
        <w:pStyle w:val="Bibliography"/>
        <w:spacing w:line="240" w:lineRule="auto"/>
      </w:pPr>
      <w:r w:rsidRPr="007746C5">
        <w:t xml:space="preserve">Adolfi, A., Gantz, V. M., Jasinskiene, N., Lee, H.-F., Hwang, K., Terradas, G., Bulger, E. A., Ramaiah, A., Bennett, J. B., Emerson, J. J., Marshall, J. M., Bier, E., &amp; James, A. A. (2020). Efficient population modification gene-drive rescue system in the malaria mosquito </w:t>
      </w:r>
      <w:r w:rsidRPr="007746C5">
        <w:rPr>
          <w:i/>
          <w:iCs/>
        </w:rPr>
        <w:t>Anopheles stephensi</w:t>
      </w:r>
      <w:r w:rsidRPr="007746C5">
        <w:t xml:space="preserve">. </w:t>
      </w:r>
      <w:r w:rsidRPr="007746C5">
        <w:rPr>
          <w:i/>
          <w:iCs/>
        </w:rPr>
        <w:t>Nature Communications</w:t>
      </w:r>
      <w:r w:rsidRPr="007746C5">
        <w:t xml:space="preserve">, </w:t>
      </w:r>
      <w:r w:rsidRPr="007746C5">
        <w:rPr>
          <w:i/>
          <w:iCs/>
        </w:rPr>
        <w:t>11</w:t>
      </w:r>
      <w:r w:rsidRPr="007746C5">
        <w:t>(1), 5553. https://doi.org/10.1038/s41467-020-19426-0</w:t>
      </w:r>
    </w:p>
    <w:p w14:paraId="45C699FD" w14:textId="77777777" w:rsidR="007746C5" w:rsidRPr="007746C5" w:rsidRDefault="007746C5" w:rsidP="009A04E6">
      <w:pPr>
        <w:pStyle w:val="Bibliography"/>
        <w:spacing w:line="240" w:lineRule="auto"/>
      </w:pPr>
      <w:r w:rsidRPr="007746C5">
        <w:t xml:space="preserve">Adriaens, T., Branquart, E., Gosse, D., Reniers, J., &amp; Vanderhoeven, S. (2019). </w:t>
      </w:r>
      <w:r w:rsidRPr="007746C5">
        <w:rPr>
          <w:i/>
          <w:iCs/>
        </w:rPr>
        <w:t>Feasibility of eradication and spread limitation for species of Union concern sensu the EU IAS Regulation (EU 1143/2014) in Belgium.</w:t>
      </w:r>
      <w:r w:rsidRPr="007746C5">
        <w:t xml:space="preserve"> [Report prepared in support of implementing the IAS Regulation in Belgium]. Instituut voor Natuur- en Bosonderzoek. https://doi.org/10.21436/17033333</w:t>
      </w:r>
    </w:p>
    <w:p w14:paraId="6F0E5560" w14:textId="77777777" w:rsidR="007746C5" w:rsidRPr="007746C5" w:rsidRDefault="007746C5" w:rsidP="009A04E6">
      <w:pPr>
        <w:pStyle w:val="Bibliography"/>
        <w:spacing w:line="240" w:lineRule="auto"/>
      </w:pPr>
      <w:r w:rsidRPr="007746C5">
        <w:t xml:space="preserve">Adriaens, T., Vandegehuchte, M., &amp; Casaer, J. (2018). </w:t>
      </w:r>
      <w:r w:rsidRPr="007746C5">
        <w:rPr>
          <w:i/>
          <w:iCs/>
        </w:rPr>
        <w:t>Guidance for drafting best management practices for invasive alien species</w:t>
      </w:r>
      <w:r w:rsidRPr="007746C5">
        <w:t xml:space="preserve"> (Rapporten van Het Instituut Voor Natuur- En Bosonderzoek Nr. 68). Instituut voor Natuur- en Bosonderzoek. https://doi.org/10.21436/inbor.14912489</w:t>
      </w:r>
    </w:p>
    <w:p w14:paraId="13EE353F" w14:textId="77777777" w:rsidR="007746C5" w:rsidRPr="007746C5" w:rsidRDefault="007746C5" w:rsidP="009A04E6">
      <w:pPr>
        <w:pStyle w:val="Bibliography"/>
        <w:spacing w:line="240" w:lineRule="auto"/>
      </w:pPr>
      <w:r w:rsidRPr="007746C5">
        <w:t xml:space="preserve">Agathokleous, E., Feng, Z., Iavicoli, I., &amp; Calabrese, E. J. (2020). Nano-pesticides: A great challenge for biodiversity? The need for a broader perspective. </w:t>
      </w:r>
      <w:r w:rsidRPr="007746C5">
        <w:rPr>
          <w:i/>
          <w:iCs/>
        </w:rPr>
        <w:t>Nano Today</w:t>
      </w:r>
      <w:r w:rsidRPr="007746C5">
        <w:t xml:space="preserve">, </w:t>
      </w:r>
      <w:r w:rsidRPr="007746C5">
        <w:rPr>
          <w:i/>
          <w:iCs/>
        </w:rPr>
        <w:t>30</w:t>
      </w:r>
      <w:r w:rsidRPr="007746C5">
        <w:t>, 100808. https://doi.org/10.1016/j.nantod.2019.100808</w:t>
      </w:r>
    </w:p>
    <w:p w14:paraId="347D5E9F" w14:textId="77777777" w:rsidR="007746C5" w:rsidRPr="007746C5" w:rsidRDefault="007746C5" w:rsidP="009A04E6">
      <w:pPr>
        <w:pStyle w:val="Bibliography"/>
        <w:spacing w:line="240" w:lineRule="auto"/>
      </w:pPr>
      <w:r w:rsidRPr="007746C5">
        <w:t xml:space="preserve">Ågren, J. A., &amp; Clark, A. G. (2018). Selfish genetic elements. </w:t>
      </w:r>
      <w:r w:rsidRPr="007746C5">
        <w:rPr>
          <w:i/>
          <w:iCs/>
        </w:rPr>
        <w:t>PLOS Genetics</w:t>
      </w:r>
      <w:r w:rsidRPr="007746C5">
        <w:t xml:space="preserve">, </w:t>
      </w:r>
      <w:r w:rsidRPr="007746C5">
        <w:rPr>
          <w:i/>
          <w:iCs/>
        </w:rPr>
        <w:t>14</w:t>
      </w:r>
      <w:r w:rsidRPr="007746C5">
        <w:t>(11), e1007700. https://doi.org/10.1371/journal.pgen.1007700</w:t>
      </w:r>
    </w:p>
    <w:p w14:paraId="48A3BE19" w14:textId="77777777" w:rsidR="007746C5" w:rsidRPr="007746C5" w:rsidRDefault="007746C5" w:rsidP="009A04E6">
      <w:pPr>
        <w:pStyle w:val="Bibliography"/>
        <w:spacing w:line="240" w:lineRule="auto"/>
      </w:pPr>
      <w:r w:rsidRPr="007746C5">
        <w:lastRenderedPageBreak/>
        <w:t xml:space="preserve">Aguanno, R. D., Lamielle, G., von Dobschuetz, S., &amp; Dhingra, M. (2019). The power of evaluations: One year review of FAO’s surveillance evaluation tool (SET) and tracking future impacts. </w:t>
      </w:r>
      <w:r w:rsidRPr="007746C5">
        <w:rPr>
          <w:i/>
          <w:iCs/>
        </w:rPr>
        <w:t>International Journal of Infectious Diseases</w:t>
      </w:r>
      <w:r w:rsidRPr="007746C5">
        <w:t xml:space="preserve">, </w:t>
      </w:r>
      <w:r w:rsidRPr="007746C5">
        <w:rPr>
          <w:i/>
          <w:iCs/>
        </w:rPr>
        <w:t>79</w:t>
      </w:r>
      <w:r w:rsidRPr="007746C5">
        <w:t>, 110–111. https://doi.org/10.1016/j.ijid.2018.11.274</w:t>
      </w:r>
    </w:p>
    <w:p w14:paraId="4CC091BC" w14:textId="77777777" w:rsidR="007746C5" w:rsidRPr="007746C5" w:rsidRDefault="007746C5" w:rsidP="009A04E6">
      <w:pPr>
        <w:pStyle w:val="Bibliography"/>
        <w:spacing w:line="240" w:lineRule="auto"/>
      </w:pPr>
      <w:r w:rsidRPr="007746C5">
        <w:t xml:space="preserve">Aguirre-Muñoz, A., Bedolla-Guzmán, Y., Hernández-Montoya, J., Latofski-Robles, M., Luna-Mendoza, L., Méndez-Sánchez, F., Ortiz-Alcaraz, A., Rojas-Mayoral, E., &amp; Samaniego-Herrera, A. (2018). The Conservation and Restoration of the Mexican Islands, a Successful Comprehensive and Collaborative Approach Relevant for Global Biodiversity. In A. Ortega-Rubio (Ed.), </w:t>
      </w:r>
      <w:r w:rsidRPr="007746C5">
        <w:rPr>
          <w:i/>
          <w:iCs/>
        </w:rPr>
        <w:t>Mexican Natural Resources Management and Biodiversity Conservation: Recent Case Studies</w:t>
      </w:r>
      <w:r w:rsidRPr="007746C5">
        <w:t xml:space="preserve"> (pp. 177–192). Springer International Publishing. https://doi.org/10.1007/978-3-319-90584-6_9</w:t>
      </w:r>
    </w:p>
    <w:p w14:paraId="12A3AC2C" w14:textId="77777777" w:rsidR="007746C5" w:rsidRPr="007746C5" w:rsidRDefault="007746C5" w:rsidP="009A04E6">
      <w:pPr>
        <w:pStyle w:val="Bibliography"/>
        <w:spacing w:line="240" w:lineRule="auto"/>
      </w:pPr>
      <w:r w:rsidRPr="007746C5">
        <w:t xml:space="preserve">Aguirre-Muñoz, A., Samaniego-Herrera, A., Luna-Mendoza, L., Ortiz-Alcaraz, A., Méndez Sánchez, F., &amp; Hernández-Montoya, J. C. (2016). La restauración ambiental exitosa de las islas de México: Una reflexión sobre los avances a la fecha y los retos por venir. In E. Ceccon &amp; C. Martínez-Garza (Eds.), </w:t>
      </w:r>
      <w:r w:rsidRPr="007746C5">
        <w:rPr>
          <w:i/>
          <w:iCs/>
        </w:rPr>
        <w:t>Experiencias mexicanas en la restauración de los ecosistemas</w:t>
      </w:r>
      <w:r w:rsidRPr="007746C5">
        <w:t xml:space="preserve"> (pp. 487–512). UNAM, UAEM, CONABIO. https://doi.org/10.22201/crim.9786070294778e.2017</w:t>
      </w:r>
    </w:p>
    <w:p w14:paraId="2C10C36A" w14:textId="77777777" w:rsidR="007746C5" w:rsidRPr="007746C5" w:rsidRDefault="007746C5" w:rsidP="009A04E6">
      <w:pPr>
        <w:pStyle w:val="Bibliography"/>
        <w:spacing w:line="240" w:lineRule="auto"/>
      </w:pPr>
      <w:r w:rsidRPr="007746C5">
        <w:t xml:space="preserve">Aguirre-Muñoz, A., Samaniego-Herrera, A., Luna-Mendoza, L., Ortiz-Alcaraz, A., Rodriguez-Malagón, M., Félix-Lizárraga, M., Méndez Sánchez, F., González-Gómez, R., Torres-García, F., Hernández-Montoya, J. C., Barredo-Barberena, J. M., &amp; Latofski-Robles, M. (2011). Eradications of invasive mammals on islands in Mexico: The roles of history and the collaboration between government agencies, local communities and a non-government organisation. In C. R. Veitch, M. N. Clout, &amp; D. R. Towns (Eds.), </w:t>
      </w:r>
      <w:r w:rsidRPr="007746C5">
        <w:rPr>
          <w:i/>
          <w:iCs/>
        </w:rPr>
        <w:t>Island invasives: Eradication and management: Proceedings of the International Conference on Island Invasives</w:t>
      </w:r>
      <w:r w:rsidRPr="007746C5">
        <w:t xml:space="preserve"> (pp. 386–394). IUCN and The Centre for Biodiversity and Biosecurity (CBB). https://www.academia.edu/50362808/Eradications_of_invasive_mammals_on_islands_in_Mexico_the_roles_of_history_and_the_collaboration_between_government_agencies_local_communities_and_a_non_government_organisation</w:t>
      </w:r>
    </w:p>
    <w:p w14:paraId="1A259286" w14:textId="77777777" w:rsidR="007746C5" w:rsidRPr="007746C5" w:rsidRDefault="007746C5" w:rsidP="009A04E6">
      <w:pPr>
        <w:pStyle w:val="Bibliography"/>
        <w:spacing w:line="240" w:lineRule="auto"/>
      </w:pPr>
      <w:r w:rsidRPr="007746C5">
        <w:t xml:space="preserve">Aiken, C., Davey, N., Chungul, K., Bach, T., Rangan, H., &amp; Kull, C. (2015). </w:t>
      </w:r>
      <w:r w:rsidRPr="007746C5">
        <w:rPr>
          <w:i/>
          <w:iCs/>
        </w:rPr>
        <w:t>Managing Weeds on Bunuba Country in the Kimberley, Western Australia</w:t>
      </w:r>
      <w:r w:rsidRPr="007746C5">
        <w:t>. https://christiankull.files.wordpress.com/2016/01/aiken-et-al-2015-bunuba-weeds.pdf</w:t>
      </w:r>
    </w:p>
    <w:p w14:paraId="2E72F06E" w14:textId="77777777" w:rsidR="007746C5" w:rsidRPr="007746C5" w:rsidRDefault="007746C5" w:rsidP="009A04E6">
      <w:pPr>
        <w:pStyle w:val="Bibliography"/>
        <w:spacing w:line="240" w:lineRule="auto"/>
      </w:pPr>
      <w:r w:rsidRPr="007746C5">
        <w:t xml:space="preserve">Airoldi, L., &amp; Bulleri, F. (2011). Anthropogenic Disturbance Can Determine the Magnitude of Opportunistic Species Responses on Marine Urban Infrastructures. </w:t>
      </w:r>
      <w:r w:rsidRPr="007746C5">
        <w:rPr>
          <w:i/>
          <w:iCs/>
        </w:rPr>
        <w:t>PLoS ONE</w:t>
      </w:r>
      <w:r w:rsidRPr="007746C5">
        <w:t xml:space="preserve">, </w:t>
      </w:r>
      <w:r w:rsidRPr="007746C5">
        <w:rPr>
          <w:i/>
          <w:iCs/>
        </w:rPr>
        <w:t>6</w:t>
      </w:r>
      <w:r w:rsidRPr="007746C5">
        <w:t>(8), e22985. https://doi.org/10.1371/journal.pone.0022985</w:t>
      </w:r>
    </w:p>
    <w:p w14:paraId="0A7E65F6" w14:textId="77777777" w:rsidR="007746C5" w:rsidRPr="007746C5" w:rsidRDefault="007746C5" w:rsidP="009A04E6">
      <w:pPr>
        <w:pStyle w:val="Bibliography"/>
        <w:spacing w:line="240" w:lineRule="auto"/>
      </w:pPr>
      <w:r w:rsidRPr="007746C5">
        <w:t xml:space="preserve">Akter, S., Kompas, T., &amp; Ward, M. B. (2015). Application of portfolio theory to asset-based biosecurity decision analysis. </w:t>
      </w:r>
      <w:r w:rsidRPr="007746C5">
        <w:rPr>
          <w:i/>
          <w:iCs/>
        </w:rPr>
        <w:t>Ecological Economics</w:t>
      </w:r>
      <w:r w:rsidRPr="007746C5">
        <w:t xml:space="preserve">, </w:t>
      </w:r>
      <w:r w:rsidRPr="007746C5">
        <w:rPr>
          <w:i/>
          <w:iCs/>
        </w:rPr>
        <w:t>117</w:t>
      </w:r>
      <w:r w:rsidRPr="007746C5">
        <w:t>, 73–85. https://doi.org/10.1016/j.ecolecon.2015.06.020</w:t>
      </w:r>
    </w:p>
    <w:p w14:paraId="2E1A321C" w14:textId="77777777" w:rsidR="007746C5" w:rsidRPr="007746C5" w:rsidRDefault="007746C5" w:rsidP="009A04E6">
      <w:pPr>
        <w:pStyle w:val="Bibliography"/>
        <w:spacing w:line="240" w:lineRule="auto"/>
      </w:pPr>
      <w:r w:rsidRPr="007746C5">
        <w:t xml:space="preserve">Alaniz, A. J., Núñez-Hidalgo, I., Carvajal, M. A., Alvarenga, T. M., Gómez-Cantillana, P., &amp; Vergara, P. M. (2020). Current and future spatial assessment of biological control as a mechanism to reduce economic losses and carbon emissions: The case of </w:t>
      </w:r>
      <w:r w:rsidRPr="007746C5">
        <w:rPr>
          <w:i/>
          <w:iCs/>
        </w:rPr>
        <w:t>Solanum sisymbriifolium</w:t>
      </w:r>
      <w:r w:rsidRPr="007746C5">
        <w:t xml:space="preserve"> in Africa. </w:t>
      </w:r>
      <w:r w:rsidRPr="007746C5">
        <w:rPr>
          <w:i/>
          <w:iCs/>
        </w:rPr>
        <w:t>Pest Management Science</w:t>
      </w:r>
      <w:r w:rsidRPr="007746C5">
        <w:t xml:space="preserve">, </w:t>
      </w:r>
      <w:r w:rsidRPr="007746C5">
        <w:rPr>
          <w:i/>
          <w:iCs/>
        </w:rPr>
        <w:t>76</w:t>
      </w:r>
      <w:r w:rsidRPr="007746C5">
        <w:t>(7), 2395–2405. https://doi.org/10.1002/ps.5776</w:t>
      </w:r>
    </w:p>
    <w:p w14:paraId="3E01284D" w14:textId="77777777" w:rsidR="007746C5" w:rsidRPr="007746C5" w:rsidRDefault="007746C5" w:rsidP="009A04E6">
      <w:pPr>
        <w:pStyle w:val="Bibliography"/>
        <w:spacing w:line="240" w:lineRule="auto"/>
      </w:pPr>
      <w:r w:rsidRPr="007746C5">
        <w:t xml:space="preserve">Aldridge, D. C., Aldridge, S. L., Mead, A., Scales, H., Smith, R. K., Zieritz, A., &amp; Sutherland, W. J. (2015). </w:t>
      </w:r>
      <w:r w:rsidRPr="007746C5">
        <w:rPr>
          <w:i/>
          <w:iCs/>
        </w:rPr>
        <w:t>Control of freshwater invasive species: Global evidence for the effects of selected interventions</w:t>
      </w:r>
      <w:r w:rsidRPr="007746C5">
        <w:t>. The University of Cambridge. http://dx.doi.org/10.13140/RG.2.2.22197.58084</w:t>
      </w:r>
    </w:p>
    <w:p w14:paraId="4D73DA6E" w14:textId="77777777" w:rsidR="007746C5" w:rsidRPr="007746C5" w:rsidRDefault="007746C5" w:rsidP="009A04E6">
      <w:pPr>
        <w:pStyle w:val="Bibliography"/>
        <w:spacing w:line="240" w:lineRule="auto"/>
      </w:pPr>
      <w:r w:rsidRPr="007746C5">
        <w:t xml:space="preserve">Aldridge, D. C., Ho, S., &amp; Froufe, E. (2014). The Ponto-Caspian quagga mussel, </w:t>
      </w:r>
      <w:r w:rsidRPr="007746C5">
        <w:rPr>
          <w:i/>
          <w:iCs/>
        </w:rPr>
        <w:t>Dreissena rostriformis bugensis</w:t>
      </w:r>
      <w:r w:rsidRPr="007746C5">
        <w:t xml:space="preserve"> (Andrusov, 1897), invades Great Britain. </w:t>
      </w:r>
      <w:r w:rsidRPr="007746C5">
        <w:rPr>
          <w:i/>
          <w:iCs/>
        </w:rPr>
        <w:t>Aquatic Invasions</w:t>
      </w:r>
      <w:r w:rsidRPr="007746C5">
        <w:t xml:space="preserve">, </w:t>
      </w:r>
      <w:r w:rsidRPr="007746C5">
        <w:rPr>
          <w:i/>
          <w:iCs/>
        </w:rPr>
        <w:t>9</w:t>
      </w:r>
      <w:r w:rsidRPr="007746C5">
        <w:t>(4), 529–535. https://doi.org/10.3391/ai.2014.9.4.11</w:t>
      </w:r>
    </w:p>
    <w:p w14:paraId="708F7A3C" w14:textId="77777777" w:rsidR="007746C5" w:rsidRPr="007746C5" w:rsidRDefault="007746C5" w:rsidP="009A04E6">
      <w:pPr>
        <w:pStyle w:val="Bibliography"/>
        <w:spacing w:line="240" w:lineRule="auto"/>
      </w:pPr>
      <w:r w:rsidRPr="007746C5">
        <w:t xml:space="preserve">Alexander, J. M., Frankel, S. J., Hapner, N., Phillips, J. L., &amp; Dupuis, V. (2017). Working across Cultures to Protect Native American Natural and Cultural Resources from Invasive Species in California. </w:t>
      </w:r>
      <w:r w:rsidRPr="007746C5">
        <w:rPr>
          <w:i/>
          <w:iCs/>
        </w:rPr>
        <w:t>Journal of Forestry</w:t>
      </w:r>
      <w:r w:rsidRPr="007746C5">
        <w:t xml:space="preserve">, </w:t>
      </w:r>
      <w:r w:rsidRPr="007746C5">
        <w:rPr>
          <w:i/>
          <w:iCs/>
        </w:rPr>
        <w:t>115</w:t>
      </w:r>
      <w:r w:rsidRPr="007746C5">
        <w:t>(5), 473–479. https://doi.org/10.5849/jof.16-018</w:t>
      </w:r>
    </w:p>
    <w:p w14:paraId="4B514C8D" w14:textId="77777777" w:rsidR="007746C5" w:rsidRPr="007746C5" w:rsidRDefault="007746C5" w:rsidP="009A04E6">
      <w:pPr>
        <w:pStyle w:val="Bibliography"/>
        <w:spacing w:line="240" w:lineRule="auto"/>
      </w:pPr>
      <w:r w:rsidRPr="007746C5">
        <w:lastRenderedPageBreak/>
        <w:t xml:space="preserve">Allan, B. F., Dutra, H. P., Goessling, L. S., Barnett, K., Chase, J. M., Marquis, R. J., Pang, G., Storch, G. A., Thach, R. E., &amp; Orrock, J. L. (2010). Invasive honeysuckle eradication reduces tick-borne disease risk by altering host dynamics. </w:t>
      </w:r>
      <w:r w:rsidRPr="007746C5">
        <w:rPr>
          <w:i/>
          <w:iCs/>
        </w:rPr>
        <w:t>Proceedings of the National Academy of Sciences</w:t>
      </w:r>
      <w:r w:rsidRPr="007746C5">
        <w:t xml:space="preserve">, </w:t>
      </w:r>
      <w:r w:rsidRPr="007746C5">
        <w:rPr>
          <w:i/>
          <w:iCs/>
        </w:rPr>
        <w:t>107</w:t>
      </w:r>
      <w:r w:rsidRPr="007746C5">
        <w:t>(43), 18523–18527. https://doi.org/10.1073/pnas.1008362107</w:t>
      </w:r>
    </w:p>
    <w:p w14:paraId="08F2A7B3" w14:textId="77777777" w:rsidR="007746C5" w:rsidRPr="007746C5" w:rsidRDefault="007746C5" w:rsidP="009A04E6">
      <w:pPr>
        <w:pStyle w:val="Bibliography"/>
        <w:spacing w:line="240" w:lineRule="auto"/>
      </w:pPr>
      <w:r w:rsidRPr="007746C5">
        <w:t xml:space="preserve">Amer, W., Ashong, S., &amp; Tiomoko, D. (2015). </w:t>
      </w:r>
      <w:r w:rsidRPr="007746C5">
        <w:rPr>
          <w:i/>
          <w:iCs/>
        </w:rPr>
        <w:t>Management Manual for UNESCO Biosphere Reserves in Africa</w:t>
      </w:r>
      <w:r w:rsidRPr="007746C5">
        <w:t xml:space="preserve"> (German Commission for UNESCO, Ed.). https://www.unesco.de/media/776</w:t>
      </w:r>
    </w:p>
    <w:p w14:paraId="601835C6" w14:textId="77777777" w:rsidR="007746C5" w:rsidRPr="007746C5" w:rsidRDefault="007746C5" w:rsidP="009A04E6">
      <w:pPr>
        <w:pStyle w:val="Bibliography"/>
        <w:spacing w:line="240" w:lineRule="auto"/>
      </w:pPr>
      <w:r w:rsidRPr="007746C5">
        <w:t xml:space="preserve">Amstrup, S. C., York, G., McDonald, T. L., Nielson, R., &amp; Simac, K. (2004). Detecting Denning Polar Bears with Forward-Looking Infrared (FLIR) Imagery. </w:t>
      </w:r>
      <w:r w:rsidRPr="007746C5">
        <w:rPr>
          <w:i/>
          <w:iCs/>
        </w:rPr>
        <w:t>BioScience</w:t>
      </w:r>
      <w:r w:rsidRPr="007746C5">
        <w:t xml:space="preserve">, </w:t>
      </w:r>
      <w:r w:rsidRPr="007746C5">
        <w:rPr>
          <w:i/>
          <w:iCs/>
        </w:rPr>
        <w:t>54</w:t>
      </w:r>
      <w:r w:rsidRPr="007746C5">
        <w:t>(4), 337–344. https://doi.org/10.1641/0006-3568(2004)054[0337:DDPBWF]2.0.CO;2</w:t>
      </w:r>
    </w:p>
    <w:p w14:paraId="1BD3CC2B" w14:textId="77777777" w:rsidR="007746C5" w:rsidRPr="007746C5" w:rsidRDefault="007746C5" w:rsidP="009A04E6">
      <w:pPr>
        <w:pStyle w:val="Bibliography"/>
        <w:spacing w:line="240" w:lineRule="auto"/>
      </w:pPr>
      <w:r w:rsidRPr="007746C5">
        <w:t xml:space="preserve">Anandhi, S., Saminathan, V. R., Yasotha, P., Saravanan, P. T., &amp; Rajanbabu, V. (2020). Nano-pesticides in pest management. </w:t>
      </w:r>
      <w:r w:rsidRPr="007746C5">
        <w:rPr>
          <w:i/>
          <w:iCs/>
        </w:rPr>
        <w:t>Journal of Entomology and Zoology Studies</w:t>
      </w:r>
      <w:r w:rsidRPr="007746C5">
        <w:t xml:space="preserve">, </w:t>
      </w:r>
      <w:r w:rsidRPr="007746C5">
        <w:rPr>
          <w:i/>
          <w:iCs/>
        </w:rPr>
        <w:t>8</w:t>
      </w:r>
      <w:r w:rsidRPr="007746C5">
        <w:t>(4), 685–690. https://www.entomoljournal.com/archives/2020/vol8issue4/PartL/8-3-380-752.pdf</w:t>
      </w:r>
    </w:p>
    <w:p w14:paraId="274C3BEE" w14:textId="77777777" w:rsidR="007746C5" w:rsidRPr="007746C5" w:rsidRDefault="007746C5" w:rsidP="009A04E6">
      <w:pPr>
        <w:pStyle w:val="Bibliography"/>
        <w:spacing w:line="240" w:lineRule="auto"/>
      </w:pPr>
      <w:r w:rsidRPr="007746C5">
        <w:t xml:space="preserve">Anderson, L. G., Chapman, J. K., Escontrela, D., &amp; Gough, C. L. A. (2017). The role of conservation volunteers in the detection, monitoring and management of invasive alien lionfish. </w:t>
      </w:r>
      <w:r w:rsidRPr="007746C5">
        <w:rPr>
          <w:i/>
          <w:iCs/>
        </w:rPr>
        <w:t>Management of Biological Invasions</w:t>
      </w:r>
      <w:r w:rsidRPr="007746C5">
        <w:t xml:space="preserve">, </w:t>
      </w:r>
      <w:r w:rsidRPr="007746C5">
        <w:rPr>
          <w:i/>
          <w:iCs/>
        </w:rPr>
        <w:t>8</w:t>
      </w:r>
      <w:r w:rsidRPr="007746C5">
        <w:t>(4), 589–598. https://doi.org/10.3391/mbi.2017.8.4.14</w:t>
      </w:r>
    </w:p>
    <w:p w14:paraId="32A3D6AE" w14:textId="77777777" w:rsidR="007746C5" w:rsidRPr="007746C5" w:rsidRDefault="007746C5" w:rsidP="009A04E6">
      <w:pPr>
        <w:pStyle w:val="Bibliography"/>
        <w:spacing w:line="240" w:lineRule="auto"/>
      </w:pPr>
      <w:r w:rsidRPr="007746C5">
        <w:t xml:space="preserve">Anderson, L. G., Rocliffe, S., Haddaway, N. R., &amp; Dunn, A. M. (2015). The Role of Tourism and Recreation in the Spread of Non-Native Species: A Systematic Review and Meta-Analysis. </w:t>
      </w:r>
      <w:r w:rsidRPr="007746C5">
        <w:rPr>
          <w:i/>
          <w:iCs/>
        </w:rPr>
        <w:t>PLoS ONE</w:t>
      </w:r>
      <w:r w:rsidRPr="007746C5">
        <w:t xml:space="preserve">, </w:t>
      </w:r>
      <w:r w:rsidRPr="007746C5">
        <w:rPr>
          <w:i/>
          <w:iCs/>
        </w:rPr>
        <w:t>10</w:t>
      </w:r>
      <w:r w:rsidRPr="007746C5">
        <w:t>(10), e0140833. https://doi.org/10.1371/journal.pone.0140833</w:t>
      </w:r>
    </w:p>
    <w:p w14:paraId="526F940C" w14:textId="77777777" w:rsidR="007746C5" w:rsidRPr="007746C5" w:rsidRDefault="007746C5" w:rsidP="009A04E6">
      <w:pPr>
        <w:pStyle w:val="Bibliography"/>
        <w:spacing w:line="240" w:lineRule="auto"/>
      </w:pPr>
      <w:r w:rsidRPr="007746C5">
        <w:t xml:space="preserve">Anderson, L. W. J. (2005). California’s reaction to </w:t>
      </w:r>
      <w:r w:rsidRPr="007746C5">
        <w:rPr>
          <w:i/>
          <w:iCs/>
        </w:rPr>
        <w:t>Caulerpa taxifolia</w:t>
      </w:r>
      <w:r w:rsidRPr="007746C5">
        <w:t xml:space="preserve">: A model for invasive species rapid response. </w:t>
      </w:r>
      <w:r w:rsidRPr="007746C5">
        <w:rPr>
          <w:i/>
          <w:iCs/>
        </w:rPr>
        <w:t>Biological Invasions</w:t>
      </w:r>
      <w:r w:rsidRPr="007746C5">
        <w:t xml:space="preserve">, </w:t>
      </w:r>
      <w:r w:rsidRPr="007746C5">
        <w:rPr>
          <w:i/>
          <w:iCs/>
        </w:rPr>
        <w:t>7</w:t>
      </w:r>
      <w:r w:rsidRPr="007746C5">
        <w:t>(6), 1003–1016. https://doi.org/10.1007/s10530-004-3123-z</w:t>
      </w:r>
    </w:p>
    <w:p w14:paraId="1D8F6B1A" w14:textId="77777777" w:rsidR="007746C5" w:rsidRPr="007746C5" w:rsidRDefault="007746C5" w:rsidP="009A04E6">
      <w:pPr>
        <w:pStyle w:val="Bibliography"/>
        <w:spacing w:line="240" w:lineRule="auto"/>
      </w:pPr>
      <w:r w:rsidRPr="007746C5">
        <w:t xml:space="preserve">Andreu, J., &amp; Vilà, M. (2010). Risk analysis of potential invasive plants in Spain. </w:t>
      </w:r>
      <w:r w:rsidRPr="007746C5">
        <w:rPr>
          <w:i/>
          <w:iCs/>
        </w:rPr>
        <w:t>Journal for Nature Conservation</w:t>
      </w:r>
      <w:r w:rsidRPr="007746C5">
        <w:t xml:space="preserve">, </w:t>
      </w:r>
      <w:r w:rsidRPr="007746C5">
        <w:rPr>
          <w:i/>
          <w:iCs/>
        </w:rPr>
        <w:t>18</w:t>
      </w:r>
      <w:r w:rsidRPr="007746C5">
        <w:t>(1), 34–44. https://doi.org/10.1016/j.jnc.2009.02.002</w:t>
      </w:r>
    </w:p>
    <w:p w14:paraId="220C76A6" w14:textId="77777777" w:rsidR="007746C5" w:rsidRPr="007746C5" w:rsidRDefault="007746C5" w:rsidP="009A04E6">
      <w:pPr>
        <w:pStyle w:val="Bibliography"/>
        <w:spacing w:line="240" w:lineRule="auto"/>
      </w:pPr>
      <w:r w:rsidRPr="007746C5">
        <w:t xml:space="preserve">Angujo, B. (2015, April 28). </w:t>
      </w:r>
      <w:r w:rsidRPr="007746C5">
        <w:rPr>
          <w:i/>
          <w:iCs/>
        </w:rPr>
        <w:t>Ugandan cultural King arbitrates Kenyan politician</w:t>
      </w:r>
      <w:r w:rsidRPr="007746C5">
        <w:t>. The Standard. https://www.standardmedia.co.ke/ureport/article/2000160058/ugandan-cultural-king-arbitrates-kenyan-politician</w:t>
      </w:r>
    </w:p>
    <w:p w14:paraId="53308C9B" w14:textId="77777777" w:rsidR="007746C5" w:rsidRPr="007746C5" w:rsidRDefault="007746C5" w:rsidP="009A04E6">
      <w:pPr>
        <w:pStyle w:val="Bibliography"/>
        <w:spacing w:line="240" w:lineRule="auto"/>
      </w:pPr>
      <w:r w:rsidRPr="007746C5">
        <w:t xml:space="preserve">Anitha, V., Santheep, K. V., &amp; Jyotsna Krishnakumar. (2017). Social and economic implications of </w:t>
      </w:r>
      <w:r w:rsidRPr="007746C5">
        <w:rPr>
          <w:i/>
          <w:iCs/>
        </w:rPr>
        <w:t>Mikania micrantha</w:t>
      </w:r>
      <w:r w:rsidRPr="007746C5">
        <w:t xml:space="preserve"> in the Kerala Western Ghats. In C. A. Ellison, K. V. Sankaran, &amp; S. T. Murphy (Eds.), </w:t>
      </w:r>
      <w:r w:rsidRPr="007746C5">
        <w:rPr>
          <w:i/>
          <w:iCs/>
        </w:rPr>
        <w:t>Invasive alien plants: Impacts on development and options for management</w:t>
      </w:r>
      <w:r w:rsidRPr="007746C5">
        <w:t xml:space="preserve"> (pp. 29–38). CABI. https://doi.org/10.1079/9781780646275.0029</w:t>
      </w:r>
    </w:p>
    <w:p w14:paraId="088EE908" w14:textId="77777777" w:rsidR="007746C5" w:rsidRPr="007746C5" w:rsidRDefault="007746C5" w:rsidP="009A04E6">
      <w:pPr>
        <w:pStyle w:val="Bibliography"/>
        <w:spacing w:line="240" w:lineRule="auto"/>
      </w:pPr>
      <w:r w:rsidRPr="007746C5">
        <w:t xml:space="preserve">Anon. (2001). </w:t>
      </w:r>
      <w:r w:rsidRPr="007746C5">
        <w:rPr>
          <w:i/>
          <w:iCs/>
        </w:rPr>
        <w:t>Red Imported Fire Ants – Auckland Airport 2001</w:t>
      </w:r>
      <w:r w:rsidRPr="007746C5">
        <w:t>. https://www.cbd.int/doc/submissions/ias/ias-nz-ant-2007-en.pdf</w:t>
      </w:r>
    </w:p>
    <w:p w14:paraId="6D8E9FC3" w14:textId="77777777" w:rsidR="007746C5" w:rsidRPr="007746C5" w:rsidRDefault="007746C5" w:rsidP="009A04E6">
      <w:pPr>
        <w:pStyle w:val="Bibliography"/>
        <w:spacing w:line="240" w:lineRule="auto"/>
      </w:pPr>
      <w:r w:rsidRPr="007746C5">
        <w:rPr>
          <w:rFonts w:hint="eastAsia"/>
        </w:rPr>
        <w:t>Aquiloni, L., Becciolini, A., Berti, R., Porciani, S., Trunfio, C., &amp; Gherardi, F. (2009). Managing invasive crayfish: Use of X</w:t>
      </w:r>
      <w:r w:rsidRPr="007746C5">
        <w:rPr>
          <w:rFonts w:hint="eastAsia"/>
        </w:rPr>
        <w:t>‐</w:t>
      </w:r>
      <w:r w:rsidRPr="007746C5">
        <w:rPr>
          <w:rFonts w:hint="eastAsia"/>
        </w:rPr>
        <w:t xml:space="preserve">ray sterilisation of males. </w:t>
      </w:r>
      <w:r w:rsidRPr="007746C5">
        <w:rPr>
          <w:i/>
          <w:iCs/>
        </w:rPr>
        <w:t>Freshwater Biology</w:t>
      </w:r>
      <w:r w:rsidRPr="007746C5">
        <w:t xml:space="preserve">, </w:t>
      </w:r>
      <w:r w:rsidRPr="007746C5">
        <w:rPr>
          <w:i/>
          <w:iCs/>
        </w:rPr>
        <w:t>54</w:t>
      </w:r>
      <w:r w:rsidRPr="007746C5">
        <w:t>(7), 1510–1519. https://doi.org/10.1111/j.1365-2427.2009.02169.x</w:t>
      </w:r>
    </w:p>
    <w:p w14:paraId="1393DD1A" w14:textId="77777777" w:rsidR="007746C5" w:rsidRPr="007746C5" w:rsidRDefault="007746C5" w:rsidP="009A04E6">
      <w:pPr>
        <w:pStyle w:val="Bibliography"/>
        <w:spacing w:line="240" w:lineRule="auto"/>
      </w:pPr>
      <w:r w:rsidRPr="007746C5">
        <w:t xml:space="preserve">Argentine Naval Prefecture. (2021). </w:t>
      </w:r>
      <w:r w:rsidRPr="007746C5">
        <w:rPr>
          <w:i/>
          <w:iCs/>
        </w:rPr>
        <w:t>Good practices manual: Maintenance of vessels, equipment and infrastructure related to the different maritime activities</w:t>
      </w:r>
      <w:r w:rsidRPr="007746C5">
        <w:t>. https://www.argentina.gob.ar/sites/default/files/2023/06/manual_buenas_practicas_2020_0.pdf</w:t>
      </w:r>
    </w:p>
    <w:p w14:paraId="2A95D93B" w14:textId="77777777" w:rsidR="007746C5" w:rsidRPr="007746C5" w:rsidRDefault="007746C5" w:rsidP="009A04E6">
      <w:pPr>
        <w:pStyle w:val="Bibliography"/>
        <w:spacing w:line="240" w:lineRule="auto"/>
      </w:pPr>
      <w:r w:rsidRPr="007746C5">
        <w:t xml:space="preserve">Arndt, E., Robinson, A., &amp; Hester, S. (2021). </w:t>
      </w:r>
      <w:r w:rsidRPr="007746C5">
        <w:rPr>
          <w:i/>
          <w:iCs/>
        </w:rPr>
        <w:t>Factors that influence vessel biofouling and its prevention and management</w:t>
      </w:r>
      <w:r w:rsidRPr="007746C5">
        <w:t xml:space="preserve"> (p. 106) [Final report for CEBRA Project 190803]. https://cebra.unimelb.edu.au/__data/assets/pdf_file/0010/3822922/Endorsed-CEBRA-190803-Final-Report.pdf</w:t>
      </w:r>
    </w:p>
    <w:p w14:paraId="51BB7B68" w14:textId="77777777" w:rsidR="007746C5" w:rsidRPr="007746C5" w:rsidRDefault="007746C5" w:rsidP="009A04E6">
      <w:pPr>
        <w:pStyle w:val="Bibliography"/>
        <w:spacing w:line="240" w:lineRule="auto"/>
      </w:pPr>
      <w:r w:rsidRPr="007746C5">
        <w:t xml:space="preserve">Aronson, M. F. J., La Sorte, F. A., Nilon, C. H., Katti, M., Goddard, M. A., Lepczyk, C. A., Warren, P. S., Williams, N. S. G., Cilliers, S., Clarkson, B., Dobbs, C., Dolan, R., Hedblom, M., Klotz, S., Kooijmans, J. L., Kühn, I., MacGregor-Fors, I., McDonnell, M., Mörtberg, U., … Winter, M. (2014). A global analysis of the impacts of urbanization on bird and plant diversity reveals key anthropogenic drivers. </w:t>
      </w:r>
      <w:r w:rsidRPr="007746C5">
        <w:rPr>
          <w:i/>
          <w:iCs/>
        </w:rPr>
        <w:t>Proceedings of the Royal Society B: Biological Sciences</w:t>
      </w:r>
      <w:r w:rsidRPr="007746C5">
        <w:t xml:space="preserve">, </w:t>
      </w:r>
      <w:r w:rsidRPr="007746C5">
        <w:rPr>
          <w:i/>
          <w:iCs/>
        </w:rPr>
        <w:t>281</w:t>
      </w:r>
      <w:r w:rsidRPr="007746C5">
        <w:t>(1780), 20133330. https://doi.org/10.1098/rspb.2013.3330</w:t>
      </w:r>
    </w:p>
    <w:p w14:paraId="207A2FDB" w14:textId="77777777" w:rsidR="007746C5" w:rsidRPr="007746C5" w:rsidRDefault="007746C5" w:rsidP="009A04E6">
      <w:pPr>
        <w:pStyle w:val="Bibliography"/>
        <w:spacing w:line="240" w:lineRule="auto"/>
      </w:pPr>
      <w:r w:rsidRPr="007746C5">
        <w:lastRenderedPageBreak/>
        <w:t xml:space="preserve">Arora, D. K. (Ed.). (2003). </w:t>
      </w:r>
      <w:r w:rsidRPr="007746C5">
        <w:rPr>
          <w:i/>
          <w:iCs/>
        </w:rPr>
        <w:t>Fungal Biotechnology in Agricultural, Food, and Environmental Applications</w:t>
      </w:r>
      <w:r w:rsidRPr="007746C5">
        <w:t>. CRC Press. https://doi.org/10.1201/9780203913369</w:t>
      </w:r>
    </w:p>
    <w:p w14:paraId="0A8AADB1" w14:textId="77777777" w:rsidR="007746C5" w:rsidRPr="007746C5" w:rsidRDefault="007746C5" w:rsidP="009A04E6">
      <w:pPr>
        <w:pStyle w:val="Bibliography"/>
        <w:spacing w:line="240" w:lineRule="auto"/>
      </w:pPr>
      <w:r w:rsidRPr="007746C5">
        <w:t xml:space="preserve">Asa, C., &amp; Moresco, A. (2019). Fertility Control in Wildlife: Review of Current Status, Including Novel and Future Technologies. In P. Comizzoli, J. L. Brown, &amp; W. V. Holt (Eds.), </w:t>
      </w:r>
      <w:r w:rsidRPr="007746C5">
        <w:rPr>
          <w:i/>
          <w:iCs/>
        </w:rPr>
        <w:t>Reproductive Sciences in Animal Conservation</w:t>
      </w:r>
      <w:r w:rsidRPr="007746C5">
        <w:t xml:space="preserve"> (Vol. 1200, pp. 507–543). Springer International Publishing. https://doi.org/10.1007/978-3-030-23633-5_17</w:t>
      </w:r>
    </w:p>
    <w:p w14:paraId="05361D92" w14:textId="77777777" w:rsidR="007746C5" w:rsidRPr="007746C5" w:rsidRDefault="007746C5" w:rsidP="009A04E6">
      <w:pPr>
        <w:pStyle w:val="Bibliography"/>
        <w:spacing w:line="240" w:lineRule="auto"/>
      </w:pPr>
      <w:r w:rsidRPr="007746C5">
        <w:t>Asare-Nuamah, P. (2022). Smallholder farmers’ adaptation strategies for the management of fall armyworm (</w:t>
      </w:r>
      <w:r w:rsidRPr="007746C5">
        <w:rPr>
          <w:i/>
          <w:iCs/>
        </w:rPr>
        <w:t>Spodoptera frugiperda</w:t>
      </w:r>
      <w:r w:rsidRPr="007746C5">
        <w:t xml:space="preserve">) in rural Ghana. </w:t>
      </w:r>
      <w:r w:rsidRPr="007746C5">
        <w:rPr>
          <w:i/>
          <w:iCs/>
        </w:rPr>
        <w:t>International Journal of Pest Management</w:t>
      </w:r>
      <w:r w:rsidRPr="007746C5">
        <w:t xml:space="preserve">, </w:t>
      </w:r>
      <w:r w:rsidRPr="007746C5">
        <w:rPr>
          <w:i/>
          <w:iCs/>
        </w:rPr>
        <w:t>68</w:t>
      </w:r>
      <w:r w:rsidRPr="007746C5">
        <w:t>(1), 8–18. https://doi.org/10.1080/09670874.2020.1787552</w:t>
      </w:r>
    </w:p>
    <w:p w14:paraId="08191B58" w14:textId="77777777" w:rsidR="007746C5" w:rsidRPr="007746C5" w:rsidRDefault="007746C5" w:rsidP="009A04E6">
      <w:pPr>
        <w:pStyle w:val="Bibliography"/>
        <w:spacing w:line="240" w:lineRule="auto"/>
      </w:pPr>
      <w:r w:rsidRPr="007746C5">
        <w:t xml:space="preserve">Ascensão, F., &amp; Capinha, C. (2017). Aliens on the Move: Transportation Networks and Non-native Species. In L. Borda-de-Água, R. Barrientos, P. Beja, &amp; H. M. Pereira (Eds.), </w:t>
      </w:r>
      <w:r w:rsidRPr="007746C5">
        <w:rPr>
          <w:i/>
          <w:iCs/>
        </w:rPr>
        <w:t>Railway Ecology</w:t>
      </w:r>
      <w:r w:rsidRPr="007746C5">
        <w:t xml:space="preserve"> (pp. 65–80). Springer International Publishing. https://doi.org/10.1007/978-3-319-57496-7_5</w:t>
      </w:r>
    </w:p>
    <w:p w14:paraId="463AC660" w14:textId="77777777" w:rsidR="007746C5" w:rsidRPr="007746C5" w:rsidRDefault="007746C5" w:rsidP="009A04E6">
      <w:pPr>
        <w:pStyle w:val="Bibliography"/>
        <w:spacing w:line="240" w:lineRule="auto"/>
      </w:pPr>
      <w:r w:rsidRPr="007746C5">
        <w:t xml:space="preserve">Atalah, J., Brook, R., Cahill, P., Fletcher, L. M., &amp; Hopkins, G. A. (2016). It’s a wrap: Encapsulation as a management tool for marine biofouling. </w:t>
      </w:r>
      <w:r w:rsidRPr="007746C5">
        <w:rPr>
          <w:i/>
          <w:iCs/>
        </w:rPr>
        <w:t>Biofouling</w:t>
      </w:r>
      <w:r w:rsidRPr="007746C5">
        <w:t xml:space="preserve">, </w:t>
      </w:r>
      <w:r w:rsidRPr="007746C5">
        <w:rPr>
          <w:i/>
          <w:iCs/>
        </w:rPr>
        <w:t>32</w:t>
      </w:r>
      <w:r w:rsidRPr="007746C5">
        <w:t>(3), 277–286. https://doi.org/10.1080/08927014.2015.1137288</w:t>
      </w:r>
    </w:p>
    <w:p w14:paraId="57D92EAF" w14:textId="77777777" w:rsidR="007746C5" w:rsidRPr="007746C5" w:rsidRDefault="007746C5" w:rsidP="009A04E6">
      <w:pPr>
        <w:pStyle w:val="Bibliography"/>
        <w:spacing w:line="240" w:lineRule="auto"/>
      </w:pPr>
      <w:r w:rsidRPr="007746C5">
        <w:t xml:space="preserve">Atalah, J., Hopkins, G. A., Fletcher, L. M., Castinel, A., &amp; Forrest, B. M. (2015). Concepts for biocontrol in marine environments: Is there a way forward? </w:t>
      </w:r>
      <w:r w:rsidRPr="007746C5">
        <w:rPr>
          <w:i/>
          <w:iCs/>
        </w:rPr>
        <w:t>Management of Biological Invasions</w:t>
      </w:r>
      <w:r w:rsidRPr="007746C5">
        <w:t xml:space="preserve">, </w:t>
      </w:r>
      <w:r w:rsidRPr="007746C5">
        <w:rPr>
          <w:i/>
          <w:iCs/>
        </w:rPr>
        <w:t>6</w:t>
      </w:r>
      <w:r w:rsidRPr="007746C5">
        <w:t>(1), 1–12. https://doi.org/10.3391/mbi.2015.6.1.01</w:t>
      </w:r>
    </w:p>
    <w:p w14:paraId="41E0D94C" w14:textId="77777777" w:rsidR="007746C5" w:rsidRPr="007746C5" w:rsidRDefault="007746C5" w:rsidP="009A04E6">
      <w:pPr>
        <w:pStyle w:val="Bibliography"/>
        <w:spacing w:line="240" w:lineRule="auto"/>
      </w:pPr>
      <w:r w:rsidRPr="007746C5">
        <w:t xml:space="preserve">Atkinson, I., &amp; Sheppard, A. (2000). Brooms as part of the Australian nursery industry. </w:t>
      </w:r>
      <w:r w:rsidRPr="007746C5">
        <w:rPr>
          <w:i/>
          <w:iCs/>
        </w:rPr>
        <w:t>Plant Protection Quarterly</w:t>
      </w:r>
      <w:r w:rsidRPr="007746C5">
        <w:t xml:space="preserve">, </w:t>
      </w:r>
      <w:r w:rsidRPr="007746C5">
        <w:rPr>
          <w:i/>
          <w:iCs/>
        </w:rPr>
        <w:t>15</w:t>
      </w:r>
      <w:r w:rsidRPr="007746C5">
        <w:t>(4), 176–178. https://caws.org.nz/PPQ131415/PPQ%2015-4%20pp176-178%20Atkinson.pdf</w:t>
      </w:r>
    </w:p>
    <w:p w14:paraId="69FD1DC3" w14:textId="77777777" w:rsidR="007746C5" w:rsidRPr="007746C5" w:rsidRDefault="007746C5" w:rsidP="009A04E6">
      <w:pPr>
        <w:pStyle w:val="Bibliography"/>
        <w:spacing w:line="240" w:lineRule="auto"/>
      </w:pPr>
      <w:r w:rsidRPr="007746C5">
        <w:t xml:space="preserve">Atyosi, Z., Ramarumo, L. J., &amp; Maroyi, A. (2019). Alien Plants in the Eastern Cape Province in South Africa: Perceptions of Their Contributions to Livelihoods of Local Communities. </w:t>
      </w:r>
      <w:r w:rsidRPr="007746C5">
        <w:rPr>
          <w:i/>
          <w:iCs/>
        </w:rPr>
        <w:t>Sustainability</w:t>
      </w:r>
      <w:r w:rsidRPr="007746C5">
        <w:t xml:space="preserve">, </w:t>
      </w:r>
      <w:r w:rsidRPr="007746C5">
        <w:rPr>
          <w:i/>
          <w:iCs/>
        </w:rPr>
        <w:t>11</w:t>
      </w:r>
      <w:r w:rsidRPr="007746C5">
        <w:t>(18), 5043. https://doi.org/10.3390/su11185043</w:t>
      </w:r>
    </w:p>
    <w:p w14:paraId="2E6BA3EC" w14:textId="77777777" w:rsidR="007746C5" w:rsidRPr="007746C5" w:rsidRDefault="007746C5" w:rsidP="009A04E6">
      <w:pPr>
        <w:pStyle w:val="Bibliography"/>
        <w:spacing w:line="240" w:lineRule="auto"/>
      </w:pPr>
      <w:r w:rsidRPr="007746C5">
        <w:t xml:space="preserve">Augustin, S., Boonham, N., De Kogel, W. J., Donner, P., Faccoli, M., Lees, D. C., Marini, L., Mori, N., Petrucco Toffolo, E., Quilici, S., Roques, A., Yart, A., &amp; Battisti, A. (2012). A review of pest surveillance techniques for detecting quarantine pests in Europe. </w:t>
      </w:r>
      <w:r w:rsidRPr="007746C5">
        <w:rPr>
          <w:i/>
          <w:iCs/>
        </w:rPr>
        <w:t>EPPO Bulletin</w:t>
      </w:r>
      <w:r w:rsidRPr="007746C5">
        <w:t xml:space="preserve">, </w:t>
      </w:r>
      <w:r w:rsidRPr="007746C5">
        <w:rPr>
          <w:i/>
          <w:iCs/>
        </w:rPr>
        <w:t>42</w:t>
      </w:r>
      <w:r w:rsidRPr="007746C5">
        <w:t>(3), 515–551. https://doi.org/10.1111/epp.2600</w:t>
      </w:r>
    </w:p>
    <w:p w14:paraId="727C65A7" w14:textId="77777777" w:rsidR="007746C5" w:rsidRPr="007746C5" w:rsidRDefault="007746C5" w:rsidP="009A04E6">
      <w:pPr>
        <w:pStyle w:val="Bibliography"/>
        <w:spacing w:line="240" w:lineRule="auto"/>
      </w:pPr>
      <w:r w:rsidRPr="007746C5">
        <w:t xml:space="preserve">Auld, B., &amp; Johnson, S. B. (2014). Invasive alien plant management. </w:t>
      </w:r>
      <w:r w:rsidRPr="007746C5">
        <w:rPr>
          <w:i/>
          <w:iCs/>
        </w:rPr>
        <w:t>CAB Reviews: Perspectives in Agriculture, Veterinary Science, Nutrition and Natural Resources</w:t>
      </w:r>
      <w:r w:rsidRPr="007746C5">
        <w:t xml:space="preserve">, </w:t>
      </w:r>
      <w:r w:rsidRPr="007746C5">
        <w:rPr>
          <w:i/>
          <w:iCs/>
        </w:rPr>
        <w:t>9</w:t>
      </w:r>
      <w:r w:rsidRPr="007746C5">
        <w:t>(037). https://doi.org/10.1079/PAVSNNR20149037</w:t>
      </w:r>
    </w:p>
    <w:p w14:paraId="2954BE77" w14:textId="77777777" w:rsidR="007746C5" w:rsidRPr="007746C5" w:rsidRDefault="007746C5" w:rsidP="009A04E6">
      <w:pPr>
        <w:pStyle w:val="Bibliography"/>
        <w:spacing w:line="240" w:lineRule="auto"/>
      </w:pPr>
      <w:r w:rsidRPr="007746C5">
        <w:t xml:space="preserve">Australian Academy of Science. (2017). </w:t>
      </w:r>
      <w:r w:rsidRPr="007746C5">
        <w:rPr>
          <w:i/>
          <w:iCs/>
        </w:rPr>
        <w:t>Synthetic gene drives in Australia: Implications of emerging technologies</w:t>
      </w:r>
      <w:r w:rsidRPr="007746C5">
        <w:t>. https://www.science.org.au/support/analysis/reports/synthetic-gene-drives-australia-implications-emerging-technologies</w:t>
      </w:r>
    </w:p>
    <w:p w14:paraId="331BAC61" w14:textId="77777777" w:rsidR="007746C5" w:rsidRPr="007746C5" w:rsidRDefault="007746C5" w:rsidP="009A04E6">
      <w:pPr>
        <w:pStyle w:val="Bibliography"/>
        <w:spacing w:line="240" w:lineRule="auto"/>
      </w:pPr>
      <w:r w:rsidRPr="007746C5">
        <w:t xml:space="preserve">Australian Department of Agriculture. (2019). </w:t>
      </w:r>
      <w:r w:rsidRPr="007746C5">
        <w:rPr>
          <w:i/>
          <w:iCs/>
        </w:rPr>
        <w:t>Final pest risk analysis for brown marmorated stink bug (</w:t>
      </w:r>
      <w:r w:rsidRPr="007746C5">
        <w:t>Halyomorpha halys</w:t>
      </w:r>
      <w:r w:rsidRPr="007746C5">
        <w:rPr>
          <w:i/>
          <w:iCs/>
        </w:rPr>
        <w:t>)</w:t>
      </w:r>
      <w:r w:rsidRPr="007746C5">
        <w:t xml:space="preserve"> (CC BY 3.0). https://www.awe.gov.au/sites/default/files/documents/final-bmsb-pra-report.pdf</w:t>
      </w:r>
    </w:p>
    <w:p w14:paraId="47B0D436" w14:textId="77777777" w:rsidR="007746C5" w:rsidRPr="007746C5" w:rsidRDefault="007746C5" w:rsidP="009A04E6">
      <w:pPr>
        <w:pStyle w:val="Bibliography"/>
        <w:spacing w:line="240" w:lineRule="auto"/>
      </w:pPr>
      <w:r w:rsidRPr="007746C5">
        <w:t xml:space="preserve">Australian Government. (2021a). </w:t>
      </w:r>
      <w:r w:rsidRPr="007746C5">
        <w:rPr>
          <w:i/>
          <w:iCs/>
        </w:rPr>
        <w:t>Innovative Biosecurity 3D X-ray Project—Department of agriculture, fisheries and forestry</w:t>
      </w:r>
      <w:r w:rsidRPr="007746C5">
        <w:t>. Biosecurity and Trade in Australia. https://www.agriculture.gov.au/biosecurity-trade/policy/australia/biosecurity-3d-x-ray</w:t>
      </w:r>
    </w:p>
    <w:p w14:paraId="65CA06B0" w14:textId="77777777" w:rsidR="007746C5" w:rsidRPr="007746C5" w:rsidRDefault="007746C5" w:rsidP="009A04E6">
      <w:pPr>
        <w:pStyle w:val="Bibliography"/>
        <w:spacing w:line="240" w:lineRule="auto"/>
      </w:pPr>
      <w:r w:rsidRPr="007746C5">
        <w:t xml:space="preserve">Australian Government. (2021b). </w:t>
      </w:r>
      <w:r w:rsidRPr="007746C5">
        <w:rPr>
          <w:i/>
          <w:iCs/>
        </w:rPr>
        <w:t>Seasonal measures for Brown marmorated stink bug (BMSB)—Department of Agriculture, Fisheries and Forestry</w:t>
      </w:r>
      <w:r w:rsidRPr="007746C5">
        <w:t>. Biosecurity and Trade in Australia. https://www.agriculture.gov.au/biosecurity-trade/import/before/brown-marmorated-stink-bugs</w:t>
      </w:r>
    </w:p>
    <w:p w14:paraId="126F7D6F" w14:textId="77777777" w:rsidR="007746C5" w:rsidRPr="007746C5" w:rsidRDefault="007746C5" w:rsidP="009A04E6">
      <w:pPr>
        <w:pStyle w:val="Bibliography"/>
        <w:spacing w:line="240" w:lineRule="auto"/>
      </w:pPr>
      <w:r w:rsidRPr="007746C5">
        <w:t xml:space="preserve">Bach, T. M., Kull, C. A., &amp; Rangan, H. (2019). From killing lists to healthy country: Aboriginal approaches to weed control in the Kimberley, Western Australia. </w:t>
      </w:r>
      <w:r w:rsidRPr="007746C5">
        <w:rPr>
          <w:i/>
          <w:iCs/>
        </w:rPr>
        <w:t>Journal of Environmental Management</w:t>
      </w:r>
      <w:r w:rsidRPr="007746C5">
        <w:t xml:space="preserve">, </w:t>
      </w:r>
      <w:r w:rsidRPr="007746C5">
        <w:rPr>
          <w:i/>
          <w:iCs/>
        </w:rPr>
        <w:t>229</w:t>
      </w:r>
      <w:r w:rsidRPr="007746C5">
        <w:t>, 182–192. https://doi.org/10.1016/j.jenvman.2018.06.050</w:t>
      </w:r>
    </w:p>
    <w:p w14:paraId="5A2BC997" w14:textId="77777777" w:rsidR="007746C5" w:rsidRPr="007746C5" w:rsidRDefault="007746C5" w:rsidP="009A04E6">
      <w:pPr>
        <w:pStyle w:val="Bibliography"/>
        <w:spacing w:line="240" w:lineRule="auto"/>
      </w:pPr>
      <w:r w:rsidRPr="007746C5">
        <w:t>Bacher, S., Blackburn, T. M., Essl, F., Genovesi, P., Heikkilä, J., Jeschke, J. M., Jones, G., Keller, R., Kenis, M., Kueffer, C., Martinou, A. F., Nentwig, W., Pergl, J., Pyšek, P., Rabitsch, W., Richardson, D. M., Roy, H. E., Saul, W.-C., Scalera, R., … Kumschick, S. (2018). Socio-</w:t>
      </w:r>
      <w:r w:rsidRPr="007746C5">
        <w:lastRenderedPageBreak/>
        <w:t xml:space="preserve">economic impact classification of alien taxa (SEICAT). </w:t>
      </w:r>
      <w:r w:rsidRPr="007746C5">
        <w:rPr>
          <w:i/>
          <w:iCs/>
        </w:rPr>
        <w:t>Methods in Ecology and Evolution</w:t>
      </w:r>
      <w:r w:rsidRPr="007746C5">
        <w:t xml:space="preserve">, </w:t>
      </w:r>
      <w:r w:rsidRPr="007746C5">
        <w:rPr>
          <w:i/>
          <w:iCs/>
        </w:rPr>
        <w:t>9</w:t>
      </w:r>
      <w:r w:rsidRPr="007746C5">
        <w:t>(1), 159–168. https://doi.org/10.1111/2041-210X.12844</w:t>
      </w:r>
    </w:p>
    <w:p w14:paraId="5CE17D85" w14:textId="77777777" w:rsidR="007746C5" w:rsidRPr="007746C5" w:rsidRDefault="007746C5" w:rsidP="009A04E6">
      <w:pPr>
        <w:pStyle w:val="Bibliography"/>
        <w:spacing w:line="240" w:lineRule="auto"/>
      </w:pPr>
      <w:r w:rsidRPr="007746C5">
        <w:t xml:space="preserve">Bacon, S. J., Bacher, S., &amp; Aebi, A. (2012). Gaps in Border Controls Are Related to Quarantine Alien Insect Invasions in Europe. </w:t>
      </w:r>
      <w:r w:rsidRPr="007746C5">
        <w:rPr>
          <w:i/>
          <w:iCs/>
        </w:rPr>
        <w:t>PLoS ONE</w:t>
      </w:r>
      <w:r w:rsidRPr="007746C5">
        <w:t xml:space="preserve">, </w:t>
      </w:r>
      <w:r w:rsidRPr="007746C5">
        <w:rPr>
          <w:i/>
          <w:iCs/>
        </w:rPr>
        <w:t>7</w:t>
      </w:r>
      <w:r w:rsidRPr="007746C5">
        <w:t>(10), e47689. https://doi.org/10.1371/journal.pone.0047689</w:t>
      </w:r>
    </w:p>
    <w:p w14:paraId="51994516" w14:textId="77777777" w:rsidR="007746C5" w:rsidRPr="007746C5" w:rsidRDefault="007746C5" w:rsidP="009A04E6">
      <w:pPr>
        <w:pStyle w:val="Bibliography"/>
        <w:spacing w:line="240" w:lineRule="auto"/>
      </w:pPr>
      <w:r w:rsidRPr="007746C5">
        <w:t xml:space="preserve">Bailey, S. A. (2015). An overview of thirty years of research on ballast water as a vector for aquatic invasive species to freshwater and marine environments. </w:t>
      </w:r>
      <w:r w:rsidRPr="007746C5">
        <w:rPr>
          <w:i/>
          <w:iCs/>
        </w:rPr>
        <w:t>Aquatic Ecosystem Health &amp; Management</w:t>
      </w:r>
      <w:r w:rsidRPr="007746C5">
        <w:t xml:space="preserve">, </w:t>
      </w:r>
      <w:r w:rsidRPr="007746C5">
        <w:rPr>
          <w:i/>
          <w:iCs/>
        </w:rPr>
        <w:t>18</w:t>
      </w:r>
      <w:r w:rsidRPr="007746C5">
        <w:t>(3), 261–268. https://doi.org/10.1080/14634988.2015.1027129</w:t>
      </w:r>
    </w:p>
    <w:p w14:paraId="7FFC3ACD" w14:textId="77777777" w:rsidR="007746C5" w:rsidRPr="007746C5" w:rsidRDefault="007746C5" w:rsidP="009A04E6">
      <w:pPr>
        <w:pStyle w:val="Bibliography"/>
        <w:spacing w:line="240" w:lineRule="auto"/>
      </w:pPr>
      <w:r w:rsidRPr="007746C5">
        <w:rPr>
          <w:rFonts w:hint="eastAsia"/>
        </w:rPr>
        <w:t>Bailey, S. A., Brown, L., Campbell, M. L., Canning</w:t>
      </w:r>
      <w:r w:rsidRPr="007746C5">
        <w:rPr>
          <w:rFonts w:hint="eastAsia"/>
        </w:rPr>
        <w:t>‐</w:t>
      </w:r>
      <w:r w:rsidRPr="007746C5">
        <w:rPr>
          <w:rFonts w:hint="eastAsia"/>
        </w:rPr>
        <w:t xml:space="preserve">Clode, J., Carlton, J. T., Castro, N., Chainho, P., Chan, F. T., Creed, J. C., Curd, A., Darling, J., Fofonoff, P., Galil, B. S., Hewitt, C. L., Inglis, G. J., Keith, I., Mandrak, N. E., Marchini, A., McKenzie, C. H., </w:t>
      </w:r>
      <w:r w:rsidRPr="007746C5">
        <w:rPr>
          <w:rFonts w:hint="eastAsia"/>
        </w:rPr>
        <w:t>…</w:t>
      </w:r>
      <w:r w:rsidRPr="007746C5">
        <w:rPr>
          <w:rFonts w:hint="eastAsia"/>
        </w:rPr>
        <w:t xml:space="preserve"> Zhan, A. (2020). Trends in the detection of aquatic non</w:t>
      </w:r>
      <w:r w:rsidRPr="007746C5">
        <w:rPr>
          <w:rFonts w:hint="eastAsia"/>
        </w:rPr>
        <w:t>‐</w:t>
      </w:r>
      <w:r w:rsidRPr="007746C5">
        <w:rPr>
          <w:rFonts w:hint="eastAsia"/>
        </w:rPr>
        <w:t>indigenous species across global marine, estuarine and freshwater ecosystems: A 50</w:t>
      </w:r>
      <w:r w:rsidRPr="007746C5">
        <w:rPr>
          <w:rFonts w:hint="eastAsia"/>
        </w:rPr>
        <w:t>‐</w:t>
      </w:r>
      <w:r w:rsidRPr="007746C5">
        <w:rPr>
          <w:rFonts w:hint="eastAsia"/>
        </w:rPr>
        <w:t xml:space="preserve">year perspective. </w:t>
      </w:r>
      <w:r w:rsidRPr="007746C5">
        <w:rPr>
          <w:i/>
          <w:iCs/>
        </w:rPr>
        <w:t>Diversity and Distributions</w:t>
      </w:r>
      <w:r w:rsidRPr="007746C5">
        <w:t xml:space="preserve">, </w:t>
      </w:r>
      <w:r w:rsidRPr="007746C5">
        <w:rPr>
          <w:i/>
          <w:iCs/>
        </w:rPr>
        <w:t>26</w:t>
      </w:r>
      <w:r w:rsidRPr="007746C5">
        <w:t>(12), 1780–1797. https://doi.org/10.1111/ddi.13167</w:t>
      </w:r>
    </w:p>
    <w:p w14:paraId="0A68B433" w14:textId="77777777" w:rsidR="007746C5" w:rsidRPr="007746C5" w:rsidRDefault="007746C5" w:rsidP="009A04E6">
      <w:pPr>
        <w:pStyle w:val="Bibliography"/>
        <w:spacing w:line="240" w:lineRule="auto"/>
      </w:pPr>
      <w:r w:rsidRPr="007746C5">
        <w:t xml:space="preserve">Bailey, S. A., Deneau, M. G., Jean, L., Wiley, C. J., Leung, B., &amp; MacIsaac, H. J. (2011). Evaluating Efficacy of an Environmental Policy to Prevent Biological Invasions. </w:t>
      </w:r>
      <w:r w:rsidRPr="007746C5">
        <w:rPr>
          <w:i/>
          <w:iCs/>
        </w:rPr>
        <w:t>Environmental Science &amp; Technology</w:t>
      </w:r>
      <w:r w:rsidRPr="007746C5">
        <w:t xml:space="preserve">, </w:t>
      </w:r>
      <w:r w:rsidRPr="007746C5">
        <w:rPr>
          <w:i/>
          <w:iCs/>
        </w:rPr>
        <w:t>45</w:t>
      </w:r>
      <w:r w:rsidRPr="007746C5">
        <w:t>(7), 2554–2561. https://doi.org/10.1021/es102655j</w:t>
      </w:r>
    </w:p>
    <w:p w14:paraId="6DD5C764" w14:textId="77777777" w:rsidR="007746C5" w:rsidRPr="007746C5" w:rsidRDefault="007746C5" w:rsidP="009A04E6">
      <w:pPr>
        <w:pStyle w:val="Bibliography"/>
        <w:spacing w:line="240" w:lineRule="auto"/>
      </w:pPr>
      <w:r w:rsidRPr="007746C5">
        <w:t xml:space="preserve">Bajer, P. G., Chizinski, C. J., &amp; Sorensen, P. W. (2011). Using the Judas technique to locate and remove wintertime aggregations of invasive common carp. </w:t>
      </w:r>
      <w:r w:rsidRPr="007746C5">
        <w:rPr>
          <w:i/>
          <w:iCs/>
        </w:rPr>
        <w:t>Fisheries Management and Ecology</w:t>
      </w:r>
      <w:r w:rsidRPr="007746C5">
        <w:t xml:space="preserve">, </w:t>
      </w:r>
      <w:r w:rsidRPr="007746C5">
        <w:rPr>
          <w:i/>
          <w:iCs/>
        </w:rPr>
        <w:t>18</w:t>
      </w:r>
      <w:r w:rsidRPr="007746C5">
        <w:t>(6), 497–505. https://doi.org/10.1111/j.1365-2400.2011.00805.x</w:t>
      </w:r>
    </w:p>
    <w:p w14:paraId="3D4F3061" w14:textId="77777777" w:rsidR="007746C5" w:rsidRPr="007746C5" w:rsidRDefault="007746C5" w:rsidP="009A04E6">
      <w:pPr>
        <w:pStyle w:val="Bibliography"/>
        <w:spacing w:line="240" w:lineRule="auto"/>
      </w:pPr>
      <w:r w:rsidRPr="007746C5">
        <w:t xml:space="preserve">Bajwa, A. A., Farooq, M., Nawaz, A., Yadav, L., Chauhan, B. S., &amp; Adkins, S. (2019). Impact of invasive plant species on the livelihoods of farming households: Evidence from </w:t>
      </w:r>
      <w:r w:rsidRPr="007746C5">
        <w:rPr>
          <w:i/>
          <w:iCs/>
        </w:rPr>
        <w:t>Parthenium hysterophorus</w:t>
      </w:r>
      <w:r w:rsidRPr="007746C5">
        <w:t xml:space="preserve"> invasion in rural Punjab, Pakistan. </w:t>
      </w:r>
      <w:r w:rsidRPr="007746C5">
        <w:rPr>
          <w:i/>
          <w:iCs/>
        </w:rPr>
        <w:t>Biological Invasions</w:t>
      </w:r>
      <w:r w:rsidRPr="007746C5">
        <w:t xml:space="preserve">, </w:t>
      </w:r>
      <w:r w:rsidRPr="007746C5">
        <w:rPr>
          <w:i/>
          <w:iCs/>
        </w:rPr>
        <w:t>21</w:t>
      </w:r>
      <w:r w:rsidRPr="007746C5">
        <w:t>(11), 3285–3304. https://doi.org/10.1007/s10530-019-02047-0</w:t>
      </w:r>
    </w:p>
    <w:p w14:paraId="21FFC631" w14:textId="77777777" w:rsidR="007746C5" w:rsidRPr="007746C5" w:rsidRDefault="007746C5" w:rsidP="009A04E6">
      <w:pPr>
        <w:pStyle w:val="Bibliography"/>
        <w:spacing w:line="240" w:lineRule="auto"/>
      </w:pPr>
      <w:r w:rsidRPr="007746C5">
        <w:t xml:space="preserve">Baker, A. C., Glynn, P. W., &amp; Riegl, B. (2008). Climate Change and Coral Reef Bleaching: An Ecological Assessment of Long-Term Impacts, Recovery Trends and Future Outlook. </w:t>
      </w:r>
      <w:r w:rsidRPr="007746C5">
        <w:rPr>
          <w:i/>
          <w:iCs/>
        </w:rPr>
        <w:t>Estuarine Coastal and Shelf Science</w:t>
      </w:r>
      <w:r w:rsidRPr="007746C5">
        <w:t xml:space="preserve">, </w:t>
      </w:r>
      <w:r w:rsidRPr="007746C5">
        <w:rPr>
          <w:i/>
          <w:iCs/>
        </w:rPr>
        <w:t>80</w:t>
      </w:r>
      <w:r w:rsidRPr="007746C5">
        <w:t>(4), 435–471. https://doi.org/10.1016/j.ecss.2008.09.003</w:t>
      </w:r>
    </w:p>
    <w:p w14:paraId="6C630E2E" w14:textId="77777777" w:rsidR="007746C5" w:rsidRPr="007746C5" w:rsidRDefault="007746C5" w:rsidP="009A04E6">
      <w:pPr>
        <w:pStyle w:val="Bibliography"/>
        <w:spacing w:line="240" w:lineRule="auto"/>
      </w:pPr>
      <w:r w:rsidRPr="007746C5">
        <w:t xml:space="preserve">Ball, D., Ross, P., English, A., Patten, T., Upcroft, B., Fitch, R., Sukkarieh, S., Wyeth, G., &amp; Corke, P. (2015). Robotics for Sustainable Broad-Acre Agriculture. In L. Mejias, P. Corke, &amp; J. Roberts (Eds.), </w:t>
      </w:r>
      <w:r w:rsidRPr="007746C5">
        <w:rPr>
          <w:i/>
          <w:iCs/>
        </w:rPr>
        <w:t>Field and Service Robotics: Results of the 9th International Conference</w:t>
      </w:r>
      <w:r w:rsidRPr="007746C5">
        <w:t xml:space="preserve"> (Vol. 105, pp. 439–453). Springer International Publishing. https://doi.org/10.1007/978-3-319-07488-7_30</w:t>
      </w:r>
    </w:p>
    <w:p w14:paraId="2F23E662" w14:textId="77777777" w:rsidR="007746C5" w:rsidRPr="007746C5" w:rsidRDefault="007746C5" w:rsidP="009A04E6">
      <w:pPr>
        <w:pStyle w:val="Bibliography"/>
        <w:spacing w:line="240" w:lineRule="auto"/>
      </w:pPr>
      <w:r w:rsidRPr="007746C5">
        <w:t>Ballari, S. A., Cuevas, M. F., Ojeda, R. A., &amp; Navarro, J. L. (2015). Diet of wild boar (</w:t>
      </w:r>
      <w:r w:rsidRPr="007746C5">
        <w:rPr>
          <w:i/>
          <w:iCs/>
        </w:rPr>
        <w:t>Sus scrofa</w:t>
      </w:r>
      <w:r w:rsidRPr="007746C5">
        <w:t xml:space="preserve">) in a protected area of Argentina: The importance of baiting. </w:t>
      </w:r>
      <w:r w:rsidRPr="007746C5">
        <w:rPr>
          <w:i/>
          <w:iCs/>
        </w:rPr>
        <w:t>Mammal Research</w:t>
      </w:r>
      <w:r w:rsidRPr="007746C5">
        <w:t xml:space="preserve">, </w:t>
      </w:r>
      <w:r w:rsidRPr="007746C5">
        <w:rPr>
          <w:i/>
          <w:iCs/>
        </w:rPr>
        <w:t>60</w:t>
      </w:r>
      <w:r w:rsidRPr="007746C5">
        <w:t>(1), 81–87. https://doi.org/10.1007/s13364-014-0202-0</w:t>
      </w:r>
    </w:p>
    <w:p w14:paraId="0F4A1831" w14:textId="77777777" w:rsidR="007746C5" w:rsidRPr="007746C5" w:rsidRDefault="007746C5" w:rsidP="009A04E6">
      <w:pPr>
        <w:pStyle w:val="Bibliography"/>
        <w:spacing w:line="240" w:lineRule="auto"/>
      </w:pPr>
      <w:r w:rsidRPr="007746C5">
        <w:t xml:space="preserve">Banchi, E., Ametrano, C. G., Stanković, D., Verardo, P., Moretti, O., Gabrielli, F., Lazzarin, S., Borney, M. F., Tassan, F., Tretiach, M., Pallavicini, A., &amp; Muggia, L. (2018). DNA metabarcoding uncovers fungal diversity of mixed airborne samples in Italy. </w:t>
      </w:r>
      <w:r w:rsidRPr="007746C5">
        <w:rPr>
          <w:i/>
          <w:iCs/>
        </w:rPr>
        <w:t>PLoS ONE</w:t>
      </w:r>
      <w:r w:rsidRPr="007746C5">
        <w:t xml:space="preserve">, </w:t>
      </w:r>
      <w:r w:rsidRPr="007746C5">
        <w:rPr>
          <w:i/>
          <w:iCs/>
        </w:rPr>
        <w:t>13</w:t>
      </w:r>
      <w:r w:rsidRPr="007746C5">
        <w:t>(3), e0194489. https://doi.org/10.1371/journal.pone.0194489</w:t>
      </w:r>
    </w:p>
    <w:p w14:paraId="288EDA6E" w14:textId="77777777" w:rsidR="007746C5" w:rsidRPr="007746C5" w:rsidRDefault="007746C5" w:rsidP="009A04E6">
      <w:pPr>
        <w:pStyle w:val="Bibliography"/>
        <w:spacing w:line="240" w:lineRule="auto"/>
      </w:pPr>
      <w:r w:rsidRPr="007746C5">
        <w:t xml:space="preserve">Banerjee, A. K., Khuroob, A. A., Dehnen-Schmutz, K., Pant, V., Patwardhan, C., Bhowmick, A. R., &amp; Mukherjee, A. (2021). An integrated policy framework and plan of action to prevent and control plant invasions in India. </w:t>
      </w:r>
      <w:r w:rsidRPr="007746C5">
        <w:rPr>
          <w:i/>
          <w:iCs/>
        </w:rPr>
        <w:t>Environmental Science and Policy</w:t>
      </w:r>
      <w:r w:rsidRPr="007746C5">
        <w:t xml:space="preserve">, </w:t>
      </w:r>
      <w:r w:rsidRPr="007746C5">
        <w:rPr>
          <w:i/>
          <w:iCs/>
        </w:rPr>
        <w:t>124</w:t>
      </w:r>
      <w:r w:rsidRPr="007746C5">
        <w:t>, 64–72. https://doi.org/10.1016/j.envsci.2021.06.003</w:t>
      </w:r>
    </w:p>
    <w:p w14:paraId="0B5E8482" w14:textId="77777777" w:rsidR="007746C5" w:rsidRPr="007746C5" w:rsidRDefault="007746C5" w:rsidP="009A04E6">
      <w:pPr>
        <w:pStyle w:val="Bibliography"/>
        <w:spacing w:line="240" w:lineRule="auto"/>
      </w:pPr>
      <w:r w:rsidRPr="007746C5">
        <w:t xml:space="preserve">Banks, N. C., Paini, D. R., Bayliss, K. L., &amp; Hodda, M. (2015). The role of global trade and transport network topology in the human-mediated dispersal of alien species. </w:t>
      </w:r>
      <w:r w:rsidRPr="007746C5">
        <w:rPr>
          <w:i/>
          <w:iCs/>
        </w:rPr>
        <w:t>Ecology Letters</w:t>
      </w:r>
      <w:r w:rsidRPr="007746C5">
        <w:t xml:space="preserve">, </w:t>
      </w:r>
      <w:r w:rsidRPr="007746C5">
        <w:rPr>
          <w:i/>
          <w:iCs/>
        </w:rPr>
        <w:t>18</w:t>
      </w:r>
      <w:r w:rsidRPr="007746C5">
        <w:t>(2), 188–199. https://doi.org/10.1111/ele.12397</w:t>
      </w:r>
    </w:p>
    <w:p w14:paraId="440E1AD6" w14:textId="77777777" w:rsidR="007746C5" w:rsidRPr="007746C5" w:rsidRDefault="007746C5" w:rsidP="009A04E6">
      <w:pPr>
        <w:pStyle w:val="Bibliography"/>
        <w:spacing w:line="240" w:lineRule="auto"/>
      </w:pPr>
      <w:r w:rsidRPr="007746C5">
        <w:t xml:space="preserve">Barasa, M. W. (2012). </w:t>
      </w:r>
      <w:r w:rsidRPr="007746C5">
        <w:rPr>
          <w:i/>
          <w:iCs/>
        </w:rPr>
        <w:t>Celebrating Bukusu tradition at the cultural Festival</w:t>
      </w:r>
      <w:r w:rsidRPr="007746C5">
        <w:t>. Monitor. https://www.monitor.co.ug/uganda/lifestyle/reviews-profiles/celebrating-bukusu-tradition-at-the-cultural-festival-1507172</w:t>
      </w:r>
    </w:p>
    <w:p w14:paraId="6C2852A4" w14:textId="77777777" w:rsidR="007746C5" w:rsidRPr="007746C5" w:rsidRDefault="007746C5" w:rsidP="009A04E6">
      <w:pPr>
        <w:pStyle w:val="Bibliography"/>
        <w:spacing w:line="240" w:lineRule="auto"/>
      </w:pPr>
      <w:r w:rsidRPr="007746C5">
        <w:lastRenderedPageBreak/>
        <w:t xml:space="preserve">Barber, D., &amp; Glass, P. (2015). Yellomundee Firesticks. In E. J. Ens, J. Fisher, &amp; O. Costello (Eds.), </w:t>
      </w:r>
      <w:r w:rsidRPr="007746C5">
        <w:rPr>
          <w:i/>
          <w:iCs/>
        </w:rPr>
        <w:t>Indigenous people and invasive species: Perceptions, management, challenges and uses</w:t>
      </w:r>
      <w:r w:rsidRPr="007746C5">
        <w:t>. IUCN Commission on Ecosystem Management Community Report. https://ipm.ifas.ufl.edu/pdfs/ens_et_al_2015_indigenous_people_and_invasive_species_iucn_cem_ecosystems_and_invasiv.pdf</w:t>
      </w:r>
    </w:p>
    <w:p w14:paraId="61F741AE" w14:textId="77777777" w:rsidR="007746C5" w:rsidRPr="007746C5" w:rsidRDefault="007746C5" w:rsidP="009A04E6">
      <w:pPr>
        <w:pStyle w:val="Bibliography"/>
        <w:spacing w:line="240" w:lineRule="auto"/>
      </w:pPr>
      <w:r w:rsidRPr="007746C5">
        <w:t xml:space="preserve">Barbet-Massin, M., Rome, Q., Villemant, C., &amp; Courchamp, F. (2018). Can species distribution models really predict the expansion of invasive species? </w:t>
      </w:r>
      <w:r w:rsidRPr="007746C5">
        <w:rPr>
          <w:i/>
          <w:iCs/>
        </w:rPr>
        <w:t>PLoS ONE</w:t>
      </w:r>
      <w:r w:rsidRPr="007746C5">
        <w:t xml:space="preserve">, </w:t>
      </w:r>
      <w:r w:rsidRPr="007746C5">
        <w:rPr>
          <w:i/>
          <w:iCs/>
        </w:rPr>
        <w:t>13</w:t>
      </w:r>
      <w:r w:rsidRPr="007746C5">
        <w:t>(3), e0193085. https://doi.org/10.1371/journal.pone.0193085</w:t>
      </w:r>
    </w:p>
    <w:p w14:paraId="659FA3D3" w14:textId="77777777" w:rsidR="007746C5" w:rsidRPr="007746C5" w:rsidRDefault="007746C5" w:rsidP="009A04E6">
      <w:pPr>
        <w:pStyle w:val="Bibliography"/>
        <w:spacing w:line="240" w:lineRule="auto"/>
      </w:pPr>
      <w:r w:rsidRPr="007746C5">
        <w:t xml:space="preserve">Bardal, H. (2019). Small- and large-scale eradication of invasive ﬁsh and ﬁsh parasites in freshwater systems in Norway. In C. R. Veitch, M. N. Clout, Martin, A.R., Russel, J.C., &amp; West, C.J. (Eds.), </w:t>
      </w:r>
      <w:r w:rsidRPr="007746C5">
        <w:rPr>
          <w:i/>
          <w:iCs/>
        </w:rPr>
        <w:t>Island invasives: Scaling up to meet the challenge</w:t>
      </w:r>
      <w:r w:rsidRPr="007746C5">
        <w:t xml:space="preserve"> (pp. 447–451). IUCN.</w:t>
      </w:r>
    </w:p>
    <w:p w14:paraId="385CB9E8" w14:textId="77777777" w:rsidR="007746C5" w:rsidRPr="007746C5" w:rsidRDefault="007746C5" w:rsidP="009A04E6">
      <w:pPr>
        <w:pStyle w:val="Bibliography"/>
        <w:spacing w:line="240" w:lineRule="auto"/>
      </w:pPr>
      <w:r w:rsidRPr="007746C5">
        <w:t xml:space="preserve">Barham, E., Sharrock, S., Lane, C., &amp; Baker, R. (2016). The International Plant Sentinel Network: A tool for Regional and National Plant Protection Organizations. </w:t>
      </w:r>
      <w:r w:rsidRPr="007746C5">
        <w:rPr>
          <w:i/>
          <w:iCs/>
        </w:rPr>
        <w:t>EPPO Bulletin</w:t>
      </w:r>
      <w:r w:rsidRPr="007746C5">
        <w:t xml:space="preserve">, </w:t>
      </w:r>
      <w:r w:rsidRPr="007746C5">
        <w:rPr>
          <w:i/>
          <w:iCs/>
        </w:rPr>
        <w:t>46</w:t>
      </w:r>
      <w:r w:rsidRPr="007746C5">
        <w:t>(1), 156–162. https://doi.org/10.1111/epp.12283</w:t>
      </w:r>
    </w:p>
    <w:p w14:paraId="5854D478" w14:textId="77777777" w:rsidR="007746C5" w:rsidRPr="007746C5" w:rsidRDefault="007746C5" w:rsidP="009A04E6">
      <w:pPr>
        <w:pStyle w:val="Bibliography"/>
        <w:spacing w:line="240" w:lineRule="auto"/>
      </w:pPr>
      <w:r w:rsidRPr="007746C5">
        <w:t xml:space="preserve">Bariw, S. A., Kudadze, S., &amp; Adzawla, W. (2020). Prevalence, effects and management of fall army worm in the Nkoranza South Municipality, Bono East region of Ghana. </w:t>
      </w:r>
      <w:r w:rsidRPr="007746C5">
        <w:rPr>
          <w:i/>
          <w:iCs/>
        </w:rPr>
        <w:t>Cogent Food &amp; Agriculture</w:t>
      </w:r>
      <w:r w:rsidRPr="007746C5">
        <w:t xml:space="preserve">, </w:t>
      </w:r>
      <w:r w:rsidRPr="007746C5">
        <w:rPr>
          <w:i/>
          <w:iCs/>
        </w:rPr>
        <w:t>6</w:t>
      </w:r>
      <w:r w:rsidRPr="007746C5">
        <w:t>(1), 1800239. https://doi.org/10.1080/23311932.2020.1800239</w:t>
      </w:r>
    </w:p>
    <w:p w14:paraId="4967DB9B" w14:textId="77777777" w:rsidR="007746C5" w:rsidRPr="007746C5" w:rsidRDefault="007746C5" w:rsidP="009A04E6">
      <w:pPr>
        <w:pStyle w:val="Bibliography"/>
        <w:spacing w:line="240" w:lineRule="auto"/>
      </w:pPr>
      <w:r w:rsidRPr="007746C5">
        <w:t xml:space="preserve">Barratt, B. I. P., Colmenarez, Y. C., Day, M. D., Ivey, P., Klapwijk, J. N., Loomans, A. J. M., Mason, P. G., Palmer, W. A., Sankaran, K. V., &amp; Zhang, F. (2021). Regulatory challenges for biological control. In P. G. Mason (Ed.), </w:t>
      </w:r>
      <w:r w:rsidRPr="007746C5">
        <w:rPr>
          <w:i/>
          <w:iCs/>
        </w:rPr>
        <w:t>Biological Control: Global Impacts, Challenges and Future Directions of Pest Management</w:t>
      </w:r>
      <w:r w:rsidRPr="007746C5">
        <w:t xml:space="preserve"> (pp. 166–196). CSIRO. https://ebooks.publish.csiro.au/content/biological-control</w:t>
      </w:r>
    </w:p>
    <w:p w14:paraId="3060A53F" w14:textId="77777777" w:rsidR="007746C5" w:rsidRPr="007746C5" w:rsidRDefault="007746C5" w:rsidP="009A04E6">
      <w:pPr>
        <w:pStyle w:val="Bibliography"/>
        <w:spacing w:line="240" w:lineRule="auto"/>
      </w:pPr>
      <w:r w:rsidRPr="007746C5">
        <w:t xml:space="preserve">Bartula, M., Stojšić, V., Perić, R., &amp; Kitnæs, K. S. (2011). Protection of Natura 2000 Habitat Types in the Ramsar Site “Zasavica Special Nature Reserve” in Serbia. </w:t>
      </w:r>
      <w:r w:rsidRPr="007746C5">
        <w:rPr>
          <w:i/>
          <w:iCs/>
        </w:rPr>
        <w:t>Natural Areas Journal</w:t>
      </w:r>
      <w:r w:rsidRPr="007746C5">
        <w:t xml:space="preserve">, </w:t>
      </w:r>
      <w:r w:rsidRPr="007746C5">
        <w:rPr>
          <w:i/>
          <w:iCs/>
        </w:rPr>
        <w:t>31</w:t>
      </w:r>
      <w:r w:rsidRPr="007746C5">
        <w:t>(4), 349–357. https://doi.org/10.3375/043.031.0405</w:t>
      </w:r>
    </w:p>
    <w:p w14:paraId="06B036DC" w14:textId="77777777" w:rsidR="007746C5" w:rsidRPr="007746C5" w:rsidRDefault="007746C5" w:rsidP="009A04E6">
      <w:pPr>
        <w:pStyle w:val="Bibliography"/>
        <w:spacing w:line="240" w:lineRule="auto"/>
      </w:pPr>
      <w:r w:rsidRPr="007746C5">
        <w:t xml:space="preserve">Batista, P. M., Andreotti, R., Chiang, J. O., Ferreira, M. S., &amp; Vasconcelos, P. F. da C. (2012). Seroepidemiological monitoring in sentinel animals and vectors as part of arbovirus surveillance in the state of Mato Grosso do Sul, Brazil. </w:t>
      </w:r>
      <w:r w:rsidRPr="007746C5">
        <w:rPr>
          <w:i/>
          <w:iCs/>
        </w:rPr>
        <w:t>Revista Da Sociedade Brasileira de Medicina Tropical</w:t>
      </w:r>
      <w:r w:rsidRPr="007746C5">
        <w:t xml:space="preserve">, </w:t>
      </w:r>
      <w:r w:rsidRPr="007746C5">
        <w:rPr>
          <w:i/>
          <w:iCs/>
        </w:rPr>
        <w:t>45</w:t>
      </w:r>
      <w:r w:rsidRPr="007746C5">
        <w:t>(2), 168–173. https://doi.org/10.1590/S0037-86822012000200006</w:t>
      </w:r>
    </w:p>
    <w:p w14:paraId="313548A6" w14:textId="77777777" w:rsidR="007746C5" w:rsidRPr="007746C5" w:rsidRDefault="007746C5" w:rsidP="009A04E6">
      <w:pPr>
        <w:pStyle w:val="Bibliography"/>
        <w:spacing w:line="240" w:lineRule="auto"/>
      </w:pPr>
      <w:r w:rsidRPr="007746C5">
        <w:t xml:space="preserve">Baum, J. A., Bogaert, T., Clinton, W., Heck, G. R., Feldmann, P., Ilagan, O., Johnson, S., Plaetinck, G., Munyikwa, T., Pleau, M., Vaughn, T., &amp; Roberts, J. (2007). Control of coleopteran insect pests through RNA interference. </w:t>
      </w:r>
      <w:r w:rsidRPr="007746C5">
        <w:rPr>
          <w:i/>
          <w:iCs/>
        </w:rPr>
        <w:t>Nature Biotechnology</w:t>
      </w:r>
      <w:r w:rsidRPr="007746C5">
        <w:t xml:space="preserve">, </w:t>
      </w:r>
      <w:r w:rsidRPr="007746C5">
        <w:rPr>
          <w:i/>
          <w:iCs/>
        </w:rPr>
        <w:t>25</w:t>
      </w:r>
      <w:r w:rsidRPr="007746C5">
        <w:t>(11), Article 11. https://doi.org/10.1038/nbt1359</w:t>
      </w:r>
    </w:p>
    <w:p w14:paraId="6430E105" w14:textId="77777777" w:rsidR="007746C5" w:rsidRPr="007746C5" w:rsidRDefault="007746C5" w:rsidP="009A04E6">
      <w:pPr>
        <w:pStyle w:val="Bibliography"/>
        <w:spacing w:line="240" w:lineRule="auto"/>
      </w:pPr>
      <w:r w:rsidRPr="007746C5">
        <w:t xml:space="preserve">Bawden, O., Kulk, J., Russell, R., McCool, C., English, A., Dayoub, F., Lehnert, C., &amp; Perez, T. (2017). Robot for weed species plant-specific management. </w:t>
      </w:r>
      <w:r w:rsidRPr="007746C5">
        <w:rPr>
          <w:i/>
          <w:iCs/>
        </w:rPr>
        <w:t>Journal of Field Robotics</w:t>
      </w:r>
      <w:r w:rsidRPr="007746C5">
        <w:t xml:space="preserve">, </w:t>
      </w:r>
      <w:r w:rsidRPr="007746C5">
        <w:rPr>
          <w:i/>
          <w:iCs/>
        </w:rPr>
        <w:t>34</w:t>
      </w:r>
      <w:r w:rsidRPr="007746C5">
        <w:t>(6), 1179–1199. https://doi.org/10.1002/rob.21727</w:t>
      </w:r>
    </w:p>
    <w:p w14:paraId="4235590E" w14:textId="77777777" w:rsidR="007746C5" w:rsidRPr="007746C5" w:rsidRDefault="007746C5" w:rsidP="009A04E6">
      <w:pPr>
        <w:pStyle w:val="Bibliography"/>
        <w:spacing w:line="240" w:lineRule="auto"/>
      </w:pPr>
      <w:r w:rsidRPr="007746C5">
        <w:t xml:space="preserve">Bax, N. J., &amp; Thresher, R. E. (2009). Ecological, behavioral, and genetic factors influencing the recombinant control of invasive pests. </w:t>
      </w:r>
      <w:r w:rsidRPr="007746C5">
        <w:rPr>
          <w:i/>
          <w:iCs/>
        </w:rPr>
        <w:t>Ecological Applications</w:t>
      </w:r>
      <w:r w:rsidRPr="007746C5">
        <w:t xml:space="preserve">, </w:t>
      </w:r>
      <w:r w:rsidRPr="007746C5">
        <w:rPr>
          <w:i/>
          <w:iCs/>
        </w:rPr>
        <w:t>19</w:t>
      </w:r>
      <w:r w:rsidRPr="007746C5">
        <w:t>(4), 873–888. https://doi.org/10.1890/07-1588.1</w:t>
      </w:r>
    </w:p>
    <w:p w14:paraId="13A63891" w14:textId="77777777" w:rsidR="007746C5" w:rsidRPr="007746C5" w:rsidRDefault="007746C5" w:rsidP="009A04E6">
      <w:pPr>
        <w:pStyle w:val="Bibliography"/>
        <w:spacing w:line="240" w:lineRule="auto"/>
      </w:pPr>
      <w:r w:rsidRPr="007746C5">
        <w:t xml:space="preserve">Bax, N. J., Williamson, A., Aguero, M., Gonzalez, E., &amp; Geeves, W. (2003). Marine invasive alien species: A threat to global biodiversity. </w:t>
      </w:r>
      <w:r w:rsidRPr="007746C5">
        <w:rPr>
          <w:i/>
          <w:iCs/>
        </w:rPr>
        <w:t>Marine Policy</w:t>
      </w:r>
      <w:r w:rsidRPr="007746C5">
        <w:t xml:space="preserve">, </w:t>
      </w:r>
      <w:r w:rsidRPr="007746C5">
        <w:rPr>
          <w:i/>
          <w:iCs/>
        </w:rPr>
        <w:t>27</w:t>
      </w:r>
      <w:r w:rsidRPr="007746C5">
        <w:t>(4), 313–323. https://doi.org/10.1016/S0308-597X(03)00041-1</w:t>
      </w:r>
    </w:p>
    <w:p w14:paraId="6AD4DB47" w14:textId="77777777" w:rsidR="007746C5" w:rsidRPr="007746C5" w:rsidRDefault="007746C5" w:rsidP="009A04E6">
      <w:pPr>
        <w:pStyle w:val="Bibliography"/>
        <w:spacing w:line="240" w:lineRule="auto"/>
      </w:pPr>
      <w:r w:rsidRPr="007746C5">
        <w:t xml:space="preserve">Beauchamp, A. J., &amp; Ward, E. (2011). A targeted approach to multi-species control and eradication of escaped garden and ecosystem modifying weeds on Motuopao Island, Northland, New Zealand. In C. R. Veitch, M. N. Clout, &amp; D. R. Towns (Eds.), </w:t>
      </w:r>
      <w:r w:rsidRPr="007746C5">
        <w:rPr>
          <w:i/>
          <w:iCs/>
        </w:rPr>
        <w:t>Island Invasives: Eradication and Management</w:t>
      </w:r>
      <w:r w:rsidRPr="007746C5">
        <w:t xml:space="preserve"> (pp. 264–268). IUCN and The Centre for Biodiversity and Biosecurity (CBB). https://portals.iucn.org/library/efiles/documents/ssc-op-042.pdf</w:t>
      </w:r>
    </w:p>
    <w:p w14:paraId="02ED3360" w14:textId="77777777" w:rsidR="007746C5" w:rsidRPr="007746C5" w:rsidRDefault="007746C5" w:rsidP="009A04E6">
      <w:pPr>
        <w:pStyle w:val="Bibliography"/>
        <w:spacing w:line="240" w:lineRule="auto"/>
      </w:pPr>
      <w:r w:rsidRPr="007746C5">
        <w:t xml:space="preserve">Beaumont, L. J., Gallagher, R. V., Leishman, M. R., Hughes, L., &amp; Downey, P. O. (2014). How can knowledge of the climate niche inform the weed risk assessment process? A case study of </w:t>
      </w:r>
      <w:r w:rsidRPr="007746C5">
        <w:rPr>
          <w:i/>
          <w:iCs/>
        </w:rPr>
        <w:t>Chrysanthemoides monilifera</w:t>
      </w:r>
      <w:r w:rsidRPr="007746C5">
        <w:t xml:space="preserve"> in Australia. </w:t>
      </w:r>
      <w:r w:rsidRPr="007746C5">
        <w:rPr>
          <w:i/>
          <w:iCs/>
        </w:rPr>
        <w:t>Diversity and Distributions</w:t>
      </w:r>
      <w:r w:rsidRPr="007746C5">
        <w:t xml:space="preserve">, </w:t>
      </w:r>
      <w:r w:rsidRPr="007746C5">
        <w:rPr>
          <w:i/>
          <w:iCs/>
        </w:rPr>
        <w:t>20</w:t>
      </w:r>
      <w:r w:rsidRPr="007746C5">
        <w:t>(6), 613–625. https://doi.org/10.1111/ddi.12190</w:t>
      </w:r>
    </w:p>
    <w:p w14:paraId="60D891A9" w14:textId="77777777" w:rsidR="007746C5" w:rsidRPr="007746C5" w:rsidRDefault="007746C5" w:rsidP="009A04E6">
      <w:pPr>
        <w:pStyle w:val="Bibliography"/>
        <w:spacing w:line="240" w:lineRule="auto"/>
      </w:pPr>
      <w:r w:rsidRPr="007746C5">
        <w:lastRenderedPageBreak/>
        <w:t xml:space="preserve">Beaumont, L. J., Gallagher, R. V., Thuiller, W., Downey, P. O., Leishman, M. R., &amp; Hughes, L. (2009). Different climatic envelopes among invasive populations may lead to underestimations of current and future biological invasions. </w:t>
      </w:r>
      <w:r w:rsidRPr="007746C5">
        <w:rPr>
          <w:i/>
          <w:iCs/>
        </w:rPr>
        <w:t>Diversity and Distributions</w:t>
      </w:r>
      <w:r w:rsidRPr="007746C5">
        <w:t xml:space="preserve">, </w:t>
      </w:r>
      <w:r w:rsidRPr="007746C5">
        <w:rPr>
          <w:i/>
          <w:iCs/>
        </w:rPr>
        <w:t>15</w:t>
      </w:r>
      <w:r w:rsidRPr="007746C5">
        <w:t>(3), 409–420. https://doi.org/10.1111/j.1472-4642.2008.00547.x</w:t>
      </w:r>
    </w:p>
    <w:p w14:paraId="6F58EB8B" w14:textId="77777777" w:rsidR="007746C5" w:rsidRPr="007746C5" w:rsidRDefault="007746C5" w:rsidP="009A04E6">
      <w:pPr>
        <w:pStyle w:val="Bibliography"/>
        <w:spacing w:line="240" w:lineRule="auto"/>
      </w:pPr>
      <w:r w:rsidRPr="007746C5">
        <w:t xml:space="preserve">Beaury, E. M., Fusco, E. J., Jackson, M. R., Laginhas, B. B., Morelli, T. L., Allen, J. M., Pasquarella, V. J., &amp; Bradley, B. A. (2020). Incorporating climate change into invasive species management: Insights from managers. </w:t>
      </w:r>
      <w:r w:rsidRPr="007746C5">
        <w:rPr>
          <w:i/>
          <w:iCs/>
        </w:rPr>
        <w:t>Biological Invasions</w:t>
      </w:r>
      <w:r w:rsidRPr="007746C5">
        <w:t xml:space="preserve">, </w:t>
      </w:r>
      <w:r w:rsidRPr="007746C5">
        <w:rPr>
          <w:i/>
          <w:iCs/>
        </w:rPr>
        <w:t>22</w:t>
      </w:r>
      <w:r w:rsidRPr="007746C5">
        <w:t>(2), 233–252. https://doi.org/10.1007/s10530-019-02087-6</w:t>
      </w:r>
    </w:p>
    <w:p w14:paraId="41511A99" w14:textId="77777777" w:rsidR="007746C5" w:rsidRPr="007746C5" w:rsidRDefault="007746C5" w:rsidP="009A04E6">
      <w:pPr>
        <w:pStyle w:val="Bibliography"/>
        <w:spacing w:line="240" w:lineRule="auto"/>
      </w:pPr>
      <w:r w:rsidRPr="007746C5">
        <w:t xml:space="preserve">Beckett, S. (2008). </w:t>
      </w:r>
      <w:r w:rsidRPr="007746C5">
        <w:rPr>
          <w:i/>
          <w:iCs/>
        </w:rPr>
        <w:t>Simulation modelling environment for pandemic influenza</w:t>
      </w:r>
      <w:r w:rsidRPr="007746C5">
        <w:t>.</w:t>
      </w:r>
    </w:p>
    <w:p w14:paraId="5F763706" w14:textId="77777777" w:rsidR="007746C5" w:rsidRPr="007746C5" w:rsidRDefault="007746C5" w:rsidP="009A04E6">
      <w:pPr>
        <w:pStyle w:val="Bibliography"/>
        <w:spacing w:line="240" w:lineRule="auto"/>
      </w:pPr>
      <w:r w:rsidRPr="007746C5">
        <w:t xml:space="preserve">Beckett, S., &amp; Garner, M. G. (2007). Simulating disease spread within a geographic information system environment. </w:t>
      </w:r>
      <w:r w:rsidRPr="007746C5">
        <w:rPr>
          <w:i/>
          <w:iCs/>
        </w:rPr>
        <w:t>Veterinaria Italiana</w:t>
      </w:r>
      <w:r w:rsidRPr="007746C5">
        <w:t xml:space="preserve">, </w:t>
      </w:r>
      <w:r w:rsidRPr="007746C5">
        <w:rPr>
          <w:i/>
          <w:iCs/>
        </w:rPr>
        <w:t>43</w:t>
      </w:r>
      <w:r w:rsidRPr="007746C5">
        <w:t>(3), 595–604. https://pubmed.ncbi.nlm.nih.gov/20422538/</w:t>
      </w:r>
    </w:p>
    <w:p w14:paraId="5529BA0B" w14:textId="77777777" w:rsidR="007746C5" w:rsidRPr="007746C5" w:rsidRDefault="007746C5" w:rsidP="009A04E6">
      <w:pPr>
        <w:pStyle w:val="Bibliography"/>
        <w:spacing w:line="240" w:lineRule="auto"/>
      </w:pPr>
      <w:r w:rsidRPr="007746C5">
        <w:t xml:space="preserve">Beckie, H. J., Ashworth, M. B., &amp; Flower, K. C. (2019). Herbicide Resistance Management: Recent Developments and Trends. </w:t>
      </w:r>
      <w:r w:rsidRPr="007746C5">
        <w:rPr>
          <w:i/>
          <w:iCs/>
        </w:rPr>
        <w:t>Plants</w:t>
      </w:r>
      <w:r w:rsidRPr="007746C5">
        <w:t xml:space="preserve">, </w:t>
      </w:r>
      <w:r w:rsidRPr="007746C5">
        <w:rPr>
          <w:i/>
          <w:iCs/>
        </w:rPr>
        <w:t>8</w:t>
      </w:r>
      <w:r w:rsidRPr="007746C5">
        <w:t>(6), 161. https://doi.org/10.3390/plants8060161</w:t>
      </w:r>
    </w:p>
    <w:p w14:paraId="3CD3222C" w14:textId="77777777" w:rsidR="007746C5" w:rsidRPr="007746C5" w:rsidRDefault="007746C5" w:rsidP="009A04E6">
      <w:pPr>
        <w:pStyle w:val="Bibliography"/>
        <w:spacing w:line="240" w:lineRule="auto"/>
      </w:pPr>
      <w:r w:rsidRPr="007746C5">
        <w:t xml:space="preserve">Bedolla-Guzmán, Y., Méndez-Sánchez, F., Aguirre-Muñoz, A., Félix-Lizárraga, M., Fabila-Blanco, A., Bravo-Hernández, E., Hernández-Ríos, A., Corrales-Sauceda, M., Aguilar-Vargas, A., Aztorga-Ornelas, A., Solís-Carlos, F., Torres-García, F., Luna-Mendoza, L., Ortiz-Alcaraz, A., Hernández-Montoya, J., Latofski-Robles, M., Rojas-Mayoral, E., &amp; Cárdenas-Tapia, A. (2019). Recovery and current status of seabirds on the Baja California Paciﬁc Islands, Mexico, following restoration actions. In C. R. Veitch, M. N. Clout, A. R. Martin, J. C. Russell, &amp; C. J. West (Eds.), </w:t>
      </w:r>
      <w:r w:rsidRPr="007746C5">
        <w:rPr>
          <w:i/>
          <w:iCs/>
        </w:rPr>
        <w:t>Island Invasives: Scaling up to meet the challenge. Proceedings of the international conference on island invasives 2017</w:t>
      </w:r>
      <w:r w:rsidRPr="007746C5">
        <w:t xml:space="preserve"> (pp. 531-538.). IUCN. https://library.sprep.org/sites/default/files/2021-07/recovery-current-status-seabirds.pdf</w:t>
      </w:r>
    </w:p>
    <w:p w14:paraId="0AD2B439" w14:textId="77777777" w:rsidR="007746C5" w:rsidRPr="007746C5" w:rsidRDefault="007746C5" w:rsidP="009A04E6">
      <w:pPr>
        <w:pStyle w:val="Bibliography"/>
        <w:spacing w:line="240" w:lineRule="auto"/>
      </w:pPr>
      <w:r w:rsidRPr="007746C5">
        <w:rPr>
          <w:rFonts w:hint="eastAsia"/>
        </w:rPr>
        <w:t>Beever, E. A., Simberloff, D., Crowley, S. L., Al</w:t>
      </w:r>
      <w:r w:rsidRPr="007746C5">
        <w:rPr>
          <w:rFonts w:hint="eastAsia"/>
        </w:rPr>
        <w:t>‐</w:t>
      </w:r>
      <w:r w:rsidRPr="007746C5">
        <w:rPr>
          <w:rFonts w:hint="eastAsia"/>
        </w:rPr>
        <w:t>Chokhachy, R., Jackson, H. A., &amp; Petersen, S. L. (2019). Social</w:t>
      </w:r>
      <w:r w:rsidRPr="007746C5">
        <w:rPr>
          <w:rFonts w:hint="eastAsia"/>
        </w:rPr>
        <w:t>–</w:t>
      </w:r>
      <w:r w:rsidRPr="007746C5">
        <w:rPr>
          <w:rFonts w:hint="eastAsia"/>
        </w:rPr>
        <w:t xml:space="preserve">ecological mismatches create conservation challenges in introduced species management. </w:t>
      </w:r>
      <w:r w:rsidRPr="007746C5">
        <w:rPr>
          <w:i/>
          <w:iCs/>
        </w:rPr>
        <w:t>Frontiers in Ecology and the Environment</w:t>
      </w:r>
      <w:r w:rsidRPr="007746C5">
        <w:t xml:space="preserve">, </w:t>
      </w:r>
      <w:r w:rsidRPr="007746C5">
        <w:rPr>
          <w:i/>
          <w:iCs/>
        </w:rPr>
        <w:t>17</w:t>
      </w:r>
      <w:r w:rsidRPr="007746C5">
        <w:t>(2), 117–125. https://doi.org/10.1002/fee.2000</w:t>
      </w:r>
    </w:p>
    <w:p w14:paraId="5058B810" w14:textId="77777777" w:rsidR="007746C5" w:rsidRPr="007746C5" w:rsidRDefault="007746C5" w:rsidP="009A04E6">
      <w:pPr>
        <w:pStyle w:val="Bibliography"/>
        <w:spacing w:line="240" w:lineRule="auto"/>
      </w:pPr>
      <w:r w:rsidRPr="007746C5">
        <w:t xml:space="preserve">Begley, C., Rainbow, R., &amp; Younus, F. (2021). </w:t>
      </w:r>
      <w:r w:rsidRPr="007746C5">
        <w:rPr>
          <w:i/>
          <w:iCs/>
        </w:rPr>
        <w:t>Feral Futures: Overview of technology opportunities for vertebrate pest management</w:t>
      </w:r>
      <w:r w:rsidRPr="007746C5">
        <w:t>. Spiegare Pty Limited. Published by the Centre for Invasive Species Solutions, Canberra, Australia. https://invasives.com.au/wp-content/uploads/2021/05/Feral-Futures-Overview-of-Technology-Opportunities-web.pdf</w:t>
      </w:r>
    </w:p>
    <w:p w14:paraId="769A10FB" w14:textId="77777777" w:rsidR="007746C5" w:rsidRPr="007746C5" w:rsidRDefault="007746C5" w:rsidP="009A04E6">
      <w:pPr>
        <w:pStyle w:val="Bibliography"/>
        <w:spacing w:line="240" w:lineRule="auto"/>
      </w:pPr>
      <w:r w:rsidRPr="007746C5">
        <w:t xml:space="preserve">Bejakovich, D., Bingham, K., Butland, B., Greenaway, A., Harrison, A., Hastie, K., Hodges, D., MacDonald, E., Mark-Shadbolt, M., Marsh, A., Massey, E., O’Brien, C., Palmer, R., Ryan, J., Walsh, J., &amp; Whitworth, M. (2018). </w:t>
      </w:r>
      <w:r w:rsidRPr="007746C5">
        <w:rPr>
          <w:i/>
          <w:iCs/>
        </w:rPr>
        <w:t>Biosecurtity 2025—Engagement plan. Strategic Direction 1.</w:t>
      </w:r>
      <w:r w:rsidRPr="007746C5">
        <w:t xml:space="preserve"> (p. 43). https://www.thisisus.nz/assets/Resources/a6783d1f81/Engagement-plan-Strategic-Direction-1.pdf</w:t>
      </w:r>
    </w:p>
    <w:p w14:paraId="0F8A5EDA" w14:textId="77777777" w:rsidR="007746C5" w:rsidRPr="007746C5" w:rsidRDefault="007746C5" w:rsidP="009A04E6">
      <w:pPr>
        <w:pStyle w:val="Bibliography"/>
        <w:spacing w:line="240" w:lineRule="auto"/>
      </w:pPr>
      <w:r w:rsidRPr="007746C5">
        <w:t xml:space="preserve">Bengsen, A. J., Butler, J. A., Masters, P., Bengsen, A. J., Butler, J. A., &amp; Masters, P. (2012). Applying home-range and landscape-use data to design effective feral-cat control programs. </w:t>
      </w:r>
      <w:r w:rsidRPr="007746C5">
        <w:rPr>
          <w:i/>
          <w:iCs/>
        </w:rPr>
        <w:t>Wildlife Research</w:t>
      </w:r>
      <w:r w:rsidRPr="007746C5">
        <w:t xml:space="preserve">, </w:t>
      </w:r>
      <w:r w:rsidRPr="007746C5">
        <w:rPr>
          <w:i/>
          <w:iCs/>
        </w:rPr>
        <w:t>39</w:t>
      </w:r>
      <w:r w:rsidRPr="007746C5">
        <w:t>(3), 258–265. https://doi.org/10.1071/WR11097</w:t>
      </w:r>
    </w:p>
    <w:p w14:paraId="4A6599CD" w14:textId="77777777" w:rsidR="007746C5" w:rsidRPr="007746C5" w:rsidRDefault="007746C5" w:rsidP="009A04E6">
      <w:pPr>
        <w:pStyle w:val="Bibliography"/>
        <w:spacing w:line="240" w:lineRule="auto"/>
      </w:pPr>
      <w:r w:rsidRPr="007746C5">
        <w:t xml:space="preserve">Bengsen, A. J., &amp; Sparkes, J. (2016). Can recreational hunting contribute to pest mammal control on public land in Australia? </w:t>
      </w:r>
      <w:r w:rsidRPr="007746C5">
        <w:rPr>
          <w:i/>
          <w:iCs/>
        </w:rPr>
        <w:t>Mammal Review</w:t>
      </w:r>
      <w:r w:rsidRPr="007746C5">
        <w:t xml:space="preserve">, </w:t>
      </w:r>
      <w:r w:rsidRPr="007746C5">
        <w:rPr>
          <w:i/>
          <w:iCs/>
        </w:rPr>
        <w:t>46</w:t>
      </w:r>
      <w:r w:rsidRPr="007746C5">
        <w:t>(4), 297–310. https://doi.org/10.1111/mam.12070</w:t>
      </w:r>
    </w:p>
    <w:p w14:paraId="36CA27B0" w14:textId="77777777" w:rsidR="007746C5" w:rsidRPr="007746C5" w:rsidRDefault="007746C5" w:rsidP="009A04E6">
      <w:pPr>
        <w:pStyle w:val="Bibliography"/>
        <w:spacing w:line="240" w:lineRule="auto"/>
      </w:pPr>
      <w:r w:rsidRPr="007746C5">
        <w:t xml:space="preserve">Benhalima, H., Chaudhry, M. Q., Mills, K. A., &amp; Price, N. R. (2004). Phosphine resistance in stored-product insects collected from various grain storage facilities in Morocco. </w:t>
      </w:r>
      <w:r w:rsidRPr="007746C5">
        <w:rPr>
          <w:i/>
          <w:iCs/>
        </w:rPr>
        <w:t>Journal of Stored Products Research</w:t>
      </w:r>
      <w:r w:rsidRPr="007746C5">
        <w:t xml:space="preserve">, </w:t>
      </w:r>
      <w:r w:rsidRPr="007746C5">
        <w:rPr>
          <w:i/>
          <w:iCs/>
        </w:rPr>
        <w:t>40</w:t>
      </w:r>
      <w:r w:rsidRPr="007746C5">
        <w:t>(3), 241–249. https://doi.org/10.1016/S0022-474X(03)00012-2</w:t>
      </w:r>
    </w:p>
    <w:p w14:paraId="04615917" w14:textId="77777777" w:rsidR="007746C5" w:rsidRPr="007746C5" w:rsidRDefault="007746C5" w:rsidP="009A04E6">
      <w:pPr>
        <w:pStyle w:val="Bibliography"/>
        <w:spacing w:line="240" w:lineRule="auto"/>
      </w:pPr>
      <w:r w:rsidRPr="007746C5">
        <w:t xml:space="preserve">Bennett, J. M. (2015). Agricultural big data: Utilisation to discover the unknown and instigate practice change. </w:t>
      </w:r>
      <w:r w:rsidRPr="007746C5">
        <w:rPr>
          <w:i/>
          <w:iCs/>
        </w:rPr>
        <w:t>Farm Policy Journal</w:t>
      </w:r>
      <w:r w:rsidRPr="007746C5">
        <w:t xml:space="preserve">, </w:t>
      </w:r>
      <w:r w:rsidRPr="007746C5">
        <w:rPr>
          <w:i/>
          <w:iCs/>
        </w:rPr>
        <w:t>12</w:t>
      </w:r>
      <w:r w:rsidRPr="007746C5">
        <w:t>(1), 43–50. http://www.farminstitute.org.au/publications-1/farm-policy-journals/2015-autumn-from-little-data-big-data-grow/agricultural-big-data-utilisation-to-discover-the-unknown-and-instigate-practice-change</w:t>
      </w:r>
    </w:p>
    <w:p w14:paraId="25A38C24" w14:textId="77777777" w:rsidR="007746C5" w:rsidRPr="007746C5" w:rsidRDefault="007746C5" w:rsidP="009A04E6">
      <w:pPr>
        <w:pStyle w:val="Bibliography"/>
        <w:spacing w:line="240" w:lineRule="auto"/>
      </w:pPr>
      <w:r w:rsidRPr="007746C5">
        <w:lastRenderedPageBreak/>
        <w:t xml:space="preserve">Berna, A. Z., Anderson, A. R., &amp; Trowell, S. C. (2009). Bio-Benchmarking of Electronic Nose Sensors. </w:t>
      </w:r>
      <w:r w:rsidRPr="007746C5">
        <w:rPr>
          <w:i/>
          <w:iCs/>
        </w:rPr>
        <w:t>PLoS ONE</w:t>
      </w:r>
      <w:r w:rsidRPr="007746C5">
        <w:t xml:space="preserve">, </w:t>
      </w:r>
      <w:r w:rsidRPr="007746C5">
        <w:rPr>
          <w:i/>
          <w:iCs/>
        </w:rPr>
        <w:t>4</w:t>
      </w:r>
      <w:r w:rsidRPr="007746C5">
        <w:t>(7), e6406. https://doi.org/10.1371/journal.pone.0006406</w:t>
      </w:r>
    </w:p>
    <w:p w14:paraId="0E44112E" w14:textId="77777777" w:rsidR="007746C5" w:rsidRPr="007746C5" w:rsidRDefault="007746C5" w:rsidP="009A04E6">
      <w:pPr>
        <w:pStyle w:val="Bibliography"/>
        <w:spacing w:line="240" w:lineRule="auto"/>
      </w:pPr>
      <w:r w:rsidRPr="007746C5">
        <w:t>Bertolino, S., &amp; Genovesi, P. (2003). Spread and attempted eradication of the grey squirrel (</w:t>
      </w:r>
      <w:r w:rsidRPr="007746C5">
        <w:rPr>
          <w:i/>
          <w:iCs/>
        </w:rPr>
        <w:t>Sciurus carolinensis</w:t>
      </w:r>
      <w:r w:rsidRPr="007746C5">
        <w:t>) in Italy, and consequences for the red squirrel (</w:t>
      </w:r>
      <w:r w:rsidRPr="007746C5">
        <w:rPr>
          <w:i/>
          <w:iCs/>
        </w:rPr>
        <w:t>Sciurus vulgaris</w:t>
      </w:r>
      <w:r w:rsidRPr="007746C5">
        <w:t xml:space="preserve">) in Eurasia. </w:t>
      </w:r>
      <w:r w:rsidRPr="007746C5">
        <w:rPr>
          <w:i/>
          <w:iCs/>
        </w:rPr>
        <w:t>Biological Conservation</w:t>
      </w:r>
      <w:r w:rsidRPr="007746C5">
        <w:t xml:space="preserve">, </w:t>
      </w:r>
      <w:r w:rsidRPr="007746C5">
        <w:rPr>
          <w:i/>
          <w:iCs/>
        </w:rPr>
        <w:t>109</w:t>
      </w:r>
      <w:r w:rsidRPr="007746C5">
        <w:t>(3), 351–358. https://doi.org/10.1016/S0006-3207(02)00161-1</w:t>
      </w:r>
    </w:p>
    <w:p w14:paraId="6453CBDA" w14:textId="77777777" w:rsidR="007746C5" w:rsidRPr="007746C5" w:rsidRDefault="007746C5" w:rsidP="009A04E6">
      <w:pPr>
        <w:pStyle w:val="Bibliography"/>
        <w:spacing w:line="240" w:lineRule="auto"/>
      </w:pPr>
      <w:r w:rsidRPr="007746C5">
        <w:t xml:space="preserve">Besacier-Monbertrand, A.-L., Paillex, A., &amp; Castella, E. (2014). Short-Term Impacts of Lateral Hydrological Connectivity Restoration on Aquatic Macroinvertebrates. </w:t>
      </w:r>
      <w:r w:rsidRPr="007746C5">
        <w:rPr>
          <w:i/>
          <w:iCs/>
        </w:rPr>
        <w:t>River Research and Applications</w:t>
      </w:r>
      <w:r w:rsidRPr="007746C5">
        <w:t xml:space="preserve">, </w:t>
      </w:r>
      <w:r w:rsidRPr="007746C5">
        <w:rPr>
          <w:i/>
          <w:iCs/>
        </w:rPr>
        <w:t>30</w:t>
      </w:r>
      <w:r w:rsidRPr="007746C5">
        <w:t>(5), 557–570. https://doi.org/10.1002/rra.2597</w:t>
      </w:r>
    </w:p>
    <w:p w14:paraId="7DC06899" w14:textId="77777777" w:rsidR="007746C5" w:rsidRPr="007746C5" w:rsidRDefault="007746C5" w:rsidP="009A04E6">
      <w:pPr>
        <w:pStyle w:val="Bibliography"/>
        <w:spacing w:line="240" w:lineRule="auto"/>
      </w:pPr>
      <w:r w:rsidRPr="007746C5">
        <w:t xml:space="preserve">Bester, M. N., Bloomer, J. P., Van Aarde, R. J., Erasmus, B. H., Van Rensburg, P. J. J., Skinner, J. D., Howell, P. G., &amp; Naude, T. W. (2002). A review of the successful eradication of feral cats from sub-Antarctic Marion Island, Southern Indian Ocean. </w:t>
      </w:r>
      <w:r w:rsidRPr="007746C5">
        <w:rPr>
          <w:i/>
          <w:iCs/>
        </w:rPr>
        <w:t>South African Journal of Wildlife Research - 24-Month Delayed Open Access</w:t>
      </w:r>
      <w:r w:rsidRPr="007746C5">
        <w:t xml:space="preserve">, </w:t>
      </w:r>
      <w:r w:rsidRPr="007746C5">
        <w:rPr>
          <w:i/>
          <w:iCs/>
        </w:rPr>
        <w:t>32</w:t>
      </w:r>
      <w:r w:rsidRPr="007746C5">
        <w:t>(1), 65–73. https://journals.co.za/content/wild/32/1/EJC117137</w:t>
      </w:r>
    </w:p>
    <w:p w14:paraId="59799FD4" w14:textId="77777777" w:rsidR="007746C5" w:rsidRPr="007746C5" w:rsidRDefault="007746C5" w:rsidP="009A04E6">
      <w:pPr>
        <w:pStyle w:val="Bibliography"/>
        <w:spacing w:line="240" w:lineRule="auto"/>
      </w:pPr>
      <w:r w:rsidRPr="007746C5">
        <w:t xml:space="preserve">Bigler, F., Babendreier, D., &amp; Kuhlmann, U. (Eds.). (2006). </w:t>
      </w:r>
      <w:r w:rsidRPr="007746C5">
        <w:rPr>
          <w:i/>
          <w:iCs/>
        </w:rPr>
        <w:t>Environmental Impact of Invertebrates for Biological Control of Arthropods: Methods and Risk Assessment</w:t>
      </w:r>
      <w:r w:rsidRPr="007746C5">
        <w:t>. CABI Publishing. http://sherekashmir.informaticspublishing.com/315/1/9780851990583.pdf</w:t>
      </w:r>
    </w:p>
    <w:p w14:paraId="29F577BC" w14:textId="77777777" w:rsidR="007746C5" w:rsidRPr="007746C5" w:rsidRDefault="007746C5" w:rsidP="009A04E6">
      <w:pPr>
        <w:pStyle w:val="Bibliography"/>
        <w:spacing w:line="240" w:lineRule="auto"/>
      </w:pPr>
      <w:r w:rsidRPr="007746C5">
        <w:t xml:space="preserve">Binggeli, P. (2003). Cactaceae, </w:t>
      </w:r>
      <w:r w:rsidRPr="007746C5">
        <w:rPr>
          <w:i/>
          <w:iCs/>
        </w:rPr>
        <w:t>Opuntia</w:t>
      </w:r>
      <w:r w:rsidRPr="007746C5">
        <w:t xml:space="preserve"> spp., prickly pear, raiketa, rakaita, raketa. In S. M. Goodman &amp; J. P. Benstead (Eds.), </w:t>
      </w:r>
      <w:r w:rsidRPr="007746C5">
        <w:rPr>
          <w:i/>
          <w:iCs/>
        </w:rPr>
        <w:t>The natural history of Madagascar</w:t>
      </w:r>
      <w:r w:rsidRPr="007746C5">
        <w:t xml:space="preserve"> (pp. 335–339). University of Chicago Press. https://www.researchgate.net/publication/278848886</w:t>
      </w:r>
    </w:p>
    <w:p w14:paraId="48FF3A78" w14:textId="77777777" w:rsidR="007746C5" w:rsidRPr="007746C5" w:rsidRDefault="007746C5" w:rsidP="009A04E6">
      <w:pPr>
        <w:pStyle w:val="Bibliography"/>
        <w:spacing w:line="240" w:lineRule="auto"/>
      </w:pPr>
      <w:r w:rsidRPr="007746C5">
        <w:t xml:space="preserve">Bingham, P., Brangenberg, N., Williams, R., &amp; Van Andel, M. (2013). Investigation into the first diagnosis of Ostreid Herpesvirus Type 1 in Pacific oysters. </w:t>
      </w:r>
      <w:r w:rsidRPr="007746C5">
        <w:rPr>
          <w:i/>
          <w:iCs/>
        </w:rPr>
        <w:t>Surveillance</w:t>
      </w:r>
      <w:r w:rsidRPr="007746C5">
        <w:t xml:space="preserve">, </w:t>
      </w:r>
      <w:r w:rsidRPr="007746C5">
        <w:rPr>
          <w:i/>
          <w:iCs/>
        </w:rPr>
        <w:t>40</w:t>
      </w:r>
      <w:r w:rsidRPr="007746C5">
        <w:t>(2), 20–24. https://www.academia.edu/75251990/Investigation_Into_the_First_Diagnosis_of_Ostreid_Herpesvirus_Type_1_in_Pacific_Oysters</w:t>
      </w:r>
    </w:p>
    <w:p w14:paraId="0272D8E7" w14:textId="77777777" w:rsidR="007746C5" w:rsidRPr="007746C5" w:rsidRDefault="007746C5" w:rsidP="009A04E6">
      <w:pPr>
        <w:pStyle w:val="Bibliography"/>
        <w:spacing w:line="240" w:lineRule="auto"/>
      </w:pPr>
      <w:r w:rsidRPr="007746C5">
        <w:t xml:space="preserve">Binns, J. A., Illgner, P. M., &amp; Nel, E. L. (2001). Water shortage, deforestation and development: South Africa’s working for water programme. </w:t>
      </w:r>
      <w:r w:rsidRPr="007746C5">
        <w:rPr>
          <w:i/>
          <w:iCs/>
        </w:rPr>
        <w:t>Land Degradation &amp; Development</w:t>
      </w:r>
      <w:r w:rsidRPr="007746C5">
        <w:t xml:space="preserve">, </w:t>
      </w:r>
      <w:r w:rsidRPr="007746C5">
        <w:rPr>
          <w:i/>
          <w:iCs/>
        </w:rPr>
        <w:t>12</w:t>
      </w:r>
      <w:r w:rsidRPr="007746C5">
        <w:t>(4), 341–355. https://doi.org/10.1002/ldr.455</w:t>
      </w:r>
    </w:p>
    <w:p w14:paraId="0AF7B817" w14:textId="77777777" w:rsidR="007746C5" w:rsidRPr="007746C5" w:rsidRDefault="007746C5" w:rsidP="009A04E6">
      <w:pPr>
        <w:pStyle w:val="Bibliography"/>
        <w:spacing w:line="240" w:lineRule="auto"/>
      </w:pPr>
      <w:r w:rsidRPr="007746C5">
        <w:t xml:space="preserve">Birand, A., Cassey, P., Ross, J. V., Russell, J. C., Thomas, P., &amp; Prowse, T. A. A. (2022). Gene drives for vertebrate pest control: Realistic spatial modelling of eradication probabilities and times for island mouse populations. </w:t>
      </w:r>
      <w:r w:rsidRPr="007746C5">
        <w:rPr>
          <w:i/>
          <w:iCs/>
        </w:rPr>
        <w:t>Molecular Ecology</w:t>
      </w:r>
      <w:r w:rsidRPr="007746C5">
        <w:t xml:space="preserve">, </w:t>
      </w:r>
      <w:r w:rsidRPr="007746C5">
        <w:rPr>
          <w:i/>
          <w:iCs/>
        </w:rPr>
        <w:t>31</w:t>
      </w:r>
      <w:r w:rsidRPr="007746C5">
        <w:t>(6), 1907–1923. https://doi.org/10.1111/mec.16361</w:t>
      </w:r>
    </w:p>
    <w:p w14:paraId="5C5DF73D" w14:textId="77777777" w:rsidR="007746C5" w:rsidRPr="007746C5" w:rsidRDefault="007746C5" w:rsidP="009A04E6">
      <w:pPr>
        <w:pStyle w:val="Bibliography"/>
        <w:spacing w:line="240" w:lineRule="auto"/>
      </w:pPr>
      <w:r w:rsidRPr="007746C5">
        <w:t xml:space="preserve">Bithas, K., Latinopoulos, D., Kolimenakis, A., &amp; Richardson, C. (2018). Social Benefits from Controlling Invasive Asian Tiger and Native Mosquitoes: A Stated Preference Study in Athens, Greece. </w:t>
      </w:r>
      <w:r w:rsidRPr="007746C5">
        <w:rPr>
          <w:i/>
          <w:iCs/>
        </w:rPr>
        <w:t>Ecological Economics</w:t>
      </w:r>
      <w:r w:rsidRPr="007746C5">
        <w:t xml:space="preserve">, </w:t>
      </w:r>
      <w:r w:rsidRPr="007746C5">
        <w:rPr>
          <w:i/>
          <w:iCs/>
        </w:rPr>
        <w:t>145</w:t>
      </w:r>
      <w:r w:rsidRPr="007746C5">
        <w:t>, 46–56. https://doi.org/10.1016/j.ecolecon.2017.08.017</w:t>
      </w:r>
    </w:p>
    <w:p w14:paraId="1BE2C86D" w14:textId="77777777" w:rsidR="007746C5" w:rsidRPr="007746C5" w:rsidRDefault="007746C5" w:rsidP="009A04E6">
      <w:pPr>
        <w:pStyle w:val="Bibliography"/>
        <w:spacing w:line="240" w:lineRule="auto"/>
      </w:pPr>
      <w:r w:rsidRPr="007746C5">
        <w:t xml:space="preserve">Black, R., &amp; Bartlett, D. M. F. (2020). Biosecurity frameworks for cross-border movement of invasive alien species. </w:t>
      </w:r>
      <w:r w:rsidRPr="007746C5">
        <w:rPr>
          <w:i/>
          <w:iCs/>
        </w:rPr>
        <w:t>Environmental Science &amp; Policy</w:t>
      </w:r>
      <w:r w:rsidRPr="007746C5">
        <w:t xml:space="preserve">, </w:t>
      </w:r>
      <w:r w:rsidRPr="007746C5">
        <w:rPr>
          <w:i/>
          <w:iCs/>
        </w:rPr>
        <w:t>105</w:t>
      </w:r>
      <w:r w:rsidRPr="007746C5">
        <w:t>, 113–119. https://doi.org/10.1016/j.envsci.2019.12.011</w:t>
      </w:r>
    </w:p>
    <w:p w14:paraId="662FD004" w14:textId="77777777" w:rsidR="007746C5" w:rsidRPr="007746C5" w:rsidRDefault="007746C5" w:rsidP="009A04E6">
      <w:pPr>
        <w:pStyle w:val="Bibliography"/>
        <w:spacing w:line="240" w:lineRule="auto"/>
      </w:pPr>
      <w:r w:rsidRPr="007746C5">
        <w:t xml:space="preserve">Bleach, C. (2019). Plant Health Surveilance and Incursion Investigation Annual report. </w:t>
      </w:r>
      <w:r w:rsidRPr="007746C5">
        <w:rPr>
          <w:i/>
          <w:iCs/>
        </w:rPr>
        <w:t>Surveillance (Wellington)</w:t>
      </w:r>
      <w:r w:rsidRPr="007746C5">
        <w:t xml:space="preserve">, </w:t>
      </w:r>
      <w:r w:rsidRPr="007746C5">
        <w:rPr>
          <w:i/>
          <w:iCs/>
        </w:rPr>
        <w:t>46</w:t>
      </w:r>
      <w:r w:rsidRPr="007746C5">
        <w:t>(3), 71–80. https://www.mpi.govt.nz/dmsdocument/37564-Surveillance-Magazine-Vol-46-No-3-September-2019-includes-Annual-Report</w:t>
      </w:r>
    </w:p>
    <w:p w14:paraId="534C2229" w14:textId="77777777" w:rsidR="007746C5" w:rsidRPr="007746C5" w:rsidRDefault="007746C5" w:rsidP="009A04E6">
      <w:pPr>
        <w:pStyle w:val="Bibliography"/>
        <w:spacing w:line="240" w:lineRule="auto"/>
      </w:pPr>
      <w:r w:rsidRPr="007746C5">
        <w:t xml:space="preserve">Bomford, M., &amp; Hart, Q. (1999). Assessing the Risk Associated with Importing and Keeping Exotic Vertebrates in Australia. </w:t>
      </w:r>
      <w:r w:rsidRPr="007746C5">
        <w:rPr>
          <w:i/>
          <w:iCs/>
        </w:rPr>
        <w:t>The Australian Journal of Emergency Management</w:t>
      </w:r>
      <w:r w:rsidRPr="007746C5">
        <w:t xml:space="preserve">, </w:t>
      </w:r>
      <w:r w:rsidRPr="007746C5">
        <w:rPr>
          <w:i/>
          <w:iCs/>
        </w:rPr>
        <w:t>14</w:t>
      </w:r>
      <w:r w:rsidRPr="007746C5">
        <w:t>(3), 16–19. https://search.informit.com.au/documentSummary;dn=391999856543177;res=IELAPA</w:t>
      </w:r>
    </w:p>
    <w:p w14:paraId="2AC770A3" w14:textId="77777777" w:rsidR="007746C5" w:rsidRPr="007746C5" w:rsidRDefault="007746C5" w:rsidP="009A04E6">
      <w:pPr>
        <w:pStyle w:val="Bibliography"/>
        <w:spacing w:line="240" w:lineRule="auto"/>
      </w:pPr>
      <w:r w:rsidRPr="007746C5">
        <w:t xml:space="preserve">Bomford, M., &amp; O’Brien, P. (1995). Eradication or Control for Vertebrate Pests? </w:t>
      </w:r>
      <w:r w:rsidRPr="007746C5">
        <w:rPr>
          <w:i/>
          <w:iCs/>
        </w:rPr>
        <w:t>Wildlife Society Bulletin (1973-2006)</w:t>
      </w:r>
      <w:r w:rsidRPr="007746C5">
        <w:t xml:space="preserve">, </w:t>
      </w:r>
      <w:r w:rsidRPr="007746C5">
        <w:rPr>
          <w:i/>
          <w:iCs/>
        </w:rPr>
        <w:t>23</w:t>
      </w:r>
      <w:r w:rsidRPr="007746C5">
        <w:t>(2), 249–255. JSTOR. https://www.jstor.org/stable/3782799</w:t>
      </w:r>
    </w:p>
    <w:p w14:paraId="4038ECB7" w14:textId="77777777" w:rsidR="007746C5" w:rsidRPr="007746C5" w:rsidRDefault="007746C5" w:rsidP="009A04E6">
      <w:pPr>
        <w:pStyle w:val="Bibliography"/>
        <w:spacing w:line="240" w:lineRule="auto"/>
      </w:pPr>
      <w:r w:rsidRPr="007746C5">
        <w:t xml:space="preserve">Booth, C. (2010). Hunting &amp; feral animal control: Conservation or con? In M. Tensen &amp; B. Jones (Eds.), </w:t>
      </w:r>
      <w:r w:rsidRPr="007746C5">
        <w:rPr>
          <w:i/>
          <w:iCs/>
        </w:rPr>
        <w:t>Proceedings of the RSPCA Australia Scientific Seminar Convergence or conflict: Animal welfare in wildlife management and conservation</w:t>
      </w:r>
      <w:r w:rsidRPr="007746C5">
        <w:t xml:space="preserve"> (p. 5). Invasive Species Council. https://www.rspca.org.au/sites/default/files/website/The-facts/Science/Scientific-Seminar/2010/SciSem2010-Proceedings.pdf#page=27</w:t>
      </w:r>
    </w:p>
    <w:p w14:paraId="62DDF79A" w14:textId="77777777" w:rsidR="007746C5" w:rsidRPr="007746C5" w:rsidRDefault="007746C5" w:rsidP="009A04E6">
      <w:pPr>
        <w:pStyle w:val="Bibliography"/>
        <w:spacing w:line="240" w:lineRule="auto"/>
      </w:pPr>
      <w:r w:rsidRPr="007746C5">
        <w:t xml:space="preserve">Booth, E. D., Rawlinson, P. J., Maria Fagundes, P., &amp; Leiner, K. A. (2017). Regulatory requirements for genotoxicity assessment of plant protection product active ingredients, </w:t>
      </w:r>
      <w:r w:rsidRPr="007746C5">
        <w:lastRenderedPageBreak/>
        <w:t xml:space="preserve">impurities, and metabolites. </w:t>
      </w:r>
      <w:r w:rsidRPr="007746C5">
        <w:rPr>
          <w:i/>
          <w:iCs/>
        </w:rPr>
        <w:t>Environmental and Molecular Mutagenesis</w:t>
      </w:r>
      <w:r w:rsidRPr="007746C5">
        <w:t xml:space="preserve">, </w:t>
      </w:r>
      <w:r w:rsidRPr="007746C5">
        <w:rPr>
          <w:i/>
          <w:iCs/>
        </w:rPr>
        <w:t>58</w:t>
      </w:r>
      <w:r w:rsidRPr="007746C5">
        <w:t>(5), 325–344. https://doi.org/10.1002/em.22084</w:t>
      </w:r>
    </w:p>
    <w:p w14:paraId="7870C7F4" w14:textId="77777777" w:rsidR="007746C5" w:rsidRPr="007746C5" w:rsidRDefault="007746C5" w:rsidP="009A04E6">
      <w:pPr>
        <w:pStyle w:val="Bibliography"/>
        <w:spacing w:line="240" w:lineRule="auto"/>
      </w:pPr>
      <w:r w:rsidRPr="007746C5">
        <w:t xml:space="preserve">Booy, O. (2019). </w:t>
      </w:r>
      <w:r w:rsidRPr="007746C5">
        <w:rPr>
          <w:i/>
          <w:iCs/>
        </w:rPr>
        <w:t>Prioritising the management of invasive non-native species</w:t>
      </w:r>
      <w:r w:rsidRPr="007746C5">
        <w:t xml:space="preserve"> [Ph.D. Thesis, Newcastle University, UK.]. https://theses.ncl.ac.uk/jspui/handle/10443/4926</w:t>
      </w:r>
    </w:p>
    <w:p w14:paraId="19B3C2E5" w14:textId="77777777" w:rsidR="007746C5" w:rsidRPr="007746C5" w:rsidRDefault="007746C5" w:rsidP="009A04E6">
      <w:pPr>
        <w:pStyle w:val="Bibliography"/>
        <w:spacing w:line="240" w:lineRule="auto"/>
      </w:pPr>
      <w:r w:rsidRPr="007746C5">
        <w:t xml:space="preserve">Booy, O., Mill, A. C., Roy, H. E., Hiley, A., Moore, N., Robertson, P., Baker, S., Brazier, M., Bue, M., Bullock, R., Campbell, S., Eyre, D., Foster, J., Hatton-Ellis, M., Long, J., Macadam, C., Morrison-Bell, C., Mumford, J., Newman, J., … Wyn, G. (2017). Risk management to prioritise the eradication of new and emerging invasive non-native species. </w:t>
      </w:r>
      <w:r w:rsidRPr="007746C5">
        <w:rPr>
          <w:i/>
          <w:iCs/>
        </w:rPr>
        <w:t>Biological Invasions</w:t>
      </w:r>
      <w:r w:rsidRPr="007746C5">
        <w:t xml:space="preserve">, </w:t>
      </w:r>
      <w:r w:rsidRPr="007746C5">
        <w:rPr>
          <w:i/>
          <w:iCs/>
        </w:rPr>
        <w:t>19</w:t>
      </w:r>
      <w:r w:rsidRPr="007746C5">
        <w:t>(8), 2401–2417. https://doi.org/10.1007/s10530-017-1451-z</w:t>
      </w:r>
    </w:p>
    <w:p w14:paraId="20488A5C" w14:textId="77777777" w:rsidR="007746C5" w:rsidRPr="007746C5" w:rsidRDefault="007746C5" w:rsidP="009A04E6">
      <w:pPr>
        <w:pStyle w:val="Bibliography"/>
        <w:spacing w:line="240" w:lineRule="auto"/>
      </w:pPr>
      <w:r w:rsidRPr="007746C5">
        <w:t xml:space="preserve">Booy, O., Robertson, P. A., Moore, N., Ward, J., Roy, H. E., Adriaens, T., Shaw, R., Van Valkenburg, J., Wyn, G., Bertolino, S., Blight, O., Branquart, E., Brundu, G., Caffrey, J., Capizzi, D., Casaer, J., De Clerck, O., Coughlan, N. E., Davis, E., … Mill, A. C. (2020). Using structured eradication feasibility assessment to prioritize the management of new and emerging invasive alien species in Europe. </w:t>
      </w:r>
      <w:r w:rsidRPr="007746C5">
        <w:rPr>
          <w:i/>
          <w:iCs/>
        </w:rPr>
        <w:t>Global Change Biology</w:t>
      </w:r>
      <w:r w:rsidRPr="007746C5">
        <w:t xml:space="preserve">, </w:t>
      </w:r>
      <w:r w:rsidRPr="007746C5">
        <w:rPr>
          <w:i/>
          <w:iCs/>
        </w:rPr>
        <w:t>26</w:t>
      </w:r>
      <w:r w:rsidRPr="007746C5">
        <w:t>(11), 6235–6250. https://doi.org/10.1111/gcb.15280</w:t>
      </w:r>
    </w:p>
    <w:p w14:paraId="19F0A39F" w14:textId="77777777" w:rsidR="007746C5" w:rsidRPr="007746C5" w:rsidRDefault="007746C5" w:rsidP="009A04E6">
      <w:pPr>
        <w:pStyle w:val="Bibliography"/>
        <w:spacing w:line="240" w:lineRule="auto"/>
      </w:pPr>
      <w:r w:rsidRPr="007746C5">
        <w:t xml:space="preserve">Bortolus, A. (2008). Error Cascades in the Biological Sciences: The Unwanted Consequences of Using Bad Taxonomy in Ecology. </w:t>
      </w:r>
      <w:r w:rsidRPr="007746C5">
        <w:rPr>
          <w:i/>
          <w:iCs/>
        </w:rPr>
        <w:t>AMBIO: A Journal of the Human Environment</w:t>
      </w:r>
      <w:r w:rsidRPr="007746C5">
        <w:t xml:space="preserve">, </w:t>
      </w:r>
      <w:r w:rsidRPr="007746C5">
        <w:rPr>
          <w:i/>
          <w:iCs/>
        </w:rPr>
        <w:t>37</w:t>
      </w:r>
      <w:r w:rsidRPr="007746C5">
        <w:t>(2), 114–118. https://doi.org/10.1579/0044-7447(2008)37[114:ECITBS]2.0.CO;2</w:t>
      </w:r>
    </w:p>
    <w:p w14:paraId="3FC1C714" w14:textId="77777777" w:rsidR="007746C5" w:rsidRPr="007746C5" w:rsidRDefault="007746C5" w:rsidP="009A04E6">
      <w:pPr>
        <w:pStyle w:val="Bibliography"/>
        <w:spacing w:line="240" w:lineRule="auto"/>
      </w:pPr>
      <w:r w:rsidRPr="007746C5">
        <w:t xml:space="preserve">Bottrill, M. C., Joseph, L. N., Carwardine, J., Bode, M., Cook, C., Game, E. T., Grantham, H., Kark, S., Linke, S., McDonald-Madden, E., Pressey, R. L., Walker, S., Wilson, K. A., &amp; Possingham, H. P. (2008). Is conservation triage just smart decision making? </w:t>
      </w:r>
      <w:r w:rsidRPr="007746C5">
        <w:rPr>
          <w:i/>
          <w:iCs/>
        </w:rPr>
        <w:t>Trends in Ecology &amp; Evolution</w:t>
      </w:r>
      <w:r w:rsidRPr="007746C5">
        <w:t xml:space="preserve">, </w:t>
      </w:r>
      <w:r w:rsidRPr="007746C5">
        <w:rPr>
          <w:i/>
          <w:iCs/>
        </w:rPr>
        <w:t>23</w:t>
      </w:r>
      <w:r w:rsidRPr="007746C5">
        <w:t>(12), 649–654. https://doi.org/10.1016/j.tree.2008.07.007</w:t>
      </w:r>
    </w:p>
    <w:p w14:paraId="07FF2C93" w14:textId="77777777" w:rsidR="007746C5" w:rsidRPr="007746C5" w:rsidRDefault="007746C5" w:rsidP="009A04E6">
      <w:pPr>
        <w:pStyle w:val="Bibliography"/>
        <w:spacing w:line="240" w:lineRule="auto"/>
      </w:pPr>
      <w:r w:rsidRPr="007746C5">
        <w:t xml:space="preserve">Bourdôt, G. W., Kriticos, D. J., &amp; Dodd, M. B. (2018). A national weed management decision-support system. </w:t>
      </w:r>
      <w:r w:rsidRPr="007746C5">
        <w:rPr>
          <w:i/>
          <w:iCs/>
        </w:rPr>
        <w:t>21st Australasian Weeds Conference</w:t>
      </w:r>
      <w:r w:rsidRPr="007746C5">
        <w:t>, 82–85. https://caws.org.nz/old-site/awc/2018/awc201810821.pdf</w:t>
      </w:r>
    </w:p>
    <w:p w14:paraId="635DC2DD" w14:textId="77777777" w:rsidR="007746C5" w:rsidRPr="007746C5" w:rsidRDefault="007746C5" w:rsidP="009A04E6">
      <w:pPr>
        <w:pStyle w:val="Bibliography"/>
        <w:spacing w:line="240" w:lineRule="auto"/>
      </w:pPr>
      <w:r w:rsidRPr="007746C5">
        <w:t xml:space="preserve">Boy, G., &amp; Witt, A. (2013). </w:t>
      </w:r>
      <w:r w:rsidRPr="007746C5">
        <w:rPr>
          <w:i/>
          <w:iCs/>
        </w:rPr>
        <w:t>Invasive alien plants and their management in Africa</w:t>
      </w:r>
      <w:r w:rsidRPr="007746C5">
        <w:t>. UNEP/GEF Removing Barriers to Invasive Plant Management Project International Coordination Unit. https://www.cabi.org/Uploads/CABI/publishing/promotional-materials/african-invasives-book.pdf</w:t>
      </w:r>
    </w:p>
    <w:p w14:paraId="1F0992B8" w14:textId="77777777" w:rsidR="007746C5" w:rsidRPr="007746C5" w:rsidRDefault="007746C5" w:rsidP="009A04E6">
      <w:pPr>
        <w:pStyle w:val="Bibliography"/>
        <w:spacing w:line="240" w:lineRule="auto"/>
      </w:pPr>
      <w:r w:rsidRPr="007746C5">
        <w:t xml:space="preserve">Boyd, J., Epanchin-Niell, R., &amp; Siikamaki, J. (2015). Conservation Planning: A Review of Return on Investment Analysis. </w:t>
      </w:r>
      <w:r w:rsidRPr="007746C5">
        <w:rPr>
          <w:i/>
          <w:iCs/>
        </w:rPr>
        <w:t>Review of Environmental Economics and Policy</w:t>
      </w:r>
      <w:r w:rsidRPr="007746C5">
        <w:t xml:space="preserve">, </w:t>
      </w:r>
      <w:r w:rsidRPr="007746C5">
        <w:rPr>
          <w:i/>
          <w:iCs/>
        </w:rPr>
        <w:t>9</w:t>
      </w:r>
      <w:r w:rsidRPr="007746C5">
        <w:t>(1), 23–42. https://doi.org/10.1093/reep/reu014</w:t>
      </w:r>
    </w:p>
    <w:p w14:paraId="4D4E6F0A" w14:textId="77777777" w:rsidR="007746C5" w:rsidRPr="007746C5" w:rsidRDefault="007746C5" w:rsidP="009A04E6">
      <w:pPr>
        <w:pStyle w:val="Bibliography"/>
        <w:spacing w:line="240" w:lineRule="auto"/>
      </w:pPr>
      <w:r w:rsidRPr="007746C5">
        <w:t xml:space="preserve">Bradhurst, R. A., Roche, S. E., East, I. J., Kwan, P., &amp; Garner, M. G. (2015). A hybrid modeling approach to simulating foot-and-mouth disease outbreaks in Australian livestock. </w:t>
      </w:r>
      <w:r w:rsidRPr="007746C5">
        <w:rPr>
          <w:i/>
          <w:iCs/>
        </w:rPr>
        <w:t>Frontiers in Environmental Science</w:t>
      </w:r>
      <w:r w:rsidRPr="007746C5">
        <w:t xml:space="preserve">, </w:t>
      </w:r>
      <w:r w:rsidRPr="007746C5">
        <w:rPr>
          <w:i/>
          <w:iCs/>
        </w:rPr>
        <w:t>3</w:t>
      </w:r>
      <w:r w:rsidRPr="007746C5">
        <w:t>(17). https://doi.org/10.3389/fenvs.2015.00017</w:t>
      </w:r>
    </w:p>
    <w:p w14:paraId="5506B670" w14:textId="77777777" w:rsidR="007746C5" w:rsidRPr="007746C5" w:rsidRDefault="007746C5" w:rsidP="009A04E6">
      <w:pPr>
        <w:pStyle w:val="Bibliography"/>
        <w:spacing w:line="240" w:lineRule="auto"/>
      </w:pPr>
      <w:r w:rsidRPr="007746C5">
        <w:t xml:space="preserve">Bradie, J., &amp; Leung, B. (2015). Pathway-level models to predict non-indigenous species establishment using propagule pressure, environmental tolerance and trait data. </w:t>
      </w:r>
      <w:r w:rsidRPr="007746C5">
        <w:rPr>
          <w:i/>
          <w:iCs/>
        </w:rPr>
        <w:t>Journal of Applied Ecology</w:t>
      </w:r>
      <w:r w:rsidRPr="007746C5">
        <w:t xml:space="preserve">, </w:t>
      </w:r>
      <w:r w:rsidRPr="007746C5">
        <w:rPr>
          <w:i/>
          <w:iCs/>
        </w:rPr>
        <w:t>52</w:t>
      </w:r>
      <w:r w:rsidRPr="007746C5">
        <w:t>(1), 100–109. https://doi.org/10.1111/1365-2664.12376</w:t>
      </w:r>
    </w:p>
    <w:p w14:paraId="7D91BE6D" w14:textId="77777777" w:rsidR="007746C5" w:rsidRPr="007746C5" w:rsidRDefault="007746C5" w:rsidP="009A04E6">
      <w:pPr>
        <w:pStyle w:val="Bibliography"/>
        <w:spacing w:line="240" w:lineRule="auto"/>
      </w:pPr>
      <w:r w:rsidRPr="007746C5">
        <w:t xml:space="preserve">Brancalion, P. H. S., Campoe, O., Mendes, J. C. T., Noel, C., Moreira, G. G., van Melis, J., Stape, J. L., &amp; Guillemot, J. (2019). Intensive silviculture enhances biomass accumulation and tree diversity recovery in tropical forest restoration. </w:t>
      </w:r>
      <w:r w:rsidRPr="007746C5">
        <w:rPr>
          <w:i/>
          <w:iCs/>
        </w:rPr>
        <w:t>Ecological Applications</w:t>
      </w:r>
      <w:r w:rsidRPr="007746C5">
        <w:t xml:space="preserve">, </w:t>
      </w:r>
      <w:r w:rsidRPr="007746C5">
        <w:rPr>
          <w:i/>
          <w:iCs/>
        </w:rPr>
        <w:t>29</w:t>
      </w:r>
      <w:r w:rsidRPr="007746C5">
        <w:t>(2), e01847. https://www.jstor.org/stable/26623324</w:t>
      </w:r>
    </w:p>
    <w:p w14:paraId="5B435056" w14:textId="77777777" w:rsidR="007746C5" w:rsidRPr="007746C5" w:rsidRDefault="007746C5" w:rsidP="009A04E6">
      <w:pPr>
        <w:pStyle w:val="Bibliography"/>
        <w:spacing w:line="240" w:lineRule="auto"/>
      </w:pPr>
      <w:r w:rsidRPr="007746C5">
        <w:t xml:space="preserve">Briese, D. T. (2000). Classical biological control. In B. M. Sindel (Ed.), </w:t>
      </w:r>
      <w:r w:rsidRPr="007746C5">
        <w:rPr>
          <w:i/>
          <w:iCs/>
        </w:rPr>
        <w:t>Australian Weed Management Systems</w:t>
      </w:r>
      <w:r w:rsidRPr="007746C5">
        <w:t xml:space="preserve"> (pp. 161–192). R.G. and F.J. Richardson. https://www.cabdirect.org/cabdirect/abstract/20023012716</w:t>
      </w:r>
    </w:p>
    <w:p w14:paraId="406DCD15" w14:textId="77777777" w:rsidR="007746C5" w:rsidRPr="007746C5" w:rsidRDefault="007746C5" w:rsidP="009A04E6">
      <w:pPr>
        <w:pStyle w:val="Bibliography"/>
        <w:spacing w:line="240" w:lineRule="auto"/>
      </w:pPr>
      <w:r w:rsidRPr="007746C5">
        <w:t xml:space="preserve">Brockerhoff, E. G., Liebhold, A. M., Richardson, B., &amp; Suckling, D. M. (2010). Eradication of invasive forest insects: Concepts, methods, costs and benefits. </w:t>
      </w:r>
      <w:r w:rsidRPr="007746C5">
        <w:rPr>
          <w:i/>
          <w:iCs/>
        </w:rPr>
        <w:t>New Zealand Journal of Forestry Science</w:t>
      </w:r>
      <w:r w:rsidRPr="007746C5">
        <w:t xml:space="preserve">, </w:t>
      </w:r>
      <w:r w:rsidRPr="007746C5">
        <w:rPr>
          <w:i/>
          <w:iCs/>
        </w:rPr>
        <w:t>40</w:t>
      </w:r>
      <w:r w:rsidRPr="007746C5">
        <w:t>, S117–S135. https://www.fs.usda.gov/treesearch/pubs/34736</w:t>
      </w:r>
    </w:p>
    <w:p w14:paraId="4F61704D" w14:textId="77777777" w:rsidR="007746C5" w:rsidRPr="007746C5" w:rsidRDefault="007746C5" w:rsidP="009A04E6">
      <w:pPr>
        <w:pStyle w:val="Bibliography"/>
        <w:spacing w:line="240" w:lineRule="auto"/>
      </w:pPr>
      <w:r w:rsidRPr="007746C5">
        <w:t xml:space="preserve">Broderstad, E. G., &amp; Eythórsson, E. (2014). Resilient communities? Collapse and recovery of a social-ecological system in Arctic Norway. </w:t>
      </w:r>
      <w:r w:rsidRPr="007746C5">
        <w:rPr>
          <w:i/>
          <w:iCs/>
        </w:rPr>
        <w:t>Ecology and Society</w:t>
      </w:r>
      <w:r w:rsidRPr="007746C5">
        <w:t xml:space="preserve">, </w:t>
      </w:r>
      <w:r w:rsidRPr="007746C5">
        <w:rPr>
          <w:i/>
          <w:iCs/>
        </w:rPr>
        <w:t>19</w:t>
      </w:r>
      <w:r w:rsidRPr="007746C5">
        <w:t>(3), 1. https://doi.org/10.5751/ES-06533-190301</w:t>
      </w:r>
    </w:p>
    <w:p w14:paraId="681E135C" w14:textId="77777777" w:rsidR="007746C5" w:rsidRPr="007746C5" w:rsidRDefault="007746C5" w:rsidP="009A04E6">
      <w:pPr>
        <w:pStyle w:val="Bibliography"/>
        <w:spacing w:line="240" w:lineRule="auto"/>
      </w:pPr>
      <w:r w:rsidRPr="007746C5">
        <w:lastRenderedPageBreak/>
        <w:t xml:space="preserve">Brown, P. M. J., Adriaens, T., Bathon, H., Cuppen, J., Goldarazena, A., Hägg, T., Kenis, M., Klausnitzer, B. E. M., Kovář, I., Loomans, A. J. M., Majerus, M. E. N., Nedved, O., Pedersen, J., Rabitsch, W., Roy, H. E., Ternois, V., Zakharov, I. A., &amp; Roy, D. B. (2008). </w:t>
      </w:r>
      <w:r w:rsidRPr="007746C5">
        <w:rPr>
          <w:i/>
          <w:iCs/>
        </w:rPr>
        <w:t>Harmonia axyridis</w:t>
      </w:r>
      <w:r w:rsidRPr="007746C5">
        <w:t xml:space="preserve"> in Europe: Spread and distribution of a non-native coccinellid. In H. E. Roy &amp; E. Wajnberg (Eds.), </w:t>
      </w:r>
      <w:r w:rsidRPr="007746C5">
        <w:rPr>
          <w:i/>
          <w:iCs/>
        </w:rPr>
        <w:t>From Biological Control to Invasion: The Ladybird Harmonia axyridis as a Model Species</w:t>
      </w:r>
      <w:r w:rsidRPr="007746C5">
        <w:t xml:space="preserve"> (pp. 5–21). Springer Netherlands. https://doi.org/10.1007/978-1-4020-6939-0_2</w:t>
      </w:r>
    </w:p>
    <w:p w14:paraId="64D9A502" w14:textId="77777777" w:rsidR="007746C5" w:rsidRPr="007746C5" w:rsidRDefault="007746C5" w:rsidP="009A04E6">
      <w:pPr>
        <w:pStyle w:val="Bibliography"/>
        <w:spacing w:line="240" w:lineRule="auto"/>
      </w:pPr>
      <w:r w:rsidRPr="007746C5">
        <w:t xml:space="preserve">Browne, C., Stafford, K., &amp; Fordham, R. (2006). The use of scent-detection dogs. </w:t>
      </w:r>
      <w:r w:rsidRPr="007746C5">
        <w:rPr>
          <w:i/>
          <w:iCs/>
        </w:rPr>
        <w:t>Irish Veterinary Journal</w:t>
      </w:r>
      <w:r w:rsidRPr="007746C5">
        <w:t xml:space="preserve">, </w:t>
      </w:r>
      <w:r w:rsidRPr="007746C5">
        <w:rPr>
          <w:i/>
          <w:iCs/>
        </w:rPr>
        <w:t>59</w:t>
      </w:r>
      <w:r w:rsidRPr="007746C5">
        <w:t>(2), 97–104. https://www.researchgate.net/publication/261663456</w:t>
      </w:r>
    </w:p>
    <w:p w14:paraId="0C9C2FD9" w14:textId="77777777" w:rsidR="007746C5" w:rsidRPr="007746C5" w:rsidRDefault="007746C5" w:rsidP="009A04E6">
      <w:pPr>
        <w:pStyle w:val="Bibliography"/>
        <w:spacing w:line="240" w:lineRule="auto"/>
      </w:pPr>
      <w:r w:rsidRPr="007746C5">
        <w:t xml:space="preserve">Brunel, S., Branquart, E., Fried, G., Van Valkenburg, J., Brundu, G., Starfinger, U., Buholzer, S., Uludag, A., Joseffson, M., &amp; Baker, R. (2010). The EPPO prioritization process for invasive alien plants. </w:t>
      </w:r>
      <w:r w:rsidRPr="007746C5">
        <w:rPr>
          <w:i/>
          <w:iCs/>
        </w:rPr>
        <w:t>EPPO Bulletin</w:t>
      </w:r>
      <w:r w:rsidRPr="007746C5">
        <w:t xml:space="preserve">, </w:t>
      </w:r>
      <w:r w:rsidRPr="007746C5">
        <w:rPr>
          <w:i/>
          <w:iCs/>
        </w:rPr>
        <w:t>40</w:t>
      </w:r>
      <w:r w:rsidRPr="007746C5">
        <w:t>(3), 407–422. https://doi.org/10.1111/j.1365-2338.2010.02423.x</w:t>
      </w:r>
    </w:p>
    <w:p w14:paraId="5EE43D72" w14:textId="77777777" w:rsidR="007746C5" w:rsidRPr="007746C5" w:rsidRDefault="007746C5" w:rsidP="009A04E6">
      <w:pPr>
        <w:pStyle w:val="Bibliography"/>
        <w:spacing w:line="240" w:lineRule="auto"/>
      </w:pPr>
      <w:r w:rsidRPr="007746C5">
        <w:t xml:space="preserve">Buchadas, A., Vaz, A. S., Honrado, J. P., Alagador, D., Bastos, R., Cabral, J. A., Santos, M., &amp; Vicente, J. R. (2017). Dynamic models in research and management of biological invasions. </w:t>
      </w:r>
      <w:r w:rsidRPr="007746C5">
        <w:rPr>
          <w:i/>
          <w:iCs/>
        </w:rPr>
        <w:t>Journal of Environmental Management</w:t>
      </w:r>
      <w:r w:rsidRPr="007746C5">
        <w:t xml:space="preserve">, </w:t>
      </w:r>
      <w:r w:rsidRPr="007746C5">
        <w:rPr>
          <w:i/>
          <w:iCs/>
        </w:rPr>
        <w:t>196</w:t>
      </w:r>
      <w:r w:rsidRPr="007746C5">
        <w:t>, 594–606. https://doi.org/10.1016/j.jenvman.2017.03.060</w:t>
      </w:r>
    </w:p>
    <w:p w14:paraId="75161F4B" w14:textId="77777777" w:rsidR="007746C5" w:rsidRPr="007746C5" w:rsidRDefault="007746C5" w:rsidP="009A04E6">
      <w:pPr>
        <w:pStyle w:val="Bibliography"/>
        <w:spacing w:line="240" w:lineRule="auto"/>
      </w:pPr>
      <w:r w:rsidRPr="007746C5">
        <w:t xml:space="preserve">Buckley, Y. M., Bolker, B. M., &amp; Rees, M. (2007). Disturbance, invasion and re-invasion: Managing the weed-shaped hole in disturbed ecosystems. </w:t>
      </w:r>
      <w:r w:rsidRPr="007746C5">
        <w:rPr>
          <w:i/>
          <w:iCs/>
        </w:rPr>
        <w:t>Ecology Letters</w:t>
      </w:r>
      <w:r w:rsidRPr="007746C5">
        <w:t xml:space="preserve">, </w:t>
      </w:r>
      <w:r w:rsidRPr="007746C5">
        <w:rPr>
          <w:i/>
          <w:iCs/>
        </w:rPr>
        <w:t>10</w:t>
      </w:r>
      <w:r w:rsidRPr="007746C5">
        <w:t>(9), 809–817. https://doi.org/10.1111/j.1461-0248.2007.01067.x</w:t>
      </w:r>
    </w:p>
    <w:p w14:paraId="6CBB7B20" w14:textId="77777777" w:rsidR="007746C5" w:rsidRPr="007746C5" w:rsidRDefault="007746C5" w:rsidP="009A04E6">
      <w:pPr>
        <w:pStyle w:val="Bibliography"/>
        <w:spacing w:line="240" w:lineRule="auto"/>
      </w:pPr>
      <w:r w:rsidRPr="007746C5">
        <w:t xml:space="preserve">Buckley, Y. M., Briese, D. T., &amp; Rees, M. (2003a). Demography and management of the invasive plant species </w:t>
      </w:r>
      <w:r w:rsidRPr="007746C5">
        <w:rPr>
          <w:i/>
          <w:iCs/>
        </w:rPr>
        <w:t>Hypericum perforatum</w:t>
      </w:r>
      <w:r w:rsidRPr="007746C5">
        <w:t xml:space="preserve">. I. Using multi-level mixed-effects models for characterizing growth, survival and fecundity in a long-term data set. </w:t>
      </w:r>
      <w:r w:rsidRPr="007746C5">
        <w:rPr>
          <w:i/>
          <w:iCs/>
        </w:rPr>
        <w:t>Journal of Applied Ecology</w:t>
      </w:r>
      <w:r w:rsidRPr="007746C5">
        <w:t xml:space="preserve">, </w:t>
      </w:r>
      <w:r w:rsidRPr="007746C5">
        <w:rPr>
          <w:i/>
          <w:iCs/>
        </w:rPr>
        <w:t>40</w:t>
      </w:r>
      <w:r w:rsidRPr="007746C5">
        <w:t>(3), 481–493. https://doi.org/10.1046/j.1365-2664.2003.00821.x</w:t>
      </w:r>
    </w:p>
    <w:p w14:paraId="6F6F76A1" w14:textId="77777777" w:rsidR="007746C5" w:rsidRPr="007746C5" w:rsidRDefault="007746C5" w:rsidP="009A04E6">
      <w:pPr>
        <w:pStyle w:val="Bibliography"/>
        <w:spacing w:line="240" w:lineRule="auto"/>
      </w:pPr>
      <w:r w:rsidRPr="007746C5">
        <w:t xml:space="preserve">Buckley, Y. M., Briese, D. T., &amp; Rees, M. (2003b). Demography and management of the invasive plant species </w:t>
      </w:r>
      <w:r w:rsidRPr="007746C5">
        <w:rPr>
          <w:i/>
          <w:iCs/>
        </w:rPr>
        <w:t>Hypericum perforatum</w:t>
      </w:r>
      <w:r w:rsidRPr="007746C5">
        <w:t xml:space="preserve">. II. Construction and use of an individual-based model to predict population dynamics and the effects of management strategies. </w:t>
      </w:r>
      <w:r w:rsidRPr="007746C5">
        <w:rPr>
          <w:i/>
          <w:iCs/>
        </w:rPr>
        <w:t>Journal of Applied Ecology</w:t>
      </w:r>
      <w:r w:rsidRPr="007746C5">
        <w:t xml:space="preserve">, </w:t>
      </w:r>
      <w:r w:rsidRPr="007746C5">
        <w:rPr>
          <w:i/>
          <w:iCs/>
        </w:rPr>
        <w:t>40</w:t>
      </w:r>
      <w:r w:rsidRPr="007746C5">
        <w:t>(3), 494–507. https://doi.org/10.1046/j.1365-2664.2003.00822.x</w:t>
      </w:r>
    </w:p>
    <w:p w14:paraId="2226F002" w14:textId="77777777" w:rsidR="007746C5" w:rsidRPr="007746C5" w:rsidRDefault="007746C5" w:rsidP="009A04E6">
      <w:pPr>
        <w:pStyle w:val="Bibliography"/>
        <w:spacing w:line="240" w:lineRule="auto"/>
      </w:pPr>
      <w:r w:rsidRPr="007746C5">
        <w:t xml:space="preserve">Buckley, Y. M., Rees, M., Sheppard, A. W., &amp; Smyth, M. J. (2005). Stable coexistence of an invasive plant and biocontrol agent: A parameterized coupled plant–herbivore model. </w:t>
      </w:r>
      <w:r w:rsidRPr="007746C5">
        <w:rPr>
          <w:i/>
          <w:iCs/>
        </w:rPr>
        <w:t>Journal of Applied Ecology</w:t>
      </w:r>
      <w:r w:rsidRPr="007746C5">
        <w:t xml:space="preserve">, </w:t>
      </w:r>
      <w:r w:rsidRPr="007746C5">
        <w:rPr>
          <w:i/>
          <w:iCs/>
        </w:rPr>
        <w:t>42</w:t>
      </w:r>
      <w:r w:rsidRPr="007746C5">
        <w:t>(1), 70–79. https://doi.org/10.1111/j.1365-2664.2005.00991.x</w:t>
      </w:r>
    </w:p>
    <w:p w14:paraId="4AD23765" w14:textId="77777777" w:rsidR="007746C5" w:rsidRPr="007746C5" w:rsidRDefault="007746C5" w:rsidP="009A04E6">
      <w:pPr>
        <w:pStyle w:val="Bibliography"/>
        <w:spacing w:line="240" w:lineRule="auto"/>
      </w:pPr>
      <w:r w:rsidRPr="007746C5">
        <w:t xml:space="preserve">Bugnot, A. B., Mayer-Pinto, M., Airoldi, L., Heery, E. C., Johnston, E. L., Critchley, L. P., Strain, E. M. A., Morris, R. L., Loke, L. H. L., Bishop, M. J., Sheehan, E. V., Coleman, R. A., &amp; Dafforn, K. A. (2021). Current and projected global extent of marine built structures. </w:t>
      </w:r>
      <w:r w:rsidRPr="007746C5">
        <w:rPr>
          <w:i/>
          <w:iCs/>
        </w:rPr>
        <w:t>Nature Sustainability</w:t>
      </w:r>
      <w:r w:rsidRPr="007746C5">
        <w:t xml:space="preserve">, </w:t>
      </w:r>
      <w:r w:rsidRPr="007746C5">
        <w:rPr>
          <w:i/>
          <w:iCs/>
        </w:rPr>
        <w:t>4</w:t>
      </w:r>
      <w:r w:rsidRPr="007746C5">
        <w:t>(1), 33–41. https://doi.org/10.1038/s41893-020-00595-1</w:t>
      </w:r>
    </w:p>
    <w:p w14:paraId="7DA40025" w14:textId="77777777" w:rsidR="007746C5" w:rsidRPr="007746C5" w:rsidRDefault="007746C5" w:rsidP="009A04E6">
      <w:pPr>
        <w:pStyle w:val="Bibliography"/>
        <w:spacing w:line="240" w:lineRule="auto"/>
      </w:pPr>
      <w:r w:rsidRPr="007746C5">
        <w:t xml:space="preserve">Bulleri, F., &amp; Airoldi, L. (2005). Artificial marine structures facilitate the spread of a non-indigenous green alga, </w:t>
      </w:r>
      <w:r w:rsidRPr="007746C5">
        <w:rPr>
          <w:i/>
          <w:iCs/>
        </w:rPr>
        <w:t>Codium fragile</w:t>
      </w:r>
      <w:r w:rsidRPr="007746C5">
        <w:t xml:space="preserve"> ssp. </w:t>
      </w:r>
      <w:r w:rsidRPr="007746C5">
        <w:rPr>
          <w:i/>
          <w:iCs/>
        </w:rPr>
        <w:t>Tomentosoides</w:t>
      </w:r>
      <w:r w:rsidRPr="007746C5">
        <w:t xml:space="preserve">, in the north Adriatic Sea. </w:t>
      </w:r>
      <w:r w:rsidRPr="007746C5">
        <w:rPr>
          <w:i/>
          <w:iCs/>
        </w:rPr>
        <w:t>Journal of Applied Ecology</w:t>
      </w:r>
      <w:r w:rsidRPr="007746C5">
        <w:t xml:space="preserve">, </w:t>
      </w:r>
      <w:r w:rsidRPr="007746C5">
        <w:rPr>
          <w:i/>
          <w:iCs/>
        </w:rPr>
        <w:t>42</w:t>
      </w:r>
      <w:r w:rsidRPr="007746C5">
        <w:t>(6), 1063–1072. https://doi.org/10.1111/j.1365-2664.2005.01096.x</w:t>
      </w:r>
    </w:p>
    <w:p w14:paraId="17A67F35" w14:textId="77777777" w:rsidR="007746C5" w:rsidRPr="007746C5" w:rsidRDefault="007746C5" w:rsidP="009A04E6">
      <w:pPr>
        <w:pStyle w:val="Bibliography"/>
        <w:spacing w:line="240" w:lineRule="auto"/>
      </w:pPr>
      <w:r w:rsidRPr="007746C5">
        <w:t xml:space="preserve">Burgiel, S., Foote, G., Orellana, M., &amp; Perrault, A. (2006). </w:t>
      </w:r>
      <w:r w:rsidRPr="007746C5">
        <w:rPr>
          <w:i/>
          <w:iCs/>
        </w:rPr>
        <w:t>Invasive Alien Species and Trade: Integrating Prevention Measures and International Trade Rules</w:t>
      </w:r>
      <w:r w:rsidRPr="007746C5">
        <w:t xml:space="preserve"> (p. 54). Center for International Environmental Law (CIEL) and Defenders of Wildlife. https://cleantrade.typepad.com/clean_trade/files/invasives_trade_paper_0106.pdf</w:t>
      </w:r>
    </w:p>
    <w:p w14:paraId="696AE027" w14:textId="77777777" w:rsidR="007746C5" w:rsidRPr="007746C5" w:rsidRDefault="007746C5" w:rsidP="009A04E6">
      <w:pPr>
        <w:pStyle w:val="Bibliography"/>
        <w:spacing w:line="240" w:lineRule="auto"/>
      </w:pPr>
      <w:r w:rsidRPr="007746C5">
        <w:t xml:space="preserve">Burgman, M. (2005). </w:t>
      </w:r>
      <w:r w:rsidRPr="007746C5">
        <w:rPr>
          <w:i/>
          <w:iCs/>
        </w:rPr>
        <w:t>Risks and Decisions for Conservation and Environmental Management</w:t>
      </w:r>
      <w:r w:rsidRPr="007746C5">
        <w:t>. Cambridge University Press. https://doi.org/10.1017/CBO9780511614279</w:t>
      </w:r>
    </w:p>
    <w:p w14:paraId="44263872" w14:textId="77777777" w:rsidR="007746C5" w:rsidRPr="007746C5" w:rsidRDefault="007746C5" w:rsidP="009A04E6">
      <w:pPr>
        <w:pStyle w:val="Bibliography"/>
        <w:spacing w:line="240" w:lineRule="auto"/>
      </w:pPr>
      <w:r w:rsidRPr="007746C5">
        <w:t xml:space="preserve">Burke, G., Singh, B. R., &amp; Theodore, L. (2005). </w:t>
      </w:r>
      <w:r w:rsidRPr="007746C5">
        <w:rPr>
          <w:i/>
          <w:iCs/>
        </w:rPr>
        <w:t>Handbook of environmental management and technology.</w:t>
      </w:r>
      <w:r w:rsidRPr="007746C5">
        <w:t xml:space="preserve"> (Issue Ed. 2). John Wiley &amp; Sons, Inc.</w:t>
      </w:r>
    </w:p>
    <w:p w14:paraId="0950460F" w14:textId="77777777" w:rsidR="007746C5" w:rsidRPr="007746C5" w:rsidRDefault="007746C5" w:rsidP="009A04E6">
      <w:pPr>
        <w:pStyle w:val="Bibliography"/>
        <w:spacing w:line="240" w:lineRule="auto"/>
      </w:pPr>
      <w:r w:rsidRPr="007746C5">
        <w:t xml:space="preserve">Burrows, N. D. (2018). Feral Animals in the Semi-arid and Arid Regions of Australia: Origins, Impacts and Control. In H. Lambers (Ed.), </w:t>
      </w:r>
      <w:r w:rsidRPr="007746C5">
        <w:rPr>
          <w:i/>
          <w:iCs/>
        </w:rPr>
        <w:t>On the Ecology of Australia’s Arid Zone</w:t>
      </w:r>
      <w:r w:rsidRPr="007746C5">
        <w:t xml:space="preserve"> (pp. 331–373). Springer International Publishing. https://doi.org/10.1007/978-3-319-93943-8_13</w:t>
      </w:r>
    </w:p>
    <w:p w14:paraId="679C5C5A" w14:textId="77777777" w:rsidR="007746C5" w:rsidRPr="007746C5" w:rsidRDefault="007746C5" w:rsidP="009A04E6">
      <w:pPr>
        <w:pStyle w:val="Bibliography"/>
        <w:spacing w:line="240" w:lineRule="auto"/>
      </w:pPr>
      <w:r w:rsidRPr="007746C5">
        <w:lastRenderedPageBreak/>
        <w:t xml:space="preserve">Burt, J. W., Muir, A. A., Piovia-Scott, J., Veblen, K. E., Chang, A. L., Grossman, J. D., &amp; Weiskel, H. W. (2007). Preventing horticultural introductions of invasive plants: Potential efficacy of voluntary initiatives. </w:t>
      </w:r>
      <w:r w:rsidRPr="007746C5">
        <w:rPr>
          <w:i/>
          <w:iCs/>
        </w:rPr>
        <w:t>Biological Invasions</w:t>
      </w:r>
      <w:r w:rsidRPr="007746C5">
        <w:t xml:space="preserve">, </w:t>
      </w:r>
      <w:r w:rsidRPr="007746C5">
        <w:rPr>
          <w:i/>
          <w:iCs/>
        </w:rPr>
        <w:t>9</w:t>
      </w:r>
      <w:r w:rsidRPr="007746C5">
        <w:t>(8), 909–923. https://doi.org/10.1007/s10530-007-9090-4</w:t>
      </w:r>
    </w:p>
    <w:p w14:paraId="748FDDA8" w14:textId="77777777" w:rsidR="007746C5" w:rsidRPr="007746C5" w:rsidRDefault="007746C5" w:rsidP="009A04E6">
      <w:pPr>
        <w:pStyle w:val="Bibliography"/>
        <w:spacing w:line="240" w:lineRule="auto"/>
      </w:pPr>
      <w:r w:rsidRPr="007746C5">
        <w:t xml:space="preserve">Bylemans, J., Gleeson, D. M., Duncan, R. P., Hardy, C. M., &amp; Furlan, E. M. (2019). A performance evaluation of targeted eDNA and eDNA metabarcoding analyses for freshwater fishes. </w:t>
      </w:r>
      <w:r w:rsidRPr="007746C5">
        <w:rPr>
          <w:i/>
          <w:iCs/>
        </w:rPr>
        <w:t>Environmental DNA</w:t>
      </w:r>
      <w:r w:rsidRPr="007746C5">
        <w:t xml:space="preserve">, </w:t>
      </w:r>
      <w:r w:rsidRPr="007746C5">
        <w:rPr>
          <w:i/>
          <w:iCs/>
        </w:rPr>
        <w:t>1</w:t>
      </w:r>
      <w:r w:rsidRPr="007746C5">
        <w:t>(4), 402–414. https://doi.org/10.1002/edn3.41</w:t>
      </w:r>
    </w:p>
    <w:p w14:paraId="4E3764A0" w14:textId="77777777" w:rsidR="007746C5" w:rsidRPr="007746C5" w:rsidRDefault="007746C5" w:rsidP="009A04E6">
      <w:pPr>
        <w:pStyle w:val="Bibliography"/>
        <w:spacing w:line="240" w:lineRule="auto"/>
      </w:pPr>
      <w:r w:rsidRPr="007746C5">
        <w:t xml:space="preserve">Byun, C., de Blois, S., &amp; Brisson, J. (2013). Plant functional group identity and diversity determine biotic resistance to invasion by an exotic grass. </w:t>
      </w:r>
      <w:r w:rsidRPr="007746C5">
        <w:rPr>
          <w:i/>
          <w:iCs/>
        </w:rPr>
        <w:t>Journal of Ecology</w:t>
      </w:r>
      <w:r w:rsidRPr="007746C5">
        <w:t xml:space="preserve">, </w:t>
      </w:r>
      <w:r w:rsidRPr="007746C5">
        <w:rPr>
          <w:i/>
          <w:iCs/>
        </w:rPr>
        <w:t>101</w:t>
      </w:r>
      <w:r w:rsidRPr="007746C5">
        <w:t>(1), 128–139. https://doi.org/10.1111/1365-2745.12016</w:t>
      </w:r>
    </w:p>
    <w:p w14:paraId="3E1C2BDC" w14:textId="77777777" w:rsidR="007746C5" w:rsidRPr="007746C5" w:rsidRDefault="007746C5" w:rsidP="009A04E6">
      <w:pPr>
        <w:pStyle w:val="Bibliography"/>
        <w:spacing w:line="240" w:lineRule="auto"/>
      </w:pPr>
      <w:r w:rsidRPr="007746C5">
        <w:t xml:space="preserve">Byun, C., de Blois, S., &amp; Brisson, J. (2018). Management of invasive plants through ecological resistance. </w:t>
      </w:r>
      <w:r w:rsidRPr="007746C5">
        <w:rPr>
          <w:i/>
          <w:iCs/>
        </w:rPr>
        <w:t>Biological Invasions</w:t>
      </w:r>
      <w:r w:rsidRPr="007746C5">
        <w:t xml:space="preserve">, </w:t>
      </w:r>
      <w:r w:rsidRPr="007746C5">
        <w:rPr>
          <w:i/>
          <w:iCs/>
        </w:rPr>
        <w:t>20</w:t>
      </w:r>
      <w:r w:rsidRPr="007746C5">
        <w:t>(1), 13–27. https://doi.org/10.1007/s10530-017-1529-7</w:t>
      </w:r>
    </w:p>
    <w:p w14:paraId="59CB79AD" w14:textId="77777777" w:rsidR="007746C5" w:rsidRPr="007746C5" w:rsidRDefault="007746C5" w:rsidP="009A04E6">
      <w:pPr>
        <w:pStyle w:val="Bibliography"/>
        <w:spacing w:line="240" w:lineRule="auto"/>
      </w:pPr>
      <w:r w:rsidRPr="007746C5">
        <w:t xml:space="preserve">Byun, C., de Blois, S., &amp; Brisson, J. (2020). Restoring functionally diverse communities enhances invasion resistance in a freshwater wetland. </w:t>
      </w:r>
      <w:r w:rsidRPr="007746C5">
        <w:rPr>
          <w:i/>
          <w:iCs/>
        </w:rPr>
        <w:t>Journal of Ecology</w:t>
      </w:r>
      <w:r w:rsidRPr="007746C5">
        <w:t xml:space="preserve">, </w:t>
      </w:r>
      <w:r w:rsidRPr="007746C5">
        <w:rPr>
          <w:i/>
          <w:iCs/>
        </w:rPr>
        <w:t>108</w:t>
      </w:r>
      <w:r w:rsidRPr="007746C5">
        <w:t>(6), 2485–2498. https://doi.org/10.1111/1365-2745.13419</w:t>
      </w:r>
    </w:p>
    <w:p w14:paraId="6E07CB1F" w14:textId="77777777" w:rsidR="007746C5" w:rsidRPr="007746C5" w:rsidRDefault="007746C5" w:rsidP="009A04E6">
      <w:pPr>
        <w:pStyle w:val="Bibliography"/>
        <w:spacing w:line="240" w:lineRule="auto"/>
      </w:pPr>
      <w:r w:rsidRPr="007746C5">
        <w:t xml:space="preserve">Byun, C., Oh, M., Lee, E. J., &amp; Kang, H. (2020). Seed density is as important as limiting similarity, diversity effect, and propagule pressure in plant restoration to control invasion. </w:t>
      </w:r>
      <w:r w:rsidRPr="007746C5">
        <w:rPr>
          <w:i/>
          <w:iCs/>
        </w:rPr>
        <w:t>Ecological Engineering</w:t>
      </w:r>
      <w:r w:rsidRPr="007746C5">
        <w:t xml:space="preserve">, </w:t>
      </w:r>
      <w:r w:rsidRPr="007746C5">
        <w:rPr>
          <w:i/>
          <w:iCs/>
        </w:rPr>
        <w:t>144</w:t>
      </w:r>
      <w:r w:rsidRPr="007746C5">
        <w:t>, 105712. https://doi.org/10.1016/j.ecoleng.2019.105712</w:t>
      </w:r>
    </w:p>
    <w:p w14:paraId="3C0845F8" w14:textId="77777777" w:rsidR="007746C5" w:rsidRPr="007746C5" w:rsidRDefault="007746C5" w:rsidP="009A04E6">
      <w:pPr>
        <w:pStyle w:val="Bibliography"/>
        <w:spacing w:line="240" w:lineRule="auto"/>
      </w:pPr>
      <w:r w:rsidRPr="007746C5">
        <w:t xml:space="preserve">CABI. (2021). </w:t>
      </w:r>
      <w:r w:rsidRPr="007746C5">
        <w:rPr>
          <w:i/>
          <w:iCs/>
        </w:rPr>
        <w:t>Horizon Scanning Tool—Free version</w:t>
      </w:r>
      <w:r w:rsidRPr="007746C5">
        <w:t>. https://www.cabi.org/HorizonScanningTool/?auth=true</w:t>
      </w:r>
    </w:p>
    <w:p w14:paraId="24710F8A" w14:textId="77777777" w:rsidR="007746C5" w:rsidRPr="007746C5" w:rsidRDefault="007746C5" w:rsidP="009A04E6">
      <w:pPr>
        <w:pStyle w:val="Bibliography"/>
        <w:spacing w:line="240" w:lineRule="auto"/>
      </w:pPr>
      <w:r w:rsidRPr="007746C5">
        <w:rPr>
          <w:rFonts w:hint="eastAsia"/>
        </w:rPr>
        <w:t>Caceres</w:t>
      </w:r>
      <w:r w:rsidRPr="007746C5">
        <w:rPr>
          <w:rFonts w:hint="eastAsia"/>
        </w:rPr>
        <w:t>‐</w:t>
      </w:r>
      <w:r w:rsidRPr="007746C5">
        <w:rPr>
          <w:rFonts w:hint="eastAsia"/>
        </w:rPr>
        <w:t xml:space="preserve">Escobar, H., Kark, S., Atkinson, S. C., Possingham, H. P., &amp; Davis, K. J. (2019). Integrating local knowledge to prioritise invasive species management. </w:t>
      </w:r>
      <w:r w:rsidRPr="007746C5">
        <w:rPr>
          <w:i/>
          <w:iCs/>
        </w:rPr>
        <w:t>People and Nature</w:t>
      </w:r>
      <w:r w:rsidRPr="007746C5">
        <w:t xml:space="preserve">, </w:t>
      </w:r>
      <w:r w:rsidRPr="007746C5">
        <w:rPr>
          <w:i/>
          <w:iCs/>
        </w:rPr>
        <w:t>1</w:t>
      </w:r>
      <w:r w:rsidRPr="007746C5">
        <w:t>(2), 220–233. https://doi.org/10.1002/pan3.27</w:t>
      </w:r>
    </w:p>
    <w:p w14:paraId="206DEFCF" w14:textId="77777777" w:rsidR="007746C5" w:rsidRPr="007746C5" w:rsidRDefault="007746C5" w:rsidP="009A04E6">
      <w:pPr>
        <w:pStyle w:val="Bibliography"/>
        <w:spacing w:line="240" w:lineRule="auto"/>
      </w:pPr>
      <w:r w:rsidRPr="007746C5">
        <w:t xml:space="preserve">Cacho, O. J., Spring, D., Hester, S., &amp; Mac Nally, R. (2010). Allocating surveillance effort in the management of invasive species: A spatially-explicit model. </w:t>
      </w:r>
      <w:r w:rsidRPr="007746C5">
        <w:rPr>
          <w:i/>
          <w:iCs/>
        </w:rPr>
        <w:t>Environmental Modelling &amp; Software</w:t>
      </w:r>
      <w:r w:rsidRPr="007746C5">
        <w:t xml:space="preserve">, </w:t>
      </w:r>
      <w:r w:rsidRPr="007746C5">
        <w:rPr>
          <w:i/>
          <w:iCs/>
        </w:rPr>
        <w:t>25</w:t>
      </w:r>
      <w:r w:rsidRPr="007746C5">
        <w:t>(4), 444–454. https://doi.org/10.1016/j.envsoft.2009.10.014</w:t>
      </w:r>
    </w:p>
    <w:p w14:paraId="3495A766" w14:textId="77777777" w:rsidR="007746C5" w:rsidRPr="007746C5" w:rsidRDefault="007746C5" w:rsidP="009A04E6">
      <w:pPr>
        <w:pStyle w:val="Bibliography"/>
        <w:spacing w:line="240" w:lineRule="auto"/>
      </w:pPr>
      <w:r w:rsidRPr="007746C5">
        <w:t xml:space="preserve">Cadenasso, M. L., &amp; Pickett, S. T. A. (2008). Urban Principles for Ecological Landscape Design and Maintenance: Scientific Fundamentals. </w:t>
      </w:r>
      <w:r w:rsidRPr="007746C5">
        <w:rPr>
          <w:i/>
          <w:iCs/>
        </w:rPr>
        <w:t>Cities and the Environment (CATE)</w:t>
      </w:r>
      <w:r w:rsidRPr="007746C5">
        <w:t xml:space="preserve">, </w:t>
      </w:r>
      <w:r w:rsidRPr="007746C5">
        <w:rPr>
          <w:i/>
          <w:iCs/>
        </w:rPr>
        <w:t>1</w:t>
      </w:r>
      <w:r w:rsidRPr="007746C5">
        <w:t>(2), 4. https://digitalcommons.lmu.edu/cate/vol1/iss2/4</w:t>
      </w:r>
    </w:p>
    <w:p w14:paraId="6C43CDAB" w14:textId="77777777" w:rsidR="007746C5" w:rsidRPr="007746C5" w:rsidRDefault="007746C5" w:rsidP="009A04E6">
      <w:pPr>
        <w:pStyle w:val="Bibliography"/>
        <w:spacing w:line="240" w:lineRule="auto"/>
      </w:pPr>
      <w:r w:rsidRPr="007746C5">
        <w:t xml:space="preserve">CADIC-CONICET. (2020, May 19). </w:t>
      </w:r>
      <w:r w:rsidRPr="007746C5">
        <w:rPr>
          <w:i/>
          <w:iCs/>
        </w:rPr>
        <w:t>Control de plagas en el predio del CADIC</w:t>
      </w:r>
      <w:r w:rsidRPr="007746C5">
        <w:t>. https://cadic.conicet.gov.ar/?post_type=post&amp;p=4896</w:t>
      </w:r>
    </w:p>
    <w:p w14:paraId="0035FC41" w14:textId="77777777" w:rsidR="007746C5" w:rsidRPr="007746C5" w:rsidRDefault="007746C5" w:rsidP="009A04E6">
      <w:pPr>
        <w:pStyle w:val="Bibliography"/>
        <w:spacing w:line="240" w:lineRule="auto"/>
      </w:pPr>
      <w:r w:rsidRPr="007746C5">
        <w:t xml:space="preserve">Calderón Alvarez, C., Causton, C. E., Hoddle, M. S., Hoddle, C. D., van Driesche, R., &amp; Stanek, E. J. (2012). Monitoring the effects of </w:t>
      </w:r>
      <w:r w:rsidRPr="007746C5">
        <w:rPr>
          <w:i/>
          <w:iCs/>
        </w:rPr>
        <w:t>Rodolia cardinalis</w:t>
      </w:r>
      <w:r w:rsidRPr="007746C5">
        <w:t xml:space="preserve"> on </w:t>
      </w:r>
      <w:r w:rsidRPr="007746C5">
        <w:rPr>
          <w:i/>
          <w:iCs/>
        </w:rPr>
        <w:t>Icerya purchasi</w:t>
      </w:r>
      <w:r w:rsidRPr="007746C5">
        <w:t xml:space="preserve"> populations on the Galapagos Islands. </w:t>
      </w:r>
      <w:r w:rsidRPr="007746C5">
        <w:rPr>
          <w:i/>
          <w:iCs/>
        </w:rPr>
        <w:t>BioControl</w:t>
      </w:r>
      <w:r w:rsidRPr="007746C5">
        <w:t xml:space="preserve">, </w:t>
      </w:r>
      <w:r w:rsidRPr="007746C5">
        <w:rPr>
          <w:i/>
          <w:iCs/>
        </w:rPr>
        <w:t>57</w:t>
      </w:r>
      <w:r w:rsidRPr="007746C5">
        <w:t>(2), 167–179. https://doi.org/10.1007/s10526-011-9429-8</w:t>
      </w:r>
    </w:p>
    <w:p w14:paraId="321B0914" w14:textId="77777777" w:rsidR="007746C5" w:rsidRPr="007746C5" w:rsidRDefault="007746C5" w:rsidP="009A04E6">
      <w:pPr>
        <w:pStyle w:val="Bibliography"/>
        <w:spacing w:line="240" w:lineRule="auto"/>
      </w:pPr>
      <w:r w:rsidRPr="007746C5">
        <w:t xml:space="preserve">Calero, M. L., &amp; Monti, G. (2022). Assessment of the Current Surveillance System for Human Leptospirosis in Ecuador by Decision Analytic Modeling. </w:t>
      </w:r>
      <w:r w:rsidRPr="007746C5">
        <w:rPr>
          <w:i/>
          <w:iCs/>
        </w:rPr>
        <w:t>Frontiers in Public Health</w:t>
      </w:r>
      <w:r w:rsidRPr="007746C5">
        <w:t xml:space="preserve">, </w:t>
      </w:r>
      <w:r w:rsidRPr="007746C5">
        <w:rPr>
          <w:i/>
          <w:iCs/>
        </w:rPr>
        <w:t>10</w:t>
      </w:r>
      <w:r w:rsidRPr="007746C5">
        <w:t>, 711938. https://doi.org/10.3389/fpubh.2022.711938</w:t>
      </w:r>
    </w:p>
    <w:p w14:paraId="52381856" w14:textId="77777777" w:rsidR="007746C5" w:rsidRPr="007746C5" w:rsidRDefault="007746C5" w:rsidP="009A04E6">
      <w:pPr>
        <w:pStyle w:val="Bibliography"/>
        <w:spacing w:line="240" w:lineRule="auto"/>
      </w:pPr>
      <w:r w:rsidRPr="007746C5">
        <w:t xml:space="preserve">Calvete, C. (2006). Modeling the Effect of Population Dynamics on the Impact of Rabbit Hemorrhagic Disease. </w:t>
      </w:r>
      <w:r w:rsidRPr="007746C5">
        <w:rPr>
          <w:i/>
          <w:iCs/>
        </w:rPr>
        <w:t>Conservation Biology</w:t>
      </w:r>
      <w:r w:rsidRPr="007746C5">
        <w:t xml:space="preserve">, </w:t>
      </w:r>
      <w:r w:rsidRPr="007746C5">
        <w:rPr>
          <w:i/>
          <w:iCs/>
        </w:rPr>
        <w:t>20</w:t>
      </w:r>
      <w:r w:rsidRPr="007746C5">
        <w:t>(4), 1232–1241. https://doi.org/10.1111/j.1523-1739.2006.00371.x</w:t>
      </w:r>
    </w:p>
    <w:p w14:paraId="4D0A7BD3" w14:textId="77777777" w:rsidR="007746C5" w:rsidRPr="007746C5" w:rsidRDefault="007746C5" w:rsidP="009A04E6">
      <w:pPr>
        <w:pStyle w:val="Bibliography"/>
        <w:spacing w:line="240" w:lineRule="auto"/>
      </w:pPr>
      <w:r w:rsidRPr="007746C5">
        <w:t xml:space="preserve">Camac, J., Baumgartner, J., Garms, B., Robinson, A., &amp; Kompas, T. (2021). </w:t>
      </w:r>
      <w:r w:rsidRPr="007746C5">
        <w:rPr>
          <w:i/>
          <w:iCs/>
        </w:rPr>
        <w:t>Estimating trading partner exposure risk to new pests or diseases</w:t>
      </w:r>
      <w:r w:rsidRPr="007746C5">
        <w:t xml:space="preserve"> (p. 59) [Technical Report for CEBRA project 190606]. https://cebra.unimelb.edu.au/__data/assets/pdf_file/0006/3825834/190606_finalreport.pdf</w:t>
      </w:r>
    </w:p>
    <w:p w14:paraId="263D2CAA" w14:textId="77777777" w:rsidR="007746C5" w:rsidRPr="007746C5" w:rsidRDefault="007746C5" w:rsidP="009A04E6">
      <w:pPr>
        <w:pStyle w:val="Bibliography"/>
        <w:spacing w:line="240" w:lineRule="auto"/>
      </w:pPr>
      <w:r w:rsidRPr="007746C5">
        <w:t xml:space="preserve">Camac, J., Baumgartner, J., Robinson, A., &amp; Elith, J. (2020). </w:t>
      </w:r>
      <w:r w:rsidRPr="007746C5">
        <w:rPr>
          <w:i/>
          <w:iCs/>
        </w:rPr>
        <w:t>Developing pragmatic maps of establishment likelihood for plant pests</w:t>
      </w:r>
      <w:r w:rsidRPr="007746C5">
        <w:t xml:space="preserve"> [Technical Report for CEBRA project 170607]. University of Melbourne. http://rgdoi.net/10.13140/RG.2.2.21964.23685</w:t>
      </w:r>
    </w:p>
    <w:p w14:paraId="13E73586" w14:textId="77777777" w:rsidR="007746C5" w:rsidRPr="007746C5" w:rsidRDefault="007746C5" w:rsidP="009A04E6">
      <w:pPr>
        <w:pStyle w:val="Bibliography"/>
        <w:spacing w:line="240" w:lineRule="auto"/>
      </w:pPr>
      <w:r w:rsidRPr="007746C5">
        <w:t xml:space="preserve">Cameron, A. R. (2012). The consequences of risk-based surveillance: Developing output-based standards for surveillance to demonstrate freedom from disease. </w:t>
      </w:r>
      <w:r w:rsidRPr="007746C5">
        <w:rPr>
          <w:i/>
          <w:iCs/>
        </w:rPr>
        <w:t>Preventive Veterinary Medicine</w:t>
      </w:r>
      <w:r w:rsidRPr="007746C5">
        <w:t xml:space="preserve">, </w:t>
      </w:r>
      <w:r w:rsidRPr="007746C5">
        <w:rPr>
          <w:i/>
          <w:iCs/>
        </w:rPr>
        <w:t>105</w:t>
      </w:r>
      <w:r w:rsidRPr="007746C5">
        <w:t>(4), 280–286. https://doi.org/10.1016/j.prevetmed.2012.01.009</w:t>
      </w:r>
    </w:p>
    <w:p w14:paraId="27FD1F43" w14:textId="77777777" w:rsidR="007746C5" w:rsidRPr="007746C5" w:rsidRDefault="007746C5" w:rsidP="009A04E6">
      <w:pPr>
        <w:pStyle w:val="Bibliography"/>
        <w:spacing w:line="240" w:lineRule="auto"/>
      </w:pPr>
      <w:r w:rsidRPr="007746C5">
        <w:lastRenderedPageBreak/>
        <w:t xml:space="preserve">Cameron, K. H., Somachandra, K. P., Curry, C. N., Jenner, W. H., &amp; Hobbs, S. L. A. (2016). Delivering Actionable Plant Health Knowledge to Smallholder Farmers Through the Plantwise Program. </w:t>
      </w:r>
      <w:r w:rsidRPr="007746C5">
        <w:rPr>
          <w:i/>
          <w:iCs/>
        </w:rPr>
        <w:t>Journal of Agricultural &amp; Food Information</w:t>
      </w:r>
      <w:r w:rsidRPr="007746C5">
        <w:t xml:space="preserve">, </w:t>
      </w:r>
      <w:r w:rsidRPr="007746C5">
        <w:rPr>
          <w:i/>
          <w:iCs/>
        </w:rPr>
        <w:t>17</w:t>
      </w:r>
      <w:r w:rsidRPr="007746C5">
        <w:t>(4), 212–229. https://doi.org/10.1080/10496505.2016.1211530</w:t>
      </w:r>
    </w:p>
    <w:p w14:paraId="34A50F0E" w14:textId="77777777" w:rsidR="007746C5" w:rsidRPr="007746C5" w:rsidRDefault="007746C5" w:rsidP="009A04E6">
      <w:pPr>
        <w:pStyle w:val="Bibliography"/>
        <w:spacing w:line="240" w:lineRule="auto"/>
      </w:pPr>
      <w:r w:rsidRPr="007746C5">
        <w:t xml:space="preserve">Campbell, K., &amp; Donlan, C. J. (2005). Feral Goat Eradications on Islands. </w:t>
      </w:r>
      <w:r w:rsidRPr="007746C5">
        <w:rPr>
          <w:i/>
          <w:iCs/>
        </w:rPr>
        <w:t>Conservation Biology</w:t>
      </w:r>
      <w:r w:rsidRPr="007746C5">
        <w:t xml:space="preserve">, </w:t>
      </w:r>
      <w:r w:rsidRPr="007746C5">
        <w:rPr>
          <w:i/>
          <w:iCs/>
        </w:rPr>
        <w:t>19</w:t>
      </w:r>
      <w:r w:rsidRPr="007746C5">
        <w:t>(5), 1362–1374. https://doi.org/10.1111/j.1523-1739.2005.00228.x</w:t>
      </w:r>
    </w:p>
    <w:p w14:paraId="3B3F4B07" w14:textId="77777777" w:rsidR="007746C5" w:rsidRPr="007746C5" w:rsidRDefault="007746C5" w:rsidP="009A04E6">
      <w:pPr>
        <w:pStyle w:val="Bibliography"/>
        <w:spacing w:line="240" w:lineRule="auto"/>
      </w:pPr>
      <w:r w:rsidRPr="007746C5">
        <w:t xml:space="preserve">Campbell, M. L., Gould, B., &amp; Hewitt, C. L. (2007). Survey evaluations to assess marine bioinvasions. </w:t>
      </w:r>
      <w:r w:rsidRPr="007746C5">
        <w:rPr>
          <w:i/>
          <w:iCs/>
        </w:rPr>
        <w:t>Marine Pollution Bulletin</w:t>
      </w:r>
      <w:r w:rsidRPr="007746C5">
        <w:t xml:space="preserve">, </w:t>
      </w:r>
      <w:r w:rsidRPr="007746C5">
        <w:rPr>
          <w:i/>
          <w:iCs/>
        </w:rPr>
        <w:t>55</w:t>
      </w:r>
      <w:r w:rsidRPr="007746C5">
        <w:t>(7), 360–378. https://doi.org/10.1016/j.marpolbul.2007.01.015</w:t>
      </w:r>
    </w:p>
    <w:p w14:paraId="062E1534" w14:textId="77777777" w:rsidR="007746C5" w:rsidRPr="007746C5" w:rsidRDefault="007746C5" w:rsidP="009A04E6">
      <w:pPr>
        <w:pStyle w:val="Bibliography"/>
        <w:spacing w:line="240" w:lineRule="auto"/>
      </w:pPr>
      <w:r w:rsidRPr="007746C5">
        <w:t xml:space="preserve">Campbell, T. A., Foster, J. A., Bodenchuk, M. J., Eisemann, J. D., Staples, L., &amp; Lapidge, S. J. (2013). Effectiveness and target-specificity of a novel design of food dispenser to deliver a toxin to feral swine in the United States. </w:t>
      </w:r>
      <w:r w:rsidRPr="007746C5">
        <w:rPr>
          <w:i/>
          <w:iCs/>
        </w:rPr>
        <w:t>International Journal of Pest Management</w:t>
      </w:r>
      <w:r w:rsidRPr="007746C5">
        <w:t xml:space="preserve">, </w:t>
      </w:r>
      <w:r w:rsidRPr="007746C5">
        <w:rPr>
          <w:i/>
          <w:iCs/>
        </w:rPr>
        <w:t>59</w:t>
      </w:r>
      <w:r w:rsidRPr="007746C5">
        <w:t>(3), 197–204. https://doi.org/10.1080/09670874.2013.815830</w:t>
      </w:r>
    </w:p>
    <w:p w14:paraId="30F00E36" w14:textId="77777777" w:rsidR="007746C5" w:rsidRPr="007746C5" w:rsidRDefault="007746C5" w:rsidP="009A04E6">
      <w:pPr>
        <w:pStyle w:val="Bibliography"/>
        <w:spacing w:line="240" w:lineRule="auto"/>
      </w:pPr>
      <w:r w:rsidRPr="007746C5">
        <w:t xml:space="preserve">Campbell, T. A., Long, D. B., &amp; Massei, G. (2011). Efficacy of the Boar-Operated-System to deliver baits to feral swine. </w:t>
      </w:r>
      <w:r w:rsidRPr="007746C5">
        <w:rPr>
          <w:i/>
          <w:iCs/>
        </w:rPr>
        <w:t>Preventive Veterinary Medicine</w:t>
      </w:r>
      <w:r w:rsidRPr="007746C5">
        <w:t xml:space="preserve">, </w:t>
      </w:r>
      <w:r w:rsidRPr="007746C5">
        <w:rPr>
          <w:i/>
          <w:iCs/>
        </w:rPr>
        <w:t>98</w:t>
      </w:r>
      <w:r w:rsidRPr="007746C5">
        <w:t>(4), 243–249. https://doi.org/10.1016/j.prevetmed.2010.11.018</w:t>
      </w:r>
    </w:p>
    <w:p w14:paraId="045DE871" w14:textId="77777777" w:rsidR="007746C5" w:rsidRPr="007746C5" w:rsidRDefault="007746C5" w:rsidP="009A04E6">
      <w:pPr>
        <w:pStyle w:val="Bibliography"/>
        <w:spacing w:line="240" w:lineRule="auto"/>
      </w:pPr>
      <w:r w:rsidRPr="007746C5">
        <w:t xml:space="preserve">Capel, K. C. C., Creed, J., Kitahara, M. V., Chen, C. A., &amp; Zilberberg, C. (2019). Multiple introductions and secondary dispersion of </w:t>
      </w:r>
      <w:r w:rsidRPr="007746C5">
        <w:rPr>
          <w:i/>
          <w:iCs/>
        </w:rPr>
        <w:t>Tubastraea</w:t>
      </w:r>
      <w:r w:rsidRPr="007746C5">
        <w:t xml:space="preserve"> spp. In the Southwestern Atlantic. </w:t>
      </w:r>
      <w:r w:rsidRPr="007746C5">
        <w:rPr>
          <w:i/>
          <w:iCs/>
        </w:rPr>
        <w:t>Scientific Reports</w:t>
      </w:r>
      <w:r w:rsidRPr="007746C5">
        <w:t xml:space="preserve">, </w:t>
      </w:r>
      <w:r w:rsidRPr="007746C5">
        <w:rPr>
          <w:i/>
          <w:iCs/>
        </w:rPr>
        <w:t>9</w:t>
      </w:r>
      <w:r w:rsidRPr="007746C5">
        <w:t>(1), 13978. https://doi.org/10.1038/s41598-019-50442-3</w:t>
      </w:r>
    </w:p>
    <w:p w14:paraId="21AADAB8" w14:textId="77777777" w:rsidR="007746C5" w:rsidRPr="007746C5" w:rsidRDefault="007746C5" w:rsidP="009A04E6">
      <w:pPr>
        <w:pStyle w:val="Bibliography"/>
        <w:spacing w:line="240" w:lineRule="auto"/>
      </w:pPr>
      <w:r w:rsidRPr="007746C5">
        <w:t xml:space="preserve">Capinha, C., Essl, F., Seebens, H., Pereira, H. M., &amp; Kühn, I. (2018). Models of alien species richness show moderate predictive accuracy and poor transferability. </w:t>
      </w:r>
      <w:r w:rsidRPr="007746C5">
        <w:rPr>
          <w:i/>
          <w:iCs/>
        </w:rPr>
        <w:t>NeoBiota</w:t>
      </w:r>
      <w:r w:rsidRPr="007746C5">
        <w:t xml:space="preserve">, </w:t>
      </w:r>
      <w:r w:rsidRPr="007746C5">
        <w:rPr>
          <w:i/>
          <w:iCs/>
        </w:rPr>
        <w:t>38</w:t>
      </w:r>
      <w:r w:rsidRPr="007746C5">
        <w:t>, 77–96. https://doi.org/10.3897/neobiota.38.23518</w:t>
      </w:r>
    </w:p>
    <w:p w14:paraId="32958A01" w14:textId="77777777" w:rsidR="007746C5" w:rsidRPr="007746C5" w:rsidRDefault="007746C5" w:rsidP="009A04E6">
      <w:pPr>
        <w:pStyle w:val="Bibliography"/>
        <w:spacing w:line="240" w:lineRule="auto"/>
      </w:pPr>
      <w:r w:rsidRPr="007746C5">
        <w:t xml:space="preserve">Capizzi, D., Baccetti, N., &amp; Sposimo, P. (2016). Fifteen Years of Rat Eradication on Italian Islands. In F. M. Angelici (Ed.), </w:t>
      </w:r>
      <w:r w:rsidRPr="007746C5">
        <w:rPr>
          <w:i/>
          <w:iCs/>
        </w:rPr>
        <w:t>Problematic Wildlife: A Cross-Disciplinary Approach</w:t>
      </w:r>
      <w:r w:rsidRPr="007746C5">
        <w:t xml:space="preserve"> (pp. 205–227). Springer International Publishing. https://doi.org/10.1007/978-3-319-22246-2_10</w:t>
      </w:r>
    </w:p>
    <w:p w14:paraId="2DDC14F1" w14:textId="77777777" w:rsidR="007746C5" w:rsidRPr="007746C5" w:rsidRDefault="007746C5" w:rsidP="009A04E6">
      <w:pPr>
        <w:pStyle w:val="Bibliography"/>
        <w:spacing w:line="240" w:lineRule="auto"/>
      </w:pPr>
      <w:r w:rsidRPr="007746C5">
        <w:t xml:space="preserve">Caplat, P., Coutts, S., &amp; Buckley, Y. M. (2012). Modeling population dynamics, landscape structure, and management decisions for controlling the spread of invasive plants. </w:t>
      </w:r>
      <w:r w:rsidRPr="007746C5">
        <w:rPr>
          <w:i/>
          <w:iCs/>
        </w:rPr>
        <w:t>Annals of the New York Academy of Sciences</w:t>
      </w:r>
      <w:r w:rsidRPr="007746C5">
        <w:t xml:space="preserve">, </w:t>
      </w:r>
      <w:r w:rsidRPr="007746C5">
        <w:rPr>
          <w:i/>
          <w:iCs/>
        </w:rPr>
        <w:t>1249</w:t>
      </w:r>
      <w:r w:rsidRPr="007746C5">
        <w:t>(1), 72–83. https://doi.org/10.1111/j.1749-6632.2011.06313.x</w:t>
      </w:r>
    </w:p>
    <w:p w14:paraId="6F1C2D73" w14:textId="77777777" w:rsidR="007746C5" w:rsidRPr="007746C5" w:rsidRDefault="007746C5" w:rsidP="009A04E6">
      <w:pPr>
        <w:pStyle w:val="Bibliography"/>
        <w:spacing w:line="240" w:lineRule="auto"/>
      </w:pPr>
      <w:r w:rsidRPr="007746C5">
        <w:t xml:space="preserve">Carim, K. J., Bean, N. J., Connor, J. M., Baker, W. P., Jaeger, M., Ruggles, M. P., McKelvey, K. S., Franklin, T. W., Young, M. K., &amp; Schwartz, M. K. (2020). Environmental DNA Sampling Informs Fish Eradication Efforts: Case Studies and Lessons Learned. </w:t>
      </w:r>
      <w:r w:rsidRPr="007746C5">
        <w:rPr>
          <w:i/>
          <w:iCs/>
        </w:rPr>
        <w:t>North American Journal of Fisheries Management</w:t>
      </w:r>
      <w:r w:rsidRPr="007746C5">
        <w:t xml:space="preserve">, </w:t>
      </w:r>
      <w:r w:rsidRPr="007746C5">
        <w:rPr>
          <w:i/>
          <w:iCs/>
        </w:rPr>
        <w:t>40</w:t>
      </w:r>
      <w:r w:rsidRPr="007746C5">
        <w:t>(2), 488–508. https://doi.org/10.1002/nafm.10428</w:t>
      </w:r>
    </w:p>
    <w:p w14:paraId="2708950E" w14:textId="77777777" w:rsidR="007746C5" w:rsidRPr="007746C5" w:rsidRDefault="007746C5" w:rsidP="009A04E6">
      <w:pPr>
        <w:pStyle w:val="Bibliography"/>
        <w:spacing w:line="240" w:lineRule="auto"/>
      </w:pPr>
      <w:r w:rsidRPr="007746C5">
        <w:t xml:space="preserve">Carlton, J. T. (1996). Marine bioinvasions: The alteration of marine ecosystems by nonindigenous species. </w:t>
      </w:r>
      <w:r w:rsidRPr="007746C5">
        <w:rPr>
          <w:i/>
          <w:iCs/>
        </w:rPr>
        <w:t>Oceanography</w:t>
      </w:r>
      <w:r w:rsidRPr="007746C5">
        <w:t xml:space="preserve">, </w:t>
      </w:r>
      <w:r w:rsidRPr="007746C5">
        <w:rPr>
          <w:i/>
          <w:iCs/>
        </w:rPr>
        <w:t>9</w:t>
      </w:r>
      <w:r w:rsidRPr="007746C5">
        <w:t>(1), 36–43. https://doi.org/10.5670/oceanog.1996.25</w:t>
      </w:r>
    </w:p>
    <w:p w14:paraId="0F4B12BB" w14:textId="77777777" w:rsidR="007746C5" w:rsidRPr="007746C5" w:rsidRDefault="007746C5" w:rsidP="009A04E6">
      <w:pPr>
        <w:pStyle w:val="Bibliography"/>
        <w:spacing w:line="240" w:lineRule="auto"/>
      </w:pPr>
      <w:r w:rsidRPr="007746C5">
        <w:t xml:space="preserve">Carlton, J. T., Keith, I., &amp; Ruiz, G. M. (2019). Assessing marine bioinvasions in the Galápagos Islands: Implications for conservation biology and marine protected areas. </w:t>
      </w:r>
      <w:r w:rsidRPr="007746C5">
        <w:rPr>
          <w:i/>
          <w:iCs/>
        </w:rPr>
        <w:t>Aquatic Invasions</w:t>
      </w:r>
      <w:r w:rsidRPr="007746C5">
        <w:t xml:space="preserve">, </w:t>
      </w:r>
      <w:r w:rsidRPr="007746C5">
        <w:rPr>
          <w:i/>
          <w:iCs/>
        </w:rPr>
        <w:t>14</w:t>
      </w:r>
      <w:r w:rsidRPr="007746C5">
        <w:t>(1), 1–20. https://doi.org/10.3391/ai.2019.14.1.01</w:t>
      </w:r>
    </w:p>
    <w:p w14:paraId="4E1A3ED7" w14:textId="77777777" w:rsidR="007746C5" w:rsidRPr="007746C5" w:rsidRDefault="007746C5" w:rsidP="009A04E6">
      <w:pPr>
        <w:pStyle w:val="Bibliography"/>
        <w:spacing w:line="240" w:lineRule="auto"/>
      </w:pPr>
      <w:r w:rsidRPr="007746C5">
        <w:t xml:space="preserve">Carrion, M., &amp; Madoff, L. C. (2017). ProMED-mail: 22 years of digital surveillance of emerging infectious diseases. </w:t>
      </w:r>
      <w:r w:rsidRPr="007746C5">
        <w:rPr>
          <w:i/>
          <w:iCs/>
        </w:rPr>
        <w:t>International Health</w:t>
      </w:r>
      <w:r w:rsidRPr="007746C5">
        <w:t xml:space="preserve">, </w:t>
      </w:r>
      <w:r w:rsidRPr="007746C5">
        <w:rPr>
          <w:i/>
          <w:iCs/>
        </w:rPr>
        <w:t>9</w:t>
      </w:r>
      <w:r w:rsidRPr="007746C5">
        <w:t>(3), 177–183. https://doi.org/10.1093/inthealth/ihx014</w:t>
      </w:r>
    </w:p>
    <w:p w14:paraId="5FE98CB4" w14:textId="77777777" w:rsidR="007746C5" w:rsidRPr="007746C5" w:rsidRDefault="007746C5" w:rsidP="009A04E6">
      <w:pPr>
        <w:pStyle w:val="Bibliography"/>
        <w:spacing w:line="240" w:lineRule="auto"/>
      </w:pPr>
      <w:r w:rsidRPr="007746C5">
        <w:t xml:space="preserve">Carrion, V., Donlan, C. J., Campbell, K. J., Lavoie, C., &amp; Cruz, F. (2011). Archipelago-Wide Island Restoration in the Galapagos Islands: Reducing Costs of Invasive Mammal Eradication Programs and Reinvasion Risk. </w:t>
      </w:r>
      <w:r w:rsidRPr="007746C5">
        <w:rPr>
          <w:i/>
          <w:iCs/>
        </w:rPr>
        <w:t>Plos ONE</w:t>
      </w:r>
      <w:r w:rsidRPr="007746C5">
        <w:t xml:space="preserve">, </w:t>
      </w:r>
      <w:r w:rsidRPr="007746C5">
        <w:rPr>
          <w:i/>
          <w:iCs/>
        </w:rPr>
        <w:t>6</w:t>
      </w:r>
      <w:r w:rsidRPr="007746C5">
        <w:t>(5), e18835. https://doi.org/10.1371/journal.pone.0018835</w:t>
      </w:r>
    </w:p>
    <w:p w14:paraId="1DC7C3FD" w14:textId="77777777" w:rsidR="007746C5" w:rsidRPr="007746C5" w:rsidRDefault="007746C5" w:rsidP="009A04E6">
      <w:pPr>
        <w:pStyle w:val="Bibliography"/>
        <w:spacing w:line="240" w:lineRule="auto"/>
      </w:pPr>
      <w:r w:rsidRPr="007746C5">
        <w:t xml:space="preserve">Carter, A., Barr, S., Bond, C., Paske, G., Peters, D., &amp; van Dam, R. (2016). Controlling sympatric pest mammal populations in New Zealand with self-resetting, toxicant-free traps: A promising tool for invasive species management. </w:t>
      </w:r>
      <w:r w:rsidRPr="007746C5">
        <w:rPr>
          <w:i/>
          <w:iCs/>
        </w:rPr>
        <w:t>Biological Invasions</w:t>
      </w:r>
      <w:r w:rsidRPr="007746C5">
        <w:t xml:space="preserve">, </w:t>
      </w:r>
      <w:r w:rsidRPr="007746C5">
        <w:rPr>
          <w:i/>
          <w:iCs/>
        </w:rPr>
        <w:t>18</w:t>
      </w:r>
      <w:r w:rsidRPr="007746C5">
        <w:t>(6), 1723–1736. https://doi.org/10.1007/s10530-016-1115-4</w:t>
      </w:r>
    </w:p>
    <w:p w14:paraId="13B67849" w14:textId="77777777" w:rsidR="007746C5" w:rsidRPr="007746C5" w:rsidRDefault="007746C5" w:rsidP="009A04E6">
      <w:pPr>
        <w:pStyle w:val="Bibliography"/>
        <w:spacing w:line="240" w:lineRule="auto"/>
      </w:pPr>
      <w:r w:rsidRPr="007746C5">
        <w:t xml:space="preserve">Carvalheiro, L. G., Buckley, Y. M., Ventim, R., Fowler, S. V., &amp; Memmott, J. (2008). Apparent competition can compromise the safety of highly specific biocontrol agents. </w:t>
      </w:r>
      <w:r w:rsidRPr="007746C5">
        <w:rPr>
          <w:i/>
          <w:iCs/>
        </w:rPr>
        <w:t>Ecology Letters</w:t>
      </w:r>
      <w:r w:rsidRPr="007746C5">
        <w:t xml:space="preserve">, </w:t>
      </w:r>
      <w:r w:rsidRPr="007746C5">
        <w:rPr>
          <w:i/>
          <w:iCs/>
        </w:rPr>
        <w:t>11</w:t>
      </w:r>
      <w:r w:rsidRPr="007746C5">
        <w:t>(7), 690–700. https://doi.org/10.1111/j.1461-0248.2008.01184.x</w:t>
      </w:r>
    </w:p>
    <w:p w14:paraId="5A3144E9" w14:textId="77777777" w:rsidR="007746C5" w:rsidRPr="007746C5" w:rsidRDefault="007746C5" w:rsidP="009A04E6">
      <w:pPr>
        <w:pStyle w:val="Bibliography"/>
        <w:spacing w:line="240" w:lineRule="auto"/>
      </w:pPr>
      <w:r w:rsidRPr="007746C5">
        <w:lastRenderedPageBreak/>
        <w:t xml:space="preserve">Carwardine, J., Kottege, N., Borges, P., Nicol, S., Merz, T., Bandyopadhyay, T., &amp; Sheppard, A. (2016). </w:t>
      </w:r>
      <w:r w:rsidRPr="007746C5">
        <w:rPr>
          <w:i/>
          <w:iCs/>
        </w:rPr>
        <w:t>Scoping study final report on the viability of robotics for the widespread management of prickly acacia</w:t>
      </w:r>
      <w:r w:rsidRPr="007746C5">
        <w:t xml:space="preserve"> (p. 26). CSIRO. http://hdl.handle.net/102.100.100/90148?index=1</w:t>
      </w:r>
    </w:p>
    <w:p w14:paraId="2F2D87EC" w14:textId="77777777" w:rsidR="007746C5" w:rsidRPr="007746C5" w:rsidRDefault="007746C5" w:rsidP="009A04E6">
      <w:pPr>
        <w:pStyle w:val="Bibliography"/>
        <w:spacing w:line="240" w:lineRule="auto"/>
      </w:pPr>
      <w:r w:rsidRPr="007746C5">
        <w:t xml:space="preserve">Carwardine, J., Martin, T. G., Firn, J., Reyes, R. P., Nicol, S., Reeson, A., Grantham, H. S., Stratford, D., Kehoe, L., &amp; Chadès, I. (2019). Priority Threat Management for biodiversity conservation: A handbook. </w:t>
      </w:r>
      <w:r w:rsidRPr="007746C5">
        <w:rPr>
          <w:i/>
          <w:iCs/>
        </w:rPr>
        <w:t>Journal of Applied Ecology</w:t>
      </w:r>
      <w:r w:rsidRPr="007746C5">
        <w:t xml:space="preserve">, </w:t>
      </w:r>
      <w:r w:rsidRPr="007746C5">
        <w:rPr>
          <w:i/>
          <w:iCs/>
        </w:rPr>
        <w:t>56</w:t>
      </w:r>
      <w:r w:rsidRPr="007746C5">
        <w:t>(2), 481–490. https://doi.org/10.1111/1365-2664.13268</w:t>
      </w:r>
    </w:p>
    <w:p w14:paraId="00C42415" w14:textId="77777777" w:rsidR="007746C5" w:rsidRPr="007746C5" w:rsidRDefault="007746C5" w:rsidP="009A04E6">
      <w:pPr>
        <w:pStyle w:val="Bibliography"/>
        <w:spacing w:line="240" w:lineRule="auto"/>
      </w:pPr>
      <w:r w:rsidRPr="007746C5">
        <w:t xml:space="preserve">Carwardine, J., O’Connor, T., Legge, S., Mackey, B., Possingham, H. P., &amp; Martin, T. G. (2012). Prioritizing threat management for biodiversity conservation. </w:t>
      </w:r>
      <w:r w:rsidRPr="007746C5">
        <w:rPr>
          <w:i/>
          <w:iCs/>
        </w:rPr>
        <w:t>Conservation Letters</w:t>
      </w:r>
      <w:r w:rsidRPr="007746C5">
        <w:t xml:space="preserve">, </w:t>
      </w:r>
      <w:r w:rsidRPr="007746C5">
        <w:rPr>
          <w:i/>
          <w:iCs/>
        </w:rPr>
        <w:t>5</w:t>
      </w:r>
      <w:r w:rsidRPr="007746C5">
        <w:t>(3), 196–204. https://doi.org/10.1111/j.1755-263X.2012.00228.x</w:t>
      </w:r>
    </w:p>
    <w:p w14:paraId="7FA8E7B5" w14:textId="77777777" w:rsidR="007746C5" w:rsidRPr="007746C5" w:rsidRDefault="007746C5" w:rsidP="009A04E6">
      <w:pPr>
        <w:pStyle w:val="Bibliography"/>
        <w:spacing w:line="240" w:lineRule="auto"/>
      </w:pPr>
      <w:r w:rsidRPr="007746C5">
        <w:t xml:space="preserve">Castelblanco-Martínez, D. N., Moreno-Arias, R. A., Velasco, J. A., Moreno-Bernal, J. W., Restrepo, S., Noguera-Urbano, E. A., Baptiste, M. P., García-Loaiza, L. M., &amp; Jiménez, G. (2021). A hippo in the room: Predicting the persistence and dispersion of an invasive mega-vertebrate in Colombia, South America. </w:t>
      </w:r>
      <w:r w:rsidRPr="007746C5">
        <w:rPr>
          <w:i/>
          <w:iCs/>
        </w:rPr>
        <w:t>Biological Conservation</w:t>
      </w:r>
      <w:r w:rsidRPr="007746C5">
        <w:t xml:space="preserve">, </w:t>
      </w:r>
      <w:r w:rsidRPr="007746C5">
        <w:rPr>
          <w:i/>
          <w:iCs/>
        </w:rPr>
        <w:t>253</w:t>
      </w:r>
      <w:r w:rsidRPr="007746C5">
        <w:t>, 108923. https://doi.org/10.1016/j.biocon.2020.108923</w:t>
      </w:r>
    </w:p>
    <w:p w14:paraId="0DCDFFCC" w14:textId="77777777" w:rsidR="007746C5" w:rsidRPr="007746C5" w:rsidRDefault="007746C5" w:rsidP="009A04E6">
      <w:pPr>
        <w:pStyle w:val="Bibliography"/>
        <w:spacing w:line="240" w:lineRule="auto"/>
      </w:pPr>
      <w:r w:rsidRPr="007746C5">
        <w:t xml:space="preserve">Castillo, M. L. (2019). </w:t>
      </w:r>
      <w:r w:rsidRPr="007746C5">
        <w:rPr>
          <w:i/>
          <w:iCs/>
        </w:rPr>
        <w:t xml:space="preserve">Processes and drivers of </w:t>
      </w:r>
      <w:r w:rsidRPr="007746C5">
        <w:t>Prosopis</w:t>
      </w:r>
      <w:r w:rsidRPr="007746C5">
        <w:rPr>
          <w:i/>
          <w:iCs/>
        </w:rPr>
        <w:t xml:space="preserve"> invasions in Eastern Africa</w:t>
      </w:r>
      <w:r w:rsidRPr="007746C5">
        <w:t xml:space="preserve"> [Thesis]. Stellenbosch : Stellenbosch University.</w:t>
      </w:r>
    </w:p>
    <w:p w14:paraId="32DAE97C" w14:textId="77777777" w:rsidR="007746C5" w:rsidRPr="007746C5" w:rsidRDefault="007746C5" w:rsidP="009A04E6">
      <w:pPr>
        <w:pStyle w:val="Bibliography"/>
        <w:spacing w:line="240" w:lineRule="auto"/>
      </w:pPr>
      <w:r w:rsidRPr="007746C5">
        <w:t xml:space="preserve">Castrejón, M., Defeo, O., Reck, G., &amp; Charles, A. (2014). Fishery Science in Galapagos: From a Resource-Focused to a Social–Ecological Systems Approach. In J. Denkinger &amp; L. Vinueza (Eds.), </w:t>
      </w:r>
      <w:r w:rsidRPr="007746C5">
        <w:rPr>
          <w:i/>
          <w:iCs/>
        </w:rPr>
        <w:t>The Galapagos Marine Reserve: A Dynamic Social-Ecological System</w:t>
      </w:r>
      <w:r w:rsidRPr="007746C5">
        <w:t xml:space="preserve"> (pp. 159–185). Springer International Publishing. https://doi.org/10.1007/978-3-319-02769-2_8</w:t>
      </w:r>
    </w:p>
    <w:p w14:paraId="133C129D" w14:textId="77777777" w:rsidR="007746C5" w:rsidRPr="007746C5" w:rsidRDefault="007746C5" w:rsidP="009A04E6">
      <w:pPr>
        <w:pStyle w:val="Bibliography"/>
        <w:spacing w:line="240" w:lineRule="auto"/>
      </w:pPr>
      <w:r w:rsidRPr="007746C5">
        <w:t xml:space="preserve">Castriciones, E. V., &amp; Vijayan, V. (2020). Biosecurity risk mapping and gap analysis in South East Asia. </w:t>
      </w:r>
      <w:r w:rsidRPr="007746C5">
        <w:rPr>
          <w:i/>
          <w:iCs/>
        </w:rPr>
        <w:t>Journal of Biosafety and Biosecurity</w:t>
      </w:r>
      <w:r w:rsidRPr="007746C5">
        <w:t xml:space="preserve">, </w:t>
      </w:r>
      <w:r w:rsidRPr="007746C5">
        <w:rPr>
          <w:i/>
          <w:iCs/>
        </w:rPr>
        <w:t>2</w:t>
      </w:r>
      <w:r w:rsidRPr="007746C5">
        <w:t>(1), 36–43. https://doi.org/10.1016/j.jobb.2020.03.001</w:t>
      </w:r>
    </w:p>
    <w:p w14:paraId="02A2DF57" w14:textId="77777777" w:rsidR="007746C5" w:rsidRPr="007746C5" w:rsidRDefault="007746C5" w:rsidP="009A04E6">
      <w:pPr>
        <w:pStyle w:val="Bibliography"/>
        <w:spacing w:line="240" w:lineRule="auto"/>
      </w:pPr>
      <w:r w:rsidRPr="007746C5">
        <w:t xml:space="preserve">Castro, K. L., Giachetti, C. B., Battini, N., Bortolus, A., &amp; Schwindt, E. (2020). Cleaning by beaching: Introducing a new alternative for hull biofouling management in Argentina. </w:t>
      </w:r>
      <w:r w:rsidRPr="007746C5">
        <w:rPr>
          <w:i/>
          <w:iCs/>
        </w:rPr>
        <w:t>Aquatic Invasions</w:t>
      </w:r>
      <w:r w:rsidRPr="007746C5">
        <w:t xml:space="preserve">, </w:t>
      </w:r>
      <w:r w:rsidRPr="007746C5">
        <w:rPr>
          <w:i/>
          <w:iCs/>
        </w:rPr>
        <w:t>15</w:t>
      </w:r>
      <w:r w:rsidRPr="007746C5">
        <w:t>(1), 63–80. https://doi.org/10.3391/ai.2020.15.1.05</w:t>
      </w:r>
    </w:p>
    <w:p w14:paraId="3D5EB8F7" w14:textId="77777777" w:rsidR="007746C5" w:rsidRPr="007746C5" w:rsidRDefault="007746C5" w:rsidP="009A04E6">
      <w:pPr>
        <w:pStyle w:val="Bibliography"/>
        <w:spacing w:line="240" w:lineRule="auto"/>
      </w:pPr>
      <w:r w:rsidRPr="007746C5">
        <w:t xml:space="preserve">Catford, J. A., Downes, B. J., Gippel, C. J., &amp; Vesk, P. A. (2011). Flow regulation reduces native plant cover and facilitates exotic invasion in riparian wetlands. </w:t>
      </w:r>
      <w:r w:rsidRPr="007746C5">
        <w:rPr>
          <w:i/>
          <w:iCs/>
        </w:rPr>
        <w:t>Journal of Applied Ecology</w:t>
      </w:r>
      <w:r w:rsidRPr="007746C5">
        <w:t xml:space="preserve">, </w:t>
      </w:r>
      <w:r w:rsidRPr="007746C5">
        <w:rPr>
          <w:i/>
          <w:iCs/>
        </w:rPr>
        <w:t>48</w:t>
      </w:r>
      <w:r w:rsidRPr="007746C5">
        <w:t>(2), 432–442. https://doi.org/10.1111/j.1365-2664.2010.01945.x</w:t>
      </w:r>
    </w:p>
    <w:p w14:paraId="75EAA396" w14:textId="77777777" w:rsidR="007746C5" w:rsidRPr="007746C5" w:rsidRDefault="007746C5" w:rsidP="009A04E6">
      <w:pPr>
        <w:pStyle w:val="Bibliography"/>
        <w:spacing w:line="240" w:lineRule="auto"/>
      </w:pPr>
      <w:r w:rsidRPr="007746C5">
        <w:t xml:space="preserve">Catford, J. A., Morris, W. K., Vesk, P. A., Gippel, C. J., &amp; Downes, B. J. (2014). Species and environmental characteristics point to flow regulation and drought as drivers of riparian plant invasion. </w:t>
      </w:r>
      <w:r w:rsidRPr="007746C5">
        <w:rPr>
          <w:i/>
          <w:iCs/>
        </w:rPr>
        <w:t>Diversity and Distributions</w:t>
      </w:r>
      <w:r w:rsidRPr="007746C5">
        <w:t xml:space="preserve">, </w:t>
      </w:r>
      <w:r w:rsidRPr="007746C5">
        <w:rPr>
          <w:i/>
          <w:iCs/>
        </w:rPr>
        <w:t>20</w:t>
      </w:r>
      <w:r w:rsidRPr="007746C5">
        <w:t>(9), 1084–1096. https://doi.org/10.1111/ddi.12225</w:t>
      </w:r>
    </w:p>
    <w:p w14:paraId="4592A9C1" w14:textId="77777777" w:rsidR="007746C5" w:rsidRPr="007746C5" w:rsidRDefault="007746C5" w:rsidP="009A04E6">
      <w:pPr>
        <w:pStyle w:val="Bibliography"/>
        <w:spacing w:line="240" w:lineRule="auto"/>
      </w:pPr>
      <w:r w:rsidRPr="007746C5">
        <w:t xml:space="preserve">Caton, B. P., Koop, A. L., Fowler, L., Newton, L., &amp; Kohl, L. (2018). Quantitative Uncertainty Analysis for a Weed Risk Assessment System. </w:t>
      </w:r>
      <w:r w:rsidRPr="007746C5">
        <w:rPr>
          <w:i/>
          <w:iCs/>
        </w:rPr>
        <w:t>Risk Analysis</w:t>
      </w:r>
      <w:r w:rsidRPr="007746C5">
        <w:t xml:space="preserve">, </w:t>
      </w:r>
      <w:r w:rsidRPr="007746C5">
        <w:rPr>
          <w:i/>
          <w:iCs/>
        </w:rPr>
        <w:t>38</w:t>
      </w:r>
      <w:r w:rsidRPr="007746C5">
        <w:t>(9), 1972–1987. https://doi.org/10.1111/risa.12979</w:t>
      </w:r>
    </w:p>
    <w:p w14:paraId="2687191F" w14:textId="77777777" w:rsidR="007746C5" w:rsidRPr="007746C5" w:rsidRDefault="007746C5" w:rsidP="009A04E6">
      <w:pPr>
        <w:pStyle w:val="Bibliography"/>
        <w:spacing w:line="240" w:lineRule="auto"/>
      </w:pPr>
      <w:r w:rsidRPr="007746C5">
        <w:t xml:space="preserve">Caughley, G., Pech, R., &amp; Grice, D. (1992). Effect of fertility control on a population’s productivity. </w:t>
      </w:r>
      <w:r w:rsidRPr="007746C5">
        <w:rPr>
          <w:i/>
          <w:iCs/>
        </w:rPr>
        <w:t>Wildlife Research</w:t>
      </w:r>
      <w:r w:rsidRPr="007746C5">
        <w:t xml:space="preserve">, </w:t>
      </w:r>
      <w:r w:rsidRPr="007746C5">
        <w:rPr>
          <w:i/>
          <w:iCs/>
        </w:rPr>
        <w:t>19</w:t>
      </w:r>
      <w:r w:rsidRPr="007746C5">
        <w:t>(6), 623–627. https://doi.org/10.1071/wr9920623</w:t>
      </w:r>
    </w:p>
    <w:p w14:paraId="27DB8318" w14:textId="77777777" w:rsidR="007746C5" w:rsidRPr="007746C5" w:rsidRDefault="007746C5" w:rsidP="009A04E6">
      <w:pPr>
        <w:pStyle w:val="Bibliography"/>
        <w:spacing w:line="240" w:lineRule="auto"/>
      </w:pPr>
      <w:r w:rsidRPr="007746C5">
        <w:t xml:space="preserve">Caut, S., Angulo, E., &amp; Courchamp, F. (2009). Avoiding surprise effects on Surprise Island: Alien species control in a multitrophic level perspective. </w:t>
      </w:r>
      <w:r w:rsidRPr="007746C5">
        <w:rPr>
          <w:i/>
          <w:iCs/>
        </w:rPr>
        <w:t>Biological Invasions</w:t>
      </w:r>
      <w:r w:rsidRPr="007746C5">
        <w:t xml:space="preserve">, </w:t>
      </w:r>
      <w:r w:rsidRPr="007746C5">
        <w:rPr>
          <w:i/>
          <w:iCs/>
        </w:rPr>
        <w:t>11</w:t>
      </w:r>
      <w:r w:rsidRPr="007746C5">
        <w:t>(7), 1689–1703. https://doi.org/10.1007/s10530-008-9397-9</w:t>
      </w:r>
    </w:p>
    <w:p w14:paraId="2B40F87A" w14:textId="77777777" w:rsidR="007746C5" w:rsidRPr="007746C5" w:rsidRDefault="007746C5" w:rsidP="009A04E6">
      <w:pPr>
        <w:pStyle w:val="Bibliography"/>
        <w:spacing w:line="240" w:lineRule="auto"/>
      </w:pPr>
      <w:r w:rsidRPr="007746C5">
        <w:t xml:space="preserve">Cayot, L. J., Campbell, K., &amp; Carrión, V. (2021). Chapter 19 - Invasive species: Impacts, control, and eradication. In J. P. Gibbs, L. J. Cayot, &amp; W. T. Aguilera (Eds.), </w:t>
      </w:r>
      <w:r w:rsidRPr="007746C5">
        <w:rPr>
          <w:i/>
          <w:iCs/>
        </w:rPr>
        <w:t>Galapagos Giant Tortoises</w:t>
      </w:r>
      <w:r w:rsidRPr="007746C5">
        <w:t xml:space="preserve"> (pp. 381–399). Academic Press. https://doi.org/10.1016/B978-0-12-817554-5.00009-5</w:t>
      </w:r>
    </w:p>
    <w:p w14:paraId="7689221B" w14:textId="77777777" w:rsidR="007746C5" w:rsidRPr="007746C5" w:rsidRDefault="007746C5" w:rsidP="009A04E6">
      <w:pPr>
        <w:pStyle w:val="Bibliography"/>
        <w:spacing w:line="240" w:lineRule="auto"/>
      </w:pPr>
      <w:r w:rsidRPr="007746C5">
        <w:t xml:space="preserve">CBD. (2014). </w:t>
      </w:r>
      <w:r w:rsidRPr="007746C5">
        <w:rPr>
          <w:i/>
          <w:iCs/>
        </w:rPr>
        <w:t>Pathways of introduction of invasive species, their prioritization and management</w:t>
      </w:r>
      <w:r w:rsidRPr="007746C5">
        <w:t>. 18. https://www.cbd.int/doc/meetings/sbstta/sbstta-18/official/sbstta-18-09-add1-en.pdf</w:t>
      </w:r>
    </w:p>
    <w:p w14:paraId="05EE5215" w14:textId="77777777" w:rsidR="007746C5" w:rsidRPr="007746C5" w:rsidRDefault="007746C5" w:rsidP="009A04E6">
      <w:pPr>
        <w:pStyle w:val="Bibliography"/>
        <w:spacing w:line="240" w:lineRule="auto"/>
      </w:pPr>
      <w:r w:rsidRPr="007746C5">
        <w:t xml:space="preserve">CBD. (2018). </w:t>
      </w:r>
      <w:r w:rsidRPr="007746C5">
        <w:rPr>
          <w:i/>
          <w:iCs/>
        </w:rPr>
        <w:t>Invasive alien species: The application of classical biological control for the management of established invasive alien species causing environmental impacts</w:t>
      </w:r>
      <w:r w:rsidRPr="007746C5">
        <w:t xml:space="preserve">. Fourteenth meeting of Conference of the parties to the Convention on Biological Diversity, </w:t>
      </w:r>
      <w:r w:rsidRPr="007746C5">
        <w:lastRenderedPageBreak/>
        <w:t>Sharm El-Sheikh, Egypt. https://www.cbd.int/doc/c/0c6f/7a35/eb8815eff54c3bc4a02139fd/cop-14-inf-09-en.pdf</w:t>
      </w:r>
    </w:p>
    <w:p w14:paraId="22CFB53D" w14:textId="77777777" w:rsidR="007746C5" w:rsidRPr="007746C5" w:rsidRDefault="007746C5" w:rsidP="009A04E6">
      <w:pPr>
        <w:pStyle w:val="Bibliography"/>
        <w:spacing w:line="240" w:lineRule="auto"/>
      </w:pPr>
      <w:r w:rsidRPr="007746C5">
        <w:t xml:space="preserve">CBD. (2019). </w:t>
      </w:r>
      <w:r w:rsidRPr="007746C5">
        <w:rPr>
          <w:i/>
          <w:iCs/>
        </w:rPr>
        <w:t>Synthesis report of the online forum on invasive alien species</w:t>
      </w:r>
      <w:r w:rsidRPr="007746C5">
        <w:t>. Ad hoc technical expert group on invasive alien species, Montreal, Canada. https://www.cbd.int/doc/c/d56b/254f/f263e27be6e1bb97f564e21d/ias-ahteg-2019-01-inf-01-en.pdf</w:t>
      </w:r>
    </w:p>
    <w:p w14:paraId="1568B530" w14:textId="77777777" w:rsidR="007746C5" w:rsidRPr="007746C5" w:rsidRDefault="007746C5" w:rsidP="009A04E6">
      <w:pPr>
        <w:pStyle w:val="Bibliography"/>
        <w:spacing w:line="240" w:lineRule="auto"/>
      </w:pPr>
      <w:r w:rsidRPr="007746C5">
        <w:t xml:space="preserve">CBD. (2020a). </w:t>
      </w:r>
      <w:r w:rsidRPr="007746C5">
        <w:rPr>
          <w:i/>
          <w:iCs/>
        </w:rPr>
        <w:t>Preparations for the Post-2020 Biodiversity Framework</w:t>
      </w:r>
      <w:r w:rsidRPr="007746C5">
        <w:t>. Convention on Biological Diversity. https://www.cbd.int/conferences/post2020</w:t>
      </w:r>
    </w:p>
    <w:p w14:paraId="6CFBA59C" w14:textId="77777777" w:rsidR="007746C5" w:rsidRPr="007746C5" w:rsidRDefault="007746C5" w:rsidP="009A04E6">
      <w:pPr>
        <w:pStyle w:val="Bibliography"/>
        <w:spacing w:line="240" w:lineRule="auto"/>
      </w:pPr>
      <w:r w:rsidRPr="007746C5">
        <w:t xml:space="preserve">CBD. (2020b, July 10). </w:t>
      </w:r>
      <w:r w:rsidRPr="007746C5">
        <w:rPr>
          <w:i/>
          <w:iCs/>
        </w:rPr>
        <w:t>Invasive alien species</w:t>
      </w:r>
      <w:r w:rsidRPr="007746C5">
        <w:t>. Twenty-fourth meeting of Subsidiary body on scientific technical and technological advice, Quebec City, Canada. https://www.cbd.int/doc/c/4e0e/0677/296c40f85b26a582b8116160/sbstta-24-10-en.pdf</w:t>
      </w:r>
    </w:p>
    <w:p w14:paraId="0D0D5433" w14:textId="77777777" w:rsidR="007746C5" w:rsidRPr="007746C5" w:rsidRDefault="007746C5" w:rsidP="009A04E6">
      <w:pPr>
        <w:pStyle w:val="Bibliography"/>
        <w:spacing w:line="240" w:lineRule="auto"/>
      </w:pPr>
      <w:r w:rsidRPr="007746C5">
        <w:t xml:space="preserve">CBD. (2022a). 15/4. Kunming-Montreal Global Biodiversity Framework. </w:t>
      </w:r>
      <w:r w:rsidRPr="007746C5">
        <w:rPr>
          <w:i/>
          <w:iCs/>
        </w:rPr>
        <w:t>Decision Adopted by the Conference of the Parties to the Convention on Biological Diversity</w:t>
      </w:r>
      <w:r w:rsidRPr="007746C5">
        <w:t>. Fifteenth meeting (Part II) of Conference of the parties to the Convention on Biological Diversity, Montreal, Canada. https://www.cbd.int/doc/decisions/cop-15/cop-15-dec-04-en.pdf</w:t>
      </w:r>
    </w:p>
    <w:p w14:paraId="5363EC30" w14:textId="77777777" w:rsidR="007746C5" w:rsidRPr="007746C5" w:rsidRDefault="007746C5" w:rsidP="009A04E6">
      <w:pPr>
        <w:pStyle w:val="Bibliography"/>
        <w:spacing w:line="240" w:lineRule="auto"/>
      </w:pPr>
      <w:r w:rsidRPr="007746C5">
        <w:t xml:space="preserve">CBD. (2022b). 15/27. Invasive alien species. </w:t>
      </w:r>
      <w:r w:rsidRPr="007746C5">
        <w:rPr>
          <w:i/>
          <w:iCs/>
        </w:rPr>
        <w:t>Decision Adopted by the Conference of the Parties to the Convention on Biological Diversity</w:t>
      </w:r>
      <w:r w:rsidRPr="007746C5">
        <w:t>. Fifteenth meeting of Conference of the parties to the Convention on Biological Diversity, Montreal, Canada. https://www.cbd.int/doc/decisions/cop-15/cop-15-dec-27-en.pdf</w:t>
      </w:r>
    </w:p>
    <w:p w14:paraId="3B68C81A" w14:textId="77777777" w:rsidR="007746C5" w:rsidRPr="007746C5" w:rsidRDefault="007746C5" w:rsidP="009A04E6">
      <w:pPr>
        <w:pStyle w:val="Bibliography"/>
        <w:spacing w:line="240" w:lineRule="auto"/>
      </w:pPr>
      <w:r w:rsidRPr="007746C5">
        <w:t xml:space="preserve">CBD. (2022c). </w:t>
      </w:r>
      <w:r w:rsidRPr="007746C5">
        <w:rPr>
          <w:i/>
          <w:iCs/>
        </w:rPr>
        <w:t>Invasive alien species: Draft decision submitted by the Chair</w:t>
      </w:r>
      <w:r w:rsidRPr="007746C5">
        <w:t>. Fifteenth meeting of Conference of Parties to the Convention on Biological Diversity, Montreal, Canada. https://www.cbd.int/doc/c/ce5d/79c3/176ae7eb5c434bf4dcd42eac/cop-15-wg2-crp-05-en.pdf</w:t>
      </w:r>
    </w:p>
    <w:p w14:paraId="3DD15F0B" w14:textId="77777777" w:rsidR="007746C5" w:rsidRPr="007746C5" w:rsidRDefault="007746C5" w:rsidP="009A04E6">
      <w:pPr>
        <w:pStyle w:val="Bibliography"/>
        <w:spacing w:line="240" w:lineRule="auto"/>
      </w:pPr>
      <w:r w:rsidRPr="007746C5">
        <w:t xml:space="preserve">Centre for Invasive Species Solutions. (2021). Tools for developing cost-effective decisions for managing invasive pest eradications. </w:t>
      </w:r>
      <w:r w:rsidRPr="007746C5">
        <w:rPr>
          <w:i/>
          <w:iCs/>
        </w:rPr>
        <w:t>Centre for Invasive Species Solutions</w:t>
      </w:r>
      <w:r w:rsidRPr="007746C5">
        <w:t>. https://invasives.com.au/research/tools-developing-cost-effective-decisions-managing-invasive-pest-eradications/</w:t>
      </w:r>
    </w:p>
    <w:p w14:paraId="2437FB6B" w14:textId="77777777" w:rsidR="007746C5" w:rsidRPr="007746C5" w:rsidRDefault="007746C5" w:rsidP="009A04E6">
      <w:pPr>
        <w:pStyle w:val="Bibliography"/>
        <w:spacing w:line="240" w:lineRule="auto"/>
      </w:pPr>
      <w:r w:rsidRPr="007746C5">
        <w:t xml:space="preserve">Champer, J., Kim, I. K., Champer, S. E., Clark, A. G., &amp; Messer, P. W. (2021). Suppression gene drive in continuous space can result in unstable persistence of both drive and wild-type alleles. </w:t>
      </w:r>
      <w:r w:rsidRPr="007746C5">
        <w:rPr>
          <w:i/>
          <w:iCs/>
        </w:rPr>
        <w:t>Molecular Ecology</w:t>
      </w:r>
      <w:r w:rsidRPr="007746C5">
        <w:t xml:space="preserve">, </w:t>
      </w:r>
      <w:r w:rsidRPr="007746C5">
        <w:rPr>
          <w:i/>
          <w:iCs/>
        </w:rPr>
        <w:t>30</w:t>
      </w:r>
      <w:r w:rsidRPr="007746C5">
        <w:t>(4), 1086–1101. https://doi.org/10.1111/mec.15788</w:t>
      </w:r>
    </w:p>
    <w:p w14:paraId="12B50A38" w14:textId="77777777" w:rsidR="007746C5" w:rsidRPr="007746C5" w:rsidRDefault="007746C5" w:rsidP="009A04E6">
      <w:pPr>
        <w:pStyle w:val="Bibliography"/>
        <w:spacing w:line="240" w:lineRule="auto"/>
      </w:pPr>
      <w:r w:rsidRPr="007746C5">
        <w:t xml:space="preserve">Chandrasekaran, S., &amp; Swamy, P. S. (2016). Ecological and Socioeconomic Impacts of </w:t>
      </w:r>
      <w:r w:rsidRPr="007746C5">
        <w:rPr>
          <w:i/>
          <w:iCs/>
        </w:rPr>
        <w:t>Prosopis juliflora</w:t>
      </w:r>
      <w:r w:rsidRPr="007746C5">
        <w:t xml:space="preserve"> Invasion in the Semiarid Ecosystems in Selected Villages of Ramnad District in Tamil Nadu. In N. Ghosh, P. Mukhopadhyay, A. Shah, &amp; M. Panda (Eds.), </w:t>
      </w:r>
      <w:r w:rsidRPr="007746C5">
        <w:rPr>
          <w:i/>
          <w:iCs/>
        </w:rPr>
        <w:t>Nature, Economy and Society: Understanding the Linkages</w:t>
      </w:r>
      <w:r w:rsidRPr="007746C5">
        <w:t xml:space="preserve"> (pp. 347–357). Springer, India. https://doi.org/10.1007/978-81-322-2404-4_18</w:t>
      </w:r>
    </w:p>
    <w:p w14:paraId="4655D1B9" w14:textId="77777777" w:rsidR="007746C5" w:rsidRPr="007746C5" w:rsidRDefault="007746C5" w:rsidP="009A04E6">
      <w:pPr>
        <w:pStyle w:val="Bibliography"/>
        <w:spacing w:line="240" w:lineRule="auto"/>
      </w:pPr>
      <w:r w:rsidRPr="007746C5">
        <w:t xml:space="preserve">Chapman, D., Pescott, O. L., Roy, H. E., &amp; Tanner, R. (2019). Improving species distribution models for invasive non-native species with biologically informed pseudo-absence selection. </w:t>
      </w:r>
      <w:r w:rsidRPr="007746C5">
        <w:rPr>
          <w:i/>
          <w:iCs/>
        </w:rPr>
        <w:t>Journal of Biogeography</w:t>
      </w:r>
      <w:r w:rsidRPr="007746C5">
        <w:t xml:space="preserve">, </w:t>
      </w:r>
      <w:r w:rsidRPr="007746C5">
        <w:rPr>
          <w:i/>
          <w:iCs/>
        </w:rPr>
        <w:t>46</w:t>
      </w:r>
      <w:r w:rsidRPr="007746C5">
        <w:t>(5), 1029–1040. https://doi.org/10.1111/jbi.13555</w:t>
      </w:r>
    </w:p>
    <w:p w14:paraId="655B75B4" w14:textId="77777777" w:rsidR="007746C5" w:rsidRPr="007746C5" w:rsidRDefault="007746C5" w:rsidP="009A04E6">
      <w:pPr>
        <w:pStyle w:val="Bibliography"/>
        <w:spacing w:line="240" w:lineRule="auto"/>
      </w:pPr>
      <w:r w:rsidRPr="007746C5">
        <w:t xml:space="preserve">Charles, J. G., Avila, G. A., Hoelmer, K. A., Hunt, S., Gardner-Gee, R., MacDonald, F., &amp; Davis, V. (2019). Experimental assessment of the biosafety of </w:t>
      </w:r>
      <w:r w:rsidRPr="007746C5">
        <w:rPr>
          <w:i/>
          <w:iCs/>
        </w:rPr>
        <w:t>Trissolcus japonicus</w:t>
      </w:r>
      <w:r w:rsidRPr="007746C5">
        <w:t xml:space="preserve"> in New Zealand, prior to the anticipated arrival of the invasive pest </w:t>
      </w:r>
      <w:r w:rsidRPr="007746C5">
        <w:rPr>
          <w:i/>
          <w:iCs/>
        </w:rPr>
        <w:t>Halyomorpha halys</w:t>
      </w:r>
      <w:r w:rsidRPr="007746C5">
        <w:t xml:space="preserve">. </w:t>
      </w:r>
      <w:r w:rsidRPr="007746C5">
        <w:rPr>
          <w:i/>
          <w:iCs/>
        </w:rPr>
        <w:t>BioControl</w:t>
      </w:r>
      <w:r w:rsidRPr="007746C5">
        <w:t xml:space="preserve">, </w:t>
      </w:r>
      <w:r w:rsidRPr="007746C5">
        <w:rPr>
          <w:i/>
          <w:iCs/>
        </w:rPr>
        <w:t>64</w:t>
      </w:r>
      <w:r w:rsidRPr="007746C5">
        <w:t>(4), 367–379. https://doi.org/10.1007/s10526-019-09949-x</w:t>
      </w:r>
    </w:p>
    <w:p w14:paraId="00BF6FE2" w14:textId="77777777" w:rsidR="007746C5" w:rsidRPr="007746C5" w:rsidRDefault="007746C5" w:rsidP="009A04E6">
      <w:pPr>
        <w:pStyle w:val="Bibliography"/>
        <w:spacing w:line="240" w:lineRule="auto"/>
      </w:pPr>
      <w:r w:rsidRPr="007746C5">
        <w:t xml:space="preserve">Chaudhry, M. Q. (1997). Review A Review of the Mechanisms Involved in the Action of Phosphine as an Insecticide and Phosphine Resistance in Stored-Product Insects. </w:t>
      </w:r>
      <w:r w:rsidRPr="007746C5">
        <w:rPr>
          <w:i/>
          <w:iCs/>
        </w:rPr>
        <w:t>Pesticide Science</w:t>
      </w:r>
      <w:r w:rsidRPr="007746C5">
        <w:t xml:space="preserve">, </w:t>
      </w:r>
      <w:r w:rsidRPr="007746C5">
        <w:rPr>
          <w:i/>
          <w:iCs/>
        </w:rPr>
        <w:t>49</w:t>
      </w:r>
      <w:r w:rsidRPr="007746C5">
        <w:t>(3), 213–228. https://doi.org/10.1002/(SICI)1096-9063(199703)49:3%3C213::AID-PS516%3E3.0.CO;2-%23</w:t>
      </w:r>
    </w:p>
    <w:p w14:paraId="4B33DD62" w14:textId="77777777" w:rsidR="007746C5" w:rsidRPr="007746C5" w:rsidRDefault="007746C5" w:rsidP="009A04E6">
      <w:pPr>
        <w:pStyle w:val="Bibliography"/>
        <w:spacing w:line="240" w:lineRule="auto"/>
      </w:pPr>
      <w:r w:rsidRPr="007746C5">
        <w:t xml:space="preserve">Chen, J.-W., Lin, W.-J., Cheng, H.-J., Hung, C.-L., Lin, C.-Y., &amp; Chen, S.-P. (2021). A Smartphone-Based Application for Scale Pest Detection Using Multiple-Object Detection Methods. </w:t>
      </w:r>
      <w:r w:rsidRPr="007746C5">
        <w:rPr>
          <w:i/>
          <w:iCs/>
        </w:rPr>
        <w:t>Electronics</w:t>
      </w:r>
      <w:r w:rsidRPr="007746C5">
        <w:t xml:space="preserve">, </w:t>
      </w:r>
      <w:r w:rsidRPr="007746C5">
        <w:rPr>
          <w:i/>
          <w:iCs/>
        </w:rPr>
        <w:t>10</w:t>
      </w:r>
      <w:r w:rsidRPr="007746C5">
        <w:t>(4), 372. https://doi.org/10.3390/electronics10040372</w:t>
      </w:r>
    </w:p>
    <w:p w14:paraId="1FC0DFDB" w14:textId="77777777" w:rsidR="007746C5" w:rsidRPr="007746C5" w:rsidRDefault="007746C5" w:rsidP="009A04E6">
      <w:pPr>
        <w:pStyle w:val="Bibliography"/>
        <w:spacing w:line="240" w:lineRule="auto"/>
      </w:pPr>
      <w:r w:rsidRPr="007746C5">
        <w:t>Chikoye, D., Ellis-Jones, J., Tarawali, G., Kormawa, P., Nielsen, O., Ibana, S., &amp; Avav, T.-R. (2006). Farmers’ perceptions of the speargrass (</w:t>
      </w:r>
      <w:r w:rsidRPr="007746C5">
        <w:rPr>
          <w:i/>
          <w:iCs/>
        </w:rPr>
        <w:t>Imperata cylindrica</w:t>
      </w:r>
      <w:r w:rsidRPr="007746C5">
        <w:t xml:space="preserve">) problem and its control in the lowland sub-humid savannah of Nigeria. </w:t>
      </w:r>
      <w:r w:rsidRPr="007746C5">
        <w:rPr>
          <w:i/>
          <w:iCs/>
        </w:rPr>
        <w:t xml:space="preserve">Journal of Food, Agriculture &amp; </w:t>
      </w:r>
      <w:r w:rsidRPr="007746C5">
        <w:rPr>
          <w:i/>
          <w:iCs/>
        </w:rPr>
        <w:lastRenderedPageBreak/>
        <w:t>Environment</w:t>
      </w:r>
      <w:r w:rsidRPr="007746C5">
        <w:t xml:space="preserve">, </w:t>
      </w:r>
      <w:r w:rsidRPr="007746C5">
        <w:rPr>
          <w:i/>
          <w:iCs/>
        </w:rPr>
        <w:t>4</w:t>
      </w:r>
      <w:r w:rsidRPr="007746C5">
        <w:t>(3 &amp; 4), 118–126. https://www.academia.edu/48826875/Farmers_perceptions_of_the_speargrass_Imperata_cylindrica_problem_and_its_control_in_the_lowland_sub_humid_savannah_of_Nigeria</w:t>
      </w:r>
    </w:p>
    <w:p w14:paraId="45589F0A" w14:textId="77777777" w:rsidR="007746C5" w:rsidRPr="007746C5" w:rsidRDefault="007746C5" w:rsidP="009A04E6">
      <w:pPr>
        <w:pStyle w:val="Bibliography"/>
        <w:spacing w:line="240" w:lineRule="auto"/>
      </w:pPr>
      <w:r w:rsidRPr="007746C5">
        <w:t>Chimweta, M., Nyakudya, I. W., Jimu, L., &amp; Mashingaidze, A. B. (2020). Fall armyworm [</w:t>
      </w:r>
      <w:r w:rsidRPr="007746C5">
        <w:rPr>
          <w:i/>
          <w:iCs/>
        </w:rPr>
        <w:t>Spodoptera frugiperda</w:t>
      </w:r>
      <w:r w:rsidRPr="007746C5">
        <w:t xml:space="preserve"> (J.E. Smith)] damage in maize: Management options for flood-recession cropping smallholder farmers. </w:t>
      </w:r>
      <w:r w:rsidRPr="007746C5">
        <w:rPr>
          <w:i/>
          <w:iCs/>
        </w:rPr>
        <w:t>International Journal of Pest Management</w:t>
      </w:r>
      <w:r w:rsidRPr="007746C5">
        <w:t xml:space="preserve">, </w:t>
      </w:r>
      <w:r w:rsidRPr="007746C5">
        <w:rPr>
          <w:i/>
          <w:iCs/>
        </w:rPr>
        <w:t>66</w:t>
      </w:r>
      <w:r w:rsidRPr="007746C5">
        <w:t>(2), 142–154. https://doi.org/10.1080/09670874.2019.1577514</w:t>
      </w:r>
    </w:p>
    <w:p w14:paraId="73DA0B3C" w14:textId="77777777" w:rsidR="007746C5" w:rsidRPr="007746C5" w:rsidRDefault="007746C5" w:rsidP="009A04E6">
      <w:pPr>
        <w:pStyle w:val="Bibliography"/>
        <w:spacing w:line="240" w:lineRule="auto"/>
      </w:pPr>
      <w:r w:rsidRPr="007746C5">
        <w:t xml:space="preserve">Chizinski, C. J., Pope, K. L., &amp; Wilde, G. R. (2010). A modelling approach to evaluate potential management actions designed to increase growth of white perch in a high-density population. </w:t>
      </w:r>
      <w:r w:rsidRPr="007746C5">
        <w:rPr>
          <w:i/>
          <w:iCs/>
        </w:rPr>
        <w:t>Fisheries Management and Ecology</w:t>
      </w:r>
      <w:r w:rsidRPr="007746C5">
        <w:t xml:space="preserve">, </w:t>
      </w:r>
      <w:r w:rsidRPr="007746C5">
        <w:rPr>
          <w:i/>
          <w:iCs/>
        </w:rPr>
        <w:t>17</w:t>
      </w:r>
      <w:r w:rsidRPr="007746C5">
        <w:t>(3), 262–271. https://doi.org/10.1111/j.1365-2400.2009.00723.x</w:t>
      </w:r>
    </w:p>
    <w:p w14:paraId="0EEDFD61" w14:textId="77777777" w:rsidR="007746C5" w:rsidRPr="007746C5" w:rsidRDefault="007746C5" w:rsidP="009A04E6">
      <w:pPr>
        <w:pStyle w:val="Bibliography"/>
        <w:spacing w:line="240" w:lineRule="auto"/>
      </w:pPr>
      <w:r w:rsidRPr="007746C5">
        <w:t xml:space="preserve">Choo, A., Crisp, P., Saint, R., O’Keefe, L. V., &amp; Baxter, S. W. (2018). CRISPR/Cas9-mediated mutagenesis of the </w:t>
      </w:r>
      <w:r w:rsidRPr="007746C5">
        <w:rPr>
          <w:i/>
          <w:iCs/>
        </w:rPr>
        <w:t>white</w:t>
      </w:r>
      <w:r w:rsidRPr="007746C5">
        <w:t xml:space="preserve"> gene in the tephritid pest </w:t>
      </w:r>
      <w:r w:rsidRPr="007746C5">
        <w:rPr>
          <w:i/>
          <w:iCs/>
        </w:rPr>
        <w:t>Bactrocera tryoni</w:t>
      </w:r>
      <w:r w:rsidRPr="007746C5">
        <w:t xml:space="preserve">. </w:t>
      </w:r>
      <w:r w:rsidRPr="007746C5">
        <w:rPr>
          <w:i/>
          <w:iCs/>
        </w:rPr>
        <w:t>Journal of Applied Entomology</w:t>
      </w:r>
      <w:r w:rsidRPr="007746C5">
        <w:t xml:space="preserve">, </w:t>
      </w:r>
      <w:r w:rsidRPr="007746C5">
        <w:rPr>
          <w:i/>
          <w:iCs/>
        </w:rPr>
        <w:t>142</w:t>
      </w:r>
      <w:r w:rsidRPr="007746C5">
        <w:t>(1–2), 52–58. https://doi.org/10.1111/jen.12411</w:t>
      </w:r>
    </w:p>
    <w:p w14:paraId="5B1E1A06" w14:textId="77777777" w:rsidR="007746C5" w:rsidRPr="007746C5" w:rsidRDefault="007746C5" w:rsidP="009A04E6">
      <w:pPr>
        <w:pStyle w:val="Bibliography"/>
        <w:spacing w:line="240" w:lineRule="auto"/>
      </w:pPr>
      <w:r w:rsidRPr="007746C5">
        <w:t xml:space="preserve">Chowdhury, M. E. H., Rahman, T., Khandakar, A., Mazhar, R., Kadir, M. A., Mahbub, Z. B., Islam, K. R., Khan, M. S., Iqbal, A., Emadi, N. A., Reaz, M. B. I., &amp; Islam, M. T. (2020). Can AI Help in Screening Viral and COVID-19 Pneumonia? </w:t>
      </w:r>
      <w:r w:rsidRPr="007746C5">
        <w:rPr>
          <w:i/>
          <w:iCs/>
        </w:rPr>
        <w:t>IEEE Access</w:t>
      </w:r>
      <w:r w:rsidRPr="007746C5">
        <w:t xml:space="preserve">, </w:t>
      </w:r>
      <w:r w:rsidRPr="007746C5">
        <w:rPr>
          <w:i/>
          <w:iCs/>
        </w:rPr>
        <w:t>8</w:t>
      </w:r>
      <w:r w:rsidRPr="007746C5">
        <w:t>, 132665–132676. https://doi.org/10.1109/ACCESS.2020.3010287</w:t>
      </w:r>
    </w:p>
    <w:p w14:paraId="2CD94354" w14:textId="77777777" w:rsidR="007746C5" w:rsidRPr="007746C5" w:rsidRDefault="007746C5" w:rsidP="009A04E6">
      <w:pPr>
        <w:pStyle w:val="Bibliography"/>
        <w:spacing w:line="240" w:lineRule="auto"/>
      </w:pPr>
      <w:r w:rsidRPr="007746C5">
        <w:t xml:space="preserve">Chown, S. L., Huiskes, A. H. L., Gremmen, N. J. M., Lee, J. E., Terauds, A., Crosbie, K., Frenot, Y., Hughes, K. A., Imura, S., Kiefer, K., Lebouvier, M., Raymond, B., Tsujimoto, M., Ware, C., Van de Vijver, B., &amp; Bergstrom, D. M. (2012). Continent-wide risk assessment for the establishment of nonindigenous species in Antarctica. </w:t>
      </w:r>
      <w:r w:rsidRPr="007746C5">
        <w:rPr>
          <w:i/>
          <w:iCs/>
        </w:rPr>
        <w:t>Proceedings of the National Academy of Sciences of the United States of America</w:t>
      </w:r>
      <w:r w:rsidRPr="007746C5">
        <w:t xml:space="preserve">, </w:t>
      </w:r>
      <w:r w:rsidRPr="007746C5">
        <w:rPr>
          <w:i/>
          <w:iCs/>
        </w:rPr>
        <w:t>109</w:t>
      </w:r>
      <w:r w:rsidRPr="007746C5">
        <w:t>(13), 4938–4943. https://doi.org/10.1073/pnas.1119787109</w:t>
      </w:r>
    </w:p>
    <w:p w14:paraId="25F8BD9E" w14:textId="77777777" w:rsidR="007746C5" w:rsidRPr="007746C5" w:rsidRDefault="007746C5" w:rsidP="009A04E6">
      <w:pPr>
        <w:pStyle w:val="Bibliography"/>
        <w:spacing w:line="240" w:lineRule="auto"/>
      </w:pPr>
      <w:r w:rsidRPr="007746C5">
        <w:t xml:space="preserve">Chua, S. D. X., Lu, X. X., Oeurng, C., Sok, T., &amp; Grundy-Warr, C. (2022). Drastic decline of flood pulse in the Cambodian floodplains (Mekong River and Tonle Sap system). </w:t>
      </w:r>
      <w:r w:rsidRPr="007746C5">
        <w:rPr>
          <w:i/>
          <w:iCs/>
        </w:rPr>
        <w:t>Hydrology and Earth System Sciences</w:t>
      </w:r>
      <w:r w:rsidRPr="007746C5">
        <w:t xml:space="preserve">, </w:t>
      </w:r>
      <w:r w:rsidRPr="007746C5">
        <w:rPr>
          <w:i/>
          <w:iCs/>
        </w:rPr>
        <w:t>26</w:t>
      </w:r>
      <w:r w:rsidRPr="007746C5">
        <w:t>(3), 609–625. https://doi.org/10.5194/hess-26-609-2022</w:t>
      </w:r>
    </w:p>
    <w:p w14:paraId="528F108B" w14:textId="77777777" w:rsidR="007746C5" w:rsidRPr="007746C5" w:rsidRDefault="007746C5" w:rsidP="009A04E6">
      <w:pPr>
        <w:pStyle w:val="Bibliography"/>
        <w:spacing w:line="240" w:lineRule="auto"/>
      </w:pPr>
      <w:r w:rsidRPr="007746C5">
        <w:t xml:space="preserve">CIRCABC. (2021). </w:t>
      </w:r>
      <w:r w:rsidRPr="007746C5">
        <w:rPr>
          <w:i/>
          <w:iCs/>
        </w:rPr>
        <w:t>Scientific Forum on Alien Invasive Species</w:t>
      </w:r>
      <w:r w:rsidRPr="007746C5">
        <w:t>. Communication and Information Resource Centre for Administrations, Businesses and Citizens. https://circabc.europa.eu/ui/group/98665af0-7dfa-448c-8bf4-e1e086b50d2c/library/ed95cea1-4f6a-4a3b-b27d-b2bfb8288c42</w:t>
      </w:r>
    </w:p>
    <w:p w14:paraId="557A7C89" w14:textId="77777777" w:rsidR="007746C5" w:rsidRPr="007746C5" w:rsidRDefault="007746C5" w:rsidP="009A04E6">
      <w:pPr>
        <w:pStyle w:val="Bibliography"/>
        <w:spacing w:line="240" w:lineRule="auto"/>
      </w:pPr>
      <w:r w:rsidRPr="007746C5">
        <w:t xml:space="preserve">Clarke, D. A., Palmer, D. J., McGrannachan, C., Burgess, T. I., Chown, S. L., Clarke, R. H., Kumschick, S., Lach, L., Liebhold, A. M., Roy, H. E., Saunders, M. E., Yeates, D. K., Zalucki, M. P., &amp; McGeoch, M. A. (2021). Options for reducing uncertainty in impact classification for alien species. </w:t>
      </w:r>
      <w:r w:rsidRPr="007746C5">
        <w:rPr>
          <w:i/>
          <w:iCs/>
        </w:rPr>
        <w:t>Ecosphere</w:t>
      </w:r>
      <w:r w:rsidRPr="007746C5">
        <w:t xml:space="preserve">, </w:t>
      </w:r>
      <w:r w:rsidRPr="007746C5">
        <w:rPr>
          <w:i/>
          <w:iCs/>
        </w:rPr>
        <w:t>12</w:t>
      </w:r>
      <w:r w:rsidRPr="007746C5">
        <w:t>(4), e03461. https://doi.org/10.1002/ecs2.3461</w:t>
      </w:r>
    </w:p>
    <w:p w14:paraId="57087E04" w14:textId="77777777" w:rsidR="007746C5" w:rsidRPr="007746C5" w:rsidRDefault="007746C5" w:rsidP="009A04E6">
      <w:pPr>
        <w:pStyle w:val="Bibliography"/>
        <w:spacing w:line="240" w:lineRule="auto"/>
      </w:pPr>
      <w:r w:rsidRPr="007746C5">
        <w:t xml:space="preserve">Clarke, S., Stenekes, N., Kancans, R., Woodland, C., &amp; Robinson, A. (2018). Undelivered risk: A counter-factual analysis of the biosecurity risk avoided by inspecting international mail articles. </w:t>
      </w:r>
      <w:r w:rsidRPr="007746C5">
        <w:rPr>
          <w:i/>
          <w:iCs/>
        </w:rPr>
        <w:t>NeoBiota</w:t>
      </w:r>
      <w:r w:rsidRPr="007746C5">
        <w:t xml:space="preserve">, </w:t>
      </w:r>
      <w:r w:rsidRPr="007746C5">
        <w:rPr>
          <w:i/>
          <w:iCs/>
        </w:rPr>
        <w:t>40</w:t>
      </w:r>
      <w:r w:rsidRPr="007746C5">
        <w:t>, 73–86. https://doi.org/10.3897/neobiota.40.28840</w:t>
      </w:r>
    </w:p>
    <w:p w14:paraId="7BD74F05" w14:textId="77777777" w:rsidR="007746C5" w:rsidRPr="007746C5" w:rsidRDefault="007746C5" w:rsidP="009A04E6">
      <w:pPr>
        <w:pStyle w:val="Bibliography"/>
        <w:spacing w:line="240" w:lineRule="auto"/>
      </w:pPr>
      <w:r w:rsidRPr="007746C5">
        <w:t xml:space="preserve">Clement, R., Dunbabin, M., &amp; Wyeth, G. (2005). Toward robust image detection of crown-of-thorns starfish for autonomous population monitoring. In C. Sammut (Ed.), </w:t>
      </w:r>
      <w:r w:rsidRPr="007746C5">
        <w:rPr>
          <w:i/>
          <w:iCs/>
        </w:rPr>
        <w:t>Proceedings of the 2005 Australasian Conference on Robotics and Automation</w:t>
      </w:r>
      <w:r w:rsidRPr="007746C5">
        <w:t xml:space="preserve"> (pp. 1–8). Australian Robotics and Automation Association Inc. http://www.araa.asn.au/acra/acra2005/papers/clement.pdf</w:t>
      </w:r>
    </w:p>
    <w:p w14:paraId="0DFF5E6B" w14:textId="77777777" w:rsidR="007746C5" w:rsidRPr="007746C5" w:rsidRDefault="007746C5" w:rsidP="009A04E6">
      <w:pPr>
        <w:pStyle w:val="Bibliography"/>
        <w:spacing w:line="240" w:lineRule="auto"/>
      </w:pPr>
      <w:r w:rsidRPr="007746C5">
        <w:t xml:space="preserve">Clements, E. J., &amp; Foster, M. C. (1994). </w:t>
      </w:r>
      <w:r w:rsidRPr="007746C5">
        <w:rPr>
          <w:i/>
          <w:iCs/>
        </w:rPr>
        <w:t>Alien plants of the British Isles. A provisional catalogue of vascular plants (excluding grasses)</w:t>
      </w:r>
      <w:r w:rsidRPr="007746C5">
        <w:t xml:space="preserve"> (p. 589). Botanical Society of the British Isles. https://www.cabi.org/isc/abstract/19952313216</w:t>
      </w:r>
    </w:p>
    <w:p w14:paraId="18D5DC0E" w14:textId="77777777" w:rsidR="007746C5" w:rsidRPr="007746C5" w:rsidRDefault="007746C5" w:rsidP="009A04E6">
      <w:pPr>
        <w:pStyle w:val="Bibliography"/>
        <w:spacing w:line="240" w:lineRule="auto"/>
      </w:pPr>
      <w:r w:rsidRPr="007746C5">
        <w:t xml:space="preserve">Cock, M. J. W., Murphy, S. T., Kairo, M. T. K., Thompson, E., Murphy, R. J., &amp; Francis, A. W. (2016). Trends in the classical biological control of insect pests by insects: An update of the BIOCAT database. </w:t>
      </w:r>
      <w:r w:rsidRPr="007746C5">
        <w:rPr>
          <w:i/>
          <w:iCs/>
        </w:rPr>
        <w:t>BioControl</w:t>
      </w:r>
      <w:r w:rsidRPr="007746C5">
        <w:t xml:space="preserve">, </w:t>
      </w:r>
      <w:r w:rsidRPr="007746C5">
        <w:rPr>
          <w:i/>
          <w:iCs/>
        </w:rPr>
        <w:t>61</w:t>
      </w:r>
      <w:r w:rsidRPr="007746C5">
        <w:t>(4), 349–363. https://doi.org/10.1007/s10526-016-9726-3</w:t>
      </w:r>
    </w:p>
    <w:p w14:paraId="5F67CCDE" w14:textId="77777777" w:rsidR="007746C5" w:rsidRPr="007746C5" w:rsidRDefault="007746C5" w:rsidP="009A04E6">
      <w:pPr>
        <w:pStyle w:val="Bibliography"/>
        <w:spacing w:line="240" w:lineRule="auto"/>
      </w:pPr>
      <w:r w:rsidRPr="007746C5">
        <w:t xml:space="preserve">Collier, N., Doan, S., Kawazoe, A., Goodwin, R. M., Conway, M., Tateno, Y., Ngo, Q.-H., Dien, D., Kawtrakul, A., Takeuchi, K., Shigematsu, M., &amp; Taniguchi, K. (2008). BioCaster: </w:t>
      </w:r>
      <w:r w:rsidRPr="007746C5">
        <w:lastRenderedPageBreak/>
        <w:t xml:space="preserve">Detecting public health rumors with a Web-based text mining system. </w:t>
      </w:r>
      <w:r w:rsidRPr="007746C5">
        <w:rPr>
          <w:i/>
          <w:iCs/>
        </w:rPr>
        <w:t>Bioinformatics</w:t>
      </w:r>
      <w:r w:rsidRPr="007746C5">
        <w:t xml:space="preserve">, </w:t>
      </w:r>
      <w:r w:rsidRPr="007746C5">
        <w:rPr>
          <w:i/>
          <w:iCs/>
        </w:rPr>
        <w:t>24</w:t>
      </w:r>
      <w:r w:rsidRPr="007746C5">
        <w:t>(24), 2940–2941. https://doi.org/10.1093/bioinformatics/btn534</w:t>
      </w:r>
    </w:p>
    <w:p w14:paraId="2C2B3AF0" w14:textId="77777777" w:rsidR="007746C5" w:rsidRPr="007746C5" w:rsidRDefault="007746C5" w:rsidP="009A04E6">
      <w:pPr>
        <w:pStyle w:val="Bibliography"/>
        <w:spacing w:line="240" w:lineRule="auto"/>
      </w:pPr>
      <w:r w:rsidRPr="007746C5">
        <w:t xml:space="preserve">Collins, P. J., Emery, R. N., &amp; Wallbank, B. E. (2003). Two decades of monitoring and managing phosphine resistance in Australia. In P. F. Credland, D. M. Armitage, C. H. Bell, P. M. Cogan, &amp; E. Highley (Eds.), </w:t>
      </w:r>
      <w:r w:rsidRPr="007746C5">
        <w:rPr>
          <w:i/>
          <w:iCs/>
        </w:rPr>
        <w:t>Proceedings of the 8th International Working Conference on Stored Product Protection, York, UK, 22-26 July 2002</w:t>
      </w:r>
      <w:r w:rsidRPr="007746C5">
        <w:t xml:space="preserve"> (pp. 570–575). CABI. https://doi.org/10.1079/9780851996912.0570</w:t>
      </w:r>
    </w:p>
    <w:p w14:paraId="1180DE4F" w14:textId="77777777" w:rsidR="007746C5" w:rsidRPr="007746C5" w:rsidRDefault="007746C5" w:rsidP="009A04E6">
      <w:pPr>
        <w:pStyle w:val="Bibliography"/>
        <w:spacing w:line="240" w:lineRule="auto"/>
      </w:pPr>
      <w:r w:rsidRPr="007746C5">
        <w:t xml:space="preserve">Colunga-Garcia, M., Haack, R. A., Magarey, R. D., &amp; Borchert, D. M. (2013). Understanding trade pathways to target biosecurity surveillance. </w:t>
      </w:r>
      <w:r w:rsidRPr="007746C5">
        <w:rPr>
          <w:i/>
          <w:iCs/>
        </w:rPr>
        <w:t>NeoBiota</w:t>
      </w:r>
      <w:r w:rsidRPr="007746C5">
        <w:t xml:space="preserve">, </w:t>
      </w:r>
      <w:r w:rsidRPr="007746C5">
        <w:rPr>
          <w:i/>
          <w:iCs/>
        </w:rPr>
        <w:t>18</w:t>
      </w:r>
      <w:r w:rsidRPr="007746C5">
        <w:t>, 103–118. https://doi.org/10.3897/neobiota.18.4019</w:t>
      </w:r>
    </w:p>
    <w:p w14:paraId="17DD3D5D" w14:textId="77777777" w:rsidR="007746C5" w:rsidRPr="007746C5" w:rsidRDefault="007746C5" w:rsidP="009A04E6">
      <w:pPr>
        <w:pStyle w:val="Bibliography"/>
        <w:spacing w:line="240" w:lineRule="auto"/>
      </w:pPr>
      <w:r w:rsidRPr="007746C5">
        <w:t xml:space="preserve">Conser, C., Seebacher, L., Fujino, D. W., Reichard, S., &amp; DiTomaso, J. M. (2015). The Development of a Plant Risk Evaluation (PRE) Tool for Assessing the Invasive Potential of Ornamental Plants. </w:t>
      </w:r>
      <w:r w:rsidRPr="007746C5">
        <w:rPr>
          <w:i/>
          <w:iCs/>
        </w:rPr>
        <w:t>PLoS ONE</w:t>
      </w:r>
      <w:r w:rsidRPr="007746C5">
        <w:t xml:space="preserve">, </w:t>
      </w:r>
      <w:r w:rsidRPr="007746C5">
        <w:rPr>
          <w:i/>
          <w:iCs/>
        </w:rPr>
        <w:t>10</w:t>
      </w:r>
      <w:r w:rsidRPr="007746C5">
        <w:t>(3), e0121053. https://doi.org/10.1371/journal.pone.0121053</w:t>
      </w:r>
    </w:p>
    <w:p w14:paraId="1D87E943" w14:textId="77777777" w:rsidR="007746C5" w:rsidRPr="007746C5" w:rsidRDefault="007746C5" w:rsidP="009A04E6">
      <w:pPr>
        <w:pStyle w:val="Bibliography"/>
        <w:spacing w:line="240" w:lineRule="auto"/>
      </w:pPr>
      <w:r w:rsidRPr="007746C5">
        <w:t xml:space="preserve">Convey, P., &amp; Lebouvier, M. (2009). Environmental change and human impacts on terrestrial ecosystems of the sub-Antarctic islands between their discovery and the mid-twentieth century. </w:t>
      </w:r>
      <w:r w:rsidRPr="007746C5">
        <w:rPr>
          <w:i/>
          <w:iCs/>
        </w:rPr>
        <w:t>Papers and Proceedings of the Royal Society of Tasmania</w:t>
      </w:r>
      <w:r w:rsidRPr="007746C5">
        <w:t xml:space="preserve">, </w:t>
      </w:r>
      <w:r w:rsidRPr="007746C5">
        <w:rPr>
          <w:i/>
          <w:iCs/>
        </w:rPr>
        <w:t>143</w:t>
      </w:r>
      <w:r w:rsidRPr="007746C5">
        <w:t>(1), 33–44. https://doi.org/10.26749/rstpp.143.1.33</w:t>
      </w:r>
    </w:p>
    <w:p w14:paraId="020C65F7" w14:textId="77777777" w:rsidR="007746C5" w:rsidRPr="007746C5" w:rsidRDefault="007746C5" w:rsidP="009A04E6">
      <w:pPr>
        <w:pStyle w:val="Bibliography"/>
        <w:spacing w:line="240" w:lineRule="auto"/>
      </w:pPr>
      <w:r w:rsidRPr="007746C5">
        <w:t xml:space="preserve">Cook, D., &amp; Proctor, W. (2007). Assessing the threat of exotic plant pests. </w:t>
      </w:r>
      <w:r w:rsidRPr="007746C5">
        <w:rPr>
          <w:i/>
          <w:iCs/>
        </w:rPr>
        <w:t>Ecological Economics</w:t>
      </w:r>
      <w:r w:rsidRPr="007746C5">
        <w:t xml:space="preserve">, </w:t>
      </w:r>
      <w:r w:rsidRPr="007746C5">
        <w:rPr>
          <w:i/>
          <w:iCs/>
        </w:rPr>
        <w:t>63</w:t>
      </w:r>
      <w:r w:rsidRPr="007746C5">
        <w:t>(2–3), 594–604. https://doi.org/10.1016/j.ecolecon.2006.12.021</w:t>
      </w:r>
    </w:p>
    <w:p w14:paraId="30B0782B" w14:textId="77777777" w:rsidR="007746C5" w:rsidRPr="007746C5" w:rsidRDefault="007746C5" w:rsidP="009A04E6">
      <w:pPr>
        <w:pStyle w:val="Bibliography"/>
        <w:spacing w:line="240" w:lineRule="auto"/>
      </w:pPr>
      <w:r w:rsidRPr="007746C5">
        <w:t xml:space="preserve">Cook, G. D., &amp; Dias, L. (2006). It was no accident: Deliberate plant introductions by Australian government agencies during the 20th century. </w:t>
      </w:r>
      <w:r w:rsidRPr="007746C5">
        <w:rPr>
          <w:i/>
          <w:iCs/>
        </w:rPr>
        <w:t>Australian Journal of Botany</w:t>
      </w:r>
      <w:r w:rsidRPr="007746C5">
        <w:t xml:space="preserve">, </w:t>
      </w:r>
      <w:r w:rsidRPr="007746C5">
        <w:rPr>
          <w:i/>
          <w:iCs/>
        </w:rPr>
        <w:t>54</w:t>
      </w:r>
      <w:r w:rsidRPr="007746C5">
        <w:t>(7), 601–625. https://doi.org/10.1071/BT05157</w:t>
      </w:r>
    </w:p>
    <w:p w14:paraId="7CFECF61" w14:textId="77777777" w:rsidR="007746C5" w:rsidRPr="007746C5" w:rsidRDefault="007746C5" w:rsidP="009A04E6">
      <w:pPr>
        <w:pStyle w:val="Bibliography"/>
        <w:spacing w:line="240" w:lineRule="auto"/>
      </w:pPr>
      <w:r w:rsidRPr="007746C5">
        <w:t xml:space="preserve">Cooke, B. D., Chudleigh, P., Simpson, S., &amp; Saunders, G. (2013). The Economic Benefits of the Biological Control of Rabbits in Australia, 1950–2011. </w:t>
      </w:r>
      <w:r w:rsidRPr="007746C5">
        <w:rPr>
          <w:i/>
          <w:iCs/>
        </w:rPr>
        <w:t>Australian Economic History Review</w:t>
      </w:r>
      <w:r w:rsidRPr="007746C5">
        <w:t xml:space="preserve">, </w:t>
      </w:r>
      <w:r w:rsidRPr="007746C5">
        <w:rPr>
          <w:i/>
          <w:iCs/>
        </w:rPr>
        <w:t>53</w:t>
      </w:r>
      <w:r w:rsidRPr="007746C5">
        <w:t>(1), 91–107. https://doi.org/10.1111/aehr.12000</w:t>
      </w:r>
    </w:p>
    <w:p w14:paraId="5666B133" w14:textId="77777777" w:rsidR="007746C5" w:rsidRPr="007746C5" w:rsidRDefault="007746C5" w:rsidP="009A04E6">
      <w:pPr>
        <w:pStyle w:val="Bibliography"/>
        <w:spacing w:line="240" w:lineRule="auto"/>
      </w:pPr>
      <w:r w:rsidRPr="007746C5">
        <w:t xml:space="preserve">Cooke, B. D., &amp; Fenner, F. (2002). Rabbit haemorrhagic disease and the biological control of wild rabbits, </w:t>
      </w:r>
      <w:r w:rsidRPr="007746C5">
        <w:rPr>
          <w:i/>
          <w:iCs/>
        </w:rPr>
        <w:t>Oryctolagus cuniculus</w:t>
      </w:r>
      <w:r w:rsidRPr="007746C5">
        <w:t xml:space="preserve">, in Australia and New Zealand. </w:t>
      </w:r>
      <w:r w:rsidRPr="007746C5">
        <w:rPr>
          <w:i/>
          <w:iCs/>
        </w:rPr>
        <w:t>Wildlife Research</w:t>
      </w:r>
      <w:r w:rsidRPr="007746C5">
        <w:t xml:space="preserve">, </w:t>
      </w:r>
      <w:r w:rsidRPr="007746C5">
        <w:rPr>
          <w:i/>
          <w:iCs/>
        </w:rPr>
        <w:t>29</w:t>
      </w:r>
      <w:r w:rsidRPr="007746C5">
        <w:t>(6), 689–706. https://doi.org/10.1071/wr02010</w:t>
      </w:r>
    </w:p>
    <w:p w14:paraId="3CA8E032" w14:textId="77777777" w:rsidR="007746C5" w:rsidRPr="007746C5" w:rsidRDefault="007746C5" w:rsidP="009A04E6">
      <w:pPr>
        <w:pStyle w:val="Bibliography"/>
        <w:spacing w:line="240" w:lineRule="auto"/>
      </w:pPr>
      <w:r w:rsidRPr="007746C5">
        <w:t xml:space="preserve">Copp, G. H., Garthwaite, R., &amp; Gozlan, R. E. (2005). Risk identification and assessment of non-native freshwater fishes: A summary of concepts and perspectives on protocols for the UK. </w:t>
      </w:r>
      <w:r w:rsidRPr="007746C5">
        <w:rPr>
          <w:i/>
          <w:iCs/>
        </w:rPr>
        <w:t>Journal of Applied Ichthyology</w:t>
      </w:r>
      <w:r w:rsidRPr="007746C5">
        <w:t xml:space="preserve">, </w:t>
      </w:r>
      <w:r w:rsidRPr="007746C5">
        <w:rPr>
          <w:i/>
          <w:iCs/>
        </w:rPr>
        <w:t>21</w:t>
      </w:r>
      <w:r w:rsidRPr="007746C5">
        <w:t>(4), 371–373. https://doi.org/10.1111/j.1439-0426.2005.00692.x</w:t>
      </w:r>
    </w:p>
    <w:p w14:paraId="35ADC2DE" w14:textId="77777777" w:rsidR="007746C5" w:rsidRPr="007746C5" w:rsidRDefault="007746C5" w:rsidP="009A04E6">
      <w:pPr>
        <w:pStyle w:val="Bibliography"/>
        <w:spacing w:line="240" w:lineRule="auto"/>
      </w:pPr>
      <w:r w:rsidRPr="007746C5">
        <w:t xml:space="preserve">Copp, G. H., Russell, I. C., Peeler, E. J., Gherardi, F., Tricarico, E., Macleod, A., Cowx, I. G., Nunn, A. D., Occhipinti-Ambrogi, A., Savini, D., Mumford, J., &amp; Britton, J. R. (2016). European Non-native Species in Aquaculture Risk Analysis Scheme—A summary of assessment protocols and decision support tools for use of alien species in aquaculture. </w:t>
      </w:r>
      <w:r w:rsidRPr="007746C5">
        <w:rPr>
          <w:i/>
          <w:iCs/>
        </w:rPr>
        <w:t>Fisheries Management and Ecology</w:t>
      </w:r>
      <w:r w:rsidRPr="007746C5">
        <w:t xml:space="preserve">, </w:t>
      </w:r>
      <w:r w:rsidRPr="007746C5">
        <w:rPr>
          <w:i/>
          <w:iCs/>
        </w:rPr>
        <w:t>23</w:t>
      </w:r>
      <w:r w:rsidRPr="007746C5">
        <w:t>(1), 1–11. https://doi.org/10.1111/fme.12074</w:t>
      </w:r>
    </w:p>
    <w:p w14:paraId="66199D48" w14:textId="77777777" w:rsidR="007746C5" w:rsidRPr="007746C5" w:rsidRDefault="007746C5" w:rsidP="009A04E6">
      <w:pPr>
        <w:pStyle w:val="Bibliography"/>
        <w:spacing w:line="240" w:lineRule="auto"/>
      </w:pPr>
      <w:r w:rsidRPr="007746C5">
        <w:t xml:space="preserve">Copp, G. H., Templeton, M., &amp; Gozlan, R. E. (2007). Propagule pressure and the invasion risks of non-native freshwater fishes: A case study in England. </w:t>
      </w:r>
      <w:r w:rsidRPr="007746C5">
        <w:rPr>
          <w:i/>
          <w:iCs/>
        </w:rPr>
        <w:t>Journal of Fish Biology</w:t>
      </w:r>
      <w:r w:rsidRPr="007746C5">
        <w:t xml:space="preserve">, </w:t>
      </w:r>
      <w:r w:rsidRPr="007746C5">
        <w:rPr>
          <w:i/>
          <w:iCs/>
        </w:rPr>
        <w:t>71</w:t>
      </w:r>
      <w:r w:rsidRPr="007746C5">
        <w:t>(sd), 148–159. https://doi.org/10.1111/j.1095-8649.2007.01680.x</w:t>
      </w:r>
    </w:p>
    <w:p w14:paraId="7FB3BCCD" w14:textId="77777777" w:rsidR="007746C5" w:rsidRPr="007746C5" w:rsidRDefault="007746C5" w:rsidP="009A04E6">
      <w:pPr>
        <w:pStyle w:val="Bibliography"/>
        <w:spacing w:line="240" w:lineRule="auto"/>
      </w:pPr>
      <w:r w:rsidRPr="007746C5">
        <w:t xml:space="preserve">Corn, M. L., &amp; Johnson, R. (2013). </w:t>
      </w:r>
      <w:r w:rsidRPr="007746C5">
        <w:rPr>
          <w:i/>
          <w:iCs/>
        </w:rPr>
        <w:t>Invasive Species: Major Laws and the Role of Selected Federal Agencies</w:t>
      </w:r>
      <w:r w:rsidRPr="007746C5">
        <w:t xml:space="preserve"> (p. 58). Congressional Research Service. https://digital.library.unt.edu/ark:/67531/metadc813137/m1/1/</w:t>
      </w:r>
    </w:p>
    <w:p w14:paraId="2D5F0906" w14:textId="77777777" w:rsidR="007746C5" w:rsidRPr="007746C5" w:rsidRDefault="007746C5" w:rsidP="009A04E6">
      <w:pPr>
        <w:pStyle w:val="Bibliography"/>
        <w:spacing w:line="240" w:lineRule="auto"/>
      </w:pPr>
      <w:r w:rsidRPr="007746C5">
        <w:t xml:space="preserve">Costello, C., Springborn, M., McAusland, C., &amp; Solow, A. (2007). Unintended biological invasions: Does risk vary by trading partner? </w:t>
      </w:r>
      <w:r w:rsidRPr="007746C5">
        <w:rPr>
          <w:i/>
          <w:iCs/>
        </w:rPr>
        <w:t>Journal of Environmental Economics and Management</w:t>
      </w:r>
      <w:r w:rsidRPr="007746C5">
        <w:t xml:space="preserve">, </w:t>
      </w:r>
      <w:r w:rsidRPr="007746C5">
        <w:rPr>
          <w:i/>
          <w:iCs/>
        </w:rPr>
        <w:t>54</w:t>
      </w:r>
      <w:r w:rsidRPr="007746C5">
        <w:t>(3), 262–276. https://doi.org/10.1016/j.jeem.2007.06.001</w:t>
      </w:r>
    </w:p>
    <w:p w14:paraId="31E9EB18" w14:textId="77777777" w:rsidR="007746C5" w:rsidRPr="007746C5" w:rsidRDefault="007746C5" w:rsidP="009A04E6">
      <w:pPr>
        <w:pStyle w:val="Bibliography"/>
        <w:spacing w:line="240" w:lineRule="auto"/>
      </w:pPr>
      <w:r w:rsidRPr="007746C5">
        <w:t xml:space="preserve">Council of Europe. (2021). </w:t>
      </w:r>
      <w:r w:rsidRPr="007746C5">
        <w:rPr>
          <w:i/>
          <w:iCs/>
        </w:rPr>
        <w:t>Group of experts on Invasive Alien Species (IAS)</w:t>
      </w:r>
      <w:r w:rsidRPr="007746C5">
        <w:t>. Convention on the Conservation of European Wildlife and Natural Habitats. https://www.coe.int/en/web/bern-convention/on-invasive-alien-species</w:t>
      </w:r>
    </w:p>
    <w:p w14:paraId="75ECCF3B" w14:textId="77777777" w:rsidR="007746C5" w:rsidRPr="007746C5" w:rsidRDefault="007746C5" w:rsidP="009A04E6">
      <w:pPr>
        <w:pStyle w:val="Bibliography"/>
        <w:spacing w:line="240" w:lineRule="auto"/>
      </w:pPr>
      <w:r w:rsidRPr="007746C5">
        <w:lastRenderedPageBreak/>
        <w:t xml:space="preserve">Courchamp, F., Fournier, A., Bellard, C., Bertelsmeier, C., Bonnaud, E., Jeschke, J. M., &amp; Russell, J. C. (2017). Invasion Biology: Specific Problems and Possible Solutions. </w:t>
      </w:r>
      <w:r w:rsidRPr="007746C5">
        <w:rPr>
          <w:i/>
          <w:iCs/>
        </w:rPr>
        <w:t>Trends in Ecology &amp; Evolution</w:t>
      </w:r>
      <w:r w:rsidRPr="007746C5">
        <w:t xml:space="preserve">, </w:t>
      </w:r>
      <w:r w:rsidRPr="007746C5">
        <w:rPr>
          <w:i/>
          <w:iCs/>
        </w:rPr>
        <w:t>32</w:t>
      </w:r>
      <w:r w:rsidRPr="007746C5">
        <w:t>(1), 13–22. https://doi.org/10.1016/j.tree.2016.11.001</w:t>
      </w:r>
    </w:p>
    <w:p w14:paraId="18D710A2" w14:textId="77777777" w:rsidR="007746C5" w:rsidRPr="007746C5" w:rsidRDefault="007746C5" w:rsidP="009A04E6">
      <w:pPr>
        <w:pStyle w:val="Bibliography"/>
        <w:spacing w:line="240" w:lineRule="auto"/>
      </w:pPr>
      <w:r w:rsidRPr="007746C5">
        <w:t xml:space="preserve">Courtois, P., Figuieres, C., Mulier, C., &amp; Weill, J. (2018). A Cost–Benefit Approach for Prioritizing Invasive Species. </w:t>
      </w:r>
      <w:r w:rsidRPr="007746C5">
        <w:rPr>
          <w:i/>
          <w:iCs/>
        </w:rPr>
        <w:t>Ecological Economics</w:t>
      </w:r>
      <w:r w:rsidRPr="007746C5">
        <w:t xml:space="preserve">, </w:t>
      </w:r>
      <w:r w:rsidRPr="007746C5">
        <w:rPr>
          <w:i/>
          <w:iCs/>
        </w:rPr>
        <w:t>146</w:t>
      </w:r>
      <w:r w:rsidRPr="007746C5">
        <w:t>, 607–620. https://doi.org/10.1016/j.ecolecon.2017.11.037</w:t>
      </w:r>
    </w:p>
    <w:p w14:paraId="0DA5D69E" w14:textId="77777777" w:rsidR="007746C5" w:rsidRPr="007746C5" w:rsidRDefault="007746C5" w:rsidP="009A04E6">
      <w:pPr>
        <w:pStyle w:val="Bibliography"/>
        <w:spacing w:line="240" w:lineRule="auto"/>
      </w:pPr>
      <w:r w:rsidRPr="007746C5">
        <w:t xml:space="preserve">Cowan, D. P., van der Waal, Z., Pidcock, S., Gomm, M., Stephens, N., Brash, M., White, P. C. L., Mair, L., &amp; Mill, A. C. (2020). Adaptive management of an iconic invasive goat </w:t>
      </w:r>
      <w:r w:rsidRPr="007746C5">
        <w:rPr>
          <w:i/>
          <w:iCs/>
        </w:rPr>
        <w:t>Capra hircus</w:t>
      </w:r>
      <w:r w:rsidRPr="007746C5">
        <w:t xml:space="preserve"> population. </w:t>
      </w:r>
      <w:r w:rsidRPr="007746C5">
        <w:rPr>
          <w:i/>
          <w:iCs/>
        </w:rPr>
        <w:t>Mammal Review</w:t>
      </w:r>
      <w:r w:rsidRPr="007746C5">
        <w:t xml:space="preserve">, </w:t>
      </w:r>
      <w:r w:rsidRPr="007746C5">
        <w:rPr>
          <w:i/>
          <w:iCs/>
        </w:rPr>
        <w:t>50</w:t>
      </w:r>
      <w:r w:rsidRPr="007746C5">
        <w:t>(2), 180–186. https://doi.org/10.1111/mam.12176</w:t>
      </w:r>
    </w:p>
    <w:p w14:paraId="2E2734FB" w14:textId="77777777" w:rsidR="007746C5" w:rsidRPr="007746C5" w:rsidRDefault="007746C5" w:rsidP="009A04E6">
      <w:pPr>
        <w:pStyle w:val="Bibliography"/>
        <w:spacing w:line="240" w:lineRule="auto"/>
      </w:pPr>
      <w:r w:rsidRPr="007746C5">
        <w:t xml:space="preserve">Cowled, B. D., Sergeant, E. S. G., Leslie, E. E. C., Crosbie, A., Burroughs, A., Kingston, O., Neill, M., Sawford, K., &amp; van Andel, M. (2022). Use of scenario tree modelling to plan freedom from infection surveillance: </w:t>
      </w:r>
      <w:r w:rsidRPr="007746C5">
        <w:rPr>
          <w:i/>
          <w:iCs/>
        </w:rPr>
        <w:t>Mycoplasma bovis</w:t>
      </w:r>
      <w:r w:rsidRPr="007746C5">
        <w:t xml:space="preserve"> in New Zealand. </w:t>
      </w:r>
      <w:r w:rsidRPr="007746C5">
        <w:rPr>
          <w:i/>
          <w:iCs/>
        </w:rPr>
        <w:t>Preventive Veterinary Medicine</w:t>
      </w:r>
      <w:r w:rsidRPr="007746C5">
        <w:t xml:space="preserve">, </w:t>
      </w:r>
      <w:r w:rsidRPr="007746C5">
        <w:rPr>
          <w:i/>
          <w:iCs/>
        </w:rPr>
        <w:t>198</w:t>
      </w:r>
      <w:r w:rsidRPr="007746C5">
        <w:t>, 105523. https://doi.org/10.1016/j.prevetmed.2021.105523</w:t>
      </w:r>
    </w:p>
    <w:p w14:paraId="312842E6" w14:textId="77777777" w:rsidR="007746C5" w:rsidRPr="007746C5" w:rsidRDefault="007746C5" w:rsidP="009A04E6">
      <w:pPr>
        <w:pStyle w:val="Bibliography"/>
        <w:spacing w:line="240" w:lineRule="auto"/>
      </w:pPr>
      <w:r w:rsidRPr="007746C5">
        <w:t xml:space="preserve">Cox, T., Strive, T., Mutze, G., West, P., &amp; Saunders, G. (2013). </w:t>
      </w:r>
      <w:r w:rsidRPr="007746C5">
        <w:rPr>
          <w:i/>
          <w:iCs/>
        </w:rPr>
        <w:t>Benefits of Rabbit biocontrol in Australia</w:t>
      </w:r>
      <w:r w:rsidRPr="007746C5">
        <w:t>. Invasive Animals Cooperative Research Centre. https://www.pestsmart.org.au/wp-content/uploads/2014/03/RabbitBiocontrol.pdf</w:t>
      </w:r>
    </w:p>
    <w:p w14:paraId="709B307E" w14:textId="77777777" w:rsidR="007746C5" w:rsidRPr="007746C5" w:rsidRDefault="007746C5" w:rsidP="009A04E6">
      <w:pPr>
        <w:pStyle w:val="Bibliography"/>
        <w:spacing w:line="240" w:lineRule="auto"/>
      </w:pPr>
      <w:r w:rsidRPr="007746C5">
        <w:t xml:space="preserve">Crall, A. W., Newman, G. J., Stohlgren, T. J., Holfelder, K. A., Graham, J., &amp; Waller, D. M. (2011). Assessing citizen science data quality: An invasive species case study. </w:t>
      </w:r>
      <w:r w:rsidRPr="007746C5">
        <w:rPr>
          <w:i/>
          <w:iCs/>
        </w:rPr>
        <w:t>Conservation Letters</w:t>
      </w:r>
      <w:r w:rsidRPr="007746C5">
        <w:t xml:space="preserve">, </w:t>
      </w:r>
      <w:r w:rsidRPr="007746C5">
        <w:rPr>
          <w:i/>
          <w:iCs/>
        </w:rPr>
        <w:t>4</w:t>
      </w:r>
      <w:r w:rsidRPr="007746C5">
        <w:t>(6), 433–442. https://doi.org/10.1111/j.1755-263X.2011.00196.x</w:t>
      </w:r>
    </w:p>
    <w:p w14:paraId="0CA041CB" w14:textId="77777777" w:rsidR="007746C5" w:rsidRPr="007746C5" w:rsidRDefault="007746C5" w:rsidP="009A04E6">
      <w:pPr>
        <w:pStyle w:val="Bibliography"/>
        <w:spacing w:line="240" w:lineRule="auto"/>
      </w:pPr>
      <w:r w:rsidRPr="007746C5">
        <w:t xml:space="preserve">Cranmer, C., Scott, A., Thongsavath, O., &amp; Xeuasing, K. (2018). </w:t>
      </w:r>
      <w:r w:rsidRPr="007746C5">
        <w:rPr>
          <w:i/>
          <w:iCs/>
        </w:rPr>
        <w:t>Final report: Climate Change Vulnerability Assessment, Beung Kiat Ngong Ramsar Site, Lao PDR.</w:t>
      </w:r>
      <w:r w:rsidRPr="007746C5">
        <w:t xml:space="preserve"> (p. 77). International Union for Conservation of Nature. https://www.iucn.org/sites/default/files/content/documents/2019/climate_change_vulnerability_assessment_beung_kiat_ngong_ramsar_site_lao_pdr.pdf</w:t>
      </w:r>
    </w:p>
    <w:p w14:paraId="7B08D180" w14:textId="77777777" w:rsidR="007746C5" w:rsidRPr="007746C5" w:rsidRDefault="007746C5" w:rsidP="009A04E6">
      <w:pPr>
        <w:pStyle w:val="Bibliography"/>
        <w:spacing w:line="240" w:lineRule="auto"/>
      </w:pPr>
      <w:r w:rsidRPr="007746C5">
        <w:t>Creed, J. C., Casares, F. A., Oigman-Pszczol, S. S., &amp; Masi, B. P. (2021). Multi-site experiments demonstrate that control of invasive corals (</w:t>
      </w:r>
      <w:r w:rsidRPr="007746C5">
        <w:rPr>
          <w:i/>
          <w:iCs/>
        </w:rPr>
        <w:t>Tubastraea</w:t>
      </w:r>
      <w:r w:rsidRPr="007746C5">
        <w:t xml:space="preserve"> spp.) by manual removal is effective. </w:t>
      </w:r>
      <w:r w:rsidRPr="007746C5">
        <w:rPr>
          <w:i/>
          <w:iCs/>
        </w:rPr>
        <w:t>Ocean &amp; Coastal Management</w:t>
      </w:r>
      <w:r w:rsidRPr="007746C5">
        <w:t xml:space="preserve">, </w:t>
      </w:r>
      <w:r w:rsidRPr="007746C5">
        <w:rPr>
          <w:i/>
          <w:iCs/>
        </w:rPr>
        <w:t>207</w:t>
      </w:r>
      <w:r w:rsidRPr="007746C5">
        <w:t>, 105616. https://doi.org/10.1016/j.ocecoaman.2021.105616</w:t>
      </w:r>
    </w:p>
    <w:p w14:paraId="1C5A03A7" w14:textId="77777777" w:rsidR="007746C5" w:rsidRPr="007746C5" w:rsidRDefault="007746C5" w:rsidP="009A04E6">
      <w:pPr>
        <w:pStyle w:val="Bibliography"/>
        <w:spacing w:line="240" w:lineRule="auto"/>
      </w:pPr>
      <w:r w:rsidRPr="007746C5">
        <w:t xml:space="preserve">Creed, J. C., Junqueira, A., Fleury, B. G., Mantelatto, M. C., &amp; Oigman-Pszczol, S. S. (2017). The Sun-Coral Project: The first social-environmental initiative to manage the biological invasion of </w:t>
      </w:r>
      <w:r w:rsidRPr="007746C5">
        <w:rPr>
          <w:i/>
          <w:iCs/>
        </w:rPr>
        <w:t>Tubastraea</w:t>
      </w:r>
      <w:r w:rsidRPr="007746C5">
        <w:t xml:space="preserve"> spp. in Brazil. </w:t>
      </w:r>
      <w:r w:rsidRPr="007746C5">
        <w:rPr>
          <w:i/>
          <w:iCs/>
        </w:rPr>
        <w:t>Management of Biological Invasions</w:t>
      </w:r>
      <w:r w:rsidRPr="007746C5">
        <w:t xml:space="preserve">, </w:t>
      </w:r>
      <w:r w:rsidRPr="007746C5">
        <w:rPr>
          <w:i/>
          <w:iCs/>
        </w:rPr>
        <w:t>8</w:t>
      </w:r>
      <w:r w:rsidRPr="007746C5">
        <w:t>(2), 181–195. https://doi.org/10.3391/mbi.2017.8.2.06</w:t>
      </w:r>
    </w:p>
    <w:p w14:paraId="444AE3BA" w14:textId="77777777" w:rsidR="007746C5" w:rsidRPr="007746C5" w:rsidRDefault="007746C5" w:rsidP="009A04E6">
      <w:pPr>
        <w:pStyle w:val="Bibliography"/>
        <w:spacing w:line="240" w:lineRule="auto"/>
      </w:pPr>
      <w:r w:rsidRPr="007746C5">
        <w:t xml:space="preserve">Crowley, S. L., Hinchliffe, S., &amp; McDonald, R. A. (2019). The parakeet protectors: Understanding opposition to introduced species management. </w:t>
      </w:r>
      <w:r w:rsidRPr="007746C5">
        <w:rPr>
          <w:i/>
          <w:iCs/>
        </w:rPr>
        <w:t>Journal of Environmental Management</w:t>
      </w:r>
      <w:r w:rsidRPr="007746C5">
        <w:t xml:space="preserve">, </w:t>
      </w:r>
      <w:r w:rsidRPr="007746C5">
        <w:rPr>
          <w:i/>
          <w:iCs/>
        </w:rPr>
        <w:t>229</w:t>
      </w:r>
      <w:r w:rsidRPr="007746C5">
        <w:t>, 120–132. https://doi.org/10.1016/j.jenvman.2017.11.036</w:t>
      </w:r>
    </w:p>
    <w:p w14:paraId="080F2A0B" w14:textId="77777777" w:rsidR="007746C5" w:rsidRPr="007746C5" w:rsidRDefault="007746C5" w:rsidP="009A04E6">
      <w:pPr>
        <w:pStyle w:val="Bibliography"/>
        <w:spacing w:line="240" w:lineRule="auto"/>
      </w:pPr>
      <w:r w:rsidRPr="007746C5">
        <w:t xml:space="preserve">Cruz, F., Carrion, V., Campbell, K. J., Lavoie, C., &amp; Donlan, C. J. (2009). Bio-Economics of Large-Scale Eradication of Feral Goats From Santiago Island, Galápagos. </w:t>
      </w:r>
      <w:r w:rsidRPr="007746C5">
        <w:rPr>
          <w:i/>
          <w:iCs/>
        </w:rPr>
        <w:t>Journal of Wildlife Management</w:t>
      </w:r>
      <w:r w:rsidRPr="007746C5">
        <w:t xml:space="preserve">, </w:t>
      </w:r>
      <w:r w:rsidRPr="007746C5">
        <w:rPr>
          <w:i/>
          <w:iCs/>
        </w:rPr>
        <w:t>73</w:t>
      </w:r>
      <w:r w:rsidRPr="007746C5">
        <w:t>(2), 191–200. https://doi.org/10.2193/2007-551</w:t>
      </w:r>
    </w:p>
    <w:p w14:paraId="48CCA8CF" w14:textId="77777777" w:rsidR="007746C5" w:rsidRPr="007746C5" w:rsidRDefault="007746C5" w:rsidP="009A04E6">
      <w:pPr>
        <w:pStyle w:val="Bibliography"/>
        <w:spacing w:line="240" w:lineRule="auto"/>
      </w:pPr>
      <w:r w:rsidRPr="007746C5">
        <w:t xml:space="preserve">CSIRO. (2020). </w:t>
      </w:r>
      <w:r w:rsidRPr="007746C5">
        <w:rPr>
          <w:i/>
          <w:iCs/>
        </w:rPr>
        <w:t>Australia’s Biosecurity Future. Unlocking the next decade of resilience (2020–2030)</w:t>
      </w:r>
      <w:r w:rsidRPr="007746C5">
        <w:t xml:space="preserve"> (p. 48). Commonwealth Scientific and Industrial Research Organisation. https://www.csiro.au/-/media/Do-Business/Files/Futures/Biosecurity/20-00277_SER-FUT_REPORT_BiosecurityFutures_WEB_201028.pdf</w:t>
      </w:r>
    </w:p>
    <w:p w14:paraId="6E74EB9B" w14:textId="77777777" w:rsidR="007746C5" w:rsidRPr="007746C5" w:rsidRDefault="007746C5" w:rsidP="009A04E6">
      <w:pPr>
        <w:pStyle w:val="Bibliography"/>
        <w:spacing w:line="240" w:lineRule="auto"/>
      </w:pPr>
      <w:r w:rsidRPr="007746C5">
        <w:t xml:space="preserve">Csiszár, Á., &amp; Korda, M. (Eds.). (2015). </w:t>
      </w:r>
      <w:r w:rsidRPr="007746C5">
        <w:rPr>
          <w:i/>
          <w:iCs/>
        </w:rPr>
        <w:t>Practical experiences in invasive alien plant control</w:t>
      </w:r>
      <w:r w:rsidRPr="007746C5">
        <w:t xml:space="preserve"> (Vol. 3). Budapest: Duna–Ipoly National Park Directorate. https://www.dunaipoly.hu/uploads/2016-02/20160202200313-rosalia-handbook-ver2-6xtoafsq.pdf</w:t>
      </w:r>
    </w:p>
    <w:p w14:paraId="167F946B" w14:textId="77777777" w:rsidR="007746C5" w:rsidRPr="007746C5" w:rsidRDefault="007746C5" w:rsidP="009A04E6">
      <w:pPr>
        <w:pStyle w:val="Bibliography"/>
        <w:spacing w:line="240" w:lineRule="auto"/>
      </w:pPr>
      <w:r w:rsidRPr="007746C5">
        <w:t xml:space="preserve">Cuan, K., Zhang, T., Huang, J., Fang, C., &amp; Guan, Y. (2020). Detection of avian influenza-infected chickens based on a chicken sound convolutional neural network. </w:t>
      </w:r>
      <w:r w:rsidRPr="007746C5">
        <w:rPr>
          <w:i/>
          <w:iCs/>
        </w:rPr>
        <w:t>Computers and Electronics in Agriculture</w:t>
      </w:r>
      <w:r w:rsidRPr="007746C5">
        <w:t xml:space="preserve">, </w:t>
      </w:r>
      <w:r w:rsidRPr="007746C5">
        <w:rPr>
          <w:i/>
          <w:iCs/>
        </w:rPr>
        <w:t>178</w:t>
      </w:r>
      <w:r w:rsidRPr="007746C5">
        <w:t>, 105688. https://doi.org/10.1016/j.compag.2020.105688</w:t>
      </w:r>
    </w:p>
    <w:p w14:paraId="376D9122" w14:textId="77777777" w:rsidR="007746C5" w:rsidRPr="007746C5" w:rsidRDefault="007746C5" w:rsidP="009A04E6">
      <w:pPr>
        <w:pStyle w:val="Bibliography"/>
        <w:spacing w:line="240" w:lineRule="auto"/>
      </w:pPr>
      <w:r w:rsidRPr="007746C5">
        <w:t xml:space="preserve">Cui, S., Ling, P., Zhu, H., &amp; Keener, H. M. (2018). Plant Pest Detection Using an Artificial Nose System: A Review. </w:t>
      </w:r>
      <w:r w:rsidRPr="007746C5">
        <w:rPr>
          <w:i/>
          <w:iCs/>
        </w:rPr>
        <w:t>Sensors</w:t>
      </w:r>
      <w:r w:rsidRPr="007746C5">
        <w:t xml:space="preserve">, </w:t>
      </w:r>
      <w:r w:rsidRPr="007746C5">
        <w:rPr>
          <w:i/>
          <w:iCs/>
        </w:rPr>
        <w:t>18</w:t>
      </w:r>
      <w:r w:rsidRPr="007746C5">
        <w:t>(2), 378. https://doi.org/10.3390/s18020378</w:t>
      </w:r>
    </w:p>
    <w:p w14:paraId="01658B0A" w14:textId="77777777" w:rsidR="007746C5" w:rsidRPr="007746C5" w:rsidRDefault="007746C5" w:rsidP="009A04E6">
      <w:pPr>
        <w:pStyle w:val="Bibliography"/>
        <w:spacing w:line="240" w:lineRule="auto"/>
      </w:pPr>
      <w:r w:rsidRPr="007746C5">
        <w:lastRenderedPageBreak/>
        <w:t xml:space="preserve">Dafforn, K. (2017). Eco-engineering and management strategies for marine infrastructure to reduce establishment and dispersal of non-indigenous species. </w:t>
      </w:r>
      <w:r w:rsidRPr="007746C5">
        <w:rPr>
          <w:i/>
          <w:iCs/>
        </w:rPr>
        <w:t>Management of Biological Invasions</w:t>
      </w:r>
      <w:r w:rsidRPr="007746C5">
        <w:t xml:space="preserve">, </w:t>
      </w:r>
      <w:r w:rsidRPr="007746C5">
        <w:rPr>
          <w:i/>
          <w:iCs/>
        </w:rPr>
        <w:t>8</w:t>
      </w:r>
      <w:r w:rsidRPr="007746C5">
        <w:t>(2), 153–161. https://doi.org/10.3391/mbi.2017.8.2.03</w:t>
      </w:r>
    </w:p>
    <w:p w14:paraId="2F93AF43" w14:textId="77777777" w:rsidR="007746C5" w:rsidRPr="007746C5" w:rsidRDefault="007746C5" w:rsidP="009A04E6">
      <w:pPr>
        <w:pStyle w:val="Bibliography"/>
        <w:spacing w:line="240" w:lineRule="auto"/>
      </w:pPr>
      <w:r w:rsidRPr="007746C5">
        <w:t xml:space="preserve">Daigneault, A. J., &amp; Brown, P. (2013). Invasive species management in the Pacific using survey data and benefit-cost analysis. </w:t>
      </w:r>
      <w:r w:rsidRPr="007746C5">
        <w:rPr>
          <w:i/>
          <w:iCs/>
        </w:rPr>
        <w:t>57th Australian Agricultural &amp; Resource Economics Society Annual Conference</w:t>
      </w:r>
      <w:r w:rsidRPr="007746C5">
        <w:t>. https://doi.org/10.22004/AG.ECON.152140</w:t>
      </w:r>
    </w:p>
    <w:p w14:paraId="4FB772C2" w14:textId="77777777" w:rsidR="007746C5" w:rsidRPr="007746C5" w:rsidRDefault="007746C5" w:rsidP="009A04E6">
      <w:pPr>
        <w:pStyle w:val="Bibliography"/>
        <w:spacing w:line="240" w:lineRule="auto"/>
      </w:pPr>
      <w:r w:rsidRPr="007746C5">
        <w:t xml:space="preserve">Dana, E. D., García-de-Lomas, J., Verloove, F., &amp; Vilà, M. (2019). Common deficiencies of actions for managing invasive alien species: A decision-support checklist. </w:t>
      </w:r>
      <w:r w:rsidRPr="007746C5">
        <w:rPr>
          <w:i/>
          <w:iCs/>
        </w:rPr>
        <w:t>NeoBiota</w:t>
      </w:r>
      <w:r w:rsidRPr="007746C5">
        <w:t xml:space="preserve">, </w:t>
      </w:r>
      <w:r w:rsidRPr="007746C5">
        <w:rPr>
          <w:i/>
          <w:iCs/>
        </w:rPr>
        <w:t>48</w:t>
      </w:r>
      <w:r w:rsidRPr="007746C5">
        <w:t>, 97–112. https://doi.org/10.3897/neobiota.48.35118</w:t>
      </w:r>
    </w:p>
    <w:p w14:paraId="4BBA6484" w14:textId="77777777" w:rsidR="007746C5" w:rsidRPr="007746C5" w:rsidRDefault="007746C5" w:rsidP="009A04E6">
      <w:pPr>
        <w:pStyle w:val="Bibliography"/>
        <w:spacing w:line="240" w:lineRule="auto"/>
      </w:pPr>
      <w:r w:rsidRPr="007746C5">
        <w:t xml:space="preserve">D’Antonio, C. M., August-Schmidt, E., &amp; Fernandez-Going, B. (2016). Invasive Species and Restoration Challenges. In M. A. Palmer, J. B. Zedler, &amp; D. A. Falk (Eds.), </w:t>
      </w:r>
      <w:r w:rsidRPr="007746C5">
        <w:rPr>
          <w:i/>
          <w:iCs/>
        </w:rPr>
        <w:t>Foundations of Restoration Ecology</w:t>
      </w:r>
      <w:r w:rsidRPr="007746C5">
        <w:t xml:space="preserve"> (pp. 216–244). Island Press/Center for Resource Economics. https://doi.org/10.5822/978-1-61091-698-1_8</w:t>
      </w:r>
    </w:p>
    <w:p w14:paraId="48AEEAA1" w14:textId="77777777" w:rsidR="007746C5" w:rsidRPr="007746C5" w:rsidRDefault="007746C5" w:rsidP="009A04E6">
      <w:pPr>
        <w:pStyle w:val="Bibliography"/>
        <w:spacing w:line="240" w:lineRule="auto"/>
      </w:pPr>
      <w:r w:rsidRPr="007746C5">
        <w:t xml:space="preserve">D’Antonio, C. M., &amp; Meyerson, L. A. (2002). Exotic plant species as problems and solutions in ecological restoration: A synthesis. </w:t>
      </w:r>
      <w:r w:rsidRPr="007746C5">
        <w:rPr>
          <w:i/>
          <w:iCs/>
        </w:rPr>
        <w:t>Restoration Ecology</w:t>
      </w:r>
      <w:r w:rsidRPr="007746C5">
        <w:t xml:space="preserve">, </w:t>
      </w:r>
      <w:r w:rsidRPr="007746C5">
        <w:rPr>
          <w:i/>
          <w:iCs/>
        </w:rPr>
        <w:t>10</w:t>
      </w:r>
      <w:r w:rsidRPr="007746C5">
        <w:t>(4), 703–713. https://doi.org/10.1046/j.1526-100X.2002.01051.x</w:t>
      </w:r>
    </w:p>
    <w:p w14:paraId="796BF1AF" w14:textId="77777777" w:rsidR="007746C5" w:rsidRPr="007746C5" w:rsidRDefault="007746C5" w:rsidP="009A04E6">
      <w:pPr>
        <w:pStyle w:val="Bibliography"/>
        <w:spacing w:line="240" w:lineRule="auto"/>
      </w:pPr>
      <w:r w:rsidRPr="007746C5">
        <w:t xml:space="preserve">Das, P. R., &amp; Sherif, S. M. (2020). Application of Exogenous dsRNAs-induced RNAi in Agriculture: Challenges and Triumphs. </w:t>
      </w:r>
      <w:r w:rsidRPr="007746C5">
        <w:rPr>
          <w:i/>
          <w:iCs/>
        </w:rPr>
        <w:t>Frontiers in Plant Science</w:t>
      </w:r>
      <w:r w:rsidRPr="007746C5">
        <w:t xml:space="preserve">, </w:t>
      </w:r>
      <w:r w:rsidRPr="007746C5">
        <w:rPr>
          <w:i/>
          <w:iCs/>
        </w:rPr>
        <w:t>11</w:t>
      </w:r>
      <w:r w:rsidRPr="007746C5">
        <w:t>, 946. https://doi.org/10.3389/fpls.2020.00946</w:t>
      </w:r>
    </w:p>
    <w:p w14:paraId="3D23C68D" w14:textId="77777777" w:rsidR="007746C5" w:rsidRPr="007746C5" w:rsidRDefault="007746C5" w:rsidP="009A04E6">
      <w:pPr>
        <w:pStyle w:val="Bibliography"/>
        <w:spacing w:line="240" w:lineRule="auto"/>
      </w:pPr>
      <w:r w:rsidRPr="007746C5">
        <w:t xml:space="preserve">Dash, J. P., Watt, M. S., Paul, T. S. H., Morgenroth, J., &amp; Pearse, G. D. (2019). Early Detection of Invasive Exotic Trees Using UAV and Manned Aircraft Multispectral and LiDAR Data. </w:t>
      </w:r>
      <w:r w:rsidRPr="007746C5">
        <w:rPr>
          <w:i/>
          <w:iCs/>
        </w:rPr>
        <w:t>Remote Sensing</w:t>
      </w:r>
      <w:r w:rsidRPr="007746C5">
        <w:t xml:space="preserve">, </w:t>
      </w:r>
      <w:r w:rsidRPr="007746C5">
        <w:rPr>
          <w:i/>
          <w:iCs/>
        </w:rPr>
        <w:t>11</w:t>
      </w:r>
      <w:r w:rsidRPr="007746C5">
        <w:t>(15), 1812. https://doi.org/10.3390/rs11151812</w:t>
      </w:r>
    </w:p>
    <w:p w14:paraId="2084F25B" w14:textId="77777777" w:rsidR="007746C5" w:rsidRPr="007746C5" w:rsidRDefault="007746C5" w:rsidP="009A04E6">
      <w:pPr>
        <w:pStyle w:val="Bibliography"/>
        <w:spacing w:line="240" w:lineRule="auto"/>
      </w:pPr>
      <w:r w:rsidRPr="007746C5">
        <w:t xml:space="preserve">Dassonville, N., Vanderhoeven, S., Vanparys, V., Hayez, M., Gruber, W., &amp; Meerts, P. (2008). Impacts of alien invasive plants on soil nutrients are correlated with initial site conditions in NW Europe. </w:t>
      </w:r>
      <w:r w:rsidRPr="007746C5">
        <w:rPr>
          <w:i/>
          <w:iCs/>
        </w:rPr>
        <w:t>Oecologia</w:t>
      </w:r>
      <w:r w:rsidRPr="007746C5">
        <w:t xml:space="preserve">, </w:t>
      </w:r>
      <w:r w:rsidRPr="007746C5">
        <w:rPr>
          <w:i/>
          <w:iCs/>
        </w:rPr>
        <w:t>157</w:t>
      </w:r>
      <w:r w:rsidRPr="007746C5">
        <w:t>(1), 131–140. https://doi.org/10.1007/s00442-008-1054-6</w:t>
      </w:r>
    </w:p>
    <w:p w14:paraId="27524C73" w14:textId="77777777" w:rsidR="007746C5" w:rsidRPr="007746C5" w:rsidRDefault="007746C5" w:rsidP="009A04E6">
      <w:pPr>
        <w:pStyle w:val="Bibliography"/>
        <w:spacing w:line="240" w:lineRule="auto"/>
      </w:pPr>
      <w:r w:rsidRPr="007746C5">
        <w:t xml:space="preserve">Datta, A., Schweiger, O., &amp; Kühn, I. (2020). Origin of climatic data can determine the transferability of species distribution models. </w:t>
      </w:r>
      <w:r w:rsidRPr="007746C5">
        <w:rPr>
          <w:i/>
          <w:iCs/>
        </w:rPr>
        <w:t>NeoBiota</w:t>
      </w:r>
      <w:r w:rsidRPr="007746C5">
        <w:t xml:space="preserve">, </w:t>
      </w:r>
      <w:r w:rsidRPr="007746C5">
        <w:rPr>
          <w:i/>
          <w:iCs/>
        </w:rPr>
        <w:t>59</w:t>
      </w:r>
      <w:r w:rsidRPr="007746C5">
        <w:t>, 61–76. https://doi.org/10.3897/neobiota.59.36299</w:t>
      </w:r>
    </w:p>
    <w:p w14:paraId="1B4BA4E2" w14:textId="77777777" w:rsidR="007746C5" w:rsidRPr="007746C5" w:rsidRDefault="007746C5" w:rsidP="009A04E6">
      <w:pPr>
        <w:pStyle w:val="Bibliography"/>
        <w:spacing w:line="240" w:lineRule="auto"/>
      </w:pPr>
      <w:r w:rsidRPr="007746C5">
        <w:t xml:space="preserve">Davies, S. J., Jordaan, M. S., Karsten, M., Terblanche, J. S., Turner, A. A., van Wilgen, N. J., Veldtman, R., Zengeya, T. A., &amp; Measey, J. (2020). Experience and Lessons from Alien and Invasive Animal Control Projects in South Africa. In B. W. van Wilgen, J. Measey, D. M. Richardson, J. R. Wilson, &amp; T. A. Zengeya (Eds.), </w:t>
      </w:r>
      <w:r w:rsidRPr="007746C5">
        <w:rPr>
          <w:i/>
          <w:iCs/>
        </w:rPr>
        <w:t>Biological Invasions in South Africa</w:t>
      </w:r>
      <w:r w:rsidRPr="007746C5">
        <w:t xml:space="preserve"> (pp. 629–663). Springer International Publishing. https://doi.org/10.1007/978-3-030-32394-3_22</w:t>
      </w:r>
    </w:p>
    <w:p w14:paraId="4001220E" w14:textId="77777777" w:rsidR="007746C5" w:rsidRPr="007746C5" w:rsidRDefault="007746C5" w:rsidP="009A04E6">
      <w:pPr>
        <w:pStyle w:val="Bibliography"/>
        <w:spacing w:line="240" w:lineRule="auto"/>
      </w:pPr>
      <w:r w:rsidRPr="007746C5">
        <w:t xml:space="preserve">Dawei, W., Limiao, D., Jiangong, N., Jiyue, G., Hongfei, Z., &amp; Zhongzhi, H. (2019). Recognition pest by image-based transfer learning. </w:t>
      </w:r>
      <w:r w:rsidRPr="007746C5">
        <w:rPr>
          <w:i/>
          <w:iCs/>
        </w:rPr>
        <w:t>Journal of the Science of Food and Agriculture</w:t>
      </w:r>
      <w:r w:rsidRPr="007746C5">
        <w:t xml:space="preserve">, </w:t>
      </w:r>
      <w:r w:rsidRPr="007746C5">
        <w:rPr>
          <w:i/>
          <w:iCs/>
        </w:rPr>
        <w:t>99</w:t>
      </w:r>
      <w:r w:rsidRPr="007746C5">
        <w:t>(10), 4524–4531. https://doi.org/10.1002/jsfa.9689</w:t>
      </w:r>
    </w:p>
    <w:p w14:paraId="06845685" w14:textId="77777777" w:rsidR="007746C5" w:rsidRPr="007746C5" w:rsidRDefault="007746C5" w:rsidP="009A04E6">
      <w:pPr>
        <w:pStyle w:val="Bibliography"/>
        <w:spacing w:line="240" w:lineRule="auto"/>
      </w:pPr>
      <w:r w:rsidRPr="007746C5">
        <w:rPr>
          <w:rFonts w:hint="eastAsia"/>
        </w:rPr>
        <w:t>Dawson, W., Peyton, J. M., Pescott, O. L., Adriaens, T., Cottier</w:t>
      </w:r>
      <w:r w:rsidRPr="007746C5">
        <w:rPr>
          <w:rFonts w:hint="eastAsia"/>
        </w:rPr>
        <w:t>‐</w:t>
      </w:r>
      <w:r w:rsidRPr="007746C5">
        <w:rPr>
          <w:rFonts w:hint="eastAsia"/>
        </w:rPr>
        <w:t xml:space="preserve">Cook, E. J., Frohlich, D. S., Key, G., Malumphy, C., Martinou, A. F., Minchin, D., Moore, N., Rabitsch, W., Rorke, S. L., Tricarico, E., Turvey, K. M. A., Winfield, I. J., Barnes, D. K. A., Baum, D., Bensusan, K., </w:t>
      </w:r>
      <w:r w:rsidRPr="007746C5">
        <w:rPr>
          <w:rFonts w:hint="eastAsia"/>
        </w:rPr>
        <w:t>…</w:t>
      </w:r>
      <w:r w:rsidRPr="007746C5">
        <w:rPr>
          <w:rFonts w:hint="eastAsia"/>
        </w:rPr>
        <w:t xml:space="preserve"> Roy, H. E. (2022). Horizon scanning for potential invasive non</w:t>
      </w:r>
      <w:r w:rsidRPr="007746C5">
        <w:rPr>
          <w:rFonts w:hint="eastAsia"/>
        </w:rPr>
        <w:t>‐</w:t>
      </w:r>
      <w:r w:rsidRPr="007746C5">
        <w:rPr>
          <w:rFonts w:hint="eastAsia"/>
        </w:rPr>
        <w:t xml:space="preserve">native species across the United Kingdom Overseas Territories. </w:t>
      </w:r>
      <w:r w:rsidRPr="007746C5">
        <w:rPr>
          <w:i/>
          <w:iCs/>
        </w:rPr>
        <w:t>Conservation Letters</w:t>
      </w:r>
      <w:r w:rsidRPr="007746C5">
        <w:t>. https://doi.org/10.1111/conl.12928</w:t>
      </w:r>
    </w:p>
    <w:p w14:paraId="1DF7E138" w14:textId="77777777" w:rsidR="007746C5" w:rsidRPr="007746C5" w:rsidRDefault="007746C5" w:rsidP="009A04E6">
      <w:pPr>
        <w:pStyle w:val="Bibliography"/>
        <w:spacing w:line="240" w:lineRule="auto"/>
      </w:pPr>
      <w:r w:rsidRPr="007746C5">
        <w:t xml:space="preserve">Day, M. D., Clements, D. R., Gile, C., Senaratne, W. K. A. D., Shen, S., Weston, L. A., &amp; Zhang, F. (2016). Biology and Impacts of Pacific Islands Invasive Species. 13. </w:t>
      </w:r>
      <w:r w:rsidRPr="007746C5">
        <w:rPr>
          <w:i/>
          <w:iCs/>
        </w:rPr>
        <w:t>Mikania micrantha</w:t>
      </w:r>
      <w:r w:rsidRPr="007746C5">
        <w:t xml:space="preserve"> Kunth (Asteraceae). </w:t>
      </w:r>
      <w:r w:rsidRPr="007746C5">
        <w:rPr>
          <w:i/>
          <w:iCs/>
        </w:rPr>
        <w:t>Pacific Science</w:t>
      </w:r>
      <w:r w:rsidRPr="007746C5">
        <w:t xml:space="preserve">, </w:t>
      </w:r>
      <w:r w:rsidRPr="007746C5">
        <w:rPr>
          <w:i/>
          <w:iCs/>
        </w:rPr>
        <w:t>70</w:t>
      </w:r>
      <w:r w:rsidRPr="007746C5">
        <w:t>(3), 257–285. https://doi.org/10.2984/70.3.1</w:t>
      </w:r>
    </w:p>
    <w:p w14:paraId="4987DDF6" w14:textId="77777777" w:rsidR="007746C5" w:rsidRPr="007746C5" w:rsidRDefault="007746C5" w:rsidP="009A04E6">
      <w:pPr>
        <w:pStyle w:val="Bibliography"/>
        <w:spacing w:line="240" w:lineRule="auto"/>
      </w:pPr>
      <w:r w:rsidRPr="007746C5">
        <w:t xml:space="preserve">Day, M. D., Kawi, A. P., Fidelis, J., Tunabuna, A., Orapa, W., Swamy, B., Ratutini, J., Saul-Maora, J., &amp; Dewhurst, C. F. (2011). Biology, Field Release and Monitoring of the Rust Fungus </w:t>
      </w:r>
      <w:r w:rsidRPr="007746C5">
        <w:rPr>
          <w:i/>
          <w:iCs/>
        </w:rPr>
        <w:t>Puccinia spegazzinii</w:t>
      </w:r>
      <w:r w:rsidRPr="007746C5">
        <w:t xml:space="preserve"> (Pucciniales: Pucciniaceae), a Biological Control Agent of </w:t>
      </w:r>
      <w:r w:rsidRPr="007746C5">
        <w:rPr>
          <w:i/>
          <w:iCs/>
        </w:rPr>
        <w:t>Mikania micrantha</w:t>
      </w:r>
      <w:r w:rsidRPr="007746C5">
        <w:t xml:space="preserve"> (Asteraceae) in Papua New Guinea and Fiji. </w:t>
      </w:r>
      <w:r w:rsidRPr="007746C5">
        <w:rPr>
          <w:i/>
          <w:iCs/>
        </w:rPr>
        <w:t>Proceedings of the XIII International Symposium on Biological Control of Weeds</w:t>
      </w:r>
      <w:r w:rsidRPr="007746C5">
        <w:t>, 211–217. http://bugwoodcloud.org/ibiocontrol/proceedings/pdf/Day.pdf</w:t>
      </w:r>
    </w:p>
    <w:p w14:paraId="7C5AFE2E" w14:textId="77777777" w:rsidR="007746C5" w:rsidRPr="007746C5" w:rsidRDefault="007746C5" w:rsidP="009A04E6">
      <w:pPr>
        <w:pStyle w:val="Bibliography"/>
        <w:spacing w:line="240" w:lineRule="auto"/>
      </w:pPr>
      <w:r w:rsidRPr="007746C5">
        <w:lastRenderedPageBreak/>
        <w:t xml:space="preserve">Day, M. D., Kawi, A., Tunabuna, A., Fidelis, J., Swamy, B., Ratutuni, J., Saul-Maora, J., Dewhurst, C. F., &amp; Orapa, W. (2011). The distribution and socio-economic impacts of </w:t>
      </w:r>
      <w:r w:rsidRPr="007746C5">
        <w:rPr>
          <w:i/>
          <w:iCs/>
        </w:rPr>
        <w:t>Mikania micrantha</w:t>
      </w:r>
      <w:r w:rsidRPr="007746C5">
        <w:t xml:space="preserve"> (Asteraceae) in Papua New Guinea and Fiji and prospects for its biocontrol. </w:t>
      </w:r>
      <w:r w:rsidRPr="007746C5">
        <w:rPr>
          <w:i/>
          <w:iCs/>
        </w:rPr>
        <w:t>Proceedings of the 23rd Asian-Pacific Weed Science Society Conference. Asian-Pacific Weed Science Society</w:t>
      </w:r>
      <w:r w:rsidRPr="007746C5">
        <w:t xml:space="preserve">, </w:t>
      </w:r>
      <w:r w:rsidRPr="007746C5">
        <w:rPr>
          <w:i/>
          <w:iCs/>
        </w:rPr>
        <w:t>1</w:t>
      </w:r>
      <w:r w:rsidRPr="007746C5">
        <w:t>, 146–153. https://researchoutput.csu.edu.au/files/9704340/29497_Weston_23rd%20APWSS%20Conference%20Proceedings%20Vol%201.pdf</w:t>
      </w:r>
    </w:p>
    <w:p w14:paraId="49D6266B" w14:textId="77777777" w:rsidR="007746C5" w:rsidRPr="007746C5" w:rsidRDefault="007746C5" w:rsidP="009A04E6">
      <w:pPr>
        <w:pStyle w:val="Bibliography"/>
        <w:spacing w:line="240" w:lineRule="auto"/>
      </w:pPr>
      <w:r w:rsidRPr="007746C5">
        <w:t xml:space="preserve">Day, M. D., &amp; Witt, A. B. (2019). Weed biological control: Challenges and opportunities. </w:t>
      </w:r>
      <w:r w:rsidRPr="007746C5">
        <w:rPr>
          <w:i/>
          <w:iCs/>
        </w:rPr>
        <w:t>Weeds-Journal of the Asian-Pacific Weed Science Society</w:t>
      </w:r>
      <w:r w:rsidRPr="007746C5">
        <w:t xml:space="preserve">, </w:t>
      </w:r>
      <w:r w:rsidRPr="007746C5">
        <w:rPr>
          <w:i/>
          <w:iCs/>
        </w:rPr>
        <w:t>1</w:t>
      </w:r>
      <w:r w:rsidRPr="007746C5">
        <w:t>(2), 34–44. https://library.sprep.org/sites/default/files/2021-05/weed-biological-challenges-opportunities.pdf</w:t>
      </w:r>
    </w:p>
    <w:p w14:paraId="378CAC84" w14:textId="77777777" w:rsidR="007746C5" w:rsidRPr="007746C5" w:rsidRDefault="007746C5" w:rsidP="009A04E6">
      <w:pPr>
        <w:pStyle w:val="Bibliography"/>
        <w:spacing w:line="240" w:lineRule="auto"/>
      </w:pPr>
      <w:r w:rsidRPr="007746C5">
        <w:t xml:space="preserve">Dayoub, F., Dunbabin, M., &amp; Corke, P. (2015). Robotic detection and tracking of Crown-of-Thorns starfish. </w:t>
      </w:r>
      <w:r w:rsidRPr="007746C5">
        <w:rPr>
          <w:i/>
          <w:iCs/>
        </w:rPr>
        <w:t>2015 IEEE/RSJ International Conference on Intelligent Robots and Systems (IROS)</w:t>
      </w:r>
      <w:r w:rsidRPr="007746C5">
        <w:t>, 1921–1928. https://doi.org/10.1109/IROS.2015.7353629</w:t>
      </w:r>
    </w:p>
    <w:p w14:paraId="2AC30F08" w14:textId="77777777" w:rsidR="007746C5" w:rsidRPr="007746C5" w:rsidRDefault="007746C5" w:rsidP="009A04E6">
      <w:pPr>
        <w:pStyle w:val="Bibliography"/>
        <w:spacing w:line="240" w:lineRule="auto"/>
      </w:pPr>
      <w:r w:rsidRPr="007746C5">
        <w:t xml:space="preserve">De Fine Licht, J. (2014). Transparency actually: How transparency affects public perceptions of political decision-making. </w:t>
      </w:r>
      <w:r w:rsidRPr="007746C5">
        <w:rPr>
          <w:i/>
          <w:iCs/>
        </w:rPr>
        <w:t>European Political Science Review</w:t>
      </w:r>
      <w:r w:rsidRPr="007746C5">
        <w:t xml:space="preserve">, </w:t>
      </w:r>
      <w:r w:rsidRPr="007746C5">
        <w:rPr>
          <w:i/>
          <w:iCs/>
        </w:rPr>
        <w:t>6</w:t>
      </w:r>
      <w:r w:rsidRPr="007746C5">
        <w:t>(2), 309–330. https://doi.org/10.1017/S1755773913000131</w:t>
      </w:r>
    </w:p>
    <w:p w14:paraId="18247FE6" w14:textId="77777777" w:rsidR="007746C5" w:rsidRPr="007746C5" w:rsidRDefault="007746C5" w:rsidP="009A04E6">
      <w:pPr>
        <w:pStyle w:val="Bibliography"/>
        <w:spacing w:line="240" w:lineRule="auto"/>
      </w:pPr>
      <w:r w:rsidRPr="007746C5">
        <w:t>de Oliveira Soares, M., Davis, M., &amp; de Macêdo Carneiro, P. B. (2018). Northward range expansion of the invasive coral (</w:t>
      </w:r>
      <w:r w:rsidRPr="007746C5">
        <w:rPr>
          <w:i/>
          <w:iCs/>
        </w:rPr>
        <w:t>Tubastraea tagusensis</w:t>
      </w:r>
      <w:r w:rsidRPr="007746C5">
        <w:t xml:space="preserve">) in the southwestern Atlantic. </w:t>
      </w:r>
      <w:r w:rsidRPr="007746C5">
        <w:rPr>
          <w:i/>
          <w:iCs/>
        </w:rPr>
        <w:t>Marine Biodiversity</w:t>
      </w:r>
      <w:r w:rsidRPr="007746C5">
        <w:t xml:space="preserve">, </w:t>
      </w:r>
      <w:r w:rsidRPr="007746C5">
        <w:rPr>
          <w:i/>
          <w:iCs/>
        </w:rPr>
        <w:t>48</w:t>
      </w:r>
      <w:r w:rsidRPr="007746C5">
        <w:t>(3), 1651–1654. https://doi.org/10.1007/s12526-016-0623-x</w:t>
      </w:r>
    </w:p>
    <w:p w14:paraId="4B4B53CD" w14:textId="77777777" w:rsidR="007746C5" w:rsidRPr="007746C5" w:rsidRDefault="007746C5" w:rsidP="009A04E6">
      <w:pPr>
        <w:pStyle w:val="Bibliography"/>
        <w:spacing w:line="240" w:lineRule="auto"/>
      </w:pPr>
      <w:r w:rsidRPr="007746C5">
        <w:t xml:space="preserve">De Poorter, M. (2007). </w:t>
      </w:r>
      <w:r w:rsidRPr="007746C5">
        <w:rPr>
          <w:i/>
          <w:iCs/>
        </w:rPr>
        <w:t>Invasive alien species and protected areas: A scoping report part 2</w:t>
      </w:r>
      <w:r w:rsidRPr="007746C5">
        <w:t>. The Global Invasive Species Programme.</w:t>
      </w:r>
    </w:p>
    <w:p w14:paraId="23DAB09F" w14:textId="77777777" w:rsidR="007746C5" w:rsidRPr="007746C5" w:rsidRDefault="007746C5" w:rsidP="009A04E6">
      <w:pPr>
        <w:pStyle w:val="Bibliography"/>
        <w:spacing w:line="240" w:lineRule="auto"/>
      </w:pPr>
      <w:r w:rsidRPr="007746C5">
        <w:t xml:space="preserve">Deak, B. P., Ostendorf, B., Taggart, D. A., Peacock, D. E., &amp; Bardsley, D. K. (2019). The Significance of Social Perceptions in Implementing Successful Feral Cat Management Strategies: A Global Review. </w:t>
      </w:r>
      <w:r w:rsidRPr="007746C5">
        <w:rPr>
          <w:i/>
          <w:iCs/>
        </w:rPr>
        <w:t>Animals</w:t>
      </w:r>
      <w:r w:rsidRPr="007746C5">
        <w:t xml:space="preserve">, </w:t>
      </w:r>
      <w:r w:rsidRPr="007746C5">
        <w:rPr>
          <w:i/>
          <w:iCs/>
        </w:rPr>
        <w:t>9</w:t>
      </w:r>
      <w:r w:rsidRPr="007746C5">
        <w:t>(9), 617. https://doi.org/10.3390/ani9090617</w:t>
      </w:r>
    </w:p>
    <w:p w14:paraId="17B692BD" w14:textId="77777777" w:rsidR="007746C5" w:rsidRPr="007746C5" w:rsidRDefault="007746C5" w:rsidP="009A04E6">
      <w:pPr>
        <w:pStyle w:val="Bibliography"/>
        <w:spacing w:line="240" w:lineRule="auto"/>
      </w:pPr>
      <w:r w:rsidRPr="007746C5">
        <w:t xml:space="preserve">Dechoum, M. de S., Giehl, E. L. H., Sühs, R. B., Silveira, T. C. L., &amp; Ziller, S. R. (2019). Citizen engagement in the management of non-native invasive pines: Does it make a difference? </w:t>
      </w:r>
      <w:r w:rsidRPr="007746C5">
        <w:rPr>
          <w:i/>
          <w:iCs/>
        </w:rPr>
        <w:t>Biological Invasions</w:t>
      </w:r>
      <w:r w:rsidRPr="007746C5">
        <w:t xml:space="preserve">, </w:t>
      </w:r>
      <w:r w:rsidRPr="007746C5">
        <w:rPr>
          <w:i/>
          <w:iCs/>
        </w:rPr>
        <w:t>21</w:t>
      </w:r>
      <w:r w:rsidRPr="007746C5">
        <w:t>(1), 175–188. https://doi.org/10.1007/s10530-018-1814-0</w:t>
      </w:r>
    </w:p>
    <w:p w14:paraId="5228215E" w14:textId="77777777" w:rsidR="007746C5" w:rsidRPr="007746C5" w:rsidRDefault="007746C5" w:rsidP="009A04E6">
      <w:pPr>
        <w:pStyle w:val="Bibliography"/>
        <w:spacing w:line="240" w:lineRule="auto"/>
      </w:pPr>
      <w:r w:rsidRPr="007746C5">
        <w:t xml:space="preserve">DEFRA. (2019). </w:t>
      </w:r>
      <w:r w:rsidRPr="007746C5">
        <w:rPr>
          <w:i/>
          <w:iCs/>
        </w:rPr>
        <w:t>Comprehensive analysis of pathways of unintentional introduction and spread of invasive alien species – report of the UK</w:t>
      </w:r>
      <w:r w:rsidRPr="007746C5">
        <w:t>. Department for Environment Food and Rural Affairs, London, UK. https://www.semanticscholar.org/paper/Comprehensive-analysis-of-pathways-of-unintentional/279756815617296a2f2a3161953525352b6aba40</w:t>
      </w:r>
    </w:p>
    <w:p w14:paraId="689502A4" w14:textId="77777777" w:rsidR="007746C5" w:rsidRPr="007746C5" w:rsidRDefault="007746C5" w:rsidP="009A04E6">
      <w:pPr>
        <w:pStyle w:val="Bibliography"/>
        <w:spacing w:line="240" w:lineRule="auto"/>
      </w:pPr>
      <w:r w:rsidRPr="007746C5">
        <w:t xml:space="preserve">del Rocio Amezcua, M., Pearl, D. L., Friendship, R. M., &amp; McNab, W. B. (2010). Evaluation of a veterinary-based syndromic surveillance system implemented for swine. </w:t>
      </w:r>
      <w:r w:rsidRPr="007746C5">
        <w:rPr>
          <w:i/>
          <w:iCs/>
        </w:rPr>
        <w:t>Canadian Journal of Veterinary Research = Revue Canadienne De Recherche Veterinaire</w:t>
      </w:r>
      <w:r w:rsidRPr="007746C5">
        <w:t xml:space="preserve">, </w:t>
      </w:r>
      <w:r w:rsidRPr="007746C5">
        <w:rPr>
          <w:i/>
          <w:iCs/>
        </w:rPr>
        <w:t>74</w:t>
      </w:r>
      <w:r w:rsidRPr="007746C5">
        <w:t>(4), 241–251. https://pubmed.ncbi.nlm.nih.gov/21197223/</w:t>
      </w:r>
    </w:p>
    <w:p w14:paraId="37933235" w14:textId="77777777" w:rsidR="007746C5" w:rsidRPr="007746C5" w:rsidRDefault="007746C5" w:rsidP="009A04E6">
      <w:pPr>
        <w:pStyle w:val="Bibliography"/>
        <w:spacing w:line="240" w:lineRule="auto"/>
      </w:pPr>
      <w:r w:rsidRPr="007746C5">
        <w:t xml:space="preserve">Delane, R. (2019). </w:t>
      </w:r>
      <w:r w:rsidRPr="007746C5">
        <w:rPr>
          <w:i/>
          <w:iCs/>
        </w:rPr>
        <w:t>Independent Assurance Review of New Zealand’s biosecurity international border defences for passenger and mail pathways</w:t>
      </w:r>
      <w:r w:rsidRPr="007746C5">
        <w:t xml:space="preserve"> (pp. 1–36). Ministry for Primary Industries. https://apo.org.au/sites/default/files/resource-files/2019-04/apo-nid233256.pdf</w:t>
      </w:r>
    </w:p>
    <w:p w14:paraId="24F9F2EC" w14:textId="77777777" w:rsidR="007746C5" w:rsidRPr="007746C5" w:rsidRDefault="007746C5" w:rsidP="009A04E6">
      <w:pPr>
        <w:pStyle w:val="Bibliography"/>
        <w:spacing w:line="240" w:lineRule="auto"/>
      </w:pPr>
      <w:r w:rsidRPr="007746C5">
        <w:t xml:space="preserve">Delaney, D. G., Sperling, C. D., Adams, C. S., &amp; Leung, B. (2008). Marine invasive species: Validation of citizen science and implications for national monitoring networks. </w:t>
      </w:r>
      <w:r w:rsidRPr="007746C5">
        <w:rPr>
          <w:i/>
          <w:iCs/>
        </w:rPr>
        <w:t>Biological Invasions</w:t>
      </w:r>
      <w:r w:rsidRPr="007746C5">
        <w:t xml:space="preserve">, </w:t>
      </w:r>
      <w:r w:rsidRPr="007746C5">
        <w:rPr>
          <w:i/>
          <w:iCs/>
        </w:rPr>
        <w:t>10</w:t>
      </w:r>
      <w:r w:rsidRPr="007746C5">
        <w:t>(1), 117–128. https://doi.org/10.1007/s10530-007-9114-0</w:t>
      </w:r>
    </w:p>
    <w:p w14:paraId="23E90F25" w14:textId="77777777" w:rsidR="007746C5" w:rsidRPr="007746C5" w:rsidRDefault="007746C5" w:rsidP="009A04E6">
      <w:pPr>
        <w:pStyle w:val="Bibliography"/>
        <w:spacing w:line="240" w:lineRule="auto"/>
      </w:pPr>
      <w:r w:rsidRPr="007746C5">
        <w:t xml:space="preserve">Demertzis, K., Iliadis, L., &amp; Anezakis, V.-D. (2017). A deep spiking machine-hearing system for the case of invasive fish species. </w:t>
      </w:r>
      <w:r w:rsidRPr="007746C5">
        <w:rPr>
          <w:i/>
          <w:iCs/>
        </w:rPr>
        <w:t>2017 IEEE International Conference on Innovations in Intelligent Systems and Applications (INISTA)</w:t>
      </w:r>
      <w:r w:rsidRPr="007746C5">
        <w:t>, 23–28. https://doi.org/10.1109/INISTA.2017.8001126</w:t>
      </w:r>
    </w:p>
    <w:p w14:paraId="3EF6B5E4" w14:textId="77777777" w:rsidR="007746C5" w:rsidRPr="007746C5" w:rsidRDefault="007746C5" w:rsidP="009A04E6">
      <w:pPr>
        <w:pStyle w:val="Bibliography"/>
        <w:spacing w:line="240" w:lineRule="auto"/>
      </w:pPr>
      <w:r w:rsidRPr="007746C5">
        <w:t xml:space="preserve">Demertzis, K., Iliadis, L. S., &amp; Anezakis, V.-D. (2018). Extreme deep learning in biosecurity: The case of machine hearing for marine species identification. </w:t>
      </w:r>
      <w:r w:rsidRPr="007746C5">
        <w:rPr>
          <w:i/>
          <w:iCs/>
        </w:rPr>
        <w:t>Journal of Information and Telecommunication</w:t>
      </w:r>
      <w:r w:rsidRPr="007746C5">
        <w:t xml:space="preserve">, </w:t>
      </w:r>
      <w:r w:rsidRPr="007746C5">
        <w:rPr>
          <w:i/>
          <w:iCs/>
        </w:rPr>
        <w:t>2</w:t>
      </w:r>
      <w:r w:rsidRPr="007746C5">
        <w:t>(4), 492–510. https://doi.org/10.1080/24751839.2018.1501542</w:t>
      </w:r>
    </w:p>
    <w:p w14:paraId="19ACAF31" w14:textId="77777777" w:rsidR="007746C5" w:rsidRPr="007746C5" w:rsidRDefault="007746C5" w:rsidP="009A04E6">
      <w:pPr>
        <w:pStyle w:val="Bibliography"/>
        <w:spacing w:line="240" w:lineRule="auto"/>
      </w:pPr>
      <w:r w:rsidRPr="007746C5">
        <w:t xml:space="preserve">Department of Primary Industries, New South Wales. (2017). </w:t>
      </w:r>
      <w:r w:rsidRPr="007746C5">
        <w:rPr>
          <w:i/>
          <w:iCs/>
        </w:rPr>
        <w:t>NSW Weed Risk Management system—Background information</w:t>
      </w:r>
      <w:r w:rsidRPr="007746C5">
        <w:t xml:space="preserve">. </w:t>
      </w:r>
      <w:r w:rsidRPr="007746C5">
        <w:lastRenderedPageBreak/>
        <w:t>https://www.dpi.nsw.gov.au/biosecurity/weeds/strategy/nsw-weed-risk-management-system/background-information</w:t>
      </w:r>
    </w:p>
    <w:p w14:paraId="10C9A998" w14:textId="77777777" w:rsidR="007746C5" w:rsidRPr="007746C5" w:rsidRDefault="007746C5" w:rsidP="009A04E6">
      <w:pPr>
        <w:pStyle w:val="Bibliography"/>
        <w:spacing w:line="240" w:lineRule="auto"/>
      </w:pPr>
      <w:r w:rsidRPr="007746C5">
        <w:t xml:space="preserve">Descamps, S., &amp; De Vocht, A. (2017). The sterile male release approach as a method to control invasive amphibian populations: A preliminary study on </w:t>
      </w:r>
      <w:r w:rsidRPr="007746C5">
        <w:rPr>
          <w:i/>
          <w:iCs/>
        </w:rPr>
        <w:t>Lithobates catesbeianus</w:t>
      </w:r>
      <w:r w:rsidRPr="007746C5">
        <w:t xml:space="preserve">. </w:t>
      </w:r>
      <w:r w:rsidRPr="007746C5">
        <w:rPr>
          <w:i/>
          <w:iCs/>
        </w:rPr>
        <w:t>Management of Biological Invasions</w:t>
      </w:r>
      <w:r w:rsidRPr="007746C5">
        <w:t xml:space="preserve">, </w:t>
      </w:r>
      <w:r w:rsidRPr="007746C5">
        <w:rPr>
          <w:i/>
          <w:iCs/>
        </w:rPr>
        <w:t>8</w:t>
      </w:r>
      <w:r w:rsidRPr="007746C5">
        <w:t>(3), 361–370. https://doi.org/10.3391/mbi.2017.8.3.09</w:t>
      </w:r>
    </w:p>
    <w:p w14:paraId="237BE7F0" w14:textId="77777777" w:rsidR="007746C5" w:rsidRPr="007746C5" w:rsidRDefault="007746C5" w:rsidP="009A04E6">
      <w:pPr>
        <w:pStyle w:val="Bibliography"/>
        <w:spacing w:line="240" w:lineRule="auto"/>
      </w:pPr>
      <w:r w:rsidRPr="007746C5">
        <w:t xml:space="preserve">Devitt, S. K., Perez, T., Polson, D., Pearce, T. R., Quagliata, R., Taylor, W., Thornby, D., &amp; Beekhuyzen, J. (2017). A cognitive decision tool to optimise integrated weed management. </w:t>
      </w:r>
      <w:r w:rsidRPr="007746C5">
        <w:rPr>
          <w:i/>
          <w:iCs/>
        </w:rPr>
        <w:t>Proceedings of the 7th Asian-Australasian Conference on Precision Agriculture</w:t>
      </w:r>
      <w:r w:rsidRPr="007746C5">
        <w:t>, 1–8. https://doi.org/10.5281/zenodo.895617</w:t>
      </w:r>
    </w:p>
    <w:p w14:paraId="637DB31C" w14:textId="77777777" w:rsidR="007746C5" w:rsidRPr="007746C5" w:rsidRDefault="007746C5" w:rsidP="009A04E6">
      <w:pPr>
        <w:pStyle w:val="Bibliography"/>
        <w:spacing w:line="240" w:lineRule="auto"/>
      </w:pPr>
      <w:r w:rsidRPr="007746C5">
        <w:t xml:space="preserve">Devorshak, C. (2012). </w:t>
      </w:r>
      <w:r w:rsidRPr="007746C5">
        <w:rPr>
          <w:i/>
          <w:iCs/>
        </w:rPr>
        <w:t>Plant Pest Risk Analysis: Concepts and Applications</w:t>
      </w:r>
      <w:r w:rsidRPr="007746C5">
        <w:t>. CABI.</w:t>
      </w:r>
    </w:p>
    <w:p w14:paraId="684D199A" w14:textId="77777777" w:rsidR="007746C5" w:rsidRPr="007746C5" w:rsidRDefault="007746C5" w:rsidP="009A04E6">
      <w:pPr>
        <w:pStyle w:val="Bibliography"/>
        <w:spacing w:line="240" w:lineRule="auto"/>
      </w:pPr>
      <w:r w:rsidRPr="007746C5">
        <w:t xml:space="preserve">DFO. (2021, December 10). </w:t>
      </w:r>
      <w:r w:rsidRPr="007746C5">
        <w:rPr>
          <w:i/>
          <w:iCs/>
        </w:rPr>
        <w:t>Science Advisory Report 2021/043</w:t>
      </w:r>
      <w:r w:rsidRPr="007746C5">
        <w:t>. Fisheries and Oceans Canada, Government of Canada. https://www.dfo-mpo.gc.ca/csas-sccs/Publications/SAR-AS/2021/2021_043-eng.html</w:t>
      </w:r>
    </w:p>
    <w:p w14:paraId="70DC2061" w14:textId="77777777" w:rsidR="007746C5" w:rsidRPr="007746C5" w:rsidRDefault="007746C5" w:rsidP="009A04E6">
      <w:pPr>
        <w:pStyle w:val="Bibliography"/>
        <w:spacing w:line="240" w:lineRule="auto"/>
      </w:pPr>
      <w:r w:rsidRPr="007746C5">
        <w:t xml:space="preserve">D’hondt, B., Vanderhoeven, S., Roelandt, S., Mayer, F., Versteirt, V., Adriaens, T., Ducheyne, E., San Martin, G., Grégoire, J.-C., Stiers, I., Quoilin, S., Cigar, J., Heughebaert, A., &amp; Branquart, E. (2015). </w:t>
      </w:r>
      <w:r w:rsidRPr="007746C5">
        <w:rPr>
          <w:i/>
          <w:iCs/>
        </w:rPr>
        <w:t>Harmonia</w:t>
      </w:r>
      <w:r w:rsidRPr="007746C5">
        <w:t xml:space="preserve">+ and </w:t>
      </w:r>
      <w:r w:rsidRPr="007746C5">
        <w:rPr>
          <w:i/>
          <w:iCs/>
        </w:rPr>
        <w:t>Pandora</w:t>
      </w:r>
      <w:r w:rsidRPr="007746C5">
        <w:t xml:space="preserve">+: Risk screening tools for potentially invasive plants, animals and their pathogens. </w:t>
      </w:r>
      <w:r w:rsidRPr="007746C5">
        <w:rPr>
          <w:i/>
          <w:iCs/>
        </w:rPr>
        <w:t>Biological Invasions</w:t>
      </w:r>
      <w:r w:rsidRPr="007746C5">
        <w:t xml:space="preserve">, </w:t>
      </w:r>
      <w:r w:rsidRPr="007746C5">
        <w:rPr>
          <w:i/>
          <w:iCs/>
        </w:rPr>
        <w:t>17</w:t>
      </w:r>
      <w:r w:rsidRPr="007746C5">
        <w:t>(6), 1869–1883. https://doi.org/10.1007/s10530-015-0843-1</w:t>
      </w:r>
    </w:p>
    <w:p w14:paraId="47D3179C" w14:textId="77777777" w:rsidR="007746C5" w:rsidRPr="007746C5" w:rsidRDefault="007746C5" w:rsidP="009A04E6">
      <w:pPr>
        <w:pStyle w:val="Bibliography"/>
        <w:spacing w:line="240" w:lineRule="auto"/>
      </w:pPr>
      <w:r w:rsidRPr="007746C5">
        <w:t xml:space="preserve">Di Marco, M., Baker, M. L., Daszak, P., De Barro, P., Eskew, E. A., Godde, C. M., Harwood, T. D., Herrero, M., Hoskins, A. J., Johnson, E., Karesh, W. B., Machalaba, C., Garcia, J. N., Paini, D., Pirzl, R., Smith, M. S., Zambrana-Torrelio, C., &amp; Ferrier, S. (2020). Opinion: Sustainable development must account for pandemic risk. </w:t>
      </w:r>
      <w:r w:rsidRPr="007746C5">
        <w:rPr>
          <w:i/>
          <w:iCs/>
        </w:rPr>
        <w:t>Proceedings of the National Academy of Sciences</w:t>
      </w:r>
      <w:r w:rsidRPr="007746C5">
        <w:t xml:space="preserve">, </w:t>
      </w:r>
      <w:r w:rsidRPr="007746C5">
        <w:rPr>
          <w:i/>
          <w:iCs/>
        </w:rPr>
        <w:t>117</w:t>
      </w:r>
      <w:r w:rsidRPr="007746C5">
        <w:t>(8), 3888–3892. https://doi.org/10.1073/pnas.2001655117</w:t>
      </w:r>
    </w:p>
    <w:p w14:paraId="083D8495" w14:textId="77777777" w:rsidR="007746C5" w:rsidRPr="007746C5" w:rsidRDefault="007746C5" w:rsidP="009A04E6">
      <w:pPr>
        <w:pStyle w:val="Bibliography"/>
        <w:spacing w:line="240" w:lineRule="auto"/>
      </w:pPr>
      <w:r w:rsidRPr="007746C5">
        <w:t xml:space="preserve">Diagne, C., Leroy, B., Gozlan, R. E., Vaissière, A.-C., Assailly, C., Nuninger, L., Roiz, D., Jourdain, F., Jarić, I., &amp; Courchamp, F. (2020). InvaCost, a public database of the economic costs of biological invasions worldwide. </w:t>
      </w:r>
      <w:r w:rsidRPr="007746C5">
        <w:rPr>
          <w:i/>
          <w:iCs/>
        </w:rPr>
        <w:t>Scientific Data</w:t>
      </w:r>
      <w:r w:rsidRPr="007746C5">
        <w:t xml:space="preserve">, </w:t>
      </w:r>
      <w:r w:rsidRPr="007746C5">
        <w:rPr>
          <w:i/>
          <w:iCs/>
        </w:rPr>
        <w:t>7</w:t>
      </w:r>
      <w:r w:rsidRPr="007746C5">
        <w:t>(1), 277. https://doi.org/10.1038/s41597-020-00586-z</w:t>
      </w:r>
    </w:p>
    <w:p w14:paraId="3B13F17D" w14:textId="77777777" w:rsidR="007746C5" w:rsidRPr="007746C5" w:rsidRDefault="007746C5" w:rsidP="009A04E6">
      <w:pPr>
        <w:pStyle w:val="Bibliography"/>
        <w:spacing w:line="240" w:lineRule="auto"/>
      </w:pPr>
      <w:r w:rsidRPr="007746C5">
        <w:t xml:space="preserve">Diagne, C., Leroy, B., Vaissière, A.-C., Gozlan, R. E., Roiz, D., Jarić, I., Salles, J.-M., Bradshaw, C. J. A., &amp; Courchamp, F. (2021). High and rising economic costs of biological invasions worldwide. </w:t>
      </w:r>
      <w:r w:rsidRPr="007746C5">
        <w:rPr>
          <w:i/>
          <w:iCs/>
        </w:rPr>
        <w:t>Nature</w:t>
      </w:r>
      <w:r w:rsidRPr="007746C5">
        <w:t xml:space="preserve">, </w:t>
      </w:r>
      <w:r w:rsidRPr="007746C5">
        <w:rPr>
          <w:i/>
          <w:iCs/>
        </w:rPr>
        <w:t>592</w:t>
      </w:r>
      <w:r w:rsidRPr="007746C5">
        <w:t>(7855), 571–576. https://doi.org/10.1038/s41586-021-03405-6</w:t>
      </w:r>
    </w:p>
    <w:p w14:paraId="07242C71" w14:textId="77777777" w:rsidR="007746C5" w:rsidRPr="007746C5" w:rsidRDefault="007746C5" w:rsidP="009A04E6">
      <w:pPr>
        <w:pStyle w:val="Bibliography"/>
        <w:spacing w:line="240" w:lineRule="auto"/>
      </w:pPr>
      <w:r w:rsidRPr="007746C5">
        <w:t xml:space="preserve">Dias, P. J., Lukehurst, S. S., Simpson, T., Rocha, R. M., Tovar-Hernández, M. A., Wellington, C., McDonald, J. I., Snow, M., &amp; Kennington, W. J. (2021). Multiple introductions and regional spread shape the distribution of the cryptic ascidian </w:t>
      </w:r>
      <w:r w:rsidRPr="007746C5">
        <w:rPr>
          <w:i/>
          <w:iCs/>
        </w:rPr>
        <w:t>Didemnum perlucidum</w:t>
      </w:r>
      <w:r w:rsidRPr="007746C5">
        <w:t xml:space="preserve"> in Australia: An important baseline for management under climate change. </w:t>
      </w:r>
      <w:r w:rsidRPr="007746C5">
        <w:rPr>
          <w:i/>
          <w:iCs/>
        </w:rPr>
        <w:t>Aquatic Invasions</w:t>
      </w:r>
      <w:r w:rsidRPr="007746C5">
        <w:t xml:space="preserve">, </w:t>
      </w:r>
      <w:r w:rsidRPr="007746C5">
        <w:rPr>
          <w:i/>
          <w:iCs/>
        </w:rPr>
        <w:t>16</w:t>
      </w:r>
      <w:r w:rsidRPr="007746C5">
        <w:t>(2), 297–313. https://doi.org/10.3391/ai.2021.16.2.06</w:t>
      </w:r>
    </w:p>
    <w:p w14:paraId="11C9B156" w14:textId="77777777" w:rsidR="007746C5" w:rsidRPr="007746C5" w:rsidRDefault="007746C5" w:rsidP="009A04E6">
      <w:pPr>
        <w:pStyle w:val="Bibliography"/>
        <w:spacing w:line="240" w:lineRule="auto"/>
      </w:pPr>
      <w:r w:rsidRPr="007746C5">
        <w:t xml:space="preserve">Dicks, L. V., Walsh, J. C., &amp; Sutherland, W. J. (2014). Organising evidence for environmental management decisions: A ‘4S’ hierarchy. </w:t>
      </w:r>
      <w:r w:rsidRPr="007746C5">
        <w:rPr>
          <w:i/>
          <w:iCs/>
        </w:rPr>
        <w:t>Trends in Ecology &amp; Evolution</w:t>
      </w:r>
      <w:r w:rsidRPr="007746C5">
        <w:t xml:space="preserve">, </w:t>
      </w:r>
      <w:r w:rsidRPr="007746C5">
        <w:rPr>
          <w:i/>
          <w:iCs/>
        </w:rPr>
        <w:t>29</w:t>
      </w:r>
      <w:r w:rsidRPr="007746C5">
        <w:t>(11), 607–613. https://doi.org/10.1016/j.tree.2014.09.004</w:t>
      </w:r>
    </w:p>
    <w:p w14:paraId="01A4F242" w14:textId="77777777" w:rsidR="007746C5" w:rsidRPr="007746C5" w:rsidRDefault="007746C5" w:rsidP="009A04E6">
      <w:pPr>
        <w:pStyle w:val="Bibliography"/>
        <w:spacing w:line="240" w:lineRule="auto"/>
      </w:pPr>
      <w:r w:rsidRPr="007746C5">
        <w:t xml:space="preserve">Diez, J. M., D’Antonio, C. M., Dukes, J. S., Grosholz, E. D., Olden, J. D., Sorte, C. J., Blumenthal, D. M., Bradley, B. A., Early, R., Ibáñez, I., Jones, S. J., Lawler, J. J., &amp; Miller, L. P. (2012). Will extreme climatic events facilitate biological invasions? </w:t>
      </w:r>
      <w:r w:rsidRPr="007746C5">
        <w:rPr>
          <w:i/>
          <w:iCs/>
        </w:rPr>
        <w:t>Frontiers in Ecology and the Environment</w:t>
      </w:r>
      <w:r w:rsidRPr="007746C5">
        <w:t xml:space="preserve">, </w:t>
      </w:r>
      <w:r w:rsidRPr="007746C5">
        <w:rPr>
          <w:i/>
          <w:iCs/>
        </w:rPr>
        <w:t>10</w:t>
      </w:r>
      <w:r w:rsidRPr="007746C5">
        <w:t>(5), 249–257. https://doi.org/10.1890/110137</w:t>
      </w:r>
    </w:p>
    <w:p w14:paraId="2FEE826D" w14:textId="77777777" w:rsidR="007746C5" w:rsidRPr="007746C5" w:rsidRDefault="007746C5" w:rsidP="009A04E6">
      <w:pPr>
        <w:pStyle w:val="Bibliography"/>
        <w:spacing w:line="240" w:lineRule="auto"/>
      </w:pPr>
      <w:r w:rsidRPr="007746C5">
        <w:t xml:space="preserve">Dinis, M., Vicente, J. R., César de Sá, N., López-Núñez, F. A., Marchante, E., &amp; Marchante, H. (2020). Can Niche Dynamics and Distribution Modeling Predict the Success of Invasive Species Management Using Biocontrol? Insights from </w:t>
      </w:r>
      <w:r w:rsidRPr="007746C5">
        <w:rPr>
          <w:i/>
          <w:iCs/>
        </w:rPr>
        <w:t>Acacia longifolia</w:t>
      </w:r>
      <w:r w:rsidRPr="007746C5">
        <w:t xml:space="preserve"> in Portugal. </w:t>
      </w:r>
      <w:r w:rsidRPr="007746C5">
        <w:rPr>
          <w:i/>
          <w:iCs/>
        </w:rPr>
        <w:t>Frontiers in Ecology and Evolution</w:t>
      </w:r>
      <w:r w:rsidRPr="007746C5">
        <w:t xml:space="preserve">, </w:t>
      </w:r>
      <w:r w:rsidRPr="007746C5">
        <w:rPr>
          <w:i/>
          <w:iCs/>
        </w:rPr>
        <w:t>8</w:t>
      </w:r>
      <w:r w:rsidRPr="007746C5">
        <w:t>. https://doi.org/10.3389/fevo.2020.576667</w:t>
      </w:r>
    </w:p>
    <w:p w14:paraId="6C0E6F21" w14:textId="77777777" w:rsidR="007746C5" w:rsidRPr="007746C5" w:rsidRDefault="007746C5" w:rsidP="009A04E6">
      <w:pPr>
        <w:pStyle w:val="Bibliography"/>
        <w:spacing w:line="240" w:lineRule="auto"/>
      </w:pPr>
      <w:r w:rsidRPr="007746C5">
        <w:t xml:space="preserve">DiTomaso, J. M. (2000). Invasive weeds in rangelands: Species, impacts, and management. </w:t>
      </w:r>
      <w:r w:rsidRPr="007746C5">
        <w:rPr>
          <w:i/>
          <w:iCs/>
        </w:rPr>
        <w:t>Weed Science</w:t>
      </w:r>
      <w:r w:rsidRPr="007746C5">
        <w:t xml:space="preserve">, </w:t>
      </w:r>
      <w:r w:rsidRPr="007746C5">
        <w:rPr>
          <w:i/>
          <w:iCs/>
        </w:rPr>
        <w:t>48</w:t>
      </w:r>
      <w:r w:rsidRPr="007746C5">
        <w:t>(2), 255–265. https://doi.org/10.1614/0043-1745(2000)048[0255:IWIRSI]2.0.CO;2</w:t>
      </w:r>
    </w:p>
    <w:p w14:paraId="00CA4109" w14:textId="77777777" w:rsidR="007746C5" w:rsidRPr="007746C5" w:rsidRDefault="007746C5" w:rsidP="009A04E6">
      <w:pPr>
        <w:pStyle w:val="Bibliography"/>
        <w:spacing w:line="240" w:lineRule="auto"/>
      </w:pPr>
      <w:r w:rsidRPr="007746C5">
        <w:lastRenderedPageBreak/>
        <w:t xml:space="preserve">Dixon, L. K., Stahl, K., Jori, F., Vial, L., &amp; Pfeiffer, D. U. (2020). African Swine Fever Epidemiology and Control. </w:t>
      </w:r>
      <w:r w:rsidRPr="007746C5">
        <w:rPr>
          <w:i/>
          <w:iCs/>
        </w:rPr>
        <w:t>Annual Review of Animal Biosciences</w:t>
      </w:r>
      <w:r w:rsidRPr="007746C5">
        <w:t xml:space="preserve">, </w:t>
      </w:r>
      <w:r w:rsidRPr="007746C5">
        <w:rPr>
          <w:i/>
          <w:iCs/>
        </w:rPr>
        <w:t>8</w:t>
      </w:r>
      <w:r w:rsidRPr="007746C5">
        <w:t>(1), 221–246. https://doi.org/10.1146/annurev-animal-021419-083741</w:t>
      </w:r>
    </w:p>
    <w:p w14:paraId="6A2DB1AF" w14:textId="77777777" w:rsidR="007746C5" w:rsidRPr="007746C5" w:rsidRDefault="007746C5" w:rsidP="009A04E6">
      <w:pPr>
        <w:pStyle w:val="Bibliography"/>
        <w:spacing w:line="240" w:lineRule="auto"/>
      </w:pPr>
      <w:r w:rsidRPr="007746C5">
        <w:t xml:space="preserve">Dobson, A. P., Pimm, S. L., Hannah, L., Kaufman, L., Ahumada, J. A., Ando, A. W., Bernstein, A., Busch, J., Daszak, P., Engelmann, J., Kinnaird, M. F., Li, B. V., Loch-Temzelides, T., Lovejoy, T., Nowak, K., Roehrdanz, P. R., &amp; Vale, M. M. (2020). Ecology and economics for pandemic prevention. </w:t>
      </w:r>
      <w:r w:rsidRPr="007746C5">
        <w:rPr>
          <w:i/>
          <w:iCs/>
        </w:rPr>
        <w:t>Science</w:t>
      </w:r>
      <w:r w:rsidRPr="007746C5">
        <w:t xml:space="preserve">, </w:t>
      </w:r>
      <w:r w:rsidRPr="007746C5">
        <w:rPr>
          <w:i/>
          <w:iCs/>
        </w:rPr>
        <w:t>369</w:t>
      </w:r>
      <w:r w:rsidRPr="007746C5">
        <w:t>(6502), 379–381. https://doi.org/10.1126/science.abc3189</w:t>
      </w:r>
    </w:p>
    <w:p w14:paraId="76068859" w14:textId="77777777" w:rsidR="007746C5" w:rsidRPr="007746C5" w:rsidRDefault="007746C5" w:rsidP="009A04E6">
      <w:pPr>
        <w:pStyle w:val="Bibliography"/>
        <w:spacing w:line="240" w:lineRule="auto"/>
      </w:pPr>
      <w:r w:rsidRPr="007746C5">
        <w:t xml:space="preserve">Dodd, A., Stoeckl, N., Baumgartner, J., &amp; Kompas, T. (2020). </w:t>
      </w:r>
      <w:r w:rsidRPr="007746C5">
        <w:rPr>
          <w:i/>
          <w:iCs/>
        </w:rPr>
        <w:t>Key Result Summary: Valuing Australia’s Biosecurity System</w:t>
      </w:r>
      <w:r w:rsidRPr="007746C5">
        <w:t xml:space="preserve"> (CEBRA Project 170713; p. 41). Centre of Excellence for Biosecurity Risk Analysis. https://cebra.unimelb.edu.au/__data/assets/pdf_file/0020/3535013/CEBRA_Value_Docs_KeyResultSummary_v0.6_Endorsed.pdf</w:t>
      </w:r>
    </w:p>
    <w:p w14:paraId="73A9BAB6" w14:textId="77777777" w:rsidR="007746C5" w:rsidRPr="007746C5" w:rsidRDefault="007746C5" w:rsidP="009A04E6">
      <w:pPr>
        <w:pStyle w:val="Bibliography"/>
        <w:spacing w:line="240" w:lineRule="auto"/>
      </w:pPr>
      <w:r w:rsidRPr="007746C5">
        <w:t xml:space="preserve">Doherty, T. S., Dickman, C. R., Johnson, C. N., Legge, S. M., Ritchie, E. G., &amp; Woinarski, J. C. Z. (2017). Impacts and management of feral cats </w:t>
      </w:r>
      <w:r w:rsidRPr="007746C5">
        <w:rPr>
          <w:i/>
          <w:iCs/>
        </w:rPr>
        <w:t>Felis catus</w:t>
      </w:r>
      <w:r w:rsidRPr="007746C5">
        <w:t xml:space="preserve"> in Australia. </w:t>
      </w:r>
      <w:r w:rsidRPr="007746C5">
        <w:rPr>
          <w:i/>
          <w:iCs/>
        </w:rPr>
        <w:t>Mammal Review</w:t>
      </w:r>
      <w:r w:rsidRPr="007746C5">
        <w:t xml:space="preserve">, </w:t>
      </w:r>
      <w:r w:rsidRPr="007746C5">
        <w:rPr>
          <w:i/>
          <w:iCs/>
        </w:rPr>
        <w:t>47</w:t>
      </w:r>
      <w:r w:rsidRPr="007746C5">
        <w:t>(2), 83–97. https://doi.org/10.1111/mam.12080</w:t>
      </w:r>
    </w:p>
    <w:p w14:paraId="516CC609" w14:textId="77777777" w:rsidR="007746C5" w:rsidRPr="007746C5" w:rsidRDefault="007746C5" w:rsidP="009A04E6">
      <w:pPr>
        <w:pStyle w:val="Bibliography"/>
        <w:spacing w:line="240" w:lineRule="auto"/>
      </w:pPr>
      <w:r w:rsidRPr="007746C5">
        <w:t xml:space="preserve">Dolezel, M., Lüthi, C., &amp; Gaugitsch, H. (2020). Beyond limits – the pitfalls of global gene drives for environmental risk assessment in the European Union. </w:t>
      </w:r>
      <w:r w:rsidRPr="007746C5">
        <w:rPr>
          <w:i/>
          <w:iCs/>
        </w:rPr>
        <w:t>BioRisk</w:t>
      </w:r>
      <w:r w:rsidRPr="007746C5">
        <w:t xml:space="preserve">, </w:t>
      </w:r>
      <w:r w:rsidRPr="007746C5">
        <w:rPr>
          <w:i/>
          <w:iCs/>
        </w:rPr>
        <w:t>15</w:t>
      </w:r>
      <w:r w:rsidRPr="007746C5">
        <w:t>, 1–29. https://doi.org/10.3897/biorisk.15.49297</w:t>
      </w:r>
    </w:p>
    <w:p w14:paraId="54F63317" w14:textId="77777777" w:rsidR="007746C5" w:rsidRPr="007746C5" w:rsidRDefault="007746C5" w:rsidP="009A04E6">
      <w:pPr>
        <w:pStyle w:val="Bibliography"/>
        <w:spacing w:line="240" w:lineRule="auto"/>
      </w:pPr>
      <w:r w:rsidRPr="007746C5">
        <w:t xml:space="preserve">Dolezel, M., Simon, S., Otto, M., Engelhard, M., &amp; Züghart, W. (2020). </w:t>
      </w:r>
      <w:r w:rsidRPr="007746C5">
        <w:rPr>
          <w:i/>
          <w:iCs/>
        </w:rPr>
        <w:t>Gene Drive Organisms: Implications for the Environment and Nature Conservation</w:t>
      </w:r>
      <w:r w:rsidRPr="007746C5">
        <w:t xml:space="preserve"> (REP-0705; A Joint Technical Report of the EPA/ENCA Interest Group on Risk Assessment and Monitoring of GMOs). Swiss Federal Office for the Environment (FOEN), Soil and  Biotechnology Division, Biotechnology Section. http://www.umweltbundesamt.at</w:t>
      </w:r>
    </w:p>
    <w:p w14:paraId="0412E1CF" w14:textId="77777777" w:rsidR="007746C5" w:rsidRPr="007746C5" w:rsidRDefault="007746C5" w:rsidP="009A04E6">
      <w:pPr>
        <w:pStyle w:val="Bibliography"/>
        <w:spacing w:line="240" w:lineRule="auto"/>
      </w:pPr>
      <w:r w:rsidRPr="007746C5">
        <w:t>Dominiak, B., Gott, K., McIver, D., Grant, T., Gillespie, P., Worsley, P., Clift, A., &amp; Sergeant, E. (2011). Scenario tree risk analysis of zero detections and the eradication of yellow crazy ant (’</w:t>
      </w:r>
      <w:r w:rsidRPr="007746C5">
        <w:rPr>
          <w:i/>
          <w:iCs/>
        </w:rPr>
        <w:t>Anoplolepis gracilipes</w:t>
      </w:r>
      <w:r w:rsidRPr="007746C5">
        <w:t xml:space="preserve">’ (Smith)), in New South Wales, Australia. </w:t>
      </w:r>
      <w:r w:rsidRPr="007746C5">
        <w:rPr>
          <w:i/>
          <w:iCs/>
        </w:rPr>
        <w:t>Plant Protection Quarterly</w:t>
      </w:r>
      <w:r w:rsidRPr="007746C5">
        <w:t xml:space="preserve">, </w:t>
      </w:r>
      <w:r w:rsidRPr="007746C5">
        <w:rPr>
          <w:i/>
          <w:iCs/>
        </w:rPr>
        <w:t>26</w:t>
      </w:r>
      <w:r w:rsidRPr="007746C5">
        <w:t>(4), 124–129. https://search.informit.org/doi/10.3316/informit.593474062968814</w:t>
      </w:r>
    </w:p>
    <w:p w14:paraId="636D7D9E" w14:textId="77777777" w:rsidR="007746C5" w:rsidRPr="007746C5" w:rsidRDefault="007746C5" w:rsidP="009A04E6">
      <w:pPr>
        <w:pStyle w:val="Bibliography"/>
        <w:spacing w:line="240" w:lineRule="auto"/>
      </w:pPr>
      <w:r w:rsidRPr="007746C5">
        <w:t xml:space="preserve">Donlan, C. J., &amp; Wilcox, C. (2007). Complexities of costing eradications. </w:t>
      </w:r>
      <w:r w:rsidRPr="007746C5">
        <w:rPr>
          <w:i/>
          <w:iCs/>
        </w:rPr>
        <w:t>Animal Conservation</w:t>
      </w:r>
      <w:r w:rsidRPr="007746C5">
        <w:t xml:space="preserve">, </w:t>
      </w:r>
      <w:r w:rsidRPr="007746C5">
        <w:rPr>
          <w:i/>
          <w:iCs/>
        </w:rPr>
        <w:t>10</w:t>
      </w:r>
      <w:r w:rsidRPr="007746C5">
        <w:t>(2), 154–156. https://doi.org/10.1111/j.1469-1795.2007.00101.x</w:t>
      </w:r>
    </w:p>
    <w:p w14:paraId="7A78F1CF" w14:textId="77777777" w:rsidR="007746C5" w:rsidRPr="007746C5" w:rsidRDefault="007746C5" w:rsidP="009A04E6">
      <w:pPr>
        <w:pStyle w:val="Bibliography"/>
        <w:spacing w:line="240" w:lineRule="auto"/>
      </w:pPr>
      <w:r w:rsidRPr="007746C5">
        <w:t xml:space="preserve">Downey, P. O. (2010). Managing Widespread, Alien Plant Species to Ensure Biodiversity Conservation: A Case Study Using an 11-Step Planning Process. </w:t>
      </w:r>
      <w:r w:rsidRPr="007746C5">
        <w:rPr>
          <w:i/>
          <w:iCs/>
        </w:rPr>
        <w:t>Invasive Plant Science and Management</w:t>
      </w:r>
      <w:r w:rsidRPr="007746C5">
        <w:t xml:space="preserve">, </w:t>
      </w:r>
      <w:r w:rsidRPr="007746C5">
        <w:rPr>
          <w:i/>
          <w:iCs/>
        </w:rPr>
        <w:t>3</w:t>
      </w:r>
      <w:r w:rsidRPr="007746C5">
        <w:t>(4), 451–461. https://doi.org/10.1614/IPSM-D-10-00012.1</w:t>
      </w:r>
    </w:p>
    <w:p w14:paraId="0CE1831F" w14:textId="77777777" w:rsidR="007746C5" w:rsidRPr="007746C5" w:rsidRDefault="007746C5" w:rsidP="009A04E6">
      <w:pPr>
        <w:pStyle w:val="Bibliography"/>
        <w:spacing w:line="240" w:lineRule="auto"/>
      </w:pPr>
      <w:r w:rsidRPr="007746C5">
        <w:t xml:space="preserve">Downey, P. O. (2013). Protecting Biodiversity Through Strategic Alien Plant Management: An Approach for Increasing Conservation Outcomes in Protected Areas. In L. C. Foxcroft, P. Pyšek, D. M. Richardson, &amp; P. Genovesi (Eds.), </w:t>
      </w:r>
      <w:r w:rsidRPr="007746C5">
        <w:rPr>
          <w:i/>
          <w:iCs/>
        </w:rPr>
        <w:t>Plant Invasions in Protected Areas</w:t>
      </w:r>
      <w:r w:rsidRPr="007746C5">
        <w:t xml:space="preserve"> (Vol. 7, pp. 507–528). Springer. https://link.springer.com/chapter/10.1007/978-94-007-7750-7_23</w:t>
      </w:r>
    </w:p>
    <w:p w14:paraId="426FE58C" w14:textId="77777777" w:rsidR="007746C5" w:rsidRPr="007746C5" w:rsidRDefault="007746C5" w:rsidP="009A04E6">
      <w:pPr>
        <w:pStyle w:val="Bibliography"/>
        <w:spacing w:line="240" w:lineRule="auto"/>
      </w:pPr>
      <w:r w:rsidRPr="007746C5">
        <w:t xml:space="preserve">Downey, P. O., &amp; Paterson, I. D. (2016). Encompassing the relative non-target risks from agents and their alien plant targets in biological control assessments. </w:t>
      </w:r>
      <w:r w:rsidRPr="007746C5">
        <w:rPr>
          <w:i/>
          <w:iCs/>
        </w:rPr>
        <w:t>BioControl</w:t>
      </w:r>
      <w:r w:rsidRPr="007746C5">
        <w:t xml:space="preserve">, </w:t>
      </w:r>
      <w:r w:rsidRPr="007746C5">
        <w:rPr>
          <w:i/>
          <w:iCs/>
        </w:rPr>
        <w:t>61</w:t>
      </w:r>
      <w:r w:rsidRPr="007746C5">
        <w:t>(6), 615–630. https://doi.org/10.1007/s10526-016-9744-1</w:t>
      </w:r>
    </w:p>
    <w:p w14:paraId="59C608EB" w14:textId="77777777" w:rsidR="007746C5" w:rsidRPr="007746C5" w:rsidRDefault="007746C5" w:rsidP="009A04E6">
      <w:pPr>
        <w:pStyle w:val="Bibliography"/>
        <w:spacing w:line="240" w:lineRule="auto"/>
      </w:pPr>
      <w:r w:rsidRPr="007746C5">
        <w:t xml:space="preserve">Downey, P. O., &amp; Sheppard, A. W. (2006). Site- versus species-based approaches to weed management in Australia. In C. Preston, J. Watts H., &amp; N. D. Crossman (Eds.), </w:t>
      </w:r>
      <w:r w:rsidRPr="007746C5">
        <w:rPr>
          <w:i/>
          <w:iCs/>
        </w:rPr>
        <w:t>The Proceedings of the 15th Australian Weeds Conference: Managing Weeds in a Changing Climate</w:t>
      </w:r>
      <w:r w:rsidRPr="007746C5">
        <w:t xml:space="preserve"> (pp. 264–267). Weed Management Society of South Australia Inc. https://www.researchgate.net/publication/276411938_Site-_versus_species-based_approaches_to_weed_management_in_Australia</w:t>
      </w:r>
    </w:p>
    <w:p w14:paraId="1D511024" w14:textId="77777777" w:rsidR="007746C5" w:rsidRPr="007746C5" w:rsidRDefault="007746C5" w:rsidP="009A04E6">
      <w:pPr>
        <w:pStyle w:val="Bibliography"/>
        <w:spacing w:line="240" w:lineRule="auto"/>
      </w:pPr>
      <w:r w:rsidRPr="007746C5">
        <w:t xml:space="preserve">Downey, P. O., Williams, M. C., Whiffen, L. K., Auld, B. A., Hamilton, M. A., Burley, A. L., &amp; Turner, P. J. (2010). Managing Alien Plants for Biodiversity Outcomes—The Need for Triage. </w:t>
      </w:r>
      <w:r w:rsidRPr="007746C5">
        <w:rPr>
          <w:i/>
          <w:iCs/>
        </w:rPr>
        <w:t>Invasive Plant Science and Management</w:t>
      </w:r>
      <w:r w:rsidRPr="007746C5">
        <w:t xml:space="preserve">, </w:t>
      </w:r>
      <w:r w:rsidRPr="007746C5">
        <w:rPr>
          <w:i/>
          <w:iCs/>
        </w:rPr>
        <w:t>3</w:t>
      </w:r>
      <w:r w:rsidRPr="007746C5">
        <w:t>(1), 1–11. https://doi.org/10.1614/IPSM-09-042.1</w:t>
      </w:r>
    </w:p>
    <w:p w14:paraId="49E4F6B7" w14:textId="77777777" w:rsidR="007746C5" w:rsidRPr="007746C5" w:rsidRDefault="007746C5" w:rsidP="009A04E6">
      <w:pPr>
        <w:pStyle w:val="Bibliography"/>
        <w:spacing w:line="240" w:lineRule="auto"/>
      </w:pPr>
      <w:r w:rsidRPr="007746C5">
        <w:lastRenderedPageBreak/>
        <w:t xml:space="preserve">Drechsler, M., Touza, J., White, P. C. L., &amp; Jones, G. (2016). Agricultural landscape structure and invasive species: The cost-effective level of crop field clustering. </w:t>
      </w:r>
      <w:r w:rsidRPr="007746C5">
        <w:rPr>
          <w:i/>
          <w:iCs/>
        </w:rPr>
        <w:t>Food Security</w:t>
      </w:r>
      <w:r w:rsidRPr="007746C5">
        <w:t xml:space="preserve">, </w:t>
      </w:r>
      <w:r w:rsidRPr="007746C5">
        <w:rPr>
          <w:i/>
          <w:iCs/>
        </w:rPr>
        <w:t>8</w:t>
      </w:r>
      <w:r w:rsidRPr="007746C5">
        <w:t>(1), 111–121. https://doi.org/10.1007/s12571-015-0539-5</w:t>
      </w:r>
    </w:p>
    <w:p w14:paraId="6FD9A8D0" w14:textId="77777777" w:rsidR="007746C5" w:rsidRPr="007746C5" w:rsidRDefault="007746C5" w:rsidP="009A04E6">
      <w:pPr>
        <w:pStyle w:val="Bibliography"/>
        <w:spacing w:line="240" w:lineRule="auto"/>
      </w:pPr>
      <w:r w:rsidRPr="007746C5">
        <w:t xml:space="preserve">Drescher, M., Epstein, G. B., Warriner, G. K., &amp; Rooney, R. C. (2019). An investigation of the effects of conservation incentive programs on management of invasive species by private landowners. </w:t>
      </w:r>
      <w:r w:rsidRPr="007746C5">
        <w:rPr>
          <w:i/>
          <w:iCs/>
        </w:rPr>
        <w:t>Conservation Science and Practice</w:t>
      </w:r>
      <w:r w:rsidRPr="007746C5">
        <w:t xml:space="preserve">, </w:t>
      </w:r>
      <w:r w:rsidRPr="007746C5">
        <w:rPr>
          <w:i/>
          <w:iCs/>
        </w:rPr>
        <w:t>1</w:t>
      </w:r>
      <w:r w:rsidRPr="007746C5">
        <w:t>(7), e56. https://doi.org/10.1111/csp2.56</w:t>
      </w:r>
    </w:p>
    <w:p w14:paraId="0C2E27B4" w14:textId="77777777" w:rsidR="007746C5" w:rsidRPr="007746C5" w:rsidRDefault="007746C5" w:rsidP="009A04E6">
      <w:pPr>
        <w:pStyle w:val="Bibliography"/>
        <w:spacing w:line="240" w:lineRule="auto"/>
      </w:pPr>
      <w:r w:rsidRPr="007746C5">
        <w:t xml:space="preserve">Driscoll, D. A., Catford, J. A., Barney, J. N., Hulme, P. E., Inderjit, Martin, T. G., Pauchard, A., Pyšek, P., Richardson, D. M., Riley, S., &amp; Visser, V. (2014). New pasture plants intensify invasive species risk. </w:t>
      </w:r>
      <w:r w:rsidRPr="007746C5">
        <w:rPr>
          <w:i/>
          <w:iCs/>
        </w:rPr>
        <w:t>Proceedings of the National Academy of Sciences</w:t>
      </w:r>
      <w:r w:rsidRPr="007746C5">
        <w:t xml:space="preserve">, </w:t>
      </w:r>
      <w:r w:rsidRPr="007746C5">
        <w:rPr>
          <w:i/>
          <w:iCs/>
        </w:rPr>
        <w:t>111</w:t>
      </w:r>
      <w:r w:rsidRPr="007746C5">
        <w:t>(46), 16622–16627. https://doi.org/10.1073/pnas.1409347111</w:t>
      </w:r>
    </w:p>
    <w:p w14:paraId="61B5ECD8" w14:textId="77777777" w:rsidR="007746C5" w:rsidRPr="007746C5" w:rsidRDefault="007746C5" w:rsidP="009A04E6">
      <w:pPr>
        <w:pStyle w:val="Bibliography"/>
        <w:spacing w:line="240" w:lineRule="auto"/>
      </w:pPr>
      <w:r w:rsidRPr="007746C5">
        <w:t xml:space="preserve">Driscoll, D. A., Worboys, G. L., Allan, H., Banks, S. C., Beeton, N. J., Cherubin, R. C., Doherty, T. S., Finlayson, C. M., Green, K., Hartley, R., Hope, G., Johnson, C. N., Lintermans, M., Mackey, B., Paull, D. J., Pittock, J., Porfirio, L. L., Ritchie, E. G., Sato, C. F., … Williams, R. M. (2019). Impacts of feral horses in the Australian Alps and evidence-based solutions. </w:t>
      </w:r>
      <w:r w:rsidRPr="007746C5">
        <w:rPr>
          <w:i/>
          <w:iCs/>
        </w:rPr>
        <w:t>Ecological Management &amp; Restoration</w:t>
      </w:r>
      <w:r w:rsidRPr="007746C5">
        <w:t xml:space="preserve">, </w:t>
      </w:r>
      <w:r w:rsidRPr="007746C5">
        <w:rPr>
          <w:i/>
          <w:iCs/>
        </w:rPr>
        <w:t>20</w:t>
      </w:r>
      <w:r w:rsidRPr="007746C5">
        <w:t>(1), 63–72. https://doi.org/10.1111/emr.12357</w:t>
      </w:r>
    </w:p>
    <w:p w14:paraId="1B4C0D1D" w14:textId="77777777" w:rsidR="007746C5" w:rsidRPr="007746C5" w:rsidRDefault="007746C5" w:rsidP="009A04E6">
      <w:pPr>
        <w:pStyle w:val="Bibliography"/>
        <w:spacing w:line="240" w:lineRule="auto"/>
      </w:pPr>
      <w:r w:rsidRPr="007746C5">
        <w:t xml:space="preserve">Du Preez, M., Dicken, M., &amp; Hosking, S. G. (2012). The value of tiger shark diving within the aliwal shoal marine protected area: A travel cost analysis. </w:t>
      </w:r>
      <w:r w:rsidRPr="007746C5">
        <w:rPr>
          <w:i/>
          <w:iCs/>
        </w:rPr>
        <w:t>South African Journal of Economics</w:t>
      </w:r>
      <w:r w:rsidRPr="007746C5">
        <w:t xml:space="preserve">, </w:t>
      </w:r>
      <w:r w:rsidRPr="007746C5">
        <w:rPr>
          <w:i/>
          <w:iCs/>
        </w:rPr>
        <w:t>80</w:t>
      </w:r>
      <w:r w:rsidRPr="007746C5">
        <w:t>(3), 387–399. https://doi.org/10.1111/j.1813-6982.2011.01292.x</w:t>
      </w:r>
    </w:p>
    <w:p w14:paraId="4F9FC190" w14:textId="77777777" w:rsidR="007746C5" w:rsidRPr="007746C5" w:rsidRDefault="007746C5" w:rsidP="009A04E6">
      <w:pPr>
        <w:pStyle w:val="Bibliography"/>
        <w:spacing w:line="240" w:lineRule="auto"/>
      </w:pPr>
      <w:r w:rsidRPr="007746C5">
        <w:t xml:space="preserve">Duda, N., Nowak, T., Hartmann, M., Schadhauser, M., Cassens, B., Wägemann, P., Nabeel, M., Ripperger, S., Herbst, S., Meyer-Wegener, K., Mayer, F., Dressler, F., Schröder-Preikschat, W., Kapitza, R., Robert, J., Thielecke, J., Weigel, R., &amp; Kölpin, A. (2018). BATS: Adaptive Ultra Low Power Sensor Network for Animal Tracking. </w:t>
      </w:r>
      <w:r w:rsidRPr="007746C5">
        <w:rPr>
          <w:i/>
          <w:iCs/>
        </w:rPr>
        <w:t>Sensors</w:t>
      </w:r>
      <w:r w:rsidRPr="007746C5">
        <w:t xml:space="preserve">, </w:t>
      </w:r>
      <w:r w:rsidRPr="007746C5">
        <w:rPr>
          <w:i/>
          <w:iCs/>
        </w:rPr>
        <w:t>18</w:t>
      </w:r>
      <w:r w:rsidRPr="007746C5">
        <w:t>(10), 3343. https://doi.org/10.3390/s18103343</w:t>
      </w:r>
    </w:p>
    <w:p w14:paraId="3ED19BB6" w14:textId="77777777" w:rsidR="007746C5" w:rsidRPr="007746C5" w:rsidRDefault="007746C5" w:rsidP="009A04E6">
      <w:pPr>
        <w:pStyle w:val="Bibliography"/>
        <w:spacing w:line="240" w:lineRule="auto"/>
      </w:pPr>
      <w:r w:rsidRPr="007746C5">
        <w:t xml:space="preserve">Dunn, D. W., &amp; Follett, P. A. (2017). The sterile insect technique (SIT)-an introduction. </w:t>
      </w:r>
      <w:r w:rsidRPr="007746C5">
        <w:rPr>
          <w:i/>
          <w:iCs/>
        </w:rPr>
        <w:t>Entomologia Experimentalis et Applicata</w:t>
      </w:r>
      <w:r w:rsidRPr="007746C5">
        <w:t xml:space="preserve">, </w:t>
      </w:r>
      <w:r w:rsidRPr="007746C5">
        <w:rPr>
          <w:i/>
          <w:iCs/>
        </w:rPr>
        <w:t>164</w:t>
      </w:r>
      <w:r w:rsidRPr="007746C5">
        <w:t>(3), 151–154. https://doi.org/10.1111/eea.12619</w:t>
      </w:r>
    </w:p>
    <w:p w14:paraId="0A4F6C43" w14:textId="77777777" w:rsidR="007746C5" w:rsidRPr="007746C5" w:rsidRDefault="007746C5" w:rsidP="009A04E6">
      <w:pPr>
        <w:pStyle w:val="Bibliography"/>
        <w:spacing w:line="240" w:lineRule="auto"/>
      </w:pPr>
      <w:r w:rsidRPr="007746C5">
        <w:t xml:space="preserve">Durr, P. A., Graham, K., &amp; van Klinken, R. D. (2017). Sellers’ Revisited: A Big Data Reassessment of Historical Outbreaks of Bluetongue and African Horse Sickness due to the Long-Distance Wind Dispersion of </w:t>
      </w:r>
      <w:r w:rsidRPr="007746C5">
        <w:rPr>
          <w:i/>
          <w:iCs/>
        </w:rPr>
        <w:t>Culicoides</w:t>
      </w:r>
      <w:r w:rsidRPr="007746C5">
        <w:t xml:space="preserve"> Midges. </w:t>
      </w:r>
      <w:r w:rsidRPr="007746C5">
        <w:rPr>
          <w:i/>
          <w:iCs/>
        </w:rPr>
        <w:t>Frontiers in Veterinary Science</w:t>
      </w:r>
      <w:r w:rsidRPr="007746C5">
        <w:t xml:space="preserve">, </w:t>
      </w:r>
      <w:r w:rsidRPr="007746C5">
        <w:rPr>
          <w:i/>
          <w:iCs/>
        </w:rPr>
        <w:t>4</w:t>
      </w:r>
      <w:r w:rsidRPr="007746C5">
        <w:t>. https://doi.org/10.3389/fvets.2017.00098</w:t>
      </w:r>
    </w:p>
    <w:p w14:paraId="23F90355" w14:textId="77777777" w:rsidR="007746C5" w:rsidRPr="007746C5" w:rsidRDefault="007746C5" w:rsidP="009A04E6">
      <w:pPr>
        <w:pStyle w:val="Bibliography"/>
        <w:spacing w:line="240" w:lineRule="auto"/>
      </w:pPr>
      <w:r w:rsidRPr="007746C5">
        <w:t xml:space="preserve">Dyck, V. A., Hendrichs, J., &amp; Robinson, A. S. (Eds.). (2005). </w:t>
      </w:r>
      <w:r w:rsidRPr="007746C5">
        <w:rPr>
          <w:i/>
          <w:iCs/>
        </w:rPr>
        <w:t>Sterile insect technique: Principles and practice in area-wide integrated pest management</w:t>
      </w:r>
      <w:r w:rsidRPr="007746C5">
        <w:t xml:space="preserve"> (1st ed.). Springer. https://doi.org/10.1007/1-4020-4051-2</w:t>
      </w:r>
    </w:p>
    <w:p w14:paraId="2301A82D" w14:textId="77777777" w:rsidR="007746C5" w:rsidRPr="007746C5" w:rsidRDefault="007746C5" w:rsidP="009A04E6">
      <w:pPr>
        <w:pStyle w:val="Bibliography"/>
        <w:spacing w:line="240" w:lineRule="auto"/>
      </w:pPr>
      <w:r w:rsidRPr="007746C5">
        <w:t xml:space="preserve">Dymond, J. R., Ausseil, A.-G. E., &amp; Overton, J. McC. (2008). A landscape approach for estimating the conservation value of sites and site-based projects, with examples from New Zealand. </w:t>
      </w:r>
      <w:r w:rsidRPr="007746C5">
        <w:rPr>
          <w:i/>
          <w:iCs/>
        </w:rPr>
        <w:t>Ecological Economics</w:t>
      </w:r>
      <w:r w:rsidRPr="007746C5">
        <w:t xml:space="preserve">, </w:t>
      </w:r>
      <w:r w:rsidRPr="007746C5">
        <w:rPr>
          <w:i/>
          <w:iCs/>
        </w:rPr>
        <w:t>66</w:t>
      </w:r>
      <w:r w:rsidRPr="007746C5">
        <w:t>(2–3), 275–281. https://doi.org/10.1016/j.ecolecon.2008.03.008</w:t>
      </w:r>
    </w:p>
    <w:p w14:paraId="119D8717" w14:textId="77777777" w:rsidR="007746C5" w:rsidRPr="007746C5" w:rsidRDefault="007746C5" w:rsidP="009A04E6">
      <w:pPr>
        <w:pStyle w:val="Bibliography"/>
        <w:spacing w:line="240" w:lineRule="auto"/>
      </w:pPr>
      <w:r w:rsidRPr="007746C5">
        <w:t xml:space="preserve">Eason, C. T., Shapiro, L., Ogilvie, S., King, C., &amp; Clout, M. (2017). Trends in the development of mammalian pest control technology in New Zealand. </w:t>
      </w:r>
      <w:r w:rsidRPr="007746C5">
        <w:rPr>
          <w:i/>
          <w:iCs/>
        </w:rPr>
        <w:t>New Zealand Journal of Zoology</w:t>
      </w:r>
      <w:r w:rsidRPr="007746C5">
        <w:t xml:space="preserve">, </w:t>
      </w:r>
      <w:r w:rsidRPr="007746C5">
        <w:rPr>
          <w:i/>
          <w:iCs/>
        </w:rPr>
        <w:t>44</w:t>
      </w:r>
      <w:r w:rsidRPr="007746C5">
        <w:t>(4), 267–304. https://doi.org/10.1080/03014223.2017.1337645</w:t>
      </w:r>
    </w:p>
    <w:p w14:paraId="63542E6F" w14:textId="77777777" w:rsidR="007746C5" w:rsidRPr="007746C5" w:rsidRDefault="007746C5" w:rsidP="009A04E6">
      <w:pPr>
        <w:pStyle w:val="Bibliography"/>
        <w:spacing w:line="240" w:lineRule="auto"/>
      </w:pPr>
      <w:r w:rsidRPr="007746C5">
        <w:t xml:space="preserve">Edwards, G., Digby, D., O’Leary, P., Rafferty, D., Jensen, M., Woolnough, A., Secomb, N., Williams, M., Schwartzkopff, K., &amp; Bryan, R. (2016). Planning and conducting aerial culling operations for feral camels. </w:t>
      </w:r>
      <w:r w:rsidRPr="007746C5">
        <w:rPr>
          <w:i/>
          <w:iCs/>
        </w:rPr>
        <w:t>The Rangeland Journal</w:t>
      </w:r>
      <w:r w:rsidRPr="007746C5">
        <w:t xml:space="preserve">, </w:t>
      </w:r>
      <w:r w:rsidRPr="007746C5">
        <w:rPr>
          <w:i/>
          <w:iCs/>
        </w:rPr>
        <w:t>38</w:t>
      </w:r>
      <w:r w:rsidRPr="007746C5">
        <w:t>(2), 153–162. https://doi.org/10.1071/RJ15100</w:t>
      </w:r>
    </w:p>
    <w:p w14:paraId="2F863131" w14:textId="77777777" w:rsidR="007746C5" w:rsidRPr="007746C5" w:rsidRDefault="007746C5" w:rsidP="009A04E6">
      <w:pPr>
        <w:pStyle w:val="Bibliography"/>
        <w:spacing w:line="240" w:lineRule="auto"/>
      </w:pPr>
      <w:r w:rsidRPr="007746C5">
        <w:t xml:space="preserve">EFSA Panel on Plant Health (PLH). (2010). Guidance on a harmonised framework for pest risk assessment and the identification and evaluation of pest risk management options by EFSA. </w:t>
      </w:r>
      <w:r w:rsidRPr="007746C5">
        <w:rPr>
          <w:i/>
          <w:iCs/>
        </w:rPr>
        <w:t>EFSA Journal</w:t>
      </w:r>
      <w:r w:rsidRPr="007746C5">
        <w:t xml:space="preserve">, </w:t>
      </w:r>
      <w:r w:rsidRPr="007746C5">
        <w:rPr>
          <w:i/>
          <w:iCs/>
        </w:rPr>
        <w:t>8</w:t>
      </w:r>
      <w:r w:rsidRPr="007746C5">
        <w:t>(2), 66. https://doi.org/10.2903/j.efsa.2010.1495</w:t>
      </w:r>
    </w:p>
    <w:p w14:paraId="4A19E89C" w14:textId="77777777" w:rsidR="007746C5" w:rsidRPr="007746C5" w:rsidRDefault="007746C5" w:rsidP="009A04E6">
      <w:pPr>
        <w:pStyle w:val="Bibliography"/>
        <w:spacing w:line="240" w:lineRule="auto"/>
      </w:pPr>
      <w:r w:rsidRPr="007746C5">
        <w:t xml:space="preserve">EFSA Scientific Committee &amp; Scientific Opinion on Risk Assessment Terminology. (2012). Scientific opinion on risk assessment terminology. </w:t>
      </w:r>
      <w:r w:rsidRPr="007746C5">
        <w:rPr>
          <w:i/>
          <w:iCs/>
        </w:rPr>
        <w:t>EFSA  Journal</w:t>
      </w:r>
      <w:r w:rsidRPr="007746C5">
        <w:t xml:space="preserve">, </w:t>
      </w:r>
      <w:r w:rsidRPr="007746C5">
        <w:rPr>
          <w:i/>
          <w:iCs/>
        </w:rPr>
        <w:t>10</w:t>
      </w:r>
      <w:r w:rsidRPr="007746C5">
        <w:t>(5), 2664. https://doi.org/10.2903/j.efsa.2012.2664</w:t>
      </w:r>
    </w:p>
    <w:p w14:paraId="5EFD9145" w14:textId="77777777" w:rsidR="007746C5" w:rsidRPr="007746C5" w:rsidRDefault="007746C5" w:rsidP="009A04E6">
      <w:pPr>
        <w:pStyle w:val="Bibliography"/>
        <w:spacing w:line="240" w:lineRule="auto"/>
      </w:pPr>
      <w:r w:rsidRPr="007746C5">
        <w:t xml:space="preserve">Elbers, A. R. W., Backx, A., Meroc, E., Gerbier, G., Staubach, C., Hendrickx, G., van der Spek, A., &amp; Mintiens, K. (2008). Field observations during the bluetongue serotype 8 epidemic in 2006: I. Detection of first outbreaks and clinical signs in sheep and cattle in Belgium, </w:t>
      </w:r>
      <w:r w:rsidRPr="007746C5">
        <w:lastRenderedPageBreak/>
        <w:t xml:space="preserve">France and the Netherlands. </w:t>
      </w:r>
      <w:r w:rsidRPr="007746C5">
        <w:rPr>
          <w:i/>
          <w:iCs/>
        </w:rPr>
        <w:t>Preventive Veterinary Medicine</w:t>
      </w:r>
      <w:r w:rsidRPr="007746C5">
        <w:t xml:space="preserve">, </w:t>
      </w:r>
      <w:r w:rsidRPr="007746C5">
        <w:rPr>
          <w:i/>
          <w:iCs/>
        </w:rPr>
        <w:t>87</w:t>
      </w:r>
      <w:r w:rsidRPr="007746C5">
        <w:t>(1–2), 21–30. https://doi.org/10.1016/j.prevetmed.2008.06.004</w:t>
      </w:r>
    </w:p>
    <w:p w14:paraId="40BAF3C9" w14:textId="77777777" w:rsidR="007746C5" w:rsidRPr="007746C5" w:rsidRDefault="007746C5" w:rsidP="009A04E6">
      <w:pPr>
        <w:pStyle w:val="Bibliography"/>
        <w:spacing w:line="240" w:lineRule="auto"/>
      </w:pPr>
      <w:r w:rsidRPr="007746C5">
        <w:t xml:space="preserve">Elith, J. (2017). Predicting distributions of invasive species. In A. P. Robinson, T. Walshe, M. A. Burgman, &amp; M. Nunn (Eds.), </w:t>
      </w:r>
      <w:r w:rsidRPr="007746C5">
        <w:rPr>
          <w:i/>
          <w:iCs/>
        </w:rPr>
        <w:t>Invasice Species Risk assessment and management</w:t>
      </w:r>
      <w:r w:rsidRPr="007746C5">
        <w:t xml:space="preserve"> (pp. 93–129). Cambridge University Press. https://doi.org/10.1017/9781139019606.006</w:t>
      </w:r>
    </w:p>
    <w:p w14:paraId="5F273930" w14:textId="77777777" w:rsidR="007746C5" w:rsidRPr="007746C5" w:rsidRDefault="007746C5" w:rsidP="009A04E6">
      <w:pPr>
        <w:pStyle w:val="Bibliography"/>
        <w:spacing w:line="240" w:lineRule="auto"/>
      </w:pPr>
      <w:r w:rsidRPr="007746C5">
        <w:t xml:space="preserve">Elkind, K., Sankey, T. T., Munson, S. M., &amp; Aslan, C. E. (2019). Invasive buffelgrass detection using high-resolution satellite and UAV imagery on Google Earth Engine. </w:t>
      </w:r>
      <w:r w:rsidRPr="007746C5">
        <w:rPr>
          <w:i/>
          <w:iCs/>
        </w:rPr>
        <w:t>Remote Sensing in Ecology and Conservation</w:t>
      </w:r>
      <w:r w:rsidRPr="007746C5">
        <w:t xml:space="preserve">, </w:t>
      </w:r>
      <w:r w:rsidRPr="007746C5">
        <w:rPr>
          <w:i/>
          <w:iCs/>
        </w:rPr>
        <w:t>5</w:t>
      </w:r>
      <w:r w:rsidRPr="007746C5">
        <w:t>(4), 318–331. https://doi.org/10.1002/rse2.116</w:t>
      </w:r>
    </w:p>
    <w:p w14:paraId="7EC9D81A" w14:textId="77777777" w:rsidR="007746C5" w:rsidRPr="007746C5" w:rsidRDefault="007746C5" w:rsidP="009A04E6">
      <w:pPr>
        <w:pStyle w:val="Bibliography"/>
        <w:spacing w:line="240" w:lineRule="auto"/>
      </w:pPr>
      <w:r w:rsidRPr="007746C5">
        <w:t xml:space="preserve">Ellison, C. A., &amp; Cock, M. J. W. (2017). Classical Biological Control of </w:t>
      </w:r>
      <w:r w:rsidRPr="007746C5">
        <w:rPr>
          <w:i/>
          <w:iCs/>
        </w:rPr>
        <w:t>Mikania micrantha</w:t>
      </w:r>
      <w:r w:rsidRPr="007746C5">
        <w:t xml:space="preserve">: The Sustainable Solution. In C. A. Ellison, K. V. Sankaran, &amp; S. T. Murphy (Eds.), </w:t>
      </w:r>
      <w:r w:rsidRPr="007746C5">
        <w:rPr>
          <w:i/>
          <w:iCs/>
        </w:rPr>
        <w:t>Invasive alien plants: Impacts on development and options for management.</w:t>
      </w:r>
      <w:r w:rsidRPr="007746C5">
        <w:t xml:space="preserve"> (pp. 162–190). CABI. https://www.cabi.org/VetMedResource/ebook/20173322111</w:t>
      </w:r>
    </w:p>
    <w:p w14:paraId="20744C57" w14:textId="77777777" w:rsidR="007746C5" w:rsidRPr="007746C5" w:rsidRDefault="007746C5" w:rsidP="009A04E6">
      <w:pPr>
        <w:pStyle w:val="Bibliography"/>
        <w:spacing w:line="240" w:lineRule="auto"/>
      </w:pPr>
      <w:r w:rsidRPr="007746C5">
        <w:t xml:space="preserve">Ellison, C. A., &amp; Sankaran, K. V. (2017). Profile of an invasive plant: </w:t>
      </w:r>
      <w:r w:rsidRPr="007746C5">
        <w:rPr>
          <w:i/>
          <w:iCs/>
        </w:rPr>
        <w:t>Mikania micrantha</w:t>
      </w:r>
      <w:r w:rsidRPr="007746C5">
        <w:t xml:space="preserve">. In C. A. Ellison, K. V. Sankaran, &amp; S. T. Murphy (Eds.), </w:t>
      </w:r>
      <w:r w:rsidRPr="007746C5">
        <w:rPr>
          <w:i/>
          <w:iCs/>
        </w:rPr>
        <w:t>Invasive alien plants: Impacts on development and options for management.</w:t>
      </w:r>
      <w:r w:rsidRPr="007746C5">
        <w:t xml:space="preserve"> (pp. 18–28). CABI. http://dx.doi.org/10.1079/9781780646275.0018</w:t>
      </w:r>
    </w:p>
    <w:p w14:paraId="28A178DA" w14:textId="77777777" w:rsidR="007746C5" w:rsidRPr="007746C5" w:rsidRDefault="007746C5" w:rsidP="009A04E6">
      <w:pPr>
        <w:pStyle w:val="Bibliography"/>
        <w:spacing w:line="240" w:lineRule="auto"/>
      </w:pPr>
      <w:r w:rsidRPr="007746C5">
        <w:t xml:space="preserve">Elmqvist, T., Redman, C. L., Barthel, S., &amp; Costanza, R. (2013). History of Urbanization and the Missing Ecology. In T. Elmqvist, M. Fragkias, J. Goodness, B. Güneralp, P. J. Marcotullio, R. I. McDonald, S. Parnell, M. Schewenius, M. Sendstad, K. C. Seto, &amp; C. Wilkinson (Eds.), </w:t>
      </w:r>
      <w:r w:rsidRPr="007746C5">
        <w:rPr>
          <w:i/>
          <w:iCs/>
        </w:rPr>
        <w:t>Urbanization, Biodiversity and Ecosystem Services: Challenges and Opportunities: A Global Assessment</w:t>
      </w:r>
      <w:r w:rsidRPr="007746C5">
        <w:t xml:space="preserve"> (pp. 13–30). Springer. https://doi.org/10.1007/978-94-007-7088-1_2</w:t>
      </w:r>
    </w:p>
    <w:p w14:paraId="55A61577" w14:textId="77777777" w:rsidR="007746C5" w:rsidRPr="007746C5" w:rsidRDefault="007746C5" w:rsidP="009A04E6">
      <w:pPr>
        <w:pStyle w:val="Bibliography"/>
        <w:spacing w:line="240" w:lineRule="auto"/>
      </w:pPr>
      <w:r w:rsidRPr="007746C5">
        <w:t xml:space="preserve">El-Sayed, A. M., Suckling, D. M., Wearing, C. H., &amp; Byers, J. A. (2006). Potential of Mass Trapping for Long-Term Pest Management and Eradication of Invasive Species. </w:t>
      </w:r>
      <w:r w:rsidRPr="007746C5">
        <w:rPr>
          <w:i/>
          <w:iCs/>
        </w:rPr>
        <w:t>Journal of Economic Entomology</w:t>
      </w:r>
      <w:r w:rsidRPr="007746C5">
        <w:t xml:space="preserve">, </w:t>
      </w:r>
      <w:r w:rsidRPr="007746C5">
        <w:rPr>
          <w:i/>
          <w:iCs/>
        </w:rPr>
        <w:t>99</w:t>
      </w:r>
      <w:r w:rsidRPr="007746C5">
        <w:t>(5), 1550–1564. https://doi.org/10.1603/0022-0493-99.5.1550</w:t>
      </w:r>
    </w:p>
    <w:p w14:paraId="5F926100" w14:textId="77777777" w:rsidR="007746C5" w:rsidRPr="007746C5" w:rsidRDefault="007746C5" w:rsidP="009A04E6">
      <w:pPr>
        <w:pStyle w:val="Bibliography"/>
        <w:spacing w:line="240" w:lineRule="auto"/>
      </w:pPr>
      <w:r w:rsidRPr="007746C5">
        <w:t xml:space="preserve">Ens, E., Daniels, C., Nelson, E., Roy, J., &amp; Dixon, P. (2016). Creating multi-functional landscapes: Using exclusion fences to frame feral ungulate management preferences in remote Aboriginal-owned northern Australia. </w:t>
      </w:r>
      <w:r w:rsidRPr="007746C5">
        <w:rPr>
          <w:i/>
          <w:iCs/>
        </w:rPr>
        <w:t>Biological Conservation</w:t>
      </w:r>
      <w:r w:rsidRPr="007746C5">
        <w:t xml:space="preserve">, </w:t>
      </w:r>
      <w:r w:rsidRPr="007746C5">
        <w:rPr>
          <w:i/>
          <w:iCs/>
        </w:rPr>
        <w:t>197</w:t>
      </w:r>
      <w:r w:rsidRPr="007746C5">
        <w:t>, 235–246. https://doi.org/10.1016/j.biocon.2016.03.007</w:t>
      </w:r>
    </w:p>
    <w:p w14:paraId="0DA036FD" w14:textId="77777777" w:rsidR="007746C5" w:rsidRPr="007746C5" w:rsidRDefault="007746C5" w:rsidP="009A04E6">
      <w:pPr>
        <w:pStyle w:val="Bibliography"/>
        <w:spacing w:line="240" w:lineRule="auto"/>
      </w:pPr>
      <w:r w:rsidRPr="007746C5">
        <w:t xml:space="preserve">Epanchin-Niell, R. S., Brockerhoff, E. G., Kean, J. M., &amp; Turner, J. A. (2014). Designing cost-efficient surveillance for early detection and control of multiple biological invaders. </w:t>
      </w:r>
      <w:r w:rsidRPr="007746C5">
        <w:rPr>
          <w:i/>
          <w:iCs/>
        </w:rPr>
        <w:t>Ecological Applications</w:t>
      </w:r>
      <w:r w:rsidRPr="007746C5">
        <w:t xml:space="preserve">, </w:t>
      </w:r>
      <w:r w:rsidRPr="007746C5">
        <w:rPr>
          <w:i/>
          <w:iCs/>
        </w:rPr>
        <w:t>24</w:t>
      </w:r>
      <w:r w:rsidRPr="007746C5">
        <w:t>(6), 1258–1274. https://doi.org/10.1890/13-1331.1</w:t>
      </w:r>
    </w:p>
    <w:p w14:paraId="566A304C" w14:textId="77777777" w:rsidR="007746C5" w:rsidRPr="007746C5" w:rsidRDefault="007746C5" w:rsidP="009A04E6">
      <w:pPr>
        <w:pStyle w:val="Bibliography"/>
        <w:spacing w:line="240" w:lineRule="auto"/>
      </w:pPr>
      <w:r w:rsidRPr="007746C5">
        <w:t xml:space="preserve">Epanchin-Niell, R. S., &amp; Wilen, J. E. (2015). Individual and Cooperative Management of Invasive Species in Human-mediated Landscapes. </w:t>
      </w:r>
      <w:r w:rsidRPr="007746C5">
        <w:rPr>
          <w:i/>
          <w:iCs/>
        </w:rPr>
        <w:t>American Journal of Agricultural Economics</w:t>
      </w:r>
      <w:r w:rsidRPr="007746C5">
        <w:t xml:space="preserve">, </w:t>
      </w:r>
      <w:r w:rsidRPr="007746C5">
        <w:rPr>
          <w:i/>
          <w:iCs/>
        </w:rPr>
        <w:t>97</w:t>
      </w:r>
      <w:r w:rsidRPr="007746C5">
        <w:t>(1), 180–198. https://doi.org/10.1093/ajae/aau058</w:t>
      </w:r>
    </w:p>
    <w:p w14:paraId="42CBA9C7" w14:textId="77777777" w:rsidR="007746C5" w:rsidRPr="007746C5" w:rsidRDefault="007746C5" w:rsidP="009A04E6">
      <w:pPr>
        <w:pStyle w:val="Bibliography"/>
        <w:spacing w:line="240" w:lineRule="auto"/>
      </w:pPr>
      <w:r w:rsidRPr="007746C5">
        <w:t xml:space="preserve">Epstein, G., &amp; Smale, D. A. (2017). </w:t>
      </w:r>
      <w:r w:rsidRPr="007746C5">
        <w:rPr>
          <w:i/>
          <w:iCs/>
        </w:rPr>
        <w:t>Undaria pinnatifida</w:t>
      </w:r>
      <w:r w:rsidRPr="007746C5">
        <w:t xml:space="preserve">: A case study to highlight challenges in marine invasion ecology and management. </w:t>
      </w:r>
      <w:r w:rsidRPr="007746C5">
        <w:rPr>
          <w:i/>
          <w:iCs/>
        </w:rPr>
        <w:t>Ecology and Evolution</w:t>
      </w:r>
      <w:r w:rsidRPr="007746C5">
        <w:t xml:space="preserve">, </w:t>
      </w:r>
      <w:r w:rsidRPr="007746C5">
        <w:rPr>
          <w:i/>
          <w:iCs/>
        </w:rPr>
        <w:t>7</w:t>
      </w:r>
      <w:r w:rsidRPr="007746C5">
        <w:t>(20), 8624–8642. https://doi.org/10.1002/ece3.3430</w:t>
      </w:r>
    </w:p>
    <w:p w14:paraId="1A3D0CCA" w14:textId="77777777" w:rsidR="007746C5" w:rsidRPr="007746C5" w:rsidRDefault="007746C5" w:rsidP="009A04E6">
      <w:pPr>
        <w:pStyle w:val="Bibliography"/>
        <w:spacing w:line="240" w:lineRule="auto"/>
      </w:pPr>
      <w:r w:rsidRPr="007746C5">
        <w:t xml:space="preserve">Erz, W. (1966). Ecological principles in the urbanization of birds. </w:t>
      </w:r>
      <w:r w:rsidRPr="007746C5">
        <w:rPr>
          <w:i/>
          <w:iCs/>
        </w:rPr>
        <w:t>Ostrich</w:t>
      </w:r>
      <w:r w:rsidRPr="007746C5">
        <w:t xml:space="preserve">, </w:t>
      </w:r>
      <w:r w:rsidRPr="007746C5">
        <w:rPr>
          <w:i/>
          <w:iCs/>
        </w:rPr>
        <w:t>37</w:t>
      </w:r>
      <w:r w:rsidRPr="007746C5">
        <w:t>(sup1), 357–363. https://doi.org/10.1080/00306525.1966.9639812</w:t>
      </w:r>
    </w:p>
    <w:p w14:paraId="33205E87" w14:textId="77777777" w:rsidR="007746C5" w:rsidRPr="007746C5" w:rsidRDefault="007746C5" w:rsidP="009A04E6">
      <w:pPr>
        <w:pStyle w:val="Bibliography"/>
        <w:spacing w:line="240" w:lineRule="auto"/>
      </w:pPr>
      <w:r w:rsidRPr="007746C5">
        <w:t xml:space="preserve">Eschen, R., O’Hanlon, R., Santini, A., Vannini, A., Roques, A., Kirichenko, N., &amp; Kenis, M. (2019). Safeguarding global plant health: The rise of sentinels. </w:t>
      </w:r>
      <w:r w:rsidRPr="007746C5">
        <w:rPr>
          <w:i/>
          <w:iCs/>
        </w:rPr>
        <w:t>Journal of Pest Science</w:t>
      </w:r>
      <w:r w:rsidRPr="007746C5">
        <w:t xml:space="preserve">, </w:t>
      </w:r>
      <w:r w:rsidRPr="007746C5">
        <w:rPr>
          <w:i/>
          <w:iCs/>
        </w:rPr>
        <w:t>92</w:t>
      </w:r>
      <w:r w:rsidRPr="007746C5">
        <w:t>(1), 29–36. https://doi.org/10.1007/s10340-018-1041-6</w:t>
      </w:r>
    </w:p>
    <w:p w14:paraId="7BD71CE8" w14:textId="77777777" w:rsidR="007746C5" w:rsidRPr="007746C5" w:rsidRDefault="007746C5" w:rsidP="009A04E6">
      <w:pPr>
        <w:pStyle w:val="Bibliography"/>
        <w:spacing w:line="240" w:lineRule="auto"/>
      </w:pPr>
      <w:r w:rsidRPr="007746C5">
        <w:t xml:space="preserve">Espinosa-Romero, M. J., Chan, K. M. A., McDaniels, T., &amp; Dalmer, D. M. (2011). Structuring decision-making for ecosystem-based management. </w:t>
      </w:r>
      <w:r w:rsidRPr="007746C5">
        <w:rPr>
          <w:i/>
          <w:iCs/>
        </w:rPr>
        <w:t>Marine Policy</w:t>
      </w:r>
      <w:r w:rsidRPr="007746C5">
        <w:t xml:space="preserve">, </w:t>
      </w:r>
      <w:r w:rsidRPr="007746C5">
        <w:rPr>
          <w:i/>
          <w:iCs/>
        </w:rPr>
        <w:t>35</w:t>
      </w:r>
      <w:r w:rsidRPr="007746C5">
        <w:t>(5), 575–583. https://doi.org/10.1016/j.marpol.2011.01.019</w:t>
      </w:r>
    </w:p>
    <w:p w14:paraId="067CF582" w14:textId="77777777" w:rsidR="007746C5" w:rsidRPr="007746C5" w:rsidRDefault="007746C5" w:rsidP="009A04E6">
      <w:pPr>
        <w:pStyle w:val="Bibliography"/>
        <w:spacing w:line="240" w:lineRule="auto"/>
      </w:pPr>
      <w:r w:rsidRPr="007746C5">
        <w:t xml:space="preserve">Essl, F., Bacher, S., Blackburn, T. M., Booy, O., Brundu, G., Brunel, S., Cardoso, A.-Cristina., Eschen, R., Gallardo, B., Galil, B., García-Berthou, E., Genovesi, P., Groom, Q., Harrower, C., Hulme, P. E., Katsanevakis, S., Kenis, M., Kühn, I., Kumschick, S., … Jeschke, J. M. (2015). Crossing Frontiers in Tackling Pathways of Biological Invasions. </w:t>
      </w:r>
      <w:r w:rsidRPr="007746C5">
        <w:rPr>
          <w:i/>
          <w:iCs/>
        </w:rPr>
        <w:t>BioScience</w:t>
      </w:r>
      <w:r w:rsidRPr="007746C5">
        <w:t xml:space="preserve">, </w:t>
      </w:r>
      <w:r w:rsidRPr="007746C5">
        <w:rPr>
          <w:i/>
          <w:iCs/>
        </w:rPr>
        <w:t>65</w:t>
      </w:r>
      <w:r w:rsidRPr="007746C5">
        <w:t>(8), 769–782. https://doi.org/10.1093/biosci/biv082</w:t>
      </w:r>
    </w:p>
    <w:p w14:paraId="02E32E35" w14:textId="77777777" w:rsidR="007746C5" w:rsidRPr="007746C5" w:rsidRDefault="007746C5" w:rsidP="009A04E6">
      <w:pPr>
        <w:pStyle w:val="Bibliography"/>
        <w:spacing w:line="240" w:lineRule="auto"/>
      </w:pPr>
      <w:r w:rsidRPr="007746C5">
        <w:t xml:space="preserve">Essl, F., Nehring, S., Klingenstein, F., Milasowszky, N., Nowack, C., &amp; Rabitsch, W. (2011). Review of risk assessment systems of IAS in Europe and introducing the German–Austrian </w:t>
      </w:r>
      <w:r w:rsidRPr="007746C5">
        <w:lastRenderedPageBreak/>
        <w:t xml:space="preserve">Black List Information System (GABLIS). </w:t>
      </w:r>
      <w:r w:rsidRPr="007746C5">
        <w:rPr>
          <w:i/>
          <w:iCs/>
        </w:rPr>
        <w:t>Journal for Nature Conservation</w:t>
      </w:r>
      <w:r w:rsidRPr="007746C5">
        <w:t xml:space="preserve">, </w:t>
      </w:r>
      <w:r w:rsidRPr="007746C5">
        <w:rPr>
          <w:i/>
          <w:iCs/>
        </w:rPr>
        <w:t>19</w:t>
      </w:r>
      <w:r w:rsidRPr="007746C5">
        <w:t>(6), 339–350. https://doi.org/10.1016/j.jnc.2011.08.005</w:t>
      </w:r>
    </w:p>
    <w:p w14:paraId="607060A6" w14:textId="77777777" w:rsidR="007746C5" w:rsidRPr="007746C5" w:rsidRDefault="007746C5" w:rsidP="009A04E6">
      <w:pPr>
        <w:pStyle w:val="Bibliography"/>
        <w:spacing w:line="240" w:lineRule="auto"/>
      </w:pPr>
      <w:r w:rsidRPr="007746C5">
        <w:t xml:space="preserve">Estévez, R. A., Anderson, C. B., Pizarro, J. C., &amp; Burgman, M. A. (2015). Clarifying values, risk perceptions, and attitudes to resolve or avoid social conflicts in invasive species management. </w:t>
      </w:r>
      <w:r w:rsidRPr="007746C5">
        <w:rPr>
          <w:i/>
          <w:iCs/>
        </w:rPr>
        <w:t>Conservation Biology</w:t>
      </w:r>
      <w:r w:rsidRPr="007746C5">
        <w:t xml:space="preserve">, </w:t>
      </w:r>
      <w:r w:rsidRPr="007746C5">
        <w:rPr>
          <w:i/>
          <w:iCs/>
        </w:rPr>
        <w:t>29</w:t>
      </w:r>
      <w:r w:rsidRPr="007746C5">
        <w:t>(1), 19–30. https://doi.org/10.1111/cobi.12359</w:t>
      </w:r>
    </w:p>
    <w:p w14:paraId="52389F64" w14:textId="77777777" w:rsidR="007746C5" w:rsidRPr="007746C5" w:rsidRDefault="007746C5" w:rsidP="009A04E6">
      <w:pPr>
        <w:pStyle w:val="Bibliography"/>
        <w:spacing w:line="240" w:lineRule="auto"/>
      </w:pPr>
      <w:r w:rsidRPr="007746C5">
        <w:t xml:space="preserve">Estévez, R. A., Walshe, T., &amp; Burgman, M. A. (2013). Capturing social impacts for decision-making: A Multicriteria Decision Analysis perspective. </w:t>
      </w:r>
      <w:r w:rsidRPr="007746C5">
        <w:rPr>
          <w:i/>
          <w:iCs/>
        </w:rPr>
        <w:t>Diversity and Distributions</w:t>
      </w:r>
      <w:r w:rsidRPr="007746C5">
        <w:t xml:space="preserve">, </w:t>
      </w:r>
      <w:r w:rsidRPr="007746C5">
        <w:rPr>
          <w:i/>
          <w:iCs/>
        </w:rPr>
        <w:t>19</w:t>
      </w:r>
      <w:r w:rsidRPr="007746C5">
        <w:t>(5–6), 608–616. https://doi.org/10.1111/ddi.12058</w:t>
      </w:r>
    </w:p>
    <w:p w14:paraId="61479D10" w14:textId="77777777" w:rsidR="007746C5" w:rsidRPr="007746C5" w:rsidRDefault="007746C5" w:rsidP="009A04E6">
      <w:pPr>
        <w:pStyle w:val="Bibliography"/>
        <w:spacing w:line="240" w:lineRule="auto"/>
      </w:pPr>
      <w:r w:rsidRPr="007746C5">
        <w:t xml:space="preserve">Esvelt, K. M., &amp; Gemmell, N. J. (2017). Conservation demands safe gene drive. </w:t>
      </w:r>
      <w:r w:rsidRPr="007746C5">
        <w:rPr>
          <w:i/>
          <w:iCs/>
        </w:rPr>
        <w:t>PLOS Biology</w:t>
      </w:r>
      <w:r w:rsidRPr="007746C5">
        <w:t xml:space="preserve">, </w:t>
      </w:r>
      <w:r w:rsidRPr="007746C5">
        <w:rPr>
          <w:i/>
          <w:iCs/>
        </w:rPr>
        <w:t>15</w:t>
      </w:r>
      <w:r w:rsidRPr="007746C5">
        <w:t>(11), e2003850. https://doi.org/10.1371/journal.pbio.2003850</w:t>
      </w:r>
    </w:p>
    <w:p w14:paraId="13615192" w14:textId="77777777" w:rsidR="007746C5" w:rsidRPr="007746C5" w:rsidRDefault="007746C5" w:rsidP="009A04E6">
      <w:pPr>
        <w:pStyle w:val="Bibliography"/>
        <w:spacing w:line="240" w:lineRule="auto"/>
      </w:pPr>
      <w:r w:rsidRPr="007746C5">
        <w:t xml:space="preserve">Etebari, K., Gharuka, M., Asgari, S., &amp; Furlong, M. J. (2021). Diverse Host Immune Responses of Different Geographical Populations of the Coconut Rhinoceros Beetle to </w:t>
      </w:r>
      <w:r w:rsidRPr="007746C5">
        <w:rPr>
          <w:i/>
          <w:iCs/>
        </w:rPr>
        <w:t>Oryctes rhinoceros</w:t>
      </w:r>
      <w:r w:rsidRPr="007746C5">
        <w:t xml:space="preserve"> Nudivirus (OrNV) Infection. </w:t>
      </w:r>
      <w:r w:rsidRPr="007746C5">
        <w:rPr>
          <w:i/>
          <w:iCs/>
        </w:rPr>
        <w:t>Microbiology Spectrum</w:t>
      </w:r>
      <w:r w:rsidRPr="007746C5">
        <w:t xml:space="preserve">, </w:t>
      </w:r>
      <w:r w:rsidRPr="007746C5">
        <w:rPr>
          <w:i/>
          <w:iCs/>
        </w:rPr>
        <w:t>9</w:t>
      </w:r>
      <w:r w:rsidRPr="007746C5">
        <w:t>(2), e00686-21. https://doi.org/10.1128/Spectrum.00686-21</w:t>
      </w:r>
    </w:p>
    <w:p w14:paraId="178310F4" w14:textId="77777777" w:rsidR="007746C5" w:rsidRPr="007746C5" w:rsidRDefault="007746C5" w:rsidP="009A04E6">
      <w:pPr>
        <w:pStyle w:val="Bibliography"/>
        <w:spacing w:line="240" w:lineRule="auto"/>
      </w:pPr>
      <w:r w:rsidRPr="007746C5">
        <w:t xml:space="preserve">European Union. (2014). </w:t>
      </w:r>
      <w:r w:rsidRPr="007746C5">
        <w:rPr>
          <w:i/>
          <w:iCs/>
        </w:rPr>
        <w:t>Regulation (EU) No 1143/2014 of the European Parliament and of the Council of 22 October 2014 on the prevention and management of the introduction and spread of invasive alien species.</w:t>
      </w:r>
      <w:r w:rsidRPr="007746C5">
        <w:t xml:space="preserve"> Official Journal of the European Union, 57, 35. http://eur-lex.europa.eu/legal-content/EN/TXT/?uri=OJ:JOL_2014_317_R_0003</w:t>
      </w:r>
    </w:p>
    <w:p w14:paraId="1A2E1BFD" w14:textId="77777777" w:rsidR="007746C5" w:rsidRPr="007746C5" w:rsidRDefault="007746C5" w:rsidP="009A04E6">
      <w:pPr>
        <w:pStyle w:val="Bibliography"/>
        <w:spacing w:line="240" w:lineRule="auto"/>
      </w:pPr>
      <w:r w:rsidRPr="007746C5">
        <w:t xml:space="preserve">FAO. (1995). </w:t>
      </w:r>
      <w:r w:rsidRPr="007746C5">
        <w:rPr>
          <w:i/>
          <w:iCs/>
        </w:rPr>
        <w:t>Guidelines for pest risk analysis</w:t>
      </w:r>
      <w:r w:rsidRPr="007746C5">
        <w:t>. International standards for phytosanitary measures (ISPM). No. 2. Food and Agriculture Organization of the United Nations. https://www.ippc.int/largefiles/adopted_ISPMs_previousversions/en/ISPM_02_1995_En_2006-05-03.pdf</w:t>
      </w:r>
    </w:p>
    <w:p w14:paraId="75F466FD" w14:textId="77777777" w:rsidR="007746C5" w:rsidRPr="007746C5" w:rsidRDefault="007746C5" w:rsidP="009A04E6">
      <w:pPr>
        <w:pStyle w:val="Bibliography"/>
        <w:spacing w:line="240" w:lineRule="auto"/>
      </w:pPr>
      <w:r w:rsidRPr="007746C5">
        <w:t xml:space="preserve">FAO. (2006). </w:t>
      </w:r>
      <w:r w:rsidRPr="007746C5">
        <w:rPr>
          <w:i/>
          <w:iCs/>
        </w:rPr>
        <w:t>Recommendations for improved weed management</w:t>
      </w:r>
      <w:r w:rsidRPr="007746C5">
        <w:t>. FAO. https://www.fao.org/3/a0884e/a0884e00.pdf</w:t>
      </w:r>
    </w:p>
    <w:p w14:paraId="3C1FECF3" w14:textId="77777777" w:rsidR="007746C5" w:rsidRPr="007746C5" w:rsidRDefault="007746C5" w:rsidP="009A04E6">
      <w:pPr>
        <w:pStyle w:val="Bibliography"/>
        <w:spacing w:line="240" w:lineRule="auto"/>
      </w:pPr>
      <w:r w:rsidRPr="007746C5">
        <w:t xml:space="preserve">FAO. (2008). </w:t>
      </w:r>
      <w:r w:rsidRPr="007746C5">
        <w:rPr>
          <w:i/>
          <w:iCs/>
        </w:rPr>
        <w:t>Understanding and applying risk analysis in aquaculture</w:t>
      </w:r>
      <w:r w:rsidRPr="007746C5">
        <w:t xml:space="preserve"> (M. G. Bondad-Reantaso, J. R. Arthur, &amp; R. P. Subasinghe, Eds.). FAO. https://www.fao.org/3/i0490e/i0490e00.pdf</w:t>
      </w:r>
    </w:p>
    <w:p w14:paraId="2FD1F5A1" w14:textId="77777777" w:rsidR="007746C5" w:rsidRPr="007746C5" w:rsidRDefault="007746C5" w:rsidP="009A04E6">
      <w:pPr>
        <w:pStyle w:val="Bibliography"/>
        <w:spacing w:line="240" w:lineRule="auto"/>
      </w:pPr>
      <w:r w:rsidRPr="007746C5">
        <w:t xml:space="preserve">FAO. (2018a). </w:t>
      </w:r>
      <w:r w:rsidRPr="007746C5">
        <w:rPr>
          <w:i/>
          <w:iCs/>
        </w:rPr>
        <w:t>International Standard for Phytosanitary Measures 6. Surveillance.</w:t>
      </w:r>
      <w:r w:rsidRPr="007746C5">
        <w:t xml:space="preserve"> Food and Agriculture Organization of the United Nations. http://www.fao.org/documents/card/en/c/7985f320-a606-47f9-9f0b-9dfa5a2e1622/</w:t>
      </w:r>
    </w:p>
    <w:p w14:paraId="24C8E2AE" w14:textId="77777777" w:rsidR="007746C5" w:rsidRPr="007746C5" w:rsidRDefault="007746C5" w:rsidP="009A04E6">
      <w:pPr>
        <w:pStyle w:val="Bibliography"/>
        <w:spacing w:line="240" w:lineRule="auto"/>
      </w:pPr>
      <w:r w:rsidRPr="007746C5">
        <w:t xml:space="preserve">FAO. (2018b). </w:t>
      </w:r>
      <w:r w:rsidRPr="007746C5">
        <w:rPr>
          <w:i/>
          <w:iCs/>
        </w:rPr>
        <w:t>The Republic of Namibia: Fall armyworm impact and needs assessment, 2018</w:t>
      </w:r>
      <w:r w:rsidRPr="007746C5">
        <w:t xml:space="preserve"> (p. 52). Food and Agriculture Organisation of the United Nations. https://www.fao.org/documents/card/ru/c/I9556EN/</w:t>
      </w:r>
    </w:p>
    <w:p w14:paraId="49ACE1BC" w14:textId="77777777" w:rsidR="007746C5" w:rsidRPr="007746C5" w:rsidRDefault="007746C5" w:rsidP="009A04E6">
      <w:pPr>
        <w:pStyle w:val="Bibliography"/>
        <w:spacing w:line="240" w:lineRule="auto"/>
      </w:pPr>
      <w:r w:rsidRPr="007746C5">
        <w:t xml:space="preserve">FAO. (2021). </w:t>
      </w:r>
      <w:r w:rsidRPr="007746C5">
        <w:rPr>
          <w:i/>
          <w:iCs/>
        </w:rPr>
        <w:t>Food and Agriculture Organization of the United Nations</w:t>
      </w:r>
      <w:r w:rsidRPr="007746C5">
        <w:t>. https://www.fao.org/food-chain-crisis/resources/success-stories/detail/en/c/1127653/</w:t>
      </w:r>
    </w:p>
    <w:p w14:paraId="085CCFCD" w14:textId="77777777" w:rsidR="007746C5" w:rsidRPr="007746C5" w:rsidRDefault="007746C5" w:rsidP="009A04E6">
      <w:pPr>
        <w:pStyle w:val="Bibliography"/>
        <w:spacing w:line="240" w:lineRule="auto"/>
      </w:pPr>
      <w:r w:rsidRPr="007746C5">
        <w:t xml:space="preserve">FAO &amp; AEG. (2016). </w:t>
      </w:r>
      <w:r w:rsidRPr="007746C5">
        <w:rPr>
          <w:i/>
          <w:iCs/>
        </w:rPr>
        <w:t>Integrated Pest Management Using the Sterile Insect Technique</w:t>
      </w:r>
      <w:r w:rsidRPr="007746C5">
        <w:t>. Food and Agriculture Organization and Atomic Energy Agency. https://www.iaea.org/sites/default/files/sit-brochure.pdf</w:t>
      </w:r>
    </w:p>
    <w:p w14:paraId="6B9CB187" w14:textId="77777777" w:rsidR="007746C5" w:rsidRPr="007746C5" w:rsidRDefault="007746C5" w:rsidP="009A04E6">
      <w:pPr>
        <w:pStyle w:val="Bibliography"/>
        <w:spacing w:line="240" w:lineRule="auto"/>
      </w:pPr>
      <w:r w:rsidRPr="007746C5">
        <w:t xml:space="preserve">FAO &amp; WHO. (2014). </w:t>
      </w:r>
      <w:r w:rsidRPr="007746C5">
        <w:rPr>
          <w:i/>
          <w:iCs/>
        </w:rPr>
        <w:t>The International Code of Conduct on Pesticide Management</w:t>
      </w:r>
      <w:r w:rsidRPr="007746C5">
        <w:t>. https://www.fao.org/fileadmin/templates/agphome/documents/Pests_Pesticides/Code/Code_ENG_2017updated.pdf</w:t>
      </w:r>
    </w:p>
    <w:p w14:paraId="755381E0" w14:textId="77777777" w:rsidR="007746C5" w:rsidRPr="007746C5" w:rsidRDefault="007746C5" w:rsidP="009A04E6">
      <w:pPr>
        <w:pStyle w:val="Bibliography"/>
        <w:spacing w:line="240" w:lineRule="auto"/>
      </w:pPr>
      <w:r w:rsidRPr="007746C5">
        <w:t xml:space="preserve">Farouk, A., &amp; Zhen, D. (2019). Big data analysis techniques for intelligent systems. </w:t>
      </w:r>
      <w:r w:rsidRPr="007746C5">
        <w:rPr>
          <w:i/>
          <w:iCs/>
        </w:rPr>
        <w:t>Journal of Intelligent &amp; Fuzzy Systems</w:t>
      </w:r>
      <w:r w:rsidRPr="007746C5">
        <w:t xml:space="preserve">, </w:t>
      </w:r>
      <w:r w:rsidRPr="007746C5">
        <w:rPr>
          <w:i/>
          <w:iCs/>
        </w:rPr>
        <w:t>37</w:t>
      </w:r>
      <w:r w:rsidRPr="007746C5">
        <w:t>(3), 3067–3071. https://doi.org/10.3233/JIFS-179109</w:t>
      </w:r>
    </w:p>
    <w:p w14:paraId="1FAA55B4" w14:textId="77777777" w:rsidR="007746C5" w:rsidRPr="007746C5" w:rsidRDefault="007746C5" w:rsidP="009A04E6">
      <w:pPr>
        <w:pStyle w:val="Bibliography"/>
        <w:spacing w:line="240" w:lineRule="auto"/>
      </w:pPr>
      <w:r w:rsidRPr="007746C5">
        <w:t xml:space="preserve">Faulkner, K. T., Hulme, P. E., Pagad, S., Wilson, J. R. U., &amp; Robertson, M. P. (2020). Classifying the introduction pathways of alien species: Are we moving in the right direction? </w:t>
      </w:r>
      <w:r w:rsidRPr="007746C5">
        <w:rPr>
          <w:i/>
          <w:iCs/>
        </w:rPr>
        <w:t>NeoBiota</w:t>
      </w:r>
      <w:r w:rsidRPr="007746C5">
        <w:t xml:space="preserve">, </w:t>
      </w:r>
      <w:r w:rsidRPr="007746C5">
        <w:rPr>
          <w:i/>
          <w:iCs/>
        </w:rPr>
        <w:t>62</w:t>
      </w:r>
      <w:r w:rsidRPr="007746C5">
        <w:t>, 143–159. https://doi.org/10.3897/neobiota.62.53543</w:t>
      </w:r>
    </w:p>
    <w:p w14:paraId="64A6A072" w14:textId="77777777" w:rsidR="007746C5" w:rsidRPr="007746C5" w:rsidRDefault="007746C5" w:rsidP="009A04E6">
      <w:pPr>
        <w:pStyle w:val="Bibliography"/>
        <w:spacing w:line="240" w:lineRule="auto"/>
      </w:pPr>
      <w:r w:rsidRPr="007746C5">
        <w:t xml:space="preserve">Fenichel, E. P., Horan, R. D., &amp; Bence, J. R. (2010). Indirect management of invasive species through bio-controls: A bioeconomic model of salmon and alewife in Lake Michigan. </w:t>
      </w:r>
      <w:r w:rsidRPr="007746C5">
        <w:rPr>
          <w:i/>
          <w:iCs/>
        </w:rPr>
        <w:t>Resource and Energy Economics</w:t>
      </w:r>
      <w:r w:rsidRPr="007746C5">
        <w:t xml:space="preserve">, </w:t>
      </w:r>
      <w:r w:rsidRPr="007746C5">
        <w:rPr>
          <w:i/>
          <w:iCs/>
        </w:rPr>
        <w:t>32</w:t>
      </w:r>
      <w:r w:rsidRPr="007746C5">
        <w:t>(4), 500–518. https://doi.org/10.1016/j.reseneeco.2010.04.002</w:t>
      </w:r>
    </w:p>
    <w:p w14:paraId="67662F3F" w14:textId="77777777" w:rsidR="007746C5" w:rsidRPr="007746C5" w:rsidRDefault="007746C5" w:rsidP="009A04E6">
      <w:pPr>
        <w:pStyle w:val="Bibliography"/>
        <w:spacing w:line="240" w:lineRule="auto"/>
      </w:pPr>
      <w:r w:rsidRPr="007746C5">
        <w:t xml:space="preserve">Fenouillas, P., Ah-Peng, C., Amy, E., Bracco, I., Gosset, M., Ingrassia, F., Lavergne, C., Lequette, B., Notter, J. C., Pausé, J. M., Payet, N., Payet, G., Picot, F., Poungavanon, N., Strasberg, D., Thomas, H., Triolo, J., Turquet, V., &amp; Rouget, V. (2020). </w:t>
      </w:r>
      <w:r w:rsidRPr="007746C5">
        <w:rPr>
          <w:i/>
          <w:iCs/>
        </w:rPr>
        <w:t xml:space="preserve">Priorisation spatiale des </w:t>
      </w:r>
      <w:r w:rsidRPr="007746C5">
        <w:rPr>
          <w:i/>
          <w:iCs/>
        </w:rPr>
        <w:lastRenderedPageBreak/>
        <w:t>actions de gestion des plantes exotiques envahissantes: Une étape-clé de la conservation à long terme des milieux naturels à la Réunion. Version 1</w:t>
      </w:r>
      <w:r w:rsidRPr="007746C5">
        <w:t>. CIRAD, Saint Pierre. https://agritrop.cirad.fr/596376/1/Rapport%20technique%20PNR_24_Aout2020.pdf</w:t>
      </w:r>
    </w:p>
    <w:p w14:paraId="562F6B10" w14:textId="77777777" w:rsidR="007746C5" w:rsidRPr="007746C5" w:rsidRDefault="007746C5" w:rsidP="009A04E6">
      <w:pPr>
        <w:pStyle w:val="Bibliography"/>
        <w:spacing w:line="240" w:lineRule="auto"/>
      </w:pPr>
      <w:r w:rsidRPr="007746C5">
        <w:t xml:space="preserve">Ferguson, A., &amp; Chun, N. (2011). </w:t>
      </w:r>
      <w:r w:rsidRPr="007746C5">
        <w:rPr>
          <w:i/>
          <w:iCs/>
        </w:rPr>
        <w:t>Terminal Evaluation of Tonle Sap Conservation Project</w:t>
      </w:r>
      <w:r w:rsidRPr="007746C5">
        <w:t xml:space="preserve"> (p. 60). Cambodia National Mekong Committee and Ministry of Environment, Royal Government of Cambodia. https://erc.undp.org/evaluation/documents/download/4959</w:t>
      </w:r>
    </w:p>
    <w:p w14:paraId="742B2338" w14:textId="77777777" w:rsidR="007746C5" w:rsidRPr="007746C5" w:rsidRDefault="007746C5" w:rsidP="009A04E6">
      <w:pPr>
        <w:pStyle w:val="Bibliography"/>
        <w:spacing w:line="240" w:lineRule="auto"/>
      </w:pPr>
      <w:r w:rsidRPr="007746C5">
        <w:t xml:space="preserve">Fernandes, J. A., Santos, L., Vance, T., Fileman, T., Smith, D., Bishop, J. D. D., Viard, F., Queirós, A. M., Merino, G., Buisman, E., &amp; Austen, M. C. (2016). Costs and benefits to European shipping of ballast-water and hull-fouling treatment: Impacts of native and non-indigenous species. </w:t>
      </w:r>
      <w:r w:rsidRPr="007746C5">
        <w:rPr>
          <w:i/>
          <w:iCs/>
        </w:rPr>
        <w:t>Marine Policy</w:t>
      </w:r>
      <w:r w:rsidRPr="007746C5">
        <w:t xml:space="preserve">, </w:t>
      </w:r>
      <w:r w:rsidRPr="007746C5">
        <w:rPr>
          <w:i/>
          <w:iCs/>
        </w:rPr>
        <w:t>64</w:t>
      </w:r>
      <w:r w:rsidRPr="007746C5">
        <w:t>, 148–155. https://doi.org/10.1016/j.marpol.2015.11.015</w:t>
      </w:r>
    </w:p>
    <w:p w14:paraId="35F31674" w14:textId="77777777" w:rsidR="007746C5" w:rsidRPr="007746C5" w:rsidRDefault="007746C5" w:rsidP="009A04E6">
      <w:pPr>
        <w:pStyle w:val="Bibliography"/>
        <w:spacing w:line="240" w:lineRule="auto"/>
      </w:pPr>
      <w:r w:rsidRPr="007746C5">
        <w:t xml:space="preserve">Fessl, B., Young, G. H., Young, R. P., Rodríguez-Matamoros, J., Dvorak, M., Tebbich, S., &amp; Fa, J. E. (2010). How to save the rarest Darwin’s finch from extinction: The mangrove finch on Isabela Island. </w:t>
      </w:r>
      <w:r w:rsidRPr="007746C5">
        <w:rPr>
          <w:i/>
          <w:iCs/>
        </w:rPr>
        <w:t>Philosophical Transactions of the Royal Society B: Biological Sciences</w:t>
      </w:r>
      <w:r w:rsidRPr="007746C5">
        <w:t xml:space="preserve">, </w:t>
      </w:r>
      <w:r w:rsidRPr="007746C5">
        <w:rPr>
          <w:i/>
          <w:iCs/>
        </w:rPr>
        <w:t>365</w:t>
      </w:r>
      <w:r w:rsidRPr="007746C5">
        <w:t>(1543), 1019–1030. https://doi.org/10.1098/rstb.2009.0288</w:t>
      </w:r>
    </w:p>
    <w:p w14:paraId="49B12466" w14:textId="77777777" w:rsidR="007746C5" w:rsidRPr="007746C5" w:rsidRDefault="007746C5" w:rsidP="009A04E6">
      <w:pPr>
        <w:pStyle w:val="Bibliography"/>
        <w:spacing w:line="240" w:lineRule="auto"/>
      </w:pPr>
      <w:r w:rsidRPr="007746C5">
        <w:t xml:space="preserve">Fields, P. G., &amp; White, N. D. G. (2002). Alternatives to methyl bromide treatments for stored-product and quarantine insects. </w:t>
      </w:r>
      <w:r w:rsidRPr="007746C5">
        <w:rPr>
          <w:i/>
          <w:iCs/>
        </w:rPr>
        <w:t>Annual Review of Entomology</w:t>
      </w:r>
      <w:r w:rsidRPr="007746C5">
        <w:t xml:space="preserve">, </w:t>
      </w:r>
      <w:r w:rsidRPr="007746C5">
        <w:rPr>
          <w:i/>
          <w:iCs/>
        </w:rPr>
        <w:t>47</w:t>
      </w:r>
      <w:r w:rsidRPr="007746C5">
        <w:t>, 331–359. https://doi.org/10.1146/annurev.ento.47.091201.145217</w:t>
      </w:r>
    </w:p>
    <w:p w14:paraId="2BCE491A" w14:textId="77777777" w:rsidR="007746C5" w:rsidRPr="007746C5" w:rsidRDefault="007746C5" w:rsidP="009A04E6">
      <w:pPr>
        <w:pStyle w:val="Bibliography"/>
        <w:spacing w:line="240" w:lineRule="auto"/>
      </w:pPr>
      <w:r w:rsidRPr="007746C5">
        <w:t xml:space="preserve">Figueroa, D. F., McClure, A., Figueroa, N. J., &amp; Hicks, D. W. (2019). Hiding in plain sight: Invasive coral </w:t>
      </w:r>
      <w:r w:rsidRPr="007746C5">
        <w:rPr>
          <w:i/>
          <w:iCs/>
        </w:rPr>
        <w:t>Tubastraea tagusensis</w:t>
      </w:r>
      <w:r w:rsidRPr="007746C5">
        <w:t xml:space="preserve"> (Scleractinia: Hexacorallia) in the Gulf of Mexico. </w:t>
      </w:r>
      <w:r w:rsidRPr="007746C5">
        <w:rPr>
          <w:i/>
          <w:iCs/>
        </w:rPr>
        <w:t>Coral Reefs</w:t>
      </w:r>
      <w:r w:rsidRPr="007746C5">
        <w:t xml:space="preserve">, </w:t>
      </w:r>
      <w:r w:rsidRPr="007746C5">
        <w:rPr>
          <w:i/>
          <w:iCs/>
        </w:rPr>
        <w:t>38</w:t>
      </w:r>
      <w:r w:rsidRPr="007746C5">
        <w:t>(3), 395–403. https://doi.org/10.1007/s00338-019-01807-7</w:t>
      </w:r>
    </w:p>
    <w:p w14:paraId="23D74170" w14:textId="77777777" w:rsidR="007746C5" w:rsidRPr="007746C5" w:rsidRDefault="007746C5" w:rsidP="009A04E6">
      <w:pPr>
        <w:pStyle w:val="Bibliography"/>
        <w:spacing w:line="240" w:lineRule="auto"/>
      </w:pPr>
      <w:r w:rsidRPr="007746C5">
        <w:t xml:space="preserve">Filipe, J. A. N., Cobb, R. C., Meentemeyer, R. K., Lee, C. A., Valachovic, Y. S., Cook, A. R., Rizzo, D. M., &amp; Gilligan, C. A. (2012). Landscape Epidemiology and Control of Pathogens with Cryptic and Long-Distance Dispersal: Sudden Oak Death in Northern Californian Forests. </w:t>
      </w:r>
      <w:r w:rsidRPr="007746C5">
        <w:rPr>
          <w:i/>
          <w:iCs/>
        </w:rPr>
        <w:t>PLOS Computational Biology</w:t>
      </w:r>
      <w:r w:rsidRPr="007746C5">
        <w:t xml:space="preserve">, </w:t>
      </w:r>
      <w:r w:rsidRPr="007746C5">
        <w:rPr>
          <w:i/>
          <w:iCs/>
        </w:rPr>
        <w:t>8</w:t>
      </w:r>
      <w:r w:rsidRPr="007746C5">
        <w:t>(1), e1002328. https://doi.org/10.1371/journal.pcbi.1002328</w:t>
      </w:r>
    </w:p>
    <w:p w14:paraId="13F63B1C" w14:textId="77777777" w:rsidR="007746C5" w:rsidRPr="007746C5" w:rsidRDefault="007746C5" w:rsidP="009A04E6">
      <w:pPr>
        <w:pStyle w:val="Bibliography"/>
        <w:spacing w:line="240" w:lineRule="auto"/>
      </w:pPr>
      <w:r w:rsidRPr="007746C5">
        <w:t xml:space="preserve">Finnoff, D., Shogren, J. F., Leung, B., &amp; Lodge, D. (2007). Take a risk: Preferring prevention over control of biological invaders. </w:t>
      </w:r>
      <w:r w:rsidRPr="007746C5">
        <w:rPr>
          <w:i/>
          <w:iCs/>
        </w:rPr>
        <w:t>Ecological Economics</w:t>
      </w:r>
      <w:r w:rsidRPr="007746C5">
        <w:t xml:space="preserve">, </w:t>
      </w:r>
      <w:r w:rsidRPr="007746C5">
        <w:rPr>
          <w:i/>
          <w:iCs/>
        </w:rPr>
        <w:t>62</w:t>
      </w:r>
      <w:r w:rsidRPr="007746C5">
        <w:t>(2), 216–222. https://doi.org/10.1016/j.ecolecon.2006.03.025</w:t>
      </w:r>
    </w:p>
    <w:p w14:paraId="68465758" w14:textId="77777777" w:rsidR="007746C5" w:rsidRPr="007746C5" w:rsidRDefault="007746C5" w:rsidP="009A04E6">
      <w:pPr>
        <w:pStyle w:val="Bibliography"/>
        <w:spacing w:line="240" w:lineRule="auto"/>
      </w:pPr>
      <w:r w:rsidRPr="007746C5">
        <w:t xml:space="preserve">Firn, J., House, A. P. N., &amp; Buckley, Y. M. (2010). Alternative states models provide an effective framework for invasive species control and restoration of native communities. </w:t>
      </w:r>
      <w:r w:rsidRPr="007746C5">
        <w:rPr>
          <w:i/>
          <w:iCs/>
        </w:rPr>
        <w:t>Journal of Applied Ecology</w:t>
      </w:r>
      <w:r w:rsidRPr="007746C5">
        <w:t xml:space="preserve">, </w:t>
      </w:r>
      <w:r w:rsidRPr="007746C5">
        <w:rPr>
          <w:i/>
          <w:iCs/>
        </w:rPr>
        <w:t>47</w:t>
      </w:r>
      <w:r w:rsidRPr="007746C5">
        <w:t>(1), 96–105. https://doi.org/10.1111/j.1365-2664.2009.01741.x</w:t>
      </w:r>
    </w:p>
    <w:p w14:paraId="6D91B151" w14:textId="77777777" w:rsidR="007746C5" w:rsidRPr="007746C5" w:rsidRDefault="007746C5" w:rsidP="009A04E6">
      <w:pPr>
        <w:pStyle w:val="Bibliography"/>
        <w:spacing w:line="240" w:lineRule="auto"/>
      </w:pPr>
      <w:r w:rsidRPr="007746C5">
        <w:t xml:space="preserve">Firn, J., Martin, T. G., Chadès, I., Walters, B., Hayes, J., Nicol, S., &amp; Carwardine, J. (2015). Priority threat management of non-native plants to maintain ecosystem integrity across heterogeneous landscapes. </w:t>
      </w:r>
      <w:r w:rsidRPr="007746C5">
        <w:rPr>
          <w:i/>
          <w:iCs/>
        </w:rPr>
        <w:t>Journal of Applied Ecology</w:t>
      </w:r>
      <w:r w:rsidRPr="007746C5">
        <w:t xml:space="preserve">, </w:t>
      </w:r>
      <w:r w:rsidRPr="007746C5">
        <w:rPr>
          <w:i/>
          <w:iCs/>
        </w:rPr>
        <w:t>52</w:t>
      </w:r>
      <w:r w:rsidRPr="007746C5">
        <w:t>(5), 1135–1144. https://doi.org/10.1111/1365-2664.12500</w:t>
      </w:r>
    </w:p>
    <w:p w14:paraId="094C7547" w14:textId="77777777" w:rsidR="007746C5" w:rsidRPr="007746C5" w:rsidRDefault="007746C5" w:rsidP="009A04E6">
      <w:pPr>
        <w:pStyle w:val="Bibliography"/>
        <w:spacing w:line="240" w:lineRule="auto"/>
      </w:pPr>
      <w:r w:rsidRPr="007746C5">
        <w:t xml:space="preserve">Fish, J., Chiche, Y., Day, R., Efa, N., Witt, A., Fessehaie, R., De Graft Johnson, K., Gumisizira, G., &amp; Nkandu, B. (2010). </w:t>
      </w:r>
      <w:r w:rsidRPr="007746C5">
        <w:rPr>
          <w:i/>
          <w:iCs/>
        </w:rPr>
        <w:t>Mainstreaming gender into prevention and management of invasive species</w:t>
      </w:r>
      <w:r w:rsidRPr="007746C5">
        <w:t>. Global Invasive Species Programme (GISP). https://portals.iucn.org/library/node/9837</w:t>
      </w:r>
    </w:p>
    <w:p w14:paraId="553BDA37" w14:textId="77777777" w:rsidR="007746C5" w:rsidRPr="007746C5" w:rsidRDefault="007746C5" w:rsidP="009A04E6">
      <w:pPr>
        <w:pStyle w:val="Bibliography"/>
        <w:spacing w:line="240" w:lineRule="auto"/>
      </w:pPr>
      <w:r w:rsidRPr="007746C5">
        <w:t xml:space="preserve">Fleming, P. J. S., Allen, B. L., Allen, L. R., Ballard, G.-A., Bengsen, A., Gentle, M. N., McLeod, L. J., Meek, P. D., &amp; Saunders, G. R. (2014). Management of wild canids in Australia: Free-ranging dogs and red foxes. In A. S. Glen &amp; C. R. Dickman (Eds.), </w:t>
      </w:r>
      <w:r w:rsidRPr="007746C5">
        <w:rPr>
          <w:i/>
          <w:iCs/>
        </w:rPr>
        <w:t>Carnivores of Australia: Past, Present and Future</w:t>
      </w:r>
      <w:r w:rsidRPr="007746C5">
        <w:t xml:space="preserve"> (pp. 105–149). CSIRO. https://scholar.google.com.au/scholar?hl=en&amp;as_sdt=0%2C5&amp;q=Management+of+wild+canids+in+Australia%3A+free-ranging+dogs+and+red+foxes.&amp;btnG=</w:t>
      </w:r>
    </w:p>
    <w:p w14:paraId="742F5D5F" w14:textId="77777777" w:rsidR="007746C5" w:rsidRPr="007746C5" w:rsidRDefault="007746C5" w:rsidP="009A04E6">
      <w:pPr>
        <w:pStyle w:val="Bibliography"/>
        <w:spacing w:line="240" w:lineRule="auto"/>
      </w:pPr>
      <w:r w:rsidRPr="007746C5">
        <w:t xml:space="preserve">Fleming, P. J. S., Allen, L. R., Lapidge, S. J., Robley, A., Saunders, G. R., &amp; Thomson, P. C. (2006). A strategic approach to mitigating the impacts of wild canids: Proposed activities of the Invasive Animals Cooperative Research Centre. </w:t>
      </w:r>
      <w:r w:rsidRPr="007746C5">
        <w:rPr>
          <w:i/>
          <w:iCs/>
        </w:rPr>
        <w:t>Australian Journal of Experimental Agriculture</w:t>
      </w:r>
      <w:r w:rsidRPr="007746C5">
        <w:t xml:space="preserve">, </w:t>
      </w:r>
      <w:r w:rsidRPr="007746C5">
        <w:rPr>
          <w:i/>
          <w:iCs/>
        </w:rPr>
        <w:t>46</w:t>
      </w:r>
      <w:r w:rsidRPr="007746C5">
        <w:t>(7), 753–762. https://doi.org/10.1071/EA06009</w:t>
      </w:r>
    </w:p>
    <w:p w14:paraId="581E0D35" w14:textId="77777777" w:rsidR="007746C5" w:rsidRPr="007746C5" w:rsidRDefault="007746C5" w:rsidP="009A04E6">
      <w:pPr>
        <w:pStyle w:val="Bibliography"/>
        <w:spacing w:line="240" w:lineRule="auto"/>
      </w:pPr>
      <w:r w:rsidRPr="007746C5">
        <w:t xml:space="preserve">Flower, P. (2004). </w:t>
      </w:r>
      <w:r w:rsidRPr="007746C5">
        <w:rPr>
          <w:i/>
          <w:iCs/>
        </w:rPr>
        <w:t>Bitou Bush Helicopter Boom Spraying in NSW</w:t>
      </w:r>
      <w:r w:rsidRPr="007746C5">
        <w:t xml:space="preserve"> (p. 96). http://byronshirechemicalfreelandcare.org/links/bitou-bush-helicopter-boom-spraying-in-nsw/</w:t>
      </w:r>
    </w:p>
    <w:p w14:paraId="13ED824C" w14:textId="77777777" w:rsidR="007746C5" w:rsidRPr="007746C5" w:rsidRDefault="007746C5" w:rsidP="009A04E6">
      <w:pPr>
        <w:pStyle w:val="Bibliography"/>
        <w:spacing w:line="240" w:lineRule="auto"/>
      </w:pPr>
      <w:r w:rsidRPr="007746C5">
        <w:lastRenderedPageBreak/>
        <w:t xml:space="preserve">Flueck, W. T. (2010). The slippery slope of exporting invasive species: The case of Himalayan tahr arriving in South America. </w:t>
      </w:r>
      <w:r w:rsidRPr="007746C5">
        <w:rPr>
          <w:i/>
          <w:iCs/>
        </w:rPr>
        <w:t>Biological Invasions</w:t>
      </w:r>
      <w:r w:rsidRPr="007746C5">
        <w:t xml:space="preserve">, </w:t>
      </w:r>
      <w:r w:rsidRPr="007746C5">
        <w:rPr>
          <w:i/>
          <w:iCs/>
        </w:rPr>
        <w:t>12</w:t>
      </w:r>
      <w:r w:rsidRPr="007746C5">
        <w:t>(6), 1467–1475. https://doi.org/10.1007/s10530-009-9590-5</w:t>
      </w:r>
    </w:p>
    <w:p w14:paraId="19AC617F" w14:textId="77777777" w:rsidR="007746C5" w:rsidRPr="007746C5" w:rsidRDefault="007746C5" w:rsidP="009A04E6">
      <w:pPr>
        <w:pStyle w:val="Bibliography"/>
        <w:spacing w:line="240" w:lineRule="auto"/>
      </w:pPr>
      <w:r w:rsidRPr="007746C5">
        <w:t xml:space="preserve">Follett, P. A., &amp; Duan, J. J. (Eds.). (2000). </w:t>
      </w:r>
      <w:r w:rsidRPr="007746C5">
        <w:rPr>
          <w:i/>
          <w:iCs/>
        </w:rPr>
        <w:t>Nontarget effects of biological control</w:t>
      </w:r>
      <w:r w:rsidRPr="007746C5">
        <w:t>. Springer Science+Business Media New York. https://doi.org/10.1007/978-1-4615-4577-4</w:t>
      </w:r>
    </w:p>
    <w:p w14:paraId="05250E58" w14:textId="77777777" w:rsidR="007746C5" w:rsidRPr="007746C5" w:rsidRDefault="007746C5" w:rsidP="009A04E6">
      <w:pPr>
        <w:pStyle w:val="Bibliography"/>
        <w:spacing w:line="240" w:lineRule="auto"/>
      </w:pPr>
      <w:r w:rsidRPr="007746C5">
        <w:t xml:space="preserve">Fonseca, C. R., Guadagnin, D. L., Emer, C., Masciadri, S., Germain, P., &amp; Zalba, S. M. (2013). Invasive alien plants in the Pampas grasslands: A tri-national cooperation challenge. </w:t>
      </w:r>
      <w:r w:rsidRPr="007746C5">
        <w:rPr>
          <w:i/>
          <w:iCs/>
        </w:rPr>
        <w:t>Biological Invasions</w:t>
      </w:r>
      <w:r w:rsidRPr="007746C5">
        <w:t xml:space="preserve">, </w:t>
      </w:r>
      <w:r w:rsidRPr="007746C5">
        <w:rPr>
          <w:i/>
          <w:iCs/>
        </w:rPr>
        <w:t>15</w:t>
      </w:r>
      <w:r w:rsidRPr="007746C5">
        <w:t>(8), 1751–1763. https://doi.org/10.1007/s10530-013-0406-2</w:t>
      </w:r>
    </w:p>
    <w:p w14:paraId="79A40B33" w14:textId="77777777" w:rsidR="007746C5" w:rsidRPr="007746C5" w:rsidRDefault="007746C5" w:rsidP="009A04E6">
      <w:pPr>
        <w:pStyle w:val="Bibliography"/>
        <w:spacing w:line="240" w:lineRule="auto"/>
      </w:pPr>
      <w:r w:rsidRPr="007746C5">
        <w:t xml:space="preserve">Food Standard Agency. (2018). </w:t>
      </w:r>
      <w:r w:rsidRPr="007746C5">
        <w:rPr>
          <w:i/>
          <w:iCs/>
        </w:rPr>
        <w:t>Glossary of terms</w:t>
      </w:r>
      <w:r w:rsidRPr="007746C5">
        <w:t>. https://cot.food.gov.uk/moreinfo/cotglossary</w:t>
      </w:r>
    </w:p>
    <w:p w14:paraId="254E9D70" w14:textId="77777777" w:rsidR="007746C5" w:rsidRPr="007746C5" w:rsidRDefault="007746C5" w:rsidP="009A04E6">
      <w:pPr>
        <w:pStyle w:val="Bibliography"/>
        <w:spacing w:line="240" w:lineRule="auto"/>
      </w:pPr>
      <w:r w:rsidRPr="007746C5">
        <w:t xml:space="preserve">Forbis, T. A., Provencher, L., Frid, L., &amp; Medlyn, G. (2006). Great Basin Land Management Planning Using Ecological Modeling. </w:t>
      </w:r>
      <w:r w:rsidRPr="007746C5">
        <w:rPr>
          <w:i/>
          <w:iCs/>
        </w:rPr>
        <w:t>Environmental Management</w:t>
      </w:r>
      <w:r w:rsidRPr="007746C5">
        <w:t xml:space="preserve">, </w:t>
      </w:r>
      <w:r w:rsidRPr="007746C5">
        <w:rPr>
          <w:i/>
          <w:iCs/>
        </w:rPr>
        <w:t>38</w:t>
      </w:r>
      <w:r w:rsidRPr="007746C5">
        <w:t>(1), 62–83. https://doi.org/10.1007/s00267-005-0089-2</w:t>
      </w:r>
    </w:p>
    <w:p w14:paraId="53FA998B" w14:textId="77777777" w:rsidR="007746C5" w:rsidRPr="007746C5" w:rsidRDefault="007746C5" w:rsidP="009A04E6">
      <w:pPr>
        <w:pStyle w:val="Bibliography"/>
        <w:spacing w:line="240" w:lineRule="auto"/>
      </w:pPr>
      <w:r w:rsidRPr="007746C5">
        <w:t xml:space="preserve">Forest Peoples Programme, the International Indigenous Forum on Biodiversity, &amp; the Secretariat of the Convention on Biological Diversity. (2016). </w:t>
      </w:r>
      <w:r w:rsidRPr="007746C5">
        <w:rPr>
          <w:i/>
          <w:iCs/>
        </w:rPr>
        <w:t>Local Biodiversity Outlooks. Indigenous Peoples’ and Local Communities’ Contributions to the Implementation of the Strategic Plan for Biodiversity 2011-2020. A complement to the fourth edition of the Global Biodiversity Outlook</w:t>
      </w:r>
      <w:r w:rsidRPr="007746C5">
        <w:t>. https://www.cbd.int/gbo/gbo4/publication/lbo-en.pdf</w:t>
      </w:r>
    </w:p>
    <w:p w14:paraId="4FE14AC1" w14:textId="77777777" w:rsidR="007746C5" w:rsidRPr="007746C5" w:rsidRDefault="007746C5" w:rsidP="009A04E6">
      <w:pPr>
        <w:pStyle w:val="Bibliography"/>
        <w:spacing w:line="240" w:lineRule="auto"/>
      </w:pPr>
      <w:r w:rsidRPr="007746C5">
        <w:t xml:space="preserve">Forrest, B. M., Hopkins, G. A., Dodgshun, T. J., &amp; Gardner, J. P. A. (2007). Efficacy of acetic acid treatments in the management of marine biofouling. </w:t>
      </w:r>
      <w:r w:rsidRPr="007746C5">
        <w:rPr>
          <w:i/>
          <w:iCs/>
        </w:rPr>
        <w:t>Aquaculture</w:t>
      </w:r>
      <w:r w:rsidRPr="007746C5">
        <w:t xml:space="preserve">, </w:t>
      </w:r>
      <w:r w:rsidRPr="007746C5">
        <w:rPr>
          <w:i/>
          <w:iCs/>
        </w:rPr>
        <w:t>262</w:t>
      </w:r>
      <w:r w:rsidRPr="007746C5">
        <w:t>(2–4), 319–332. https://doi.org/10.1016/j.aquaculture.2006.11.006</w:t>
      </w:r>
    </w:p>
    <w:p w14:paraId="10FD9F1D" w14:textId="77777777" w:rsidR="007746C5" w:rsidRPr="007746C5" w:rsidRDefault="007746C5" w:rsidP="009A04E6">
      <w:pPr>
        <w:pStyle w:val="Bibliography"/>
        <w:spacing w:line="240" w:lineRule="auto"/>
      </w:pPr>
      <w:r w:rsidRPr="007746C5">
        <w:t xml:space="preserve">Forsyth, D. M., Parkes, J. P., Woolnough, A. P., Pickles, G., Collins, M., &amp; Gordon, I. (2009). Environmental and economic factors determine the number of feral goats commercially harvested in Western Australia. </w:t>
      </w:r>
      <w:r w:rsidRPr="007746C5">
        <w:rPr>
          <w:i/>
          <w:iCs/>
        </w:rPr>
        <w:t>Journal of Applied Ecology</w:t>
      </w:r>
      <w:r w:rsidRPr="007746C5">
        <w:t xml:space="preserve">, </w:t>
      </w:r>
      <w:r w:rsidRPr="007746C5">
        <w:rPr>
          <w:i/>
          <w:iCs/>
        </w:rPr>
        <w:t>46</w:t>
      </w:r>
      <w:r w:rsidRPr="007746C5">
        <w:t>(1), 101–109. https://doi.org/10.1111/j.1365-2664.2008.01577.x</w:t>
      </w:r>
    </w:p>
    <w:p w14:paraId="6CCDDC92" w14:textId="77777777" w:rsidR="007746C5" w:rsidRPr="007746C5" w:rsidRDefault="007746C5" w:rsidP="009A04E6">
      <w:pPr>
        <w:pStyle w:val="Bibliography"/>
        <w:spacing w:line="240" w:lineRule="auto"/>
      </w:pPr>
      <w:r w:rsidRPr="007746C5">
        <w:t xml:space="preserve">Forsyth, G. G., Le Maitre, D. C., O’Farrell, P. J., &amp; van Wilgen, B. W. (2012). The prioritisation of invasive alien plant control projects using a multi-criteria decision model informed by stakeholder input and spatial data. </w:t>
      </w:r>
      <w:r w:rsidRPr="007746C5">
        <w:rPr>
          <w:i/>
          <w:iCs/>
        </w:rPr>
        <w:t>Journal of Environmental Management</w:t>
      </w:r>
      <w:r w:rsidRPr="007746C5">
        <w:t xml:space="preserve">, </w:t>
      </w:r>
      <w:r w:rsidRPr="007746C5">
        <w:rPr>
          <w:i/>
          <w:iCs/>
        </w:rPr>
        <w:t>103</w:t>
      </w:r>
      <w:r w:rsidRPr="007746C5">
        <w:t>, 51–57. https://doi.org/10.1016/j.jenvman.2012.01.034</w:t>
      </w:r>
    </w:p>
    <w:p w14:paraId="3093C05B" w14:textId="77777777" w:rsidR="007746C5" w:rsidRPr="007746C5" w:rsidRDefault="007746C5" w:rsidP="009A04E6">
      <w:pPr>
        <w:pStyle w:val="Bibliography"/>
        <w:spacing w:line="240" w:lineRule="auto"/>
      </w:pPr>
      <w:r w:rsidRPr="007746C5">
        <w:t xml:space="preserve">Fowler, S. V. (2000). Trivial and political reasons for the failure of classical biological control of weeds: A personal view. </w:t>
      </w:r>
      <w:r w:rsidRPr="007746C5">
        <w:rPr>
          <w:i/>
          <w:iCs/>
        </w:rPr>
        <w:t>Proceedings of the X International Symposium on Biological Control of Weeds</w:t>
      </w:r>
      <w:r w:rsidRPr="007746C5">
        <w:t>, 169–172. http://bugwoodcloud.org/ibiocontrol/proceedings/pdf/10_169-172.pdf</w:t>
      </w:r>
    </w:p>
    <w:p w14:paraId="2F472B84" w14:textId="77777777" w:rsidR="007746C5" w:rsidRPr="007746C5" w:rsidRDefault="007746C5" w:rsidP="009A04E6">
      <w:pPr>
        <w:pStyle w:val="Bibliography"/>
        <w:spacing w:line="240" w:lineRule="auto"/>
      </w:pPr>
      <w:r w:rsidRPr="007746C5">
        <w:t xml:space="preserve">Foxcroft, L. C., &amp; McGeoch, M. (2011). Implementing invasive species management in an adaptive management framework. </w:t>
      </w:r>
      <w:r w:rsidRPr="007746C5">
        <w:rPr>
          <w:i/>
          <w:iCs/>
        </w:rPr>
        <w:t>Koedoe : African Protected Area Conservation and Science</w:t>
      </w:r>
      <w:r w:rsidRPr="007746C5">
        <w:t xml:space="preserve">, </w:t>
      </w:r>
      <w:r w:rsidRPr="007746C5">
        <w:rPr>
          <w:i/>
          <w:iCs/>
        </w:rPr>
        <w:t>53</w:t>
      </w:r>
      <w:r w:rsidRPr="007746C5">
        <w:t>(2), 1–11. https://doi.org/10.10520/EJC132237</w:t>
      </w:r>
    </w:p>
    <w:p w14:paraId="585D333B" w14:textId="77777777" w:rsidR="007746C5" w:rsidRPr="007746C5" w:rsidRDefault="007746C5" w:rsidP="009A04E6">
      <w:pPr>
        <w:pStyle w:val="Bibliography"/>
        <w:spacing w:line="240" w:lineRule="auto"/>
      </w:pPr>
      <w:r w:rsidRPr="007746C5">
        <w:t xml:space="preserve">Foxcroft, L. C., Pyšek, P., Richardson, D. M., &amp; Genovesi, P. (Eds.). (2013). </w:t>
      </w:r>
      <w:r w:rsidRPr="007746C5">
        <w:rPr>
          <w:i/>
          <w:iCs/>
        </w:rPr>
        <w:t>Plant Invasions in Protected Areas: Patterns, Problems and Challenges</w:t>
      </w:r>
      <w:r w:rsidRPr="007746C5">
        <w:t xml:space="preserve"> (Vol. 7). Springer Netherlands. https://doi.org/10.1007/978-94-007-7750-7</w:t>
      </w:r>
    </w:p>
    <w:p w14:paraId="0A8334D4" w14:textId="77777777" w:rsidR="007746C5" w:rsidRPr="007746C5" w:rsidRDefault="007746C5" w:rsidP="009A04E6">
      <w:pPr>
        <w:pStyle w:val="Bibliography"/>
        <w:spacing w:line="240" w:lineRule="auto"/>
      </w:pPr>
      <w:r w:rsidRPr="007746C5">
        <w:t xml:space="preserve">Foxcroft, L. C., Spear, D., van Wilgen, N. J., &amp; McGeoch, M. A. (2019). Assessing the association between pathways of alien plant invaders and their impacts in protected areas. </w:t>
      </w:r>
      <w:r w:rsidRPr="007746C5">
        <w:rPr>
          <w:i/>
          <w:iCs/>
        </w:rPr>
        <w:t>NeoBiota</w:t>
      </w:r>
      <w:r w:rsidRPr="007746C5">
        <w:t xml:space="preserve">, </w:t>
      </w:r>
      <w:r w:rsidRPr="007746C5">
        <w:rPr>
          <w:i/>
          <w:iCs/>
        </w:rPr>
        <w:t>43</w:t>
      </w:r>
      <w:r w:rsidRPr="007746C5">
        <w:t>, 1–25. https://doi.org/10.3897/neobiota.43.29644</w:t>
      </w:r>
    </w:p>
    <w:p w14:paraId="668E6D0C" w14:textId="77777777" w:rsidR="007746C5" w:rsidRPr="007746C5" w:rsidRDefault="007746C5" w:rsidP="009A04E6">
      <w:pPr>
        <w:pStyle w:val="Bibliography"/>
        <w:spacing w:line="240" w:lineRule="auto"/>
      </w:pPr>
      <w:r w:rsidRPr="007746C5">
        <w:t xml:space="preserve">Foxcroft, L. C., Witt, A., &amp; Lotter, W. D. (2013). Icons in peril: Invasive alien plants in African protected areas. In L. C. Foxcroft, P. Pyšek, P. Genovesi, &amp; D. M. Richardson (Eds.), </w:t>
      </w:r>
      <w:r w:rsidRPr="007746C5">
        <w:rPr>
          <w:i/>
          <w:iCs/>
        </w:rPr>
        <w:t>Plant Invasions in Protected Areas. Patterns, Problems and Challenges.</w:t>
      </w:r>
      <w:r w:rsidRPr="007746C5">
        <w:t xml:space="preserve"> (pp. 117–143). Springer. https://doi.org/10.1007/978-94-007-7750-7_7</w:t>
      </w:r>
    </w:p>
    <w:p w14:paraId="00FA62DE" w14:textId="77777777" w:rsidR="007746C5" w:rsidRPr="007746C5" w:rsidRDefault="007746C5" w:rsidP="009A04E6">
      <w:pPr>
        <w:pStyle w:val="Bibliography"/>
        <w:spacing w:line="240" w:lineRule="auto"/>
      </w:pPr>
      <w:r w:rsidRPr="007746C5">
        <w:t xml:space="preserve">Francis, R. A. (Ed.). (2011). </w:t>
      </w:r>
      <w:r w:rsidRPr="007746C5">
        <w:rPr>
          <w:i/>
          <w:iCs/>
        </w:rPr>
        <w:t>A Handbook of Global Freshwater Invasive Species</w:t>
      </w:r>
      <w:r w:rsidRPr="007746C5">
        <w:t>. Routledge. https://doi.org/10.4324/9780203127230</w:t>
      </w:r>
    </w:p>
    <w:p w14:paraId="20AF9BA4" w14:textId="77777777" w:rsidR="007746C5" w:rsidRPr="007746C5" w:rsidRDefault="007746C5" w:rsidP="009A04E6">
      <w:pPr>
        <w:pStyle w:val="Bibliography"/>
        <w:spacing w:line="240" w:lineRule="auto"/>
      </w:pPr>
      <w:r w:rsidRPr="007746C5">
        <w:t xml:space="preserve">Frenot, Y., Chown, S. L., Whinam, J., Selkirk, P. M., Convey, P., Skotnicki, M., &amp; Bergstrom, D. M. (2005). Biological invasions in the Antarctic: Extent, impacts and implications. </w:t>
      </w:r>
      <w:r w:rsidRPr="007746C5">
        <w:rPr>
          <w:i/>
          <w:iCs/>
        </w:rPr>
        <w:t>Biological Reviews</w:t>
      </w:r>
      <w:r w:rsidRPr="007746C5">
        <w:t xml:space="preserve">, </w:t>
      </w:r>
      <w:r w:rsidRPr="007746C5">
        <w:rPr>
          <w:i/>
          <w:iCs/>
        </w:rPr>
        <w:t>80</w:t>
      </w:r>
      <w:r w:rsidRPr="007746C5">
        <w:t>(1), 45–72. https://doi.org/10.1017/S1464793104006542</w:t>
      </w:r>
    </w:p>
    <w:p w14:paraId="0BF2B6E1" w14:textId="77777777" w:rsidR="007746C5" w:rsidRPr="007746C5" w:rsidRDefault="007746C5" w:rsidP="009A04E6">
      <w:pPr>
        <w:pStyle w:val="Bibliography"/>
        <w:spacing w:line="240" w:lineRule="auto"/>
      </w:pPr>
      <w:r w:rsidRPr="007746C5">
        <w:t xml:space="preserve">Friend, R. (2007). </w:t>
      </w:r>
      <w:r w:rsidRPr="007746C5">
        <w:rPr>
          <w:i/>
          <w:iCs/>
        </w:rPr>
        <w:t xml:space="preserve">Securing sustainable livelihoods through wise use of wetland resources: Reflections on the experience of the Mekong Wetlands Biodiversity Conservation and </w:t>
      </w:r>
      <w:r w:rsidRPr="007746C5">
        <w:rPr>
          <w:i/>
          <w:iCs/>
        </w:rPr>
        <w:lastRenderedPageBreak/>
        <w:t>Sustainable Use Programme (MWBP)</w:t>
      </w:r>
      <w:r w:rsidRPr="007746C5">
        <w:t>. Mekong Wetlands Biodiversity Conservation and Sustainable Use Programme. https://portals.iucn.org/library/node/9198</w:t>
      </w:r>
    </w:p>
    <w:p w14:paraId="795E7B9D" w14:textId="77777777" w:rsidR="007746C5" w:rsidRPr="007746C5" w:rsidRDefault="007746C5" w:rsidP="009A04E6">
      <w:pPr>
        <w:pStyle w:val="Bibliography"/>
        <w:spacing w:line="240" w:lineRule="auto"/>
      </w:pPr>
      <w:r w:rsidRPr="007746C5">
        <w:t xml:space="preserve">Frost, R. A., &amp; Launchbaugh, K. L. (2003). Prescription grazing for rangeland weed management. </w:t>
      </w:r>
      <w:r w:rsidRPr="007746C5">
        <w:rPr>
          <w:i/>
          <w:iCs/>
        </w:rPr>
        <w:t>Rangelands</w:t>
      </w:r>
      <w:r w:rsidRPr="007746C5">
        <w:t xml:space="preserve">, </w:t>
      </w:r>
      <w:r w:rsidRPr="007746C5">
        <w:rPr>
          <w:i/>
          <w:iCs/>
        </w:rPr>
        <w:t>25</w:t>
      </w:r>
      <w:r w:rsidRPr="007746C5">
        <w:t>(6), 43–47. http://dx.doi.org/10.2458/azu_rangelands_v25i6_frost</w:t>
      </w:r>
    </w:p>
    <w:p w14:paraId="38B91C20" w14:textId="77777777" w:rsidR="007746C5" w:rsidRPr="007746C5" w:rsidRDefault="007746C5" w:rsidP="009A04E6">
      <w:pPr>
        <w:pStyle w:val="Bibliography"/>
        <w:spacing w:line="240" w:lineRule="auto"/>
      </w:pPr>
      <w:r w:rsidRPr="007746C5">
        <w:t xml:space="preserve">Froud, K. J., &amp; Bullians, M. S. (2010). Investigation of biosecurity risk organisms for the plant and environment domains in New Zealand for 2008 and 2009. </w:t>
      </w:r>
      <w:r w:rsidRPr="007746C5">
        <w:rPr>
          <w:i/>
          <w:iCs/>
        </w:rPr>
        <w:t>New Zealand Plant Protection</w:t>
      </w:r>
      <w:r w:rsidRPr="007746C5">
        <w:t xml:space="preserve">, </w:t>
      </w:r>
      <w:r w:rsidRPr="007746C5">
        <w:rPr>
          <w:i/>
          <w:iCs/>
        </w:rPr>
        <w:t>63</w:t>
      </w:r>
      <w:r w:rsidRPr="007746C5">
        <w:t>, 262–269. https://doi.org/10.30843/nzpp.2010.63.6565</w:t>
      </w:r>
    </w:p>
    <w:p w14:paraId="3078D104" w14:textId="77777777" w:rsidR="007746C5" w:rsidRPr="007746C5" w:rsidRDefault="007746C5" w:rsidP="009A04E6">
      <w:pPr>
        <w:pStyle w:val="Bibliography"/>
        <w:spacing w:line="240" w:lineRule="auto"/>
      </w:pPr>
      <w:r w:rsidRPr="007746C5">
        <w:t xml:space="preserve">Furlan, E. M., Duncan, R., Bylemans, J., Hinlo, R., Rojahn, J., &amp; Gleeson, D. (2018). Application of an eDNA detection framework for species monitoring. </w:t>
      </w:r>
      <w:r w:rsidRPr="007746C5">
        <w:rPr>
          <w:i/>
          <w:iCs/>
        </w:rPr>
        <w:t>Proceedings of Restore, Regenerate, Revegetate: A Conference on Restoring Ecological Processes, Ecosystems and Landscapes in a Changing World</w:t>
      </w:r>
      <w:r w:rsidRPr="007746C5">
        <w:t>, 33. https://hdl.handle.net/1959.11/22627</w:t>
      </w:r>
    </w:p>
    <w:p w14:paraId="25F754AE" w14:textId="77777777" w:rsidR="007746C5" w:rsidRPr="007746C5" w:rsidRDefault="007746C5" w:rsidP="009A04E6">
      <w:pPr>
        <w:pStyle w:val="Bibliography"/>
        <w:spacing w:line="240" w:lineRule="auto"/>
      </w:pPr>
      <w:r w:rsidRPr="007746C5">
        <w:t xml:space="preserve">Furlan, E. M., Gleeson, D., Hardy, C. M., &amp; Duncan, R. P. (2016). A framework for estimating the sensitivity of eDNA surveys. </w:t>
      </w:r>
      <w:r w:rsidRPr="007746C5">
        <w:rPr>
          <w:i/>
          <w:iCs/>
        </w:rPr>
        <w:t>Molecular Ecology Resources</w:t>
      </w:r>
      <w:r w:rsidRPr="007746C5">
        <w:t xml:space="preserve">, </w:t>
      </w:r>
      <w:r w:rsidRPr="007746C5">
        <w:rPr>
          <w:i/>
          <w:iCs/>
        </w:rPr>
        <w:t>16</w:t>
      </w:r>
      <w:r w:rsidRPr="007746C5">
        <w:t>(3), 641–654. https://doi.org/10.1111/1755-0998.12483</w:t>
      </w:r>
    </w:p>
    <w:p w14:paraId="1C7862F7" w14:textId="77777777" w:rsidR="007746C5" w:rsidRPr="007746C5" w:rsidRDefault="007746C5" w:rsidP="009A04E6">
      <w:pPr>
        <w:pStyle w:val="Bibliography"/>
        <w:spacing w:line="240" w:lineRule="auto"/>
      </w:pPr>
      <w:r w:rsidRPr="007746C5">
        <w:t xml:space="preserve">Furlan, E. M., Gleeson, D., Wisniewski, C., Yick, J., &amp; Duncan, R. P. (2019). eDNA surveys to detect species at very low densities: A case study of European carp eradication in Tasmania, Australia. </w:t>
      </w:r>
      <w:r w:rsidRPr="007746C5">
        <w:rPr>
          <w:i/>
          <w:iCs/>
        </w:rPr>
        <w:t>Journal of Applied Ecology</w:t>
      </w:r>
      <w:r w:rsidRPr="007746C5">
        <w:t xml:space="preserve">, </w:t>
      </w:r>
      <w:r w:rsidRPr="007746C5">
        <w:rPr>
          <w:i/>
          <w:iCs/>
        </w:rPr>
        <w:t>56</w:t>
      </w:r>
      <w:r w:rsidRPr="007746C5">
        <w:t>(11), 2505–2517. https://doi.org/10.1111/1365-2664.13485</w:t>
      </w:r>
    </w:p>
    <w:p w14:paraId="517969B5" w14:textId="77777777" w:rsidR="007746C5" w:rsidRPr="007746C5" w:rsidRDefault="007746C5" w:rsidP="009A04E6">
      <w:pPr>
        <w:pStyle w:val="Bibliography"/>
        <w:spacing w:line="240" w:lineRule="auto"/>
      </w:pPr>
      <w:r w:rsidRPr="007746C5">
        <w:t xml:space="preserve">Gaertner, M., Larson, B. M. H., Irlich, U. M., Holmes, P. M., Stafford, L., van Wilgen, B. W., &amp; Richardson, D. M. (2016). Managing invasive species in cities: A framework from Cape Town, South Africa. </w:t>
      </w:r>
      <w:r w:rsidRPr="007746C5">
        <w:rPr>
          <w:i/>
          <w:iCs/>
        </w:rPr>
        <w:t>Landscape and Urban Planning</w:t>
      </w:r>
      <w:r w:rsidRPr="007746C5">
        <w:t xml:space="preserve">, </w:t>
      </w:r>
      <w:r w:rsidRPr="007746C5">
        <w:rPr>
          <w:i/>
          <w:iCs/>
        </w:rPr>
        <w:t>151</w:t>
      </w:r>
      <w:r w:rsidRPr="007746C5">
        <w:t>, 1–9. https://doi.org/10.1016/j.landurbplan.2016.03.010</w:t>
      </w:r>
    </w:p>
    <w:p w14:paraId="39D925A3" w14:textId="77777777" w:rsidR="007746C5" w:rsidRPr="007746C5" w:rsidRDefault="007746C5" w:rsidP="009A04E6">
      <w:pPr>
        <w:pStyle w:val="Bibliography"/>
        <w:spacing w:line="240" w:lineRule="auto"/>
      </w:pPr>
      <w:r w:rsidRPr="007746C5">
        <w:t xml:space="preserve">Gaertner, M., Wilson, J. R. U., Cadotte, M. W., MacIvor, J. S., Zenni, R. D., &amp; Richardson, D. M. (2017). Non-native species in urban environments: Patterns, processes, impacts and challenges. </w:t>
      </w:r>
      <w:r w:rsidRPr="007746C5">
        <w:rPr>
          <w:i/>
          <w:iCs/>
        </w:rPr>
        <w:t>Biological Invasions</w:t>
      </w:r>
      <w:r w:rsidRPr="007746C5">
        <w:t xml:space="preserve">, </w:t>
      </w:r>
      <w:r w:rsidRPr="007746C5">
        <w:rPr>
          <w:i/>
          <w:iCs/>
        </w:rPr>
        <w:t>19</w:t>
      </w:r>
      <w:r w:rsidRPr="007746C5">
        <w:t>(12), 3461–3469. https://doi.org/10.1007/s10530-017-1598-7</w:t>
      </w:r>
    </w:p>
    <w:p w14:paraId="5A85B2BC" w14:textId="77777777" w:rsidR="007746C5" w:rsidRPr="007746C5" w:rsidRDefault="007746C5" w:rsidP="009A04E6">
      <w:pPr>
        <w:pStyle w:val="Bibliography"/>
        <w:spacing w:line="240" w:lineRule="auto"/>
      </w:pPr>
      <w:r w:rsidRPr="007746C5">
        <w:t xml:space="preserve">Galil, B. S., Danovaro, R., Rothman, S. B. S., Gevili, R., &amp; Goren, M. (2019). Invasive biota in the deep-sea Mediterranean: An emerging issue in marine conservation and management. </w:t>
      </w:r>
      <w:r w:rsidRPr="007746C5">
        <w:rPr>
          <w:i/>
          <w:iCs/>
        </w:rPr>
        <w:t>Biological Invasions</w:t>
      </w:r>
      <w:r w:rsidRPr="007746C5">
        <w:t xml:space="preserve">, </w:t>
      </w:r>
      <w:r w:rsidRPr="007746C5">
        <w:rPr>
          <w:i/>
          <w:iCs/>
        </w:rPr>
        <w:t>21</w:t>
      </w:r>
      <w:r w:rsidRPr="007746C5">
        <w:t>(2), 281–288. https://doi.org/10.1007/s10530-018-1826-9</w:t>
      </w:r>
    </w:p>
    <w:p w14:paraId="5626ABF0" w14:textId="77777777" w:rsidR="007746C5" w:rsidRPr="007746C5" w:rsidRDefault="007746C5" w:rsidP="009A04E6">
      <w:pPr>
        <w:pStyle w:val="Bibliography"/>
        <w:spacing w:line="240" w:lineRule="auto"/>
      </w:pPr>
      <w:r w:rsidRPr="007746C5">
        <w:t xml:space="preserve">Galil, B. S., McKenzie, C., Bailey, S. A., Campbell, M., Davidson, I. C., Drake, L., Hewitt, C., Occhipinti-Ambrogi, A., &amp; Piola, R. (2019). </w:t>
      </w:r>
      <w:r w:rsidRPr="007746C5">
        <w:rPr>
          <w:i/>
          <w:iCs/>
        </w:rPr>
        <w:t>ICES Viewpoint background document: Evaluating and mitigating introduction of marine non-native species via vessel bio-fouling.</w:t>
      </w:r>
      <w:r w:rsidRPr="007746C5">
        <w:t xml:space="preserve"> (p. 17) [ICES Ad Hoc Report 2019]. ICES. https://doi.org/10.17895/ices.pub.4680</w:t>
      </w:r>
    </w:p>
    <w:p w14:paraId="249F07A2" w14:textId="77777777" w:rsidR="007746C5" w:rsidRPr="007746C5" w:rsidRDefault="007746C5" w:rsidP="009A04E6">
      <w:pPr>
        <w:pStyle w:val="Bibliography"/>
        <w:spacing w:line="240" w:lineRule="auto"/>
      </w:pPr>
      <w:r w:rsidRPr="007746C5">
        <w:t xml:space="preserve">Galil, B. S., Mienis, H. K., Hoffman, R., &amp; Goren, M. (2021). Non-indigenous species along the Israeli Mediterranean coast: Tally, policy, outlook. </w:t>
      </w:r>
      <w:r w:rsidRPr="007746C5">
        <w:rPr>
          <w:i/>
          <w:iCs/>
        </w:rPr>
        <w:t>Hydrobiologia</w:t>
      </w:r>
      <w:r w:rsidRPr="007746C5">
        <w:t xml:space="preserve">, </w:t>
      </w:r>
      <w:r w:rsidRPr="007746C5">
        <w:rPr>
          <w:i/>
          <w:iCs/>
        </w:rPr>
        <w:t>848</w:t>
      </w:r>
      <w:r w:rsidRPr="007746C5">
        <w:t>(9), 2011–2029. https://doi.org/10.1007/s10750-020-04420-w</w:t>
      </w:r>
    </w:p>
    <w:p w14:paraId="03F4857B" w14:textId="77777777" w:rsidR="007746C5" w:rsidRPr="007746C5" w:rsidRDefault="007746C5" w:rsidP="009A04E6">
      <w:pPr>
        <w:pStyle w:val="Bibliography"/>
        <w:spacing w:line="240" w:lineRule="auto"/>
      </w:pPr>
      <w:r w:rsidRPr="007746C5">
        <w:t xml:space="preserve">Gallardo, B., &amp; Aldridge, D. C. (2013). The ‘dirty dozen’: Socio-economic factors amplify the invasion potential of 12 high-risk aquatic invasive species in Great Britain and Ireland. </w:t>
      </w:r>
      <w:r w:rsidRPr="007746C5">
        <w:rPr>
          <w:i/>
          <w:iCs/>
        </w:rPr>
        <w:t>Journal of Applied Ecology</w:t>
      </w:r>
      <w:r w:rsidRPr="007746C5">
        <w:t xml:space="preserve">, </w:t>
      </w:r>
      <w:r w:rsidRPr="007746C5">
        <w:rPr>
          <w:i/>
          <w:iCs/>
        </w:rPr>
        <w:t>50</w:t>
      </w:r>
      <w:r w:rsidRPr="007746C5">
        <w:t>(3), 757–766. https://doi.org/10.1111/1365-2664.12079</w:t>
      </w:r>
    </w:p>
    <w:p w14:paraId="56B178EE" w14:textId="77777777" w:rsidR="007746C5" w:rsidRPr="007746C5" w:rsidRDefault="007746C5" w:rsidP="009A04E6">
      <w:pPr>
        <w:pStyle w:val="Bibliography"/>
        <w:spacing w:line="240" w:lineRule="auto"/>
      </w:pPr>
      <w:r w:rsidRPr="007746C5">
        <w:t xml:space="preserve">Gallien, L., Münkemüller, T., Albert, C. H., Boulangeat, I., &amp; Thuiller, W. (2010). Predicting potential distributions of invasive species: Where to go from here? </w:t>
      </w:r>
      <w:r w:rsidRPr="007746C5">
        <w:rPr>
          <w:i/>
          <w:iCs/>
        </w:rPr>
        <w:t>Diversity and Distributions</w:t>
      </w:r>
      <w:r w:rsidRPr="007746C5">
        <w:t xml:space="preserve">, </w:t>
      </w:r>
      <w:r w:rsidRPr="007746C5">
        <w:rPr>
          <w:i/>
          <w:iCs/>
        </w:rPr>
        <w:t>16</w:t>
      </w:r>
      <w:r w:rsidRPr="007746C5">
        <w:t>(3), Article 3. https://doi.org/10.1111/j.1472-4642.2010.00652.x</w:t>
      </w:r>
    </w:p>
    <w:p w14:paraId="7179139B" w14:textId="77777777" w:rsidR="007746C5" w:rsidRPr="007746C5" w:rsidRDefault="007746C5" w:rsidP="009A04E6">
      <w:pPr>
        <w:pStyle w:val="Bibliography"/>
        <w:spacing w:line="240" w:lineRule="auto"/>
      </w:pPr>
      <w:r w:rsidRPr="007746C5">
        <w:t xml:space="preserve">Gallo, T., &amp; Waitt, D. (2011). Creating a Successful Citizen Science Model to Detect and Report Invasive Species. </w:t>
      </w:r>
      <w:r w:rsidRPr="007746C5">
        <w:rPr>
          <w:i/>
          <w:iCs/>
        </w:rPr>
        <w:t>BioScience</w:t>
      </w:r>
      <w:r w:rsidRPr="007746C5">
        <w:t xml:space="preserve">, </w:t>
      </w:r>
      <w:r w:rsidRPr="007746C5">
        <w:rPr>
          <w:i/>
          <w:iCs/>
        </w:rPr>
        <w:t>61</w:t>
      </w:r>
      <w:r w:rsidRPr="007746C5">
        <w:t>(6), 459–465. https://doi.org/10.1525/bio.2011.61.6.8</w:t>
      </w:r>
    </w:p>
    <w:p w14:paraId="4CF216A5" w14:textId="77777777" w:rsidR="007746C5" w:rsidRPr="007746C5" w:rsidRDefault="007746C5" w:rsidP="009A04E6">
      <w:pPr>
        <w:pStyle w:val="Bibliography"/>
        <w:spacing w:line="240" w:lineRule="auto"/>
      </w:pPr>
      <w:r w:rsidRPr="007746C5">
        <w:t xml:space="preserve">Galt, R. E. (2010). Scaling Up Political Ecology: The Case of Illegal Pesticides on Fresh Vegetables Imported into the United States, 1996–2006. </w:t>
      </w:r>
      <w:r w:rsidRPr="007746C5">
        <w:rPr>
          <w:i/>
          <w:iCs/>
        </w:rPr>
        <w:t>Annals of the Association of American Geographers</w:t>
      </w:r>
      <w:r w:rsidRPr="007746C5">
        <w:t xml:space="preserve">, </w:t>
      </w:r>
      <w:r w:rsidRPr="007746C5">
        <w:rPr>
          <w:i/>
          <w:iCs/>
        </w:rPr>
        <w:t>100</w:t>
      </w:r>
      <w:r w:rsidRPr="007746C5">
        <w:t>(2), 327–355. https://doi.org/10.1080/00045601003595388</w:t>
      </w:r>
    </w:p>
    <w:p w14:paraId="7E5BA329" w14:textId="77777777" w:rsidR="007746C5" w:rsidRPr="007746C5" w:rsidRDefault="007746C5" w:rsidP="009A04E6">
      <w:pPr>
        <w:pStyle w:val="Bibliography"/>
        <w:spacing w:line="240" w:lineRule="auto"/>
      </w:pPr>
      <w:r w:rsidRPr="007746C5">
        <w:t>Gamage, T. V., Sanguansri, P., Swiergon, P., Eelkema, M., Wyatt, P., Leach, P., Alexander, D. L. J., &amp; Knoerzer, K. (2015). Continuous combined microwave and hot air treatment of apples for fruit fly (</w:t>
      </w:r>
      <w:r w:rsidRPr="007746C5">
        <w:rPr>
          <w:i/>
          <w:iCs/>
        </w:rPr>
        <w:t>Bactrocera tryoni</w:t>
      </w:r>
      <w:r w:rsidRPr="007746C5">
        <w:t xml:space="preserve"> and </w:t>
      </w:r>
      <w:r w:rsidRPr="007746C5">
        <w:rPr>
          <w:i/>
          <w:iCs/>
        </w:rPr>
        <w:t>B. jarvisi</w:t>
      </w:r>
      <w:r w:rsidRPr="007746C5">
        <w:t xml:space="preserve">) disinfestation. </w:t>
      </w:r>
      <w:r w:rsidRPr="007746C5">
        <w:rPr>
          <w:i/>
          <w:iCs/>
        </w:rPr>
        <w:t>Innovative Food Science &amp; Emerging Technologies</w:t>
      </w:r>
      <w:r w:rsidRPr="007746C5">
        <w:t xml:space="preserve">, </w:t>
      </w:r>
      <w:r w:rsidRPr="007746C5">
        <w:rPr>
          <w:i/>
          <w:iCs/>
        </w:rPr>
        <w:t>29</w:t>
      </w:r>
      <w:r w:rsidRPr="007746C5">
        <w:t>, 261–270. https://doi.org/10.1016/j.ifset.2015.02.009</w:t>
      </w:r>
    </w:p>
    <w:p w14:paraId="1C8F5954" w14:textId="77777777" w:rsidR="007746C5" w:rsidRPr="007746C5" w:rsidRDefault="007746C5" w:rsidP="009A04E6">
      <w:pPr>
        <w:pStyle w:val="Bibliography"/>
        <w:spacing w:line="240" w:lineRule="auto"/>
      </w:pPr>
      <w:r w:rsidRPr="007746C5">
        <w:lastRenderedPageBreak/>
        <w:t xml:space="preserve">García Morales, M., Denno, B. D., Miller, D. R., Miller, G. L., Ben-Dov, Y., &amp; Hardy, N. B. (2016). ScaleNet: A literature-based model of scale insect biology and systematics. </w:t>
      </w:r>
      <w:r w:rsidRPr="007746C5">
        <w:rPr>
          <w:i/>
          <w:iCs/>
        </w:rPr>
        <w:t>Database</w:t>
      </w:r>
      <w:r w:rsidRPr="007746C5">
        <w:t xml:space="preserve">, </w:t>
      </w:r>
      <w:r w:rsidRPr="007746C5">
        <w:rPr>
          <w:i/>
          <w:iCs/>
        </w:rPr>
        <w:t>2016</w:t>
      </w:r>
      <w:r w:rsidRPr="007746C5">
        <w:t>, bav118. https://doi.org/10.1093/database/bav118</w:t>
      </w:r>
    </w:p>
    <w:p w14:paraId="4262A1B0" w14:textId="77777777" w:rsidR="007746C5" w:rsidRPr="007746C5" w:rsidRDefault="007746C5" w:rsidP="009A04E6">
      <w:pPr>
        <w:pStyle w:val="Bibliography"/>
        <w:spacing w:line="240" w:lineRule="auto"/>
      </w:pPr>
      <w:r w:rsidRPr="007746C5">
        <w:t xml:space="preserve">Garcia-de-Lomas, J., &amp; Vilà, M. (2015). Lists of harmful alien organisms: Are the national regulations adapted to the global world? </w:t>
      </w:r>
      <w:r w:rsidRPr="007746C5">
        <w:rPr>
          <w:i/>
          <w:iCs/>
        </w:rPr>
        <w:t>Biological Invasions</w:t>
      </w:r>
      <w:r w:rsidRPr="007746C5">
        <w:t xml:space="preserve">, </w:t>
      </w:r>
      <w:r w:rsidRPr="007746C5">
        <w:rPr>
          <w:i/>
          <w:iCs/>
        </w:rPr>
        <w:t>17</w:t>
      </w:r>
      <w:r w:rsidRPr="007746C5">
        <w:t>(11), 3081–3091. https://doi.org/10.1007/s10530-015-0939-7</w:t>
      </w:r>
    </w:p>
    <w:p w14:paraId="5CE1C34A" w14:textId="77777777" w:rsidR="007746C5" w:rsidRPr="007746C5" w:rsidRDefault="007746C5" w:rsidP="009A04E6">
      <w:pPr>
        <w:pStyle w:val="Bibliography"/>
        <w:spacing w:line="240" w:lineRule="auto"/>
      </w:pPr>
      <w:r w:rsidRPr="007746C5">
        <w:t xml:space="preserve">García-Díaz, P., Ramsey, D. S. L., Woolnough, A. P., Franch, M., Llorente, G. A., Montori, A., Buenetxea, X., Larrinaga, A. R., Lasceve, M., Álvarez, A., Traverso, J. M., Valdeón, A., Crespo, A., Rada, V., Ayllón, E., Sancho, V., Lacomba, J. I., Bataller, J. V., &amp; Lizana, M. (2017). Challenges in confirming eradication success of invasive red-eared sliders. </w:t>
      </w:r>
      <w:r w:rsidRPr="007746C5">
        <w:rPr>
          <w:i/>
          <w:iCs/>
        </w:rPr>
        <w:t>Biological Invasions</w:t>
      </w:r>
      <w:r w:rsidRPr="007746C5">
        <w:t xml:space="preserve">, </w:t>
      </w:r>
      <w:r w:rsidRPr="007746C5">
        <w:rPr>
          <w:i/>
          <w:iCs/>
        </w:rPr>
        <w:t>19</w:t>
      </w:r>
      <w:r w:rsidRPr="007746C5">
        <w:t>(9), 2739–2750. https://doi.org/10.1007/s10530-017-1480-7</w:t>
      </w:r>
    </w:p>
    <w:p w14:paraId="5C0DCC5E" w14:textId="77777777" w:rsidR="007746C5" w:rsidRPr="007746C5" w:rsidRDefault="007746C5" w:rsidP="009A04E6">
      <w:pPr>
        <w:pStyle w:val="Bibliography"/>
        <w:spacing w:line="240" w:lineRule="auto"/>
      </w:pPr>
      <w:r w:rsidRPr="007746C5">
        <w:t xml:space="preserve">García-Díaz, P., Ross, J. V., Woolnough, A. P., &amp; Cassey, P. (2017). Managing the risk of wildlife disease introduction: Pathway-level biosecurity for preventing the introduction of alien ranaviruses. </w:t>
      </w:r>
      <w:r w:rsidRPr="007746C5">
        <w:rPr>
          <w:i/>
          <w:iCs/>
        </w:rPr>
        <w:t>Journal of Applied Ecology</w:t>
      </w:r>
      <w:r w:rsidRPr="007746C5">
        <w:t xml:space="preserve">, </w:t>
      </w:r>
      <w:r w:rsidRPr="007746C5">
        <w:rPr>
          <w:i/>
          <w:iCs/>
        </w:rPr>
        <w:t>54</w:t>
      </w:r>
      <w:r w:rsidRPr="007746C5">
        <w:t>(1), 234–241. https://doi.org/10.1111/1365-2664.12749</w:t>
      </w:r>
    </w:p>
    <w:p w14:paraId="18660DDD" w14:textId="77777777" w:rsidR="007746C5" w:rsidRPr="007746C5" w:rsidRDefault="007746C5" w:rsidP="009A04E6">
      <w:pPr>
        <w:pStyle w:val="Bibliography"/>
        <w:spacing w:line="240" w:lineRule="auto"/>
      </w:pPr>
      <w:r w:rsidRPr="007746C5">
        <w:t xml:space="preserve">Gardener, M. R., Atkinson, R., &amp; Rentería, J. L. (2010). Eradications and People: Lessons from the Plant Eradication Program in Galapagos. </w:t>
      </w:r>
      <w:r w:rsidRPr="007746C5">
        <w:rPr>
          <w:i/>
          <w:iCs/>
        </w:rPr>
        <w:t>Restoration Ecology</w:t>
      </w:r>
      <w:r w:rsidRPr="007746C5">
        <w:t xml:space="preserve">, </w:t>
      </w:r>
      <w:r w:rsidRPr="007746C5">
        <w:rPr>
          <w:i/>
          <w:iCs/>
        </w:rPr>
        <w:t>18</w:t>
      </w:r>
      <w:r w:rsidRPr="007746C5">
        <w:t>(1), 20–29. https://doi.org/10.1111/j.1526-100X.2009.00614.x</w:t>
      </w:r>
    </w:p>
    <w:p w14:paraId="1E2E975A" w14:textId="77777777" w:rsidR="007746C5" w:rsidRPr="007746C5" w:rsidRDefault="007746C5" w:rsidP="009A04E6">
      <w:pPr>
        <w:pStyle w:val="Bibliography"/>
        <w:spacing w:line="240" w:lineRule="auto"/>
      </w:pPr>
      <w:r w:rsidRPr="007746C5">
        <w:t xml:space="preserve">Gardener, M. R., Bustamante, R. O., Herrera, I., Durigan, G., Pivello, V. R., Moro, M. F., Stoll, A., Langdon, B., Baruch, Z., Rico, A., Arredondo-Nuñez, A., &amp; Flores, S. (2012). Plant invasions research in Latin America: Fast track to a more focused agenda. </w:t>
      </w:r>
      <w:r w:rsidRPr="007746C5">
        <w:rPr>
          <w:i/>
          <w:iCs/>
        </w:rPr>
        <w:t>Plant Ecology &amp; Diversity</w:t>
      </w:r>
      <w:r w:rsidRPr="007746C5">
        <w:t xml:space="preserve">, </w:t>
      </w:r>
      <w:r w:rsidRPr="007746C5">
        <w:rPr>
          <w:i/>
          <w:iCs/>
        </w:rPr>
        <w:t>5</w:t>
      </w:r>
      <w:r w:rsidRPr="007746C5">
        <w:t>(2), 225–232. https://doi.org/10.1080/17550874.2011.604800</w:t>
      </w:r>
    </w:p>
    <w:p w14:paraId="7C7116C8" w14:textId="77777777" w:rsidR="007746C5" w:rsidRPr="007746C5" w:rsidRDefault="007746C5" w:rsidP="009A04E6">
      <w:pPr>
        <w:pStyle w:val="Bibliography"/>
        <w:spacing w:line="240" w:lineRule="auto"/>
      </w:pPr>
      <w:r w:rsidRPr="007746C5">
        <w:t xml:space="preserve">Garner, M. G., &amp; Beckett, S. D. (2005). Modelling the spread of foot-and-mouth disease in Australia. </w:t>
      </w:r>
      <w:r w:rsidRPr="007746C5">
        <w:rPr>
          <w:i/>
          <w:iCs/>
        </w:rPr>
        <w:t>Australian Veterinary Journal</w:t>
      </w:r>
      <w:r w:rsidRPr="007746C5">
        <w:t xml:space="preserve">, </w:t>
      </w:r>
      <w:r w:rsidRPr="007746C5">
        <w:rPr>
          <w:i/>
          <w:iCs/>
        </w:rPr>
        <w:t>83</w:t>
      </w:r>
      <w:r w:rsidRPr="007746C5">
        <w:t>(12), 758–766. https://doi.org/10.1111/j.1751-0813.2005.tb11589.x</w:t>
      </w:r>
    </w:p>
    <w:p w14:paraId="1983F49D" w14:textId="77777777" w:rsidR="007746C5" w:rsidRPr="007746C5" w:rsidRDefault="007746C5" w:rsidP="009A04E6">
      <w:pPr>
        <w:pStyle w:val="Bibliography"/>
        <w:spacing w:line="240" w:lineRule="auto"/>
      </w:pPr>
      <w:r w:rsidRPr="007746C5">
        <w:t xml:space="preserve">Garnett, S. T., Burgess, N. D., Fa, J. E., Fernández-Llamazares, Á., Molnár, Z., Robinson, C. J., Watson, J. E. M., Zander, K. K., Austin, B., Brondizio, E. S., Collier, N. F., Duncan, T., Ellis, E., Geyle, H., Jackson, M. V., Jonas, H., Malmer, P., McGowan, B., Sivongxay, A., &amp; Leiper, I. (2018). A spatial overview of the global importance of Indigenous lands for conservation. </w:t>
      </w:r>
      <w:r w:rsidRPr="007746C5">
        <w:rPr>
          <w:i/>
          <w:iCs/>
        </w:rPr>
        <w:t>Nature Sustainability</w:t>
      </w:r>
      <w:r w:rsidRPr="007746C5">
        <w:t xml:space="preserve">, </w:t>
      </w:r>
      <w:r w:rsidRPr="007746C5">
        <w:rPr>
          <w:i/>
          <w:iCs/>
        </w:rPr>
        <w:t>1</w:t>
      </w:r>
      <w:r w:rsidRPr="007746C5">
        <w:t>(7), 369–374. https://doi.org/10.1038/s41893-018-0100-6</w:t>
      </w:r>
    </w:p>
    <w:p w14:paraId="764BEB8C" w14:textId="77777777" w:rsidR="007746C5" w:rsidRPr="007746C5" w:rsidRDefault="007746C5" w:rsidP="009A04E6">
      <w:pPr>
        <w:pStyle w:val="Bibliography"/>
        <w:spacing w:line="240" w:lineRule="auto"/>
      </w:pPr>
      <w:r w:rsidRPr="007746C5">
        <w:t xml:space="preserve">Garrott, R. A., Siniff, D. B., Tester, J. R., Eagle, T. C., &amp; Plotka, E. D. (1992). A Comparison of Contraceptive Technologies for Feral Horse Management. </w:t>
      </w:r>
      <w:r w:rsidRPr="007746C5">
        <w:rPr>
          <w:i/>
          <w:iCs/>
        </w:rPr>
        <w:t>Wildlife Society Bulletin (1973-2006)</w:t>
      </w:r>
      <w:r w:rsidRPr="007746C5">
        <w:t xml:space="preserve">, </w:t>
      </w:r>
      <w:r w:rsidRPr="007746C5">
        <w:rPr>
          <w:i/>
          <w:iCs/>
        </w:rPr>
        <w:t>20</w:t>
      </w:r>
      <w:r w:rsidRPr="007746C5">
        <w:t>(3), 318–326. https://www.jstor.org/stable/3783038</w:t>
      </w:r>
    </w:p>
    <w:p w14:paraId="599842C2" w14:textId="77777777" w:rsidR="007746C5" w:rsidRPr="007746C5" w:rsidRDefault="007746C5" w:rsidP="009A04E6">
      <w:pPr>
        <w:pStyle w:val="Bibliography"/>
        <w:spacing w:line="240" w:lineRule="auto"/>
      </w:pPr>
      <w:r w:rsidRPr="007746C5">
        <w:t xml:space="preserve">Garvey, P. M., Banks, P. B., Suraci, J. P., Bodey, T. W., Glen, A. S., Jones, C. J., McArthur, C., Norbury, G. L., Price, C. J., Russell, J. C., &amp; Sih, A. (2020). Leveraging Motivations, Personality, and Sensory Cues for Vertebrate Pest Management. </w:t>
      </w:r>
      <w:r w:rsidRPr="007746C5">
        <w:rPr>
          <w:i/>
          <w:iCs/>
        </w:rPr>
        <w:t>Trends in Ecology &amp; Evolution</w:t>
      </w:r>
      <w:r w:rsidRPr="007746C5">
        <w:t xml:space="preserve">, </w:t>
      </w:r>
      <w:r w:rsidRPr="007746C5">
        <w:rPr>
          <w:i/>
          <w:iCs/>
        </w:rPr>
        <w:t>35</w:t>
      </w:r>
      <w:r w:rsidRPr="007746C5">
        <w:t>(11), 990–1000. https://doi.org/10.1016/j.tree.2020.07.007</w:t>
      </w:r>
    </w:p>
    <w:p w14:paraId="4145F1B4" w14:textId="77777777" w:rsidR="007746C5" w:rsidRPr="007746C5" w:rsidRDefault="007746C5" w:rsidP="009A04E6">
      <w:pPr>
        <w:pStyle w:val="Bibliography"/>
        <w:spacing w:line="240" w:lineRule="auto"/>
      </w:pPr>
      <w:r w:rsidRPr="007746C5">
        <w:t xml:space="preserve">Gattani, A., Singh, S. V., Agrawal, A., Khan, M. H., &amp; Singh, P. (2019). Recent progress in electrochemical biosensors as point of care diagnostics in livestock health. </w:t>
      </w:r>
      <w:r w:rsidRPr="007746C5">
        <w:rPr>
          <w:i/>
          <w:iCs/>
        </w:rPr>
        <w:t>Analytical Biochemistry</w:t>
      </w:r>
      <w:r w:rsidRPr="007746C5">
        <w:t xml:space="preserve">, </w:t>
      </w:r>
      <w:r w:rsidRPr="007746C5">
        <w:rPr>
          <w:i/>
          <w:iCs/>
        </w:rPr>
        <w:t>579</w:t>
      </w:r>
      <w:r w:rsidRPr="007746C5">
        <w:t>, 25–34. https://doi.org/10.1016/j.ab.2019.05.014</w:t>
      </w:r>
    </w:p>
    <w:p w14:paraId="33566F71" w14:textId="77777777" w:rsidR="007746C5" w:rsidRPr="007746C5" w:rsidRDefault="007746C5" w:rsidP="009A04E6">
      <w:pPr>
        <w:pStyle w:val="Bibliography"/>
        <w:spacing w:line="240" w:lineRule="auto"/>
      </w:pPr>
      <w:r w:rsidRPr="007746C5">
        <w:t xml:space="preserve">Gaudelli, N. M., Komor, A. C., Rees, H. A., Packer, M. S., Badran, A. H., Bryson, D. I., &amp; Liu, D. R. (2017). Programmable base editing of A•T to G•C in genomic DNA without DNA cleavage. </w:t>
      </w:r>
      <w:r w:rsidRPr="007746C5">
        <w:rPr>
          <w:i/>
          <w:iCs/>
        </w:rPr>
        <w:t>Nature</w:t>
      </w:r>
      <w:r w:rsidRPr="007746C5">
        <w:t xml:space="preserve">, </w:t>
      </w:r>
      <w:r w:rsidRPr="007746C5">
        <w:rPr>
          <w:i/>
          <w:iCs/>
        </w:rPr>
        <w:t>551</w:t>
      </w:r>
      <w:r w:rsidRPr="007746C5">
        <w:t>(7681), 464–471. https://doi.org/10.1038/nature24644</w:t>
      </w:r>
    </w:p>
    <w:p w14:paraId="15FE0EDB" w14:textId="77777777" w:rsidR="007746C5" w:rsidRPr="007746C5" w:rsidRDefault="007746C5" w:rsidP="009A04E6">
      <w:pPr>
        <w:pStyle w:val="Bibliography"/>
        <w:spacing w:line="240" w:lineRule="auto"/>
      </w:pPr>
      <w:r w:rsidRPr="007746C5">
        <w:t>Gebreziher, H. G., Gebreazgaabher, F. G., &amp; Berhe, Y. K. (2021). Awareness creation of smallholder farmers on and adoption of push-pull technology reduces fall armyworm (</w:t>
      </w:r>
      <w:r w:rsidRPr="007746C5">
        <w:rPr>
          <w:i/>
          <w:iCs/>
        </w:rPr>
        <w:t>Spodoptera frugiperda</w:t>
      </w:r>
      <w:r w:rsidRPr="007746C5">
        <w:t xml:space="preserve">) infestation on maize in Hawzien Woreda, Northern Ethiopia. </w:t>
      </w:r>
      <w:r w:rsidRPr="007746C5">
        <w:rPr>
          <w:i/>
          <w:iCs/>
        </w:rPr>
        <w:t>Future of Food: Journal on Food, Agriculture and Society</w:t>
      </w:r>
      <w:r w:rsidRPr="007746C5">
        <w:t xml:space="preserve">, </w:t>
      </w:r>
      <w:r w:rsidRPr="007746C5">
        <w:rPr>
          <w:i/>
          <w:iCs/>
        </w:rPr>
        <w:t>9</w:t>
      </w:r>
      <w:r w:rsidRPr="007746C5">
        <w:t>(1), Article 1. https://doi.org/10.17170/KOBRA-202011192210</w:t>
      </w:r>
    </w:p>
    <w:p w14:paraId="4E8CA201" w14:textId="77777777" w:rsidR="007746C5" w:rsidRPr="007746C5" w:rsidRDefault="007746C5" w:rsidP="009A04E6">
      <w:pPr>
        <w:pStyle w:val="Bibliography"/>
        <w:spacing w:line="240" w:lineRule="auto"/>
      </w:pPr>
      <w:r w:rsidRPr="007746C5">
        <w:t xml:space="preserve">Geering, W. A., &amp; Lubroth, J. (2002). </w:t>
      </w:r>
      <w:r w:rsidRPr="007746C5">
        <w:rPr>
          <w:i/>
          <w:iCs/>
        </w:rPr>
        <w:t>Preparation of foot-and-mouth disease contingency plans</w:t>
      </w:r>
      <w:r w:rsidRPr="007746C5">
        <w:t>. Food and Agricultural Organization of the United Nations.</w:t>
      </w:r>
    </w:p>
    <w:p w14:paraId="042FCDEB" w14:textId="77777777" w:rsidR="007746C5" w:rsidRPr="007746C5" w:rsidRDefault="007746C5" w:rsidP="009A04E6">
      <w:pPr>
        <w:pStyle w:val="Bibliography"/>
        <w:spacing w:line="240" w:lineRule="auto"/>
      </w:pPr>
      <w:r w:rsidRPr="007746C5">
        <w:lastRenderedPageBreak/>
        <w:t xml:space="preserve">GEF. (2007). </w:t>
      </w:r>
      <w:r w:rsidRPr="007746C5">
        <w:rPr>
          <w:i/>
          <w:iCs/>
        </w:rPr>
        <w:t>Mainstreaming Prevention and Control Measures for Invasive Alien Species into Trade, Transport and Travel Across the Production Landscape</w:t>
      </w:r>
      <w:r w:rsidRPr="007746C5">
        <w:t>. Global Environment Facility. https://www.thegef.org/project/mainstreaming-prevention-and-control-measures-invasive-alien-species-trade-transport-and</w:t>
      </w:r>
    </w:p>
    <w:p w14:paraId="38FB63C6" w14:textId="77777777" w:rsidR="007746C5" w:rsidRPr="007746C5" w:rsidRDefault="007746C5" w:rsidP="009A04E6">
      <w:pPr>
        <w:pStyle w:val="Bibliography"/>
        <w:spacing w:line="240" w:lineRule="auto"/>
      </w:pPr>
      <w:r w:rsidRPr="007746C5">
        <w:t xml:space="preserve">GEF. (2020). </w:t>
      </w:r>
      <w:r w:rsidRPr="007746C5">
        <w:rPr>
          <w:i/>
          <w:iCs/>
        </w:rPr>
        <w:t>South Pacific Biodiversity Conservation Programme</w:t>
      </w:r>
      <w:r w:rsidRPr="007746C5">
        <w:t>. Global Environment Facility. https://www.thegef.org/projects-operations/projects/403</w:t>
      </w:r>
    </w:p>
    <w:p w14:paraId="1F2F6DA3" w14:textId="77777777" w:rsidR="007746C5" w:rsidRPr="007746C5" w:rsidRDefault="007746C5" w:rsidP="009A04E6">
      <w:pPr>
        <w:pStyle w:val="Bibliography"/>
        <w:spacing w:line="240" w:lineRule="auto"/>
      </w:pPr>
      <w:r w:rsidRPr="007746C5">
        <w:t xml:space="preserve">Genovesi, P. (2001). </w:t>
      </w:r>
      <w:r w:rsidRPr="007746C5">
        <w:rPr>
          <w:i/>
          <w:iCs/>
        </w:rPr>
        <w:t>Guidelines for Eradication of Terrestrial Vertebrates: A European Contribution to the Invasive Alien Species Issue</w:t>
      </w:r>
      <w:r w:rsidRPr="007746C5">
        <w:t xml:space="preserve"> (Other Publications in Wildlife Management, p. 29). https://digitalcommons.unl.edu/cgi/viewcontent.cgi?referer=&amp;httpsredir=1&amp;article=1023&amp;context=icwdmother</w:t>
      </w:r>
    </w:p>
    <w:p w14:paraId="798DBD5C" w14:textId="77777777" w:rsidR="007746C5" w:rsidRPr="007746C5" w:rsidRDefault="007746C5" w:rsidP="009A04E6">
      <w:pPr>
        <w:pStyle w:val="Bibliography"/>
        <w:spacing w:line="240" w:lineRule="auto"/>
      </w:pPr>
      <w:r w:rsidRPr="007746C5">
        <w:t xml:space="preserve">Genovesi, P. (2011). Are we turning the tide? Eradications in times of crisis: How the global community is responding to biological invasions. In C. R. Veitch, M. N. Clout, &amp; D. R. Towns (Eds.), </w:t>
      </w:r>
      <w:r w:rsidRPr="007746C5">
        <w:rPr>
          <w:i/>
          <w:iCs/>
        </w:rPr>
        <w:t>Island Invasives: Eradication  and Management. Proceedings of the International Conference on Island Invasives</w:t>
      </w:r>
      <w:r w:rsidRPr="007746C5">
        <w:t xml:space="preserve"> (p. 4). IUCN and The Centre for Biodiversity and Biosecurity (CBB). https://www.researchgate.net/publication/233755935_Are_we_turning_the_tide_Eradications_in_times_of_crisis_how_the_global_community_is_responding_to_biological_invasions</w:t>
      </w:r>
    </w:p>
    <w:p w14:paraId="4DA666A3" w14:textId="77777777" w:rsidR="007746C5" w:rsidRPr="007746C5" w:rsidRDefault="007746C5" w:rsidP="009A04E6">
      <w:pPr>
        <w:pStyle w:val="Bibliography"/>
        <w:spacing w:line="240" w:lineRule="auto"/>
      </w:pPr>
      <w:r w:rsidRPr="007746C5">
        <w:t xml:space="preserve">Genovesi, P., &amp; Bertolino, S. (2001). Human dimension aspects in invasive alien species issues: The case of the failure of the grey squirrel eradication project in Italy. In J. A. McNeely (Ed.), </w:t>
      </w:r>
      <w:r w:rsidRPr="007746C5">
        <w:rPr>
          <w:i/>
          <w:iCs/>
        </w:rPr>
        <w:t>The Great Reshuffling: Human Dimensions of Invasive Alien Species</w:t>
      </w:r>
      <w:r w:rsidRPr="007746C5">
        <w:t xml:space="preserve"> (pp. 113–119). IUCN – The World Conservation Union. https://www.researchgate.net/publication/233809634_Human_dimension_aspects_in_invasive_alien_species_issues_the_case_of_the_failure_of_the_grey_squirrel_eradication_project_in_Italy</w:t>
      </w:r>
    </w:p>
    <w:p w14:paraId="03BC4A91" w14:textId="77777777" w:rsidR="007746C5" w:rsidRPr="007746C5" w:rsidRDefault="007746C5" w:rsidP="009A04E6">
      <w:pPr>
        <w:pStyle w:val="Bibliography"/>
        <w:spacing w:line="240" w:lineRule="auto"/>
      </w:pPr>
      <w:r w:rsidRPr="007746C5">
        <w:t xml:space="preserve">Gentle, M., &amp; Pople, A. (2013). Effectiveness of commercial harvesting in controlling feral-pig populations. </w:t>
      </w:r>
      <w:r w:rsidRPr="007746C5">
        <w:rPr>
          <w:i/>
          <w:iCs/>
        </w:rPr>
        <w:t>Wildlife Research</w:t>
      </w:r>
      <w:r w:rsidRPr="007746C5">
        <w:t xml:space="preserve">, </w:t>
      </w:r>
      <w:r w:rsidRPr="007746C5">
        <w:rPr>
          <w:i/>
          <w:iCs/>
        </w:rPr>
        <w:t>40</w:t>
      </w:r>
      <w:r w:rsidRPr="007746C5">
        <w:t>(6), 459–469. https://doi.org/10.1071/WR13100</w:t>
      </w:r>
    </w:p>
    <w:p w14:paraId="69855DDC" w14:textId="77777777" w:rsidR="007746C5" w:rsidRPr="007746C5" w:rsidRDefault="007746C5" w:rsidP="009A04E6">
      <w:pPr>
        <w:pStyle w:val="Bibliography"/>
        <w:spacing w:line="240" w:lineRule="auto"/>
      </w:pPr>
      <w:r w:rsidRPr="007746C5">
        <w:t xml:space="preserve">George, J., Häsler, B., Komba, E., Sindato, C., Rweyemamu, M., &amp; Mlangwa, J. (2021). Towards an integrated animal health surveillance system in Tanzania: Making better use of existing and potential data sources for early warning surveillance. </w:t>
      </w:r>
      <w:r w:rsidRPr="007746C5">
        <w:rPr>
          <w:i/>
          <w:iCs/>
        </w:rPr>
        <w:t>BMC Veterinary Research</w:t>
      </w:r>
      <w:r w:rsidRPr="007746C5">
        <w:t xml:space="preserve">, </w:t>
      </w:r>
      <w:r w:rsidRPr="007746C5">
        <w:rPr>
          <w:i/>
          <w:iCs/>
        </w:rPr>
        <w:t>17</w:t>
      </w:r>
      <w:r w:rsidRPr="007746C5">
        <w:t>(1), 109. https://doi.org/10.1186/s12917-021-02789-x</w:t>
      </w:r>
    </w:p>
    <w:p w14:paraId="3C6EC22C" w14:textId="77777777" w:rsidR="007746C5" w:rsidRPr="007746C5" w:rsidRDefault="007746C5" w:rsidP="009A04E6">
      <w:pPr>
        <w:pStyle w:val="Bibliography"/>
        <w:spacing w:line="240" w:lineRule="auto"/>
      </w:pPr>
      <w:r w:rsidRPr="007746C5">
        <w:t xml:space="preserve">Gerda. (2021). </w:t>
      </w:r>
      <w:r w:rsidRPr="007746C5">
        <w:rPr>
          <w:i/>
          <w:iCs/>
        </w:rPr>
        <w:t>Gerda · global eradication and response database</w:t>
      </w:r>
      <w:r w:rsidRPr="007746C5">
        <w:t>. Global Eradication and Response Database. http://b3.net.nz/gerda/</w:t>
      </w:r>
    </w:p>
    <w:p w14:paraId="001BF87E" w14:textId="77777777" w:rsidR="007746C5" w:rsidRPr="007746C5" w:rsidRDefault="007746C5" w:rsidP="009A04E6">
      <w:pPr>
        <w:pStyle w:val="Bibliography"/>
        <w:spacing w:line="240" w:lineRule="auto"/>
      </w:pPr>
      <w:r w:rsidRPr="007746C5">
        <w:t xml:space="preserve">Giachetti, C. B., Battini, N., Castro, K. L., &amp; Schwindt, E. (2020). Invasive ascidians: How predators reduce their dominance in artificial structures in cold temperate areas. </w:t>
      </w:r>
      <w:r w:rsidRPr="007746C5">
        <w:rPr>
          <w:i/>
          <w:iCs/>
        </w:rPr>
        <w:t>Journal of Experimental Marine Biology and Ecology</w:t>
      </w:r>
      <w:r w:rsidRPr="007746C5">
        <w:t xml:space="preserve">, </w:t>
      </w:r>
      <w:r w:rsidRPr="007746C5">
        <w:rPr>
          <w:i/>
          <w:iCs/>
        </w:rPr>
        <w:t>533</w:t>
      </w:r>
      <w:r w:rsidRPr="007746C5">
        <w:t>, 151459. https://doi.org/10.1016/j.jembe.2020.151459</w:t>
      </w:r>
    </w:p>
    <w:p w14:paraId="4C189978" w14:textId="77777777" w:rsidR="007746C5" w:rsidRPr="007746C5" w:rsidRDefault="007746C5" w:rsidP="009A04E6">
      <w:pPr>
        <w:pStyle w:val="Bibliography"/>
        <w:spacing w:line="240" w:lineRule="auto"/>
      </w:pPr>
      <w:r w:rsidRPr="007746C5">
        <w:t xml:space="preserve">Giakoumi, S., Katsanevakis, S., Albano, P. G., Azzurro, E., Cardoso, A. C., Cebrian, E., Deidun, A., Edelist, D., Francour, P., Jimenez, C., Mačić, V., Occhipinti-Ambrogi, A., Rilov, G., &amp; Sghaier, Y. R. (2019). Management priorities for marine invasive species. </w:t>
      </w:r>
      <w:r w:rsidRPr="007746C5">
        <w:rPr>
          <w:i/>
          <w:iCs/>
        </w:rPr>
        <w:t>Science of The Total Environment</w:t>
      </w:r>
      <w:r w:rsidRPr="007746C5">
        <w:t xml:space="preserve">, </w:t>
      </w:r>
      <w:r w:rsidRPr="007746C5">
        <w:rPr>
          <w:i/>
          <w:iCs/>
        </w:rPr>
        <w:t>688</w:t>
      </w:r>
      <w:r w:rsidRPr="007746C5">
        <w:t>, 976–982. https://doi.org/10.1016/j.scitotenv.2019.06.282</w:t>
      </w:r>
    </w:p>
    <w:p w14:paraId="66C46410" w14:textId="77777777" w:rsidR="007746C5" w:rsidRPr="007746C5" w:rsidRDefault="007746C5" w:rsidP="009A04E6">
      <w:pPr>
        <w:pStyle w:val="Bibliography"/>
        <w:spacing w:line="240" w:lineRule="auto"/>
      </w:pPr>
      <w:r w:rsidRPr="007746C5">
        <w:t xml:space="preserve">Giakoumi, S., Pey, A., Di Franco, A., Francour, P., Kizilkaya, Z., Arda, Y., Raybaud, V., &amp; Guidetti, P. (2019). Exploring the relationships between marine protected areas and invasive fish in the world’s most invaded sea. </w:t>
      </w:r>
      <w:r w:rsidRPr="007746C5">
        <w:rPr>
          <w:i/>
          <w:iCs/>
        </w:rPr>
        <w:t>Ecological Applications</w:t>
      </w:r>
      <w:r w:rsidRPr="007746C5">
        <w:t xml:space="preserve">, </w:t>
      </w:r>
      <w:r w:rsidRPr="007746C5">
        <w:rPr>
          <w:i/>
          <w:iCs/>
        </w:rPr>
        <w:t>29</w:t>
      </w:r>
      <w:r w:rsidRPr="007746C5">
        <w:t>(1), e01809. https://doi.org/10.1002/eap.1809</w:t>
      </w:r>
    </w:p>
    <w:p w14:paraId="173FAF61" w14:textId="77777777" w:rsidR="007746C5" w:rsidRPr="007746C5" w:rsidRDefault="007746C5" w:rsidP="009A04E6">
      <w:pPr>
        <w:pStyle w:val="Bibliography"/>
        <w:spacing w:line="240" w:lineRule="auto"/>
      </w:pPr>
      <w:r w:rsidRPr="007746C5">
        <w:t xml:space="preserve">Gierus, L., Birand, A., Bunting, M. D., Godahewa, G. I., Piltz, S. G., Oh, K. P., Piaggio, A. J., Threadgill, D. W., Godwin, J., Edwards, O., Cassey, P., Ross, J. V., Prowse, T. A. A., &amp; Thomas, P. Q. (2022). Leveraging a natural murine meiotic drive to suppress invasive populations. </w:t>
      </w:r>
      <w:r w:rsidRPr="007746C5">
        <w:rPr>
          <w:i/>
          <w:iCs/>
        </w:rPr>
        <w:t>Proceedings of the National Academy of Sciences</w:t>
      </w:r>
      <w:r w:rsidRPr="007746C5">
        <w:t xml:space="preserve">, </w:t>
      </w:r>
      <w:r w:rsidRPr="007746C5">
        <w:rPr>
          <w:i/>
          <w:iCs/>
        </w:rPr>
        <w:t>119</w:t>
      </w:r>
      <w:r w:rsidRPr="007746C5">
        <w:t>(46), e2213308119. https://doi.org/10.1073/pnas.2213308119</w:t>
      </w:r>
    </w:p>
    <w:p w14:paraId="0137CF7E" w14:textId="77777777" w:rsidR="007746C5" w:rsidRPr="007746C5" w:rsidRDefault="007746C5" w:rsidP="009A04E6">
      <w:pPr>
        <w:pStyle w:val="Bibliography"/>
        <w:spacing w:line="240" w:lineRule="auto"/>
      </w:pPr>
      <w:r w:rsidRPr="007746C5">
        <w:t xml:space="preserve">Gigon, A. (2007). </w:t>
      </w:r>
      <w:r w:rsidRPr="007746C5">
        <w:rPr>
          <w:i/>
          <w:iCs/>
        </w:rPr>
        <w:t>Ersatz-Pflanzenarten für die unerwünschten gebietsfremden Arten (invasive Neophyten) der Schwarzen und der Beobachtungsliste der Schweiz</w:t>
      </w:r>
      <w:r w:rsidRPr="007746C5">
        <w:t xml:space="preserve"> (p. 12). </w:t>
      </w:r>
      <w:r w:rsidRPr="007746C5">
        <w:lastRenderedPageBreak/>
        <w:t>https://www.infoflora.ch/de/assets/content/documents/neophyten/neophyten_diverses/neophyten-ersatzarten.pdf</w:t>
      </w:r>
    </w:p>
    <w:p w14:paraId="551FD18A" w14:textId="77777777" w:rsidR="007746C5" w:rsidRPr="007746C5" w:rsidRDefault="007746C5" w:rsidP="009A04E6">
      <w:pPr>
        <w:pStyle w:val="Bibliography"/>
        <w:spacing w:line="240" w:lineRule="auto"/>
      </w:pPr>
      <w:r w:rsidRPr="007746C5">
        <w:t>Girsang, S. S., Nurzannah, S. E., Girsang, M. A., &amp; Effendi, R. (2020). The distribution and impact of fall army worm (</w:t>
      </w:r>
      <w:r w:rsidRPr="007746C5">
        <w:rPr>
          <w:i/>
          <w:iCs/>
        </w:rPr>
        <w:t>Spodoptera frugiperda</w:t>
      </w:r>
      <w:r w:rsidRPr="007746C5">
        <w:t xml:space="preserve">) on maize production in North Sumatera. </w:t>
      </w:r>
      <w:r w:rsidRPr="007746C5">
        <w:rPr>
          <w:i/>
          <w:iCs/>
        </w:rPr>
        <w:t>IOP Conference Series: Earth and Environmental Science</w:t>
      </w:r>
      <w:r w:rsidRPr="007746C5">
        <w:t xml:space="preserve">, </w:t>
      </w:r>
      <w:r w:rsidRPr="007746C5">
        <w:rPr>
          <w:i/>
          <w:iCs/>
        </w:rPr>
        <w:t>484</w:t>
      </w:r>
      <w:r w:rsidRPr="007746C5">
        <w:t>(1), 012099. https://doi.org/10.1088/1755-1315/484/1/012099</w:t>
      </w:r>
    </w:p>
    <w:p w14:paraId="40B680E3" w14:textId="77777777" w:rsidR="007746C5" w:rsidRPr="007746C5" w:rsidRDefault="007746C5" w:rsidP="009A04E6">
      <w:pPr>
        <w:pStyle w:val="Bibliography"/>
        <w:spacing w:line="240" w:lineRule="auto"/>
      </w:pPr>
      <w:r w:rsidRPr="007746C5">
        <w:t xml:space="preserve">Glare, T., Caradus, J., Gelernter, W., Jackson, T., Keyhani, N., Köhl, J., Marrone, P., Morin, L., &amp; Stewart, A. (2012). Have biopesticides come of age? </w:t>
      </w:r>
      <w:r w:rsidRPr="007746C5">
        <w:rPr>
          <w:i/>
          <w:iCs/>
        </w:rPr>
        <w:t>Trends in Biotechnology</w:t>
      </w:r>
      <w:r w:rsidRPr="007746C5">
        <w:t xml:space="preserve">, </w:t>
      </w:r>
      <w:r w:rsidRPr="007746C5">
        <w:rPr>
          <w:i/>
          <w:iCs/>
        </w:rPr>
        <w:t>30</w:t>
      </w:r>
      <w:r w:rsidRPr="007746C5">
        <w:t>(5), 250–258. https://doi.org/10.1016/j.tibtech.2012.01.003</w:t>
      </w:r>
    </w:p>
    <w:p w14:paraId="347B5D08" w14:textId="77777777" w:rsidR="007746C5" w:rsidRPr="007746C5" w:rsidRDefault="007746C5" w:rsidP="009A04E6">
      <w:pPr>
        <w:pStyle w:val="Bibliography"/>
        <w:spacing w:line="240" w:lineRule="auto"/>
      </w:pPr>
      <w:r w:rsidRPr="007746C5">
        <w:t xml:space="preserve">Glen, A. S., Atkinson, R., Campbell, K. J., Hagen, E., Holmes, N. D., Keitt, B. S., Parkes, J. P., Saunders, A., Sawyer, J., &amp; Torres, H. (2013). Eradicating multiple invasive species on inhabited islands: The next big step in island restoration? </w:t>
      </w:r>
      <w:r w:rsidRPr="007746C5">
        <w:rPr>
          <w:i/>
          <w:iCs/>
        </w:rPr>
        <w:t>Biological Invasions</w:t>
      </w:r>
      <w:r w:rsidRPr="007746C5">
        <w:t xml:space="preserve">, </w:t>
      </w:r>
      <w:r w:rsidRPr="007746C5">
        <w:rPr>
          <w:i/>
          <w:iCs/>
        </w:rPr>
        <w:t>15</w:t>
      </w:r>
      <w:r w:rsidRPr="007746C5">
        <w:t>(12), 2589–2603. https://doi.org/10.1007/s10530-013-0495-y</w:t>
      </w:r>
    </w:p>
    <w:p w14:paraId="7BACCA34" w14:textId="77777777" w:rsidR="007746C5" w:rsidRPr="007746C5" w:rsidRDefault="007746C5" w:rsidP="009A04E6">
      <w:pPr>
        <w:pStyle w:val="Bibliography"/>
        <w:spacing w:line="240" w:lineRule="auto"/>
      </w:pPr>
      <w:r w:rsidRPr="007746C5">
        <w:t xml:space="preserve">Glen, A. S., Latham, M. C., Anderson, D., Leckie, C., Niemiec, R., Pech, R. P., &amp; Byrom, A. E. (2017). Landholder participation in regional-scale control of invasive predators: An adaptable landscape model. </w:t>
      </w:r>
      <w:r w:rsidRPr="007746C5">
        <w:rPr>
          <w:i/>
          <w:iCs/>
        </w:rPr>
        <w:t>Biological Invasions</w:t>
      </w:r>
      <w:r w:rsidRPr="007746C5">
        <w:t xml:space="preserve">, </w:t>
      </w:r>
      <w:r w:rsidRPr="007746C5">
        <w:rPr>
          <w:i/>
          <w:iCs/>
        </w:rPr>
        <w:t>19</w:t>
      </w:r>
      <w:r w:rsidRPr="007746C5">
        <w:t>(1), 329–338. https://doi.org/10.1007/s10530-016-1282-3</w:t>
      </w:r>
    </w:p>
    <w:p w14:paraId="2ED625FA" w14:textId="77777777" w:rsidR="007746C5" w:rsidRPr="007746C5" w:rsidRDefault="007746C5" w:rsidP="009A04E6">
      <w:pPr>
        <w:pStyle w:val="Bibliography"/>
        <w:spacing w:line="240" w:lineRule="auto"/>
      </w:pPr>
      <w:r w:rsidRPr="007746C5">
        <w:t xml:space="preserve">Godfree, R. C., Knerr, N., Godfree, D., Busby, J., Robertson, B., &amp; Encinas-Viso, F. (2019). Historical reconstruction unveils the risk of mass mortality and ecosystem collapse during pancontinental megadrought. </w:t>
      </w:r>
      <w:r w:rsidRPr="007746C5">
        <w:rPr>
          <w:i/>
          <w:iCs/>
        </w:rPr>
        <w:t>Proceedings of the National Academy of Sciences</w:t>
      </w:r>
      <w:r w:rsidRPr="007746C5">
        <w:t xml:space="preserve">, </w:t>
      </w:r>
      <w:r w:rsidRPr="007746C5">
        <w:rPr>
          <w:i/>
          <w:iCs/>
        </w:rPr>
        <w:t>116</w:t>
      </w:r>
      <w:r w:rsidRPr="007746C5">
        <w:t>(31), 15580–15589. https://doi.org/10.1073/pnas.1902046116</w:t>
      </w:r>
    </w:p>
    <w:p w14:paraId="687BAFAD" w14:textId="77777777" w:rsidR="007746C5" w:rsidRPr="007746C5" w:rsidRDefault="007746C5" w:rsidP="009A04E6">
      <w:pPr>
        <w:pStyle w:val="Bibliography"/>
        <w:spacing w:line="240" w:lineRule="auto"/>
      </w:pPr>
      <w:r w:rsidRPr="007746C5">
        <w:t xml:space="preserve">Goes, F. (2005). </w:t>
      </w:r>
      <w:r w:rsidRPr="007746C5">
        <w:rPr>
          <w:i/>
          <w:iCs/>
        </w:rPr>
        <w:t>Four years of water bird conservation activities in Prek Toal Core Area, Tonle Sap Biosphere Reserve (2001-2004)</w:t>
      </w:r>
      <w:r w:rsidRPr="007746C5">
        <w:t>. Wildlife Conservation Society. https://library.khmerstudies.org/bib/2583</w:t>
      </w:r>
    </w:p>
    <w:p w14:paraId="6C0F611A" w14:textId="77777777" w:rsidR="007746C5" w:rsidRPr="007746C5" w:rsidRDefault="007746C5" w:rsidP="009A04E6">
      <w:pPr>
        <w:pStyle w:val="Bibliography"/>
        <w:spacing w:line="240" w:lineRule="auto"/>
      </w:pPr>
      <w:r w:rsidRPr="007746C5">
        <w:t xml:space="preserve">Goka, K. (2010). Introduction to the Special Feature for Ecological Risk Assessment of Introduced Bumblebees: Status of the European bumblebee, </w:t>
      </w:r>
      <w:r w:rsidRPr="007746C5">
        <w:rPr>
          <w:i/>
          <w:iCs/>
        </w:rPr>
        <w:t>Bombus terrestris</w:t>
      </w:r>
      <w:r w:rsidRPr="007746C5">
        <w:t xml:space="preserve">, in Japan as a beneficial pollinator and an invasive alien species. </w:t>
      </w:r>
      <w:r w:rsidRPr="007746C5">
        <w:rPr>
          <w:i/>
          <w:iCs/>
        </w:rPr>
        <w:t>Applied Entomology and Zoology</w:t>
      </w:r>
      <w:r w:rsidRPr="007746C5">
        <w:t xml:space="preserve">, </w:t>
      </w:r>
      <w:r w:rsidRPr="007746C5">
        <w:rPr>
          <w:i/>
          <w:iCs/>
        </w:rPr>
        <w:t>45</w:t>
      </w:r>
      <w:r w:rsidRPr="007746C5">
        <w:t>(1), 1–6. https://doi.org/10.1303/aez.2010.1</w:t>
      </w:r>
    </w:p>
    <w:p w14:paraId="250D19CF" w14:textId="77777777" w:rsidR="007746C5" w:rsidRPr="007746C5" w:rsidRDefault="007746C5" w:rsidP="009A04E6">
      <w:pPr>
        <w:pStyle w:val="Bibliography"/>
        <w:spacing w:line="240" w:lineRule="auto"/>
      </w:pPr>
      <w:r w:rsidRPr="007746C5">
        <w:t xml:space="preserve">Göktoǧan, A. H., Sukkarieh, S., Bryson, M., Randle, J., Lupton, T., &amp; Hung, C. (2010). A Rotary-wing Unmanned Air Vehicle for Aquatic Weed Surveillance and Management. </w:t>
      </w:r>
      <w:r w:rsidRPr="007746C5">
        <w:rPr>
          <w:i/>
          <w:iCs/>
        </w:rPr>
        <w:t>Journal of Intelligent and Robotic Systems</w:t>
      </w:r>
      <w:r w:rsidRPr="007746C5">
        <w:t xml:space="preserve">, </w:t>
      </w:r>
      <w:r w:rsidRPr="007746C5">
        <w:rPr>
          <w:i/>
          <w:iCs/>
        </w:rPr>
        <w:t>57</w:t>
      </w:r>
      <w:r w:rsidRPr="007746C5">
        <w:t>(1), 467–484. https://doi.org/10.1007/s10846-009-9371-5</w:t>
      </w:r>
    </w:p>
    <w:p w14:paraId="02A3DB51" w14:textId="77777777" w:rsidR="007746C5" w:rsidRPr="007746C5" w:rsidRDefault="007746C5" w:rsidP="009A04E6">
      <w:pPr>
        <w:pStyle w:val="Bibliography"/>
        <w:spacing w:line="240" w:lineRule="auto"/>
      </w:pPr>
      <w:r w:rsidRPr="007746C5">
        <w:t xml:space="preserve">Gollasch, S., &amp; Nehring, S. (2006). National checklist for aquatic alien species in Germany. </w:t>
      </w:r>
      <w:r w:rsidRPr="007746C5">
        <w:rPr>
          <w:i/>
          <w:iCs/>
        </w:rPr>
        <w:t>Aquatic Invasions</w:t>
      </w:r>
      <w:r w:rsidRPr="007746C5">
        <w:t xml:space="preserve">, </w:t>
      </w:r>
      <w:r w:rsidRPr="007746C5">
        <w:rPr>
          <w:i/>
          <w:iCs/>
        </w:rPr>
        <w:t>1</w:t>
      </w:r>
      <w:r w:rsidRPr="007746C5">
        <w:t>(4), 245–269. https://doi.org/10.3391/ai.2006.1.4.8</w:t>
      </w:r>
    </w:p>
    <w:p w14:paraId="63215FFB" w14:textId="77777777" w:rsidR="007746C5" w:rsidRPr="007746C5" w:rsidRDefault="007746C5" w:rsidP="009A04E6">
      <w:pPr>
        <w:pStyle w:val="Bibliography"/>
        <w:spacing w:line="240" w:lineRule="auto"/>
      </w:pPr>
      <w:r w:rsidRPr="007746C5">
        <w:t xml:space="preserve">Gonzalez, L. F., Montes, G. A., Puig, E., Johnson, S., Mengersen, K., &amp; Gaston, K. J. (2016). Unmanned Aerial Vehicles (UAVs) and Artificial Intelligence Revolutionizing Wildlife Monitoring and Conservation. </w:t>
      </w:r>
      <w:r w:rsidRPr="007746C5">
        <w:rPr>
          <w:i/>
          <w:iCs/>
        </w:rPr>
        <w:t>Sensors</w:t>
      </w:r>
      <w:r w:rsidRPr="007746C5">
        <w:t xml:space="preserve">, </w:t>
      </w:r>
      <w:r w:rsidRPr="007746C5">
        <w:rPr>
          <w:i/>
          <w:iCs/>
        </w:rPr>
        <w:t>16</w:t>
      </w:r>
      <w:r w:rsidRPr="007746C5">
        <w:t>(1), 97. https://doi.org/10.3390/s16010097</w:t>
      </w:r>
    </w:p>
    <w:p w14:paraId="126C0AD0" w14:textId="77777777" w:rsidR="007746C5" w:rsidRPr="007746C5" w:rsidRDefault="007746C5" w:rsidP="009A04E6">
      <w:pPr>
        <w:pStyle w:val="Bibliography"/>
        <w:spacing w:line="240" w:lineRule="auto"/>
      </w:pPr>
      <w:r w:rsidRPr="007746C5">
        <w:t xml:space="preserve">González-Moreno, P., Lazzaro, L., Vilà, M., Preda, C., Adriaens, T., Bacher, S., Brundu, G., Copp, G. H., Essl, F., García-Berthou, E., Katsanevakis, S., Moen, T. L., Lucy, F. E., Nentwig, W., Roy, H. E., Srėbalienė, G., Talgø, V., Vanderhoeven, S., Andjelković, A., … Kenis, M. (2019). Consistency of impact assessment protocols for non-native species. </w:t>
      </w:r>
      <w:r w:rsidRPr="007746C5">
        <w:rPr>
          <w:i/>
          <w:iCs/>
        </w:rPr>
        <w:t>NeoBiota</w:t>
      </w:r>
      <w:r w:rsidRPr="007746C5">
        <w:t xml:space="preserve">, </w:t>
      </w:r>
      <w:r w:rsidRPr="007746C5">
        <w:rPr>
          <w:i/>
          <w:iCs/>
        </w:rPr>
        <w:t>44</w:t>
      </w:r>
      <w:r w:rsidRPr="007746C5">
        <w:t>, 1–25. https://doi.org/10.3897/neobiota.44.31650</w:t>
      </w:r>
    </w:p>
    <w:p w14:paraId="55E783E2" w14:textId="77777777" w:rsidR="007746C5" w:rsidRPr="007746C5" w:rsidRDefault="007746C5" w:rsidP="009A04E6">
      <w:pPr>
        <w:pStyle w:val="Bibliography"/>
        <w:spacing w:line="240" w:lineRule="auto"/>
      </w:pPr>
      <w:r w:rsidRPr="007746C5">
        <w:t xml:space="preserve">Gopal, P., Bordoloi, S., Ratnam, R., Lin, P., Cai, W., Buragohain, P., Garg, A., &amp; Sreedeep, S. (2019). Investigation of infiltration rate for soil-biochar composites of water hyacinth. </w:t>
      </w:r>
      <w:r w:rsidRPr="007746C5">
        <w:rPr>
          <w:i/>
          <w:iCs/>
        </w:rPr>
        <w:t>Acta Geophysica</w:t>
      </w:r>
      <w:r w:rsidRPr="007746C5">
        <w:t xml:space="preserve">, </w:t>
      </w:r>
      <w:r w:rsidRPr="007746C5">
        <w:rPr>
          <w:i/>
          <w:iCs/>
        </w:rPr>
        <w:t>67</w:t>
      </w:r>
      <w:r w:rsidRPr="007746C5">
        <w:t>(1), 231–246. https://doi.org/10.1007/s11600-018-0237-8</w:t>
      </w:r>
    </w:p>
    <w:p w14:paraId="2DBB6964" w14:textId="77777777" w:rsidR="007746C5" w:rsidRPr="007746C5" w:rsidRDefault="007746C5" w:rsidP="009A04E6">
      <w:pPr>
        <w:pStyle w:val="Bibliography"/>
        <w:spacing w:line="240" w:lineRule="auto"/>
      </w:pPr>
      <w:r w:rsidRPr="007746C5">
        <w:t xml:space="preserve">Gosling, L. M., &amp; Baker, S. J. (1989). The eradication of muskrats and coypus from Britain. </w:t>
      </w:r>
      <w:r w:rsidRPr="007746C5">
        <w:rPr>
          <w:i/>
          <w:iCs/>
        </w:rPr>
        <w:t>Biological Journal of the Linnean Society</w:t>
      </w:r>
      <w:r w:rsidRPr="007746C5">
        <w:t xml:space="preserve">, </w:t>
      </w:r>
      <w:r w:rsidRPr="007746C5">
        <w:rPr>
          <w:i/>
          <w:iCs/>
        </w:rPr>
        <w:t>38</w:t>
      </w:r>
      <w:r w:rsidRPr="007746C5">
        <w:t>(1), 39–51. https://doi.org/10.1111/j.1095-8312.1989.tb01561.x</w:t>
      </w:r>
    </w:p>
    <w:p w14:paraId="09C6F793" w14:textId="77777777" w:rsidR="007746C5" w:rsidRPr="007746C5" w:rsidRDefault="007746C5" w:rsidP="009A04E6">
      <w:pPr>
        <w:pStyle w:val="Bibliography"/>
        <w:spacing w:line="240" w:lineRule="auto"/>
      </w:pPr>
      <w:r w:rsidRPr="007746C5">
        <w:t xml:space="preserve">Gozlan, R. E., Andreou, D., Asaeda, T., Beyer, K., Bouhadad, R., Burnard, D., Caiola, N., Cakic, P., Djikanovic, V., Esmaeili, H. R., Falka, I., Golicher, D., Harka, A., Jeney, G., Kováč, V., Musil, J., Nocita, A., Povz, M., Poulet, N., … Britton, J. R. (2010). Pan-continental invasion </w:t>
      </w:r>
      <w:r w:rsidRPr="007746C5">
        <w:lastRenderedPageBreak/>
        <w:t xml:space="preserve">of </w:t>
      </w:r>
      <w:r w:rsidRPr="007746C5">
        <w:rPr>
          <w:i/>
          <w:iCs/>
        </w:rPr>
        <w:t>Pseudorasbora parva</w:t>
      </w:r>
      <w:r w:rsidRPr="007746C5">
        <w:t xml:space="preserve">: Towards a better understanding of freshwater fish invasions. </w:t>
      </w:r>
      <w:r w:rsidRPr="007746C5">
        <w:rPr>
          <w:i/>
          <w:iCs/>
        </w:rPr>
        <w:t>Fish and Fisheries</w:t>
      </w:r>
      <w:r w:rsidRPr="007746C5">
        <w:t xml:space="preserve">, </w:t>
      </w:r>
      <w:r w:rsidRPr="007746C5">
        <w:rPr>
          <w:i/>
          <w:iCs/>
        </w:rPr>
        <w:t>11</w:t>
      </w:r>
      <w:r w:rsidRPr="007746C5">
        <w:t>(4), 315–340. https://doi.org/10.1111/j.1467-2979.2010.00361.x</w:t>
      </w:r>
    </w:p>
    <w:p w14:paraId="31147880" w14:textId="77777777" w:rsidR="007746C5" w:rsidRPr="007746C5" w:rsidRDefault="007746C5" w:rsidP="009A04E6">
      <w:pPr>
        <w:pStyle w:val="Bibliography"/>
        <w:spacing w:line="240" w:lineRule="auto"/>
      </w:pPr>
      <w:r w:rsidRPr="007746C5">
        <w:t xml:space="preserve">Grace, K. E. F., Papadopoulou, C., Floyd, T., Avigad, R., Collins, S., White, E., Batten, C., Flannery, J., Gubbins, S., &amp; Carpenter, S. T. (2020). Risk-based surveillance for bluetongue virus in cattle on the south coast of England in 2017 and 2018. </w:t>
      </w:r>
      <w:r w:rsidRPr="007746C5">
        <w:rPr>
          <w:i/>
          <w:iCs/>
        </w:rPr>
        <w:t>Veterinary Record</w:t>
      </w:r>
      <w:r w:rsidRPr="007746C5">
        <w:t xml:space="preserve">, </w:t>
      </w:r>
      <w:r w:rsidRPr="007746C5">
        <w:rPr>
          <w:i/>
          <w:iCs/>
        </w:rPr>
        <w:t>187</w:t>
      </w:r>
      <w:r w:rsidRPr="007746C5">
        <w:t>(11), e96. https://doi.org/10.1136/vr.106016</w:t>
      </w:r>
    </w:p>
    <w:p w14:paraId="795FA5E1" w14:textId="77777777" w:rsidR="007746C5" w:rsidRPr="007746C5" w:rsidRDefault="007746C5" w:rsidP="009A04E6">
      <w:pPr>
        <w:pStyle w:val="Bibliography"/>
        <w:spacing w:line="240" w:lineRule="auto"/>
      </w:pPr>
      <w:r w:rsidRPr="007746C5">
        <w:t xml:space="preserve">Graham, K., Gilligan, D., Brown, P., van Klinken, R. D., McColl, K. A., &amp; Durr, P. A. (2021). Use of spatio-temporal habitat suitability modelling to prioritise areas for common carp biocontrol in Australia using the virus CyHV-3. </w:t>
      </w:r>
      <w:r w:rsidRPr="007746C5">
        <w:rPr>
          <w:i/>
          <w:iCs/>
        </w:rPr>
        <w:t>Journal of Environmental Management</w:t>
      </w:r>
      <w:r w:rsidRPr="007746C5">
        <w:t xml:space="preserve">, </w:t>
      </w:r>
      <w:r w:rsidRPr="007746C5">
        <w:rPr>
          <w:i/>
          <w:iCs/>
        </w:rPr>
        <w:t>295</w:t>
      </w:r>
      <w:r w:rsidRPr="007746C5">
        <w:t>, 113061. https://doi.org/10.1016/j.jenvman.2021.113061</w:t>
      </w:r>
    </w:p>
    <w:p w14:paraId="656BB1B5" w14:textId="77777777" w:rsidR="007746C5" w:rsidRPr="007746C5" w:rsidRDefault="007746C5" w:rsidP="009A04E6">
      <w:pPr>
        <w:pStyle w:val="Bibliography"/>
        <w:spacing w:line="240" w:lineRule="auto"/>
      </w:pPr>
      <w:r w:rsidRPr="007746C5">
        <w:t xml:space="preserve">Graham, S., Metcalf, A. L., Gill, N., Niemiec, R., Moreno, C., Bach, T., Ikutegbe, V., Hallstrom, L., Ma, Z., &amp; Lubeck, A. (2019). Opportunities for better use of collective action theory in research and governance for invasive species management. </w:t>
      </w:r>
      <w:r w:rsidRPr="007746C5">
        <w:rPr>
          <w:i/>
          <w:iCs/>
        </w:rPr>
        <w:t>Conservation Biology</w:t>
      </w:r>
      <w:r w:rsidRPr="007746C5">
        <w:t xml:space="preserve">, </w:t>
      </w:r>
      <w:r w:rsidRPr="007746C5">
        <w:rPr>
          <w:i/>
          <w:iCs/>
        </w:rPr>
        <w:t>33</w:t>
      </w:r>
      <w:r w:rsidRPr="007746C5">
        <w:t>(2), 275–287. https://doi.org/10.1111/cobi.13266</w:t>
      </w:r>
    </w:p>
    <w:p w14:paraId="6F8D4817" w14:textId="77777777" w:rsidR="007746C5" w:rsidRPr="007746C5" w:rsidRDefault="007746C5" w:rsidP="009A04E6">
      <w:pPr>
        <w:pStyle w:val="Bibliography"/>
        <w:spacing w:line="240" w:lineRule="auto"/>
      </w:pPr>
      <w:r w:rsidRPr="007746C5">
        <w:t xml:space="preserve">Grechi, I., Chadès, I., Buckley, Y. M., Friedel, M. H., Grice, A. C., Possingham, H. P., van Klinken, R. D., &amp; Martin, T. G. (2014). A decision framework for management of conflicting production and biodiversity goals for a commercially valuable invasive species. </w:t>
      </w:r>
      <w:r w:rsidRPr="007746C5">
        <w:rPr>
          <w:i/>
          <w:iCs/>
        </w:rPr>
        <w:t>Agricultural Systems</w:t>
      </w:r>
      <w:r w:rsidRPr="007746C5">
        <w:t xml:space="preserve">, </w:t>
      </w:r>
      <w:r w:rsidRPr="007746C5">
        <w:rPr>
          <w:i/>
          <w:iCs/>
        </w:rPr>
        <w:t>125</w:t>
      </w:r>
      <w:r w:rsidRPr="007746C5">
        <w:t>, 1–11. https://doi.org/10.1016/j.agsy.2013.11.005</w:t>
      </w:r>
    </w:p>
    <w:p w14:paraId="1A13844F" w14:textId="77777777" w:rsidR="007746C5" w:rsidRPr="007746C5" w:rsidRDefault="007746C5" w:rsidP="009A04E6">
      <w:pPr>
        <w:pStyle w:val="Bibliography"/>
        <w:spacing w:line="240" w:lineRule="auto"/>
      </w:pPr>
      <w:r w:rsidRPr="007746C5">
        <w:t xml:space="preserve">Green, S. J., Underwood, E. B., &amp; Akins, J. L. (2017). Mobilizing volunteers to sustain local suppression of a global marine invasion. </w:t>
      </w:r>
      <w:r w:rsidRPr="007746C5">
        <w:rPr>
          <w:i/>
          <w:iCs/>
        </w:rPr>
        <w:t>Conservation Letters</w:t>
      </w:r>
      <w:r w:rsidRPr="007746C5">
        <w:t xml:space="preserve">, </w:t>
      </w:r>
      <w:r w:rsidRPr="007746C5">
        <w:rPr>
          <w:i/>
          <w:iCs/>
        </w:rPr>
        <w:t>10</w:t>
      </w:r>
      <w:r w:rsidRPr="007746C5">
        <w:t>(6), 726–735. https://doi.org/10.1111/conl.12426</w:t>
      </w:r>
    </w:p>
    <w:p w14:paraId="79C7782D" w14:textId="77777777" w:rsidR="007746C5" w:rsidRPr="007746C5" w:rsidRDefault="007746C5" w:rsidP="009A04E6">
      <w:pPr>
        <w:pStyle w:val="Bibliography"/>
        <w:spacing w:line="240" w:lineRule="auto"/>
      </w:pPr>
      <w:r w:rsidRPr="007746C5">
        <w:t xml:space="preserve">Gregory, R., Failing, L., Ohlson, D., &amp; Mcdaniels, T. L. (2006). Some Pitfalls of an Overemphasis on Science in Environmental Risk Management Decisions. </w:t>
      </w:r>
      <w:r w:rsidRPr="007746C5">
        <w:rPr>
          <w:i/>
          <w:iCs/>
        </w:rPr>
        <w:t>Journal of Risk Research</w:t>
      </w:r>
      <w:r w:rsidRPr="007746C5">
        <w:t xml:space="preserve">, </w:t>
      </w:r>
      <w:r w:rsidRPr="007746C5">
        <w:rPr>
          <w:i/>
          <w:iCs/>
        </w:rPr>
        <w:t>9</w:t>
      </w:r>
      <w:r w:rsidRPr="007746C5">
        <w:t>(7), 717–735. https://doi.org/10.1080/13669870600799895</w:t>
      </w:r>
    </w:p>
    <w:p w14:paraId="745A605D" w14:textId="77777777" w:rsidR="007746C5" w:rsidRPr="007746C5" w:rsidRDefault="007746C5" w:rsidP="009A04E6">
      <w:pPr>
        <w:pStyle w:val="Bibliography"/>
        <w:spacing w:line="240" w:lineRule="auto"/>
      </w:pPr>
      <w:r w:rsidRPr="007746C5">
        <w:t xml:space="preserve">Gregory, S., Henderson, W., Smee, E., &amp; Cassey, P. (2014). </w:t>
      </w:r>
      <w:r w:rsidRPr="007746C5">
        <w:rPr>
          <w:i/>
          <w:iCs/>
        </w:rPr>
        <w:t>Eradications of vertebrate pests in Australia: A review and guidelines for future best practice</w:t>
      </w:r>
      <w:r w:rsidRPr="007746C5">
        <w:t>. Canberra, Australia: Invasive Animals Cooperative Research Centre. https://pestsmart.org.au/wp-content/uploads/sites/3/2020/06/AusEradications_2014.pdf</w:t>
      </w:r>
    </w:p>
    <w:p w14:paraId="4A2FC01A" w14:textId="77777777" w:rsidR="007746C5" w:rsidRPr="007746C5" w:rsidRDefault="007746C5" w:rsidP="009A04E6">
      <w:pPr>
        <w:pStyle w:val="Bibliography"/>
        <w:spacing w:line="240" w:lineRule="auto"/>
      </w:pPr>
      <w:r w:rsidRPr="007746C5">
        <w:t xml:space="preserve">Grice, A. C. (2006). Commercially valuable weeds: Can we eat our cake without choking on it? </w:t>
      </w:r>
      <w:r w:rsidRPr="007746C5">
        <w:rPr>
          <w:i/>
          <w:iCs/>
        </w:rPr>
        <w:t>Ecological Management &amp; Restoration</w:t>
      </w:r>
      <w:r w:rsidRPr="007746C5">
        <w:t xml:space="preserve">, </w:t>
      </w:r>
      <w:r w:rsidRPr="007746C5">
        <w:rPr>
          <w:i/>
          <w:iCs/>
        </w:rPr>
        <w:t>7</w:t>
      </w:r>
      <w:r w:rsidRPr="007746C5">
        <w:t>(1), 40–44. https://doi.org/10.1111/j.1442-8903.2006.00246.x</w:t>
      </w:r>
    </w:p>
    <w:p w14:paraId="24E98A13" w14:textId="77777777" w:rsidR="007746C5" w:rsidRPr="007746C5" w:rsidRDefault="007746C5" w:rsidP="009A04E6">
      <w:pPr>
        <w:pStyle w:val="Bibliography"/>
        <w:spacing w:line="240" w:lineRule="auto"/>
      </w:pPr>
      <w:r w:rsidRPr="007746C5">
        <w:t xml:space="preserve">Grice, A. C., Clarkson, J. D., Murphy, H. T., Fletcher, C. S., &amp; Westcott, D. A. (2013). Containment as a strategic option for managing plant invasion. </w:t>
      </w:r>
      <w:r w:rsidRPr="007746C5">
        <w:rPr>
          <w:i/>
          <w:iCs/>
        </w:rPr>
        <w:t>Plant Protection Quarterly</w:t>
      </w:r>
      <w:r w:rsidRPr="007746C5">
        <w:t xml:space="preserve">, </w:t>
      </w:r>
      <w:r w:rsidRPr="007746C5">
        <w:rPr>
          <w:i/>
          <w:iCs/>
        </w:rPr>
        <w:t>28</w:t>
      </w:r>
      <w:r w:rsidRPr="007746C5">
        <w:t>(3), 62–65. https://search.informit.org/doi/10.3316/ielapa.685341871862730</w:t>
      </w:r>
    </w:p>
    <w:p w14:paraId="2E62D292" w14:textId="77777777" w:rsidR="007746C5" w:rsidRPr="007746C5" w:rsidRDefault="007746C5" w:rsidP="009A04E6">
      <w:pPr>
        <w:pStyle w:val="Bibliography"/>
        <w:spacing w:line="240" w:lineRule="auto"/>
      </w:pPr>
      <w:r w:rsidRPr="007746C5">
        <w:t xml:space="preserve">Grice, A. C., Clarkson, J. R., Friedel, M. H., Murphy, H. T., Fletcher, C. S., &amp; Westcott, D. A. (2012). Containment: The state of play. </w:t>
      </w:r>
      <w:r w:rsidRPr="007746C5">
        <w:rPr>
          <w:i/>
          <w:iCs/>
        </w:rPr>
        <w:t>Developing Solutions to Evolving Weed Problems. 18th Australasian Weeds Conference</w:t>
      </w:r>
      <w:r w:rsidRPr="007746C5">
        <w:t>, 320–324. https://caws.org.nz/old-site/awc/2012/awc201213201.pdf</w:t>
      </w:r>
    </w:p>
    <w:p w14:paraId="2034F273" w14:textId="77777777" w:rsidR="007746C5" w:rsidRPr="007746C5" w:rsidRDefault="007746C5" w:rsidP="009A04E6">
      <w:pPr>
        <w:pStyle w:val="Bibliography"/>
        <w:spacing w:line="240" w:lineRule="auto"/>
      </w:pPr>
      <w:r w:rsidRPr="007746C5">
        <w:t xml:space="preserve">Grice, A. C., Murphy, H. T., Clarkson, J. R., Friedel, M. H., Fletcher, C. S., &amp; Westcott, D. A. (2020). A review and refinement of the concept of containment for the management of invasive plants. </w:t>
      </w:r>
      <w:r w:rsidRPr="007746C5">
        <w:rPr>
          <w:i/>
          <w:iCs/>
        </w:rPr>
        <w:t>Australian Journal of Botany</w:t>
      </w:r>
      <w:r w:rsidRPr="007746C5">
        <w:t xml:space="preserve">, </w:t>
      </w:r>
      <w:r w:rsidRPr="007746C5">
        <w:rPr>
          <w:i/>
          <w:iCs/>
        </w:rPr>
        <w:t>68</w:t>
      </w:r>
      <w:r w:rsidRPr="007746C5">
        <w:t>(8), 602–616. https://doi.org/10.1071/BT20092</w:t>
      </w:r>
    </w:p>
    <w:p w14:paraId="2A45DD3A" w14:textId="77777777" w:rsidR="007746C5" w:rsidRPr="007746C5" w:rsidRDefault="007746C5" w:rsidP="009A04E6">
      <w:pPr>
        <w:pStyle w:val="Bibliography"/>
        <w:spacing w:line="240" w:lineRule="auto"/>
      </w:pPr>
      <w:r w:rsidRPr="007746C5">
        <w:t xml:space="preserve">Griffiths, R., Cranwell, S., Derand, D., Ghestemme, T., Will, D., Zito, J., Hall, T., Pott, M., &amp; Coulston, G. (2019). Multi island, multi invasive species eradication in French Polynesia demonstrates economies of scale. In C. R. Veitch, M. N. Clout, A. R. Martin, J. C. Russell, &amp; C. J. West (Eds.), </w:t>
      </w:r>
      <w:r w:rsidRPr="007746C5">
        <w:rPr>
          <w:i/>
          <w:iCs/>
        </w:rPr>
        <w:t>Island invasives: Scaling up to meet the challenge</w:t>
      </w:r>
      <w:r w:rsidRPr="007746C5">
        <w:t xml:space="preserve"> (pp. 611–617). IUCN SSC Invasive Species Specialist Group. http://www.issg.org/pdf/publications/Island_Invasives/pdfHQprint/2Griffiths.pdf</w:t>
      </w:r>
    </w:p>
    <w:p w14:paraId="5544BD6E" w14:textId="77777777" w:rsidR="007746C5" w:rsidRPr="007746C5" w:rsidRDefault="007746C5" w:rsidP="009A04E6">
      <w:pPr>
        <w:pStyle w:val="Bibliography"/>
        <w:spacing w:line="240" w:lineRule="auto"/>
      </w:pPr>
      <w:r w:rsidRPr="007746C5">
        <w:t xml:space="preserve">Groom, Q. J., Desmet, P., Reyserhove, L., Adriaens, T., Oldoni, D., Vanderhoeven, S., Baskauf, S. J., Chapman, A., McGeoch, M. A., Walls, R., Wieczorek, J., Wilson, J. R. U., Zermoglio, P. F., &amp; Simpson, A. (2019). Improving Darwin Core for research and management of alien </w:t>
      </w:r>
      <w:r w:rsidRPr="007746C5">
        <w:lastRenderedPageBreak/>
        <w:t xml:space="preserve">species. </w:t>
      </w:r>
      <w:r w:rsidRPr="007746C5">
        <w:rPr>
          <w:i/>
          <w:iCs/>
        </w:rPr>
        <w:t>Biodiversity Information Science and Standards</w:t>
      </w:r>
      <w:r w:rsidRPr="007746C5">
        <w:t xml:space="preserve">, </w:t>
      </w:r>
      <w:r w:rsidRPr="007746C5">
        <w:rPr>
          <w:i/>
          <w:iCs/>
        </w:rPr>
        <w:t>3</w:t>
      </w:r>
      <w:r w:rsidRPr="007746C5">
        <w:t>, e38084. https://doi.org/10.3897/biss.3.38084</w:t>
      </w:r>
    </w:p>
    <w:p w14:paraId="49240A1D" w14:textId="77777777" w:rsidR="007746C5" w:rsidRPr="007746C5" w:rsidRDefault="007746C5" w:rsidP="009A04E6">
      <w:pPr>
        <w:pStyle w:val="Bibliography"/>
        <w:spacing w:line="240" w:lineRule="auto"/>
      </w:pPr>
      <w:r w:rsidRPr="007746C5">
        <w:t xml:space="preserve">Groom, Q. J., Strubbe, D., Adriaens, T., Davis, A. J. S., Desmet, P., Oldoni, D., Reyserhove, L., Roy, H. E., &amp; Vanderhoeven, S. (2019). Empowering Citizens to Inform Decision-Making as a Way Forward to Support Invasive Alien Species Policy. </w:t>
      </w:r>
      <w:r w:rsidRPr="007746C5">
        <w:rPr>
          <w:i/>
          <w:iCs/>
        </w:rPr>
        <w:t>Citizen Science: Theory and Practice</w:t>
      </w:r>
      <w:r w:rsidRPr="007746C5">
        <w:t xml:space="preserve">, </w:t>
      </w:r>
      <w:r w:rsidRPr="007746C5">
        <w:rPr>
          <w:i/>
          <w:iCs/>
        </w:rPr>
        <w:t>4</w:t>
      </w:r>
      <w:r w:rsidRPr="007746C5">
        <w:t>(1), 33. https://doi.org/10.5334/cstp.238</w:t>
      </w:r>
    </w:p>
    <w:p w14:paraId="06A4DC9F" w14:textId="77777777" w:rsidR="007746C5" w:rsidRPr="007746C5" w:rsidRDefault="007746C5" w:rsidP="009A04E6">
      <w:pPr>
        <w:pStyle w:val="Bibliography"/>
        <w:spacing w:line="240" w:lineRule="auto"/>
      </w:pPr>
      <w:r w:rsidRPr="007746C5">
        <w:t xml:space="preserve">Grosholz, E., Ashton, G., Bradley, M., Brown, C., Ceballos-Osuna, L., Chang, A., de Rivera, C., Gonzalez, J., Heineke, M., Marraffini, M., McCann, L., Pollard, E., Pritchard, I., Ruiz, G., Turner, B., &amp; Tepolt, C. (2021). Stage-specific overcompensation, the hydra effect, and the failure to eradicate an invasive predator. </w:t>
      </w:r>
      <w:r w:rsidRPr="007746C5">
        <w:rPr>
          <w:i/>
          <w:iCs/>
        </w:rPr>
        <w:t>Proceedings of the National Academy of Sciences</w:t>
      </w:r>
      <w:r w:rsidRPr="007746C5">
        <w:t xml:space="preserve">, </w:t>
      </w:r>
      <w:r w:rsidRPr="007746C5">
        <w:rPr>
          <w:i/>
          <w:iCs/>
        </w:rPr>
        <w:t>118</w:t>
      </w:r>
      <w:r w:rsidRPr="007746C5">
        <w:t>(12), e2003955118. https://doi.org/10.1073/pnas.2003955118</w:t>
      </w:r>
    </w:p>
    <w:p w14:paraId="7DB06A51" w14:textId="77777777" w:rsidR="007746C5" w:rsidRPr="007746C5" w:rsidRDefault="007746C5" w:rsidP="009A04E6">
      <w:pPr>
        <w:pStyle w:val="Bibliography"/>
        <w:spacing w:line="240" w:lineRule="auto"/>
      </w:pPr>
      <w:r w:rsidRPr="007746C5">
        <w:t xml:space="preserve">Grossel, G., Lyon, A., &amp; Nunn, M. (2017). Open-Source Intelligence Gathering and Open-Analysis Intelligence for Biosecurity. In A. P. Robinson, T. Walshe, M. A. Burgman, &amp; M. Nunn (Eds.), </w:t>
      </w:r>
      <w:r w:rsidRPr="007746C5">
        <w:rPr>
          <w:i/>
          <w:iCs/>
        </w:rPr>
        <w:t>Invasive Species: Risk Assessment and Management</w:t>
      </w:r>
      <w:r w:rsidRPr="007746C5">
        <w:t xml:space="preserve"> (1st ed., pp. 84–92). Cambridge University Press. https://doi.org/10.1017/9781139019606.005</w:t>
      </w:r>
    </w:p>
    <w:p w14:paraId="73EBAC38" w14:textId="77777777" w:rsidR="007746C5" w:rsidRPr="007746C5" w:rsidRDefault="007746C5" w:rsidP="009A04E6">
      <w:pPr>
        <w:pStyle w:val="Bibliography"/>
        <w:spacing w:line="240" w:lineRule="auto"/>
      </w:pPr>
      <w:r w:rsidRPr="007746C5">
        <w:t xml:space="preserve">Groves, R. H., Panetta, F. D., &amp; Virtue, J. G. (Eds.). (2001). </w:t>
      </w:r>
      <w:r w:rsidRPr="007746C5">
        <w:rPr>
          <w:i/>
          <w:iCs/>
        </w:rPr>
        <w:t>Weed Risk Assessment</w:t>
      </w:r>
      <w:r w:rsidRPr="007746C5">
        <w:t>. CSIRO Publishing.</w:t>
      </w:r>
    </w:p>
    <w:p w14:paraId="333AD7DB" w14:textId="77777777" w:rsidR="007746C5" w:rsidRPr="007746C5" w:rsidRDefault="007746C5" w:rsidP="009A04E6">
      <w:pPr>
        <w:pStyle w:val="Bibliography"/>
        <w:spacing w:line="240" w:lineRule="auto"/>
      </w:pPr>
      <w:r w:rsidRPr="007746C5">
        <w:t xml:space="preserve">Gruber, M. A. M., Cooling, M., Baty, J. W., Buckley, K., Friedlander, A., Quinn, O., Russell, J. F. E. J., Sébastien, A., &amp; Lester, P. J. (2017). Single-stranded RNA viruses infecting the invasive Argentine ant, </w:t>
      </w:r>
      <w:r w:rsidRPr="007746C5">
        <w:rPr>
          <w:i/>
          <w:iCs/>
        </w:rPr>
        <w:t>Linepithema humile</w:t>
      </w:r>
      <w:r w:rsidRPr="007746C5">
        <w:t xml:space="preserve">. </w:t>
      </w:r>
      <w:r w:rsidRPr="007746C5">
        <w:rPr>
          <w:i/>
          <w:iCs/>
        </w:rPr>
        <w:t>Scientific Reports</w:t>
      </w:r>
      <w:r w:rsidRPr="007746C5">
        <w:t xml:space="preserve">, </w:t>
      </w:r>
      <w:r w:rsidRPr="007746C5">
        <w:rPr>
          <w:i/>
          <w:iCs/>
        </w:rPr>
        <w:t>7</w:t>
      </w:r>
      <w:r w:rsidRPr="007746C5">
        <w:t>(1), 3304. https://doi.org/10.1038/s41598-017-03508-z</w:t>
      </w:r>
    </w:p>
    <w:p w14:paraId="7377BB9B" w14:textId="77777777" w:rsidR="007746C5" w:rsidRPr="007746C5" w:rsidRDefault="007746C5" w:rsidP="009A04E6">
      <w:pPr>
        <w:pStyle w:val="Bibliography"/>
        <w:spacing w:line="240" w:lineRule="auto"/>
      </w:pPr>
      <w:r w:rsidRPr="007746C5">
        <w:t xml:space="preserve">Gruber, M. A. M., Cooling, M., &amp; Burne, A. R. (2016). </w:t>
      </w:r>
      <w:r w:rsidRPr="007746C5">
        <w:rPr>
          <w:i/>
          <w:iCs/>
        </w:rPr>
        <w:t>PIAT Pacific Invasive Ant toolkit. Pacific Biosecurity. New Zealand Ministry of Foreign Affairs and Trade.</w:t>
      </w:r>
      <w:r w:rsidRPr="007746C5">
        <w:t xml:space="preserve"> https://piat.org.nz/index.php?page=citing-the-toolkit</w:t>
      </w:r>
    </w:p>
    <w:p w14:paraId="53651B59" w14:textId="77777777" w:rsidR="007746C5" w:rsidRPr="007746C5" w:rsidRDefault="007746C5" w:rsidP="009A04E6">
      <w:pPr>
        <w:pStyle w:val="Bibliography"/>
        <w:spacing w:line="240" w:lineRule="auto"/>
      </w:pPr>
      <w:r w:rsidRPr="007746C5">
        <w:t xml:space="preserve">Grung, M., Lin, Y., Zhang, H., Steen, A. O., Huang, J., Zhang, G., &amp; Larssen, T. (2015). Pesticide levels and environmental risk in aquatic environments in China—A review. </w:t>
      </w:r>
      <w:r w:rsidRPr="007746C5">
        <w:rPr>
          <w:i/>
          <w:iCs/>
        </w:rPr>
        <w:t>Environment International</w:t>
      </w:r>
      <w:r w:rsidRPr="007746C5">
        <w:t xml:space="preserve">, </w:t>
      </w:r>
      <w:r w:rsidRPr="007746C5">
        <w:rPr>
          <w:i/>
          <w:iCs/>
        </w:rPr>
        <w:t>81</w:t>
      </w:r>
      <w:r w:rsidRPr="007746C5">
        <w:t>, 87–97. https://doi.org/10.1016/j.envint.2015.04.013</w:t>
      </w:r>
    </w:p>
    <w:p w14:paraId="68D710DA" w14:textId="77777777" w:rsidR="007746C5" w:rsidRPr="007746C5" w:rsidRDefault="007746C5" w:rsidP="009A04E6">
      <w:pPr>
        <w:pStyle w:val="Bibliography"/>
        <w:spacing w:line="240" w:lineRule="auto"/>
      </w:pPr>
      <w:r w:rsidRPr="007746C5">
        <w:t xml:space="preserve">Gu, D. E., Yu, F. D., Yang, Y. X., Xu, M., Wei, H., Luo, D., Mu, X. D., &amp; Hu, Y. C. (2019). Tilapia fisheries in Guangdong Province, China: Socio-economic benefits, and threats on native ecosystems and economics. </w:t>
      </w:r>
      <w:r w:rsidRPr="007746C5">
        <w:rPr>
          <w:i/>
          <w:iCs/>
        </w:rPr>
        <w:t>Fisheries Management and Ecology</w:t>
      </w:r>
      <w:r w:rsidRPr="007746C5">
        <w:t xml:space="preserve">, </w:t>
      </w:r>
      <w:r w:rsidRPr="007746C5">
        <w:rPr>
          <w:i/>
          <w:iCs/>
        </w:rPr>
        <w:t>26</w:t>
      </w:r>
      <w:r w:rsidRPr="007746C5">
        <w:t>(2), 97–107. https://doi.org/10.1111/fme.12330</w:t>
      </w:r>
    </w:p>
    <w:p w14:paraId="1DAE6E23" w14:textId="77777777" w:rsidR="007746C5" w:rsidRPr="007746C5" w:rsidRDefault="007746C5" w:rsidP="009A04E6">
      <w:pPr>
        <w:pStyle w:val="Bibliography"/>
        <w:spacing w:line="240" w:lineRule="auto"/>
      </w:pPr>
      <w:r w:rsidRPr="007746C5">
        <w:t xml:space="preserve">Gu, D. E., Yu, F.-D., Yang, Y.-X., Ma, G.-M., Hu, Y.-C., Mu, X.-D., Xu, M., Liu, C., Luo, D., &amp; Wei, H. (2018). Killing effect of “miefeiling” on alien nile tilapia in ornamental aquaculture. </w:t>
      </w:r>
      <w:r w:rsidRPr="007746C5">
        <w:rPr>
          <w:i/>
          <w:iCs/>
        </w:rPr>
        <w:t>Chinese Journal of Ecology</w:t>
      </w:r>
      <w:r w:rsidRPr="007746C5">
        <w:t xml:space="preserve">, </w:t>
      </w:r>
      <w:r w:rsidRPr="007746C5">
        <w:rPr>
          <w:i/>
          <w:iCs/>
        </w:rPr>
        <w:t>37</w:t>
      </w:r>
      <w:r w:rsidRPr="007746C5">
        <w:t>(10), 2985–2988. https://doi.org/10.13292/j.1000-4890.201810.001</w:t>
      </w:r>
    </w:p>
    <w:p w14:paraId="47C4009E" w14:textId="77777777" w:rsidR="007746C5" w:rsidRPr="007746C5" w:rsidRDefault="007746C5" w:rsidP="009A04E6">
      <w:pPr>
        <w:pStyle w:val="Bibliography"/>
        <w:spacing w:line="240" w:lineRule="auto"/>
      </w:pPr>
      <w:r w:rsidRPr="007746C5">
        <w:t xml:space="preserve">Guareschi, S., &amp; Wood, P. J. (2019). Taxonomic changes and non-native species: An overview of constraints and new challenges for macroinvertebrate-based indices calculation in river ecosystems. </w:t>
      </w:r>
      <w:r w:rsidRPr="007746C5">
        <w:rPr>
          <w:i/>
          <w:iCs/>
        </w:rPr>
        <w:t>Science of The Total Environment</w:t>
      </w:r>
      <w:r w:rsidRPr="007746C5">
        <w:t xml:space="preserve">, </w:t>
      </w:r>
      <w:r w:rsidRPr="007746C5">
        <w:rPr>
          <w:i/>
          <w:iCs/>
        </w:rPr>
        <w:t>660</w:t>
      </w:r>
      <w:r w:rsidRPr="007746C5">
        <w:t>, 40–46. https://doi.org/10.1016/j.scitotenv.2019.01.008</w:t>
      </w:r>
    </w:p>
    <w:p w14:paraId="45588750" w14:textId="77777777" w:rsidR="007746C5" w:rsidRPr="007746C5" w:rsidRDefault="007746C5" w:rsidP="009A04E6">
      <w:pPr>
        <w:pStyle w:val="Bibliography"/>
        <w:spacing w:line="240" w:lineRule="auto"/>
      </w:pPr>
      <w:r w:rsidRPr="007746C5">
        <w:t xml:space="preserve">Gupta, A. D. (2015). Invasive Pest Attack in North Bengal. In E. Ens, J. Fisher, &amp; O. Costello (Eds.), </w:t>
      </w:r>
      <w:r w:rsidRPr="007746C5">
        <w:rPr>
          <w:i/>
          <w:iCs/>
        </w:rPr>
        <w:t>Indigenous people and invasive species: Perceptions, management, challenges and uses. IUCN Commission on Ecosystem Management Community Report.</w:t>
      </w:r>
      <w:r w:rsidRPr="007746C5">
        <w:t xml:space="preserve"> https://ipm.ifas.ufl.edu/pdfs/ens_et_al_2015_indigenous_people_and_invasive_species_iucn_cem_ecosystems_and_invasiv.pdf</w:t>
      </w:r>
    </w:p>
    <w:p w14:paraId="704BE0B3" w14:textId="77777777" w:rsidR="007746C5" w:rsidRPr="007746C5" w:rsidRDefault="007746C5" w:rsidP="009A04E6">
      <w:pPr>
        <w:pStyle w:val="Bibliography"/>
        <w:spacing w:line="240" w:lineRule="auto"/>
      </w:pPr>
      <w:r w:rsidRPr="007746C5">
        <w:t xml:space="preserve">Gupta, K., &amp; Sankaran, K. V. (2021). Forest Biosecurity Systems and Processes: An Indian Perspective. </w:t>
      </w:r>
      <w:r w:rsidRPr="007746C5">
        <w:rPr>
          <w:i/>
          <w:iCs/>
        </w:rPr>
        <w:t>Frontiers in Forests and Global Change</w:t>
      </w:r>
      <w:r w:rsidRPr="007746C5">
        <w:t xml:space="preserve">, </w:t>
      </w:r>
      <w:r w:rsidRPr="007746C5">
        <w:rPr>
          <w:i/>
          <w:iCs/>
        </w:rPr>
        <w:t>4</w:t>
      </w:r>
      <w:r w:rsidRPr="007746C5">
        <w:t>, 699950. https://doi.org/10.3389/ffgc.2021.699950</w:t>
      </w:r>
    </w:p>
    <w:p w14:paraId="29F82EA9" w14:textId="77777777" w:rsidR="007746C5" w:rsidRPr="007746C5" w:rsidRDefault="007746C5" w:rsidP="009A04E6">
      <w:pPr>
        <w:pStyle w:val="Bibliography"/>
        <w:spacing w:line="240" w:lineRule="auto"/>
      </w:pPr>
      <w:r w:rsidRPr="007746C5">
        <w:t xml:space="preserve">Gürtler, R. E., Martín Izquierdo, V., Gil, G., Cavicchia, M., &amp; Maranta, A. (2017). Coping with wild boar in a conservation area: Impacts of a 10-year management control program in north-eastern Argentina. </w:t>
      </w:r>
      <w:r w:rsidRPr="007746C5">
        <w:rPr>
          <w:i/>
          <w:iCs/>
        </w:rPr>
        <w:t>Biological Invasions</w:t>
      </w:r>
      <w:r w:rsidRPr="007746C5">
        <w:t xml:space="preserve">, </w:t>
      </w:r>
      <w:r w:rsidRPr="007746C5">
        <w:rPr>
          <w:i/>
          <w:iCs/>
        </w:rPr>
        <w:t>19</w:t>
      </w:r>
      <w:r w:rsidRPr="007746C5">
        <w:t>(1), 11–24. https://doi.org/10.1007/s10530-016-1256-5</w:t>
      </w:r>
    </w:p>
    <w:p w14:paraId="3122D825" w14:textId="77777777" w:rsidR="007746C5" w:rsidRPr="007746C5" w:rsidRDefault="007746C5" w:rsidP="009A04E6">
      <w:pPr>
        <w:pStyle w:val="Bibliography"/>
        <w:spacing w:line="240" w:lineRule="auto"/>
      </w:pPr>
      <w:r w:rsidRPr="007746C5">
        <w:lastRenderedPageBreak/>
        <w:t xml:space="preserve">Gürtler, R. E., Rodríguez-Planes, L. I., Gil, G., Izquierdo, V. M., Cavicchia, M., &amp; Maranta, A. (2018). Differential long-term impacts of a management control program of axis deer and wild boar in a protected area of north-eastern Argentina. </w:t>
      </w:r>
      <w:r w:rsidRPr="007746C5">
        <w:rPr>
          <w:i/>
          <w:iCs/>
        </w:rPr>
        <w:t>Biological Invasions</w:t>
      </w:r>
      <w:r w:rsidRPr="007746C5">
        <w:t xml:space="preserve">, </w:t>
      </w:r>
      <w:r w:rsidRPr="007746C5">
        <w:rPr>
          <w:i/>
          <w:iCs/>
        </w:rPr>
        <w:t>20</w:t>
      </w:r>
      <w:r w:rsidRPr="007746C5">
        <w:t>(6), 1431–1447. https://doi.org/10.1007/s10530-017-1635-6</w:t>
      </w:r>
    </w:p>
    <w:p w14:paraId="20CAD99C" w14:textId="77777777" w:rsidR="007746C5" w:rsidRPr="007746C5" w:rsidRDefault="007746C5" w:rsidP="009A04E6">
      <w:pPr>
        <w:pStyle w:val="Bibliography"/>
        <w:spacing w:line="240" w:lineRule="auto"/>
      </w:pPr>
      <w:r w:rsidRPr="007746C5">
        <w:t xml:space="preserve">Gutierrez, J. B., &amp; Teem, J. L. (2006). A model describing the effect of sex-reversed YY fish in an established wild population: The use of a Trojan Y chromosome to cause extinction of an introduced exotic species. </w:t>
      </w:r>
      <w:r w:rsidRPr="007746C5">
        <w:rPr>
          <w:i/>
          <w:iCs/>
        </w:rPr>
        <w:t>Journal of Theoretical Biology</w:t>
      </w:r>
      <w:r w:rsidRPr="007746C5">
        <w:t xml:space="preserve">, </w:t>
      </w:r>
      <w:r w:rsidRPr="007746C5">
        <w:rPr>
          <w:i/>
          <w:iCs/>
        </w:rPr>
        <w:t>241</w:t>
      </w:r>
      <w:r w:rsidRPr="007746C5">
        <w:t>(2), 333–341. https://doi.org/10.1016/j.jtbi.2005.11.032</w:t>
      </w:r>
    </w:p>
    <w:p w14:paraId="210B0B2B" w14:textId="77777777" w:rsidR="007746C5" w:rsidRPr="007746C5" w:rsidRDefault="007746C5" w:rsidP="009A04E6">
      <w:pPr>
        <w:pStyle w:val="Bibliography"/>
        <w:spacing w:line="240" w:lineRule="auto"/>
      </w:pPr>
      <w:r w:rsidRPr="007746C5">
        <w:t xml:space="preserve">Haack, R. A., Britton, K. O., Brockerhoff, E. G., Cavey, J. F., Garrett, L. J., Kimberley, M., Lowenstein, F., Nuding, A., Olson, L. J., Turner, J., &amp; Vasilaky, K. N. (2014). Effectiveness of the International Phytosanitary Standard ISPM No. 15 on Reducing Wood Borer Infestation Rates in Wood Packaging Material Entering the United States. </w:t>
      </w:r>
      <w:r w:rsidRPr="007746C5">
        <w:rPr>
          <w:i/>
          <w:iCs/>
        </w:rPr>
        <w:t>PLoS ONE</w:t>
      </w:r>
      <w:r w:rsidRPr="007746C5">
        <w:t xml:space="preserve">, </w:t>
      </w:r>
      <w:r w:rsidRPr="007746C5">
        <w:rPr>
          <w:i/>
          <w:iCs/>
        </w:rPr>
        <w:t>9</w:t>
      </w:r>
      <w:r w:rsidRPr="007746C5">
        <w:t>(5), e96611. https://doi.org/10.1371/journal.pone.0096611</w:t>
      </w:r>
    </w:p>
    <w:p w14:paraId="3FB82DC3" w14:textId="77777777" w:rsidR="007746C5" w:rsidRPr="007746C5" w:rsidRDefault="007746C5" w:rsidP="009A04E6">
      <w:pPr>
        <w:pStyle w:val="Bibliography"/>
        <w:spacing w:line="240" w:lineRule="auto"/>
      </w:pPr>
      <w:r w:rsidRPr="007746C5">
        <w:t xml:space="preserve">Hajek, A. E., McManus, M. L., &amp; Delalibera, I. (2007). A review of introductions of pathogens and nematodes for classical biological control of insects and mites. </w:t>
      </w:r>
      <w:r w:rsidRPr="007746C5">
        <w:rPr>
          <w:i/>
          <w:iCs/>
        </w:rPr>
        <w:t>Biological Control</w:t>
      </w:r>
      <w:r w:rsidRPr="007746C5">
        <w:t xml:space="preserve">, </w:t>
      </w:r>
      <w:r w:rsidRPr="007746C5">
        <w:rPr>
          <w:i/>
          <w:iCs/>
        </w:rPr>
        <w:t>41</w:t>
      </w:r>
      <w:r w:rsidRPr="007746C5">
        <w:t>(1), 1–13. https://doi.org/10.1016/j.biocontrol.2006.11.003</w:t>
      </w:r>
    </w:p>
    <w:p w14:paraId="17C07413" w14:textId="77777777" w:rsidR="007746C5" w:rsidRPr="007746C5" w:rsidRDefault="007746C5" w:rsidP="009A04E6">
      <w:pPr>
        <w:pStyle w:val="Bibliography"/>
        <w:spacing w:line="240" w:lineRule="auto"/>
      </w:pPr>
      <w:r w:rsidRPr="007746C5">
        <w:t xml:space="preserve">Hall, S. A., Bastos, R., Vicente, J., Vaz, A. S., Honrado, J. P., Holmes, P. M., Gaertner, M., Esler, K. J., &amp; Cabral, J. A. (2021). A dynamic modeling tool to anticipate the effectiveness of invasive plant control and restoration recovery trajectories in South African fynbos. </w:t>
      </w:r>
      <w:r w:rsidRPr="007746C5">
        <w:rPr>
          <w:i/>
          <w:iCs/>
        </w:rPr>
        <w:t>Restoration Ecology</w:t>
      </w:r>
      <w:r w:rsidRPr="007746C5">
        <w:t xml:space="preserve">, </w:t>
      </w:r>
      <w:r w:rsidRPr="007746C5">
        <w:rPr>
          <w:i/>
          <w:iCs/>
        </w:rPr>
        <w:t>29</w:t>
      </w:r>
      <w:r w:rsidRPr="007746C5">
        <w:t>(3), e13324. https://doi.org/10.1111/rec.13324</w:t>
      </w:r>
    </w:p>
    <w:p w14:paraId="4D31B566" w14:textId="77777777" w:rsidR="007746C5" w:rsidRPr="007746C5" w:rsidRDefault="007746C5" w:rsidP="009A04E6">
      <w:pPr>
        <w:pStyle w:val="Bibliography"/>
        <w:spacing w:line="240" w:lineRule="auto"/>
      </w:pPr>
      <w:r w:rsidRPr="007746C5">
        <w:t xml:space="preserve">Handford, C. E., Elliott, C. T., &amp; Campbell, K. (2015). A review of the global pesticide legislation and the scale of challenge in reaching the global harmonization of food safety standards. </w:t>
      </w:r>
      <w:r w:rsidRPr="007746C5">
        <w:rPr>
          <w:i/>
          <w:iCs/>
        </w:rPr>
        <w:t>Integrated Environmental Assessment and Management</w:t>
      </w:r>
      <w:r w:rsidRPr="007746C5">
        <w:t xml:space="preserve">, </w:t>
      </w:r>
      <w:r w:rsidRPr="007746C5">
        <w:rPr>
          <w:i/>
          <w:iCs/>
        </w:rPr>
        <w:t>11</w:t>
      </w:r>
      <w:r w:rsidRPr="007746C5">
        <w:t>(4), 525–536. https://doi.org/10.1002/ieam.1635</w:t>
      </w:r>
    </w:p>
    <w:p w14:paraId="0708E240" w14:textId="77777777" w:rsidR="007746C5" w:rsidRPr="007746C5" w:rsidRDefault="007746C5" w:rsidP="009A04E6">
      <w:pPr>
        <w:pStyle w:val="Bibliography"/>
        <w:spacing w:line="240" w:lineRule="auto"/>
      </w:pPr>
      <w:r w:rsidRPr="007746C5">
        <w:t xml:space="preserve">Hänfling, B., Edwards, F., &amp; Gherardi, F. (2011). Invasive alien Crustacea: Dispersal, establishment, impact and control. </w:t>
      </w:r>
      <w:r w:rsidRPr="007746C5">
        <w:rPr>
          <w:i/>
          <w:iCs/>
        </w:rPr>
        <w:t>BioControl</w:t>
      </w:r>
      <w:r w:rsidRPr="007746C5">
        <w:t xml:space="preserve">, </w:t>
      </w:r>
      <w:r w:rsidRPr="007746C5">
        <w:rPr>
          <w:i/>
          <w:iCs/>
        </w:rPr>
        <w:t>56</w:t>
      </w:r>
      <w:r w:rsidRPr="007746C5">
        <w:t>(4), 573–595. https://doi.org/10.1007/s10526-011-9380-8</w:t>
      </w:r>
    </w:p>
    <w:p w14:paraId="7ADC5CB5" w14:textId="77777777" w:rsidR="007746C5" w:rsidRPr="007746C5" w:rsidRDefault="007746C5" w:rsidP="009A04E6">
      <w:pPr>
        <w:pStyle w:val="Bibliography"/>
        <w:spacing w:line="240" w:lineRule="auto"/>
      </w:pPr>
      <w:r w:rsidRPr="007746C5">
        <w:t xml:space="preserve">Hansen, F. T., Potthoff, M., Uhrenholdt, T., Vo, H. D., Linden, O., &amp; Andersen, J. H. (2015). Development of a prototype tool for ballast water risk management using a combination of hydrodynamic models and agent-based modeling. </w:t>
      </w:r>
      <w:r w:rsidRPr="007746C5">
        <w:rPr>
          <w:i/>
          <w:iCs/>
        </w:rPr>
        <w:t>WMU Journal of Maritime Affairs</w:t>
      </w:r>
      <w:r w:rsidRPr="007746C5">
        <w:t xml:space="preserve">, </w:t>
      </w:r>
      <w:r w:rsidRPr="007746C5">
        <w:rPr>
          <w:i/>
          <w:iCs/>
        </w:rPr>
        <w:t>14</w:t>
      </w:r>
      <w:r w:rsidRPr="007746C5">
        <w:t>(2), 219–245. https://doi.org/10.1007/s13437-014-0067-8</w:t>
      </w:r>
    </w:p>
    <w:p w14:paraId="72DD7314" w14:textId="77777777" w:rsidR="007746C5" w:rsidRPr="007746C5" w:rsidRDefault="007746C5" w:rsidP="009A04E6">
      <w:pPr>
        <w:pStyle w:val="Bibliography"/>
        <w:spacing w:line="240" w:lineRule="auto"/>
      </w:pPr>
      <w:r w:rsidRPr="007746C5">
        <w:t xml:space="preserve">Haregeweyn, N., Tsunekawa, A., Tsubo, M., Meshesha, D., &amp; Melkie, A. (2013). Analysis of the invasion rate, impacts and control measures of </w:t>
      </w:r>
      <w:r w:rsidRPr="007746C5">
        <w:rPr>
          <w:i/>
          <w:iCs/>
        </w:rPr>
        <w:t>Prosopis juliflora</w:t>
      </w:r>
      <w:r w:rsidRPr="007746C5">
        <w:t xml:space="preserve">: A case study of Amibara District, Eastern Ethiopia. </w:t>
      </w:r>
      <w:r w:rsidRPr="007746C5">
        <w:rPr>
          <w:i/>
          <w:iCs/>
        </w:rPr>
        <w:t>Environmental Monitoring and Assessment</w:t>
      </w:r>
      <w:r w:rsidRPr="007746C5">
        <w:t xml:space="preserve">, </w:t>
      </w:r>
      <w:r w:rsidRPr="007746C5">
        <w:rPr>
          <w:i/>
          <w:iCs/>
        </w:rPr>
        <w:t>185</w:t>
      </w:r>
      <w:r w:rsidRPr="007746C5">
        <w:t>(9), 7527–7542. https://doi.org/10.1007/s10661-013-3117-3</w:t>
      </w:r>
    </w:p>
    <w:p w14:paraId="3494B2B0" w14:textId="77777777" w:rsidR="007746C5" w:rsidRPr="007746C5" w:rsidRDefault="007746C5" w:rsidP="009A04E6">
      <w:pPr>
        <w:pStyle w:val="Bibliography"/>
        <w:spacing w:line="240" w:lineRule="auto"/>
      </w:pPr>
      <w:r w:rsidRPr="007746C5">
        <w:t xml:space="preserve">Harrington, R. A., Kujawski, R., &amp; Ryan, H. D. P. (2003). Invasive plants and the green industry. </w:t>
      </w:r>
      <w:r w:rsidRPr="007746C5">
        <w:rPr>
          <w:i/>
          <w:iCs/>
        </w:rPr>
        <w:t>Journal of Arboriculture</w:t>
      </w:r>
      <w:r w:rsidRPr="007746C5">
        <w:t xml:space="preserve">, </w:t>
      </w:r>
      <w:r w:rsidRPr="007746C5">
        <w:rPr>
          <w:i/>
          <w:iCs/>
        </w:rPr>
        <w:t>29</w:t>
      </w:r>
      <w:r w:rsidRPr="007746C5">
        <w:t>(1), 42–48. https://joa.isa-arbor.com/request.asp?JournalID=1&amp;ArticleID=70&amp;Type=2</w:t>
      </w:r>
    </w:p>
    <w:p w14:paraId="4797DD7B" w14:textId="77777777" w:rsidR="007746C5" w:rsidRPr="007746C5" w:rsidRDefault="007746C5" w:rsidP="009A04E6">
      <w:pPr>
        <w:pStyle w:val="Bibliography"/>
        <w:spacing w:line="240" w:lineRule="auto"/>
      </w:pPr>
      <w:r w:rsidRPr="007746C5">
        <w:t xml:space="preserve">Harrington, R. A., Taylor, M. S., Shortall, C. R., Alderson, L., Mallott, M., &amp; Verrier, P. J. (2012). The Rothamsted Insect Survey: Old traps, new tricks. </w:t>
      </w:r>
      <w:r w:rsidRPr="007746C5">
        <w:rPr>
          <w:i/>
          <w:iCs/>
        </w:rPr>
        <w:t>Aspects of Applied Biology</w:t>
      </w:r>
      <w:r w:rsidRPr="007746C5">
        <w:t xml:space="preserve">, </w:t>
      </w:r>
      <w:r w:rsidRPr="007746C5">
        <w:rPr>
          <w:i/>
          <w:iCs/>
        </w:rPr>
        <w:t>117</w:t>
      </w:r>
      <w:r w:rsidRPr="007746C5">
        <w:t>, 157–164. https://repository.rothamsted.ac.uk/item/8qv68/the-rothamsted-insect-survey-old-traps-new-tricks</w:t>
      </w:r>
    </w:p>
    <w:p w14:paraId="2818A5D4" w14:textId="77777777" w:rsidR="007746C5" w:rsidRPr="007746C5" w:rsidRDefault="007746C5" w:rsidP="009A04E6">
      <w:pPr>
        <w:pStyle w:val="Bibliography"/>
        <w:spacing w:line="240" w:lineRule="auto"/>
      </w:pPr>
      <w:r w:rsidRPr="007746C5">
        <w:t xml:space="preserve">Harris, D. B., Gregory, S. D., Bull, L. S., &amp; Courchamp, F. (2012). Island prioritization for invasive rodent eradications with an emphasis on reinvasion risk. </w:t>
      </w:r>
      <w:r w:rsidRPr="007746C5">
        <w:rPr>
          <w:i/>
          <w:iCs/>
        </w:rPr>
        <w:t>Biological Invasions</w:t>
      </w:r>
      <w:r w:rsidRPr="007746C5">
        <w:t xml:space="preserve">, </w:t>
      </w:r>
      <w:r w:rsidRPr="007746C5">
        <w:rPr>
          <w:i/>
          <w:iCs/>
        </w:rPr>
        <w:t>14</w:t>
      </w:r>
      <w:r w:rsidRPr="007746C5">
        <w:t>(6), 1251–1263. https://doi.org/10.1007/s10530-011-0153-1</w:t>
      </w:r>
    </w:p>
    <w:p w14:paraId="549E904E" w14:textId="77777777" w:rsidR="007746C5" w:rsidRPr="007746C5" w:rsidRDefault="007746C5" w:rsidP="009A04E6">
      <w:pPr>
        <w:pStyle w:val="Bibliography"/>
        <w:spacing w:line="240" w:lineRule="auto"/>
      </w:pPr>
      <w:r w:rsidRPr="007746C5">
        <w:t xml:space="preserve">Harwood, T. D., Tomlinson, I., Potter, C. A., &amp; Knight, J. D. (2011). Dutch elm disease revisited: Past, present and future management in Great Britain. </w:t>
      </w:r>
      <w:r w:rsidRPr="007746C5">
        <w:rPr>
          <w:i/>
          <w:iCs/>
        </w:rPr>
        <w:t>Plant Pathology</w:t>
      </w:r>
      <w:r w:rsidRPr="007746C5">
        <w:t xml:space="preserve">, </w:t>
      </w:r>
      <w:r w:rsidRPr="007746C5">
        <w:rPr>
          <w:i/>
          <w:iCs/>
        </w:rPr>
        <w:t>60</w:t>
      </w:r>
      <w:r w:rsidRPr="007746C5">
        <w:t>(3), 545–555. https://doi.org/10.1111/j.1365-3059.2010.02391.x</w:t>
      </w:r>
    </w:p>
    <w:p w14:paraId="6212D574" w14:textId="77777777" w:rsidR="007746C5" w:rsidRPr="007746C5" w:rsidRDefault="007746C5" w:rsidP="009A04E6">
      <w:pPr>
        <w:pStyle w:val="Bibliography"/>
        <w:spacing w:line="240" w:lineRule="auto"/>
      </w:pPr>
      <w:r w:rsidRPr="007746C5">
        <w:t xml:space="preserve">Hassell, M. P. (1978). </w:t>
      </w:r>
      <w:r w:rsidRPr="007746C5">
        <w:rPr>
          <w:i/>
          <w:iCs/>
        </w:rPr>
        <w:t>The Dynamics of Arthopod Predator-Prey Systems. (MPB-13), Volume 13</w:t>
      </w:r>
      <w:r w:rsidRPr="007746C5">
        <w:t>. Princeton University Press.</w:t>
      </w:r>
    </w:p>
    <w:p w14:paraId="0793AA2C" w14:textId="77777777" w:rsidR="007746C5" w:rsidRPr="007746C5" w:rsidRDefault="007746C5" w:rsidP="009A04E6">
      <w:pPr>
        <w:pStyle w:val="Bibliography"/>
        <w:spacing w:line="240" w:lineRule="auto"/>
      </w:pPr>
      <w:r w:rsidRPr="007746C5">
        <w:lastRenderedPageBreak/>
        <w:t xml:space="preserve">Hatcher, P. E., &amp; Melander, B. (2003). Combining physical, cultural and biological methods: Prospects for integrated non-chemical weed management strategies. </w:t>
      </w:r>
      <w:r w:rsidRPr="007746C5">
        <w:rPr>
          <w:i/>
          <w:iCs/>
        </w:rPr>
        <w:t>Weed Research</w:t>
      </w:r>
      <w:r w:rsidRPr="007746C5">
        <w:t xml:space="preserve">, </w:t>
      </w:r>
      <w:r w:rsidRPr="007746C5">
        <w:rPr>
          <w:i/>
          <w:iCs/>
        </w:rPr>
        <w:t>43</w:t>
      </w:r>
      <w:r w:rsidRPr="007746C5">
        <w:t>(5), 303–322. https://doi.org/10.1046/j.1365-3180.2003.00352.x</w:t>
      </w:r>
    </w:p>
    <w:p w14:paraId="46F40418" w14:textId="77777777" w:rsidR="007746C5" w:rsidRPr="007746C5" w:rsidRDefault="007746C5" w:rsidP="009A04E6">
      <w:pPr>
        <w:pStyle w:val="Bibliography"/>
        <w:spacing w:line="240" w:lineRule="auto"/>
      </w:pPr>
      <w:r w:rsidRPr="007746C5">
        <w:t xml:space="preserve">Hay, S. I., George, D. B., Moyes, C. L., &amp; Brownstein, J. S. (2013). Big Data Opportunities for Global Infectious Disease Surveillance. </w:t>
      </w:r>
      <w:r w:rsidRPr="007746C5">
        <w:rPr>
          <w:i/>
          <w:iCs/>
        </w:rPr>
        <w:t>PLOS Medicine</w:t>
      </w:r>
      <w:r w:rsidRPr="007746C5">
        <w:t xml:space="preserve">, </w:t>
      </w:r>
      <w:r w:rsidRPr="007746C5">
        <w:rPr>
          <w:i/>
          <w:iCs/>
        </w:rPr>
        <w:t>10</w:t>
      </w:r>
      <w:r w:rsidRPr="007746C5">
        <w:t>(4), e1001413. https://doi.org/10.1371/journal.pmed.1001413</w:t>
      </w:r>
    </w:p>
    <w:p w14:paraId="1A4DE9B5" w14:textId="77777777" w:rsidR="007746C5" w:rsidRPr="007746C5" w:rsidRDefault="007746C5" w:rsidP="009A04E6">
      <w:pPr>
        <w:pStyle w:val="Bibliography"/>
        <w:spacing w:line="240" w:lineRule="auto"/>
      </w:pPr>
      <w:r w:rsidRPr="007746C5">
        <w:t xml:space="preserve">Haye, T., Olfert, O., Weiss, R., Mason, P. G., Gibson, G., Gariepy, T. D., &amp; Gillespie, D. R. (2018). Bioclimatic analyses of </w:t>
      </w:r>
      <w:r w:rsidRPr="007746C5">
        <w:rPr>
          <w:i/>
          <w:iCs/>
        </w:rPr>
        <w:t>Trichomalus perfectus</w:t>
      </w:r>
      <w:r w:rsidRPr="007746C5">
        <w:t xml:space="preserve"> and </w:t>
      </w:r>
      <w:r w:rsidRPr="007746C5">
        <w:rPr>
          <w:i/>
          <w:iCs/>
        </w:rPr>
        <w:t>Mesopolobus morys</w:t>
      </w:r>
      <w:r w:rsidRPr="007746C5">
        <w:t xml:space="preserve"> (Hymenoptera: Pteromalidae) distributions, two potential biological control agents of the cabbage seedpod weevil in North America. </w:t>
      </w:r>
      <w:r w:rsidRPr="007746C5">
        <w:rPr>
          <w:i/>
          <w:iCs/>
        </w:rPr>
        <w:t>Biological Control</w:t>
      </w:r>
      <w:r w:rsidRPr="007746C5">
        <w:t xml:space="preserve">, </w:t>
      </w:r>
      <w:r w:rsidRPr="007746C5">
        <w:rPr>
          <w:i/>
          <w:iCs/>
        </w:rPr>
        <w:t>124</w:t>
      </w:r>
      <w:r w:rsidRPr="007746C5">
        <w:t>, 30–39. https://doi.org/10.1016/j.biocontrol.2018.06.003</w:t>
      </w:r>
    </w:p>
    <w:p w14:paraId="3A0B8831" w14:textId="77777777" w:rsidR="007746C5" w:rsidRPr="007746C5" w:rsidRDefault="007746C5" w:rsidP="009A04E6">
      <w:pPr>
        <w:pStyle w:val="Bibliography"/>
        <w:spacing w:line="240" w:lineRule="auto"/>
      </w:pPr>
      <w:r w:rsidRPr="007746C5">
        <w:t xml:space="preserve">Hayes, K. R., Hosack, G. R., Dana, G. V., Foster, S. D., Ford, J. H., Thresher, R., Ickowicz, A., Peel, D., Tizard, M., De Barro, P., Strive, T., &amp; Dambacher, J. M. (2018). Identifying and detecting potentially adverse ecological outcomes associated with the release of gene-drive modified organisms. </w:t>
      </w:r>
      <w:r w:rsidRPr="007746C5">
        <w:rPr>
          <w:i/>
          <w:iCs/>
        </w:rPr>
        <w:t>Journal of Responsible Innovation</w:t>
      </w:r>
      <w:r w:rsidRPr="007746C5">
        <w:t xml:space="preserve">, </w:t>
      </w:r>
      <w:r w:rsidRPr="007746C5">
        <w:rPr>
          <w:i/>
          <w:iCs/>
        </w:rPr>
        <w:t>5</w:t>
      </w:r>
      <w:r w:rsidRPr="007746C5">
        <w:t>(sup1), S139–S158. https://doi.org/10.1080/23299460.2017.1415585</w:t>
      </w:r>
    </w:p>
    <w:p w14:paraId="6774858F" w14:textId="77777777" w:rsidR="007746C5" w:rsidRPr="007746C5" w:rsidRDefault="007746C5" w:rsidP="009A04E6">
      <w:pPr>
        <w:pStyle w:val="Bibliography"/>
        <w:spacing w:line="240" w:lineRule="auto"/>
      </w:pPr>
      <w:r w:rsidRPr="007746C5">
        <w:t xml:space="preserve">Hayes, K. R., Hosack, G. R., Ickowicz, A., Foster, S., Peel, D., Ford, J., &amp; Thresher, R. (2018). </w:t>
      </w:r>
      <w:r w:rsidRPr="007746C5">
        <w:rPr>
          <w:i/>
          <w:iCs/>
        </w:rPr>
        <w:t>Risk Assessment for Controlling Mosquito Vectors with Engineered Nucleases: Contained field release for Sterile Male Construct Risk assessment final report</w:t>
      </w:r>
      <w:r w:rsidRPr="007746C5">
        <w:t>. CSIRO. https://doi.org/10.25919/v424-4k80</w:t>
      </w:r>
    </w:p>
    <w:p w14:paraId="7C349CE8" w14:textId="77777777" w:rsidR="007746C5" w:rsidRPr="007746C5" w:rsidRDefault="007746C5" w:rsidP="009A04E6">
      <w:pPr>
        <w:pStyle w:val="Bibliography"/>
        <w:spacing w:line="240" w:lineRule="auto"/>
      </w:pPr>
      <w:r w:rsidRPr="007746C5">
        <w:t xml:space="preserve">Hayes, K. R., Inglis, G. J., &amp; Barry, S. C. (2019). The Assessment and Management of Marine Pest Risks Posed by Shipping: The Australian and New Zealand Experience. </w:t>
      </w:r>
      <w:r w:rsidRPr="007746C5">
        <w:rPr>
          <w:i/>
          <w:iCs/>
        </w:rPr>
        <w:t>Frontiers in Marine Science</w:t>
      </w:r>
      <w:r w:rsidRPr="007746C5">
        <w:t xml:space="preserve">, </w:t>
      </w:r>
      <w:r w:rsidRPr="007746C5">
        <w:rPr>
          <w:i/>
          <w:iCs/>
        </w:rPr>
        <w:t>6</w:t>
      </w:r>
      <w:r w:rsidRPr="007746C5">
        <w:t>, 489. https://doi.org/10.3389/fmars.2019.00489</w:t>
      </w:r>
    </w:p>
    <w:p w14:paraId="097467F2" w14:textId="77777777" w:rsidR="007746C5" w:rsidRPr="007746C5" w:rsidRDefault="007746C5" w:rsidP="009A04E6">
      <w:pPr>
        <w:pStyle w:val="Bibliography"/>
        <w:spacing w:line="240" w:lineRule="auto"/>
      </w:pPr>
      <w:r w:rsidRPr="007746C5">
        <w:t xml:space="preserve">Hayes, R. A., Griffiths, M. W., Nahrung, H. F., Arnold, P. A., Hanks, L. M., &amp; Millar, J. G. (2016). Optimizing Generic Cerambycid Pheromone Lures for Australian Biosecurity and Biodiversity Monitoring. </w:t>
      </w:r>
      <w:r w:rsidRPr="007746C5">
        <w:rPr>
          <w:i/>
          <w:iCs/>
        </w:rPr>
        <w:t>Journal of Economic Entomology</w:t>
      </w:r>
      <w:r w:rsidRPr="007746C5">
        <w:t xml:space="preserve">, </w:t>
      </w:r>
      <w:r w:rsidRPr="007746C5">
        <w:rPr>
          <w:i/>
          <w:iCs/>
        </w:rPr>
        <w:t>109</w:t>
      </w:r>
      <w:r w:rsidRPr="007746C5">
        <w:t>(4), 1741–1749. https://doi.org/10.1093/jee/tow100</w:t>
      </w:r>
    </w:p>
    <w:p w14:paraId="51C46589" w14:textId="77777777" w:rsidR="007746C5" w:rsidRPr="007746C5" w:rsidRDefault="007746C5" w:rsidP="009A04E6">
      <w:pPr>
        <w:pStyle w:val="Bibliography"/>
        <w:spacing w:line="240" w:lineRule="auto"/>
      </w:pPr>
      <w:r w:rsidRPr="007746C5">
        <w:t xml:space="preserve">Hazelton, E. L. G., Mozdzer, T. J., Burdick, D. M., Kettenring, K. M., &amp; Whigham, D. F. (2014). </w:t>
      </w:r>
      <w:r w:rsidRPr="007746C5">
        <w:rPr>
          <w:i/>
          <w:iCs/>
        </w:rPr>
        <w:t>Phragmites australis</w:t>
      </w:r>
      <w:r w:rsidRPr="007746C5">
        <w:t xml:space="preserve"> management in the United States: 40 years of methods and outcomes. </w:t>
      </w:r>
      <w:r w:rsidRPr="007746C5">
        <w:rPr>
          <w:i/>
          <w:iCs/>
        </w:rPr>
        <w:t>AoB PLANTS</w:t>
      </w:r>
      <w:r w:rsidRPr="007746C5">
        <w:t xml:space="preserve">, </w:t>
      </w:r>
      <w:r w:rsidRPr="007746C5">
        <w:rPr>
          <w:i/>
          <w:iCs/>
        </w:rPr>
        <w:t>6</w:t>
      </w:r>
      <w:r w:rsidRPr="007746C5">
        <w:t>, plu001. https://doi.org/10.1093/aobpla/plu001</w:t>
      </w:r>
    </w:p>
    <w:p w14:paraId="76782291" w14:textId="77777777" w:rsidR="007746C5" w:rsidRPr="007746C5" w:rsidRDefault="007746C5" w:rsidP="009A04E6">
      <w:pPr>
        <w:pStyle w:val="Bibliography"/>
        <w:spacing w:line="240" w:lineRule="auto"/>
      </w:pPr>
      <w:r w:rsidRPr="007746C5">
        <w:t xml:space="preserve">Hedley, J. (2005). The International Plant Protection Convention and Invasive Species. </w:t>
      </w:r>
      <w:r w:rsidRPr="007746C5">
        <w:rPr>
          <w:i/>
          <w:iCs/>
        </w:rPr>
        <w:t>Environmental Law Reporter News &amp; Analysis</w:t>
      </w:r>
      <w:r w:rsidRPr="007746C5">
        <w:t xml:space="preserve">, </w:t>
      </w:r>
      <w:r w:rsidRPr="007746C5">
        <w:rPr>
          <w:i/>
          <w:iCs/>
        </w:rPr>
        <w:t>35</w:t>
      </w:r>
      <w:r w:rsidRPr="007746C5">
        <w:t>, 10381. https://heinonline.org/HOL/Page?handle=hein.journals/elrna35&amp;id=344&amp;div=&amp;collection=</w:t>
      </w:r>
    </w:p>
    <w:p w14:paraId="79D300CB" w14:textId="77777777" w:rsidR="007746C5" w:rsidRPr="007746C5" w:rsidRDefault="007746C5" w:rsidP="009A04E6">
      <w:pPr>
        <w:pStyle w:val="Bibliography"/>
        <w:spacing w:line="240" w:lineRule="auto"/>
      </w:pPr>
      <w:r w:rsidRPr="007746C5">
        <w:t xml:space="preserve">Heikkilä, J. (2011). A review of risk prioritisation schemes of pathogens, pests and weeds: Principles and practices. </w:t>
      </w:r>
      <w:r w:rsidRPr="007746C5">
        <w:rPr>
          <w:i/>
          <w:iCs/>
        </w:rPr>
        <w:t>Agricultural and Food Science</w:t>
      </w:r>
      <w:r w:rsidRPr="007746C5">
        <w:t xml:space="preserve">, </w:t>
      </w:r>
      <w:r w:rsidRPr="007746C5">
        <w:rPr>
          <w:i/>
          <w:iCs/>
        </w:rPr>
        <w:t>20</w:t>
      </w:r>
      <w:r w:rsidRPr="007746C5">
        <w:t>(1), 15–28. https://doi.org/10.2137/145960611795163088</w:t>
      </w:r>
    </w:p>
    <w:p w14:paraId="2ED27025" w14:textId="77777777" w:rsidR="007746C5" w:rsidRPr="007746C5" w:rsidRDefault="007746C5" w:rsidP="009A04E6">
      <w:pPr>
        <w:pStyle w:val="Bibliography"/>
        <w:spacing w:line="240" w:lineRule="auto"/>
      </w:pPr>
      <w:r w:rsidRPr="007746C5">
        <w:t xml:space="preserve">Heimpel, G. E., &amp; Mills, N. J. (2017). </w:t>
      </w:r>
      <w:r w:rsidRPr="007746C5">
        <w:rPr>
          <w:i/>
          <w:iCs/>
        </w:rPr>
        <w:t>Biological Control</w:t>
      </w:r>
      <w:r w:rsidRPr="007746C5">
        <w:t>. Cambridge University Press.</w:t>
      </w:r>
    </w:p>
    <w:p w14:paraId="5A2513C8" w14:textId="77777777" w:rsidR="007746C5" w:rsidRPr="007746C5" w:rsidRDefault="007746C5" w:rsidP="009A04E6">
      <w:pPr>
        <w:pStyle w:val="Bibliography"/>
        <w:spacing w:line="240" w:lineRule="auto"/>
      </w:pPr>
      <w:r w:rsidRPr="007746C5">
        <w:t xml:space="preserve">Helinski, M. E. H., &amp; Knols, B. G. J. (2008). Mating Competitiveness of Male </w:t>
      </w:r>
      <w:r w:rsidRPr="007746C5">
        <w:rPr>
          <w:i/>
          <w:iCs/>
        </w:rPr>
        <w:t>Anopheles arabiensis</w:t>
      </w:r>
      <w:r w:rsidRPr="007746C5">
        <w:t xml:space="preserve"> Mosquitoes Irradiated with a Partially or Fully Sterilizing Dose in Small and Large Laboratory Cages. </w:t>
      </w:r>
      <w:r w:rsidRPr="007746C5">
        <w:rPr>
          <w:i/>
          <w:iCs/>
        </w:rPr>
        <w:t>Journal of Medical Entomology</w:t>
      </w:r>
      <w:r w:rsidRPr="007746C5">
        <w:t xml:space="preserve">, </w:t>
      </w:r>
      <w:r w:rsidRPr="007746C5">
        <w:rPr>
          <w:i/>
          <w:iCs/>
        </w:rPr>
        <w:t>45</w:t>
      </w:r>
      <w:r w:rsidRPr="007746C5">
        <w:t>(4), 698–705. https://doi.org/10.1093/jmedent/45.4.698</w:t>
      </w:r>
    </w:p>
    <w:p w14:paraId="5B74BF6A" w14:textId="77777777" w:rsidR="007746C5" w:rsidRPr="007746C5" w:rsidRDefault="007746C5" w:rsidP="009A04E6">
      <w:pPr>
        <w:pStyle w:val="Bibliography"/>
        <w:spacing w:line="240" w:lineRule="auto"/>
      </w:pPr>
      <w:r w:rsidRPr="007746C5">
        <w:t xml:space="preserve">Hellmann, J. J., Byers, J. E., Bierwagen, B. G., &amp; Dukes, J. S. (2008). Five Potential Consequences of Climate Change for Invasive Species. </w:t>
      </w:r>
      <w:r w:rsidRPr="007746C5">
        <w:rPr>
          <w:i/>
          <w:iCs/>
        </w:rPr>
        <w:t>Conservation Biology</w:t>
      </w:r>
      <w:r w:rsidRPr="007746C5">
        <w:t xml:space="preserve">, </w:t>
      </w:r>
      <w:r w:rsidRPr="007746C5">
        <w:rPr>
          <w:i/>
          <w:iCs/>
        </w:rPr>
        <w:t>22</w:t>
      </w:r>
      <w:r w:rsidRPr="007746C5">
        <w:t>(3), 534–543. https://doi.org/10.1111/j.1523-1739.2008.00951.x</w:t>
      </w:r>
    </w:p>
    <w:p w14:paraId="28E02498" w14:textId="77777777" w:rsidR="007746C5" w:rsidRPr="007746C5" w:rsidRDefault="007746C5" w:rsidP="009A04E6">
      <w:pPr>
        <w:pStyle w:val="Bibliography"/>
        <w:spacing w:line="240" w:lineRule="auto"/>
      </w:pPr>
      <w:r w:rsidRPr="007746C5">
        <w:t xml:space="preserve">Helmstedt, K. J., Shaw, J. D., Bode, M., Terauds, A., Springer, K., Robinson, S. A., &amp; Possingham, H. P. (2016). Prioritizing eradication actions on islands: It’s not all or nothing. </w:t>
      </w:r>
      <w:r w:rsidRPr="007746C5">
        <w:rPr>
          <w:i/>
          <w:iCs/>
        </w:rPr>
        <w:t>Journal of Applied Ecology</w:t>
      </w:r>
      <w:r w:rsidRPr="007746C5">
        <w:t xml:space="preserve">, </w:t>
      </w:r>
      <w:r w:rsidRPr="007746C5">
        <w:rPr>
          <w:i/>
          <w:iCs/>
        </w:rPr>
        <w:t>53</w:t>
      </w:r>
      <w:r w:rsidRPr="007746C5">
        <w:t>(3), 733–741. https://doi.org/10.1111/1365-2664.12599</w:t>
      </w:r>
    </w:p>
    <w:p w14:paraId="39E8A1F4" w14:textId="77777777" w:rsidR="007746C5" w:rsidRPr="007746C5" w:rsidRDefault="007746C5" w:rsidP="009A04E6">
      <w:pPr>
        <w:pStyle w:val="Bibliography"/>
        <w:spacing w:line="240" w:lineRule="auto"/>
      </w:pPr>
      <w:r w:rsidRPr="007746C5">
        <w:t xml:space="preserve">Herder, J. E., Valentini, A., Bellemain, E., Dejean, T., van Delft, J. J. C. W., Thomsen, P. F., &amp; Taberlet, P. (2014). </w:t>
      </w:r>
      <w:r w:rsidRPr="007746C5">
        <w:rPr>
          <w:i/>
          <w:iCs/>
        </w:rPr>
        <w:t>Environmental DNA - a review of the possible applications for the detection of (invasive) species</w:t>
      </w:r>
      <w:r w:rsidRPr="007746C5">
        <w:t xml:space="preserve"> (Report 2013-104). Netherlands Food and Consumer Product Safety Authority. https://doi.org/10.13140/RG.2.1.4002.1208</w:t>
      </w:r>
    </w:p>
    <w:p w14:paraId="2C99D31A" w14:textId="77777777" w:rsidR="007746C5" w:rsidRPr="007746C5" w:rsidRDefault="007746C5" w:rsidP="009A04E6">
      <w:pPr>
        <w:pStyle w:val="Bibliography"/>
        <w:spacing w:line="240" w:lineRule="auto"/>
      </w:pPr>
      <w:r w:rsidRPr="007746C5">
        <w:lastRenderedPageBreak/>
        <w:t xml:space="preserve">Herms, D. A., &amp; McCullough, D. G. (2014). Emerald Ash Borer Invasion of North America: History, Biology, Ecology, Impacts, and Management. </w:t>
      </w:r>
      <w:r w:rsidRPr="007746C5">
        <w:rPr>
          <w:i/>
          <w:iCs/>
        </w:rPr>
        <w:t>Annual Review of Entomology</w:t>
      </w:r>
      <w:r w:rsidRPr="007746C5">
        <w:t xml:space="preserve">, </w:t>
      </w:r>
      <w:r w:rsidRPr="007746C5">
        <w:rPr>
          <w:i/>
          <w:iCs/>
        </w:rPr>
        <w:t>59</w:t>
      </w:r>
      <w:r w:rsidRPr="007746C5">
        <w:t>(1), 13–30. https://doi.org/10.1146/annurev-ento-011613-162051</w:t>
      </w:r>
    </w:p>
    <w:p w14:paraId="24444E89" w14:textId="77777777" w:rsidR="007746C5" w:rsidRPr="007746C5" w:rsidRDefault="007746C5" w:rsidP="009A04E6">
      <w:pPr>
        <w:pStyle w:val="Bibliography"/>
        <w:spacing w:line="240" w:lineRule="auto"/>
      </w:pPr>
      <w:r w:rsidRPr="007746C5">
        <w:t xml:space="preserve">Herring, C. E., Stinson, J., &amp; Landis, W. G. (2015). Evaluating nonindigenous species management in a Bayesian networks derived relative risk framework for Padilla Bay, WA, USA: Risk Assessment for Nonindigenous Species. </w:t>
      </w:r>
      <w:r w:rsidRPr="007746C5">
        <w:rPr>
          <w:i/>
          <w:iCs/>
        </w:rPr>
        <w:t>Integrated Environmental Assessment and Management</w:t>
      </w:r>
      <w:r w:rsidRPr="007746C5">
        <w:t xml:space="preserve">, </w:t>
      </w:r>
      <w:r w:rsidRPr="007746C5">
        <w:rPr>
          <w:i/>
          <w:iCs/>
        </w:rPr>
        <w:t>11</w:t>
      </w:r>
      <w:r w:rsidRPr="007746C5">
        <w:t>(4), 640–652. https://doi.org/10.1002/ieam.1643</w:t>
      </w:r>
    </w:p>
    <w:p w14:paraId="6B85992F" w14:textId="77777777" w:rsidR="007746C5" w:rsidRPr="007746C5" w:rsidRDefault="007746C5" w:rsidP="009A04E6">
      <w:pPr>
        <w:pStyle w:val="Bibliography"/>
        <w:spacing w:line="240" w:lineRule="auto"/>
      </w:pPr>
      <w:r w:rsidRPr="007746C5">
        <w:t xml:space="preserve">Hershenhorn, J., Casella, F., &amp; Vurro, M. (2016). Weed biocontrol with fungi: Past, present and future. </w:t>
      </w:r>
      <w:r w:rsidRPr="007746C5">
        <w:rPr>
          <w:i/>
          <w:iCs/>
        </w:rPr>
        <w:t>Biocontrol Science and Technology</w:t>
      </w:r>
      <w:r w:rsidRPr="007746C5">
        <w:t xml:space="preserve">, </w:t>
      </w:r>
      <w:r w:rsidRPr="007746C5">
        <w:rPr>
          <w:i/>
          <w:iCs/>
        </w:rPr>
        <w:t>26</w:t>
      </w:r>
      <w:r w:rsidRPr="007746C5">
        <w:t>(10), 1313–1328. https://doi.org/10.1080/09583157.2016.1209161</w:t>
      </w:r>
    </w:p>
    <w:p w14:paraId="7F52A1D9" w14:textId="77777777" w:rsidR="007746C5" w:rsidRPr="007746C5" w:rsidRDefault="007746C5" w:rsidP="009A04E6">
      <w:pPr>
        <w:pStyle w:val="Bibliography"/>
        <w:spacing w:line="240" w:lineRule="auto"/>
      </w:pPr>
      <w:r w:rsidRPr="007746C5">
        <w:t xml:space="preserve">Heuzé, V., Tran, G., Hassoun, P., Régnier, C., Bastianelli, D., &amp; Lebas, F. (2015). </w:t>
      </w:r>
      <w:r w:rsidRPr="007746C5">
        <w:rPr>
          <w:i/>
          <w:iCs/>
        </w:rPr>
        <w:t>Water hyacinth (</w:t>
      </w:r>
      <w:r w:rsidRPr="007746C5">
        <w:t>Eichhornia crassipes</w:t>
      </w:r>
      <w:r w:rsidRPr="007746C5">
        <w:rPr>
          <w:i/>
          <w:iCs/>
        </w:rPr>
        <w:t>). Feedipedia, a programme by INRA, CIRAD, AFZ and FAO.</w:t>
      </w:r>
      <w:r w:rsidRPr="007746C5">
        <w:t xml:space="preserve"> https://www.feedipedia.org/node/160 Last updated on October 13, 2015, 16:25</w:t>
      </w:r>
    </w:p>
    <w:p w14:paraId="2017F2C0" w14:textId="77777777" w:rsidR="007746C5" w:rsidRPr="007746C5" w:rsidRDefault="007746C5" w:rsidP="009A04E6">
      <w:pPr>
        <w:pStyle w:val="Bibliography"/>
        <w:spacing w:line="240" w:lineRule="auto"/>
      </w:pPr>
      <w:r w:rsidRPr="007746C5">
        <w:t xml:space="preserve">Hewitt, C. L., &amp; Campbell, M. L. (2007). Mechanisms for the prevention of marine bioinvasions for better biosecurity. </w:t>
      </w:r>
      <w:r w:rsidRPr="007746C5">
        <w:rPr>
          <w:i/>
          <w:iCs/>
        </w:rPr>
        <w:t>Marine Pollution Bulletin</w:t>
      </w:r>
      <w:r w:rsidRPr="007746C5">
        <w:t xml:space="preserve">, </w:t>
      </w:r>
      <w:r w:rsidRPr="007746C5">
        <w:rPr>
          <w:i/>
          <w:iCs/>
        </w:rPr>
        <w:t>55</w:t>
      </w:r>
      <w:r w:rsidRPr="007746C5">
        <w:t>(7–9), 395–401. https://doi.org/10.1016/j.marpolbul.2007.01.005</w:t>
      </w:r>
    </w:p>
    <w:p w14:paraId="51C87F66" w14:textId="77777777" w:rsidR="007746C5" w:rsidRPr="007746C5" w:rsidRDefault="007746C5" w:rsidP="009A04E6">
      <w:pPr>
        <w:pStyle w:val="Bibliography"/>
        <w:spacing w:line="240" w:lineRule="auto"/>
      </w:pPr>
      <w:r w:rsidRPr="007746C5">
        <w:t xml:space="preserve">Hewitt, C. L., &amp; Campbell, M. L. (2010). </w:t>
      </w:r>
      <w:r w:rsidRPr="007746C5">
        <w:rPr>
          <w:i/>
          <w:iCs/>
        </w:rPr>
        <w:t>The relative contribution of vectors to the introduction and translocation of invasive marine species</w:t>
      </w:r>
      <w:r w:rsidRPr="007746C5">
        <w:t>. The Department of Agriculture, Fisheries and Forestry (DAFF). https://www.marinepests.gov.au/sites/default/files/Documents/relative-contribution-vectors-introduction-translocation-invasive-marine-species.pdf</w:t>
      </w:r>
    </w:p>
    <w:p w14:paraId="13CC491E" w14:textId="77777777" w:rsidR="007746C5" w:rsidRPr="007746C5" w:rsidRDefault="007746C5" w:rsidP="009A04E6">
      <w:pPr>
        <w:pStyle w:val="Bibliography"/>
        <w:spacing w:line="240" w:lineRule="auto"/>
      </w:pPr>
      <w:r w:rsidRPr="007746C5">
        <w:t xml:space="preserve">Hewitt, C. L., Willing, J., Bauckham, A., Cassidy, A. M., Cox, C. M. S., Jones, L., &amp; Wotton, D. M. (2004). New Zealand marine biosecurity: Delivering outcomes in a fluid environment. </w:t>
      </w:r>
      <w:r w:rsidRPr="007746C5">
        <w:rPr>
          <w:i/>
          <w:iCs/>
        </w:rPr>
        <w:t>New Zealand Journal of Marine and Freshwater Research</w:t>
      </w:r>
      <w:r w:rsidRPr="007746C5">
        <w:t xml:space="preserve">, </w:t>
      </w:r>
      <w:r w:rsidRPr="007746C5">
        <w:rPr>
          <w:i/>
          <w:iCs/>
        </w:rPr>
        <w:t>38</w:t>
      </w:r>
      <w:r w:rsidRPr="007746C5">
        <w:t>(3), 429–438. https://doi.org/10.1080/00288330.2004.9517250</w:t>
      </w:r>
    </w:p>
    <w:p w14:paraId="1F1DCE4E" w14:textId="77777777" w:rsidR="007746C5" w:rsidRPr="007746C5" w:rsidRDefault="007746C5" w:rsidP="009A04E6">
      <w:pPr>
        <w:pStyle w:val="Bibliography"/>
        <w:spacing w:line="240" w:lineRule="auto"/>
      </w:pPr>
      <w:r w:rsidRPr="007746C5">
        <w:t xml:space="preserve">Heywood, V., &amp; Brunel, S. (2011). Code of conduct on horticulture and invasive alien plants. </w:t>
      </w:r>
      <w:r w:rsidRPr="007746C5">
        <w:rPr>
          <w:i/>
          <w:iCs/>
        </w:rPr>
        <w:t>Italian Botanist</w:t>
      </w:r>
      <w:r w:rsidRPr="007746C5">
        <w:t xml:space="preserve">, </w:t>
      </w:r>
      <w:r w:rsidRPr="007746C5">
        <w:rPr>
          <w:i/>
          <w:iCs/>
        </w:rPr>
        <w:t>44</w:t>
      </w:r>
      <w:r w:rsidRPr="007746C5">
        <w:t>, 3–47. https://www.scopus.com/inward/record.uri?eid=2-s2.0-85050005463&amp;partnerID=40&amp;md5=e4dc4ea7c9bf290cf2817c4520fada4d</w:t>
      </w:r>
    </w:p>
    <w:p w14:paraId="558047F9" w14:textId="77777777" w:rsidR="007746C5" w:rsidRPr="007746C5" w:rsidRDefault="007746C5" w:rsidP="009A04E6">
      <w:pPr>
        <w:pStyle w:val="Bibliography"/>
        <w:spacing w:line="240" w:lineRule="auto"/>
      </w:pPr>
      <w:r w:rsidRPr="007746C5">
        <w:t xml:space="preserve">Hiebert, R. D., &amp; Stubbendieck, J. (1993). </w:t>
      </w:r>
      <w:r w:rsidRPr="007746C5">
        <w:rPr>
          <w:i/>
          <w:iCs/>
        </w:rPr>
        <w:t>Handbook for ranking exotic plants for management and control</w:t>
      </w:r>
      <w:r w:rsidRPr="007746C5">
        <w:t xml:space="preserve"> (Natural Resources Report NPS/NRMWRO/NRR-93/08). U. S. Department of the Interior, National Park Service. Natural Resources Publication Office Denver, Colorado. https://agris.fao.org/agris-search/search.do?recordID=US201300166280</w:t>
      </w:r>
    </w:p>
    <w:p w14:paraId="3555F9CB" w14:textId="77777777" w:rsidR="007746C5" w:rsidRPr="007746C5" w:rsidRDefault="007746C5" w:rsidP="009A04E6">
      <w:pPr>
        <w:pStyle w:val="Bibliography"/>
        <w:spacing w:line="240" w:lineRule="auto"/>
      </w:pPr>
      <w:r w:rsidRPr="007746C5">
        <w:t xml:space="preserve">Hieda, S., Kaneko, Y., Nakagawa, M., &amp; Noma, N. (2020). </w:t>
      </w:r>
      <w:r w:rsidRPr="007746C5">
        <w:rPr>
          <w:i/>
          <w:iCs/>
        </w:rPr>
        <w:t xml:space="preserve">Ludwigia grandiflora </w:t>
      </w:r>
      <w:r w:rsidRPr="007746C5">
        <w:t xml:space="preserve">(Michx.) Greuter &amp; Burdet subsp. </w:t>
      </w:r>
      <w:r w:rsidRPr="007746C5">
        <w:rPr>
          <w:i/>
          <w:iCs/>
        </w:rPr>
        <w:t>Hexapetala</w:t>
      </w:r>
      <w:r w:rsidRPr="007746C5">
        <w:t xml:space="preserve"> (Hook. &amp; Arn.) G. L. Nesom &amp; Kartesz, an Invasive Aquatic Plant in Lake Biwa, the Largest Lake in Japan. </w:t>
      </w:r>
      <w:r w:rsidRPr="007746C5">
        <w:rPr>
          <w:i/>
          <w:iCs/>
        </w:rPr>
        <w:t>Acta Phytotaxonomica et Geobotanica</w:t>
      </w:r>
      <w:r w:rsidRPr="007746C5">
        <w:t xml:space="preserve">, </w:t>
      </w:r>
      <w:r w:rsidRPr="007746C5">
        <w:rPr>
          <w:i/>
          <w:iCs/>
        </w:rPr>
        <w:t>71</w:t>
      </w:r>
      <w:r w:rsidRPr="007746C5">
        <w:t>(1), 65–71. https://doi.org/10.18942/apg.201911</w:t>
      </w:r>
    </w:p>
    <w:p w14:paraId="3E5CAE86" w14:textId="77777777" w:rsidR="007746C5" w:rsidRPr="007746C5" w:rsidRDefault="007746C5" w:rsidP="009A04E6">
      <w:pPr>
        <w:pStyle w:val="Bibliography"/>
        <w:spacing w:line="240" w:lineRule="auto"/>
      </w:pPr>
      <w:r w:rsidRPr="007746C5">
        <w:t>Hill, D. J., Tarasoff, C., Whitworth, G. E., Baron, J., Bradshaw, J. L., &amp; Church, J. S. (2017). Utility of unmanned aerial vehicles for mapping invasive plant species: A case study on yellow flag iris (</w:t>
      </w:r>
      <w:r w:rsidRPr="007746C5">
        <w:rPr>
          <w:i/>
          <w:iCs/>
        </w:rPr>
        <w:t>Iris pseudacorus</w:t>
      </w:r>
      <w:r w:rsidRPr="007746C5">
        <w:t xml:space="preserve"> L.). </w:t>
      </w:r>
      <w:r w:rsidRPr="007746C5">
        <w:rPr>
          <w:i/>
          <w:iCs/>
        </w:rPr>
        <w:t>International Journal of Remote Sensing</w:t>
      </w:r>
      <w:r w:rsidRPr="007746C5">
        <w:t xml:space="preserve">, </w:t>
      </w:r>
      <w:r w:rsidRPr="007746C5">
        <w:rPr>
          <w:i/>
          <w:iCs/>
        </w:rPr>
        <w:t>38</w:t>
      </w:r>
      <w:r w:rsidRPr="007746C5">
        <w:t>(8–10), 2083–2105. https://doi.org/10.1080/01431161.2016.1264030</w:t>
      </w:r>
    </w:p>
    <w:p w14:paraId="04A012FD" w14:textId="77777777" w:rsidR="007746C5" w:rsidRPr="007746C5" w:rsidRDefault="007746C5" w:rsidP="009A04E6">
      <w:pPr>
        <w:pStyle w:val="Bibliography"/>
        <w:spacing w:line="240" w:lineRule="auto"/>
      </w:pPr>
      <w:r w:rsidRPr="007746C5">
        <w:t xml:space="preserve">Hinlo, R., Furlan, E., Suitor, L., &amp; Gleeson, D. (2017). Environmental DNA monitoring and management of invasive fish: Comparison of eDNA and fyke netting. </w:t>
      </w:r>
      <w:r w:rsidRPr="007746C5">
        <w:rPr>
          <w:i/>
          <w:iCs/>
        </w:rPr>
        <w:t>Management of Biological Invasions</w:t>
      </w:r>
      <w:r w:rsidRPr="007746C5">
        <w:t xml:space="preserve">, </w:t>
      </w:r>
      <w:r w:rsidRPr="007746C5">
        <w:rPr>
          <w:i/>
          <w:iCs/>
        </w:rPr>
        <w:t>8</w:t>
      </w:r>
      <w:r w:rsidRPr="007746C5">
        <w:t>(1), 89–100. https://doi.org/10.3391/mbi.2017.8.1.09</w:t>
      </w:r>
    </w:p>
    <w:p w14:paraId="0C053241" w14:textId="77777777" w:rsidR="007746C5" w:rsidRPr="007746C5" w:rsidRDefault="007746C5" w:rsidP="009A04E6">
      <w:pPr>
        <w:pStyle w:val="Bibliography"/>
        <w:spacing w:line="240" w:lineRule="auto"/>
      </w:pPr>
      <w:r w:rsidRPr="007746C5">
        <w:t xml:space="preserve">Hoagland, P., &amp; Jin, D. (2006). Science and Economics in the Management of an Invasive Species. </w:t>
      </w:r>
      <w:r w:rsidRPr="007746C5">
        <w:rPr>
          <w:i/>
          <w:iCs/>
        </w:rPr>
        <w:t>BioScience</w:t>
      </w:r>
      <w:r w:rsidRPr="007746C5">
        <w:t xml:space="preserve">, </w:t>
      </w:r>
      <w:r w:rsidRPr="007746C5">
        <w:rPr>
          <w:i/>
          <w:iCs/>
        </w:rPr>
        <w:t>56</w:t>
      </w:r>
      <w:r w:rsidRPr="007746C5">
        <w:t>(11), 931–935. https://doi.org/10.1641/0006-3568(2006)56[931:SAEITM]2.0.CO;2</w:t>
      </w:r>
    </w:p>
    <w:p w14:paraId="3E659FE3" w14:textId="77777777" w:rsidR="007746C5" w:rsidRPr="007746C5" w:rsidRDefault="007746C5" w:rsidP="009A04E6">
      <w:pPr>
        <w:pStyle w:val="Bibliography"/>
        <w:spacing w:line="240" w:lineRule="auto"/>
      </w:pPr>
      <w:r w:rsidRPr="007746C5">
        <w:t xml:space="preserve">Hobbs, N. T., Bowden, D. C., &amp; Baker, D. L. (2000). Effects of Fertility Control on Populations of Ungulates: General, Stage-Structured Models. </w:t>
      </w:r>
      <w:r w:rsidRPr="007746C5">
        <w:rPr>
          <w:i/>
          <w:iCs/>
        </w:rPr>
        <w:t>The Journal of Wildlife Management</w:t>
      </w:r>
      <w:r w:rsidRPr="007746C5">
        <w:t xml:space="preserve">, </w:t>
      </w:r>
      <w:r w:rsidRPr="007746C5">
        <w:rPr>
          <w:i/>
          <w:iCs/>
        </w:rPr>
        <w:t>64</w:t>
      </w:r>
      <w:r w:rsidRPr="007746C5">
        <w:t>(2), 473–491. JSTOR. https://doi.org/10.2307/3803245</w:t>
      </w:r>
    </w:p>
    <w:p w14:paraId="5BB38AC0" w14:textId="77777777" w:rsidR="007746C5" w:rsidRPr="007746C5" w:rsidRDefault="007746C5" w:rsidP="009A04E6">
      <w:pPr>
        <w:pStyle w:val="Bibliography"/>
        <w:spacing w:line="240" w:lineRule="auto"/>
      </w:pPr>
      <w:r w:rsidRPr="007746C5">
        <w:t xml:space="preserve">Hoffmann, B. D., Luque, G. M., Bellard, C., Holmes, N. D., &amp; Donlan, C. J. (2016). Improving invasive ant eradication as a conservation tool: A review. </w:t>
      </w:r>
      <w:r w:rsidRPr="007746C5">
        <w:rPr>
          <w:i/>
          <w:iCs/>
        </w:rPr>
        <w:t>Biological Conservation</w:t>
      </w:r>
      <w:r w:rsidRPr="007746C5">
        <w:t xml:space="preserve">, </w:t>
      </w:r>
      <w:r w:rsidRPr="007746C5">
        <w:rPr>
          <w:i/>
          <w:iCs/>
        </w:rPr>
        <w:t>198</w:t>
      </w:r>
      <w:r w:rsidRPr="007746C5">
        <w:t>, 37–49. https://doi.org/10.1016/j.biocon.2016.03.036</w:t>
      </w:r>
    </w:p>
    <w:p w14:paraId="11DEC5F0" w14:textId="77777777" w:rsidR="007746C5" w:rsidRPr="007746C5" w:rsidRDefault="007746C5" w:rsidP="009A04E6">
      <w:pPr>
        <w:pStyle w:val="Bibliography"/>
        <w:spacing w:line="240" w:lineRule="auto"/>
      </w:pPr>
      <w:r w:rsidRPr="007746C5">
        <w:lastRenderedPageBreak/>
        <w:t xml:space="preserve">Hoinville, L. J., Alban, L., Drewe, J. A., Gibbens, J. C., Gustafson, L., Häsler, B., Saegerman, C., Salman, M., &amp; Stärk, K. D. C. (2013). Proposed terms and concepts for describing and evaluating animal-health surveillance systems. </w:t>
      </w:r>
      <w:r w:rsidRPr="007746C5">
        <w:rPr>
          <w:i/>
          <w:iCs/>
        </w:rPr>
        <w:t>Preventive Veterinary Medicine</w:t>
      </w:r>
      <w:r w:rsidRPr="007746C5">
        <w:t xml:space="preserve">, </w:t>
      </w:r>
      <w:r w:rsidRPr="007746C5">
        <w:rPr>
          <w:i/>
          <w:iCs/>
        </w:rPr>
        <w:t>112</w:t>
      </w:r>
      <w:r w:rsidRPr="007746C5">
        <w:t>(1–2), 1–12. https://doi.org/10.1016/j.prevetmed.2013.06.006</w:t>
      </w:r>
    </w:p>
    <w:p w14:paraId="2A5C4807" w14:textId="77777777" w:rsidR="007746C5" w:rsidRPr="007746C5" w:rsidRDefault="007746C5" w:rsidP="009A04E6">
      <w:pPr>
        <w:pStyle w:val="Bibliography"/>
        <w:spacing w:line="240" w:lineRule="auto"/>
      </w:pPr>
      <w:r w:rsidRPr="007746C5">
        <w:t xml:space="preserve">Holbrook, F. R., &amp; Fujimoto, M. S. (1970). Mating Competitiveness of Unirradiated and Irradiated Mediterranean Fruit Flies. </w:t>
      </w:r>
      <w:r w:rsidRPr="007746C5">
        <w:rPr>
          <w:i/>
          <w:iCs/>
        </w:rPr>
        <w:t>Journal of Economic Entomology</w:t>
      </w:r>
      <w:r w:rsidRPr="007746C5">
        <w:t xml:space="preserve">, </w:t>
      </w:r>
      <w:r w:rsidRPr="007746C5">
        <w:rPr>
          <w:i/>
          <w:iCs/>
        </w:rPr>
        <w:t>63</w:t>
      </w:r>
      <w:r w:rsidRPr="007746C5">
        <w:t>(4), 1175–1176. https://doi.org/10.1093/jee/63.4.1175</w:t>
      </w:r>
    </w:p>
    <w:p w14:paraId="31440518" w14:textId="77777777" w:rsidR="007746C5" w:rsidRPr="007746C5" w:rsidRDefault="007746C5" w:rsidP="009A04E6">
      <w:pPr>
        <w:pStyle w:val="Bibliography"/>
        <w:spacing w:line="240" w:lineRule="auto"/>
      </w:pPr>
      <w:r w:rsidRPr="007746C5">
        <w:t xml:space="preserve">Holmala, K., &amp; Kauhala, K. (2006). Ecology of wildlife rabies in Europe. </w:t>
      </w:r>
      <w:r w:rsidRPr="007746C5">
        <w:rPr>
          <w:i/>
          <w:iCs/>
        </w:rPr>
        <w:t>Mammal Review</w:t>
      </w:r>
      <w:r w:rsidRPr="007746C5">
        <w:t xml:space="preserve">, </w:t>
      </w:r>
      <w:r w:rsidRPr="007746C5">
        <w:rPr>
          <w:i/>
          <w:iCs/>
        </w:rPr>
        <w:t>36</w:t>
      </w:r>
      <w:r w:rsidRPr="007746C5">
        <w:t>(1), 17–36. https://doi.org/10.1111/j.1365-2907.2006.00078.x</w:t>
      </w:r>
    </w:p>
    <w:p w14:paraId="19842750" w14:textId="77777777" w:rsidR="007746C5" w:rsidRPr="007746C5" w:rsidRDefault="007746C5" w:rsidP="009A04E6">
      <w:pPr>
        <w:pStyle w:val="Bibliography"/>
        <w:spacing w:line="240" w:lineRule="auto"/>
      </w:pPr>
      <w:r w:rsidRPr="007746C5">
        <w:t xml:space="preserve">Holman, L. E., de Bruyn, M., Creer, S., Carvalho, G., Robidart, J., &amp; Rius, M. (2019). Detection of introduced and resident marine species using environmental DNA metabarcoding of sediment and water. </w:t>
      </w:r>
      <w:r w:rsidRPr="007746C5">
        <w:rPr>
          <w:i/>
          <w:iCs/>
        </w:rPr>
        <w:t>Scientific Reports</w:t>
      </w:r>
      <w:r w:rsidRPr="007746C5">
        <w:t xml:space="preserve">, </w:t>
      </w:r>
      <w:r w:rsidRPr="007746C5">
        <w:rPr>
          <w:i/>
          <w:iCs/>
        </w:rPr>
        <w:t>9</w:t>
      </w:r>
      <w:r w:rsidRPr="007746C5">
        <w:t>(1), 11559. https://doi.org/10.1038/s41598-019-47899-7</w:t>
      </w:r>
    </w:p>
    <w:p w14:paraId="7DE4E760" w14:textId="77777777" w:rsidR="007746C5" w:rsidRPr="007746C5" w:rsidRDefault="007746C5" w:rsidP="009A04E6">
      <w:pPr>
        <w:pStyle w:val="Bibliography"/>
        <w:spacing w:line="240" w:lineRule="auto"/>
      </w:pPr>
      <w:r w:rsidRPr="007746C5">
        <w:t xml:space="preserve">Holmes, N. D., Spatz, D. R., Oppel, S., Tershy, B., Croll, D. A., Keitt, B., Genovesi, P., Burfield, I. J., Will, D. J., Bond, A. L., Wegmann, A., Aguirre-Muñoz, A., Raine, A. F., Knapp, C. R., Hung, C.-H., Wingate, D., Hagen, E., Méndez-Sánchez, F., Rocamora, G., … Butchart, S. H. M. (2019). Globally important islands where eradicating invasive mammals will benefit highly threatened vertebrates. </w:t>
      </w:r>
      <w:r w:rsidRPr="007746C5">
        <w:rPr>
          <w:i/>
          <w:iCs/>
        </w:rPr>
        <w:t>PLoS ONE</w:t>
      </w:r>
      <w:r w:rsidRPr="007746C5">
        <w:t xml:space="preserve">, </w:t>
      </w:r>
      <w:r w:rsidRPr="007746C5">
        <w:rPr>
          <w:i/>
          <w:iCs/>
        </w:rPr>
        <w:t>14</w:t>
      </w:r>
      <w:r w:rsidRPr="007746C5">
        <w:t>(3), e0212128. https://doi.org/10.1371/journal.pone.0212128</w:t>
      </w:r>
    </w:p>
    <w:p w14:paraId="518D3A5F" w14:textId="77777777" w:rsidR="007746C5" w:rsidRPr="007746C5" w:rsidRDefault="007746C5" w:rsidP="009A04E6">
      <w:pPr>
        <w:pStyle w:val="Bibliography"/>
        <w:spacing w:line="240" w:lineRule="auto"/>
      </w:pPr>
      <w:r w:rsidRPr="007746C5">
        <w:t xml:space="preserve">Hone, J. (2007). </w:t>
      </w:r>
      <w:r w:rsidRPr="007746C5">
        <w:rPr>
          <w:i/>
          <w:iCs/>
        </w:rPr>
        <w:t>Analysis of Vertebrate Pest Control, Cambridge Studies in Applied Ecology and Resource Management</w:t>
      </w:r>
      <w:r w:rsidRPr="007746C5">
        <w:t>. https://www.booktopia.com.au/analysis-of-vertebrate-pest-control-jim-hone/book/9780521038973.html</w:t>
      </w:r>
    </w:p>
    <w:p w14:paraId="320528F4" w14:textId="77777777" w:rsidR="007746C5" w:rsidRPr="007746C5" w:rsidRDefault="007746C5" w:rsidP="009A04E6">
      <w:pPr>
        <w:pStyle w:val="Bibliography"/>
        <w:spacing w:line="240" w:lineRule="auto"/>
      </w:pPr>
      <w:r w:rsidRPr="007746C5">
        <w:t xml:space="preserve">Horsch, E. J., &amp; Lewis, D. J. (2009). The Effects of Aquatic Invasive Species on Property Values: Evidence from a Quasi-Experiment. </w:t>
      </w:r>
      <w:r w:rsidRPr="007746C5">
        <w:rPr>
          <w:i/>
          <w:iCs/>
        </w:rPr>
        <w:t>Land Economics</w:t>
      </w:r>
      <w:r w:rsidRPr="007746C5">
        <w:t xml:space="preserve">, </w:t>
      </w:r>
      <w:r w:rsidRPr="007746C5">
        <w:rPr>
          <w:i/>
          <w:iCs/>
        </w:rPr>
        <w:t>85</w:t>
      </w:r>
      <w:r w:rsidRPr="007746C5">
        <w:t>(3), 391–409. https://doi.org/10.3368/le.85.3.391</w:t>
      </w:r>
    </w:p>
    <w:p w14:paraId="0B00D556" w14:textId="77777777" w:rsidR="007746C5" w:rsidRPr="007746C5" w:rsidRDefault="007746C5" w:rsidP="009A04E6">
      <w:pPr>
        <w:pStyle w:val="Bibliography"/>
        <w:spacing w:line="240" w:lineRule="auto"/>
      </w:pPr>
      <w:r w:rsidRPr="007746C5">
        <w:t xml:space="preserve">Houngbo, S., Zannou, A., Aoudji, A., Sossou, H. C., Sinzogan, A., Sikirou, R., Zossou, E., Totin Vodounon, H. S., Adomou, A., &amp; Ahanchédé, A. (2020). Farmers’ knowledge and management practices of fall armyworm, </w:t>
      </w:r>
      <w:r w:rsidRPr="007746C5">
        <w:rPr>
          <w:i/>
          <w:iCs/>
        </w:rPr>
        <w:t>Spodoptera frugiperda</w:t>
      </w:r>
      <w:r w:rsidRPr="007746C5">
        <w:t xml:space="preserve"> (J.E. Smith) in Benin, West Africa. </w:t>
      </w:r>
      <w:r w:rsidRPr="007746C5">
        <w:rPr>
          <w:i/>
          <w:iCs/>
        </w:rPr>
        <w:t>Agriculture (Switzerland)</w:t>
      </w:r>
      <w:r w:rsidRPr="007746C5">
        <w:t xml:space="preserve">, </w:t>
      </w:r>
      <w:r w:rsidRPr="007746C5">
        <w:rPr>
          <w:i/>
          <w:iCs/>
        </w:rPr>
        <w:t>10</w:t>
      </w:r>
      <w:r w:rsidRPr="007746C5">
        <w:t>(10), 1–15. https://doi.org/10.3390/agriculture10100430</w:t>
      </w:r>
    </w:p>
    <w:p w14:paraId="3A04FCAA" w14:textId="77777777" w:rsidR="007746C5" w:rsidRPr="007746C5" w:rsidRDefault="007746C5" w:rsidP="009A04E6">
      <w:pPr>
        <w:pStyle w:val="Bibliography"/>
        <w:spacing w:line="240" w:lineRule="auto"/>
      </w:pPr>
      <w:r w:rsidRPr="007746C5">
        <w:t xml:space="preserve">Howald, G., Donlan, C. J., Galván, J. P., Russell, J. C., Parkes, J., Samaniego, A., Wang, Y., Veitch, D., Genovesi, P., Pascal, M., Saunders, A., &amp; Tershy, B. (2007). Invasive rodent eradication on islands. </w:t>
      </w:r>
      <w:r w:rsidRPr="007746C5">
        <w:rPr>
          <w:i/>
          <w:iCs/>
        </w:rPr>
        <w:t>Conservation Biology</w:t>
      </w:r>
      <w:r w:rsidRPr="007746C5">
        <w:t xml:space="preserve">, </w:t>
      </w:r>
      <w:r w:rsidRPr="007746C5">
        <w:rPr>
          <w:i/>
          <w:iCs/>
        </w:rPr>
        <w:t>21</w:t>
      </w:r>
      <w:r w:rsidRPr="007746C5">
        <w:t>(5), 1258–1268. https://doi.org/10.1111/j.1523-1739.2007.00755.x</w:t>
      </w:r>
    </w:p>
    <w:p w14:paraId="6C5DD6FA" w14:textId="77777777" w:rsidR="007746C5" w:rsidRPr="007746C5" w:rsidRDefault="007746C5" w:rsidP="009A04E6">
      <w:pPr>
        <w:pStyle w:val="Bibliography"/>
        <w:spacing w:line="240" w:lineRule="auto"/>
      </w:pPr>
      <w:r w:rsidRPr="007746C5">
        <w:t xml:space="preserve">Howard, P. L. (2019). Human adaptation to invasive species: A conceptual framework based on a case study metasynthesis. </w:t>
      </w:r>
      <w:r w:rsidRPr="007746C5">
        <w:rPr>
          <w:i/>
          <w:iCs/>
        </w:rPr>
        <w:t>Ambio</w:t>
      </w:r>
      <w:r w:rsidRPr="007746C5">
        <w:t xml:space="preserve">, </w:t>
      </w:r>
      <w:r w:rsidRPr="007746C5">
        <w:rPr>
          <w:i/>
          <w:iCs/>
        </w:rPr>
        <w:t>48</w:t>
      </w:r>
      <w:r w:rsidRPr="007746C5">
        <w:t>(12), 1401–1430. https://doi.org/10.1007/s13280-019-01297-5</w:t>
      </w:r>
    </w:p>
    <w:p w14:paraId="670D3120" w14:textId="77777777" w:rsidR="007746C5" w:rsidRPr="007746C5" w:rsidRDefault="007746C5" w:rsidP="009A04E6">
      <w:pPr>
        <w:pStyle w:val="Bibliography"/>
        <w:spacing w:line="240" w:lineRule="auto"/>
      </w:pPr>
      <w:r w:rsidRPr="007746C5">
        <w:t xml:space="preserve">Howarth, F. G. (1991). Environmental Impacts of Classical Biological Control. </w:t>
      </w:r>
      <w:r w:rsidRPr="007746C5">
        <w:rPr>
          <w:i/>
          <w:iCs/>
        </w:rPr>
        <w:t>Annual Review of Entomology</w:t>
      </w:r>
      <w:r w:rsidRPr="007746C5">
        <w:t xml:space="preserve">, </w:t>
      </w:r>
      <w:r w:rsidRPr="007746C5">
        <w:rPr>
          <w:i/>
          <w:iCs/>
        </w:rPr>
        <w:t>36</w:t>
      </w:r>
      <w:r w:rsidRPr="007746C5">
        <w:t>(1), 485–509. https://doi.org/10.1146/annurev.en.36.010191.002413</w:t>
      </w:r>
    </w:p>
    <w:p w14:paraId="00227FA8" w14:textId="77777777" w:rsidR="007746C5" w:rsidRPr="007746C5" w:rsidRDefault="007746C5" w:rsidP="009A04E6">
      <w:pPr>
        <w:pStyle w:val="Bibliography"/>
        <w:spacing w:line="240" w:lineRule="auto"/>
      </w:pPr>
      <w:r w:rsidRPr="007746C5">
        <w:t xml:space="preserve">Hu, W., Bulusu, N., Chou, C. T., Jha, S., Taylor, A., &amp; Tran, V. N. (2009). Design and evaluation of a hybrid sensor network for cane toad monitoring. </w:t>
      </w:r>
      <w:r w:rsidRPr="007746C5">
        <w:rPr>
          <w:i/>
          <w:iCs/>
        </w:rPr>
        <w:t>ACM Transactions on Sensor Networks</w:t>
      </w:r>
      <w:r w:rsidRPr="007746C5">
        <w:t xml:space="preserve">, </w:t>
      </w:r>
      <w:r w:rsidRPr="007746C5">
        <w:rPr>
          <w:i/>
          <w:iCs/>
        </w:rPr>
        <w:t>5</w:t>
      </w:r>
      <w:r w:rsidRPr="007746C5">
        <w:t>(1), 4:1-4:28. https://doi.org/10.1145/1464420.1464424</w:t>
      </w:r>
    </w:p>
    <w:p w14:paraId="4687FA24" w14:textId="77777777" w:rsidR="007746C5" w:rsidRPr="007746C5" w:rsidRDefault="007746C5" w:rsidP="009A04E6">
      <w:pPr>
        <w:pStyle w:val="Bibliography"/>
        <w:spacing w:line="240" w:lineRule="auto"/>
      </w:pPr>
      <w:r w:rsidRPr="007746C5">
        <w:t xml:space="preserve">Huffaker, C. B., &amp; Messenger, P. S. (Eds.). (1976). </w:t>
      </w:r>
      <w:r w:rsidRPr="007746C5">
        <w:rPr>
          <w:i/>
          <w:iCs/>
        </w:rPr>
        <w:t>Theory and Practice of Biological Control</w:t>
      </w:r>
      <w:r w:rsidRPr="007746C5">
        <w:t>. Elsevier. https://doi.org/10.1016/B978-0-12-360350-0.X5001-6</w:t>
      </w:r>
    </w:p>
    <w:p w14:paraId="69941410" w14:textId="77777777" w:rsidR="007746C5" w:rsidRPr="007746C5" w:rsidRDefault="007746C5" w:rsidP="009A04E6">
      <w:pPr>
        <w:pStyle w:val="Bibliography"/>
        <w:spacing w:line="240" w:lineRule="auto"/>
      </w:pPr>
      <w:r w:rsidRPr="007746C5">
        <w:t xml:space="preserve">Hughes, K. A., Lee, J. E., Tsujimoto, M., Imura, S., Bergstrom, D. M., Ware, C., Lebouvier, M., Huiskes, A. H. L., Gremmen, N. J. M., Frenot, Y., Bridge, P. D., &amp; Chown, S. L. (2011). Food for thought: Risks of non-native species transfer to the Antarctic region with fresh produce. </w:t>
      </w:r>
      <w:r w:rsidRPr="007746C5">
        <w:rPr>
          <w:i/>
          <w:iCs/>
        </w:rPr>
        <w:t>Biological Conservation</w:t>
      </w:r>
      <w:r w:rsidRPr="007746C5">
        <w:t xml:space="preserve">, </w:t>
      </w:r>
      <w:r w:rsidRPr="007746C5">
        <w:rPr>
          <w:i/>
          <w:iCs/>
        </w:rPr>
        <w:t>144</w:t>
      </w:r>
      <w:r w:rsidRPr="007746C5">
        <w:t>(5), 1682–1689. https://doi.org/10.1016/j.biocon.2011.03.001</w:t>
      </w:r>
    </w:p>
    <w:p w14:paraId="70D2A1FF" w14:textId="77777777" w:rsidR="007746C5" w:rsidRPr="007746C5" w:rsidRDefault="007746C5" w:rsidP="009A04E6">
      <w:pPr>
        <w:pStyle w:val="Bibliography"/>
        <w:spacing w:line="240" w:lineRule="auto"/>
      </w:pPr>
      <w:r w:rsidRPr="007746C5">
        <w:t xml:space="preserve">Hulme, P. E. (2006). Beyond control: Wider implications for the management of biological invasions. </w:t>
      </w:r>
      <w:r w:rsidRPr="007746C5">
        <w:rPr>
          <w:i/>
          <w:iCs/>
        </w:rPr>
        <w:t>Journal of Applied Ecology</w:t>
      </w:r>
      <w:r w:rsidRPr="007746C5">
        <w:t xml:space="preserve">, </w:t>
      </w:r>
      <w:r w:rsidRPr="007746C5">
        <w:rPr>
          <w:i/>
          <w:iCs/>
        </w:rPr>
        <w:t>43</w:t>
      </w:r>
      <w:r w:rsidRPr="007746C5">
        <w:t>(5), 835–847. https://doi.org/10.1111/j.1365-2664.2006.01227.x</w:t>
      </w:r>
    </w:p>
    <w:p w14:paraId="5B9D9AF6" w14:textId="77777777" w:rsidR="007746C5" w:rsidRPr="007746C5" w:rsidRDefault="007746C5" w:rsidP="009A04E6">
      <w:pPr>
        <w:pStyle w:val="Bibliography"/>
        <w:spacing w:line="240" w:lineRule="auto"/>
      </w:pPr>
      <w:r w:rsidRPr="007746C5">
        <w:lastRenderedPageBreak/>
        <w:t xml:space="preserve">Hulme, P. E. (2009). Trade, transport and trouble: Managing invasive species pathways in an era of globalization. </w:t>
      </w:r>
      <w:r w:rsidRPr="007746C5">
        <w:rPr>
          <w:i/>
          <w:iCs/>
        </w:rPr>
        <w:t>Journal of Applied Ecology</w:t>
      </w:r>
      <w:r w:rsidRPr="007746C5">
        <w:t xml:space="preserve">, </w:t>
      </w:r>
      <w:r w:rsidRPr="007746C5">
        <w:rPr>
          <w:i/>
          <w:iCs/>
        </w:rPr>
        <w:t>46</w:t>
      </w:r>
      <w:r w:rsidRPr="007746C5">
        <w:t>(1), 10–18. https://doi.org/10.1111/j.1365-2664.2008.01600.x</w:t>
      </w:r>
    </w:p>
    <w:p w14:paraId="484EBBCA" w14:textId="77777777" w:rsidR="007746C5" w:rsidRPr="007746C5" w:rsidRDefault="007746C5" w:rsidP="009A04E6">
      <w:pPr>
        <w:pStyle w:val="Bibliography"/>
        <w:spacing w:line="240" w:lineRule="auto"/>
      </w:pPr>
      <w:r w:rsidRPr="007746C5">
        <w:t xml:space="preserve">Hulme, P. E. (2012). Weed risk assessment: A way forward or a waste of time? </w:t>
      </w:r>
      <w:r w:rsidRPr="007746C5">
        <w:rPr>
          <w:i/>
          <w:iCs/>
        </w:rPr>
        <w:t>Journal of Applied Ecology</w:t>
      </w:r>
      <w:r w:rsidRPr="007746C5">
        <w:t xml:space="preserve">, </w:t>
      </w:r>
      <w:r w:rsidRPr="007746C5">
        <w:rPr>
          <w:i/>
          <w:iCs/>
        </w:rPr>
        <w:t>49</w:t>
      </w:r>
      <w:r w:rsidRPr="007746C5">
        <w:t>(1), 10–19. https://doi.org/10.1111/j.1365-2664.2011.02069.x</w:t>
      </w:r>
    </w:p>
    <w:p w14:paraId="0F8707DB" w14:textId="77777777" w:rsidR="007746C5" w:rsidRPr="007746C5" w:rsidRDefault="007746C5" w:rsidP="009A04E6">
      <w:pPr>
        <w:pStyle w:val="Bibliography"/>
        <w:spacing w:line="240" w:lineRule="auto"/>
      </w:pPr>
      <w:r w:rsidRPr="007746C5">
        <w:t xml:space="preserve">Hulme, P. E. (2020a). One Biosecurity: A unified concept to integrate human, animal, plant, and environmental health. </w:t>
      </w:r>
      <w:r w:rsidRPr="007746C5">
        <w:rPr>
          <w:i/>
          <w:iCs/>
        </w:rPr>
        <w:t>Emerging Topics in Life Sciences</w:t>
      </w:r>
      <w:r w:rsidRPr="007746C5">
        <w:t xml:space="preserve">, </w:t>
      </w:r>
      <w:r w:rsidRPr="007746C5">
        <w:rPr>
          <w:i/>
          <w:iCs/>
        </w:rPr>
        <w:t>4</w:t>
      </w:r>
      <w:r w:rsidRPr="007746C5">
        <w:t>(5), 539–549. https://doi.org/10.1042/ETLS20200067</w:t>
      </w:r>
    </w:p>
    <w:p w14:paraId="4A451D5F" w14:textId="77777777" w:rsidR="007746C5" w:rsidRPr="007746C5" w:rsidRDefault="007746C5" w:rsidP="009A04E6">
      <w:pPr>
        <w:pStyle w:val="Bibliography"/>
        <w:spacing w:line="240" w:lineRule="auto"/>
      </w:pPr>
      <w:r w:rsidRPr="007746C5">
        <w:t xml:space="preserve">Hulme, P. E. (2020b). Plant invasions in New Zealand: Global lessons in prevention, eradication and control. </w:t>
      </w:r>
      <w:r w:rsidRPr="007746C5">
        <w:rPr>
          <w:i/>
          <w:iCs/>
        </w:rPr>
        <w:t>Biological Invasions</w:t>
      </w:r>
      <w:r w:rsidRPr="007746C5">
        <w:t xml:space="preserve">, </w:t>
      </w:r>
      <w:r w:rsidRPr="007746C5">
        <w:rPr>
          <w:i/>
          <w:iCs/>
        </w:rPr>
        <w:t>22</w:t>
      </w:r>
      <w:r w:rsidRPr="007746C5">
        <w:t>(5), 1539–1562. https://doi.org/10.1007/s10530-020-02224-6</w:t>
      </w:r>
    </w:p>
    <w:p w14:paraId="5884A3EC" w14:textId="77777777" w:rsidR="007746C5" w:rsidRPr="007746C5" w:rsidRDefault="007746C5" w:rsidP="009A04E6">
      <w:pPr>
        <w:pStyle w:val="Bibliography"/>
        <w:spacing w:line="240" w:lineRule="auto"/>
      </w:pPr>
      <w:r w:rsidRPr="007746C5">
        <w:t xml:space="preserve">Hulme, P. E., Bacher, S., Kenis, M., Klotz, S., Kühn, I., Minchin, D., Nentwig, W., Olenin, S., Panov, V., Pergl, J., Pyšek, P., Roques, A., Sol, D., Solarz, W., &amp; Vilà, M. (2008). Grasping at the routes of biological invasions: A framework for integrating pathways into policy. </w:t>
      </w:r>
      <w:r w:rsidRPr="007746C5">
        <w:rPr>
          <w:i/>
          <w:iCs/>
        </w:rPr>
        <w:t>Journal of Applied Ecology</w:t>
      </w:r>
      <w:r w:rsidRPr="007746C5">
        <w:t xml:space="preserve">, </w:t>
      </w:r>
      <w:r w:rsidRPr="007746C5">
        <w:rPr>
          <w:i/>
          <w:iCs/>
        </w:rPr>
        <w:t>45</w:t>
      </w:r>
      <w:r w:rsidRPr="007746C5">
        <w:t>(2), 403–414. https://doi.org/10.1111/j.1365-2664.2007.01442.x</w:t>
      </w:r>
    </w:p>
    <w:p w14:paraId="7391697A" w14:textId="77777777" w:rsidR="007746C5" w:rsidRPr="007746C5" w:rsidRDefault="007746C5" w:rsidP="009A04E6">
      <w:pPr>
        <w:pStyle w:val="Bibliography"/>
        <w:spacing w:line="240" w:lineRule="auto"/>
      </w:pPr>
      <w:r w:rsidRPr="007746C5">
        <w:t xml:space="preserve">Hulme, P. E., Brundu, G., Carboni, M., Dehnen-Schmutz, K., Dullinger, S., Early, R., Essl, F., González-Moreno, P., Groom, Q. J., Kueffer, C., Kühn, I., Maurel, N., Novoa, A., Pergl, J., Pyšek, P., Seebens, H., Tanner, R., Touza, J. M., van Kleunen, M., &amp; Verbrugge, L. N. H. (2018). Integrating invasive species policies across ornamental horticulture supply chains to prevent plant invasions. </w:t>
      </w:r>
      <w:r w:rsidRPr="007746C5">
        <w:rPr>
          <w:i/>
          <w:iCs/>
        </w:rPr>
        <w:t>Journal of Applied Ecology</w:t>
      </w:r>
      <w:r w:rsidRPr="007746C5">
        <w:t xml:space="preserve">, </w:t>
      </w:r>
      <w:r w:rsidRPr="007746C5">
        <w:rPr>
          <w:i/>
          <w:iCs/>
        </w:rPr>
        <w:t>55</w:t>
      </w:r>
      <w:r w:rsidRPr="007746C5">
        <w:t>(1), 92–98. https://doi.org/10.1111/1365-2664.12953</w:t>
      </w:r>
    </w:p>
    <w:p w14:paraId="2C8857DF" w14:textId="77777777" w:rsidR="007746C5" w:rsidRPr="007746C5" w:rsidRDefault="007746C5" w:rsidP="009A04E6">
      <w:pPr>
        <w:pStyle w:val="Bibliography"/>
        <w:spacing w:line="240" w:lineRule="auto"/>
      </w:pPr>
      <w:r w:rsidRPr="007746C5">
        <w:t xml:space="preserve">Hulme, P. E., Pyšek, P., Nentwig, W., &amp; Vilà, M. (2009). Will Threat of Biological Invasions Unite the European Union? </w:t>
      </w:r>
      <w:r w:rsidRPr="007746C5">
        <w:rPr>
          <w:i/>
          <w:iCs/>
        </w:rPr>
        <w:t>Science</w:t>
      </w:r>
      <w:r w:rsidRPr="007746C5">
        <w:t xml:space="preserve">, </w:t>
      </w:r>
      <w:r w:rsidRPr="007746C5">
        <w:rPr>
          <w:i/>
          <w:iCs/>
        </w:rPr>
        <w:t>324</w:t>
      </w:r>
      <w:r w:rsidRPr="007746C5">
        <w:t>(5923), 40–41. https://doi.org/10.1126/science.1171111</w:t>
      </w:r>
    </w:p>
    <w:p w14:paraId="059FC4E1" w14:textId="77777777" w:rsidR="007746C5" w:rsidRPr="007746C5" w:rsidRDefault="007746C5" w:rsidP="009A04E6">
      <w:pPr>
        <w:pStyle w:val="Bibliography"/>
        <w:spacing w:line="240" w:lineRule="auto"/>
      </w:pPr>
      <w:r w:rsidRPr="007746C5">
        <w:t xml:space="preserve">Hussain, M., Farooq, S., Merfield, C., &amp; Jabran, K. (2018). Chapter 8—Mechanical Weed Control. In K. Jabran &amp; B. S. Chauhan (Eds.), </w:t>
      </w:r>
      <w:r w:rsidRPr="007746C5">
        <w:rPr>
          <w:i/>
          <w:iCs/>
        </w:rPr>
        <w:t>Non-Chemical Weed Control</w:t>
      </w:r>
      <w:r w:rsidRPr="007746C5">
        <w:t xml:space="preserve"> (pp. 133–155). Academic Press. https://doi.org/10.1016/B978-0-12-809881-3.00008-5</w:t>
      </w:r>
    </w:p>
    <w:p w14:paraId="5D50AE6C" w14:textId="77777777" w:rsidR="007746C5" w:rsidRPr="007746C5" w:rsidRDefault="007746C5" w:rsidP="009A04E6">
      <w:pPr>
        <w:pStyle w:val="Bibliography"/>
        <w:spacing w:line="240" w:lineRule="auto"/>
      </w:pPr>
      <w:r w:rsidRPr="007746C5">
        <w:t xml:space="preserve">ICIPE. (2018). </w:t>
      </w:r>
      <w:r w:rsidRPr="007746C5">
        <w:rPr>
          <w:i/>
          <w:iCs/>
        </w:rPr>
        <w:t>Tackling invasive alien species in Africa</w:t>
      </w:r>
      <w:r w:rsidRPr="007746C5">
        <w:t>. http://www.icipe.org/news/tackling-invasive-alien-species-africa</w:t>
      </w:r>
    </w:p>
    <w:p w14:paraId="7B405865" w14:textId="77777777" w:rsidR="007746C5" w:rsidRPr="007746C5" w:rsidRDefault="007746C5" w:rsidP="009A04E6">
      <w:pPr>
        <w:pStyle w:val="Bibliography"/>
        <w:spacing w:line="240" w:lineRule="auto"/>
      </w:pPr>
      <w:r w:rsidRPr="007746C5">
        <w:t xml:space="preserve">IMO. (2004). </w:t>
      </w:r>
      <w:r w:rsidRPr="007746C5">
        <w:rPr>
          <w:i/>
          <w:iCs/>
        </w:rPr>
        <w:t>Adoption of the final act and any instruments, recommendations and resolutions resulting from the work of the conference</w:t>
      </w:r>
      <w:r w:rsidRPr="007746C5">
        <w:t>. International Conference on Ballast Water Management For Ships. https://www.liscr.com/sites/default/files/liscr_imo_resolutions/BWMConvention.pdf</w:t>
      </w:r>
    </w:p>
    <w:p w14:paraId="6E8C21DC" w14:textId="77777777" w:rsidR="007746C5" w:rsidRPr="007746C5" w:rsidRDefault="007746C5" w:rsidP="009A04E6">
      <w:pPr>
        <w:pStyle w:val="Bibliography"/>
        <w:spacing w:line="240" w:lineRule="auto"/>
      </w:pPr>
      <w:r w:rsidRPr="007746C5">
        <w:t xml:space="preserve">Impson, F. A. C., Kleinjan, C. A., &amp; Hoffmann, J. H. (2021). Suppression of seed production as a long-term strategy in weed biological control: The combined impact of two biocontrol agents on </w:t>
      </w:r>
      <w:r w:rsidRPr="007746C5">
        <w:rPr>
          <w:i/>
          <w:iCs/>
        </w:rPr>
        <w:t>Acacia mearnsii</w:t>
      </w:r>
      <w:r w:rsidRPr="007746C5">
        <w:t xml:space="preserve"> in South Africa. </w:t>
      </w:r>
      <w:r w:rsidRPr="007746C5">
        <w:rPr>
          <w:i/>
          <w:iCs/>
        </w:rPr>
        <w:t>Biological Control</w:t>
      </w:r>
      <w:r w:rsidRPr="007746C5">
        <w:t xml:space="preserve">, </w:t>
      </w:r>
      <w:r w:rsidRPr="007746C5">
        <w:rPr>
          <w:i/>
          <w:iCs/>
        </w:rPr>
        <w:t>154</w:t>
      </w:r>
      <w:r w:rsidRPr="007746C5">
        <w:t>, 104503. https://doi.org/10.1016/j.biocontrol.2020.104503</w:t>
      </w:r>
    </w:p>
    <w:p w14:paraId="10FBE8D7" w14:textId="77777777" w:rsidR="007746C5" w:rsidRPr="007746C5" w:rsidRDefault="007746C5" w:rsidP="009A04E6">
      <w:pPr>
        <w:pStyle w:val="Bibliography"/>
        <w:spacing w:line="240" w:lineRule="auto"/>
      </w:pPr>
      <w:r w:rsidRPr="007746C5">
        <w:t xml:space="preserve">Impson, F. A. C., Kleinjan, C. A., Hoffmann, J. H., Post, J. A., &amp; Wood, A. R. (2011). Biological Control of Australian Acacia Species and </w:t>
      </w:r>
      <w:r w:rsidRPr="007746C5">
        <w:rPr>
          <w:i/>
          <w:iCs/>
        </w:rPr>
        <w:t>Paraserianthes lophantha</w:t>
      </w:r>
      <w:r w:rsidRPr="007746C5">
        <w:t xml:space="preserve"> (Willd.) Nielsen (Mimosaceae) in South Africa. </w:t>
      </w:r>
      <w:r w:rsidRPr="007746C5">
        <w:rPr>
          <w:i/>
          <w:iCs/>
        </w:rPr>
        <w:t>African Entomology</w:t>
      </w:r>
      <w:r w:rsidRPr="007746C5">
        <w:t xml:space="preserve">, </w:t>
      </w:r>
      <w:r w:rsidRPr="007746C5">
        <w:rPr>
          <w:i/>
          <w:iCs/>
        </w:rPr>
        <w:t>19</w:t>
      </w:r>
      <w:r w:rsidRPr="007746C5">
        <w:t>(2), 186–207. https://doi.org/10.4001/003.019.0210</w:t>
      </w:r>
    </w:p>
    <w:p w14:paraId="2B203395" w14:textId="77777777" w:rsidR="007746C5" w:rsidRPr="007746C5" w:rsidRDefault="007746C5" w:rsidP="009A04E6">
      <w:pPr>
        <w:pStyle w:val="Bibliography"/>
        <w:spacing w:line="240" w:lineRule="auto"/>
      </w:pPr>
      <w:r w:rsidRPr="007746C5">
        <w:t xml:space="preserve">Ingold, T. (2000). Hunting and gathering as ways of perceiving the environment. In </w:t>
      </w:r>
      <w:r w:rsidRPr="007746C5">
        <w:rPr>
          <w:i/>
          <w:iCs/>
        </w:rPr>
        <w:t>The perception of the environment. Essays on livelihood, dwelling and skill</w:t>
      </w:r>
      <w:r w:rsidRPr="007746C5">
        <w:t>. Taylor &amp; Francis e-Library, London. https://leiaarqueologia.files.wordpress.com/2017/08/the-perception-of-the-environment-tim-ingold.pdf</w:t>
      </w:r>
    </w:p>
    <w:p w14:paraId="0D67ACCE" w14:textId="77777777" w:rsidR="007746C5" w:rsidRPr="007746C5" w:rsidRDefault="007746C5" w:rsidP="009A04E6">
      <w:pPr>
        <w:pStyle w:val="Bibliography"/>
        <w:spacing w:line="240" w:lineRule="auto"/>
      </w:pPr>
      <w:r w:rsidRPr="007746C5">
        <w:t xml:space="preserve">Inoue, M. N., Yokoyama, J., &amp; Washitani, I. (2008). Displacement of Japanese native bumblebees by the recently introduced </w:t>
      </w:r>
      <w:r w:rsidRPr="007746C5">
        <w:rPr>
          <w:i/>
          <w:iCs/>
        </w:rPr>
        <w:t>Bombus terrestris</w:t>
      </w:r>
      <w:r w:rsidRPr="007746C5">
        <w:t xml:space="preserve"> (L.) (Hymenoptera: Apidae). </w:t>
      </w:r>
      <w:r w:rsidRPr="007746C5">
        <w:rPr>
          <w:i/>
          <w:iCs/>
        </w:rPr>
        <w:t>Journal of Insect Conservation</w:t>
      </w:r>
      <w:r w:rsidRPr="007746C5">
        <w:t xml:space="preserve">, </w:t>
      </w:r>
      <w:r w:rsidRPr="007746C5">
        <w:rPr>
          <w:i/>
          <w:iCs/>
        </w:rPr>
        <w:t>12</w:t>
      </w:r>
      <w:r w:rsidRPr="007746C5">
        <w:t>(2), 135–146. https://doi.org/10.1007/s10841-007-9071-z</w:t>
      </w:r>
    </w:p>
    <w:p w14:paraId="5D5D0DDC" w14:textId="77777777" w:rsidR="007746C5" w:rsidRPr="007746C5" w:rsidRDefault="007746C5" w:rsidP="009A04E6">
      <w:pPr>
        <w:pStyle w:val="Bibliography"/>
        <w:spacing w:line="240" w:lineRule="auto"/>
      </w:pPr>
      <w:r w:rsidRPr="007746C5">
        <w:t xml:space="preserve">Ip, K. K. L., Liang, Y., Lin, L., Wu, H., Xue, J., &amp; Qiu, J.-W. (2014). Biological control of invasive apple snails by two species of carp: Effects on non-target species matter. </w:t>
      </w:r>
      <w:r w:rsidRPr="007746C5">
        <w:rPr>
          <w:i/>
          <w:iCs/>
        </w:rPr>
        <w:t>Biological Control</w:t>
      </w:r>
      <w:r w:rsidRPr="007746C5">
        <w:t xml:space="preserve">, </w:t>
      </w:r>
      <w:r w:rsidRPr="007746C5">
        <w:rPr>
          <w:i/>
          <w:iCs/>
        </w:rPr>
        <w:t>71</w:t>
      </w:r>
      <w:r w:rsidRPr="007746C5">
        <w:t>, 16–22. https://doi.org/10.1016/j.biocontrol.2013.12.009</w:t>
      </w:r>
    </w:p>
    <w:p w14:paraId="55E9A582" w14:textId="77777777" w:rsidR="007746C5" w:rsidRPr="007746C5" w:rsidRDefault="007746C5" w:rsidP="009A04E6">
      <w:pPr>
        <w:pStyle w:val="Bibliography"/>
        <w:spacing w:line="240" w:lineRule="auto"/>
      </w:pPr>
      <w:r w:rsidRPr="007746C5">
        <w:lastRenderedPageBreak/>
        <w:t xml:space="preserve">IPBES. (2016). </w:t>
      </w:r>
      <w:r w:rsidRPr="007746C5">
        <w:rPr>
          <w:i/>
          <w:iCs/>
        </w:rPr>
        <w:t>The methodological assessment report on scenarios and models of biodiversity and ecosystem services</w:t>
      </w:r>
      <w:r w:rsidRPr="007746C5">
        <w:t>. Secretariat of the Intergovernmental Science-Policy Platform on Biodiversity and Ecosystem Services. https://doi.org/10.5281/ZENODO.3235428</w:t>
      </w:r>
    </w:p>
    <w:p w14:paraId="7F7F5E57" w14:textId="77777777" w:rsidR="007746C5" w:rsidRPr="007746C5" w:rsidRDefault="007746C5" w:rsidP="009A04E6">
      <w:pPr>
        <w:pStyle w:val="Bibliography"/>
        <w:spacing w:line="240" w:lineRule="auto"/>
      </w:pPr>
      <w:r w:rsidRPr="007746C5">
        <w:t xml:space="preserve">IPBES. (2018). </w:t>
      </w:r>
      <w:r w:rsidRPr="007746C5">
        <w:rPr>
          <w:i/>
          <w:iCs/>
        </w:rPr>
        <w:t>The IPBES assessment report on land degradation and restoration.</w:t>
      </w:r>
      <w:r w:rsidRPr="007746C5">
        <w:t xml:space="preserve"> (p. 744). Secretariat of the Intergovernmental Science-Policy Platform on Biodiversity and Ecosystem Services. https://doi.org/10.5281/ZENODO.3237392</w:t>
      </w:r>
    </w:p>
    <w:p w14:paraId="545321F2" w14:textId="77777777" w:rsidR="007746C5" w:rsidRPr="007746C5" w:rsidRDefault="007746C5" w:rsidP="009A04E6">
      <w:pPr>
        <w:pStyle w:val="Bibliography"/>
        <w:spacing w:line="240" w:lineRule="auto"/>
      </w:pPr>
      <w:r w:rsidRPr="007746C5">
        <w:t xml:space="preserve">IPBES. (2019). </w:t>
      </w:r>
      <w:r w:rsidRPr="007746C5">
        <w:rPr>
          <w:i/>
          <w:iCs/>
        </w:rPr>
        <w:t>Global assessment report on biodiversity and ecosystem services of the Intergovernmental Science-Policy Platform on Biodiversity and Ecosystem Services</w:t>
      </w:r>
      <w:r w:rsidRPr="007746C5">
        <w:t>. Secretariat of the Intergovernmental Science-Policy Platform on Biodiversity and Ecosystem Services. https://doi.org/10.5281/ZENODO.3831673</w:t>
      </w:r>
    </w:p>
    <w:p w14:paraId="144A21F3" w14:textId="77777777" w:rsidR="007746C5" w:rsidRPr="007746C5" w:rsidRDefault="007746C5" w:rsidP="009A04E6">
      <w:pPr>
        <w:pStyle w:val="Bibliography"/>
        <w:spacing w:line="240" w:lineRule="auto"/>
      </w:pPr>
      <w:r w:rsidRPr="007746C5">
        <w:t xml:space="preserve">IPBES. (2020). </w:t>
      </w:r>
      <w:r w:rsidRPr="007746C5">
        <w:rPr>
          <w:i/>
          <w:iCs/>
        </w:rPr>
        <w:t>Report of the Indigenous and local knowledge dialogue workshop on the first order draft of the IPBES assessment of invasive alien species</w:t>
      </w:r>
      <w:r w:rsidRPr="007746C5">
        <w:t xml:space="preserve"> (J. L. Andreve, R. Batzin Chojoj, A. Black, J. T. Cleofe, F. Daguitan, C. Grant, J. A. Guillao, L. Jacobs, T. Malcolm, L. Mulenkei, K. Kumar Rai, A. Nzovu, J. M. Ole Kaunga, M. E. Regpala, N. Sall, P. Shulbaeva, R. Spencer, P. Timoti, &amp; Y. Upun, Eds.). https://ipbes.net/sites/default/files/inline-files/IPBES_IAS_2ndILKDialogue_FOD_Report_FINAL_ForWeb.pdf</w:t>
      </w:r>
    </w:p>
    <w:p w14:paraId="7B05235E" w14:textId="77777777" w:rsidR="007746C5" w:rsidRPr="007746C5" w:rsidRDefault="007746C5" w:rsidP="009A04E6">
      <w:pPr>
        <w:pStyle w:val="Bibliography"/>
        <w:spacing w:line="240" w:lineRule="auto"/>
      </w:pPr>
      <w:r w:rsidRPr="007746C5">
        <w:t xml:space="preserve">IPBES. (2022a). </w:t>
      </w:r>
      <w:r w:rsidRPr="007746C5">
        <w:rPr>
          <w:i/>
          <w:iCs/>
        </w:rPr>
        <w:t>Methodological assessment of the diverse values and valuation of nature of the Intergovernmental Science-Policy Platform on Biodiversity and Ecosystem Services</w:t>
      </w:r>
      <w:r w:rsidRPr="007746C5">
        <w:t>. Secretariat of the Intergovernmental Science-Policy Platform on Biodiversity and Ecosystem Services. https://doi.org/10.5281/ZENODO.6522522</w:t>
      </w:r>
    </w:p>
    <w:p w14:paraId="0F2AC0EA" w14:textId="77777777" w:rsidR="007746C5" w:rsidRPr="007746C5" w:rsidRDefault="007746C5" w:rsidP="009A04E6">
      <w:pPr>
        <w:pStyle w:val="Bibliography"/>
        <w:spacing w:line="240" w:lineRule="auto"/>
      </w:pPr>
      <w:r w:rsidRPr="007746C5">
        <w:t xml:space="preserve">IPBES. (2022b). </w:t>
      </w:r>
      <w:r w:rsidRPr="007746C5">
        <w:rPr>
          <w:i/>
          <w:iCs/>
        </w:rPr>
        <w:t>Report of the third Indigenous and local knowledge dialogue workshop for the IPBES thematic assessment of invasive alien species and their control.</w:t>
      </w:r>
      <w:r w:rsidRPr="007746C5">
        <w:t xml:space="preserve"> https://ipbes.net/sites/default/files/2023-02/IPBES_IAS_3rdILKDialogue_SPM-SOD_Report_FinalForWeb2.pdf</w:t>
      </w:r>
    </w:p>
    <w:p w14:paraId="76379CE8" w14:textId="77777777" w:rsidR="007746C5" w:rsidRPr="007746C5" w:rsidRDefault="007746C5" w:rsidP="009A04E6">
      <w:pPr>
        <w:pStyle w:val="Bibliography"/>
        <w:spacing w:line="240" w:lineRule="auto"/>
      </w:pPr>
      <w:r w:rsidRPr="007746C5">
        <w:t xml:space="preserve">IPCC. (2018). </w:t>
      </w:r>
      <w:r w:rsidRPr="007746C5">
        <w:rPr>
          <w:i/>
          <w:iCs/>
        </w:rPr>
        <w:t xml:space="preserve">Special Report Global warming of 1.5 </w:t>
      </w:r>
      <w:r w:rsidRPr="007746C5">
        <w:rPr>
          <w:i/>
          <w:iCs/>
          <w:vertAlign w:val="superscript"/>
        </w:rPr>
        <w:t>o</w:t>
      </w:r>
      <w:r w:rsidRPr="007746C5">
        <w:rPr>
          <w:i/>
          <w:iCs/>
        </w:rPr>
        <w:t>C</w:t>
      </w:r>
      <w:r w:rsidRPr="007746C5">
        <w:t>. https://www.ipcc.ch/sr15/</w:t>
      </w:r>
    </w:p>
    <w:p w14:paraId="4E8B708F" w14:textId="77777777" w:rsidR="007746C5" w:rsidRPr="007746C5" w:rsidRDefault="007746C5" w:rsidP="009A04E6">
      <w:pPr>
        <w:pStyle w:val="Bibliography"/>
        <w:spacing w:line="240" w:lineRule="auto"/>
      </w:pPr>
      <w:r w:rsidRPr="007746C5">
        <w:t xml:space="preserve">IPPC. (2017a). </w:t>
      </w:r>
      <w:r w:rsidRPr="007746C5">
        <w:rPr>
          <w:i/>
          <w:iCs/>
        </w:rPr>
        <w:t>Guidelines for the export, shipment, import and release of biological control agents and other beneficial organisms</w:t>
      </w:r>
      <w:r w:rsidRPr="007746C5">
        <w:t xml:space="preserve"> (ISPM 3; International Standards for Phytosanitary Measures). International Plant Protection Convention. https://www.ippc.int/en/publications/guidelines-export-shipment-import-and-release-biological-control-agents-and-other/</w:t>
      </w:r>
    </w:p>
    <w:p w14:paraId="5669F697" w14:textId="77777777" w:rsidR="007746C5" w:rsidRPr="007746C5" w:rsidRDefault="007746C5" w:rsidP="009A04E6">
      <w:pPr>
        <w:pStyle w:val="Bibliography"/>
        <w:spacing w:line="240" w:lineRule="auto"/>
      </w:pPr>
      <w:r w:rsidRPr="007746C5">
        <w:t xml:space="preserve">IPPC. (2017b). </w:t>
      </w:r>
      <w:r w:rsidRPr="007746C5">
        <w:rPr>
          <w:i/>
          <w:iCs/>
        </w:rPr>
        <w:t>The use of integrated measures in a systems approach for pest risk management</w:t>
      </w:r>
      <w:r w:rsidRPr="007746C5">
        <w:t xml:space="preserve"> (ISPM 14; International Standards for Phytosanitary Measures). International Plant Protection Convention. https://www.ippc.int/static/media/files/publication/en/2017/05/ISPM_14_2002_En_2017-05-25_PostCPM12_InkAm.pdf</w:t>
      </w:r>
    </w:p>
    <w:p w14:paraId="3A25D420" w14:textId="77777777" w:rsidR="007746C5" w:rsidRPr="007746C5" w:rsidRDefault="007746C5" w:rsidP="009A04E6">
      <w:pPr>
        <w:pStyle w:val="Bibliography"/>
        <w:spacing w:line="240" w:lineRule="auto"/>
      </w:pPr>
      <w:r w:rsidRPr="007746C5">
        <w:t xml:space="preserve">IPPC. (2018). </w:t>
      </w:r>
      <w:r w:rsidRPr="007746C5">
        <w:rPr>
          <w:i/>
          <w:iCs/>
        </w:rPr>
        <w:t>Surveillance</w:t>
      </w:r>
      <w:r w:rsidRPr="007746C5">
        <w:t xml:space="preserve"> (ISPM 6; International Standards for Phytosanitary Measures). FAO. https://www.ippc.int/static/media/files/publication/en/2018/06/ISPM_06_2018_En_Surveillance_2018-05-20_PostCPM13_KmRiysX.pdf</w:t>
      </w:r>
    </w:p>
    <w:p w14:paraId="58479E39" w14:textId="77777777" w:rsidR="007746C5" w:rsidRPr="007746C5" w:rsidRDefault="007746C5" w:rsidP="009A04E6">
      <w:pPr>
        <w:pStyle w:val="Bibliography"/>
        <w:spacing w:line="240" w:lineRule="auto"/>
      </w:pPr>
      <w:r w:rsidRPr="007746C5">
        <w:t xml:space="preserve">IPPC. (2019). </w:t>
      </w:r>
      <w:r w:rsidRPr="007746C5">
        <w:rPr>
          <w:i/>
          <w:iCs/>
        </w:rPr>
        <w:t>Framework for pest risk analysis</w:t>
      </w:r>
      <w:r w:rsidRPr="007746C5">
        <w:t xml:space="preserve"> (ISPM 2; International Standards for Phytosanitary Measures). Secretariat of the International Plant Protection Convention (IPPC). https://www.fao.org/3/k0125e/k0125e.pdf</w:t>
      </w:r>
    </w:p>
    <w:p w14:paraId="4E8DDF4D" w14:textId="77777777" w:rsidR="007746C5" w:rsidRPr="007746C5" w:rsidRDefault="007746C5" w:rsidP="009A04E6">
      <w:pPr>
        <w:pStyle w:val="Bibliography"/>
        <w:spacing w:line="240" w:lineRule="auto"/>
      </w:pPr>
      <w:r w:rsidRPr="007746C5">
        <w:t xml:space="preserve">IPPC-CPM. (2020). </w:t>
      </w:r>
      <w:r w:rsidRPr="007746C5">
        <w:rPr>
          <w:i/>
          <w:iCs/>
        </w:rPr>
        <w:t>Reduce the incidence of contaminating pests associated with regulated articles and unregulated goods to protect plant health and facilitate trade (2019-002). Draft CPM recommendation.</w:t>
      </w:r>
      <w:r w:rsidRPr="007746C5">
        <w:t xml:space="preserve"> International Plant Protection Convention. https://assets.ippc.int/static/media/files/publication/en/2021/01/16_CPM_2021_ANNEX2_2019-002_Draft_CPM_Rec_Contaminting_pests_2020-12-25.pdf</w:t>
      </w:r>
    </w:p>
    <w:p w14:paraId="33BC6AB6" w14:textId="77777777" w:rsidR="007746C5" w:rsidRPr="007746C5" w:rsidRDefault="007746C5" w:rsidP="009A04E6">
      <w:pPr>
        <w:pStyle w:val="Bibliography"/>
        <w:spacing w:line="240" w:lineRule="auto"/>
      </w:pPr>
      <w:r w:rsidRPr="007746C5">
        <w:t xml:space="preserve">ISAC. (2017). </w:t>
      </w:r>
      <w:r w:rsidRPr="007746C5">
        <w:rPr>
          <w:i/>
          <w:iCs/>
        </w:rPr>
        <w:t>Advanced Biotechnology Tools for Invasive Species Management</w:t>
      </w:r>
      <w:r w:rsidRPr="007746C5">
        <w:t>. Invasive Species Advisory Committee. https://www.glc.org/wp-content/uploads/isac_advanced_biotechnology_white_paper.pdf</w:t>
      </w:r>
    </w:p>
    <w:p w14:paraId="5E568482" w14:textId="77777777" w:rsidR="007746C5" w:rsidRPr="007746C5" w:rsidRDefault="007746C5" w:rsidP="009A04E6">
      <w:pPr>
        <w:pStyle w:val="Bibliography"/>
        <w:spacing w:line="240" w:lineRule="auto"/>
      </w:pPr>
      <w:r w:rsidRPr="007746C5">
        <w:t xml:space="preserve">Island Conservation. (2018). </w:t>
      </w:r>
      <w:r w:rsidRPr="007746C5">
        <w:rPr>
          <w:i/>
          <w:iCs/>
        </w:rPr>
        <w:t>Data matters: Informing the eradication of invasive species on islands: North America and the Arctic region.</w:t>
      </w:r>
      <w:r w:rsidRPr="007746C5">
        <w:t xml:space="preserve"> (Contractor’s Report 2018-1.). National </w:t>
      </w:r>
      <w:r w:rsidRPr="007746C5">
        <w:lastRenderedPageBreak/>
        <w:t>Invasive Species Council Secretariat. https://www.doi.gov/sites/doi.gov/files/uploads/data_matters_island_conservation_report.pdf</w:t>
      </w:r>
    </w:p>
    <w:p w14:paraId="38265880" w14:textId="77777777" w:rsidR="007746C5" w:rsidRPr="007746C5" w:rsidRDefault="007746C5" w:rsidP="009A04E6">
      <w:pPr>
        <w:pStyle w:val="Bibliography"/>
        <w:spacing w:line="240" w:lineRule="auto"/>
      </w:pPr>
      <w:r w:rsidRPr="007746C5">
        <w:t xml:space="preserve">ISSG. (2018). Invasive alien species: The application of classical biological control for the management of established invasive alien species causing environmental impacts. In A. Sheppard, Q. Paynter, P. Mason, S. Murphy, P. Stoett, P. Cowan, J. Brodeur, K. Warner, C. Villegas, R. Shaw, H. Hinz, M. Hill, &amp; P. Genovesi (Eds.), </w:t>
      </w:r>
      <w:r w:rsidRPr="007746C5">
        <w:rPr>
          <w:i/>
          <w:iCs/>
        </w:rPr>
        <w:t>Technical Report for the CBD. IUCN SSC Invasive Species Specialist Group.</w:t>
      </w:r>
      <w:r w:rsidRPr="007746C5">
        <w:t xml:space="preserve"> (p. 96). https://www.cbd.int/doc/c/0c6f/7a35/eb8815eff54c3bc4a02139fd/cop-14-inf-09-en.pdf</w:t>
      </w:r>
    </w:p>
    <w:p w14:paraId="321E0835" w14:textId="77777777" w:rsidR="007746C5" w:rsidRPr="007746C5" w:rsidRDefault="007746C5" w:rsidP="009A04E6">
      <w:pPr>
        <w:pStyle w:val="Bibliography"/>
        <w:spacing w:line="240" w:lineRule="auto"/>
      </w:pPr>
      <w:r w:rsidRPr="007746C5">
        <w:t xml:space="preserve">IUCN. (2017). </w:t>
      </w:r>
      <w:r w:rsidRPr="007746C5">
        <w:rPr>
          <w:i/>
          <w:iCs/>
        </w:rPr>
        <w:t>Guidance for interpretation of CBD categories on introduction pathways</w:t>
      </w:r>
      <w:r w:rsidRPr="007746C5">
        <w:t xml:space="preserve"> [Technical note prepared by IUCN for the European Commission]. International Union for Conservation of Nature. https://nora.nerc.ac.uk/id/eprint/519129/1/N519129CR.pdf</w:t>
      </w:r>
    </w:p>
    <w:p w14:paraId="452DADB3" w14:textId="77777777" w:rsidR="007746C5" w:rsidRPr="007746C5" w:rsidRDefault="007746C5" w:rsidP="009A04E6">
      <w:pPr>
        <w:pStyle w:val="Bibliography"/>
        <w:spacing w:line="240" w:lineRule="auto"/>
      </w:pPr>
      <w:r w:rsidRPr="007746C5">
        <w:t xml:space="preserve">IUCN. (2018). </w:t>
      </w:r>
      <w:r w:rsidRPr="007746C5">
        <w:rPr>
          <w:i/>
          <w:iCs/>
        </w:rPr>
        <w:t>Compilation of costs of prevention and management of invasive alien species in the EU. Technical note prepared by IUCN for the European Commission.</w:t>
      </w:r>
      <w:r w:rsidRPr="007746C5">
        <w:t xml:space="preserve"> https://circabc.europa.eu/sd/a/7b04a898-12e3-48c3-a0e5-f21a165259b4/2018-Compilation%20of%20costs%20of%20prevention%20and%20management%20of%20IAS%20in%20the%20EU.pdf</w:t>
      </w:r>
    </w:p>
    <w:p w14:paraId="046D7AB5" w14:textId="77777777" w:rsidR="007746C5" w:rsidRPr="007746C5" w:rsidRDefault="007746C5" w:rsidP="009A04E6">
      <w:pPr>
        <w:pStyle w:val="Bibliography"/>
        <w:spacing w:line="240" w:lineRule="auto"/>
      </w:pPr>
      <w:r w:rsidRPr="007746C5">
        <w:t xml:space="preserve">IUCN. (2020a). </w:t>
      </w:r>
      <w:r w:rsidRPr="007746C5">
        <w:rPr>
          <w:i/>
          <w:iCs/>
        </w:rPr>
        <w:t>IUCN EICAT Categories and Criteria. The Environmental Impact Classification for Alien Taxa.</w:t>
      </w:r>
      <w:r w:rsidRPr="007746C5">
        <w:t xml:space="preserve"> (First edition). IUCN, International Union for Conservation of Nature. https://doi.org/10.2305/IUCN.CH.2020.05.en</w:t>
      </w:r>
    </w:p>
    <w:p w14:paraId="77091A96" w14:textId="77777777" w:rsidR="007746C5" w:rsidRPr="007746C5" w:rsidRDefault="007746C5" w:rsidP="009A04E6">
      <w:pPr>
        <w:pStyle w:val="Bibliography"/>
        <w:spacing w:line="240" w:lineRule="auto"/>
      </w:pPr>
      <w:r w:rsidRPr="007746C5">
        <w:t xml:space="preserve">IUCN. (2020b, June 9). </w:t>
      </w:r>
      <w:r w:rsidRPr="007746C5">
        <w:rPr>
          <w:i/>
          <w:iCs/>
        </w:rPr>
        <w:t>Management of IAS</w:t>
      </w:r>
      <w:r w:rsidRPr="007746C5">
        <w:t>. IUCN. https://www.iucn.org/regions/europe/our-work/biodiversity-conservation/invasive-alien-species/eu-regulation-technical-support/management-ias</w:t>
      </w:r>
    </w:p>
    <w:p w14:paraId="334DEC79" w14:textId="77777777" w:rsidR="007746C5" w:rsidRPr="007746C5" w:rsidRDefault="007746C5" w:rsidP="009A04E6">
      <w:pPr>
        <w:pStyle w:val="Bibliography"/>
        <w:spacing w:line="240" w:lineRule="auto"/>
      </w:pPr>
      <w:r w:rsidRPr="007746C5">
        <w:t xml:space="preserve">IUCN/SSC. (2013). </w:t>
      </w:r>
      <w:r w:rsidRPr="007746C5">
        <w:rPr>
          <w:i/>
          <w:iCs/>
        </w:rPr>
        <w:t>Guidelines for Reintroductions and Other Conservation Translocations. Version 1.0.</w:t>
      </w:r>
      <w:r w:rsidRPr="007746C5">
        <w:t xml:space="preserve"> IUCN Species Survival Commission. https://portals.iucn.org/library/sites/library/files/documents/2013-009.pdf</w:t>
      </w:r>
    </w:p>
    <w:p w14:paraId="4F759AB9" w14:textId="77777777" w:rsidR="007746C5" w:rsidRPr="007746C5" w:rsidRDefault="007746C5" w:rsidP="009A04E6">
      <w:pPr>
        <w:pStyle w:val="Bibliography"/>
        <w:spacing w:line="240" w:lineRule="auto"/>
      </w:pPr>
      <w:r w:rsidRPr="007746C5">
        <w:t xml:space="preserve">Januchowski-Hartley, S. R., Visconti, P., &amp; Pressey, R. L. (2011). A systematic approach for prioritizing multiple management actions for invasive species. </w:t>
      </w:r>
      <w:r w:rsidRPr="007746C5">
        <w:rPr>
          <w:i/>
          <w:iCs/>
        </w:rPr>
        <w:t>Biological Invasions</w:t>
      </w:r>
      <w:r w:rsidRPr="007746C5">
        <w:t xml:space="preserve">, </w:t>
      </w:r>
      <w:r w:rsidRPr="007746C5">
        <w:rPr>
          <w:i/>
          <w:iCs/>
        </w:rPr>
        <w:t>13</w:t>
      </w:r>
      <w:r w:rsidRPr="007746C5">
        <w:t>(5), 1241–1253. https://doi.org/10.1007/s10530-011-9960-7</w:t>
      </w:r>
    </w:p>
    <w:p w14:paraId="6DBD90F5" w14:textId="77777777" w:rsidR="007746C5" w:rsidRPr="007746C5" w:rsidRDefault="007746C5" w:rsidP="009A04E6">
      <w:pPr>
        <w:pStyle w:val="Bibliography"/>
        <w:spacing w:line="240" w:lineRule="auto"/>
      </w:pPr>
      <w:r w:rsidRPr="007746C5">
        <w:rPr>
          <w:rFonts w:hint="eastAsia"/>
        </w:rPr>
        <w:t>Jarić, I., Courchamp, F., Correia, R. A., Crowley, S. L., Essl, F., Fischer, A., González</w:t>
      </w:r>
      <w:r w:rsidRPr="007746C5">
        <w:rPr>
          <w:rFonts w:hint="eastAsia"/>
        </w:rPr>
        <w:t>‐</w:t>
      </w:r>
      <w:r w:rsidRPr="007746C5">
        <w:rPr>
          <w:rFonts w:hint="eastAsia"/>
        </w:rPr>
        <w:t xml:space="preserve">Moreno, P., Kalinkat, G., Lambin, X., Lenzner, B., Meinard, Y., Mill, A., Musseau, C., Novoa, A., Pergl, J., Pyšek, P., Pyšková, K., Robertson, P., Schmalensee, M., </w:t>
      </w:r>
      <w:r w:rsidRPr="007746C5">
        <w:rPr>
          <w:rFonts w:hint="eastAsia"/>
        </w:rPr>
        <w:t>…</w:t>
      </w:r>
      <w:r w:rsidRPr="007746C5">
        <w:rPr>
          <w:rFonts w:hint="eastAsia"/>
        </w:rPr>
        <w:t xml:space="preserve"> Jeschke, J. M. (2020). The role of species charisma in biological invasions. </w:t>
      </w:r>
      <w:r w:rsidRPr="007746C5">
        <w:rPr>
          <w:i/>
          <w:iCs/>
        </w:rPr>
        <w:t>Frontiers in Ecology and the Environment</w:t>
      </w:r>
      <w:r w:rsidRPr="007746C5">
        <w:t xml:space="preserve">, </w:t>
      </w:r>
      <w:r w:rsidRPr="007746C5">
        <w:rPr>
          <w:i/>
          <w:iCs/>
        </w:rPr>
        <w:t>18</w:t>
      </w:r>
      <w:r w:rsidRPr="007746C5">
        <w:t>(6), 345–353. https://doi.org/10.1002/fee.2195</w:t>
      </w:r>
    </w:p>
    <w:p w14:paraId="1C6EFA79" w14:textId="77777777" w:rsidR="007746C5" w:rsidRPr="007746C5" w:rsidRDefault="007746C5" w:rsidP="009A04E6">
      <w:pPr>
        <w:pStyle w:val="Bibliography"/>
        <w:spacing w:line="240" w:lineRule="auto"/>
      </w:pPr>
      <w:r w:rsidRPr="007746C5">
        <w:t xml:space="preserve">Jarrad, F., Low-Choy, S., &amp; Mengersen, K. (Eds.). (2015). </w:t>
      </w:r>
      <w:r w:rsidRPr="007746C5">
        <w:rPr>
          <w:i/>
          <w:iCs/>
        </w:rPr>
        <w:t>Biosecurity Surveillance: Quantitative Approaches</w:t>
      </w:r>
      <w:r w:rsidRPr="007746C5">
        <w:t>. CABI.</w:t>
      </w:r>
    </w:p>
    <w:p w14:paraId="688BA3FC" w14:textId="77777777" w:rsidR="007746C5" w:rsidRPr="007746C5" w:rsidRDefault="007746C5" w:rsidP="009A04E6">
      <w:pPr>
        <w:pStyle w:val="Bibliography"/>
        <w:spacing w:line="240" w:lineRule="auto"/>
      </w:pPr>
      <w:r w:rsidRPr="007746C5">
        <w:t xml:space="preserve">Jellinek, S., Rumpff, L., Driscoll, D. A., Parris, K. M., &amp; Wintle, B. A. (2014). Modelling the benefits of habitat restoration in socio-ecological systems. </w:t>
      </w:r>
      <w:r w:rsidRPr="007746C5">
        <w:rPr>
          <w:i/>
          <w:iCs/>
        </w:rPr>
        <w:t>Biological Conservation</w:t>
      </w:r>
      <w:r w:rsidRPr="007746C5">
        <w:t xml:space="preserve">, </w:t>
      </w:r>
      <w:r w:rsidRPr="007746C5">
        <w:rPr>
          <w:i/>
          <w:iCs/>
        </w:rPr>
        <w:t>169</w:t>
      </w:r>
      <w:r w:rsidRPr="007746C5">
        <w:t>, 60–67. https://doi.org/10.1016/j.biocon.2013.10.023</w:t>
      </w:r>
    </w:p>
    <w:p w14:paraId="501EE4F2" w14:textId="77777777" w:rsidR="007746C5" w:rsidRPr="007746C5" w:rsidRDefault="007746C5" w:rsidP="009A04E6">
      <w:pPr>
        <w:pStyle w:val="Bibliography"/>
        <w:spacing w:line="240" w:lineRule="auto"/>
      </w:pPr>
      <w:r w:rsidRPr="007746C5">
        <w:t xml:space="preserve">Jia, S., &amp; Gao, H. (2020). Review of Crop Disease and Pest Image Recognition Technology. </w:t>
      </w:r>
      <w:r w:rsidRPr="007746C5">
        <w:rPr>
          <w:i/>
          <w:iCs/>
        </w:rPr>
        <w:t>IOP Conference Series: Materials Science and Engineering</w:t>
      </w:r>
      <w:r w:rsidRPr="007746C5">
        <w:t xml:space="preserve">, </w:t>
      </w:r>
      <w:r w:rsidRPr="007746C5">
        <w:rPr>
          <w:i/>
          <w:iCs/>
        </w:rPr>
        <w:t>799</w:t>
      </w:r>
      <w:r w:rsidRPr="007746C5">
        <w:t>, 012045. https://doi.org/10.1088/1757-899X/799/1/012045</w:t>
      </w:r>
    </w:p>
    <w:p w14:paraId="4C41EF0E" w14:textId="77777777" w:rsidR="007746C5" w:rsidRPr="007746C5" w:rsidRDefault="007746C5" w:rsidP="009A04E6">
      <w:pPr>
        <w:pStyle w:val="Bibliography"/>
        <w:spacing w:line="240" w:lineRule="auto"/>
      </w:pPr>
      <w:r w:rsidRPr="007746C5">
        <w:t xml:space="preserve">Johnson, B. A., Mader, A. D., Dasgupta, R., &amp; Kumar, P. (2020). Citizen science and invasive alien species: An analysis of citizen science initiatives using information and communications technology (ICT) to collect invasive alien species observations. </w:t>
      </w:r>
      <w:r w:rsidRPr="007746C5">
        <w:rPr>
          <w:i/>
          <w:iCs/>
        </w:rPr>
        <w:t>Global Ecology and Conservation</w:t>
      </w:r>
      <w:r w:rsidRPr="007746C5">
        <w:t xml:space="preserve">, </w:t>
      </w:r>
      <w:r w:rsidRPr="007746C5">
        <w:rPr>
          <w:i/>
          <w:iCs/>
        </w:rPr>
        <w:t>21</w:t>
      </w:r>
      <w:r w:rsidRPr="007746C5">
        <w:t>, e00812. https://doi.org/10.1016/j.gecco.2019.e00812</w:t>
      </w:r>
    </w:p>
    <w:p w14:paraId="187CCF72" w14:textId="77777777" w:rsidR="007746C5" w:rsidRPr="007746C5" w:rsidRDefault="007746C5" w:rsidP="009A04E6">
      <w:pPr>
        <w:pStyle w:val="Bibliography"/>
        <w:spacing w:line="240" w:lineRule="auto"/>
      </w:pPr>
      <w:r w:rsidRPr="007746C5">
        <w:t xml:space="preserve">Jones, B. A., McDermott, S. M., &amp; Chermak, J. M. (2016). PLAN or get SLAM’ed: Optimal management of invasive species in the presence of indirect health externalities. </w:t>
      </w:r>
      <w:r w:rsidRPr="007746C5">
        <w:rPr>
          <w:i/>
          <w:iCs/>
        </w:rPr>
        <w:t>Journal of Environmental Management</w:t>
      </w:r>
      <w:r w:rsidRPr="007746C5">
        <w:t xml:space="preserve">, </w:t>
      </w:r>
      <w:r w:rsidRPr="007746C5">
        <w:rPr>
          <w:i/>
          <w:iCs/>
        </w:rPr>
        <w:t>180</w:t>
      </w:r>
      <w:r w:rsidRPr="007746C5">
        <w:t>, 538–550. https://doi.org/10.1016/j.jenvman.2016.05.026</w:t>
      </w:r>
    </w:p>
    <w:p w14:paraId="072EF659" w14:textId="77777777" w:rsidR="007746C5" w:rsidRPr="007746C5" w:rsidRDefault="007746C5" w:rsidP="009A04E6">
      <w:pPr>
        <w:pStyle w:val="Bibliography"/>
        <w:spacing w:line="240" w:lineRule="auto"/>
      </w:pPr>
      <w:r w:rsidRPr="007746C5">
        <w:t xml:space="preserve">Jones, C. M., Jones, S., Petrasova, A., Petras, V., Gaydos, D., Skrip, M. M., Takeuchi, Y., Bigsby, K., &amp; Meentemeyer, R. K. (2021). Iteratively forecasting biological invasions with PoPS </w:t>
      </w:r>
      <w:r w:rsidRPr="007746C5">
        <w:lastRenderedPageBreak/>
        <w:t xml:space="preserve">and a little help from our friends. </w:t>
      </w:r>
      <w:r w:rsidRPr="007746C5">
        <w:rPr>
          <w:i/>
          <w:iCs/>
        </w:rPr>
        <w:t>Frontiers in Ecology and the Environment</w:t>
      </w:r>
      <w:r w:rsidRPr="007746C5">
        <w:t xml:space="preserve">, </w:t>
      </w:r>
      <w:r w:rsidRPr="007746C5">
        <w:rPr>
          <w:i/>
          <w:iCs/>
        </w:rPr>
        <w:t>19</w:t>
      </w:r>
      <w:r w:rsidRPr="007746C5">
        <w:t>(7), 411–418. https://doi.org/10.1002/fee.2357</w:t>
      </w:r>
    </w:p>
    <w:p w14:paraId="2FAD7512" w14:textId="77777777" w:rsidR="007746C5" w:rsidRPr="007746C5" w:rsidRDefault="007746C5" w:rsidP="009A04E6">
      <w:pPr>
        <w:pStyle w:val="Bibliography"/>
        <w:spacing w:line="240" w:lineRule="auto"/>
      </w:pPr>
      <w:r w:rsidRPr="007746C5">
        <w:t>Jones, C., Moss, K., &amp; Sanders, M. (2005). Diet of hedgehogs (</w:t>
      </w:r>
      <w:r w:rsidRPr="007746C5">
        <w:rPr>
          <w:i/>
          <w:iCs/>
        </w:rPr>
        <w:t>Erinaceus europaeus</w:t>
      </w:r>
      <w:r w:rsidRPr="007746C5">
        <w:t xml:space="preserve">) in the upper Waitaki Basin, New Zealand: Implications for conservation. </w:t>
      </w:r>
      <w:r w:rsidRPr="007746C5">
        <w:rPr>
          <w:i/>
          <w:iCs/>
        </w:rPr>
        <w:t>New Zealand Journal of Ecology</w:t>
      </w:r>
      <w:r w:rsidRPr="007746C5">
        <w:t xml:space="preserve">, </w:t>
      </w:r>
      <w:r w:rsidRPr="007746C5">
        <w:rPr>
          <w:i/>
          <w:iCs/>
        </w:rPr>
        <w:t>29</w:t>
      </w:r>
      <w:r w:rsidRPr="007746C5">
        <w:t>(1), 29–35. https://www.jstor.org/stable/24056190</w:t>
      </w:r>
    </w:p>
    <w:p w14:paraId="2C710AFB" w14:textId="77777777" w:rsidR="007746C5" w:rsidRPr="007746C5" w:rsidRDefault="007746C5" w:rsidP="009A04E6">
      <w:pPr>
        <w:pStyle w:val="Bibliography"/>
        <w:spacing w:line="240" w:lineRule="auto"/>
      </w:pPr>
      <w:r w:rsidRPr="007746C5">
        <w:t xml:space="preserve">Jones, H. P., Holmes, N. D., Butchart, S. H. M., Tershy, B. R., Kappes, P. J., Corkery, I., Aguirre-Muñoz, A., Armstrong, D. P., Bonnaud, E., Burbidge, A. A., Campbell, K., Courchamp, F., Cowan, P. E., Cuthbert, R. J., Ebbert, S., Genovesi, P., Howald, G. R., Keitt, B. S., Kress, S. W., … Croll, D. A. (2016). Invasive mammal eradication on islands results in substantial conservation gains. </w:t>
      </w:r>
      <w:r w:rsidRPr="007746C5">
        <w:rPr>
          <w:i/>
          <w:iCs/>
        </w:rPr>
        <w:t>Proceedings of the National Academy of Sciences</w:t>
      </w:r>
      <w:r w:rsidRPr="007746C5">
        <w:t xml:space="preserve">, </w:t>
      </w:r>
      <w:r w:rsidRPr="007746C5">
        <w:rPr>
          <w:i/>
          <w:iCs/>
        </w:rPr>
        <w:t>113</w:t>
      </w:r>
      <w:r w:rsidRPr="007746C5">
        <w:t>(15), 4033–4038. https://doi.org/10.1073/pnas.1521179113</w:t>
      </w:r>
    </w:p>
    <w:p w14:paraId="07BF180D" w14:textId="77777777" w:rsidR="007746C5" w:rsidRPr="007746C5" w:rsidRDefault="007746C5" w:rsidP="009A04E6">
      <w:pPr>
        <w:pStyle w:val="Bibliography"/>
        <w:spacing w:line="240" w:lineRule="auto"/>
      </w:pPr>
      <w:r w:rsidRPr="007746C5">
        <w:t xml:space="preserve">Joshi, C., De Leeuw, J., van Andel, J., Skidmore, A. K., Lekhak, H. D., van Duren, I. C., &amp; Norbu, N. (2006). Indirect remote sensing of a cryptic forest understorey invasive species. </w:t>
      </w:r>
      <w:r w:rsidRPr="007746C5">
        <w:rPr>
          <w:i/>
          <w:iCs/>
        </w:rPr>
        <w:t>Forest Ecology and Management</w:t>
      </w:r>
      <w:r w:rsidRPr="007746C5">
        <w:t xml:space="preserve">, </w:t>
      </w:r>
      <w:r w:rsidRPr="007746C5">
        <w:rPr>
          <w:i/>
          <w:iCs/>
        </w:rPr>
        <w:t>225</w:t>
      </w:r>
      <w:r w:rsidRPr="007746C5">
        <w:t>(1), 245–256. https://doi.org/10.1016/j.foreco.2006.01.013</w:t>
      </w:r>
    </w:p>
    <w:p w14:paraId="490A6E88" w14:textId="77777777" w:rsidR="007746C5" w:rsidRPr="007746C5" w:rsidRDefault="007746C5" w:rsidP="009A04E6">
      <w:pPr>
        <w:pStyle w:val="Bibliography"/>
        <w:spacing w:line="240" w:lineRule="auto"/>
      </w:pPr>
      <w:r w:rsidRPr="007746C5">
        <w:t xml:space="preserve">Joshi, C., de Leeuw, J., &amp; van Duren, I. C. (2004). Remote sensing and GIS applications for mapping and spatial modelling of invasive species. </w:t>
      </w:r>
      <w:r w:rsidRPr="007746C5">
        <w:rPr>
          <w:i/>
          <w:iCs/>
        </w:rPr>
        <w:t>ISPRS 2004: Proceedings of the XXth ISPRS Congress</w:t>
      </w:r>
      <w:r w:rsidRPr="007746C5">
        <w:t xml:space="preserve">, </w:t>
      </w:r>
      <w:r w:rsidRPr="007746C5">
        <w:rPr>
          <w:i/>
          <w:iCs/>
        </w:rPr>
        <w:t>35</w:t>
      </w:r>
      <w:r w:rsidRPr="007746C5">
        <w:t>, 669–677. http://www.itc.nl/library/Papers_2004/peer_conf/joshi.pdf</w:t>
      </w:r>
    </w:p>
    <w:p w14:paraId="303F4002" w14:textId="77777777" w:rsidR="007746C5" w:rsidRPr="007746C5" w:rsidRDefault="007746C5" w:rsidP="009A04E6">
      <w:pPr>
        <w:pStyle w:val="Bibliography"/>
        <w:spacing w:line="240" w:lineRule="auto"/>
      </w:pPr>
      <w:r w:rsidRPr="007746C5">
        <w:t xml:space="preserve">Joshi, S., Bhaskar, H., Poon, V. A., Mala, B. J., Jayanthi, P. K., Pai, S. G., Thite, S. V., Sood, A. K., Kedar, S. C., Sridhar, V., Deepthy, K. B., Navik, O., &amp; Rachana, R. R. (2021). Occurrence and spread of </w:t>
      </w:r>
      <w:r w:rsidRPr="007746C5">
        <w:rPr>
          <w:i/>
          <w:iCs/>
        </w:rPr>
        <w:t>Ceroplastes cirripediformis</w:t>
      </w:r>
      <w:r w:rsidRPr="007746C5">
        <w:t xml:space="preserve"> Comstock (Hemiptera: Coccomorpha: Coccidae) in India. </w:t>
      </w:r>
      <w:r w:rsidRPr="007746C5">
        <w:rPr>
          <w:i/>
          <w:iCs/>
        </w:rPr>
        <w:t>Zootaxa</w:t>
      </w:r>
      <w:r w:rsidRPr="007746C5">
        <w:t xml:space="preserve">, </w:t>
      </w:r>
      <w:r w:rsidRPr="007746C5">
        <w:rPr>
          <w:i/>
          <w:iCs/>
        </w:rPr>
        <w:t>5039</w:t>
      </w:r>
      <w:r w:rsidRPr="007746C5">
        <w:t>(4), 561–570. https://doi.org/10.11646/zootaxa.5039.4.7</w:t>
      </w:r>
    </w:p>
    <w:p w14:paraId="05875616" w14:textId="77777777" w:rsidR="007746C5" w:rsidRPr="007746C5" w:rsidRDefault="007746C5" w:rsidP="009A04E6">
      <w:pPr>
        <w:pStyle w:val="Bibliography"/>
        <w:spacing w:line="240" w:lineRule="auto"/>
      </w:pPr>
      <w:r w:rsidRPr="007746C5">
        <w:t xml:space="preserve">Jubase, N., Renteria, J. L., Maphisa, D., &amp; Van Wyk, E. (2019). </w:t>
      </w:r>
      <w:r w:rsidRPr="007746C5">
        <w:rPr>
          <w:i/>
          <w:iCs/>
        </w:rPr>
        <w:t>Asphodelus fistulous</w:t>
      </w:r>
      <w:r w:rsidRPr="007746C5">
        <w:t xml:space="preserve"> L., a newly discovered plant invader in South Africa: Assessing the risk of invasion and potential for eradication. </w:t>
      </w:r>
      <w:r w:rsidRPr="007746C5">
        <w:rPr>
          <w:i/>
          <w:iCs/>
        </w:rPr>
        <w:t>Bothalia</w:t>
      </w:r>
      <w:r w:rsidRPr="007746C5">
        <w:t xml:space="preserve">, </w:t>
      </w:r>
      <w:r w:rsidRPr="007746C5">
        <w:rPr>
          <w:i/>
          <w:iCs/>
        </w:rPr>
        <w:t>49</w:t>
      </w:r>
      <w:r w:rsidRPr="007746C5">
        <w:t>(1). https://doi.org/10.4102/abc.v49i1.2372</w:t>
      </w:r>
    </w:p>
    <w:p w14:paraId="33FE36CD" w14:textId="77777777" w:rsidR="007746C5" w:rsidRPr="007746C5" w:rsidRDefault="007746C5" w:rsidP="009A04E6">
      <w:pPr>
        <w:pStyle w:val="Bibliography"/>
        <w:spacing w:line="240" w:lineRule="auto"/>
      </w:pPr>
      <w:r w:rsidRPr="007746C5">
        <w:t xml:space="preserve">Julien, M. H., McFadyen, R. E., &amp; Cullen, J. M. (Eds.). (2012). </w:t>
      </w:r>
      <w:r w:rsidRPr="007746C5">
        <w:rPr>
          <w:i/>
          <w:iCs/>
        </w:rPr>
        <w:t>Biological control of weeds in Australia</w:t>
      </w:r>
      <w:r w:rsidRPr="007746C5">
        <w:t>. CSIRO Publishing. http://public.eblib.com/choice/publicfullrecord.aspx?p=871257</w:t>
      </w:r>
    </w:p>
    <w:p w14:paraId="3A8921C7" w14:textId="77777777" w:rsidR="007746C5" w:rsidRPr="007746C5" w:rsidRDefault="007746C5" w:rsidP="009A04E6">
      <w:pPr>
        <w:pStyle w:val="Bibliography"/>
        <w:spacing w:line="240" w:lineRule="auto"/>
      </w:pPr>
      <w:r w:rsidRPr="007746C5">
        <w:t xml:space="preserve">Julien, M. H., &amp; White, G. (1997). </w:t>
      </w:r>
      <w:r w:rsidRPr="007746C5">
        <w:rPr>
          <w:i/>
          <w:iCs/>
        </w:rPr>
        <w:t>Biological control of weeds: Theory and practical application</w:t>
      </w:r>
      <w:r w:rsidRPr="007746C5">
        <w:t xml:space="preserve"> (49; ACIAR Monograph Series, p. 192). Australian Centre for International Agricultural Research. https://www.aciar.gov.au/publication/biological-control-weeds-theory-and-practical-application</w:t>
      </w:r>
    </w:p>
    <w:p w14:paraId="39E197D3" w14:textId="77777777" w:rsidR="007746C5" w:rsidRPr="007746C5" w:rsidRDefault="007746C5" w:rsidP="009A04E6">
      <w:pPr>
        <w:pStyle w:val="Bibliography"/>
        <w:spacing w:line="240" w:lineRule="auto"/>
      </w:pPr>
      <w:r w:rsidRPr="007746C5">
        <w:t xml:space="preserve">Jurdak, R., Elfes, A., Kusy, B., Tews, A., Hu, W., Hernandez, E., Kottege, N., &amp; Sikka, P. (2015). Autonomous surveillance for biosecurity. </w:t>
      </w:r>
      <w:r w:rsidRPr="007746C5">
        <w:rPr>
          <w:i/>
          <w:iCs/>
        </w:rPr>
        <w:t>Trends in Biotechnology</w:t>
      </w:r>
      <w:r w:rsidRPr="007746C5">
        <w:t xml:space="preserve">, </w:t>
      </w:r>
      <w:r w:rsidRPr="007746C5">
        <w:rPr>
          <w:i/>
          <w:iCs/>
        </w:rPr>
        <w:t>33</w:t>
      </w:r>
      <w:r w:rsidRPr="007746C5">
        <w:t>(4), 201–207. https://doi.org/10.1016/j.tibtech.2015.01.003</w:t>
      </w:r>
    </w:p>
    <w:p w14:paraId="1E8A4CE6" w14:textId="77777777" w:rsidR="007746C5" w:rsidRPr="007746C5" w:rsidRDefault="007746C5" w:rsidP="009A04E6">
      <w:pPr>
        <w:pStyle w:val="Bibliography"/>
        <w:spacing w:line="240" w:lineRule="auto"/>
      </w:pPr>
      <w:r w:rsidRPr="007746C5">
        <w:t xml:space="preserve">Jurdak, R., Sommer, P., Kusy, B., Kottege, N., Crossman, C., Mckeown, A., &amp; Westcott, D. (2013). Camazotz: Multimodal activity-based GPS sampling. </w:t>
      </w:r>
      <w:r w:rsidRPr="007746C5">
        <w:rPr>
          <w:i/>
          <w:iCs/>
        </w:rPr>
        <w:t>Proceedings of the 12th International Conference on Information Processing in Sensor Networks</w:t>
      </w:r>
      <w:r w:rsidRPr="007746C5">
        <w:t>, 67–78. https://doi.org/10.1145/2461381.2461393</w:t>
      </w:r>
    </w:p>
    <w:p w14:paraId="3AB4E5D4" w14:textId="77777777" w:rsidR="007746C5" w:rsidRPr="007746C5" w:rsidRDefault="007746C5" w:rsidP="009A04E6">
      <w:pPr>
        <w:pStyle w:val="Bibliography"/>
        <w:spacing w:line="240" w:lineRule="auto"/>
      </w:pPr>
      <w:r w:rsidRPr="007746C5">
        <w:t>Kadoya, T., &amp; Washitani, I. (2010). Predicting the rate of range expansion of an invasive alien bumblebee (</w:t>
      </w:r>
      <w:r w:rsidRPr="007746C5">
        <w:rPr>
          <w:i/>
          <w:iCs/>
        </w:rPr>
        <w:t>Bombus terrestris</w:t>
      </w:r>
      <w:r w:rsidRPr="007746C5">
        <w:t xml:space="preserve">) using a stochastic spatio-temporal model. </w:t>
      </w:r>
      <w:r w:rsidRPr="007746C5">
        <w:rPr>
          <w:i/>
          <w:iCs/>
        </w:rPr>
        <w:t>Biological Conservation</w:t>
      </w:r>
      <w:r w:rsidRPr="007746C5">
        <w:t xml:space="preserve">, </w:t>
      </w:r>
      <w:r w:rsidRPr="007746C5">
        <w:rPr>
          <w:i/>
          <w:iCs/>
        </w:rPr>
        <w:t>143</w:t>
      </w:r>
      <w:r w:rsidRPr="007746C5">
        <w:t>(5), 1228–1235. https://doi.org/10.1016/j.biocon.2010.02.030</w:t>
      </w:r>
    </w:p>
    <w:p w14:paraId="48E1BA6D" w14:textId="77777777" w:rsidR="007746C5" w:rsidRPr="007746C5" w:rsidRDefault="007746C5" w:rsidP="009A04E6">
      <w:pPr>
        <w:pStyle w:val="Bibliography"/>
        <w:spacing w:line="240" w:lineRule="auto"/>
      </w:pPr>
      <w:r w:rsidRPr="007746C5">
        <w:t xml:space="preserve">Kah, M. (2015). Nanopesticides and Nanofertilizers: Emerging Contaminants or Opportunities for Risk Mitigation? </w:t>
      </w:r>
      <w:r w:rsidRPr="007746C5">
        <w:rPr>
          <w:i/>
          <w:iCs/>
        </w:rPr>
        <w:t>Frontiers in Chemistry</w:t>
      </w:r>
      <w:r w:rsidRPr="007746C5">
        <w:t xml:space="preserve">, </w:t>
      </w:r>
      <w:r w:rsidRPr="007746C5">
        <w:rPr>
          <w:i/>
          <w:iCs/>
        </w:rPr>
        <w:t>3</w:t>
      </w:r>
      <w:r w:rsidRPr="007746C5">
        <w:t>, 64. https://doi.org/10.3389/fchem.2015.00064</w:t>
      </w:r>
    </w:p>
    <w:p w14:paraId="16B9BB38" w14:textId="77777777" w:rsidR="007746C5" w:rsidRPr="007746C5" w:rsidRDefault="007746C5" w:rsidP="009A04E6">
      <w:pPr>
        <w:pStyle w:val="Bibliography"/>
        <w:spacing w:line="240" w:lineRule="auto"/>
      </w:pPr>
      <w:r w:rsidRPr="007746C5">
        <w:t xml:space="preserve">Kalaris, T., Fieselmann, D., Magarey, R., Colunga-Garcia, M., Roda, A., Hardie, D., Cogger, N., Hammond, N., Martin, P. A. T., &amp; Whittle, P. (2014). The Role of Surveillance Methods and Technologies in Plant Biosecurity. In G. Gordh &amp; S. McKirdy (Eds.), </w:t>
      </w:r>
      <w:r w:rsidRPr="007746C5">
        <w:rPr>
          <w:i/>
          <w:iCs/>
        </w:rPr>
        <w:t>The Handbook of Plant Biosecurity</w:t>
      </w:r>
      <w:r w:rsidRPr="007746C5">
        <w:t xml:space="preserve"> (pp. 309–337). Springer Netherlands. https://doi.org/10.1007/978-94-007-7365-3_11</w:t>
      </w:r>
    </w:p>
    <w:p w14:paraId="6E502217" w14:textId="77777777" w:rsidR="007746C5" w:rsidRPr="007746C5" w:rsidRDefault="007746C5" w:rsidP="009A04E6">
      <w:pPr>
        <w:pStyle w:val="Bibliography"/>
        <w:spacing w:line="240" w:lineRule="auto"/>
      </w:pPr>
      <w:r w:rsidRPr="007746C5">
        <w:t xml:space="preserve">Kalumanga, E. (2015). </w:t>
      </w:r>
      <w:r w:rsidRPr="007746C5">
        <w:rPr>
          <w:i/>
          <w:iCs/>
        </w:rPr>
        <w:t>Why Integrated Natural Resource Management in Malagarasi-Muyovozi Ramsar Site, Tanzania? : Insights from Ugalla Game Reserve</w:t>
      </w:r>
      <w:r w:rsidRPr="007746C5">
        <w:t>. http://urn.kb.se/resolve?urn=urn:nbn:se:su:diva-116284</w:t>
      </w:r>
    </w:p>
    <w:p w14:paraId="1338C8E4" w14:textId="77777777" w:rsidR="007746C5" w:rsidRPr="007746C5" w:rsidRDefault="007746C5" w:rsidP="009A04E6">
      <w:pPr>
        <w:pStyle w:val="Bibliography"/>
        <w:spacing w:line="240" w:lineRule="auto"/>
      </w:pPr>
      <w:r w:rsidRPr="007746C5">
        <w:lastRenderedPageBreak/>
        <w:t xml:space="preserve">Kalwij, J. M., Steyn, C., &amp; le Roux, P. C. (2014). Repeated monitoring as an effective early detection means: First records of naturalised </w:t>
      </w:r>
      <w:r w:rsidRPr="007746C5">
        <w:rPr>
          <w:i/>
          <w:iCs/>
        </w:rPr>
        <w:t>Solidago gigantea</w:t>
      </w:r>
      <w:r w:rsidRPr="007746C5">
        <w:t xml:space="preserve"> Aiton (Asteraceae) in southern Africa. </w:t>
      </w:r>
      <w:r w:rsidRPr="007746C5">
        <w:rPr>
          <w:i/>
          <w:iCs/>
        </w:rPr>
        <w:t>South African Journal of Botany</w:t>
      </w:r>
      <w:r w:rsidRPr="007746C5">
        <w:t xml:space="preserve">, </w:t>
      </w:r>
      <w:r w:rsidRPr="007746C5">
        <w:rPr>
          <w:i/>
          <w:iCs/>
        </w:rPr>
        <w:t>93</w:t>
      </w:r>
      <w:r w:rsidRPr="007746C5">
        <w:t>, 204–206. https://doi.org/10.1016/j.sajb.2014.04.013</w:t>
      </w:r>
    </w:p>
    <w:p w14:paraId="047F821D" w14:textId="77777777" w:rsidR="007746C5" w:rsidRPr="007746C5" w:rsidRDefault="007746C5" w:rsidP="009A04E6">
      <w:pPr>
        <w:pStyle w:val="Bibliography"/>
        <w:spacing w:line="240" w:lineRule="auto"/>
      </w:pPr>
      <w:r w:rsidRPr="007746C5">
        <w:t xml:space="preserve">Kamigawara, K., Nakai, K., Noma, N., Hieda, S., Sarat, E., Dutartre, A., Renals, T., Bullock, R., Haury, J., Bottner, B., &amp; Damien, J.-P. (2020). What kind of legislation can contribute to on-site management?: Comparative case studies on legislative developments in managing aquatic invasive alien plants in France, England, and Japan. </w:t>
      </w:r>
      <w:r w:rsidRPr="007746C5">
        <w:rPr>
          <w:i/>
          <w:iCs/>
        </w:rPr>
        <w:t>Journal of International Wildlife Law &amp; Policy</w:t>
      </w:r>
      <w:r w:rsidRPr="007746C5">
        <w:t xml:space="preserve">, </w:t>
      </w:r>
      <w:r w:rsidRPr="007746C5">
        <w:rPr>
          <w:i/>
          <w:iCs/>
        </w:rPr>
        <w:t>23</w:t>
      </w:r>
      <w:r w:rsidRPr="007746C5">
        <w:t>(2), 83–108. https://doi.org/10.1080/13880292.2020.1788778</w:t>
      </w:r>
    </w:p>
    <w:p w14:paraId="2AAF3740" w14:textId="77777777" w:rsidR="007746C5" w:rsidRPr="007746C5" w:rsidRDefault="007746C5" w:rsidP="009A04E6">
      <w:pPr>
        <w:pStyle w:val="Bibliography"/>
        <w:spacing w:line="240" w:lineRule="auto"/>
      </w:pPr>
      <w:r w:rsidRPr="007746C5">
        <w:t xml:space="preserve">Kanavy, D., &amp; Serr, M. (2017). </w:t>
      </w:r>
      <w:r w:rsidRPr="007746C5">
        <w:rPr>
          <w:i/>
          <w:iCs/>
        </w:rPr>
        <w:t>Sry</w:t>
      </w:r>
      <w:r w:rsidRPr="007746C5">
        <w:t xml:space="preserve"> gene drive for rodent control: Reply to Gemmell and Tompkins. </w:t>
      </w:r>
      <w:r w:rsidRPr="007746C5">
        <w:rPr>
          <w:i/>
          <w:iCs/>
        </w:rPr>
        <w:t>Trends in Ecology &amp; Evolution</w:t>
      </w:r>
      <w:r w:rsidRPr="007746C5">
        <w:t xml:space="preserve">, </w:t>
      </w:r>
      <w:r w:rsidRPr="007746C5">
        <w:rPr>
          <w:i/>
          <w:iCs/>
        </w:rPr>
        <w:t>32</w:t>
      </w:r>
      <w:r w:rsidRPr="007746C5">
        <w:t>(5), 315–316. https://doi.org/10.1016/j.tree.2017.03.006</w:t>
      </w:r>
    </w:p>
    <w:p w14:paraId="1EE76C3E" w14:textId="77777777" w:rsidR="007746C5" w:rsidRPr="007746C5" w:rsidRDefault="007746C5" w:rsidP="009A04E6">
      <w:pPr>
        <w:pStyle w:val="Bibliography"/>
        <w:spacing w:line="240" w:lineRule="auto"/>
      </w:pPr>
      <w:r w:rsidRPr="007746C5">
        <w:t xml:space="preserve">Kannan, R., Shackleton, C. M., Krishnan, S., &amp; Shaanker, R. U. (2016). Can local use assist in controlling invasive alien species in tropical forests? The case of </w:t>
      </w:r>
      <w:r w:rsidRPr="007746C5">
        <w:rPr>
          <w:i/>
          <w:iCs/>
        </w:rPr>
        <w:t>Lantana camara</w:t>
      </w:r>
      <w:r w:rsidRPr="007746C5">
        <w:t xml:space="preserve"> in southern India. </w:t>
      </w:r>
      <w:r w:rsidRPr="007746C5">
        <w:rPr>
          <w:i/>
          <w:iCs/>
        </w:rPr>
        <w:t>Forest Ecology and Management</w:t>
      </w:r>
      <w:r w:rsidRPr="007746C5">
        <w:t xml:space="preserve">, </w:t>
      </w:r>
      <w:r w:rsidRPr="007746C5">
        <w:rPr>
          <w:i/>
          <w:iCs/>
        </w:rPr>
        <w:t>376</w:t>
      </w:r>
      <w:r w:rsidRPr="007746C5">
        <w:t>, 166–173. https://doi.org/10.1016/j.foreco.2016.06.016</w:t>
      </w:r>
    </w:p>
    <w:p w14:paraId="2F303FC5" w14:textId="77777777" w:rsidR="007746C5" w:rsidRPr="007746C5" w:rsidRDefault="007746C5" w:rsidP="009A04E6">
      <w:pPr>
        <w:pStyle w:val="Bibliography"/>
        <w:spacing w:line="240" w:lineRule="auto"/>
      </w:pPr>
      <w:r w:rsidRPr="007746C5">
        <w:t xml:space="preserve">Kansiime, M. K., Mugambi, I., Rwomushana, I., Nunda, W., </w:t>
      </w:r>
      <w:r w:rsidRPr="007746C5">
        <w:rPr>
          <w:rFonts w:hint="eastAsia"/>
        </w:rPr>
        <w:t>Lamontagne</w:t>
      </w:r>
      <w:r w:rsidRPr="007746C5">
        <w:rPr>
          <w:rFonts w:hint="eastAsia"/>
        </w:rPr>
        <w:t>‐</w:t>
      </w:r>
      <w:r w:rsidRPr="007746C5">
        <w:rPr>
          <w:rFonts w:hint="eastAsia"/>
        </w:rPr>
        <w:t>Godwin,</w:t>
      </w:r>
      <w:r w:rsidRPr="007746C5">
        <w:t xml:space="preserve"> J., Rware, H., Phiri, N. A., Chipabika, G., Ndlovu, M., &amp; Day, R. (2019). Farmer perception of fall armyworm (</w:t>
      </w:r>
      <w:r w:rsidRPr="007746C5">
        <w:rPr>
          <w:i/>
          <w:iCs/>
        </w:rPr>
        <w:t>Spodoptera frugiderda</w:t>
      </w:r>
      <w:r w:rsidRPr="007746C5">
        <w:rPr>
          <w:rFonts w:hint="eastAsia"/>
        </w:rPr>
        <w:t xml:space="preserve"> J.E. Smith) and farm</w:t>
      </w:r>
      <w:r w:rsidRPr="007746C5">
        <w:rPr>
          <w:rFonts w:hint="eastAsia"/>
        </w:rPr>
        <w:t>‐</w:t>
      </w:r>
      <w:r w:rsidRPr="007746C5">
        <w:rPr>
          <w:rFonts w:hint="eastAsia"/>
        </w:rPr>
        <w:t xml:space="preserve">level management practices in Zambia. </w:t>
      </w:r>
      <w:r w:rsidRPr="007746C5">
        <w:rPr>
          <w:i/>
          <w:iCs/>
        </w:rPr>
        <w:t>Pest Management Science</w:t>
      </w:r>
      <w:r w:rsidRPr="007746C5">
        <w:t xml:space="preserve">, </w:t>
      </w:r>
      <w:r w:rsidRPr="007746C5">
        <w:rPr>
          <w:i/>
          <w:iCs/>
        </w:rPr>
        <w:t>75</w:t>
      </w:r>
      <w:r w:rsidRPr="007746C5">
        <w:t>(10), 2840–2850. https://doi.org/10.1002/ps.5504</w:t>
      </w:r>
    </w:p>
    <w:p w14:paraId="690B39B6" w14:textId="77777777" w:rsidR="007746C5" w:rsidRPr="007746C5" w:rsidRDefault="007746C5" w:rsidP="009A04E6">
      <w:pPr>
        <w:pStyle w:val="Bibliography"/>
        <w:spacing w:line="240" w:lineRule="auto"/>
      </w:pPr>
      <w:r w:rsidRPr="007746C5">
        <w:t xml:space="preserve">Karl, B. J., &amp; Best, H. A. (1982). Feral cats on Stewart Island; their foods, and their effects on kakapo. </w:t>
      </w:r>
      <w:r w:rsidRPr="007746C5">
        <w:rPr>
          <w:i/>
          <w:iCs/>
        </w:rPr>
        <w:t>New Zealand Journal of Zoology</w:t>
      </w:r>
      <w:r w:rsidRPr="007746C5">
        <w:t xml:space="preserve">, </w:t>
      </w:r>
      <w:r w:rsidRPr="007746C5">
        <w:rPr>
          <w:i/>
          <w:iCs/>
        </w:rPr>
        <w:t>9</w:t>
      </w:r>
      <w:r w:rsidRPr="007746C5">
        <w:t>(2), 287–293. https://doi.org/10.1080/03014223.1982.10423857</w:t>
      </w:r>
    </w:p>
    <w:p w14:paraId="6EB1F074" w14:textId="77777777" w:rsidR="007746C5" w:rsidRPr="007746C5" w:rsidRDefault="007746C5" w:rsidP="009A04E6">
      <w:pPr>
        <w:pStyle w:val="Bibliography"/>
        <w:spacing w:line="240" w:lineRule="auto"/>
      </w:pPr>
      <w:r w:rsidRPr="007746C5">
        <w:t xml:space="preserve">Kati, V., Hovardas, T., Dieterich, M., Ibisch, P. L., Mihok, B., &amp; Selva, N. (2015). The challenge of implementing the European network of protected areas Natura 2000. </w:t>
      </w:r>
      <w:r w:rsidRPr="007746C5">
        <w:rPr>
          <w:i/>
          <w:iCs/>
        </w:rPr>
        <w:t>Conservation Biology</w:t>
      </w:r>
      <w:r w:rsidRPr="007746C5">
        <w:t xml:space="preserve">, </w:t>
      </w:r>
      <w:r w:rsidRPr="007746C5">
        <w:rPr>
          <w:i/>
          <w:iCs/>
        </w:rPr>
        <w:t>29</w:t>
      </w:r>
      <w:r w:rsidRPr="007746C5">
        <w:t>(1), 260–270. https://doi.org/10.1111/cobi.12366</w:t>
      </w:r>
    </w:p>
    <w:p w14:paraId="3B627D37" w14:textId="77777777" w:rsidR="007746C5" w:rsidRPr="007746C5" w:rsidRDefault="007746C5" w:rsidP="009A04E6">
      <w:pPr>
        <w:pStyle w:val="Bibliography"/>
        <w:spacing w:line="240" w:lineRule="auto"/>
      </w:pPr>
      <w:r w:rsidRPr="007746C5">
        <w:t xml:space="preserve">Katsanevakis, S., Genovesi, P., Gaiji, S., Hvid, H. N., Roy, H. E., Nunes, A. L., Aguado, F. S., Bogucarskis, K., Debusscher, B., Deriu, I., Harrower, C., Josefsson, M., Lucy, F., Marchini, A., Richards, G., Trichkova, T., Vanderhoeven, S., Zenetos, A., &amp; Cardoso, A. C. (2013). Implementing the European policies for alien species – networking, science, and partnership in a complex environment. </w:t>
      </w:r>
      <w:r w:rsidRPr="007746C5">
        <w:rPr>
          <w:i/>
          <w:iCs/>
        </w:rPr>
        <w:t>Management of Biological Invasions</w:t>
      </w:r>
      <w:r w:rsidRPr="007746C5">
        <w:t xml:space="preserve">, </w:t>
      </w:r>
      <w:r w:rsidRPr="007746C5">
        <w:rPr>
          <w:i/>
          <w:iCs/>
        </w:rPr>
        <w:t>4</w:t>
      </w:r>
      <w:r w:rsidRPr="007746C5">
        <w:t>(1), 3–6. https://doi.org/10.3391/mbi.2013.4.1.02</w:t>
      </w:r>
    </w:p>
    <w:p w14:paraId="4C6A702F" w14:textId="77777777" w:rsidR="007746C5" w:rsidRPr="007746C5" w:rsidRDefault="007746C5" w:rsidP="009A04E6">
      <w:pPr>
        <w:pStyle w:val="Bibliography"/>
        <w:spacing w:line="240" w:lineRule="auto"/>
      </w:pPr>
      <w:r w:rsidRPr="007746C5">
        <w:t xml:space="preserve">Kaufmann, J. C. (2004). Prickly Pear Cactus and Pastoralism in Southwest Madagascar. </w:t>
      </w:r>
      <w:r w:rsidRPr="007746C5">
        <w:rPr>
          <w:i/>
          <w:iCs/>
        </w:rPr>
        <w:t>Ethnology</w:t>
      </w:r>
      <w:r w:rsidRPr="007746C5">
        <w:t xml:space="preserve">, </w:t>
      </w:r>
      <w:r w:rsidRPr="007746C5">
        <w:rPr>
          <w:i/>
          <w:iCs/>
        </w:rPr>
        <w:t>43</w:t>
      </w:r>
      <w:r w:rsidRPr="007746C5">
        <w:t>(4), 345–361. https://doi.org/10.2307/3774032</w:t>
      </w:r>
    </w:p>
    <w:p w14:paraId="2A5EA6AC" w14:textId="77777777" w:rsidR="007746C5" w:rsidRPr="007746C5" w:rsidRDefault="007746C5" w:rsidP="009A04E6">
      <w:pPr>
        <w:pStyle w:val="Bibliography"/>
        <w:spacing w:line="240" w:lineRule="auto"/>
      </w:pPr>
      <w:r w:rsidRPr="007746C5">
        <w:t xml:space="preserve">Kay, B. H., &amp; Russell, R. C. (Eds.). (2013). </w:t>
      </w:r>
      <w:r w:rsidRPr="007746C5">
        <w:rPr>
          <w:i/>
          <w:iCs/>
        </w:rPr>
        <w:t>Mosquito Eradication: The story of killing Campto</w:t>
      </w:r>
      <w:r w:rsidRPr="007746C5">
        <w:t>. CSIRO Publishing.</w:t>
      </w:r>
    </w:p>
    <w:p w14:paraId="0C2CE808" w14:textId="77777777" w:rsidR="007746C5" w:rsidRPr="007746C5" w:rsidRDefault="007746C5" w:rsidP="009A04E6">
      <w:pPr>
        <w:pStyle w:val="Bibliography"/>
        <w:spacing w:line="240" w:lineRule="auto"/>
      </w:pPr>
      <w:r w:rsidRPr="007746C5">
        <w:t xml:space="preserve">Keanly, C., &amp; Robinson, T. B. (2020). Encapsulation as a biosecurity tool for managing fouling on recreational vessels. </w:t>
      </w:r>
      <w:r w:rsidRPr="007746C5">
        <w:rPr>
          <w:i/>
          <w:iCs/>
        </w:rPr>
        <w:t>Aquatic Invasions</w:t>
      </w:r>
      <w:r w:rsidRPr="007746C5">
        <w:t xml:space="preserve">, </w:t>
      </w:r>
      <w:r w:rsidRPr="007746C5">
        <w:rPr>
          <w:i/>
          <w:iCs/>
        </w:rPr>
        <w:t>15</w:t>
      </w:r>
      <w:r w:rsidRPr="007746C5">
        <w:t>(1), 81–97. https://doi.org/10.3391/ai.2020.15.1.06</w:t>
      </w:r>
    </w:p>
    <w:p w14:paraId="31CE42B0" w14:textId="77777777" w:rsidR="007746C5" w:rsidRPr="007746C5" w:rsidRDefault="007746C5" w:rsidP="009A04E6">
      <w:pPr>
        <w:pStyle w:val="Bibliography"/>
        <w:spacing w:line="240" w:lineRule="auto"/>
      </w:pPr>
      <w:r w:rsidRPr="007746C5">
        <w:t>Keeling, M. J., Franklin, D. N., Datta, S., Brown, M. A., &amp; Budge, G. E. (2017). Predicting the spread of the Asian hornet (</w:t>
      </w:r>
      <w:r w:rsidRPr="007746C5">
        <w:rPr>
          <w:i/>
          <w:iCs/>
        </w:rPr>
        <w:t>Vespa velutina</w:t>
      </w:r>
      <w:r w:rsidRPr="007746C5">
        <w:t xml:space="preserve">) following its incursion into Great Britain. </w:t>
      </w:r>
      <w:r w:rsidRPr="007746C5">
        <w:rPr>
          <w:i/>
          <w:iCs/>
        </w:rPr>
        <w:t>Scientific Reports</w:t>
      </w:r>
      <w:r w:rsidRPr="007746C5">
        <w:t xml:space="preserve">, </w:t>
      </w:r>
      <w:r w:rsidRPr="007746C5">
        <w:rPr>
          <w:i/>
          <w:iCs/>
        </w:rPr>
        <w:t>7</w:t>
      </w:r>
      <w:r w:rsidRPr="007746C5">
        <w:t>(1), 6240. https://doi.org/10.1038/s41598-017-06212-0</w:t>
      </w:r>
    </w:p>
    <w:p w14:paraId="50E1343A" w14:textId="77777777" w:rsidR="007746C5" w:rsidRPr="007746C5" w:rsidRDefault="007746C5" w:rsidP="009A04E6">
      <w:pPr>
        <w:pStyle w:val="Bibliography"/>
        <w:spacing w:line="240" w:lineRule="auto"/>
      </w:pPr>
      <w:r w:rsidRPr="007746C5">
        <w:t xml:space="preserve">Keith, I., Dawson, T. P., Collins, K. J., &amp; Campbell, M. L. (2016). Marine invasive species: Establishing pathways, their presence and potential threats in the Galapagos Marine Reserve. </w:t>
      </w:r>
      <w:r w:rsidRPr="007746C5">
        <w:rPr>
          <w:i/>
          <w:iCs/>
        </w:rPr>
        <w:t>Pacific Conservation Biology</w:t>
      </w:r>
      <w:r w:rsidRPr="007746C5">
        <w:t xml:space="preserve">, </w:t>
      </w:r>
      <w:r w:rsidRPr="007746C5">
        <w:rPr>
          <w:i/>
          <w:iCs/>
        </w:rPr>
        <w:t>22</w:t>
      </w:r>
      <w:r w:rsidRPr="007746C5">
        <w:t>(4), 377–385. https://doi.org/10.1071/PC15020</w:t>
      </w:r>
    </w:p>
    <w:p w14:paraId="6A9D6A30" w14:textId="77777777" w:rsidR="007746C5" w:rsidRPr="007746C5" w:rsidRDefault="007746C5" w:rsidP="009A04E6">
      <w:pPr>
        <w:pStyle w:val="Bibliography"/>
        <w:spacing w:line="240" w:lineRule="auto"/>
      </w:pPr>
      <w:r w:rsidRPr="007746C5">
        <w:t xml:space="preserve">Keith, J. M., &amp; Spring, D. (2013). Agent-based Bayesian approach to monitoring the progress of invasive species eradication programs. </w:t>
      </w:r>
      <w:r w:rsidRPr="007746C5">
        <w:rPr>
          <w:i/>
          <w:iCs/>
        </w:rPr>
        <w:t>Proceedings of the National Academy of Sciences</w:t>
      </w:r>
      <w:r w:rsidRPr="007746C5">
        <w:t xml:space="preserve">, </w:t>
      </w:r>
      <w:r w:rsidRPr="007746C5">
        <w:rPr>
          <w:i/>
          <w:iCs/>
        </w:rPr>
        <w:t>110</w:t>
      </w:r>
      <w:r w:rsidRPr="007746C5">
        <w:t>(33), 13428–13433. https://doi.org/10.1073/pnas.1216146110</w:t>
      </w:r>
    </w:p>
    <w:p w14:paraId="33FF9A77" w14:textId="77777777" w:rsidR="007746C5" w:rsidRPr="007746C5" w:rsidRDefault="007746C5" w:rsidP="009A04E6">
      <w:pPr>
        <w:pStyle w:val="Bibliography"/>
        <w:spacing w:line="240" w:lineRule="auto"/>
      </w:pPr>
      <w:r w:rsidRPr="007746C5">
        <w:t xml:space="preserve">Keller, R. P., Frang, K., &amp; Lodge, D. M. (2008). Preventing the Spread of Invasive Species: Economic Benefits of Intervention Guided by Ecological Predictions: </w:t>
      </w:r>
      <w:r w:rsidRPr="007746C5">
        <w:rPr>
          <w:i/>
          <w:iCs/>
        </w:rPr>
        <w:t>Economic Benefits of Invasion Prevention</w:t>
      </w:r>
      <w:r w:rsidRPr="007746C5">
        <w:t xml:space="preserve">. </w:t>
      </w:r>
      <w:r w:rsidRPr="007746C5">
        <w:rPr>
          <w:i/>
          <w:iCs/>
        </w:rPr>
        <w:t>Conservation Biology</w:t>
      </w:r>
      <w:r w:rsidRPr="007746C5">
        <w:t xml:space="preserve">, </w:t>
      </w:r>
      <w:r w:rsidRPr="007746C5">
        <w:rPr>
          <w:i/>
          <w:iCs/>
        </w:rPr>
        <w:t>22</w:t>
      </w:r>
      <w:r w:rsidRPr="007746C5">
        <w:t>(1), 80–88. https://doi.org/10.1111/j.1523-1739.2007.00811.x</w:t>
      </w:r>
    </w:p>
    <w:p w14:paraId="6FD597B3" w14:textId="77777777" w:rsidR="007746C5" w:rsidRPr="007746C5" w:rsidRDefault="007746C5" w:rsidP="009A04E6">
      <w:pPr>
        <w:pStyle w:val="Bibliography"/>
        <w:spacing w:line="240" w:lineRule="auto"/>
      </w:pPr>
      <w:r w:rsidRPr="007746C5">
        <w:lastRenderedPageBreak/>
        <w:t xml:space="preserve">Kellner, J. R., Asner, G. P., Kinney, K. M., Loarie, S. R., Knapp, D. E., Kennedy-Bowdoin, T., Questad, E. J., Cordell, S., &amp; Thaxton, J. M. (2011). Remote analysis of biological invasion and the impact of enemy release. </w:t>
      </w:r>
      <w:r w:rsidRPr="007746C5">
        <w:rPr>
          <w:i/>
          <w:iCs/>
        </w:rPr>
        <w:t>Ecological Applications: A Publication of the Ecological Society of America</w:t>
      </w:r>
      <w:r w:rsidRPr="007746C5">
        <w:t xml:space="preserve">, </w:t>
      </w:r>
      <w:r w:rsidRPr="007746C5">
        <w:rPr>
          <w:i/>
          <w:iCs/>
        </w:rPr>
        <w:t>21</w:t>
      </w:r>
      <w:r w:rsidRPr="007746C5">
        <w:t>(6), 2094–2104. https://doi.org/10.1890/10-0859.1</w:t>
      </w:r>
    </w:p>
    <w:p w14:paraId="7029B160" w14:textId="77777777" w:rsidR="007746C5" w:rsidRPr="007746C5" w:rsidRDefault="007746C5" w:rsidP="009A04E6">
      <w:pPr>
        <w:pStyle w:val="Bibliography"/>
        <w:spacing w:line="240" w:lineRule="auto"/>
      </w:pPr>
      <w:r w:rsidRPr="007746C5">
        <w:t xml:space="preserve">Kelsch, A., Takahashi, Y., Dasgupta, R., Mader, A. D., Johnson, B. A., &amp; Kumar, P. (2020). Invasive alien species and local communities in socio-ecological production landscapes and seascapes: A systematic review and analysis. </w:t>
      </w:r>
      <w:r w:rsidRPr="007746C5">
        <w:rPr>
          <w:i/>
          <w:iCs/>
        </w:rPr>
        <w:t>Environmental Science &amp; Policy</w:t>
      </w:r>
      <w:r w:rsidRPr="007746C5">
        <w:t xml:space="preserve">, </w:t>
      </w:r>
      <w:r w:rsidRPr="007746C5">
        <w:rPr>
          <w:i/>
          <w:iCs/>
        </w:rPr>
        <w:t>112</w:t>
      </w:r>
      <w:r w:rsidRPr="007746C5">
        <w:t>, 275–281. https://doi.org/10.1016/j.envsci.2020.06.014</w:t>
      </w:r>
    </w:p>
    <w:p w14:paraId="0A8699C1" w14:textId="77777777" w:rsidR="007746C5" w:rsidRPr="007746C5" w:rsidRDefault="007746C5" w:rsidP="009A04E6">
      <w:pPr>
        <w:pStyle w:val="Bibliography"/>
        <w:spacing w:line="240" w:lineRule="auto"/>
      </w:pPr>
      <w:r w:rsidRPr="007746C5">
        <w:t xml:space="preserve">Kenis, M., Li, H., Fan, J., Courtial, B., Auger-Rozenberg, M.-A., Yart, A., Eschen, R., &amp; Roques, A. (2018). Sentinel nurseries to assess the phytosanitary risks from insect pests on importations of live plants. </w:t>
      </w:r>
      <w:r w:rsidRPr="007746C5">
        <w:rPr>
          <w:i/>
          <w:iCs/>
        </w:rPr>
        <w:t>Scientific Reports</w:t>
      </w:r>
      <w:r w:rsidRPr="007746C5">
        <w:t xml:space="preserve">, </w:t>
      </w:r>
      <w:r w:rsidRPr="007746C5">
        <w:rPr>
          <w:i/>
          <w:iCs/>
        </w:rPr>
        <w:t>8</w:t>
      </w:r>
      <w:r w:rsidRPr="007746C5">
        <w:t>(1), 11217. https://doi.org/10.1038/s41598-018-29551-y</w:t>
      </w:r>
    </w:p>
    <w:p w14:paraId="68C5278D" w14:textId="77777777" w:rsidR="007746C5" w:rsidRPr="007746C5" w:rsidRDefault="007746C5" w:rsidP="009A04E6">
      <w:pPr>
        <w:pStyle w:val="Bibliography"/>
        <w:spacing w:line="240" w:lineRule="auto"/>
      </w:pPr>
      <w:r w:rsidRPr="007746C5">
        <w:t xml:space="preserve">Kettenring, K. M., &amp; Adams, C. R. (2011). Lessons learned from invasive plant control experiments: A systematic review and meta-analysis. </w:t>
      </w:r>
      <w:r w:rsidRPr="007746C5">
        <w:rPr>
          <w:i/>
          <w:iCs/>
        </w:rPr>
        <w:t>Journal of Applied Ecology</w:t>
      </w:r>
      <w:r w:rsidRPr="007746C5">
        <w:t xml:space="preserve">, </w:t>
      </w:r>
      <w:r w:rsidRPr="007746C5">
        <w:rPr>
          <w:i/>
          <w:iCs/>
        </w:rPr>
        <w:t>48</w:t>
      </w:r>
      <w:r w:rsidRPr="007746C5">
        <w:t>(4), 970–979. https://doi.org/10.1111/j.1365-2664.2011.01979.x</w:t>
      </w:r>
    </w:p>
    <w:p w14:paraId="6E8B2D07" w14:textId="77777777" w:rsidR="007746C5" w:rsidRPr="007746C5" w:rsidRDefault="007746C5" w:rsidP="009A04E6">
      <w:pPr>
        <w:pStyle w:val="Bibliography"/>
        <w:spacing w:line="240" w:lineRule="auto"/>
      </w:pPr>
      <w:r w:rsidRPr="007746C5">
        <w:t xml:space="preserve">Kgori, P. M., Modo, S., &amp; Torr, S. J. (2006). The use of aerial spraying to eliminate tsetse from the Okavango Delta of Botswana. </w:t>
      </w:r>
      <w:r w:rsidRPr="007746C5">
        <w:rPr>
          <w:i/>
          <w:iCs/>
        </w:rPr>
        <w:t>Acta Tropica</w:t>
      </w:r>
      <w:r w:rsidRPr="007746C5">
        <w:t xml:space="preserve">, </w:t>
      </w:r>
      <w:r w:rsidRPr="007746C5">
        <w:rPr>
          <w:i/>
          <w:iCs/>
        </w:rPr>
        <w:t>99</w:t>
      </w:r>
      <w:r w:rsidRPr="007746C5">
        <w:t>(2), 184–199. https://doi.org/10.1016/j.actatropica.2006.07.007</w:t>
      </w:r>
    </w:p>
    <w:p w14:paraId="6C4B5974" w14:textId="77777777" w:rsidR="007746C5" w:rsidRPr="007746C5" w:rsidRDefault="007746C5" w:rsidP="009A04E6">
      <w:pPr>
        <w:pStyle w:val="Bibliography"/>
        <w:spacing w:line="240" w:lineRule="auto"/>
      </w:pPr>
      <w:r w:rsidRPr="007746C5">
        <w:t xml:space="preserve">Khajuria, C., Ivashuta, S., Wiggins, E., Flagel, L., Moar, W., Pleau, M., Miller, K., Zhang, Y., Ramaseshadri, P., Jiang, C., Hodge, T., Jensen, P., Chen, M., Gowda, A., McNulty, B., Vazquez, C., Bolognesi, R., Haas, J., Head, G., &amp; Clark, T. (2018). Development and characterization of the first dsRNA-resistant insect population from western corn rootworm, </w:t>
      </w:r>
      <w:r w:rsidRPr="007746C5">
        <w:rPr>
          <w:i/>
          <w:iCs/>
        </w:rPr>
        <w:t>Diabrotica virgifera virgifera</w:t>
      </w:r>
      <w:r w:rsidRPr="007746C5">
        <w:t xml:space="preserve"> LeConte. </w:t>
      </w:r>
      <w:r w:rsidRPr="007746C5">
        <w:rPr>
          <w:i/>
          <w:iCs/>
        </w:rPr>
        <w:t>PLoS ONE</w:t>
      </w:r>
      <w:r w:rsidRPr="007746C5">
        <w:t xml:space="preserve">, </w:t>
      </w:r>
      <w:r w:rsidRPr="007746C5">
        <w:rPr>
          <w:i/>
          <w:iCs/>
        </w:rPr>
        <w:t>13</w:t>
      </w:r>
      <w:r w:rsidRPr="007746C5">
        <w:t>(5), e0197059. https://doi.org/10.1371/journal.pone.0197059</w:t>
      </w:r>
    </w:p>
    <w:p w14:paraId="21B3B758" w14:textId="77777777" w:rsidR="007746C5" w:rsidRPr="007746C5" w:rsidRDefault="007746C5" w:rsidP="009A04E6">
      <w:pPr>
        <w:pStyle w:val="Bibliography"/>
        <w:spacing w:line="240" w:lineRule="auto"/>
      </w:pPr>
      <w:r w:rsidRPr="007746C5">
        <w:t xml:space="preserve">Kim, D. H., &amp; Rossi, J. J. (2008). RNAi mechanisms and applications. </w:t>
      </w:r>
      <w:r w:rsidRPr="007746C5">
        <w:rPr>
          <w:i/>
          <w:iCs/>
        </w:rPr>
        <w:t>BioTechniques</w:t>
      </w:r>
      <w:r w:rsidRPr="007746C5">
        <w:t xml:space="preserve">, </w:t>
      </w:r>
      <w:r w:rsidRPr="007746C5">
        <w:rPr>
          <w:i/>
          <w:iCs/>
        </w:rPr>
        <w:t>44</w:t>
      </w:r>
      <w:r w:rsidRPr="007746C5">
        <w:t>(5), 613–616. https://doi.org/10.2144/000112792</w:t>
      </w:r>
    </w:p>
    <w:p w14:paraId="068D7CB8" w14:textId="77777777" w:rsidR="007746C5" w:rsidRPr="007746C5" w:rsidRDefault="007746C5" w:rsidP="009A04E6">
      <w:pPr>
        <w:pStyle w:val="Bibliography"/>
        <w:spacing w:line="240" w:lineRule="auto"/>
      </w:pPr>
      <w:r w:rsidRPr="007746C5">
        <w:t xml:space="preserve">Kim, J. H. K., Corson, P., Mulgan, N., &amp; Russell, J. C. (2020). Rapid eradication assessment (REA): A tool for pest absence confirmation. </w:t>
      </w:r>
      <w:r w:rsidRPr="007746C5">
        <w:rPr>
          <w:i/>
          <w:iCs/>
        </w:rPr>
        <w:t>Wildlife Research</w:t>
      </w:r>
      <w:r w:rsidRPr="007746C5">
        <w:t xml:space="preserve">, </w:t>
      </w:r>
      <w:r w:rsidRPr="007746C5">
        <w:rPr>
          <w:i/>
          <w:iCs/>
        </w:rPr>
        <w:t>47</w:t>
      </w:r>
      <w:r w:rsidRPr="007746C5">
        <w:t>(2), 128–136. https://doi.org/10.1071/WR18154</w:t>
      </w:r>
    </w:p>
    <w:p w14:paraId="7CF658D6" w14:textId="77777777" w:rsidR="007746C5" w:rsidRPr="007746C5" w:rsidRDefault="007746C5" w:rsidP="009A04E6">
      <w:pPr>
        <w:pStyle w:val="Bibliography"/>
        <w:spacing w:line="240" w:lineRule="auto"/>
      </w:pPr>
      <w:r w:rsidRPr="007746C5">
        <w:t>King, C. M., &amp; Powell, R. A. (2011). Managing an invasive predator pre-adapted to a pulsed resource: A model of stoat (</w:t>
      </w:r>
      <w:r w:rsidRPr="007746C5">
        <w:rPr>
          <w:i/>
          <w:iCs/>
        </w:rPr>
        <w:t>Mustela erminea</w:t>
      </w:r>
      <w:r w:rsidRPr="007746C5">
        <w:t xml:space="preserve">) irruptions in New Zealand beech forests. </w:t>
      </w:r>
      <w:r w:rsidRPr="007746C5">
        <w:rPr>
          <w:i/>
          <w:iCs/>
        </w:rPr>
        <w:t>Biological Invasions</w:t>
      </w:r>
      <w:r w:rsidRPr="007746C5">
        <w:t xml:space="preserve">, </w:t>
      </w:r>
      <w:r w:rsidRPr="007746C5">
        <w:rPr>
          <w:i/>
          <w:iCs/>
        </w:rPr>
        <w:t>13</w:t>
      </w:r>
      <w:r w:rsidRPr="007746C5">
        <w:t>(12), 3039–3055. https://doi.org/10.1007/s10530-011-9993-y</w:t>
      </w:r>
    </w:p>
    <w:p w14:paraId="11BAFA36" w14:textId="77777777" w:rsidR="007746C5" w:rsidRPr="007746C5" w:rsidRDefault="007746C5" w:rsidP="009A04E6">
      <w:pPr>
        <w:pStyle w:val="Bibliography"/>
        <w:spacing w:line="240" w:lineRule="auto"/>
      </w:pPr>
      <w:r w:rsidRPr="007746C5">
        <w:t xml:space="preserve">King, S., Drlik, T., Simon, L., &amp; Quarles, W. (1996). Integrated weed management of gorse. </w:t>
      </w:r>
      <w:r w:rsidRPr="007746C5">
        <w:rPr>
          <w:i/>
          <w:iCs/>
        </w:rPr>
        <w:t>IPM Practitioner</w:t>
      </w:r>
      <w:r w:rsidRPr="007746C5">
        <w:t xml:space="preserve">, </w:t>
      </w:r>
      <w:r w:rsidRPr="007746C5">
        <w:rPr>
          <w:i/>
          <w:iCs/>
        </w:rPr>
        <w:t>18</w:t>
      </w:r>
      <w:r w:rsidRPr="007746C5">
        <w:t>(10), pp.1-9. https://www.cabdirect.org/cabdirect/abstract/19962302800</w:t>
      </w:r>
    </w:p>
    <w:p w14:paraId="4D1DB5D2" w14:textId="77777777" w:rsidR="007746C5" w:rsidRPr="007746C5" w:rsidRDefault="007746C5" w:rsidP="009A04E6">
      <w:pPr>
        <w:pStyle w:val="Bibliography"/>
        <w:spacing w:line="240" w:lineRule="auto"/>
      </w:pPr>
      <w:r w:rsidRPr="007746C5">
        <w:t xml:space="preserve">Kinney, G. F., &amp; Wiruth, A. D. (1976). </w:t>
      </w:r>
      <w:r w:rsidRPr="007746C5">
        <w:rPr>
          <w:i/>
          <w:iCs/>
        </w:rPr>
        <w:t>Practical Risk Analysis for Safety Management</w:t>
      </w:r>
      <w:r w:rsidRPr="007746C5">
        <w:t>. Naval Weapons Center, China Lake, CA,. https://www.researchgate.net/profile/Guibert-Crevecoeur/post/What-is-the-unification-theory-of-safety-science/attachment/59d6252c79197b80779837dc/AS%3A316678640996352%401452513479333/download/Basic_Kinney_article.pdf</w:t>
      </w:r>
    </w:p>
    <w:p w14:paraId="07D508B8" w14:textId="77777777" w:rsidR="007746C5" w:rsidRPr="007746C5" w:rsidRDefault="007746C5" w:rsidP="009A04E6">
      <w:pPr>
        <w:pStyle w:val="Bibliography"/>
        <w:spacing w:line="240" w:lineRule="auto"/>
      </w:pPr>
      <w:r w:rsidRPr="007746C5">
        <w:t xml:space="preserve">Kirk, N., Kannemeyer, R., Greenaway, A., MacDonald, E., &amp; Stronge, D. (2019). Understanding attitudes on new technologies to manage invasive species. </w:t>
      </w:r>
      <w:r w:rsidRPr="007746C5">
        <w:rPr>
          <w:i/>
          <w:iCs/>
        </w:rPr>
        <w:t>Pacific Conservation Biology</w:t>
      </w:r>
      <w:r w:rsidRPr="007746C5">
        <w:t xml:space="preserve">, </w:t>
      </w:r>
      <w:r w:rsidRPr="007746C5">
        <w:rPr>
          <w:i/>
          <w:iCs/>
        </w:rPr>
        <w:t>26</w:t>
      </w:r>
      <w:r w:rsidRPr="007746C5">
        <w:t>(1), 35–44. https://doi.org/10.1071/PC18080</w:t>
      </w:r>
    </w:p>
    <w:p w14:paraId="12BC1CA4" w14:textId="77777777" w:rsidR="007746C5" w:rsidRPr="007746C5" w:rsidRDefault="007746C5" w:rsidP="009A04E6">
      <w:pPr>
        <w:pStyle w:val="Bibliography"/>
        <w:spacing w:line="240" w:lineRule="auto"/>
      </w:pPr>
      <w:r w:rsidRPr="007746C5">
        <w:t xml:space="preserve">Kittelson, P. M., &amp; Boyd, M. J. (1997). Mechanisms of Expansion for an Introduced Species of Cordgrass, </w:t>
      </w:r>
      <w:r w:rsidRPr="007746C5">
        <w:rPr>
          <w:i/>
          <w:iCs/>
        </w:rPr>
        <w:t>Spartina densiflora</w:t>
      </w:r>
      <w:r w:rsidRPr="007746C5">
        <w:t xml:space="preserve">, in Humboldt Bay, California. </w:t>
      </w:r>
      <w:r w:rsidRPr="007746C5">
        <w:rPr>
          <w:i/>
          <w:iCs/>
        </w:rPr>
        <w:t>Estuaries</w:t>
      </w:r>
      <w:r w:rsidRPr="007746C5">
        <w:t xml:space="preserve">, </w:t>
      </w:r>
      <w:r w:rsidRPr="007746C5">
        <w:rPr>
          <w:i/>
          <w:iCs/>
        </w:rPr>
        <w:t>20</w:t>
      </w:r>
      <w:r w:rsidRPr="007746C5">
        <w:t>(4), 770–778. https://doi.org/10.2307/1352250</w:t>
      </w:r>
    </w:p>
    <w:p w14:paraId="55A36FFB" w14:textId="77777777" w:rsidR="007746C5" w:rsidRPr="007746C5" w:rsidRDefault="007746C5" w:rsidP="009A04E6">
      <w:pPr>
        <w:pStyle w:val="Bibliography"/>
        <w:spacing w:line="240" w:lineRule="auto"/>
      </w:pPr>
      <w:r w:rsidRPr="007746C5">
        <w:rPr>
          <w:rFonts w:hint="eastAsia"/>
        </w:rPr>
        <w:t>Kleitou, P., Rees, S., Cecconi, F., Kletou, D., Savva, I., Cai, L. L., &amp; Hall</w:t>
      </w:r>
      <w:r w:rsidRPr="007746C5">
        <w:rPr>
          <w:rFonts w:hint="eastAsia"/>
        </w:rPr>
        <w:t>‐</w:t>
      </w:r>
      <w:r w:rsidRPr="007746C5">
        <w:rPr>
          <w:rFonts w:hint="eastAsia"/>
        </w:rPr>
        <w:t xml:space="preserve">Spencer, J. M. (2021). Regular monitoring and targeted removals can control lionfish in Mediterranean Marine Protected Areas. </w:t>
      </w:r>
      <w:r w:rsidRPr="007746C5">
        <w:rPr>
          <w:i/>
          <w:iCs/>
        </w:rPr>
        <w:t>Aquatic Conservation: Marine and Freshwater Ecosystems</w:t>
      </w:r>
      <w:r w:rsidRPr="007746C5">
        <w:t xml:space="preserve">, </w:t>
      </w:r>
      <w:r w:rsidRPr="007746C5">
        <w:rPr>
          <w:i/>
          <w:iCs/>
        </w:rPr>
        <w:t>31</w:t>
      </w:r>
      <w:r w:rsidRPr="007746C5">
        <w:t>(10), 2870–2882. https://doi.org/10.1002/aqc.3669</w:t>
      </w:r>
    </w:p>
    <w:p w14:paraId="7A0BD70F" w14:textId="77777777" w:rsidR="007746C5" w:rsidRPr="007746C5" w:rsidRDefault="007746C5" w:rsidP="009A04E6">
      <w:pPr>
        <w:pStyle w:val="Bibliography"/>
        <w:spacing w:line="240" w:lineRule="auto"/>
      </w:pPr>
      <w:r w:rsidRPr="007746C5">
        <w:t xml:space="preserve">Kleitou, P., Savva, I., Kletou, D., Hall-Spencer, J. M., Antoniou, C., Christodoulides, Y., Chartosia, N., Hadjioannou, L., Dimitriou, A. C., Jimenez, C., Petrou, A., Sfenthourakis, S., &amp; Rees, S. </w:t>
      </w:r>
      <w:r w:rsidRPr="007746C5">
        <w:lastRenderedPageBreak/>
        <w:t xml:space="preserve">(2019). Invasive lionfish in the Mediterranean: Low public awareness yet high stakeholder concerns. </w:t>
      </w:r>
      <w:r w:rsidRPr="007746C5">
        <w:rPr>
          <w:i/>
          <w:iCs/>
        </w:rPr>
        <w:t>Marine Policy</w:t>
      </w:r>
      <w:r w:rsidRPr="007746C5">
        <w:t xml:space="preserve">, </w:t>
      </w:r>
      <w:r w:rsidRPr="007746C5">
        <w:rPr>
          <w:i/>
          <w:iCs/>
        </w:rPr>
        <w:t>104</w:t>
      </w:r>
      <w:r w:rsidRPr="007746C5">
        <w:t>, 66–74. https://doi.org/10.1016/j.marpol.2019.02.052</w:t>
      </w:r>
    </w:p>
    <w:p w14:paraId="3346435A" w14:textId="77777777" w:rsidR="007746C5" w:rsidRPr="007746C5" w:rsidRDefault="007746C5" w:rsidP="009A04E6">
      <w:pPr>
        <w:pStyle w:val="Bibliography"/>
        <w:spacing w:line="240" w:lineRule="auto"/>
      </w:pPr>
      <w:r w:rsidRPr="007746C5">
        <w:t xml:space="preserve">Knobloch, H., Köhler, H., Commander, N., Reinhold, P., Turner, C., &amp; Chambers, M. (2009). Volatile Organic Compound (VOC) Analysis For Disease Detection: Proof Of Principle For Field Studies Detecting Paratuberculosis And Brucellosis. </w:t>
      </w:r>
      <w:r w:rsidRPr="007746C5">
        <w:rPr>
          <w:i/>
          <w:iCs/>
        </w:rPr>
        <w:t>AIP Conference Proceedings</w:t>
      </w:r>
      <w:r w:rsidRPr="007746C5">
        <w:t xml:space="preserve">, </w:t>
      </w:r>
      <w:r w:rsidRPr="007746C5">
        <w:rPr>
          <w:i/>
          <w:iCs/>
        </w:rPr>
        <w:t>1137</w:t>
      </w:r>
      <w:r w:rsidRPr="007746C5">
        <w:t>(1), 195–197. https://doi.org/10.1063/1.3156505</w:t>
      </w:r>
    </w:p>
    <w:p w14:paraId="29929290" w14:textId="77777777" w:rsidR="007746C5" w:rsidRPr="007746C5" w:rsidRDefault="007746C5" w:rsidP="009A04E6">
      <w:pPr>
        <w:pStyle w:val="Bibliography"/>
        <w:spacing w:line="240" w:lineRule="auto"/>
      </w:pPr>
      <w:r w:rsidRPr="007746C5">
        <w:t xml:space="preserve">Koch, B. J., Hungate, B. A., &amp; Price, L. B. (2017). Food-animal production and the spread of antibiotic resistance: The role of ecology. </w:t>
      </w:r>
      <w:r w:rsidRPr="007746C5">
        <w:rPr>
          <w:i/>
          <w:iCs/>
        </w:rPr>
        <w:t>Frontiers in Ecology and the Environment</w:t>
      </w:r>
      <w:r w:rsidRPr="007746C5">
        <w:t xml:space="preserve">, </w:t>
      </w:r>
      <w:r w:rsidRPr="007746C5">
        <w:rPr>
          <w:i/>
          <w:iCs/>
        </w:rPr>
        <w:t>15</w:t>
      </w:r>
      <w:r w:rsidRPr="007746C5">
        <w:t>(6), 309–318. https://doi.org/10.1002/fee.1505</w:t>
      </w:r>
    </w:p>
    <w:p w14:paraId="770D60FF" w14:textId="77777777" w:rsidR="007746C5" w:rsidRPr="007746C5" w:rsidRDefault="007746C5" w:rsidP="009A04E6">
      <w:pPr>
        <w:pStyle w:val="Bibliography"/>
        <w:spacing w:line="240" w:lineRule="auto"/>
      </w:pPr>
      <w:r w:rsidRPr="007746C5">
        <w:t>Koehn, J. D., Todd, C. R., Zampatti, B. P., Stuart, I. G., Conallin, A., Thwaites, L., &amp; Ye, Q. (2018). Using a Population Model to Inform the Management of River Flows and Invasive Carp (</w:t>
      </w:r>
      <w:r w:rsidRPr="007746C5">
        <w:rPr>
          <w:i/>
          <w:iCs/>
        </w:rPr>
        <w:t>Cyprinus carpio</w:t>
      </w:r>
      <w:r w:rsidRPr="007746C5">
        <w:t xml:space="preserve">). </w:t>
      </w:r>
      <w:r w:rsidRPr="007746C5">
        <w:rPr>
          <w:i/>
          <w:iCs/>
        </w:rPr>
        <w:t>Environmental Management</w:t>
      </w:r>
      <w:r w:rsidRPr="007746C5">
        <w:t xml:space="preserve">, </w:t>
      </w:r>
      <w:r w:rsidRPr="007746C5">
        <w:rPr>
          <w:i/>
          <w:iCs/>
        </w:rPr>
        <w:t>61</w:t>
      </w:r>
      <w:r w:rsidRPr="007746C5">
        <w:t>(3), 432–442. https://doi.org/10.1007/s00267-017-0855-y</w:t>
      </w:r>
    </w:p>
    <w:p w14:paraId="574F09CD" w14:textId="77777777" w:rsidR="007746C5" w:rsidRPr="007746C5" w:rsidRDefault="007746C5" w:rsidP="009A04E6">
      <w:pPr>
        <w:pStyle w:val="Bibliography"/>
        <w:spacing w:line="240" w:lineRule="auto"/>
      </w:pPr>
      <w:r w:rsidRPr="007746C5">
        <w:t xml:space="preserve">Koffi, D., Kyerematen, R., Eziah, V. Y., Osei-Mensah, Y. O., Afreh-Nuamah, K., Aboagye, E., Osae, M., &amp; Meagher, R. L. (2020). Assessment of impacts of fall armyworm, </w:t>
      </w:r>
      <w:r w:rsidRPr="007746C5">
        <w:rPr>
          <w:i/>
          <w:iCs/>
        </w:rPr>
        <w:t>Spodoptera frugiperda</w:t>
      </w:r>
      <w:r w:rsidRPr="007746C5">
        <w:t xml:space="preserve"> (Lepidoptera: Noctuidae) on maize production in Ghana. </w:t>
      </w:r>
      <w:r w:rsidRPr="007746C5">
        <w:rPr>
          <w:i/>
          <w:iCs/>
        </w:rPr>
        <w:t>Journal of Integrated Pest Management</w:t>
      </w:r>
      <w:r w:rsidRPr="007746C5">
        <w:t xml:space="preserve">, </w:t>
      </w:r>
      <w:r w:rsidRPr="007746C5">
        <w:rPr>
          <w:i/>
          <w:iCs/>
        </w:rPr>
        <w:t>11</w:t>
      </w:r>
      <w:r w:rsidRPr="007746C5">
        <w:t>(1), 20. https://doi.org/10.1093/jipm/pmaa015</w:t>
      </w:r>
    </w:p>
    <w:p w14:paraId="0E37DE5C" w14:textId="77777777" w:rsidR="007746C5" w:rsidRPr="007746C5" w:rsidRDefault="007746C5" w:rsidP="009A04E6">
      <w:pPr>
        <w:pStyle w:val="Bibliography"/>
        <w:spacing w:line="240" w:lineRule="auto"/>
      </w:pPr>
      <w:r w:rsidRPr="007746C5">
        <w:t xml:space="preserve">Koichi, K., Sangha, K. K., Cottrell, A., &amp; Gordon, I. J. (2012). Aboriginal Rangers’ Perspectives on Feral Pigs: Are they a Pest or a Resource? A Case Study in the Wet Tropics World Heritage Area of Northern Queensland. </w:t>
      </w:r>
      <w:r w:rsidRPr="007746C5">
        <w:rPr>
          <w:i/>
          <w:iCs/>
        </w:rPr>
        <w:t>Journal of Australian Indigenous Issues</w:t>
      </w:r>
      <w:r w:rsidRPr="007746C5">
        <w:t xml:space="preserve">, </w:t>
      </w:r>
      <w:r w:rsidRPr="007746C5">
        <w:rPr>
          <w:i/>
          <w:iCs/>
        </w:rPr>
        <w:t>15</w:t>
      </w:r>
      <w:r w:rsidRPr="007746C5">
        <w:t>(1), 2–20. https://www.researchgate.net/profile/Kamaljit-Sangha-2/publication/260752873_Aboriginal_Rangers'_Perspectives_on_Feral_Pigs_Are_they_a_Pest_or_a_Resource_A_Case_Study_in_the_Wet_Tropics_World_Heritage_Area_of_Northern_Queensland/links/00b7d53224cfdb852f000000/Aboriginal-Rangers-Perspectives-on-Feral-Pigs-Are-they-a-Pest-or-a-Resource-A-Case-Study-in-the-Wet-Tropics-World-Heritage-Area-of-Northern-Queensland.pdf</w:t>
      </w:r>
    </w:p>
    <w:p w14:paraId="105A1D95" w14:textId="77777777" w:rsidR="007746C5" w:rsidRPr="007746C5" w:rsidRDefault="007746C5" w:rsidP="009A04E6">
      <w:pPr>
        <w:pStyle w:val="Bibliography"/>
        <w:spacing w:line="240" w:lineRule="auto"/>
      </w:pPr>
      <w:r w:rsidRPr="007746C5">
        <w:t xml:space="preserve">Koike, F., &amp; Iwasaki, K. (2011). A simple range expansion model of multiple pathways: The case of nonindigenous green crab </w:t>
      </w:r>
      <w:r w:rsidRPr="007746C5">
        <w:rPr>
          <w:i/>
          <w:iCs/>
        </w:rPr>
        <w:t>Carcinus aestuarii</w:t>
      </w:r>
      <w:r w:rsidRPr="007746C5">
        <w:t xml:space="preserve"> in Japanese waters. </w:t>
      </w:r>
      <w:r w:rsidRPr="007746C5">
        <w:rPr>
          <w:i/>
          <w:iCs/>
        </w:rPr>
        <w:t>Biological Invasions</w:t>
      </w:r>
      <w:r w:rsidRPr="007746C5">
        <w:t xml:space="preserve">, </w:t>
      </w:r>
      <w:r w:rsidRPr="007746C5">
        <w:rPr>
          <w:i/>
          <w:iCs/>
        </w:rPr>
        <w:t>13</w:t>
      </w:r>
      <w:r w:rsidRPr="007746C5">
        <w:t>(2), 459–470. https://doi.org/10.1007/s10530-010-9841-5</w:t>
      </w:r>
    </w:p>
    <w:p w14:paraId="6C2D8C68" w14:textId="77777777" w:rsidR="007746C5" w:rsidRPr="007746C5" w:rsidRDefault="007746C5" w:rsidP="009A04E6">
      <w:pPr>
        <w:pStyle w:val="Bibliography"/>
        <w:spacing w:line="240" w:lineRule="auto"/>
      </w:pPr>
      <w:r w:rsidRPr="007746C5">
        <w:t xml:space="preserve">Kolar, C. S., &amp; Lodge, D. M. (2002). Ecological Predictions and Risk Assessment for Alien Fishes in North America. </w:t>
      </w:r>
      <w:r w:rsidRPr="007746C5">
        <w:rPr>
          <w:i/>
          <w:iCs/>
        </w:rPr>
        <w:t>Science</w:t>
      </w:r>
      <w:r w:rsidRPr="007746C5">
        <w:t xml:space="preserve">, </w:t>
      </w:r>
      <w:r w:rsidRPr="007746C5">
        <w:rPr>
          <w:i/>
          <w:iCs/>
        </w:rPr>
        <w:t>298</w:t>
      </w:r>
      <w:r w:rsidRPr="007746C5">
        <w:t>(5596), 1233–1236. JSTOR. https://doi.org/10.1126/science.1075753</w:t>
      </w:r>
    </w:p>
    <w:p w14:paraId="2A706339" w14:textId="77777777" w:rsidR="007746C5" w:rsidRPr="007746C5" w:rsidRDefault="007746C5" w:rsidP="009A04E6">
      <w:pPr>
        <w:pStyle w:val="Bibliography"/>
        <w:spacing w:line="240" w:lineRule="auto"/>
      </w:pPr>
      <w:r w:rsidRPr="007746C5">
        <w:t xml:space="preserve">Kolpin, D. W., Thurman, E. M., &amp; Linhart, S. M. (1998). The Environmental Occurrence of Herbicides: The Importance of Degradates in Ground Water. </w:t>
      </w:r>
      <w:r w:rsidRPr="007746C5">
        <w:rPr>
          <w:i/>
          <w:iCs/>
        </w:rPr>
        <w:t>Archives of Environmental Contamination and Toxicology</w:t>
      </w:r>
      <w:r w:rsidRPr="007746C5">
        <w:t xml:space="preserve">, </w:t>
      </w:r>
      <w:r w:rsidRPr="007746C5">
        <w:rPr>
          <w:i/>
          <w:iCs/>
        </w:rPr>
        <w:t>35</w:t>
      </w:r>
      <w:r w:rsidRPr="007746C5">
        <w:t>(3), 385–390. https://doi.org/10.1007/s002449900392</w:t>
      </w:r>
    </w:p>
    <w:p w14:paraId="349B5BD9" w14:textId="77777777" w:rsidR="007746C5" w:rsidRPr="007746C5" w:rsidRDefault="007746C5" w:rsidP="009A04E6">
      <w:pPr>
        <w:pStyle w:val="Bibliography"/>
        <w:spacing w:line="240" w:lineRule="auto"/>
      </w:pPr>
      <w:r w:rsidRPr="007746C5">
        <w:t xml:space="preserve">Kong, J., Cui, J., Wu, D., &amp; Gerla, M. (2005). Building underwater ad-hoc networks and sensor networks for large scale real-time aquatic applications. </w:t>
      </w:r>
      <w:r w:rsidRPr="007746C5">
        <w:rPr>
          <w:i/>
          <w:iCs/>
        </w:rPr>
        <w:t>MILCOM 2005 - 2005 IEEE Military Communications Conference</w:t>
      </w:r>
      <w:r w:rsidRPr="007746C5">
        <w:t xml:space="preserve">, </w:t>
      </w:r>
      <w:r w:rsidRPr="007746C5">
        <w:rPr>
          <w:i/>
          <w:iCs/>
        </w:rPr>
        <w:t>3</w:t>
      </w:r>
      <w:r w:rsidRPr="007746C5">
        <w:t>, 1535–1541. https://doi.org/10.1109/MILCOM.2005.1605894</w:t>
      </w:r>
    </w:p>
    <w:p w14:paraId="471F5B04" w14:textId="77777777" w:rsidR="007746C5" w:rsidRPr="007746C5" w:rsidRDefault="007746C5" w:rsidP="009A04E6">
      <w:pPr>
        <w:pStyle w:val="Bibliography"/>
        <w:spacing w:line="240" w:lineRule="auto"/>
      </w:pPr>
      <w:r w:rsidRPr="007746C5">
        <w:t xml:space="preserve">Kottege, N., Kroon, F., Jurdak, R., &amp; Jones, D. (2012). Classification of Underwater Broadband Bio-acoustics Using Spectro-temporal Features. </w:t>
      </w:r>
      <w:r w:rsidRPr="007746C5">
        <w:rPr>
          <w:i/>
          <w:iCs/>
        </w:rPr>
        <w:t>Proceedings of the Seventh ACM International Conference on Underwater Networks and Systems</w:t>
      </w:r>
      <w:r w:rsidRPr="007746C5">
        <w:t>, 19:1-19:8. https://doi.org/10.1145/2398936.2398961</w:t>
      </w:r>
    </w:p>
    <w:p w14:paraId="18F3715C" w14:textId="77777777" w:rsidR="007746C5" w:rsidRPr="007746C5" w:rsidRDefault="007746C5" w:rsidP="009A04E6">
      <w:pPr>
        <w:pStyle w:val="Bibliography"/>
        <w:spacing w:line="240" w:lineRule="auto"/>
      </w:pPr>
      <w:r w:rsidRPr="007746C5">
        <w:t xml:space="preserve">Kovacs, K. F., Mercader, R. J., Haight, R. G., Siegert, N. W., McCullough, D. G., &amp; Liebhold, A. M. (2011). The influence of satellite populations of emerald ash borer on projected economic costs in U.S. communities, 2010–2020. </w:t>
      </w:r>
      <w:r w:rsidRPr="007746C5">
        <w:rPr>
          <w:i/>
          <w:iCs/>
        </w:rPr>
        <w:t>Journal of Environmental Management</w:t>
      </w:r>
      <w:r w:rsidRPr="007746C5">
        <w:t xml:space="preserve">, </w:t>
      </w:r>
      <w:r w:rsidRPr="007746C5">
        <w:rPr>
          <w:i/>
          <w:iCs/>
        </w:rPr>
        <w:t>92</w:t>
      </w:r>
      <w:r w:rsidRPr="007746C5">
        <w:t>(9), 2170–2181. https://doi.org/10.1016/j.jenvman.2011.03.043</w:t>
      </w:r>
    </w:p>
    <w:p w14:paraId="4E50A625" w14:textId="77777777" w:rsidR="007746C5" w:rsidRPr="007746C5" w:rsidRDefault="007746C5" w:rsidP="009A04E6">
      <w:pPr>
        <w:pStyle w:val="Bibliography"/>
        <w:spacing w:line="240" w:lineRule="auto"/>
      </w:pPr>
      <w:r w:rsidRPr="007746C5">
        <w:t xml:space="preserve">Kriticos, D. J., Beautrais, J. R., &amp; Dodd, M. B. (2018). WRASP: A spatial strategic weed risk analysis tool reveals important subnational variations in weed risks. </w:t>
      </w:r>
      <w:r w:rsidRPr="007746C5">
        <w:rPr>
          <w:i/>
          <w:iCs/>
        </w:rPr>
        <w:t>Weed Research</w:t>
      </w:r>
      <w:r w:rsidRPr="007746C5">
        <w:t xml:space="preserve">, </w:t>
      </w:r>
      <w:r w:rsidRPr="007746C5">
        <w:rPr>
          <w:i/>
          <w:iCs/>
        </w:rPr>
        <w:t>58</w:t>
      </w:r>
      <w:r w:rsidRPr="007746C5">
        <w:t>(6), 398–412. https://doi.org/10.1111/wre.12327</w:t>
      </w:r>
    </w:p>
    <w:p w14:paraId="0702BD79" w14:textId="77777777" w:rsidR="007746C5" w:rsidRPr="007746C5" w:rsidRDefault="007746C5" w:rsidP="009A04E6">
      <w:pPr>
        <w:pStyle w:val="Bibliography"/>
        <w:spacing w:line="240" w:lineRule="auto"/>
      </w:pPr>
      <w:r w:rsidRPr="007746C5">
        <w:lastRenderedPageBreak/>
        <w:t xml:space="preserve">Kriticos, D. J., Brown, J., Radford, I., &amp; Nicholas, M. (1999). Plant Population Ecology and Biological Control: </w:t>
      </w:r>
      <w:r w:rsidRPr="007746C5">
        <w:rPr>
          <w:i/>
          <w:iCs/>
        </w:rPr>
        <w:t>Acacia nilotica</w:t>
      </w:r>
      <w:r w:rsidRPr="007746C5">
        <w:t xml:space="preserve"> as a Case Study. </w:t>
      </w:r>
      <w:r w:rsidRPr="007746C5">
        <w:rPr>
          <w:i/>
          <w:iCs/>
        </w:rPr>
        <w:t>Biological Control</w:t>
      </w:r>
      <w:r w:rsidRPr="007746C5">
        <w:t xml:space="preserve">, </w:t>
      </w:r>
      <w:r w:rsidRPr="007746C5">
        <w:rPr>
          <w:i/>
          <w:iCs/>
        </w:rPr>
        <w:t>16</w:t>
      </w:r>
      <w:r w:rsidRPr="007746C5">
        <w:t>(2), 230–239. https://doi.org/10.1006/bcon.1999.0746</w:t>
      </w:r>
    </w:p>
    <w:p w14:paraId="0F2B913E" w14:textId="77777777" w:rsidR="007746C5" w:rsidRPr="007746C5" w:rsidRDefault="007746C5" w:rsidP="009A04E6">
      <w:pPr>
        <w:pStyle w:val="Bibliography"/>
        <w:spacing w:line="240" w:lineRule="auto"/>
      </w:pPr>
      <w:r w:rsidRPr="007746C5">
        <w:t xml:space="preserve">Kriticos, D. J., De Barro, P. J., Yonow, T., Ota, N., &amp; Sutherst, R. W. (2020). The potential geographical distribution and phenology of </w:t>
      </w:r>
      <w:r w:rsidRPr="007746C5">
        <w:rPr>
          <w:i/>
          <w:iCs/>
        </w:rPr>
        <w:t>Bemisia tabaci</w:t>
      </w:r>
      <w:r w:rsidRPr="007746C5">
        <w:t xml:space="preserve"> Middle East/Asia Minor 1, considering irrigation and glasshouse production. </w:t>
      </w:r>
      <w:r w:rsidRPr="007746C5">
        <w:rPr>
          <w:i/>
          <w:iCs/>
        </w:rPr>
        <w:t>Bulletin of Entomological Research</w:t>
      </w:r>
      <w:r w:rsidRPr="007746C5">
        <w:t xml:space="preserve">, </w:t>
      </w:r>
      <w:r w:rsidRPr="007746C5">
        <w:rPr>
          <w:i/>
          <w:iCs/>
        </w:rPr>
        <w:t>110</w:t>
      </w:r>
      <w:r w:rsidRPr="007746C5">
        <w:t>(5), 567–576. https://doi.org/10.1017/S0007485320000061</w:t>
      </w:r>
    </w:p>
    <w:p w14:paraId="156FB98A" w14:textId="77777777" w:rsidR="007746C5" w:rsidRPr="007746C5" w:rsidRDefault="007746C5" w:rsidP="009A04E6">
      <w:pPr>
        <w:pStyle w:val="Bibliography"/>
        <w:spacing w:line="240" w:lineRule="auto"/>
      </w:pPr>
      <w:r w:rsidRPr="007746C5">
        <w:t xml:space="preserve">Kriticos, D. J., Kean, J. M., Phillips, C. B., Senay, S. D., Acosta, H., &amp; Haye, T. (2017). The potential global distribution of the brown marmorated stink bug, </w:t>
      </w:r>
      <w:r w:rsidRPr="007746C5">
        <w:rPr>
          <w:i/>
          <w:iCs/>
        </w:rPr>
        <w:t>Halyomorpha halys</w:t>
      </w:r>
      <w:r w:rsidRPr="007746C5">
        <w:t xml:space="preserve">, a critical threat to plant biosecurity. </w:t>
      </w:r>
      <w:r w:rsidRPr="007746C5">
        <w:rPr>
          <w:i/>
          <w:iCs/>
        </w:rPr>
        <w:t>Journal of Pest Science</w:t>
      </w:r>
      <w:r w:rsidRPr="007746C5">
        <w:t xml:space="preserve">, </w:t>
      </w:r>
      <w:r w:rsidRPr="007746C5">
        <w:rPr>
          <w:i/>
          <w:iCs/>
        </w:rPr>
        <w:t>90</w:t>
      </w:r>
      <w:r w:rsidRPr="007746C5">
        <w:t>(4), 1033–1043. https://doi.org/10.1007/s10340-017-0869-5</w:t>
      </w:r>
    </w:p>
    <w:p w14:paraId="7A2D9794" w14:textId="77777777" w:rsidR="007746C5" w:rsidRPr="007746C5" w:rsidRDefault="007746C5" w:rsidP="009A04E6">
      <w:pPr>
        <w:pStyle w:val="Bibliography"/>
        <w:spacing w:line="240" w:lineRule="auto"/>
      </w:pPr>
      <w:r w:rsidRPr="007746C5">
        <w:t xml:space="preserve">Kriticos, D. J., Morin, L., Leriche, A., Anderson, R. C., &amp; Caley, P. (2013). Combining a Climatic Niche Model of an Invasive Fungus with Its Host Species Distributions to Identify Risks to Natural Assets: </w:t>
      </w:r>
      <w:r w:rsidRPr="007746C5">
        <w:rPr>
          <w:i/>
          <w:iCs/>
        </w:rPr>
        <w:t>Puccinia psidii</w:t>
      </w:r>
      <w:r w:rsidRPr="007746C5">
        <w:t xml:space="preserve"> Sensu Lato in Australia. </w:t>
      </w:r>
      <w:r w:rsidRPr="007746C5">
        <w:rPr>
          <w:i/>
          <w:iCs/>
        </w:rPr>
        <w:t>PLoS ONE</w:t>
      </w:r>
      <w:r w:rsidRPr="007746C5">
        <w:t xml:space="preserve">, </w:t>
      </w:r>
      <w:r w:rsidRPr="007746C5">
        <w:rPr>
          <w:i/>
          <w:iCs/>
        </w:rPr>
        <w:t>8</w:t>
      </w:r>
      <w:r w:rsidRPr="007746C5">
        <w:t>(5), e64479. https://doi.org/10.1371/journal.pone.0064479</w:t>
      </w:r>
    </w:p>
    <w:p w14:paraId="421D0EAA" w14:textId="77777777" w:rsidR="007746C5" w:rsidRPr="007746C5" w:rsidRDefault="007746C5" w:rsidP="009A04E6">
      <w:pPr>
        <w:pStyle w:val="Bibliography"/>
        <w:spacing w:line="240" w:lineRule="auto"/>
      </w:pPr>
      <w:r w:rsidRPr="007746C5">
        <w:t xml:space="preserve">Kriticos, D. J., Sutherst, R. W., Brown, J. R., Adkins, S. W., &amp; Maywald, G. F. (2003). Climate change and the potential distribution of an invasive alien plant: </w:t>
      </w:r>
      <w:r w:rsidRPr="007746C5">
        <w:rPr>
          <w:i/>
          <w:iCs/>
        </w:rPr>
        <w:t>Acacia nilotica</w:t>
      </w:r>
      <w:r w:rsidRPr="007746C5">
        <w:t xml:space="preserve"> ssp. </w:t>
      </w:r>
      <w:r w:rsidRPr="007746C5">
        <w:rPr>
          <w:i/>
          <w:iCs/>
        </w:rPr>
        <w:t>indica</w:t>
      </w:r>
      <w:r w:rsidRPr="007746C5">
        <w:t xml:space="preserve"> in Australia. </w:t>
      </w:r>
      <w:r w:rsidRPr="007746C5">
        <w:rPr>
          <w:i/>
          <w:iCs/>
        </w:rPr>
        <w:t>Journal of Applied Ecology</w:t>
      </w:r>
      <w:r w:rsidRPr="007746C5">
        <w:t xml:space="preserve">, </w:t>
      </w:r>
      <w:r w:rsidRPr="007746C5">
        <w:rPr>
          <w:i/>
          <w:iCs/>
        </w:rPr>
        <w:t>40</w:t>
      </w:r>
      <w:r w:rsidRPr="007746C5">
        <w:t>(1), 111–124. https://doi.org/10.1046/j.1365-2664.2003.00777.x</w:t>
      </w:r>
    </w:p>
    <w:p w14:paraId="6FC85A02" w14:textId="77777777" w:rsidR="007746C5" w:rsidRPr="007746C5" w:rsidRDefault="007746C5" w:rsidP="009A04E6">
      <w:pPr>
        <w:pStyle w:val="Bibliography"/>
        <w:spacing w:line="240" w:lineRule="auto"/>
      </w:pPr>
      <w:r w:rsidRPr="007746C5">
        <w:t xml:space="preserve">Kriticos, D. J., Watt, M. S., Withers, T. M., Leriche, A., &amp; Watson, M. C. (2009). A process-based population dynamics model to explore target and non-target impacts of a biological control agent. </w:t>
      </w:r>
      <w:r w:rsidRPr="007746C5">
        <w:rPr>
          <w:i/>
          <w:iCs/>
        </w:rPr>
        <w:t>Ecological Modelling</w:t>
      </w:r>
      <w:r w:rsidRPr="007746C5">
        <w:t xml:space="preserve">, </w:t>
      </w:r>
      <w:r w:rsidRPr="007746C5">
        <w:rPr>
          <w:i/>
          <w:iCs/>
        </w:rPr>
        <w:t>220</w:t>
      </w:r>
      <w:r w:rsidRPr="007746C5">
        <w:t>(17), 2035–2050. https://doi.org/10.1016/j.ecolmodel.2009.04.039</w:t>
      </w:r>
    </w:p>
    <w:p w14:paraId="7431FF27" w14:textId="77777777" w:rsidR="007746C5" w:rsidRPr="007746C5" w:rsidRDefault="007746C5" w:rsidP="009A04E6">
      <w:pPr>
        <w:pStyle w:val="Bibliography"/>
        <w:spacing w:line="240" w:lineRule="auto"/>
      </w:pPr>
      <w:r w:rsidRPr="007746C5">
        <w:t xml:space="preserve">Kriticos, D. J., Yonow, T., &amp; McFadyen, R. E. (2005). The potential distribution of </w:t>
      </w:r>
      <w:r w:rsidRPr="007746C5">
        <w:rPr>
          <w:i/>
          <w:iCs/>
        </w:rPr>
        <w:t>Chromolaena odorata</w:t>
      </w:r>
      <w:r w:rsidRPr="007746C5">
        <w:t xml:space="preserve"> (Siam weed) in relation to climate. </w:t>
      </w:r>
      <w:r w:rsidRPr="007746C5">
        <w:rPr>
          <w:i/>
          <w:iCs/>
        </w:rPr>
        <w:t>Weed Research</w:t>
      </w:r>
      <w:r w:rsidRPr="007746C5">
        <w:t xml:space="preserve">, </w:t>
      </w:r>
      <w:r w:rsidRPr="007746C5">
        <w:rPr>
          <w:i/>
          <w:iCs/>
        </w:rPr>
        <w:t>45</w:t>
      </w:r>
      <w:r w:rsidRPr="007746C5">
        <w:t>(4), 246–254. https://doi.org/10.1111/j.1365-3180.2005.00458.x</w:t>
      </w:r>
    </w:p>
    <w:p w14:paraId="3D1661E5" w14:textId="77777777" w:rsidR="007746C5" w:rsidRPr="007746C5" w:rsidRDefault="007746C5" w:rsidP="009A04E6">
      <w:pPr>
        <w:pStyle w:val="Bibliography"/>
        <w:spacing w:line="240" w:lineRule="auto"/>
      </w:pPr>
      <w:r w:rsidRPr="007746C5">
        <w:t xml:space="preserve">Krug, R. M., Roura-Pascual, N., &amp; Richardson, D. M. (2009). Prioritising areas for the management of invasive alien plants in the CFR: Different strategies, different priorities? </w:t>
      </w:r>
      <w:r w:rsidRPr="007746C5">
        <w:rPr>
          <w:i/>
          <w:iCs/>
        </w:rPr>
        <w:t>South African Journal of Botany</w:t>
      </w:r>
      <w:r w:rsidRPr="007746C5">
        <w:t xml:space="preserve">, </w:t>
      </w:r>
      <w:r w:rsidRPr="007746C5">
        <w:rPr>
          <w:i/>
          <w:iCs/>
        </w:rPr>
        <w:t>75</w:t>
      </w:r>
      <w:r w:rsidRPr="007746C5">
        <w:t>(2), 408–409. https://doi.org/10.1016/j.sajb.2009.02.072</w:t>
      </w:r>
    </w:p>
    <w:p w14:paraId="1EB6693B" w14:textId="77777777" w:rsidR="007746C5" w:rsidRPr="007746C5" w:rsidRDefault="007746C5" w:rsidP="009A04E6">
      <w:pPr>
        <w:pStyle w:val="Bibliography"/>
        <w:spacing w:line="240" w:lineRule="auto"/>
      </w:pPr>
      <w:r w:rsidRPr="007746C5">
        <w:t xml:space="preserve">Kueffer, C., McDougall, K., Alexander, J., Daehler, C., Edwards, P., Haider, S., Milbau, A., Parks, C., Pauchard, A., Reshi, Z. A., Rew, L. J., Schroder, M., &amp; Seipel, T. (2013). Plant Invasions into Mountain Protected Areas: Assessment, Prevention and Control at Multiple Spatial Scales. In L. C. Foxcroft, P. Pyšek, D. M. Richardson, &amp; P. Genovesi (Eds.), </w:t>
      </w:r>
      <w:r w:rsidRPr="007746C5">
        <w:rPr>
          <w:i/>
          <w:iCs/>
        </w:rPr>
        <w:t>Plant Invasions in Protected Areas: Patterns, Problems and Challenges</w:t>
      </w:r>
      <w:r w:rsidRPr="007746C5">
        <w:t xml:space="preserve"> (Vol. 7, pp. 89–113). Springer Netherlands. https://doi.org/10.1007/978-94-007-7750-7_6</w:t>
      </w:r>
    </w:p>
    <w:p w14:paraId="56EFCA82" w14:textId="77777777" w:rsidR="007746C5" w:rsidRPr="007746C5" w:rsidRDefault="007746C5" w:rsidP="009A04E6">
      <w:pPr>
        <w:pStyle w:val="Bibliography"/>
        <w:spacing w:line="240" w:lineRule="auto"/>
      </w:pPr>
      <w:r w:rsidRPr="007746C5">
        <w:t xml:space="preserve">Kumschick, S., Bacher, S., Bertolino, S., Blackburn, T. M., Evans, T., Roy, H. E., &amp; Smith, K. (2020). Appropriate uses of EICAT protocol, data and classifications. </w:t>
      </w:r>
      <w:r w:rsidRPr="007746C5">
        <w:rPr>
          <w:i/>
          <w:iCs/>
        </w:rPr>
        <w:t>NeoBiota</w:t>
      </w:r>
      <w:r w:rsidRPr="007746C5">
        <w:t xml:space="preserve">, </w:t>
      </w:r>
      <w:r w:rsidRPr="007746C5">
        <w:rPr>
          <w:i/>
          <w:iCs/>
        </w:rPr>
        <w:t>62</w:t>
      </w:r>
      <w:r w:rsidRPr="007746C5">
        <w:t>, 193–212. https://doi.org/10.3897/neobiota.62.51574</w:t>
      </w:r>
    </w:p>
    <w:p w14:paraId="4838C168" w14:textId="77777777" w:rsidR="007746C5" w:rsidRPr="007746C5" w:rsidRDefault="007746C5" w:rsidP="009A04E6">
      <w:pPr>
        <w:pStyle w:val="Bibliography"/>
        <w:spacing w:line="240" w:lineRule="auto"/>
      </w:pPr>
      <w:r w:rsidRPr="007746C5">
        <w:t xml:space="preserve">Kumschick, S., Bacher, S., Dawson, W., Heikkilä, J., Sendek, A., Pluess, T., Robinson, T. B., &amp; Kühn, I. (2012). A conceptual framework for prioritization of invasive alien species for management according to their impact. </w:t>
      </w:r>
      <w:r w:rsidRPr="007746C5">
        <w:rPr>
          <w:i/>
          <w:iCs/>
        </w:rPr>
        <w:t>NeoBiota</w:t>
      </w:r>
      <w:r w:rsidRPr="007746C5">
        <w:t xml:space="preserve">, </w:t>
      </w:r>
      <w:r w:rsidRPr="007746C5">
        <w:rPr>
          <w:i/>
          <w:iCs/>
        </w:rPr>
        <w:t>15</w:t>
      </w:r>
      <w:r w:rsidRPr="007746C5">
        <w:t>, 69–100. https://doi.org/10.3897/neobiota.15.3323</w:t>
      </w:r>
    </w:p>
    <w:p w14:paraId="44608700" w14:textId="77777777" w:rsidR="007746C5" w:rsidRPr="007746C5" w:rsidRDefault="007746C5" w:rsidP="009A04E6">
      <w:pPr>
        <w:pStyle w:val="Bibliography"/>
        <w:spacing w:line="240" w:lineRule="auto"/>
      </w:pPr>
      <w:r w:rsidRPr="007746C5">
        <w:t xml:space="preserve">Kumschick, S., Foxcroft, L. C., &amp; Wilson, J. R. (2020). Analysing the Risks Posed by Biological Invasions to South Africa. In B. W. van Wilgen, J. Measey, D. M. Richardson, J. R. Wilson, &amp; T. A. Zengeya (Eds.), </w:t>
      </w:r>
      <w:r w:rsidRPr="007746C5">
        <w:rPr>
          <w:i/>
          <w:iCs/>
        </w:rPr>
        <w:t>Biological Invasions in South Africa</w:t>
      </w:r>
      <w:r w:rsidRPr="007746C5">
        <w:t xml:space="preserve"> (Vol. 14, pp. 573–595). Springer International Publishing. https://doi.org/10.1007/978-3-030-32394-3_20</w:t>
      </w:r>
    </w:p>
    <w:p w14:paraId="4627EB22" w14:textId="77777777" w:rsidR="007746C5" w:rsidRPr="007746C5" w:rsidRDefault="007746C5" w:rsidP="009A04E6">
      <w:pPr>
        <w:pStyle w:val="Bibliography"/>
        <w:spacing w:line="240" w:lineRule="auto"/>
      </w:pPr>
      <w:r w:rsidRPr="007746C5">
        <w:t xml:space="preserve">Kumschick, S., Wilson, J. R. U., &amp; Foxcroft, L. C. (2020). A framework to support alien species regulation: The Risk Analysis for Alien Taxa (RAAT). </w:t>
      </w:r>
      <w:r w:rsidRPr="007746C5">
        <w:rPr>
          <w:i/>
          <w:iCs/>
        </w:rPr>
        <w:t>NeoBiota</w:t>
      </w:r>
      <w:r w:rsidRPr="007746C5">
        <w:t xml:space="preserve">, </w:t>
      </w:r>
      <w:r w:rsidRPr="007746C5">
        <w:rPr>
          <w:i/>
          <w:iCs/>
        </w:rPr>
        <w:t>62</w:t>
      </w:r>
      <w:r w:rsidRPr="007746C5">
        <w:t>, 213–239. https://doi.org/10.3897/neobiota.62.51031</w:t>
      </w:r>
    </w:p>
    <w:p w14:paraId="047452EB" w14:textId="77777777" w:rsidR="007746C5" w:rsidRPr="007746C5" w:rsidRDefault="007746C5" w:rsidP="009A04E6">
      <w:pPr>
        <w:pStyle w:val="Bibliography"/>
        <w:spacing w:line="240" w:lineRule="auto"/>
      </w:pPr>
      <w:r w:rsidRPr="007746C5">
        <w:t xml:space="preserve">Lacerda, A. C. R., Tomas, W. M., &amp; Marinho-Filho, J. (2009). Domestic dogs as an edge effect in the Brasília National Park, Brazil: Interactions with native mammals. </w:t>
      </w:r>
      <w:r w:rsidRPr="007746C5">
        <w:rPr>
          <w:i/>
          <w:iCs/>
        </w:rPr>
        <w:t>Animal Conservation</w:t>
      </w:r>
      <w:r w:rsidRPr="007746C5">
        <w:t xml:space="preserve">, </w:t>
      </w:r>
      <w:r w:rsidRPr="007746C5">
        <w:rPr>
          <w:i/>
          <w:iCs/>
        </w:rPr>
        <w:t>12</w:t>
      </w:r>
      <w:r w:rsidRPr="007746C5">
        <w:t>(5), 477–487. https://doi.org/10.1111/j.1469-1795.2009.00277.x</w:t>
      </w:r>
    </w:p>
    <w:p w14:paraId="7D9DB37F" w14:textId="77777777" w:rsidR="007746C5" w:rsidRPr="007746C5" w:rsidRDefault="007746C5" w:rsidP="009A04E6">
      <w:pPr>
        <w:pStyle w:val="Bibliography"/>
        <w:spacing w:line="240" w:lineRule="auto"/>
      </w:pPr>
      <w:r w:rsidRPr="007746C5">
        <w:lastRenderedPageBreak/>
        <w:t xml:space="preserve">Lafferty, K. D., &amp; Kuris, A. M. (1996). Biological Control of Marine Pests. </w:t>
      </w:r>
      <w:r w:rsidRPr="007746C5">
        <w:rPr>
          <w:i/>
          <w:iCs/>
        </w:rPr>
        <w:t>Ecology</w:t>
      </w:r>
      <w:r w:rsidRPr="007746C5">
        <w:t xml:space="preserve">, </w:t>
      </w:r>
      <w:r w:rsidRPr="007746C5">
        <w:rPr>
          <w:i/>
          <w:iCs/>
        </w:rPr>
        <w:t>77</w:t>
      </w:r>
      <w:r w:rsidRPr="007746C5">
        <w:t>(7), 1989–2000. https://doi.org/10.2307/2265695</w:t>
      </w:r>
    </w:p>
    <w:p w14:paraId="25FBFCD5" w14:textId="77777777" w:rsidR="007746C5" w:rsidRPr="007746C5" w:rsidRDefault="007746C5" w:rsidP="009A04E6">
      <w:pPr>
        <w:pStyle w:val="Bibliography"/>
        <w:spacing w:line="240" w:lineRule="auto"/>
      </w:pPr>
      <w:r w:rsidRPr="007746C5">
        <w:t xml:space="preserve">Lagos-Kutz, D., Voegtlin, D. J., Onstad, D., Hogg, D., Ragsdale, D., Tilmon, K., Hodgson, E., Difonzo, C., Groves, R., Krupke, C., Laforest, J., Seiter, N. J., Duerr, E., Bradford, B., &amp; Hartman, G. L. (2020). The Soybean Aphid Suction Trap Network: Sampling the Aerobiological “Soup.” </w:t>
      </w:r>
      <w:r w:rsidRPr="007746C5">
        <w:rPr>
          <w:i/>
          <w:iCs/>
        </w:rPr>
        <w:t>American Entomologist</w:t>
      </w:r>
      <w:r w:rsidRPr="007746C5">
        <w:t xml:space="preserve">, </w:t>
      </w:r>
      <w:r w:rsidRPr="007746C5">
        <w:rPr>
          <w:i/>
          <w:iCs/>
        </w:rPr>
        <w:t>66</w:t>
      </w:r>
      <w:r w:rsidRPr="007746C5">
        <w:t>(1), 48–55. https://doi.org/10.1093/ae/tmaa009</w:t>
      </w:r>
    </w:p>
    <w:p w14:paraId="4F1F4E38" w14:textId="77777777" w:rsidR="007746C5" w:rsidRPr="007746C5" w:rsidRDefault="007746C5" w:rsidP="009A04E6">
      <w:pPr>
        <w:pStyle w:val="Bibliography"/>
        <w:spacing w:line="240" w:lineRule="auto"/>
      </w:pPr>
      <w:r w:rsidRPr="007746C5">
        <w:t xml:space="preserve">Lahdelma, R., Salminen, P., &amp; Hokkanen, J. (2000). Using Multicriteria Methods in Environmental Planning and Management. </w:t>
      </w:r>
      <w:r w:rsidRPr="007746C5">
        <w:rPr>
          <w:i/>
          <w:iCs/>
        </w:rPr>
        <w:t>Environmental Management</w:t>
      </w:r>
      <w:r w:rsidRPr="007746C5">
        <w:t xml:space="preserve">, </w:t>
      </w:r>
      <w:r w:rsidRPr="007746C5">
        <w:rPr>
          <w:i/>
          <w:iCs/>
        </w:rPr>
        <w:t>26</w:t>
      </w:r>
      <w:r w:rsidRPr="007746C5">
        <w:t>(6), 595–605. https://doi.org/10.1007/s002670010118</w:t>
      </w:r>
    </w:p>
    <w:p w14:paraId="7F08A82F" w14:textId="77777777" w:rsidR="007746C5" w:rsidRPr="007746C5" w:rsidRDefault="007746C5" w:rsidP="009A04E6">
      <w:pPr>
        <w:pStyle w:val="Bibliography"/>
        <w:spacing w:line="240" w:lineRule="auto"/>
      </w:pPr>
      <w:r w:rsidRPr="007746C5">
        <w:t xml:space="preserve">Lampert, A., Hastings, A., Grosholz, E. D., Jardine, S. L., &amp; Sanchirico, J. N. (2014). Optimal approaches for balancing invasive species eradication and endangered species management. </w:t>
      </w:r>
      <w:r w:rsidRPr="007746C5">
        <w:rPr>
          <w:i/>
          <w:iCs/>
        </w:rPr>
        <w:t>Science</w:t>
      </w:r>
      <w:r w:rsidRPr="007746C5">
        <w:t xml:space="preserve">, </w:t>
      </w:r>
      <w:r w:rsidRPr="007746C5">
        <w:rPr>
          <w:i/>
          <w:iCs/>
        </w:rPr>
        <w:t>344</w:t>
      </w:r>
      <w:r w:rsidRPr="007746C5">
        <w:t>(6187), 1028–1031. https://doi.org/10.1126/science.1250763</w:t>
      </w:r>
    </w:p>
    <w:p w14:paraId="0A291E38" w14:textId="77777777" w:rsidR="007746C5" w:rsidRPr="007746C5" w:rsidRDefault="007746C5" w:rsidP="009A04E6">
      <w:pPr>
        <w:pStyle w:val="Bibliography"/>
        <w:spacing w:line="240" w:lineRule="auto"/>
      </w:pPr>
      <w:r w:rsidRPr="007746C5">
        <w:t xml:space="preserve">Lansink, A. O., Schut, M., Kamanda, J., &amp; Klerkx, L. (2018). A multi-level and multi-actor approach to risk governance: A conceptual framework to support policy development for Ambrosia weed control. </w:t>
      </w:r>
      <w:r w:rsidRPr="007746C5">
        <w:rPr>
          <w:i/>
          <w:iCs/>
        </w:rPr>
        <w:t>Journal of Risk Research</w:t>
      </w:r>
      <w:r w:rsidRPr="007746C5">
        <w:t xml:space="preserve">, </w:t>
      </w:r>
      <w:r w:rsidRPr="007746C5">
        <w:rPr>
          <w:i/>
          <w:iCs/>
        </w:rPr>
        <w:t>21</w:t>
      </w:r>
      <w:r w:rsidRPr="007746C5">
        <w:t>(6), 780–799. https://doi.org/10.1080/13669877.2016.1247376</w:t>
      </w:r>
    </w:p>
    <w:p w14:paraId="667909A8" w14:textId="77777777" w:rsidR="007746C5" w:rsidRPr="007746C5" w:rsidRDefault="007746C5" w:rsidP="009A04E6">
      <w:pPr>
        <w:pStyle w:val="Bibliography"/>
        <w:spacing w:line="240" w:lineRule="auto"/>
      </w:pPr>
      <w:r w:rsidRPr="007746C5">
        <w:rPr>
          <w:rFonts w:hint="eastAsia"/>
        </w:rPr>
        <w:t>Lanzoni, A., Castoldi, A. F., Kass, G. E., Terron, A., De Seze, G., Bal</w:t>
      </w:r>
      <w:r w:rsidRPr="007746C5">
        <w:rPr>
          <w:rFonts w:hint="eastAsia"/>
        </w:rPr>
        <w:t>‐</w:t>
      </w:r>
      <w:r w:rsidRPr="007746C5">
        <w:rPr>
          <w:rFonts w:hint="eastAsia"/>
        </w:rPr>
        <w:t>Price, A., Bois, F. Y., Delclos, K. B., Doerge, D. R., Fritsche, E., Halldorsson, T., Kolossa</w:t>
      </w:r>
      <w:r w:rsidRPr="007746C5">
        <w:rPr>
          <w:rFonts w:hint="eastAsia"/>
        </w:rPr>
        <w:t>‐</w:t>
      </w:r>
      <w:r w:rsidRPr="007746C5">
        <w:rPr>
          <w:rFonts w:hint="eastAsia"/>
        </w:rPr>
        <w:t xml:space="preserve">Gehring, M., Hougaard Bennekou, S., Koning, F., Lampen, A., Leist, M., Mantus, E., Rousselle, C., Siegrist, M., </w:t>
      </w:r>
      <w:r w:rsidRPr="007746C5">
        <w:rPr>
          <w:rFonts w:hint="eastAsia"/>
        </w:rPr>
        <w:t>…</w:t>
      </w:r>
      <w:r w:rsidRPr="007746C5">
        <w:rPr>
          <w:rFonts w:hint="eastAsia"/>
        </w:rPr>
        <w:t xml:space="preserve"> Younes, M. (2019). Advancing human health risk assessment. </w:t>
      </w:r>
      <w:r w:rsidRPr="007746C5">
        <w:rPr>
          <w:i/>
          <w:iCs/>
        </w:rPr>
        <w:t>EFSA Journal</w:t>
      </w:r>
      <w:r w:rsidRPr="007746C5">
        <w:t xml:space="preserve">, </w:t>
      </w:r>
      <w:r w:rsidRPr="007746C5">
        <w:rPr>
          <w:i/>
          <w:iCs/>
        </w:rPr>
        <w:t>17</w:t>
      </w:r>
      <w:r w:rsidRPr="007746C5">
        <w:t>(S1), e170712. https://doi.org/10.2903/j.efsa.2019.e170712</w:t>
      </w:r>
    </w:p>
    <w:p w14:paraId="4C745E87" w14:textId="77777777" w:rsidR="007746C5" w:rsidRPr="007746C5" w:rsidRDefault="007746C5" w:rsidP="009A04E6">
      <w:pPr>
        <w:pStyle w:val="Bibliography"/>
        <w:spacing w:line="240" w:lineRule="auto"/>
      </w:pPr>
      <w:r w:rsidRPr="007746C5">
        <w:t xml:space="preserve">Laothawornkitkul, J., Moore, J. P., Taylor, J. E., Possell, M., Gibson, T. D., Hewitt, C. N., &amp; Paul, N. D. (2008). Discrimination of Plant Volatile Signatures by an Electronic Nose: A Potential Technology for Plant Pest and Disease Monitoring. </w:t>
      </w:r>
      <w:r w:rsidRPr="007746C5">
        <w:rPr>
          <w:i/>
          <w:iCs/>
        </w:rPr>
        <w:t>Environmental Science &amp; Technology</w:t>
      </w:r>
      <w:r w:rsidRPr="007746C5">
        <w:t xml:space="preserve">, </w:t>
      </w:r>
      <w:r w:rsidRPr="007746C5">
        <w:rPr>
          <w:i/>
          <w:iCs/>
        </w:rPr>
        <w:t>42</w:t>
      </w:r>
      <w:r w:rsidRPr="007746C5">
        <w:t>(22), 8433–8439. https://doi.org/10.1021/es801738s</w:t>
      </w:r>
    </w:p>
    <w:p w14:paraId="275B3B7C" w14:textId="77777777" w:rsidR="007746C5" w:rsidRPr="007746C5" w:rsidRDefault="007746C5" w:rsidP="009A04E6">
      <w:pPr>
        <w:pStyle w:val="Bibliography"/>
        <w:spacing w:line="240" w:lineRule="auto"/>
      </w:pPr>
      <w:r w:rsidRPr="007746C5">
        <w:t xml:space="preserve">Larson, D. L., Phillips-Mao, L., Quiram, G., Sharpe, L., Stark, R., Sugita, S., &amp; Weiler, A. (2011). A framework for sustainable invasive species management: Environmental, social, and economic objectives. </w:t>
      </w:r>
      <w:r w:rsidRPr="007746C5">
        <w:rPr>
          <w:i/>
          <w:iCs/>
        </w:rPr>
        <w:t>Journal of Environmental Management</w:t>
      </w:r>
      <w:r w:rsidRPr="007746C5">
        <w:t xml:space="preserve">, </w:t>
      </w:r>
      <w:r w:rsidRPr="007746C5">
        <w:rPr>
          <w:i/>
          <w:iCs/>
        </w:rPr>
        <w:t>92</w:t>
      </w:r>
      <w:r w:rsidRPr="007746C5">
        <w:t>(1), 14–22. https://doi.org/10.1016/j.jenvman.2010.08.025</w:t>
      </w:r>
    </w:p>
    <w:p w14:paraId="7205C0BC" w14:textId="77777777" w:rsidR="007746C5" w:rsidRPr="007746C5" w:rsidRDefault="007746C5" w:rsidP="009A04E6">
      <w:pPr>
        <w:pStyle w:val="Bibliography"/>
        <w:spacing w:line="240" w:lineRule="auto"/>
      </w:pPr>
      <w:r w:rsidRPr="007746C5">
        <w:t xml:space="preserve">Larson, E. R., Graham, B. M., Achury, R., Coon, J. J., Daniels, M. K., Gambrell, D. K., Jonasen, K. L., King, G. D., LaRacuente, N., Perrin-Stowe, T. I., Reed, E. M., Rice, C. J., Ruzi, S. A., Thairu, M. W., Wilson, J. C., &amp; Suarez, A. V. (2020). From eDNA to citizen science: Emerging tools for the early detection of invasive species. </w:t>
      </w:r>
      <w:r w:rsidRPr="007746C5">
        <w:rPr>
          <w:i/>
          <w:iCs/>
        </w:rPr>
        <w:t>Frontiers in Ecology and the Environment</w:t>
      </w:r>
      <w:r w:rsidRPr="007746C5">
        <w:t xml:space="preserve">, </w:t>
      </w:r>
      <w:r w:rsidRPr="007746C5">
        <w:rPr>
          <w:i/>
          <w:iCs/>
        </w:rPr>
        <w:t>18</w:t>
      </w:r>
      <w:r w:rsidRPr="007746C5">
        <w:t>(4), 194–202. https://doi.org/10.1002/fee.2162</w:t>
      </w:r>
    </w:p>
    <w:p w14:paraId="61BFF171" w14:textId="77777777" w:rsidR="007746C5" w:rsidRPr="007746C5" w:rsidRDefault="007746C5" w:rsidP="009A04E6">
      <w:pPr>
        <w:pStyle w:val="Bibliography"/>
        <w:spacing w:line="240" w:lineRule="auto"/>
      </w:pPr>
      <w:r w:rsidRPr="007746C5">
        <w:t xml:space="preserve">Latinne, A., Hu, B., Olival, K. J., Zhu, G., Zhang, L., Li, H., Chmura, A. A., Field, H. E., Zambrana-Torrelio, C., Epstein, J. H., Li, B., Zhang, W., Wang, L.-F., Shi, Z.-L., &amp; Daszak, P. (2020). Origin and cross-species transmission of bat coronaviruses in China. </w:t>
      </w:r>
      <w:r w:rsidRPr="007746C5">
        <w:rPr>
          <w:i/>
          <w:iCs/>
        </w:rPr>
        <w:t>Nature Communications</w:t>
      </w:r>
      <w:r w:rsidRPr="007746C5">
        <w:t xml:space="preserve">, </w:t>
      </w:r>
      <w:r w:rsidRPr="007746C5">
        <w:rPr>
          <w:i/>
          <w:iCs/>
        </w:rPr>
        <w:t>11</w:t>
      </w:r>
      <w:r w:rsidRPr="007746C5">
        <w:t>, 4235. https://doi.org/10.1038/s41467-020-17687-3</w:t>
      </w:r>
    </w:p>
    <w:p w14:paraId="1B9E73B7" w14:textId="77777777" w:rsidR="007746C5" w:rsidRPr="007746C5" w:rsidRDefault="007746C5" w:rsidP="009A04E6">
      <w:pPr>
        <w:pStyle w:val="Bibliography"/>
        <w:spacing w:line="240" w:lineRule="auto"/>
      </w:pPr>
      <w:r w:rsidRPr="007746C5">
        <w:t xml:space="preserve">Latofski-Robles, M., Aguirre-Muñoz, A., Méndez-Sánchez, F., Reyes-Hernández, H., &amp; Schlüter, S. (2014). Prioritizing Restoration Actions for the Islands of Mexico. </w:t>
      </w:r>
      <w:r w:rsidRPr="007746C5">
        <w:rPr>
          <w:i/>
          <w:iCs/>
        </w:rPr>
        <w:t>Monographs of the Western North American Naturalist</w:t>
      </w:r>
      <w:r w:rsidRPr="007746C5">
        <w:t xml:space="preserve">, </w:t>
      </w:r>
      <w:r w:rsidRPr="007746C5">
        <w:rPr>
          <w:i/>
          <w:iCs/>
        </w:rPr>
        <w:t>7</w:t>
      </w:r>
      <w:r w:rsidRPr="007746C5">
        <w:t>(1), 435–441. https://doi.org/10.3398/042.007.0133</w:t>
      </w:r>
    </w:p>
    <w:p w14:paraId="28C9EA08" w14:textId="77777777" w:rsidR="007746C5" w:rsidRPr="007746C5" w:rsidRDefault="007746C5" w:rsidP="009A04E6">
      <w:pPr>
        <w:pStyle w:val="Bibliography"/>
        <w:spacing w:line="240" w:lineRule="auto"/>
      </w:pPr>
      <w:r w:rsidRPr="007746C5">
        <w:t xml:space="preserve">Latofski-Robles, M., Méndez-Sánchez, F., Aguirre-Muñoz, A., Jáuregui-García, C., Koleff-Osorio, P., González-Martínez, A. I., Born-Schmidt, G., Bernal-Stoopen, J., &amp; Rendón-Hernández, E. (2019). </w:t>
      </w:r>
      <w:r w:rsidRPr="007746C5">
        <w:rPr>
          <w:i/>
          <w:iCs/>
        </w:rPr>
        <w:t>Mexico’s island biosecurity programme: Collaborative formulation and implementation</w:t>
      </w:r>
      <w:r w:rsidRPr="007746C5">
        <w:t>. 5. https://www.islas.org.mx/articulos_files/Latofski-Robles%202019.pdf</w:t>
      </w:r>
    </w:p>
    <w:p w14:paraId="6523F15F" w14:textId="77777777" w:rsidR="007746C5" w:rsidRPr="007746C5" w:rsidRDefault="007746C5" w:rsidP="009A04E6">
      <w:pPr>
        <w:pStyle w:val="Bibliography"/>
        <w:spacing w:line="240" w:lineRule="auto"/>
      </w:pPr>
      <w:r w:rsidRPr="007746C5">
        <w:rPr>
          <w:rFonts w:hint="eastAsia"/>
        </w:rPr>
        <w:t xml:space="preserve">Latombe, G., Canavan, S., Hirsch, H., Hui, C., Kumschick, S., Nsikani, M. M., Potgieter, L. J., Robinson, T. B., Saul, W. </w:t>
      </w:r>
      <w:r w:rsidRPr="007746C5">
        <w:rPr>
          <w:rFonts w:hint="eastAsia"/>
        </w:rPr>
        <w:t>‐</w:t>
      </w:r>
      <w:r w:rsidRPr="007746C5">
        <w:rPr>
          <w:rFonts w:hint="eastAsia"/>
        </w:rPr>
        <w:t>C., Turner, S. C., Wilson, J. R. U., Yannelli, F. A., &amp; Richardson, D. M. (2019). A four</w:t>
      </w:r>
      <w:r w:rsidRPr="007746C5">
        <w:rPr>
          <w:rFonts w:hint="eastAsia"/>
        </w:rPr>
        <w:t>‐</w:t>
      </w:r>
      <w:r w:rsidRPr="007746C5">
        <w:rPr>
          <w:rFonts w:hint="eastAsia"/>
        </w:rPr>
        <w:t xml:space="preserve">component classification of uncertainties in biological </w:t>
      </w:r>
      <w:r w:rsidRPr="007746C5">
        <w:rPr>
          <w:rFonts w:hint="eastAsia"/>
        </w:rPr>
        <w:lastRenderedPageBreak/>
        <w:t xml:space="preserve">invasions: Implications for management. </w:t>
      </w:r>
      <w:r w:rsidRPr="007746C5">
        <w:rPr>
          <w:i/>
          <w:iCs/>
        </w:rPr>
        <w:t>Ecosphere</w:t>
      </w:r>
      <w:r w:rsidRPr="007746C5">
        <w:t xml:space="preserve">, </w:t>
      </w:r>
      <w:r w:rsidRPr="007746C5">
        <w:rPr>
          <w:i/>
          <w:iCs/>
        </w:rPr>
        <w:t>10</w:t>
      </w:r>
      <w:r w:rsidRPr="007746C5">
        <w:t>(4), e02669. https://doi.org/10.1002/ecs2.2669</w:t>
      </w:r>
    </w:p>
    <w:p w14:paraId="2EEFB9C1" w14:textId="77777777" w:rsidR="007746C5" w:rsidRPr="007746C5" w:rsidRDefault="007746C5" w:rsidP="009A04E6">
      <w:pPr>
        <w:pStyle w:val="Bibliography"/>
        <w:spacing w:line="240" w:lineRule="auto"/>
      </w:pPr>
      <w:r w:rsidRPr="007746C5">
        <w:t xml:space="preserve">Lau, H. Y., &amp; Botella, J. R. (2017). Advanced DNA-Based Point-of-Care Diagnostic Methods for Plant Diseases Detection. </w:t>
      </w:r>
      <w:r w:rsidRPr="007746C5">
        <w:rPr>
          <w:i/>
          <w:iCs/>
        </w:rPr>
        <w:t>Frontiers in Plant Science</w:t>
      </w:r>
      <w:r w:rsidRPr="007746C5">
        <w:t xml:space="preserve">, </w:t>
      </w:r>
      <w:r w:rsidRPr="007746C5">
        <w:rPr>
          <w:i/>
          <w:iCs/>
        </w:rPr>
        <w:t>8</w:t>
      </w:r>
      <w:r w:rsidRPr="007746C5">
        <w:t>, 2016. https://doi.org/10.3389/fpls.2017.02016</w:t>
      </w:r>
    </w:p>
    <w:p w14:paraId="3DB5FEB3" w14:textId="77777777" w:rsidR="007746C5" w:rsidRPr="007746C5" w:rsidRDefault="007746C5" w:rsidP="009A04E6">
      <w:pPr>
        <w:pStyle w:val="Bibliography"/>
        <w:spacing w:line="240" w:lineRule="auto"/>
      </w:pPr>
      <w:r w:rsidRPr="007746C5">
        <w:t xml:space="preserve">Lawrence, A. (2006). ‘No Personal Motive?’ Volunteers, Biodiversity, and the False Dichotomies of Participation. </w:t>
      </w:r>
      <w:r w:rsidRPr="007746C5">
        <w:rPr>
          <w:i/>
          <w:iCs/>
        </w:rPr>
        <w:t>Ethics, Place &amp; Environment</w:t>
      </w:r>
      <w:r w:rsidRPr="007746C5">
        <w:t xml:space="preserve">, </w:t>
      </w:r>
      <w:r w:rsidRPr="007746C5">
        <w:rPr>
          <w:i/>
          <w:iCs/>
        </w:rPr>
        <w:t>9</w:t>
      </w:r>
      <w:r w:rsidRPr="007746C5">
        <w:t>(3), 279–298. https://doi.org/10.1080/13668790600893319</w:t>
      </w:r>
    </w:p>
    <w:p w14:paraId="09F8EDDA" w14:textId="77777777" w:rsidR="007746C5" w:rsidRPr="007746C5" w:rsidRDefault="007746C5" w:rsidP="009A04E6">
      <w:pPr>
        <w:pStyle w:val="Bibliography"/>
        <w:spacing w:line="240" w:lineRule="auto"/>
      </w:pPr>
      <w:r w:rsidRPr="007746C5">
        <w:t xml:space="preserve">Laycock, H., Moran, D., Smart, J., Raffaelli, D., &amp; White, P. (2009). Evaluating the cost-effectiveness of conservation: The UK Biodiversity Action Plan. </w:t>
      </w:r>
      <w:r w:rsidRPr="007746C5">
        <w:rPr>
          <w:i/>
          <w:iCs/>
        </w:rPr>
        <w:t>Biological Conservation</w:t>
      </w:r>
      <w:r w:rsidRPr="007746C5">
        <w:t xml:space="preserve">, </w:t>
      </w:r>
      <w:r w:rsidRPr="007746C5">
        <w:rPr>
          <w:i/>
          <w:iCs/>
        </w:rPr>
        <w:t>142</w:t>
      </w:r>
      <w:r w:rsidRPr="007746C5">
        <w:t>(12), 3120–3127. https://doi.org/10.1016/j.biocon.2009.08.010</w:t>
      </w:r>
    </w:p>
    <w:p w14:paraId="2DC968FD" w14:textId="77777777" w:rsidR="007746C5" w:rsidRPr="007746C5" w:rsidRDefault="007746C5" w:rsidP="009A04E6">
      <w:pPr>
        <w:pStyle w:val="Bibliography"/>
        <w:spacing w:line="240" w:lineRule="auto"/>
      </w:pPr>
      <w:r w:rsidRPr="007746C5">
        <w:t xml:space="preserve">Lee, J. J. H., Frey, K., Fitch, R., &amp; Sukkarieh, S. (2014, January 1). Fast path planning for precision weeding. </w:t>
      </w:r>
      <w:r w:rsidRPr="007746C5">
        <w:rPr>
          <w:i/>
          <w:iCs/>
        </w:rPr>
        <w:t>Proceedings of Australasian Conference on Robotics and Automation</w:t>
      </w:r>
      <w:r w:rsidRPr="007746C5">
        <w:t>. Australasian Conference on Robotics and Automation. https://opus.lib.uts.edu.au/handle/10453/106135</w:t>
      </w:r>
    </w:p>
    <w:p w14:paraId="22CD6C82" w14:textId="77777777" w:rsidR="007746C5" w:rsidRPr="007746C5" w:rsidRDefault="007746C5" w:rsidP="009A04E6">
      <w:pPr>
        <w:pStyle w:val="Bibliography"/>
        <w:spacing w:line="240" w:lineRule="auto"/>
      </w:pPr>
      <w:r w:rsidRPr="007746C5">
        <w:t xml:space="preserve">Legros, M., Marshall, J. M., Macfadyen, S., Hayes, K. R., Sheppard, A., &amp; Barrett, L. G. (2021). Gene drive strategies of pest control in agricultural systems: Challenges and opportunities. </w:t>
      </w:r>
      <w:r w:rsidRPr="007746C5">
        <w:rPr>
          <w:i/>
          <w:iCs/>
        </w:rPr>
        <w:t>Evolutionary Applications</w:t>
      </w:r>
      <w:r w:rsidRPr="007746C5">
        <w:t xml:space="preserve">, </w:t>
      </w:r>
      <w:r w:rsidRPr="007746C5">
        <w:rPr>
          <w:i/>
          <w:iCs/>
        </w:rPr>
        <w:t>14</w:t>
      </w:r>
      <w:r w:rsidRPr="007746C5">
        <w:t>(9), 2162–2178. https://doi.org/10.1111/eva.13285</w:t>
      </w:r>
    </w:p>
    <w:p w14:paraId="3DC86C5A" w14:textId="77777777" w:rsidR="007746C5" w:rsidRPr="007746C5" w:rsidRDefault="007746C5" w:rsidP="009A04E6">
      <w:pPr>
        <w:pStyle w:val="Bibliography"/>
        <w:spacing w:line="240" w:lineRule="auto"/>
      </w:pPr>
      <w:r w:rsidRPr="007746C5">
        <w:t xml:space="preserve">Lehmann, J. R. K., Prinz, T., Ziller, S. R., Thiele, J., Heringer, G., Meira-Neto, J. A. A., &amp; Buttschardt, T. K. (2017). Open-Source Processing and Analysis of Aerial Imagery Acquired with a Low-Cost Unmanned Aerial System to Support Invasive Plant Management. </w:t>
      </w:r>
      <w:r w:rsidRPr="007746C5">
        <w:rPr>
          <w:i/>
          <w:iCs/>
        </w:rPr>
        <w:t>Frontiers in Environmental Science</w:t>
      </w:r>
      <w:r w:rsidRPr="007746C5">
        <w:t xml:space="preserve">, </w:t>
      </w:r>
      <w:r w:rsidRPr="007746C5">
        <w:rPr>
          <w:i/>
          <w:iCs/>
        </w:rPr>
        <w:t>5</w:t>
      </w:r>
      <w:r w:rsidRPr="007746C5">
        <w:t>. https://doi.org/10.3389/fenvs.2017.00044</w:t>
      </w:r>
    </w:p>
    <w:p w14:paraId="4CF18A38" w14:textId="77777777" w:rsidR="007746C5" w:rsidRPr="007746C5" w:rsidRDefault="007746C5" w:rsidP="009A04E6">
      <w:pPr>
        <w:pStyle w:val="Bibliography"/>
        <w:spacing w:line="240" w:lineRule="auto"/>
      </w:pPr>
      <w:r w:rsidRPr="007746C5">
        <w:t xml:space="preserve">Lehtiniemi, M., Ojaveer, H., David, M., Galil, B., Gollasch, S., McKenzie, C., Minchin, D., Occhipinti-Ambrogi, A., Olenin, S., &amp; Pederson, J. (2015). Dose of truth-Monitoring marine non-indigenous species to serve legislative requirements. </w:t>
      </w:r>
      <w:r w:rsidRPr="007746C5">
        <w:rPr>
          <w:i/>
          <w:iCs/>
        </w:rPr>
        <w:t>Marine Policy</w:t>
      </w:r>
      <w:r w:rsidRPr="007746C5">
        <w:t xml:space="preserve">, </w:t>
      </w:r>
      <w:r w:rsidRPr="007746C5">
        <w:rPr>
          <w:i/>
          <w:iCs/>
        </w:rPr>
        <w:t>54</w:t>
      </w:r>
      <w:r w:rsidRPr="007746C5">
        <w:t>, 26–35. https://doi.org/10.1016/j.marpol.2014.12.015</w:t>
      </w:r>
    </w:p>
    <w:p w14:paraId="695051CB" w14:textId="77777777" w:rsidR="007746C5" w:rsidRPr="007746C5" w:rsidRDefault="007746C5" w:rsidP="009A04E6">
      <w:pPr>
        <w:pStyle w:val="Bibliography"/>
        <w:spacing w:line="240" w:lineRule="auto"/>
      </w:pPr>
      <w:r w:rsidRPr="007746C5">
        <w:t xml:space="preserve">Lenzner, B., Vicente, J., &amp; Roy, H. E. (2021). </w:t>
      </w:r>
      <w:r w:rsidRPr="007746C5">
        <w:rPr>
          <w:i/>
          <w:iCs/>
        </w:rPr>
        <w:t>IPBES IAS assessment, data management report for Scenarios and Models Liaison</w:t>
      </w:r>
      <w:r w:rsidRPr="007746C5">
        <w:t>. https://doi.org/10.5281/ZENODO.5706521</w:t>
      </w:r>
    </w:p>
    <w:p w14:paraId="495ED594" w14:textId="77777777" w:rsidR="007746C5" w:rsidRPr="007746C5" w:rsidRDefault="007746C5" w:rsidP="009A04E6">
      <w:pPr>
        <w:pStyle w:val="Bibliography"/>
        <w:spacing w:line="240" w:lineRule="auto"/>
      </w:pPr>
      <w:r w:rsidRPr="007746C5">
        <w:t xml:space="preserve">Lessa, I., Guimarães, T. C. S., Bergallo, H. de G., Cunha, A., &amp; Vieira, E. M. (2016). Domestic dogs in protected areas: A threat to Brazilian mammals? </w:t>
      </w:r>
      <w:r w:rsidRPr="007746C5">
        <w:rPr>
          <w:i/>
          <w:iCs/>
        </w:rPr>
        <w:t>Natureza &amp; Conservação</w:t>
      </w:r>
      <w:r w:rsidRPr="007746C5">
        <w:t xml:space="preserve">, </w:t>
      </w:r>
      <w:r w:rsidRPr="007746C5">
        <w:rPr>
          <w:i/>
          <w:iCs/>
        </w:rPr>
        <w:t>14</w:t>
      </w:r>
      <w:r w:rsidRPr="007746C5">
        <w:t>(2), 46–56. https://doi.org/10.1016/j.ncon.2016.05.001</w:t>
      </w:r>
    </w:p>
    <w:p w14:paraId="563459C5" w14:textId="77777777" w:rsidR="007746C5" w:rsidRPr="007746C5" w:rsidRDefault="007746C5" w:rsidP="009A04E6">
      <w:pPr>
        <w:pStyle w:val="Bibliography"/>
        <w:spacing w:line="240" w:lineRule="auto"/>
      </w:pPr>
      <w:r w:rsidRPr="007746C5">
        <w:t xml:space="preserve">Leung, B., Roura-Pascual, N., Bacher, S., Heikkila, J., Brotons, L., Burgman, M. A., Dehnen-Schmutz, K., Essl, F., Hulme, P. E., Richardson, D. M., Sol, D., &amp; Vilà, M. (2012). TEASIng apart alien species risk assessments: A framework for best practices. </w:t>
      </w:r>
      <w:r w:rsidRPr="007746C5">
        <w:rPr>
          <w:i/>
          <w:iCs/>
        </w:rPr>
        <w:t>Ecology Letters</w:t>
      </w:r>
      <w:r w:rsidRPr="007746C5">
        <w:t xml:space="preserve">, </w:t>
      </w:r>
      <w:r w:rsidRPr="007746C5">
        <w:rPr>
          <w:i/>
          <w:iCs/>
        </w:rPr>
        <w:t>15</w:t>
      </w:r>
      <w:r w:rsidRPr="007746C5">
        <w:t>(12), 1475–1493. https://doi.org/10.1111/ele.12003</w:t>
      </w:r>
    </w:p>
    <w:p w14:paraId="3164AD97" w14:textId="77777777" w:rsidR="007746C5" w:rsidRPr="007746C5" w:rsidRDefault="007746C5" w:rsidP="009A04E6">
      <w:pPr>
        <w:pStyle w:val="Bibliography"/>
        <w:spacing w:line="240" w:lineRule="auto"/>
      </w:pPr>
      <w:r w:rsidRPr="007746C5">
        <w:t xml:space="preserve">Leung, B., Springborn, M. R., Turner, J. A., &amp; Brockerhoff, E. G. (2014). Pathway-level risk analysis: The net present value of an invasive species policy in the US. </w:t>
      </w:r>
      <w:r w:rsidRPr="007746C5">
        <w:rPr>
          <w:i/>
          <w:iCs/>
        </w:rPr>
        <w:t>Frontiers in Ecology and the Environment</w:t>
      </w:r>
      <w:r w:rsidRPr="007746C5">
        <w:t xml:space="preserve">, </w:t>
      </w:r>
      <w:r w:rsidRPr="007746C5">
        <w:rPr>
          <w:i/>
          <w:iCs/>
        </w:rPr>
        <w:t>12</w:t>
      </w:r>
      <w:r w:rsidRPr="007746C5">
        <w:t>(5), 273–279. https://doi.org/10.1890/130311</w:t>
      </w:r>
    </w:p>
    <w:p w14:paraId="7E643738" w14:textId="77777777" w:rsidR="007746C5" w:rsidRPr="007746C5" w:rsidRDefault="007746C5" w:rsidP="009A04E6">
      <w:pPr>
        <w:pStyle w:val="Bibliography"/>
        <w:spacing w:line="240" w:lineRule="auto"/>
      </w:pPr>
      <w:r w:rsidRPr="007746C5">
        <w:t xml:space="preserve">Leung Brian, Lodge David M., Finnoff David, Shogren Jason F., Lewis Mark A., &amp; Lamberti Gary. (2002). An ounce of prevention or a pound of cure: Bioeconomic risk analysis of invasive species. </w:t>
      </w:r>
      <w:r w:rsidRPr="007746C5">
        <w:rPr>
          <w:i/>
          <w:iCs/>
        </w:rPr>
        <w:t>Proceedings of the Royal Society of London. Series B: Biological Sciences</w:t>
      </w:r>
      <w:r w:rsidRPr="007746C5">
        <w:t xml:space="preserve">, </w:t>
      </w:r>
      <w:r w:rsidRPr="007746C5">
        <w:rPr>
          <w:i/>
          <w:iCs/>
        </w:rPr>
        <w:t>269</w:t>
      </w:r>
      <w:r w:rsidRPr="007746C5">
        <w:t>(1508), 2407–2413. https://doi.org/10.1098/rspb.2002.2179</w:t>
      </w:r>
    </w:p>
    <w:p w14:paraId="65A7567A" w14:textId="77777777" w:rsidR="007746C5" w:rsidRPr="007746C5" w:rsidRDefault="007746C5" w:rsidP="009A04E6">
      <w:pPr>
        <w:pStyle w:val="Bibliography"/>
        <w:spacing w:line="240" w:lineRule="auto"/>
      </w:pPr>
      <w:r w:rsidRPr="007746C5">
        <w:t>Lewis, J. S., Corn, J. L., Mayer, J. J., Jordan, T. R., Farnsworth, M. L., Burdett, C. L., VerCauteren, K. C., Sweeney, S. J., &amp; Miller, R. S. (2019). Historical, current, and potential population size estimates of invasive wild pigs (</w:t>
      </w:r>
      <w:r w:rsidRPr="007746C5">
        <w:rPr>
          <w:i/>
          <w:iCs/>
        </w:rPr>
        <w:t>Sus scrofa</w:t>
      </w:r>
      <w:r w:rsidRPr="007746C5">
        <w:t xml:space="preserve">) in the United States. </w:t>
      </w:r>
      <w:r w:rsidRPr="007746C5">
        <w:rPr>
          <w:i/>
          <w:iCs/>
        </w:rPr>
        <w:t>Biological Invasions</w:t>
      </w:r>
      <w:r w:rsidRPr="007746C5">
        <w:t xml:space="preserve">, </w:t>
      </w:r>
      <w:r w:rsidRPr="007746C5">
        <w:rPr>
          <w:i/>
          <w:iCs/>
        </w:rPr>
        <w:t>21</w:t>
      </w:r>
      <w:r w:rsidRPr="007746C5">
        <w:t>(7), 2373–2384. https://doi.org/10.1007/s10530-019-01983-1</w:t>
      </w:r>
    </w:p>
    <w:p w14:paraId="5FAD7F54" w14:textId="77777777" w:rsidR="007746C5" w:rsidRPr="007746C5" w:rsidRDefault="007746C5" w:rsidP="009A04E6">
      <w:pPr>
        <w:pStyle w:val="Bibliography"/>
        <w:spacing w:line="240" w:lineRule="auto"/>
      </w:pPr>
      <w:r w:rsidRPr="007746C5">
        <w:t xml:space="preserve">Li, K., Kusy, B., Jurdak, R., Ignjatovic, A., Kanhere, S. S., &amp; Jha, S. (2014). κ-FSOM: Fair Link Scheduling Optimization for Energy-Aware Data Collection in Mobile Sensor Networks. In B. Krishnamachari, A. L. Murphy, &amp; N. Trigoni (Eds.), </w:t>
      </w:r>
      <w:r w:rsidRPr="007746C5">
        <w:rPr>
          <w:i/>
          <w:iCs/>
        </w:rPr>
        <w:t>Wireless Sensor Networks</w:t>
      </w:r>
      <w:r w:rsidRPr="007746C5">
        <w:t xml:space="preserve"> (Vol. 8354, pp. 17–33). Springer International Publishing. https://doi.org/10.1007/978-3-319-04651-8_2</w:t>
      </w:r>
    </w:p>
    <w:p w14:paraId="1DFAA0C5" w14:textId="77777777" w:rsidR="007746C5" w:rsidRPr="007746C5" w:rsidRDefault="007746C5" w:rsidP="009A04E6">
      <w:pPr>
        <w:pStyle w:val="Bibliography"/>
        <w:spacing w:line="240" w:lineRule="auto"/>
      </w:pPr>
      <w:r w:rsidRPr="007746C5">
        <w:lastRenderedPageBreak/>
        <w:t>Li, Z., Zalucki, M. P., Yonow, T., Kriticos, D. J., Bao, H., Chen, H., Hu, Z., Feng, X., &amp; Furlong, M. J. (2016). Population dynamics and management of diamondback moth (</w:t>
      </w:r>
      <w:r w:rsidRPr="007746C5">
        <w:rPr>
          <w:i/>
          <w:iCs/>
        </w:rPr>
        <w:t>Plutella xylostella</w:t>
      </w:r>
      <w:r w:rsidRPr="007746C5">
        <w:t xml:space="preserve">) in China: The relative contributions of climate, natural enemies and cropping patterns. </w:t>
      </w:r>
      <w:r w:rsidRPr="007746C5">
        <w:rPr>
          <w:i/>
          <w:iCs/>
        </w:rPr>
        <w:t>Bulletin of Entomological Research</w:t>
      </w:r>
      <w:r w:rsidRPr="007746C5">
        <w:t xml:space="preserve">, </w:t>
      </w:r>
      <w:r w:rsidRPr="007746C5">
        <w:rPr>
          <w:i/>
          <w:iCs/>
        </w:rPr>
        <w:t>106</w:t>
      </w:r>
      <w:r w:rsidRPr="007746C5">
        <w:t>(2), 197–214. https://doi.org/10.1017/S0007485315001017</w:t>
      </w:r>
    </w:p>
    <w:p w14:paraId="32F66495" w14:textId="77777777" w:rsidR="007746C5" w:rsidRPr="007746C5" w:rsidRDefault="007746C5" w:rsidP="009A04E6">
      <w:pPr>
        <w:pStyle w:val="Bibliography"/>
        <w:spacing w:line="240" w:lineRule="auto"/>
      </w:pPr>
      <w:r w:rsidRPr="007746C5">
        <w:t xml:space="preserve">Liebhold, A. M., Berec, L., Brockerhoff, E. G., Epanchin-Niell, R. S., Hastings, A., Herms, D. A., Kean, J. M., McCullough, D. G., Suckling, D. M., Tobin, P. C., &amp; Yamanaka, T. (2016). Eradication of Invading Insect Populations: From Concepts to Applications. </w:t>
      </w:r>
      <w:r w:rsidRPr="007746C5">
        <w:rPr>
          <w:i/>
          <w:iCs/>
        </w:rPr>
        <w:t>Annual Review of Entomology</w:t>
      </w:r>
      <w:r w:rsidRPr="007746C5">
        <w:t xml:space="preserve">, </w:t>
      </w:r>
      <w:r w:rsidRPr="007746C5">
        <w:rPr>
          <w:i/>
          <w:iCs/>
        </w:rPr>
        <w:t>61</w:t>
      </w:r>
      <w:r w:rsidRPr="007746C5">
        <w:t>(1), 335–352. https://doi.org/10.1146/annurev-ento-010715-023809</w:t>
      </w:r>
    </w:p>
    <w:p w14:paraId="317D78C1" w14:textId="77777777" w:rsidR="007746C5" w:rsidRPr="007746C5" w:rsidRDefault="007746C5" w:rsidP="009A04E6">
      <w:pPr>
        <w:pStyle w:val="Bibliography"/>
        <w:spacing w:line="240" w:lineRule="auto"/>
      </w:pPr>
      <w:r w:rsidRPr="007746C5">
        <w:t xml:space="preserve">Liebhold, A. M., &amp; Kean, J. M. (2019). Eradication and containment of non-native forest insects: Successes and failures. </w:t>
      </w:r>
      <w:r w:rsidRPr="007746C5">
        <w:rPr>
          <w:i/>
          <w:iCs/>
        </w:rPr>
        <w:t>Journal of Pest Science</w:t>
      </w:r>
      <w:r w:rsidRPr="007746C5">
        <w:t xml:space="preserve">, </w:t>
      </w:r>
      <w:r w:rsidRPr="007746C5">
        <w:rPr>
          <w:i/>
          <w:iCs/>
        </w:rPr>
        <w:t>92</w:t>
      </w:r>
      <w:r w:rsidRPr="007746C5">
        <w:t>(1), 83–91. https://doi.org/10.1007/s10340-018-1056-z</w:t>
      </w:r>
    </w:p>
    <w:p w14:paraId="358E48AC" w14:textId="77777777" w:rsidR="007746C5" w:rsidRPr="007746C5" w:rsidRDefault="007746C5" w:rsidP="009A04E6">
      <w:pPr>
        <w:pStyle w:val="Bibliography"/>
        <w:spacing w:line="240" w:lineRule="auto"/>
      </w:pPr>
      <w:r w:rsidRPr="007746C5">
        <w:t xml:space="preserve">Liebman, M., Mohler, C. L., &amp; Staver, C. P. (2001). </w:t>
      </w:r>
      <w:r w:rsidRPr="007746C5">
        <w:rPr>
          <w:i/>
          <w:iCs/>
        </w:rPr>
        <w:t>Ecological Management of Agricultural Weeds</w:t>
      </w:r>
      <w:r w:rsidRPr="007746C5">
        <w:t>. Cambridge University Press.</w:t>
      </w:r>
    </w:p>
    <w:p w14:paraId="2E86D00B" w14:textId="77777777" w:rsidR="007746C5" w:rsidRPr="007746C5" w:rsidRDefault="007746C5" w:rsidP="009A04E6">
      <w:pPr>
        <w:pStyle w:val="Bibliography"/>
        <w:spacing w:line="240" w:lineRule="auto"/>
      </w:pPr>
      <w:r w:rsidRPr="007746C5">
        <w:t xml:space="preserve">LIFE STOPVESPA. (2021). </w:t>
      </w:r>
      <w:r w:rsidRPr="007746C5">
        <w:rPr>
          <w:i/>
          <w:iCs/>
        </w:rPr>
        <w:t>Vespa Velutina—The Project</w:t>
      </w:r>
      <w:r w:rsidRPr="007746C5">
        <w:t>. https://www.vespavelutina.eu/en-us/the-project/The-radar</w:t>
      </w:r>
    </w:p>
    <w:p w14:paraId="04E7FC82" w14:textId="77777777" w:rsidR="007746C5" w:rsidRPr="007746C5" w:rsidRDefault="007746C5" w:rsidP="009A04E6">
      <w:pPr>
        <w:pStyle w:val="Bibliography"/>
        <w:spacing w:line="240" w:lineRule="auto"/>
      </w:pPr>
      <w:r w:rsidRPr="007746C5">
        <w:t xml:space="preserve">Lim, C. H., Lee, J., Choi, Y., Park, J. W., &amp; Kim, H. K. (2021). Advanced container inspection system based on dual-angle X-ray imaging method. </w:t>
      </w:r>
      <w:r w:rsidRPr="007746C5">
        <w:rPr>
          <w:i/>
          <w:iCs/>
        </w:rPr>
        <w:t>Journal of Instrumentation</w:t>
      </w:r>
      <w:r w:rsidRPr="007746C5">
        <w:t xml:space="preserve">, </w:t>
      </w:r>
      <w:r w:rsidRPr="007746C5">
        <w:rPr>
          <w:i/>
          <w:iCs/>
        </w:rPr>
        <w:t>16</w:t>
      </w:r>
      <w:r w:rsidRPr="007746C5">
        <w:t>(08), P08037. https://doi.org/10.1088/1748-0221/16/08/P08037</w:t>
      </w:r>
    </w:p>
    <w:p w14:paraId="52CEB7C7" w14:textId="77777777" w:rsidR="007746C5" w:rsidRPr="007746C5" w:rsidRDefault="007746C5" w:rsidP="009A04E6">
      <w:pPr>
        <w:pStyle w:val="Bibliography"/>
        <w:spacing w:line="240" w:lineRule="auto"/>
      </w:pPr>
      <w:r w:rsidRPr="007746C5">
        <w:t xml:space="preserve">Lim, Z. X., Robinson, K. E., Jain, R. G., Sharath Chandra, G., Asokan, R., Asgari, S., &amp; Mitter, N. (2016). Diet-delivered RNAi in </w:t>
      </w:r>
      <w:r w:rsidRPr="007746C5">
        <w:rPr>
          <w:i/>
          <w:iCs/>
        </w:rPr>
        <w:t>Helicoverpa armigera</w:t>
      </w:r>
      <w:r w:rsidRPr="007746C5">
        <w:t xml:space="preserve"> – Progresses and challenges. </w:t>
      </w:r>
      <w:r w:rsidRPr="007746C5">
        <w:rPr>
          <w:i/>
          <w:iCs/>
        </w:rPr>
        <w:t>Journal of Insect Physiology</w:t>
      </w:r>
      <w:r w:rsidRPr="007746C5">
        <w:t xml:space="preserve">, </w:t>
      </w:r>
      <w:r w:rsidRPr="007746C5">
        <w:rPr>
          <w:i/>
          <w:iCs/>
        </w:rPr>
        <w:t>85</w:t>
      </w:r>
      <w:r w:rsidRPr="007746C5">
        <w:t>, 86–93. https://doi.org/10.1016/j.jinsphys.2015.11.005</w:t>
      </w:r>
    </w:p>
    <w:p w14:paraId="5F6D421B" w14:textId="77777777" w:rsidR="007746C5" w:rsidRPr="007746C5" w:rsidRDefault="007746C5" w:rsidP="009A04E6">
      <w:pPr>
        <w:pStyle w:val="Bibliography"/>
        <w:spacing w:line="240" w:lineRule="auto"/>
      </w:pPr>
      <w:r w:rsidRPr="007746C5">
        <w:t xml:space="preserve">Linke, L. M., Wilusz, J., Pabilonia, K. L., Fruehauf, J., Magnuson, R., Olea-Popelka, F., Triantis, J., Landolt, G., &amp; Salman, M. (2016). Inhibiting avian influenza virus shedding using a novel RNAi antiviral vector technology: Proof of concept in an avian cell model. </w:t>
      </w:r>
      <w:r w:rsidRPr="007746C5">
        <w:rPr>
          <w:i/>
          <w:iCs/>
        </w:rPr>
        <w:t>AMB Express</w:t>
      </w:r>
      <w:r w:rsidRPr="007746C5">
        <w:t xml:space="preserve">, </w:t>
      </w:r>
      <w:r w:rsidRPr="007746C5">
        <w:rPr>
          <w:i/>
          <w:iCs/>
        </w:rPr>
        <w:t>6</w:t>
      </w:r>
      <w:r w:rsidRPr="007746C5">
        <w:t>(1), 16. https://doi.org/10.1186/s13568-016-0187-y</w:t>
      </w:r>
    </w:p>
    <w:p w14:paraId="7D8DE676" w14:textId="77777777" w:rsidR="007746C5" w:rsidRPr="007746C5" w:rsidRDefault="007746C5" w:rsidP="009A04E6">
      <w:pPr>
        <w:pStyle w:val="Bibliography"/>
        <w:spacing w:line="240" w:lineRule="auto"/>
      </w:pPr>
      <w:r w:rsidRPr="007746C5">
        <w:t xml:space="preserve">Liu, C., Wolter, C., Xian, W., &amp; Jeschke, J. M. (2020). Species distribution models have limited spatial transferability for invasive species. </w:t>
      </w:r>
      <w:r w:rsidRPr="007746C5">
        <w:rPr>
          <w:i/>
          <w:iCs/>
        </w:rPr>
        <w:t>Ecology Letters</w:t>
      </w:r>
      <w:r w:rsidRPr="007746C5">
        <w:t xml:space="preserve">, </w:t>
      </w:r>
      <w:r w:rsidRPr="007746C5">
        <w:rPr>
          <w:i/>
          <w:iCs/>
        </w:rPr>
        <w:t>23</w:t>
      </w:r>
      <w:r w:rsidRPr="007746C5">
        <w:t>(11), 1682–1692. https://doi.org/10.1111/ele.13577</w:t>
      </w:r>
    </w:p>
    <w:p w14:paraId="47CF4935" w14:textId="77777777" w:rsidR="007746C5" w:rsidRPr="007746C5" w:rsidRDefault="007746C5" w:rsidP="009A04E6">
      <w:pPr>
        <w:pStyle w:val="Bibliography"/>
        <w:spacing w:line="240" w:lineRule="auto"/>
      </w:pPr>
      <w:r w:rsidRPr="007746C5">
        <w:t xml:space="preserve">Liu, S., Maclean, K., &amp; Robinson, C. (2019). A cost-effective framework to prioritise stakeholder participation options. </w:t>
      </w:r>
      <w:r w:rsidRPr="007746C5">
        <w:rPr>
          <w:i/>
          <w:iCs/>
        </w:rPr>
        <w:t>EURO Journal on Decision Processes</w:t>
      </w:r>
      <w:r w:rsidRPr="007746C5">
        <w:t xml:space="preserve">, </w:t>
      </w:r>
      <w:r w:rsidRPr="007746C5">
        <w:rPr>
          <w:i/>
          <w:iCs/>
        </w:rPr>
        <w:t>7</w:t>
      </w:r>
      <w:r w:rsidRPr="007746C5">
        <w:t>(3–4), 221–241. https://doi.org/10.1007/s40070-019-00103-7</w:t>
      </w:r>
    </w:p>
    <w:p w14:paraId="76385855" w14:textId="77777777" w:rsidR="007746C5" w:rsidRPr="007746C5" w:rsidRDefault="007746C5" w:rsidP="009A04E6">
      <w:pPr>
        <w:pStyle w:val="Bibliography"/>
        <w:spacing w:line="240" w:lineRule="auto"/>
      </w:pPr>
      <w:r w:rsidRPr="007746C5">
        <w:t xml:space="preserve">Liu, S., Proctor, W., &amp; Cook, D. (2010). Using an integrated fuzzy set and deliberative multi-criteria evaluation approach to facilitate decision-making in invasive species management. </w:t>
      </w:r>
      <w:r w:rsidRPr="007746C5">
        <w:rPr>
          <w:i/>
          <w:iCs/>
        </w:rPr>
        <w:t>Ecological Economics</w:t>
      </w:r>
      <w:r w:rsidRPr="007746C5">
        <w:t xml:space="preserve">, </w:t>
      </w:r>
      <w:r w:rsidRPr="007746C5">
        <w:rPr>
          <w:i/>
          <w:iCs/>
        </w:rPr>
        <w:t>69</w:t>
      </w:r>
      <w:r w:rsidRPr="007746C5">
        <w:t>(12), 2374–2382. https://doi.org/10.1016/j.ecolecon.2010.07.004</w:t>
      </w:r>
    </w:p>
    <w:p w14:paraId="6AA1AC2A" w14:textId="77777777" w:rsidR="007746C5" w:rsidRPr="007746C5" w:rsidRDefault="007746C5" w:rsidP="009A04E6">
      <w:pPr>
        <w:pStyle w:val="Bibliography"/>
        <w:spacing w:line="240" w:lineRule="auto"/>
      </w:pPr>
      <w:r w:rsidRPr="007746C5">
        <w:t xml:space="preserve">Liu, S., Sheppard, A., Kriticos, D. J., &amp; Cook, D. (2011). Incorporating uncertainty and social values in managing invasive alien species: A deliberative multi-criteria evaluation approach. </w:t>
      </w:r>
      <w:r w:rsidRPr="007746C5">
        <w:rPr>
          <w:i/>
          <w:iCs/>
        </w:rPr>
        <w:t>Biological Invasions</w:t>
      </w:r>
      <w:r w:rsidRPr="007746C5">
        <w:t xml:space="preserve">, </w:t>
      </w:r>
      <w:r w:rsidRPr="007746C5">
        <w:rPr>
          <w:i/>
          <w:iCs/>
        </w:rPr>
        <w:t>13</w:t>
      </w:r>
      <w:r w:rsidRPr="007746C5">
        <w:t>(10), 2323–2337. https://doi.org/10.1007/s10530-011-0045-4</w:t>
      </w:r>
    </w:p>
    <w:p w14:paraId="5756A7B0" w14:textId="77777777" w:rsidR="007746C5" w:rsidRPr="007746C5" w:rsidRDefault="007746C5" w:rsidP="009A04E6">
      <w:pPr>
        <w:pStyle w:val="Bibliography"/>
        <w:spacing w:line="240" w:lineRule="auto"/>
      </w:pPr>
      <w:r w:rsidRPr="007746C5">
        <w:t xml:space="preserve">Liu, X., Blackburn, T. M., Song, T., Li, X., Huang, C., &amp; Li, Y. (2019). Risks of biological invasion on the belt and road. </w:t>
      </w:r>
      <w:r w:rsidRPr="007746C5">
        <w:rPr>
          <w:i/>
          <w:iCs/>
        </w:rPr>
        <w:t>Current Biology</w:t>
      </w:r>
      <w:r w:rsidRPr="007746C5">
        <w:t xml:space="preserve">, </w:t>
      </w:r>
      <w:r w:rsidRPr="007746C5">
        <w:rPr>
          <w:i/>
          <w:iCs/>
        </w:rPr>
        <w:t>29</w:t>
      </w:r>
      <w:r w:rsidRPr="007746C5">
        <w:t>(3), 499-505.e4. https://doi.org/10.1016/j.cub.2018.12.036</w:t>
      </w:r>
    </w:p>
    <w:p w14:paraId="326C0260" w14:textId="77777777" w:rsidR="007746C5" w:rsidRPr="007746C5" w:rsidRDefault="007746C5" w:rsidP="009A04E6">
      <w:pPr>
        <w:pStyle w:val="Bibliography"/>
        <w:spacing w:line="240" w:lineRule="auto"/>
      </w:pPr>
      <w:r w:rsidRPr="007746C5">
        <w:t xml:space="preserve">Liu, X., Blackburn, T. M., Song, T., Wang, X., Huang, C., &amp; Li, Y. (2020). Animal invaders threaten protected areas worldwide. </w:t>
      </w:r>
      <w:r w:rsidRPr="007746C5">
        <w:rPr>
          <w:i/>
          <w:iCs/>
        </w:rPr>
        <w:t>Nature Communications</w:t>
      </w:r>
      <w:r w:rsidRPr="007746C5">
        <w:t xml:space="preserve">, </w:t>
      </w:r>
      <w:r w:rsidRPr="007746C5">
        <w:rPr>
          <w:i/>
          <w:iCs/>
        </w:rPr>
        <w:t>11</w:t>
      </w:r>
      <w:r w:rsidRPr="007746C5">
        <w:t>(1), 2892. https://doi.org/10.1038/s41467-020-16719-2</w:t>
      </w:r>
    </w:p>
    <w:p w14:paraId="74A3E4E1" w14:textId="77777777" w:rsidR="007746C5" w:rsidRPr="007746C5" w:rsidRDefault="007746C5" w:rsidP="009A04E6">
      <w:pPr>
        <w:pStyle w:val="Bibliography"/>
        <w:spacing w:line="240" w:lineRule="auto"/>
      </w:pPr>
      <w:r w:rsidRPr="007746C5">
        <w:t xml:space="preserve">Locke, A., Hanson, J. M., MacNair, N. G., &amp; Smith, A. H. (2009). Rapid response to non-indigenous species. 2. Case studies of invasive tunicates in Prince Edward Island. </w:t>
      </w:r>
      <w:r w:rsidRPr="007746C5">
        <w:rPr>
          <w:i/>
          <w:iCs/>
        </w:rPr>
        <w:t>Aquatic Invasions</w:t>
      </w:r>
      <w:r w:rsidRPr="007746C5">
        <w:t xml:space="preserve">, </w:t>
      </w:r>
      <w:r w:rsidRPr="007746C5">
        <w:rPr>
          <w:i/>
          <w:iCs/>
        </w:rPr>
        <w:t>4</w:t>
      </w:r>
      <w:r w:rsidRPr="007746C5">
        <w:t>(1), 249–258. https://doi.org/10.3391/ai.2009.4.1.25</w:t>
      </w:r>
    </w:p>
    <w:p w14:paraId="4E907AEE" w14:textId="77777777" w:rsidR="007746C5" w:rsidRPr="007746C5" w:rsidRDefault="007746C5" w:rsidP="009A04E6">
      <w:pPr>
        <w:pStyle w:val="Bibliography"/>
        <w:spacing w:line="240" w:lineRule="auto"/>
      </w:pPr>
      <w:r w:rsidRPr="007746C5">
        <w:t xml:space="preserve">Lodge, D. M., Simonin, P. W., Burgiel, S. W., Keller, R. P., Bossenbroek, J. M., Jerde, C. L., Kramer, A. M., Rutherford, E. S., Barnes, M. A., Wittmann, M. E., Chadderton, W. L., Apriesnig, J. L., Beletsky, D., Cooke, R. M., Drake, J. M., Egan, S. P., Finnoff, D. C., Gantz, C. A., Grey, E. K., … Zhang, H. (2016). Risk Analysis and Bioeconomics of </w:t>
      </w:r>
      <w:r w:rsidRPr="007746C5">
        <w:lastRenderedPageBreak/>
        <w:t xml:space="preserve">Invasive Species to Inform Policy and Management. </w:t>
      </w:r>
      <w:r w:rsidRPr="007746C5">
        <w:rPr>
          <w:i/>
          <w:iCs/>
        </w:rPr>
        <w:t>Annual Review of Environment and Resources</w:t>
      </w:r>
      <w:r w:rsidRPr="007746C5">
        <w:t xml:space="preserve">, </w:t>
      </w:r>
      <w:r w:rsidRPr="007746C5">
        <w:rPr>
          <w:i/>
          <w:iCs/>
        </w:rPr>
        <w:t>41</w:t>
      </w:r>
      <w:r w:rsidRPr="007746C5">
        <w:t>(1), 453–488. https://doi.org/10.1146/annurev-environ-110615-085532</w:t>
      </w:r>
    </w:p>
    <w:p w14:paraId="17C8EB95" w14:textId="77777777" w:rsidR="007746C5" w:rsidRPr="007746C5" w:rsidRDefault="007746C5" w:rsidP="009A04E6">
      <w:pPr>
        <w:pStyle w:val="Bibliography"/>
        <w:spacing w:line="240" w:lineRule="auto"/>
      </w:pPr>
      <w:r w:rsidRPr="007746C5">
        <w:t xml:space="preserve">Lohrmann, J., Cecchetto, N. R., Aizen, N., Arbetman, M. P., &amp; Zattara, E. E. (2022). When bio is not green: The impacts of bumblebee translocation and invasion on native ecosystems. </w:t>
      </w:r>
      <w:r w:rsidRPr="007746C5">
        <w:rPr>
          <w:i/>
          <w:iCs/>
        </w:rPr>
        <w:t>CABI Reviews</w:t>
      </w:r>
      <w:r w:rsidRPr="007746C5">
        <w:t xml:space="preserve">, </w:t>
      </w:r>
      <w:r w:rsidRPr="007746C5">
        <w:rPr>
          <w:i/>
          <w:iCs/>
        </w:rPr>
        <w:t>2022</w:t>
      </w:r>
      <w:r w:rsidRPr="007746C5">
        <w:t>. https://doi.org/10.1079/cabireviews202217006</w:t>
      </w:r>
    </w:p>
    <w:p w14:paraId="120274EB" w14:textId="77777777" w:rsidR="007746C5" w:rsidRPr="007746C5" w:rsidRDefault="007746C5" w:rsidP="009A04E6">
      <w:pPr>
        <w:pStyle w:val="Bibliography"/>
        <w:spacing w:line="240" w:lineRule="auto"/>
      </w:pPr>
      <w:r w:rsidRPr="007746C5">
        <w:t xml:space="preserve">Longcore, T., Rich, C., &amp; Sullivan, L. M. (2009). Critical Assessment of Claims Regarding Management of Feral Cats by Trap-Neuter-Return. </w:t>
      </w:r>
      <w:r w:rsidRPr="007746C5">
        <w:rPr>
          <w:i/>
          <w:iCs/>
        </w:rPr>
        <w:t>Conservation Biology</w:t>
      </w:r>
      <w:r w:rsidRPr="007746C5">
        <w:t xml:space="preserve">, </w:t>
      </w:r>
      <w:r w:rsidRPr="007746C5">
        <w:rPr>
          <w:i/>
          <w:iCs/>
        </w:rPr>
        <w:t>23</w:t>
      </w:r>
      <w:r w:rsidRPr="007746C5">
        <w:t>(4), 887–894. https://doi.org/10.1111/j.1523-1739.2009.01174.x</w:t>
      </w:r>
    </w:p>
    <w:p w14:paraId="034C2149" w14:textId="77777777" w:rsidR="007746C5" w:rsidRPr="007746C5" w:rsidRDefault="007746C5" w:rsidP="009A04E6">
      <w:pPr>
        <w:pStyle w:val="Bibliography"/>
        <w:spacing w:line="240" w:lineRule="auto"/>
      </w:pPr>
      <w:r w:rsidRPr="007746C5">
        <w:t xml:space="preserve">Lonsdale, W. M. (1994). Inviting trouble: Introduced pasture species in northern Australia. </w:t>
      </w:r>
      <w:r w:rsidRPr="007746C5">
        <w:rPr>
          <w:i/>
          <w:iCs/>
        </w:rPr>
        <w:t>Australian Journal of Ecology</w:t>
      </w:r>
      <w:r w:rsidRPr="007746C5">
        <w:t xml:space="preserve">, </w:t>
      </w:r>
      <w:r w:rsidRPr="007746C5">
        <w:rPr>
          <w:i/>
          <w:iCs/>
        </w:rPr>
        <w:t>19</w:t>
      </w:r>
      <w:r w:rsidRPr="007746C5">
        <w:t>(3), 345–354. https://doi.org/10.1111/j.1442-9993.1994.tb00498.x</w:t>
      </w:r>
    </w:p>
    <w:p w14:paraId="1AA58CB1" w14:textId="77777777" w:rsidR="007746C5" w:rsidRPr="007746C5" w:rsidRDefault="007746C5" w:rsidP="009A04E6">
      <w:pPr>
        <w:pStyle w:val="Bibliography"/>
        <w:spacing w:line="240" w:lineRule="auto"/>
      </w:pPr>
      <w:r w:rsidRPr="007746C5">
        <w:t xml:space="preserve">Loope, L. L., Hughes, R. F., &amp; Meyer, J.-Y. (2013). Plant Invasions in Protected Areas of Tropical Pacific Islands, with Special Reference to Hawaii. In L. C. Foxcroft, P. Pyšek, D. M. Richardson, &amp; P. Genovesi (Eds.), </w:t>
      </w:r>
      <w:r w:rsidRPr="007746C5">
        <w:rPr>
          <w:i/>
          <w:iCs/>
        </w:rPr>
        <w:t>Plant Invasions in Protected Areas: Patterns, Problems and Challenges</w:t>
      </w:r>
      <w:r w:rsidRPr="007746C5">
        <w:t xml:space="preserve"> (Vol. 7, pp. 313–348). Springer Netherlands. https://doi.org/10.1007/978-94-007-7750-7_15</w:t>
      </w:r>
    </w:p>
    <w:p w14:paraId="5C132B5B" w14:textId="77777777" w:rsidR="007746C5" w:rsidRPr="007746C5" w:rsidRDefault="007746C5" w:rsidP="009A04E6">
      <w:pPr>
        <w:pStyle w:val="Bibliography"/>
        <w:spacing w:line="240" w:lineRule="auto"/>
      </w:pPr>
      <w:r w:rsidRPr="007746C5">
        <w:t xml:space="preserve">Lopatin, J., Dolos, K., Kattenborn, T., &amp; Fassnacht, F. E. (2019). How canopy shadow affects invasive plant species classification in high spatial resolution remote sensing. </w:t>
      </w:r>
      <w:r w:rsidRPr="007746C5">
        <w:rPr>
          <w:i/>
          <w:iCs/>
        </w:rPr>
        <w:t>Remote Sensing in Ecology and Conservation</w:t>
      </w:r>
      <w:r w:rsidRPr="007746C5">
        <w:t xml:space="preserve">, </w:t>
      </w:r>
      <w:r w:rsidRPr="007746C5">
        <w:rPr>
          <w:i/>
          <w:iCs/>
        </w:rPr>
        <w:t>5</w:t>
      </w:r>
      <w:r w:rsidRPr="007746C5">
        <w:t>(4), 302–317. https://doi.org/10.1002/rse2.109</w:t>
      </w:r>
    </w:p>
    <w:p w14:paraId="667336B8" w14:textId="77777777" w:rsidR="007746C5" w:rsidRPr="007746C5" w:rsidRDefault="007746C5" w:rsidP="009A04E6">
      <w:pPr>
        <w:pStyle w:val="Bibliography"/>
        <w:spacing w:line="240" w:lineRule="auto"/>
      </w:pPr>
      <w:r w:rsidRPr="007746C5">
        <w:t xml:space="preserve">Lopez, C. B., Cloern, J. E., Schraga, T. S., Little, A. J., Lucas, L. V., Thompson, J. K., &amp; Burau, J. R. (2006). Ecological Values of Shallow-Water Habitats: Implications for the Restoration of Disturbed Ecosystems. </w:t>
      </w:r>
      <w:r w:rsidRPr="007746C5">
        <w:rPr>
          <w:i/>
          <w:iCs/>
        </w:rPr>
        <w:t>Ecosystems</w:t>
      </w:r>
      <w:r w:rsidRPr="007746C5">
        <w:t xml:space="preserve">, </w:t>
      </w:r>
      <w:r w:rsidRPr="007746C5">
        <w:rPr>
          <w:i/>
          <w:iCs/>
        </w:rPr>
        <w:t>9</w:t>
      </w:r>
      <w:r w:rsidRPr="007746C5">
        <w:t>(3), 422–440. https://doi.org/10.1007/s10021-005-0113-7</w:t>
      </w:r>
    </w:p>
    <w:p w14:paraId="6D0729ED" w14:textId="77777777" w:rsidR="007746C5" w:rsidRPr="007746C5" w:rsidRDefault="007746C5" w:rsidP="009A04E6">
      <w:pPr>
        <w:pStyle w:val="Bibliography"/>
        <w:spacing w:line="240" w:lineRule="auto"/>
      </w:pPr>
      <w:r w:rsidRPr="007746C5">
        <w:t xml:space="preserve">López, O., Rach, M. M., Migallon, H., Malumbres, M. P., Bonastre, A., &amp; Serrano, J. J. (2012). Monitoring Pest Insect Traps by Means of Low-Power Image Sensor Technologies. </w:t>
      </w:r>
      <w:r w:rsidRPr="007746C5">
        <w:rPr>
          <w:i/>
          <w:iCs/>
        </w:rPr>
        <w:t>Sensors</w:t>
      </w:r>
      <w:r w:rsidRPr="007746C5">
        <w:t xml:space="preserve">, </w:t>
      </w:r>
      <w:r w:rsidRPr="007746C5">
        <w:rPr>
          <w:i/>
          <w:iCs/>
        </w:rPr>
        <w:t>12</w:t>
      </w:r>
      <w:r w:rsidRPr="007746C5">
        <w:t>(11), 15801–15819. https://doi.org/10.3390/s121115801</w:t>
      </w:r>
    </w:p>
    <w:p w14:paraId="46E05751" w14:textId="77777777" w:rsidR="007746C5" w:rsidRPr="007746C5" w:rsidRDefault="007746C5" w:rsidP="009A04E6">
      <w:pPr>
        <w:pStyle w:val="Bibliography"/>
        <w:spacing w:line="240" w:lineRule="auto"/>
      </w:pPr>
      <w:r w:rsidRPr="007746C5">
        <w:t xml:space="preserve">López-Gómez, M. J., Aguilar-Perera, A., &amp; Perera-Chan, L. (2014). Mayan diver-fishers as citizen scientists: Detection and monitoring of the invasive red lionfish in the Parque Nacional Arrecife Alacranes, southern Gulf of Mexico. </w:t>
      </w:r>
      <w:r w:rsidRPr="007746C5">
        <w:rPr>
          <w:i/>
          <w:iCs/>
        </w:rPr>
        <w:t>Biological Invasions</w:t>
      </w:r>
      <w:r w:rsidRPr="007746C5">
        <w:t xml:space="preserve">, </w:t>
      </w:r>
      <w:r w:rsidRPr="007746C5">
        <w:rPr>
          <w:i/>
          <w:iCs/>
        </w:rPr>
        <w:t>16</w:t>
      </w:r>
      <w:r w:rsidRPr="007746C5">
        <w:t>(7), 1351–1357. https://doi.org/10.1007/s10530-013-0582-0</w:t>
      </w:r>
    </w:p>
    <w:p w14:paraId="27829FC2" w14:textId="77777777" w:rsidR="007746C5" w:rsidRPr="007746C5" w:rsidRDefault="007746C5" w:rsidP="009A04E6">
      <w:pPr>
        <w:pStyle w:val="Bibliography"/>
        <w:spacing w:line="240" w:lineRule="auto"/>
      </w:pPr>
      <w:r w:rsidRPr="007746C5">
        <w:t xml:space="preserve">Louda, S. M., Pemberton, R. W., Johnson, M. T., &amp; Follett, P. A. (2003). </w:t>
      </w:r>
      <w:r w:rsidRPr="007746C5">
        <w:rPr>
          <w:i/>
          <w:iCs/>
        </w:rPr>
        <w:t>Nontarget effects—The Achilles’ heel of biological control? Retrospective analyses to reduce risk associated with biocontrol introductions</w:t>
      </w:r>
      <w:r w:rsidRPr="007746C5">
        <w:t xml:space="preserve"> (Vol. 48). Annual Review of Entomology. https://doi.org/10.1146/annurev.ento.48.060402.102800</w:t>
      </w:r>
    </w:p>
    <w:p w14:paraId="5937AD71" w14:textId="77777777" w:rsidR="007746C5" w:rsidRPr="007746C5" w:rsidRDefault="007746C5" w:rsidP="009A04E6">
      <w:pPr>
        <w:pStyle w:val="Bibliography"/>
        <w:spacing w:line="240" w:lineRule="auto"/>
      </w:pPr>
      <w:r w:rsidRPr="007746C5">
        <w:t xml:space="preserve">Lowe, S., Browne, M., Boudjelas, S., &amp; De Poorter, M. (2000). </w:t>
      </w:r>
      <w:r w:rsidRPr="007746C5">
        <w:rPr>
          <w:i/>
          <w:iCs/>
        </w:rPr>
        <w:t>100 of the world’s worst invasive alien species: A selection from the global invasive species database</w:t>
      </w:r>
      <w:r w:rsidRPr="007746C5">
        <w:t>. Invasive Species Specialist Group Auckland, New Zealand. www.issg.org/booklet.pdf</w:t>
      </w:r>
    </w:p>
    <w:p w14:paraId="4805AB55" w14:textId="77777777" w:rsidR="007746C5" w:rsidRPr="007746C5" w:rsidRDefault="007746C5" w:rsidP="009A04E6">
      <w:pPr>
        <w:pStyle w:val="Bibliography"/>
        <w:spacing w:line="240" w:lineRule="auto"/>
      </w:pPr>
      <w:r w:rsidRPr="007746C5">
        <w:t xml:space="preserve">Lozier, J. D., Cameron, S. A., Duennes, M. A., Strange, J. P., Williams, P. H., Goulson, D., Brown, M. J. F., Morales, C., &amp; Jepsen, S. (2015). Relocation risky for bumblebee colonies. </w:t>
      </w:r>
      <w:r w:rsidRPr="007746C5">
        <w:rPr>
          <w:i/>
          <w:iCs/>
        </w:rPr>
        <w:t>Science</w:t>
      </w:r>
      <w:r w:rsidRPr="007746C5">
        <w:t xml:space="preserve">, </w:t>
      </w:r>
      <w:r w:rsidRPr="007746C5">
        <w:rPr>
          <w:i/>
          <w:iCs/>
        </w:rPr>
        <w:t>350</w:t>
      </w:r>
      <w:r w:rsidRPr="007746C5">
        <w:t>(6258), 286–287. https://doi.org/10.1126/science.350.6258.286-b</w:t>
      </w:r>
    </w:p>
    <w:p w14:paraId="1C8AA935" w14:textId="77777777" w:rsidR="007746C5" w:rsidRPr="007746C5" w:rsidRDefault="007746C5" w:rsidP="009A04E6">
      <w:pPr>
        <w:pStyle w:val="Bibliography"/>
        <w:spacing w:line="240" w:lineRule="auto"/>
      </w:pPr>
      <w:r w:rsidRPr="007746C5">
        <w:t xml:space="preserve">Luaibi, A. R., Salman, T. M., &amp; Miry, A. H. (2021). Detection of citrus leaf diseases using a deep learning technique. </w:t>
      </w:r>
      <w:r w:rsidRPr="007746C5">
        <w:rPr>
          <w:i/>
          <w:iCs/>
        </w:rPr>
        <w:t>International Journal of Electrical and Computer Engineering (IJECE)</w:t>
      </w:r>
      <w:r w:rsidRPr="007746C5">
        <w:t xml:space="preserve">, </w:t>
      </w:r>
      <w:r w:rsidRPr="007746C5">
        <w:rPr>
          <w:i/>
          <w:iCs/>
        </w:rPr>
        <w:t>11</w:t>
      </w:r>
      <w:r w:rsidRPr="007746C5">
        <w:t>(2), 1719–1727. https://doi.org/10.11591/ijece.v11i2.pp1719-1727</w:t>
      </w:r>
    </w:p>
    <w:p w14:paraId="0E8A1B1E" w14:textId="77777777" w:rsidR="007746C5" w:rsidRPr="007746C5" w:rsidRDefault="007746C5" w:rsidP="009A04E6">
      <w:pPr>
        <w:pStyle w:val="Bibliography"/>
        <w:spacing w:line="240" w:lineRule="auto"/>
      </w:pPr>
      <w:r w:rsidRPr="007746C5">
        <w:t xml:space="preserve">Lucy, F. E., Davis, E., Anderson, R., Booy, O., Bradley, K., Britton, J. R., Byrne, C., Caffrey, J. M., Coughlan, N. E., Crane, K., Cuthbert, R. N., Dick, J. T. A., Dickey, J. W. E., Fisher, J., Gallagher, C., Harrison, S., Jebb, M., Johnson, M., Lawton, C., … Trodd, W. (2020). Horizon scan of invasive alien species for the island of Ireland. </w:t>
      </w:r>
      <w:r w:rsidRPr="007746C5">
        <w:rPr>
          <w:i/>
          <w:iCs/>
        </w:rPr>
        <w:t>Management of Biological Invasions</w:t>
      </w:r>
      <w:r w:rsidRPr="007746C5">
        <w:t xml:space="preserve">, </w:t>
      </w:r>
      <w:r w:rsidRPr="007746C5">
        <w:rPr>
          <w:i/>
          <w:iCs/>
        </w:rPr>
        <w:t>11</w:t>
      </w:r>
      <w:r w:rsidRPr="007746C5">
        <w:t>(2), 155–177. https://doi.org/10.3391/mbi.2020.11.2.01</w:t>
      </w:r>
    </w:p>
    <w:p w14:paraId="633EFE9A" w14:textId="77777777" w:rsidR="007746C5" w:rsidRPr="007746C5" w:rsidRDefault="007746C5" w:rsidP="009A04E6">
      <w:pPr>
        <w:pStyle w:val="Bibliography"/>
        <w:spacing w:line="240" w:lineRule="auto"/>
      </w:pPr>
      <w:r w:rsidRPr="007746C5">
        <w:t xml:space="preserve">Lucy, F. E., Roy, H., Simpson, A., Carlton, J. T., Hanson, J. M., Magellan, K., Campbell, M. L., Costello, M. J., Pagad, S., Hewitt, C. L., McDonald, J., Cassey, P., Thomaz, S. M., Katsanevakis, S., Zenetos, A., Tricarico, E., Boggero, A., Groom, Q. J., Adriaens, T., … Panov, V. E. (2016). INVASIVESNET towards an international association for open </w:t>
      </w:r>
      <w:r w:rsidRPr="007746C5">
        <w:lastRenderedPageBreak/>
        <w:t xml:space="preserve">knowledge on invasive alien species. </w:t>
      </w:r>
      <w:r w:rsidRPr="007746C5">
        <w:rPr>
          <w:i/>
          <w:iCs/>
        </w:rPr>
        <w:t>Management of Biological Invasions</w:t>
      </w:r>
      <w:r w:rsidRPr="007746C5">
        <w:t xml:space="preserve">, </w:t>
      </w:r>
      <w:r w:rsidRPr="007746C5">
        <w:rPr>
          <w:i/>
          <w:iCs/>
        </w:rPr>
        <w:t>7</w:t>
      </w:r>
      <w:r w:rsidRPr="007746C5">
        <w:t>(2), 131–139. https://doi.org/10.3391/mbi.2016.7.2.01</w:t>
      </w:r>
    </w:p>
    <w:p w14:paraId="02BA3656" w14:textId="77777777" w:rsidR="007746C5" w:rsidRPr="007746C5" w:rsidRDefault="007746C5" w:rsidP="009A04E6">
      <w:pPr>
        <w:pStyle w:val="Bibliography"/>
        <w:spacing w:line="240" w:lineRule="auto"/>
      </w:pPr>
      <w:r w:rsidRPr="007746C5">
        <w:t xml:space="preserve">Lukey, P., &amp; Hall, J. (2020). Biological Invasion Policy and Legislation Development and Implementation in South Africa. In B. W. van Wilgen, J. Measey, D. M. Richardson, J. R. Wilson, &amp; T. A. Zengeya (Eds.), </w:t>
      </w:r>
      <w:r w:rsidRPr="007746C5">
        <w:rPr>
          <w:i/>
          <w:iCs/>
        </w:rPr>
        <w:t>Biological Invasions in South Africa</w:t>
      </w:r>
      <w:r w:rsidRPr="007746C5">
        <w:t xml:space="preserve"> (Vol. 14, pp. 515–551). Springer International Publishing. https://doi.org/10.1007/978-3-030-32394-3_18</w:t>
      </w:r>
    </w:p>
    <w:p w14:paraId="3CC3334B" w14:textId="77777777" w:rsidR="007746C5" w:rsidRPr="007746C5" w:rsidRDefault="007746C5" w:rsidP="009A04E6">
      <w:pPr>
        <w:pStyle w:val="Bibliography"/>
        <w:spacing w:line="240" w:lineRule="auto"/>
      </w:pPr>
      <w:r w:rsidRPr="007746C5">
        <w:t xml:space="preserve">Luna-Mendoza, L., Aguirre-Muñoz, A., Hernández-Montoya, J. C., Torres-Aguilar, M., García-Carreón, J. S., Puebla-Hernández, O., Luvianos-Colín, S., Cárdenas-Tapia, A., &amp; Méndez-Sánchez, F. (2019). Ten years after feral goat eradication: The active restoration of plant communities on Guadalupe Island, Mexico. </w:t>
      </w:r>
      <w:r w:rsidRPr="007746C5">
        <w:rPr>
          <w:i/>
          <w:iCs/>
        </w:rPr>
        <w:t>Island Invasives: Scaling up to Meet the Challenge</w:t>
      </w:r>
      <w:r w:rsidRPr="007746C5">
        <w:t xml:space="preserve">, </w:t>
      </w:r>
      <w:r w:rsidRPr="007746C5">
        <w:rPr>
          <w:i/>
          <w:iCs/>
        </w:rPr>
        <w:t>62</w:t>
      </w:r>
      <w:r w:rsidRPr="007746C5">
        <w:t>, 571–575.</w:t>
      </w:r>
    </w:p>
    <w:p w14:paraId="2793AAFA" w14:textId="77777777" w:rsidR="007746C5" w:rsidRPr="007746C5" w:rsidRDefault="007746C5" w:rsidP="009A04E6">
      <w:pPr>
        <w:pStyle w:val="Bibliography"/>
        <w:spacing w:line="240" w:lineRule="auto"/>
      </w:pPr>
      <w:r w:rsidRPr="007746C5">
        <w:t xml:space="preserve">Lundgren, R. E., &amp; McMakin, A. H. (2018). </w:t>
      </w:r>
      <w:r w:rsidRPr="007746C5">
        <w:rPr>
          <w:i/>
          <w:iCs/>
        </w:rPr>
        <w:t>Risk Communication A Handbook for Communicating Environmental, Safety, and Health Risks</w:t>
      </w:r>
      <w:r w:rsidRPr="007746C5">
        <w:t>. Wiley-IEEE Press. https://nbn-resolving.org/urn:nbn:de:101:1-2018080804355041270690</w:t>
      </w:r>
    </w:p>
    <w:p w14:paraId="6713046C" w14:textId="77777777" w:rsidR="007746C5" w:rsidRPr="007746C5" w:rsidRDefault="007746C5" w:rsidP="009A04E6">
      <w:pPr>
        <w:pStyle w:val="Bibliography"/>
        <w:spacing w:line="240" w:lineRule="auto"/>
      </w:pPr>
      <w:r w:rsidRPr="007746C5">
        <w:t xml:space="preserve">Lurgi, M., Wells, K., Kennedy, M., Campbell, S., &amp; Fordham, D. A. (2016). A Landscape Approach to Invasive Species Management. </w:t>
      </w:r>
      <w:r w:rsidRPr="007746C5">
        <w:rPr>
          <w:i/>
          <w:iCs/>
        </w:rPr>
        <w:t>PLoS ONE</w:t>
      </w:r>
      <w:r w:rsidRPr="007746C5">
        <w:t xml:space="preserve">, </w:t>
      </w:r>
      <w:r w:rsidRPr="007746C5">
        <w:rPr>
          <w:i/>
          <w:iCs/>
        </w:rPr>
        <w:t>11</w:t>
      </w:r>
      <w:r w:rsidRPr="007746C5">
        <w:t>(7), e0160417. https://doi.org/10.1371/journal.pone.0160417</w:t>
      </w:r>
    </w:p>
    <w:p w14:paraId="5F9D87A3" w14:textId="77777777" w:rsidR="007746C5" w:rsidRPr="007746C5" w:rsidRDefault="007746C5" w:rsidP="009A04E6">
      <w:pPr>
        <w:pStyle w:val="Bibliography"/>
        <w:spacing w:line="240" w:lineRule="auto"/>
      </w:pPr>
      <w:r w:rsidRPr="007746C5">
        <w:t xml:space="preserve">Lyon, A. (2010). </w:t>
      </w:r>
      <w:r w:rsidRPr="007746C5">
        <w:rPr>
          <w:i/>
          <w:iCs/>
        </w:rPr>
        <w:t>Review of Online Systems for Biosecurity Intelligence–Gathering and Analysis—ACERA Project 1003</w:t>
      </w:r>
      <w:r w:rsidRPr="007746C5">
        <w:t xml:space="preserve"> (p. 99) [Final Report]. University of Maryland, College Park Australian National University University of Sydney. https://cebra.unimelb.edu.au/__data/assets/pdf_file/0005/2068691/1003-final-report.pdf</w:t>
      </w:r>
    </w:p>
    <w:p w14:paraId="39696157" w14:textId="77777777" w:rsidR="007746C5" w:rsidRPr="007746C5" w:rsidRDefault="007746C5" w:rsidP="009A04E6">
      <w:pPr>
        <w:pStyle w:val="Bibliography"/>
        <w:spacing w:line="240" w:lineRule="auto"/>
      </w:pPr>
      <w:r w:rsidRPr="007746C5">
        <w:t xml:space="preserve">Lyons, J. E., Runge, M. C., Laskowski, H. P., &amp; Kendall, W. L. (2008). Monitoring in the Context of Structured Decision-Making and Adaptive Management. </w:t>
      </w:r>
      <w:r w:rsidRPr="007746C5">
        <w:rPr>
          <w:i/>
          <w:iCs/>
        </w:rPr>
        <w:t>Journal of Wildlife Management</w:t>
      </w:r>
      <w:r w:rsidRPr="007746C5">
        <w:t xml:space="preserve">, </w:t>
      </w:r>
      <w:r w:rsidRPr="007746C5">
        <w:rPr>
          <w:i/>
          <w:iCs/>
        </w:rPr>
        <w:t>72</w:t>
      </w:r>
      <w:r w:rsidRPr="007746C5">
        <w:t>(8), 1683–1692. https://doi.org/10.2193/2008-141</w:t>
      </w:r>
    </w:p>
    <w:p w14:paraId="1AC81A61" w14:textId="77777777" w:rsidR="007746C5" w:rsidRPr="007746C5" w:rsidRDefault="007746C5" w:rsidP="009A04E6">
      <w:pPr>
        <w:pStyle w:val="Bibliography"/>
        <w:spacing w:line="240" w:lineRule="auto"/>
      </w:pPr>
      <w:r w:rsidRPr="007746C5">
        <w:t xml:space="preserve">Lyver, P. O., Akins, A., Phipps, H., Kahui, V., Towns, D. R., &amp; Moller, H. (2016). Key biocultural values to guide restoration action and planning in New Zealand: Biocultural values for restoration. </w:t>
      </w:r>
      <w:r w:rsidRPr="007746C5">
        <w:rPr>
          <w:i/>
          <w:iCs/>
        </w:rPr>
        <w:t>Restoration Ecology</w:t>
      </w:r>
      <w:r w:rsidRPr="007746C5">
        <w:t xml:space="preserve">, </w:t>
      </w:r>
      <w:r w:rsidRPr="007746C5">
        <w:rPr>
          <w:i/>
          <w:iCs/>
        </w:rPr>
        <w:t>24</w:t>
      </w:r>
      <w:r w:rsidRPr="007746C5">
        <w:t>(3), 314–323. https://doi.org/10.1111/rec.12318</w:t>
      </w:r>
    </w:p>
    <w:p w14:paraId="09A8B191" w14:textId="77777777" w:rsidR="007746C5" w:rsidRPr="007746C5" w:rsidRDefault="007746C5" w:rsidP="009A04E6">
      <w:pPr>
        <w:pStyle w:val="Bibliography"/>
        <w:spacing w:line="240" w:lineRule="auto"/>
      </w:pPr>
      <w:r w:rsidRPr="007746C5">
        <w:t xml:space="preserve">Mabin, C. A., Wilson, J. R. U., Le Roux, J. J., Majiedt, P., &amp; Robinson, T. B. (2020). The first management of a marine invader in Africa: The importance of trials prior to setting long-term management goals. </w:t>
      </w:r>
      <w:r w:rsidRPr="007746C5">
        <w:rPr>
          <w:i/>
          <w:iCs/>
        </w:rPr>
        <w:t>Journal of Environmental Management</w:t>
      </w:r>
      <w:r w:rsidRPr="007746C5">
        <w:t xml:space="preserve">, </w:t>
      </w:r>
      <w:r w:rsidRPr="007746C5">
        <w:rPr>
          <w:i/>
          <w:iCs/>
        </w:rPr>
        <w:t>261</w:t>
      </w:r>
      <w:r w:rsidRPr="007746C5">
        <w:t>, 110213. https://doi.org/10.1016/j.jenvman.2020.110213</w:t>
      </w:r>
    </w:p>
    <w:p w14:paraId="27B0AF3D" w14:textId="77777777" w:rsidR="007746C5" w:rsidRPr="007746C5" w:rsidRDefault="007746C5" w:rsidP="009A04E6">
      <w:pPr>
        <w:pStyle w:val="Bibliography"/>
        <w:spacing w:line="240" w:lineRule="auto"/>
      </w:pPr>
      <w:r w:rsidRPr="007746C5">
        <w:t xml:space="preserve">MacDonald, E. A., Balanovic, J., Edwards, E. D., Abrahamse, W., Frame, B., Greenaway, A., Kannemeyer, R., Kirk, N., Medvecky, F., Milfont, T. L., Russell, J. C., &amp; Tompkins, D. M. (2020). Public Opinion Towards Gene Drive as a Pest Control Approach for Biodiversity Conservation and the Association of Underlying Worldviews. </w:t>
      </w:r>
      <w:r w:rsidRPr="007746C5">
        <w:rPr>
          <w:i/>
          <w:iCs/>
        </w:rPr>
        <w:t>Environmental Communication</w:t>
      </w:r>
      <w:r w:rsidRPr="007746C5">
        <w:t xml:space="preserve">, </w:t>
      </w:r>
      <w:r w:rsidRPr="007746C5">
        <w:rPr>
          <w:i/>
          <w:iCs/>
        </w:rPr>
        <w:t>14</w:t>
      </w:r>
      <w:r w:rsidRPr="007746C5">
        <w:t>(7), 904–918. https://doi.org/10.1080/17524032.2019.1702568</w:t>
      </w:r>
    </w:p>
    <w:p w14:paraId="403F8D67" w14:textId="77777777" w:rsidR="007746C5" w:rsidRPr="007746C5" w:rsidRDefault="007746C5" w:rsidP="009A04E6">
      <w:pPr>
        <w:pStyle w:val="Bibliography"/>
        <w:spacing w:line="240" w:lineRule="auto"/>
      </w:pPr>
      <w:r w:rsidRPr="007746C5">
        <w:rPr>
          <w:rFonts w:hint="eastAsia"/>
        </w:rPr>
        <w:t>Machado, A. K., Brown, N. A., Urban, M., Kanyuka, K., &amp; Hammond</w:t>
      </w:r>
      <w:r w:rsidRPr="007746C5">
        <w:rPr>
          <w:rFonts w:hint="eastAsia"/>
        </w:rPr>
        <w:t>‐</w:t>
      </w:r>
      <w:r w:rsidRPr="007746C5">
        <w:rPr>
          <w:rFonts w:hint="eastAsia"/>
        </w:rPr>
        <w:t xml:space="preserve">Kosack, K. E. (2018). RNAi as an emerging approach to control Fusarium head blight disease and mycotoxin contamination in cereals. </w:t>
      </w:r>
      <w:r w:rsidRPr="007746C5">
        <w:rPr>
          <w:i/>
          <w:iCs/>
        </w:rPr>
        <w:t>Pest Management Science</w:t>
      </w:r>
      <w:r w:rsidRPr="007746C5">
        <w:t xml:space="preserve">, </w:t>
      </w:r>
      <w:r w:rsidRPr="007746C5">
        <w:rPr>
          <w:i/>
          <w:iCs/>
        </w:rPr>
        <w:t>74</w:t>
      </w:r>
      <w:r w:rsidRPr="007746C5">
        <w:t>(4), 790–799. https://doi.org/10.1002/ps.4748</w:t>
      </w:r>
    </w:p>
    <w:p w14:paraId="612084E1" w14:textId="77777777" w:rsidR="007746C5" w:rsidRPr="007746C5" w:rsidRDefault="007746C5" w:rsidP="009A04E6">
      <w:pPr>
        <w:pStyle w:val="Bibliography"/>
        <w:spacing w:line="240" w:lineRule="auto"/>
      </w:pPr>
      <w:r w:rsidRPr="007746C5">
        <w:t xml:space="preserve">Mack, R. N., &amp; Lonsdale, W. M. (2001). Humans as global plant dispersers: Getting more than we bargained for: Current introductions of species for aesthetic purposes present the largest single challenge for predicting which plant immigrants will become future pests. </w:t>
      </w:r>
      <w:r w:rsidRPr="007746C5">
        <w:rPr>
          <w:i/>
          <w:iCs/>
        </w:rPr>
        <w:t>Bioscience</w:t>
      </w:r>
      <w:r w:rsidRPr="007746C5">
        <w:t xml:space="preserve">, </w:t>
      </w:r>
      <w:r w:rsidRPr="007746C5">
        <w:rPr>
          <w:i/>
          <w:iCs/>
        </w:rPr>
        <w:t>51</w:t>
      </w:r>
      <w:r w:rsidRPr="007746C5">
        <w:t>(2), 95–102. https://doi.org/10.1641/0006-3568(2001)051[0095:HAGPDG]2.0.CO;2</w:t>
      </w:r>
    </w:p>
    <w:p w14:paraId="37968B1F" w14:textId="77777777" w:rsidR="007746C5" w:rsidRPr="007746C5" w:rsidRDefault="007746C5" w:rsidP="009A04E6">
      <w:pPr>
        <w:pStyle w:val="Bibliography"/>
        <w:spacing w:line="240" w:lineRule="auto"/>
      </w:pPr>
      <w:r w:rsidRPr="007746C5">
        <w:t xml:space="preserve">Mack, R. N., Simberloff, D., Lonsdale, W. M., Evans, H., Clout, M., &amp; Bazzaz, F. A. (2000). Biotic invasions: Causes, epidemiology, global consequences, and control. </w:t>
      </w:r>
      <w:r w:rsidRPr="007746C5">
        <w:rPr>
          <w:i/>
          <w:iCs/>
        </w:rPr>
        <w:t>Ecological Applications</w:t>
      </w:r>
      <w:r w:rsidRPr="007746C5">
        <w:t xml:space="preserve">, </w:t>
      </w:r>
      <w:r w:rsidRPr="007746C5">
        <w:rPr>
          <w:i/>
          <w:iCs/>
        </w:rPr>
        <w:t>10</w:t>
      </w:r>
      <w:r w:rsidRPr="007746C5">
        <w:t>(3), 689–710. https://doi.org/10.1890/1051-0761(2000)010[0689:BICEGC]2.0.CO;2</w:t>
      </w:r>
    </w:p>
    <w:p w14:paraId="256406DF" w14:textId="77777777" w:rsidR="007746C5" w:rsidRPr="007746C5" w:rsidRDefault="007746C5" w:rsidP="009A04E6">
      <w:pPr>
        <w:pStyle w:val="Bibliography"/>
        <w:spacing w:line="240" w:lineRule="auto"/>
      </w:pPr>
      <w:r w:rsidRPr="007746C5">
        <w:t xml:space="preserve">Maclean, K., Farbotko, C., Mankad, A., Robinson, C. J., Curnock, M., Collins, K., &amp; McAllister, R. R. J. (2018). Building social resilience to biological invasions. A case study of Panama Tropical Race 4 in the Australian Banana Industry. </w:t>
      </w:r>
      <w:r w:rsidRPr="007746C5">
        <w:rPr>
          <w:i/>
          <w:iCs/>
        </w:rPr>
        <w:t>Geoforum</w:t>
      </w:r>
      <w:r w:rsidRPr="007746C5">
        <w:t xml:space="preserve">, </w:t>
      </w:r>
      <w:r w:rsidRPr="007746C5">
        <w:rPr>
          <w:i/>
          <w:iCs/>
        </w:rPr>
        <w:t>97</w:t>
      </w:r>
      <w:r w:rsidRPr="007746C5">
        <w:t>, 95–105. https://doi.org/10.1016/j.geoforum.2018.10.018</w:t>
      </w:r>
    </w:p>
    <w:p w14:paraId="09684DFD" w14:textId="77777777" w:rsidR="007746C5" w:rsidRPr="007746C5" w:rsidRDefault="007746C5" w:rsidP="009A04E6">
      <w:pPr>
        <w:pStyle w:val="Bibliography"/>
        <w:spacing w:line="240" w:lineRule="auto"/>
      </w:pPr>
      <w:r w:rsidRPr="007746C5">
        <w:lastRenderedPageBreak/>
        <w:t>Macnaughton, A. E., Carvajal-Vallejos, F. M., Argote, A., Rainville, T. K., Van Damme, P. A., &amp; Carolsfeld, J. (2015). “</w:t>
      </w:r>
      <w:r w:rsidRPr="007746C5">
        <w:rPr>
          <w:i/>
          <w:iCs/>
        </w:rPr>
        <w:t>Paiche</w:t>
      </w:r>
      <w:r w:rsidRPr="007746C5">
        <w:t xml:space="preserve"> reigns!” species introduction and indigenous fisheries in the Bolivian Amazon. </w:t>
      </w:r>
      <w:r w:rsidRPr="007746C5">
        <w:rPr>
          <w:i/>
          <w:iCs/>
        </w:rPr>
        <w:t>Maritime Studies</w:t>
      </w:r>
      <w:r w:rsidRPr="007746C5">
        <w:t xml:space="preserve">, </w:t>
      </w:r>
      <w:r w:rsidRPr="007746C5">
        <w:rPr>
          <w:i/>
          <w:iCs/>
        </w:rPr>
        <w:t>14</w:t>
      </w:r>
      <w:r w:rsidRPr="007746C5">
        <w:t>(1), 11. https://doi.org/10.1186/s40152-015-0030-0</w:t>
      </w:r>
    </w:p>
    <w:p w14:paraId="0184A680" w14:textId="77777777" w:rsidR="007746C5" w:rsidRPr="007746C5" w:rsidRDefault="007746C5" w:rsidP="009A04E6">
      <w:pPr>
        <w:pStyle w:val="Bibliography"/>
        <w:spacing w:line="240" w:lineRule="auto"/>
      </w:pPr>
      <w:r w:rsidRPr="007746C5">
        <w:t xml:space="preserve">Madegowda, C., &amp; Rao, C. U. (2014). The Traditional Ecological Knowledge of Soliga Tribe on Eradication of </w:t>
      </w:r>
      <w:r w:rsidRPr="007746C5">
        <w:rPr>
          <w:i/>
          <w:iCs/>
        </w:rPr>
        <w:t>Lantana camara</w:t>
      </w:r>
      <w:r w:rsidRPr="007746C5">
        <w:t xml:space="preserve"> and their Livelihood. </w:t>
      </w:r>
      <w:r w:rsidRPr="007746C5">
        <w:rPr>
          <w:i/>
          <w:iCs/>
        </w:rPr>
        <w:t>Antrocom Online Journal of Anthropology</w:t>
      </w:r>
      <w:r w:rsidRPr="007746C5">
        <w:t xml:space="preserve">, </w:t>
      </w:r>
      <w:r w:rsidRPr="007746C5">
        <w:rPr>
          <w:i/>
          <w:iCs/>
        </w:rPr>
        <w:t>10</w:t>
      </w:r>
      <w:r w:rsidRPr="007746C5">
        <w:t>(2), 163–173. http://www.antrocom.net/archives/2014/100214/05-Antrocom.pdf</w:t>
      </w:r>
    </w:p>
    <w:p w14:paraId="58F429D5" w14:textId="77777777" w:rsidR="007746C5" w:rsidRPr="007746C5" w:rsidRDefault="007746C5" w:rsidP="009A04E6">
      <w:pPr>
        <w:pStyle w:val="Bibliography"/>
        <w:spacing w:line="240" w:lineRule="auto"/>
      </w:pPr>
      <w:r w:rsidRPr="007746C5">
        <w:t xml:space="preserve">Magona, N., Richardson, D. M., Le Roux, J. J., Kritzinger-Klopper, S., &amp; Wilson, J. R. U. (2018). Even well-studied groups of alien species might be poorly inventoried: Australian </w:t>
      </w:r>
      <w:r w:rsidRPr="007746C5">
        <w:rPr>
          <w:i/>
          <w:iCs/>
        </w:rPr>
        <w:t>Acacia</w:t>
      </w:r>
      <w:r w:rsidRPr="007746C5">
        <w:t xml:space="preserve"> species in South Africa as a case study. </w:t>
      </w:r>
      <w:r w:rsidRPr="007746C5">
        <w:rPr>
          <w:i/>
          <w:iCs/>
        </w:rPr>
        <w:t>NeoBiota</w:t>
      </w:r>
      <w:r w:rsidRPr="007746C5">
        <w:t xml:space="preserve">, </w:t>
      </w:r>
      <w:r w:rsidRPr="007746C5">
        <w:rPr>
          <w:i/>
          <w:iCs/>
        </w:rPr>
        <w:t>39</w:t>
      </w:r>
      <w:r w:rsidRPr="007746C5">
        <w:t>, 1–29. https://doi.org/10.3897/neobiota.39.23135</w:t>
      </w:r>
    </w:p>
    <w:p w14:paraId="29F5A61A" w14:textId="77777777" w:rsidR="007746C5" w:rsidRPr="007746C5" w:rsidRDefault="007746C5" w:rsidP="009A04E6">
      <w:pPr>
        <w:pStyle w:val="Bibliography"/>
        <w:spacing w:line="240" w:lineRule="auto"/>
      </w:pPr>
      <w:r w:rsidRPr="007746C5">
        <w:t xml:space="preserve">Mainali, K. P., Warren, D. L., Dhileepan, K., McConnachie, A., Strathie, L., Hassan, G., Karki, D., Shrestha, B. B., &amp; Parmesan, C. (2015). Projecting future expansion of invasive species: Comparing and improving methodologies for species distribution modeling. </w:t>
      </w:r>
      <w:r w:rsidRPr="007746C5">
        <w:rPr>
          <w:i/>
          <w:iCs/>
        </w:rPr>
        <w:t>Global Change Biology</w:t>
      </w:r>
      <w:r w:rsidRPr="007746C5">
        <w:t xml:space="preserve">, </w:t>
      </w:r>
      <w:r w:rsidRPr="007746C5">
        <w:rPr>
          <w:i/>
          <w:iCs/>
        </w:rPr>
        <w:t>21</w:t>
      </w:r>
      <w:r w:rsidRPr="007746C5">
        <w:t>(12), 4464–4480. https://doi.org/10.1111/gcb.13038</w:t>
      </w:r>
    </w:p>
    <w:p w14:paraId="4FF1EA98" w14:textId="77777777" w:rsidR="007746C5" w:rsidRPr="007746C5" w:rsidRDefault="007746C5" w:rsidP="009A04E6">
      <w:pPr>
        <w:pStyle w:val="Bibliography"/>
        <w:spacing w:line="240" w:lineRule="auto"/>
      </w:pPr>
      <w:r w:rsidRPr="007746C5">
        <w:t xml:space="preserve">Maistrello, L., Dioli, P., Bariselli, M., Mazzoli, G. L., &amp; Giacalone-Forini, I. (2016). Citizen science and early detection of invasive species: Phenology of first occurrences of </w:t>
      </w:r>
      <w:r w:rsidRPr="007746C5">
        <w:rPr>
          <w:i/>
          <w:iCs/>
        </w:rPr>
        <w:t>Halyomorpha halys</w:t>
      </w:r>
      <w:r w:rsidRPr="007746C5">
        <w:t xml:space="preserve"> in Southern Europe. </w:t>
      </w:r>
      <w:r w:rsidRPr="007746C5">
        <w:rPr>
          <w:i/>
          <w:iCs/>
        </w:rPr>
        <w:t>Biological Invasions</w:t>
      </w:r>
      <w:r w:rsidRPr="007746C5">
        <w:t xml:space="preserve">, </w:t>
      </w:r>
      <w:r w:rsidRPr="007746C5">
        <w:rPr>
          <w:i/>
          <w:iCs/>
        </w:rPr>
        <w:t>18</w:t>
      </w:r>
      <w:r w:rsidRPr="007746C5">
        <w:t>(11), 3109–3116. https://doi.org/10.1007/s10530-016-1217-z</w:t>
      </w:r>
    </w:p>
    <w:p w14:paraId="0EC19713" w14:textId="77777777" w:rsidR="007746C5" w:rsidRPr="007746C5" w:rsidRDefault="007746C5" w:rsidP="009A04E6">
      <w:pPr>
        <w:pStyle w:val="Bibliography"/>
        <w:spacing w:line="240" w:lineRule="auto"/>
      </w:pPr>
      <w:r w:rsidRPr="007746C5">
        <w:t xml:space="preserve">Maldonado Andrade, G. (2019). </w:t>
      </w:r>
      <w:r w:rsidRPr="007746C5">
        <w:rPr>
          <w:i/>
          <w:iCs/>
        </w:rPr>
        <w:t>The Paradox of Culturally Useful Invasive Species: Chuspatel (Typha domingensis) Crafts of Lake Patzcuaro, Mexico</w:t>
      </w:r>
      <w:r w:rsidRPr="007746C5">
        <w:t xml:space="preserve"> [M.A., California State University, Fullerton]. https://www.proquest.com/openview/57f112edbe28563f7b45504b68086835/1?pq-origsite=gscholar&amp;cbl=18750&amp;diss=y</w:t>
      </w:r>
    </w:p>
    <w:p w14:paraId="33CD5CD0" w14:textId="77777777" w:rsidR="007746C5" w:rsidRPr="007746C5" w:rsidRDefault="007746C5" w:rsidP="009A04E6">
      <w:pPr>
        <w:pStyle w:val="Bibliography"/>
        <w:spacing w:line="240" w:lineRule="auto"/>
      </w:pPr>
      <w:r w:rsidRPr="007746C5">
        <w:t>Malmierca, L., Menvielle, M. F., Ramadori, D., Saavedra, B., Saunders, A., Soto, N., &amp; Schiavini, A. (2011). Eradication of beaver (</w:t>
      </w:r>
      <w:r w:rsidRPr="007746C5">
        <w:rPr>
          <w:i/>
          <w:iCs/>
        </w:rPr>
        <w:t>Castor canadensis</w:t>
      </w:r>
      <w:r w:rsidRPr="007746C5">
        <w:t xml:space="preserve">), an ecosystem engineer and threat to southern Patagonia. </w:t>
      </w:r>
      <w:r w:rsidRPr="007746C5">
        <w:rPr>
          <w:i/>
          <w:iCs/>
        </w:rPr>
        <w:t>Island Invasives: Eradication and Management, International Conference on Island Invasives</w:t>
      </w:r>
      <w:r w:rsidRPr="007746C5">
        <w:t>, 87–90. https://www.researchgate.net/publication/288634952_Eradication_of_Beaver_Castor_canadensis_an_ecosystem_engineer_and_threat_to_southern_Patagonia</w:t>
      </w:r>
    </w:p>
    <w:p w14:paraId="686E7825" w14:textId="77777777" w:rsidR="007746C5" w:rsidRPr="007746C5" w:rsidRDefault="007746C5" w:rsidP="009A04E6">
      <w:pPr>
        <w:pStyle w:val="Bibliography"/>
        <w:spacing w:line="240" w:lineRule="auto"/>
      </w:pPr>
      <w:r w:rsidRPr="007746C5">
        <w:t>Maneetha, T. K., Sajeev, T. V., &amp; Suganthasakthivel, R. (2017). Prediction modeling of Giant African Snail (</w:t>
      </w:r>
      <w:r w:rsidRPr="007746C5">
        <w:rPr>
          <w:i/>
          <w:iCs/>
        </w:rPr>
        <w:t>Achatina fulica</w:t>
      </w:r>
      <w:r w:rsidRPr="007746C5">
        <w:t xml:space="preserve">) infestation and evaluation of institutional mechanism for its management in Kerala. </w:t>
      </w:r>
      <w:r w:rsidRPr="007746C5">
        <w:rPr>
          <w:i/>
          <w:iCs/>
        </w:rPr>
        <w:t>Envis Newsletter</w:t>
      </w:r>
      <w:r w:rsidRPr="007746C5">
        <w:t xml:space="preserve">, </w:t>
      </w:r>
      <w:r w:rsidRPr="007746C5">
        <w:rPr>
          <w:i/>
          <w:iCs/>
        </w:rPr>
        <w:t>23</w:t>
      </w:r>
      <w:r w:rsidRPr="007746C5">
        <w:t>(1), 2–8. https://www.scribd.com/document/430630061/Envis-Paper-Maneetha</w:t>
      </w:r>
    </w:p>
    <w:p w14:paraId="71040273" w14:textId="77777777" w:rsidR="007746C5" w:rsidRPr="007746C5" w:rsidRDefault="007746C5" w:rsidP="009A04E6">
      <w:pPr>
        <w:pStyle w:val="Bibliography"/>
        <w:spacing w:line="240" w:lineRule="auto"/>
      </w:pPr>
      <w:r w:rsidRPr="007746C5">
        <w:t xml:space="preserve">Manjunatha, S. B., Biradar, D. P., &amp; Aladakatti, Y. R. (2016). Nanotechnology and its applications in agriculture: A review. </w:t>
      </w:r>
      <w:r w:rsidRPr="007746C5">
        <w:rPr>
          <w:i/>
          <w:iCs/>
        </w:rPr>
        <w:t>Journal of Farm Science</w:t>
      </w:r>
      <w:r w:rsidRPr="007746C5">
        <w:t xml:space="preserve">, </w:t>
      </w:r>
      <w:r w:rsidRPr="007746C5">
        <w:rPr>
          <w:i/>
          <w:iCs/>
        </w:rPr>
        <w:t>29</w:t>
      </w:r>
      <w:r w:rsidRPr="007746C5">
        <w:t>(1), 1–13. https://www.cabdirect.org/cabdirect/abstract/20163217790</w:t>
      </w:r>
    </w:p>
    <w:p w14:paraId="41DEDBE8" w14:textId="77777777" w:rsidR="007746C5" w:rsidRPr="007746C5" w:rsidRDefault="007746C5" w:rsidP="009A04E6">
      <w:pPr>
        <w:pStyle w:val="Bibliography"/>
        <w:spacing w:line="240" w:lineRule="auto"/>
      </w:pPr>
      <w:r w:rsidRPr="007746C5">
        <w:t xml:space="preserve">Mankad, A., Hobman, E. V., &amp; Carter, L. (2022). </w:t>
      </w:r>
      <w:r w:rsidRPr="007746C5">
        <w:rPr>
          <w:i/>
          <w:iCs/>
        </w:rPr>
        <w:t>Public perspectives towards using gene drive for invasive species management in Australia</w:t>
      </w:r>
      <w:r w:rsidRPr="007746C5">
        <w:t>. CSIRO. https://publications.csiro.au/rpr/ws/v1/download?pid=csiro:EP2022-1931&amp;dsid=DS1</w:t>
      </w:r>
    </w:p>
    <w:p w14:paraId="1DA71CF0" w14:textId="77777777" w:rsidR="007746C5" w:rsidRPr="007746C5" w:rsidRDefault="007746C5" w:rsidP="009A04E6">
      <w:pPr>
        <w:pStyle w:val="Bibliography"/>
        <w:spacing w:line="240" w:lineRule="auto"/>
      </w:pPr>
      <w:r w:rsidRPr="007746C5">
        <w:t>Mantelatto, M. C., Póvoa, A. A., Skinner, L. F., Araujo, F. V. de, &amp; Creed, J. C. (2020). Marine litter and wood debris as habitat and vector for the range expansion of invasive corals (</w:t>
      </w:r>
      <w:r w:rsidRPr="007746C5">
        <w:rPr>
          <w:i/>
          <w:iCs/>
        </w:rPr>
        <w:t>Tubastraea</w:t>
      </w:r>
      <w:r w:rsidRPr="007746C5">
        <w:t xml:space="preserve"> spp.). </w:t>
      </w:r>
      <w:r w:rsidRPr="007746C5">
        <w:rPr>
          <w:i/>
          <w:iCs/>
        </w:rPr>
        <w:t>Marine Pollution Bulletin</w:t>
      </w:r>
      <w:r w:rsidRPr="007746C5">
        <w:t xml:space="preserve">, </w:t>
      </w:r>
      <w:r w:rsidRPr="007746C5">
        <w:rPr>
          <w:i/>
          <w:iCs/>
        </w:rPr>
        <w:t>160</w:t>
      </w:r>
      <w:r w:rsidRPr="007746C5">
        <w:t>, 111659. https://doi.org/10.1016/j.marpolbul.2020.111659</w:t>
      </w:r>
    </w:p>
    <w:p w14:paraId="2F0DEBDF" w14:textId="77777777" w:rsidR="007746C5" w:rsidRPr="007746C5" w:rsidRDefault="007746C5" w:rsidP="009A04E6">
      <w:pPr>
        <w:pStyle w:val="Bibliography"/>
        <w:spacing w:line="240" w:lineRule="auto"/>
      </w:pPr>
      <w:r w:rsidRPr="007746C5">
        <w:t xml:space="preserve">Margerum, R. D., &amp; Robinson, C. J. (Eds.). (2016). </w:t>
      </w:r>
      <w:r w:rsidRPr="007746C5">
        <w:rPr>
          <w:i/>
          <w:iCs/>
        </w:rPr>
        <w:t>The Challenges of Collaboration in Environmental Governance: Barriers and Responses</w:t>
      </w:r>
      <w:r w:rsidRPr="007746C5">
        <w:t>. Edward Elgar Publishing.</w:t>
      </w:r>
    </w:p>
    <w:p w14:paraId="441E84D5" w14:textId="77777777" w:rsidR="007746C5" w:rsidRPr="007746C5" w:rsidRDefault="007746C5" w:rsidP="009A04E6">
      <w:pPr>
        <w:pStyle w:val="Bibliography"/>
        <w:spacing w:line="240" w:lineRule="auto"/>
      </w:pPr>
      <w:r w:rsidRPr="007746C5">
        <w:t xml:space="preserve">Marire, J. (2015). The Political Economy of South African Trout Fisheries. </w:t>
      </w:r>
      <w:r w:rsidRPr="007746C5">
        <w:rPr>
          <w:i/>
          <w:iCs/>
        </w:rPr>
        <w:t>Journal of Economic Issues</w:t>
      </w:r>
      <w:r w:rsidRPr="007746C5">
        <w:t xml:space="preserve">, </w:t>
      </w:r>
      <w:r w:rsidRPr="007746C5">
        <w:rPr>
          <w:i/>
          <w:iCs/>
        </w:rPr>
        <w:t>49</w:t>
      </w:r>
      <w:r w:rsidRPr="007746C5">
        <w:t>(1), 47–70. https://doi.org/10.1080/00213624.2015.1013878</w:t>
      </w:r>
    </w:p>
    <w:p w14:paraId="61DAA968" w14:textId="77777777" w:rsidR="007746C5" w:rsidRPr="007746C5" w:rsidRDefault="007746C5" w:rsidP="009A04E6">
      <w:pPr>
        <w:pStyle w:val="Bibliography"/>
        <w:spacing w:line="240" w:lineRule="auto"/>
      </w:pPr>
      <w:r w:rsidRPr="007746C5">
        <w:t>Marshall, G. R., Coleman, M. J., Sindel, B. M., Reeve, I. J., &amp; Berney, P. J. (2016). Collective action in invasive species control, and prospects for community-based governance: The case of serrated tussock (</w:t>
      </w:r>
      <w:r w:rsidRPr="007746C5">
        <w:rPr>
          <w:i/>
          <w:iCs/>
        </w:rPr>
        <w:t>Nassella trichotoma</w:t>
      </w:r>
      <w:r w:rsidRPr="007746C5">
        <w:t xml:space="preserve">) in New South Wales, Australia. </w:t>
      </w:r>
      <w:r w:rsidRPr="007746C5">
        <w:rPr>
          <w:i/>
          <w:iCs/>
        </w:rPr>
        <w:t>Land Use Policy</w:t>
      </w:r>
      <w:r w:rsidRPr="007746C5">
        <w:t xml:space="preserve">, </w:t>
      </w:r>
      <w:r w:rsidRPr="007746C5">
        <w:rPr>
          <w:i/>
          <w:iCs/>
        </w:rPr>
        <w:t>56</w:t>
      </w:r>
      <w:r w:rsidRPr="007746C5">
        <w:t>, 100–111. https://doi.org/10.1016/j.landusepol.2016.04.028</w:t>
      </w:r>
    </w:p>
    <w:p w14:paraId="1CA1E64E" w14:textId="77777777" w:rsidR="007746C5" w:rsidRPr="007746C5" w:rsidRDefault="007746C5" w:rsidP="009A04E6">
      <w:pPr>
        <w:pStyle w:val="Bibliography"/>
        <w:spacing w:line="240" w:lineRule="auto"/>
      </w:pPr>
      <w:r w:rsidRPr="007746C5">
        <w:lastRenderedPageBreak/>
        <w:t xml:space="preserve">Marshall, N. A., Friedel, M., van Klinken, R. D., &amp; Grice, A. C. (2011). Considering the social dimension of invasive species: The case of buffel grass. </w:t>
      </w:r>
      <w:r w:rsidRPr="007746C5">
        <w:rPr>
          <w:i/>
          <w:iCs/>
        </w:rPr>
        <w:t>Environmental Science &amp; Policy</w:t>
      </w:r>
      <w:r w:rsidRPr="007746C5">
        <w:t xml:space="preserve">, </w:t>
      </w:r>
      <w:r w:rsidRPr="007746C5">
        <w:rPr>
          <w:i/>
          <w:iCs/>
        </w:rPr>
        <w:t>14</w:t>
      </w:r>
      <w:r w:rsidRPr="007746C5">
        <w:t>(3), 327–338. https://doi.org/10.1016/j.envsci.2010.10.005</w:t>
      </w:r>
    </w:p>
    <w:p w14:paraId="0A0D0AEB" w14:textId="77777777" w:rsidR="007746C5" w:rsidRPr="007746C5" w:rsidRDefault="007746C5" w:rsidP="009A04E6">
      <w:pPr>
        <w:pStyle w:val="Bibliography"/>
        <w:spacing w:line="240" w:lineRule="auto"/>
      </w:pPr>
      <w:r w:rsidRPr="007746C5">
        <w:t xml:space="preserve">Marten, A. L., &amp; Moore, C. C. (2011). An options based bioeconomic model for biological and chemical control of invasive species. </w:t>
      </w:r>
      <w:r w:rsidRPr="007746C5">
        <w:rPr>
          <w:i/>
          <w:iCs/>
        </w:rPr>
        <w:t>Ecological Economics</w:t>
      </w:r>
      <w:r w:rsidRPr="007746C5">
        <w:t xml:space="preserve">, </w:t>
      </w:r>
      <w:r w:rsidRPr="007746C5">
        <w:rPr>
          <w:i/>
          <w:iCs/>
        </w:rPr>
        <w:t>70</w:t>
      </w:r>
      <w:r w:rsidRPr="007746C5">
        <w:t>(11), 2050–2061. https://doi.org/10.1016/j.ecolecon.2011.05.022</w:t>
      </w:r>
    </w:p>
    <w:p w14:paraId="31687EE9" w14:textId="77777777" w:rsidR="007746C5" w:rsidRPr="007746C5" w:rsidRDefault="007746C5" w:rsidP="009A04E6">
      <w:pPr>
        <w:pStyle w:val="Bibliography"/>
        <w:spacing w:line="240" w:lineRule="auto"/>
      </w:pPr>
      <w:r w:rsidRPr="007746C5">
        <w:t xml:space="preserve">Martin, P. A. J. (2008). Current value of historical and ongoing surveillance for disease freedom: Surveillance for bovine Johne’s disease in Western Australia. </w:t>
      </w:r>
      <w:r w:rsidRPr="007746C5">
        <w:rPr>
          <w:i/>
          <w:iCs/>
        </w:rPr>
        <w:t>Preventive Veterinary Medicine</w:t>
      </w:r>
      <w:r w:rsidRPr="007746C5">
        <w:t xml:space="preserve">, </w:t>
      </w:r>
      <w:r w:rsidRPr="007746C5">
        <w:rPr>
          <w:i/>
          <w:iCs/>
        </w:rPr>
        <w:t>84</w:t>
      </w:r>
      <w:r w:rsidRPr="007746C5">
        <w:t>(3–4), 291–309. https://doi.org/10.1016/j.prevetmed.2007.12.002</w:t>
      </w:r>
    </w:p>
    <w:p w14:paraId="10D98A90" w14:textId="77777777" w:rsidR="007746C5" w:rsidRPr="007746C5" w:rsidRDefault="007746C5" w:rsidP="009A04E6">
      <w:pPr>
        <w:pStyle w:val="Bibliography"/>
        <w:spacing w:line="240" w:lineRule="auto"/>
      </w:pPr>
      <w:r w:rsidRPr="007746C5">
        <w:t xml:space="preserve">Martin, P. A. J., Cameron, A. R., &amp; Greiner, M. (2007). Demonstrating freedom from disease using multiple complex data sources: 1: A new methodology based on scenario trees. </w:t>
      </w:r>
      <w:r w:rsidRPr="007746C5">
        <w:rPr>
          <w:i/>
          <w:iCs/>
        </w:rPr>
        <w:t>Preventive Veterinary Medicine</w:t>
      </w:r>
      <w:r w:rsidRPr="007746C5">
        <w:t xml:space="preserve">, </w:t>
      </w:r>
      <w:r w:rsidRPr="007746C5">
        <w:rPr>
          <w:i/>
          <w:iCs/>
        </w:rPr>
        <w:t>79</w:t>
      </w:r>
      <w:r w:rsidRPr="007746C5">
        <w:t>(2–4), 71–97. https://doi.org/10.1016/j.prevetmed.2006.09.008</w:t>
      </w:r>
    </w:p>
    <w:p w14:paraId="04A56898" w14:textId="77777777" w:rsidR="007746C5" w:rsidRPr="007746C5" w:rsidRDefault="007746C5" w:rsidP="009A04E6">
      <w:pPr>
        <w:pStyle w:val="Bibliography"/>
        <w:spacing w:line="240" w:lineRule="auto"/>
      </w:pPr>
      <w:r w:rsidRPr="007746C5">
        <w:t xml:space="preserve">Martin, P. A., Shackelford, G. E., Bullock, J. M., Gallardo, B., Aldridge, D. C., &amp; Sutherland, W. J. (2020). Management of UK priority invasive alien plants: A systematic review protocol. </w:t>
      </w:r>
      <w:r w:rsidRPr="007746C5">
        <w:rPr>
          <w:i/>
          <w:iCs/>
        </w:rPr>
        <w:t>Environmental Evidence</w:t>
      </w:r>
      <w:r w:rsidRPr="007746C5">
        <w:t xml:space="preserve">, </w:t>
      </w:r>
      <w:r w:rsidRPr="007746C5">
        <w:rPr>
          <w:i/>
          <w:iCs/>
        </w:rPr>
        <w:t>9</w:t>
      </w:r>
      <w:r w:rsidRPr="007746C5">
        <w:t>(1), 1. https://doi.org/10.1186/s13750-020-0186-y</w:t>
      </w:r>
    </w:p>
    <w:p w14:paraId="58AA3E1F" w14:textId="77777777" w:rsidR="007746C5" w:rsidRPr="007746C5" w:rsidRDefault="007746C5" w:rsidP="009A04E6">
      <w:pPr>
        <w:pStyle w:val="Bibliography"/>
        <w:spacing w:line="240" w:lineRule="auto"/>
      </w:pPr>
      <w:r w:rsidRPr="007746C5">
        <w:t xml:space="preserve">Martins, T. L. F., Brooke, M. de L., Hilton, G. M., Farnsworth, S., Gould, J., &amp; Pain, D. J. (2006). Costing eradications of alien mammals from islands. </w:t>
      </w:r>
      <w:r w:rsidRPr="007746C5">
        <w:rPr>
          <w:i/>
          <w:iCs/>
        </w:rPr>
        <w:t>Animal Conservation</w:t>
      </w:r>
      <w:r w:rsidRPr="007746C5">
        <w:t xml:space="preserve">, </w:t>
      </w:r>
      <w:r w:rsidRPr="007746C5">
        <w:rPr>
          <w:i/>
          <w:iCs/>
        </w:rPr>
        <w:t>9</w:t>
      </w:r>
      <w:r w:rsidRPr="007746C5">
        <w:t>(4), 439–444. https://doi.org/10.1111/j.1469-1795.2006.00058.x</w:t>
      </w:r>
    </w:p>
    <w:p w14:paraId="161E203A" w14:textId="77777777" w:rsidR="007746C5" w:rsidRPr="007746C5" w:rsidRDefault="007746C5" w:rsidP="009A04E6">
      <w:pPr>
        <w:pStyle w:val="Bibliography"/>
        <w:spacing w:line="240" w:lineRule="auto"/>
      </w:pPr>
      <w:r w:rsidRPr="007746C5">
        <w:rPr>
          <w:rFonts w:hint="eastAsia"/>
        </w:rPr>
        <w:t>Marturana, F., Tacconi, S., &amp; Italiano, G. F. (2015). A machine learning</w:t>
      </w:r>
      <w:r w:rsidRPr="007746C5">
        <w:rPr>
          <w:rFonts w:hint="eastAsia"/>
        </w:rPr>
        <w:t>‐</w:t>
      </w:r>
      <w:r w:rsidRPr="007746C5">
        <w:rPr>
          <w:rFonts w:hint="eastAsia"/>
        </w:rPr>
        <w:t xml:space="preserve">based approach to digital triage. In A. T. S. Ho &amp; S. Li (Eds.), </w:t>
      </w:r>
      <w:r w:rsidRPr="007746C5">
        <w:rPr>
          <w:i/>
          <w:iCs/>
        </w:rPr>
        <w:t>Handbook of Digital Forensics of Multimedia Data and Devices</w:t>
      </w:r>
      <w:r w:rsidRPr="007746C5">
        <w:t xml:space="preserve"> (pp. 94–132). John Wiley &amp; Sons, Ltd Chichester, UK. https://doi.org/10.1002/9781118705773.ch3</w:t>
      </w:r>
    </w:p>
    <w:p w14:paraId="1CC7194E" w14:textId="77777777" w:rsidR="007746C5" w:rsidRPr="007746C5" w:rsidRDefault="007746C5" w:rsidP="009A04E6">
      <w:pPr>
        <w:pStyle w:val="Bibliography"/>
        <w:spacing w:line="240" w:lineRule="auto"/>
      </w:pPr>
      <w:r w:rsidRPr="007746C5">
        <w:t xml:space="preserve">Mason, P. G. (Ed.). (2021). </w:t>
      </w:r>
      <w:r w:rsidRPr="007746C5">
        <w:rPr>
          <w:i/>
          <w:iCs/>
        </w:rPr>
        <w:t>Biological Control: Global Impacts, Challenges and Future Directions of Pest Management</w:t>
      </w:r>
      <w:r w:rsidRPr="007746C5">
        <w:t>. Csiro Publishing.</w:t>
      </w:r>
    </w:p>
    <w:p w14:paraId="1D227CB6" w14:textId="77777777" w:rsidR="007746C5" w:rsidRPr="007746C5" w:rsidRDefault="007746C5" w:rsidP="009A04E6">
      <w:pPr>
        <w:pStyle w:val="Bibliography"/>
        <w:spacing w:line="240" w:lineRule="auto"/>
      </w:pPr>
      <w:r w:rsidRPr="007746C5">
        <w:t xml:space="preserve">Mason, P. G., Kllapwijk, J. N., &amp; Smith, D. (2021). Access and benefit-sharing and biological control. In P. G. Mason (Ed.), </w:t>
      </w:r>
      <w:r w:rsidRPr="007746C5">
        <w:rPr>
          <w:i/>
          <w:iCs/>
        </w:rPr>
        <w:t>Biological Control: Global impacts, Challenges and Future</w:t>
      </w:r>
      <w:r w:rsidRPr="007746C5">
        <w:t xml:space="preserve"> (pp. 258–288). CSIRO Publishing. https://www.routledge.com/Biological-Control-Global-Impacts-Challenges-and-Future-Directions-of/Mason/p/book/9781032109275</w:t>
      </w:r>
    </w:p>
    <w:p w14:paraId="4F170E82" w14:textId="77777777" w:rsidR="007746C5" w:rsidRPr="007746C5" w:rsidRDefault="007746C5" w:rsidP="009A04E6">
      <w:pPr>
        <w:pStyle w:val="Bibliography"/>
        <w:spacing w:line="240" w:lineRule="auto"/>
      </w:pPr>
      <w:r w:rsidRPr="007746C5">
        <w:t xml:space="preserve">Mason, T. J., Lonsdale, W. M., &amp; French, K. (2005). Environmental weed control policy in Australia: Current approaches, policy limitations and future directions. </w:t>
      </w:r>
      <w:r w:rsidRPr="007746C5">
        <w:rPr>
          <w:i/>
          <w:iCs/>
        </w:rPr>
        <w:t>Pacific Conservation Biology</w:t>
      </w:r>
      <w:r w:rsidRPr="007746C5">
        <w:t xml:space="preserve">, </w:t>
      </w:r>
      <w:r w:rsidRPr="007746C5">
        <w:rPr>
          <w:i/>
          <w:iCs/>
        </w:rPr>
        <w:t>11</w:t>
      </w:r>
      <w:r w:rsidRPr="007746C5">
        <w:t>(4), 233–245. https://doi.org/10.1071/pc050233</w:t>
      </w:r>
    </w:p>
    <w:p w14:paraId="42947A80" w14:textId="77777777" w:rsidR="007746C5" w:rsidRPr="007746C5" w:rsidRDefault="007746C5" w:rsidP="009A04E6">
      <w:pPr>
        <w:pStyle w:val="Bibliography"/>
        <w:spacing w:line="240" w:lineRule="auto"/>
      </w:pPr>
      <w:r w:rsidRPr="007746C5">
        <w:t xml:space="preserve">Masuda, B. M., Fisher, P., &amp; Beaven, B. (2015). Residue profiles of brodifacoum in coastal marine species following an island rodent eradication. </w:t>
      </w:r>
      <w:r w:rsidRPr="007746C5">
        <w:rPr>
          <w:i/>
          <w:iCs/>
        </w:rPr>
        <w:t>Ecotoxicology and Environmental Safety</w:t>
      </w:r>
      <w:r w:rsidRPr="007746C5">
        <w:t xml:space="preserve">, </w:t>
      </w:r>
      <w:r w:rsidRPr="007746C5">
        <w:rPr>
          <w:i/>
          <w:iCs/>
        </w:rPr>
        <w:t>113</w:t>
      </w:r>
      <w:r w:rsidRPr="007746C5">
        <w:t>, 1–8. https://doi.org/10.1016/j.ecoenv.2014.11.013</w:t>
      </w:r>
    </w:p>
    <w:p w14:paraId="552C6235" w14:textId="77777777" w:rsidR="007746C5" w:rsidRPr="007746C5" w:rsidRDefault="007746C5" w:rsidP="009A04E6">
      <w:pPr>
        <w:pStyle w:val="Bibliography"/>
        <w:spacing w:line="240" w:lineRule="auto"/>
      </w:pPr>
      <w:r w:rsidRPr="007746C5">
        <w:t xml:space="preserve">Matthies, M., Giupponi, C., &amp; Ostendorf, B. (2007). Environmental decision support systems: Current issues, methods and tools. </w:t>
      </w:r>
      <w:r w:rsidRPr="007746C5">
        <w:rPr>
          <w:i/>
          <w:iCs/>
        </w:rPr>
        <w:t>Environmental Modelling &amp; Software</w:t>
      </w:r>
      <w:r w:rsidRPr="007746C5">
        <w:t xml:space="preserve">, </w:t>
      </w:r>
      <w:r w:rsidRPr="007746C5">
        <w:rPr>
          <w:i/>
          <w:iCs/>
        </w:rPr>
        <w:t>22</w:t>
      </w:r>
      <w:r w:rsidRPr="007746C5">
        <w:t>(2), 123–127. https://doi.org/10.1016/j.envsoft.2005.09.005</w:t>
      </w:r>
    </w:p>
    <w:p w14:paraId="22C05FB3" w14:textId="77777777" w:rsidR="007746C5" w:rsidRPr="007746C5" w:rsidRDefault="007746C5" w:rsidP="009A04E6">
      <w:pPr>
        <w:pStyle w:val="Bibliography"/>
        <w:spacing w:line="240" w:lineRule="auto"/>
      </w:pPr>
      <w:r w:rsidRPr="007746C5">
        <w:t xml:space="preserve">Matzek, V., Covino, J., Funk, J. L., &amp; Saunders, M. (2014). Closing the knowing-doing gap in invasive plant management: Accessibility and interdisciplinarity of scientific research. </w:t>
      </w:r>
      <w:r w:rsidRPr="007746C5">
        <w:rPr>
          <w:i/>
          <w:iCs/>
        </w:rPr>
        <w:t>Conservation Letters</w:t>
      </w:r>
      <w:r w:rsidRPr="007746C5">
        <w:t xml:space="preserve">, </w:t>
      </w:r>
      <w:r w:rsidRPr="007746C5">
        <w:rPr>
          <w:i/>
          <w:iCs/>
        </w:rPr>
        <w:t>7</w:t>
      </w:r>
      <w:r w:rsidRPr="007746C5">
        <w:t>(3), 208–215. https://doi.org/10.1111/conl.12042</w:t>
      </w:r>
    </w:p>
    <w:p w14:paraId="492424B4" w14:textId="77777777" w:rsidR="007746C5" w:rsidRPr="007746C5" w:rsidRDefault="007746C5" w:rsidP="009A04E6">
      <w:pPr>
        <w:pStyle w:val="Bibliography"/>
        <w:spacing w:line="240" w:lineRule="auto"/>
      </w:pPr>
      <w:r w:rsidRPr="007746C5">
        <w:t xml:space="preserve">Mayer, D. G., Atzeni, M. G., Stuart, M. A., Anaman, K. A., &amp; Butler, D. G. (1998). Mating competitiveness of irradiated flies for screwworm fly eradication campaigns. </w:t>
      </w:r>
      <w:r w:rsidRPr="007746C5">
        <w:rPr>
          <w:i/>
          <w:iCs/>
        </w:rPr>
        <w:t>Preventive Veterinary Medicine</w:t>
      </w:r>
      <w:r w:rsidRPr="007746C5">
        <w:t xml:space="preserve">, </w:t>
      </w:r>
      <w:r w:rsidRPr="007746C5">
        <w:rPr>
          <w:i/>
          <w:iCs/>
        </w:rPr>
        <w:t>36</w:t>
      </w:r>
      <w:r w:rsidRPr="007746C5">
        <w:t>(1), 1–9. https://doi.org/10.1016/S0167-5877(98)00078-6</w:t>
      </w:r>
    </w:p>
    <w:p w14:paraId="0AA0DC98" w14:textId="77777777" w:rsidR="007746C5" w:rsidRPr="007746C5" w:rsidRDefault="007746C5" w:rsidP="009A04E6">
      <w:pPr>
        <w:pStyle w:val="Bibliography"/>
        <w:spacing w:line="240" w:lineRule="auto"/>
      </w:pPr>
      <w:r w:rsidRPr="007746C5">
        <w:t xml:space="preserve">Mbaabu, P. R., Ng, W.-T., Schaffner, U., Gichaba, M., Olago, D., Choge, S., Oriaso, S., &amp; Eckert, S. (2019). Spatial evolution of prosopis invasion and its effects on LULC and livelihoods in Baringo, Kenya. </w:t>
      </w:r>
      <w:r w:rsidRPr="007746C5">
        <w:rPr>
          <w:i/>
          <w:iCs/>
        </w:rPr>
        <w:t>Remote Sensing</w:t>
      </w:r>
      <w:r w:rsidRPr="007746C5">
        <w:t xml:space="preserve">, </w:t>
      </w:r>
      <w:r w:rsidRPr="007746C5">
        <w:rPr>
          <w:i/>
          <w:iCs/>
        </w:rPr>
        <w:t>11</w:t>
      </w:r>
      <w:r w:rsidRPr="007746C5">
        <w:t>(10), 1217. https://doi.org/10.3390/rs11101217</w:t>
      </w:r>
    </w:p>
    <w:p w14:paraId="583B6678" w14:textId="77777777" w:rsidR="007746C5" w:rsidRPr="007746C5" w:rsidRDefault="007746C5" w:rsidP="009A04E6">
      <w:pPr>
        <w:pStyle w:val="Bibliography"/>
        <w:spacing w:line="240" w:lineRule="auto"/>
      </w:pPr>
      <w:r w:rsidRPr="007746C5">
        <w:t xml:space="preserve">McAllister, R. R. J., Robinson, C. J., Brown, A., Maclean, K., Perry, S., &amp; Liu, S. (2017). Balancing collaboration with coordination: Contesting eradication in the Australian plant pest and disease biosecurity system. </w:t>
      </w:r>
      <w:r w:rsidRPr="007746C5">
        <w:rPr>
          <w:i/>
          <w:iCs/>
        </w:rPr>
        <w:t>International Journal of the Commons</w:t>
      </w:r>
      <w:r w:rsidRPr="007746C5">
        <w:t xml:space="preserve">, </w:t>
      </w:r>
      <w:r w:rsidRPr="007746C5">
        <w:rPr>
          <w:i/>
          <w:iCs/>
        </w:rPr>
        <w:t>11</w:t>
      </w:r>
      <w:r w:rsidRPr="007746C5">
        <w:t>(1), Article 1. https://doi.org/10.18352/ijc.701</w:t>
      </w:r>
    </w:p>
    <w:p w14:paraId="79D6ECB8" w14:textId="77777777" w:rsidR="007746C5" w:rsidRPr="007746C5" w:rsidRDefault="007746C5" w:rsidP="009A04E6">
      <w:pPr>
        <w:pStyle w:val="Bibliography"/>
        <w:spacing w:line="240" w:lineRule="auto"/>
      </w:pPr>
      <w:r w:rsidRPr="007746C5">
        <w:t xml:space="preserve">McAllister, R. R. J., Robinson, C. J., Maclean, K., Guerrero, A. M., Collins, K., Taylor, B. M., &amp; De Barro, P. J. (2015). From local to central: A network analysis of who manages plant pest </w:t>
      </w:r>
      <w:r w:rsidRPr="007746C5">
        <w:lastRenderedPageBreak/>
        <w:t xml:space="preserve">and disease outbreaks across scales. </w:t>
      </w:r>
      <w:r w:rsidRPr="007746C5">
        <w:rPr>
          <w:i/>
          <w:iCs/>
        </w:rPr>
        <w:t>Ecology and Society</w:t>
      </w:r>
      <w:r w:rsidRPr="007746C5">
        <w:t xml:space="preserve">, </w:t>
      </w:r>
      <w:r w:rsidRPr="007746C5">
        <w:rPr>
          <w:i/>
          <w:iCs/>
        </w:rPr>
        <w:t>20</w:t>
      </w:r>
      <w:r w:rsidRPr="007746C5">
        <w:t>(1), 67. https://doi.org/10.5751/ES-07469-200167</w:t>
      </w:r>
    </w:p>
    <w:p w14:paraId="45445AF6" w14:textId="77777777" w:rsidR="007746C5" w:rsidRPr="007746C5" w:rsidRDefault="007746C5" w:rsidP="009A04E6">
      <w:pPr>
        <w:pStyle w:val="Bibliography"/>
        <w:spacing w:line="240" w:lineRule="auto"/>
      </w:pPr>
      <w:r w:rsidRPr="007746C5">
        <w:t xml:space="preserve">McCarthy, R. J., Levine, S. H., &amp; Reed, J. M. (2013). Estimation of effectiveness of three methods of feral cat population control by use of a simulation model. </w:t>
      </w:r>
      <w:r w:rsidRPr="007746C5">
        <w:rPr>
          <w:i/>
          <w:iCs/>
        </w:rPr>
        <w:t>Journal of the American Veterinary Medical Association</w:t>
      </w:r>
      <w:r w:rsidRPr="007746C5">
        <w:t xml:space="preserve">, </w:t>
      </w:r>
      <w:r w:rsidRPr="007746C5">
        <w:rPr>
          <w:i/>
          <w:iCs/>
        </w:rPr>
        <w:t>243</w:t>
      </w:r>
      <w:r w:rsidRPr="007746C5">
        <w:t>(4), 502–511. https://doi.org/10.2460/javma.243.4.502</w:t>
      </w:r>
    </w:p>
    <w:p w14:paraId="6A625C9E" w14:textId="77777777" w:rsidR="007746C5" w:rsidRPr="007746C5" w:rsidRDefault="007746C5" w:rsidP="009A04E6">
      <w:pPr>
        <w:pStyle w:val="Bibliography"/>
        <w:spacing w:line="240" w:lineRule="auto"/>
      </w:pPr>
      <w:r w:rsidRPr="007746C5">
        <w:t xml:space="preserve">McCluskey, B. J., &amp; Salman, M. D. (2003). Use of sentinel herds in monitoring and surveillance systems. In </w:t>
      </w:r>
      <w:r w:rsidRPr="007746C5">
        <w:rPr>
          <w:i/>
          <w:iCs/>
        </w:rPr>
        <w:t>Animal disease surveillance and survey systems: Methods and applications</w:t>
      </w:r>
      <w:r w:rsidRPr="007746C5">
        <w:t xml:space="preserve"> (pp. 119–133). Wiley Online Library. https://doi.org/10.1002/9780470344866.ch8</w:t>
      </w:r>
    </w:p>
    <w:p w14:paraId="5A87FDA7" w14:textId="77777777" w:rsidR="007746C5" w:rsidRPr="007746C5" w:rsidRDefault="007746C5" w:rsidP="009A04E6">
      <w:pPr>
        <w:pStyle w:val="Bibliography"/>
        <w:spacing w:line="240" w:lineRule="auto"/>
      </w:pPr>
      <w:r w:rsidRPr="007746C5">
        <w:t xml:space="preserve">McColl, K. A., Sunarto, A., &amp; Holmes, E. C. (2016). Cyprinid herpesvirus 3 and its evolutionary future as a biological control agent for carp in Australia. </w:t>
      </w:r>
      <w:r w:rsidRPr="007746C5">
        <w:rPr>
          <w:i/>
          <w:iCs/>
        </w:rPr>
        <w:t>Virology Journal</w:t>
      </w:r>
      <w:r w:rsidRPr="007746C5">
        <w:t xml:space="preserve">, </w:t>
      </w:r>
      <w:r w:rsidRPr="007746C5">
        <w:rPr>
          <w:i/>
          <w:iCs/>
        </w:rPr>
        <w:t>13</w:t>
      </w:r>
      <w:r w:rsidRPr="007746C5">
        <w:t>(1), 206. https://doi.org/10.1186/s12985-016-0666-4</w:t>
      </w:r>
    </w:p>
    <w:p w14:paraId="2E1ACADB" w14:textId="77777777" w:rsidR="007746C5" w:rsidRPr="007746C5" w:rsidRDefault="007746C5" w:rsidP="009A04E6">
      <w:pPr>
        <w:pStyle w:val="Bibliography"/>
        <w:spacing w:line="240" w:lineRule="auto"/>
      </w:pPr>
      <w:r w:rsidRPr="007746C5">
        <w:t xml:space="preserve">McFadyen, R. E. C. (1998). Biological Control of Weeds. </w:t>
      </w:r>
      <w:r w:rsidRPr="007746C5">
        <w:rPr>
          <w:i/>
          <w:iCs/>
        </w:rPr>
        <w:t>Annual Review of Entomology</w:t>
      </w:r>
      <w:r w:rsidRPr="007746C5">
        <w:t xml:space="preserve">, </w:t>
      </w:r>
      <w:r w:rsidRPr="007746C5">
        <w:rPr>
          <w:i/>
          <w:iCs/>
        </w:rPr>
        <w:t>43</w:t>
      </w:r>
      <w:r w:rsidRPr="007746C5">
        <w:t>(1), 369–393. https://doi.org/10.1146/annurev.ento.43.1.369</w:t>
      </w:r>
    </w:p>
    <w:p w14:paraId="54E50F92" w14:textId="77777777" w:rsidR="007746C5" w:rsidRPr="007746C5" w:rsidRDefault="007746C5" w:rsidP="009A04E6">
      <w:pPr>
        <w:pStyle w:val="Bibliography"/>
        <w:spacing w:line="240" w:lineRule="auto"/>
      </w:pPr>
      <w:r w:rsidRPr="007746C5">
        <w:t xml:space="preserve">McGeoch, M. A., Butchart, S. H. M., Spear, D., Marais, E., Kleynhans, E. J., Symes, A., Chanson, J., &amp; Hoffmann, M. (2010). Global indicators of biological invasion: Species numbers, biodiversity impact and policy responses. </w:t>
      </w:r>
      <w:r w:rsidRPr="007746C5">
        <w:rPr>
          <w:i/>
          <w:iCs/>
        </w:rPr>
        <w:t>Diversity and Distributions</w:t>
      </w:r>
      <w:r w:rsidRPr="007746C5">
        <w:t xml:space="preserve">, </w:t>
      </w:r>
      <w:r w:rsidRPr="007746C5">
        <w:rPr>
          <w:i/>
          <w:iCs/>
        </w:rPr>
        <w:t>16</w:t>
      </w:r>
      <w:r w:rsidRPr="007746C5">
        <w:t>(1), 95–108. https://doi.org/10.1111/j.1472-4642.2009.00633.x</w:t>
      </w:r>
    </w:p>
    <w:p w14:paraId="72932FF9" w14:textId="77777777" w:rsidR="007746C5" w:rsidRPr="007746C5" w:rsidRDefault="007746C5" w:rsidP="009A04E6">
      <w:pPr>
        <w:pStyle w:val="Bibliography"/>
        <w:spacing w:line="240" w:lineRule="auto"/>
      </w:pPr>
      <w:r w:rsidRPr="007746C5">
        <w:t xml:space="preserve">McGeoch, M. A., Genovesi, P., Bellingham, P. J., Costello, M. J., McGrannachan, C., &amp; Sheppard, A. (2016). Prioritizing species, pathways, and sites to achieve conservation targets for biological invasion. </w:t>
      </w:r>
      <w:r w:rsidRPr="007746C5">
        <w:rPr>
          <w:i/>
          <w:iCs/>
        </w:rPr>
        <w:t>Biological Invasions</w:t>
      </w:r>
      <w:r w:rsidRPr="007746C5">
        <w:t xml:space="preserve">, </w:t>
      </w:r>
      <w:r w:rsidRPr="007746C5">
        <w:rPr>
          <w:i/>
          <w:iCs/>
        </w:rPr>
        <w:t>18</w:t>
      </w:r>
      <w:r w:rsidRPr="007746C5">
        <w:t>(2), 299–314. https://doi.org/10.1007/s10530-015-1013-1</w:t>
      </w:r>
    </w:p>
    <w:p w14:paraId="13A45ECB" w14:textId="77777777" w:rsidR="007746C5" w:rsidRPr="007746C5" w:rsidRDefault="007746C5" w:rsidP="009A04E6">
      <w:pPr>
        <w:pStyle w:val="Bibliography"/>
        <w:spacing w:line="240" w:lineRule="auto"/>
      </w:pPr>
      <w:r w:rsidRPr="007746C5">
        <w:t xml:space="preserve">McGeoch, M. A., Groom, Q. J., Pagad, S., Petrosyan, V., Ruiz, G., &amp; Wilson, J. (2016). </w:t>
      </w:r>
      <w:r w:rsidRPr="007746C5">
        <w:rPr>
          <w:i/>
          <w:iCs/>
        </w:rPr>
        <w:t>Data fitness for use in research on alien and invasive species</w:t>
      </w:r>
      <w:r w:rsidRPr="007746C5">
        <w:t>. GBIF Secretariat, Copenhagen. http://www.gbif.org/document/82958</w:t>
      </w:r>
    </w:p>
    <w:p w14:paraId="23D544A0" w14:textId="77777777" w:rsidR="007746C5" w:rsidRPr="007746C5" w:rsidRDefault="007746C5" w:rsidP="009A04E6">
      <w:pPr>
        <w:pStyle w:val="Bibliography"/>
        <w:spacing w:line="240" w:lineRule="auto"/>
      </w:pPr>
      <w:r w:rsidRPr="007746C5">
        <w:t xml:space="preserve">McGeoch, M. A., Spear, D., Kleynhans, E. J., &amp; Marais, E. (2012). Uncertainty in invasive alien species listing. </w:t>
      </w:r>
      <w:r w:rsidRPr="007746C5">
        <w:rPr>
          <w:i/>
          <w:iCs/>
        </w:rPr>
        <w:t>Ecological Applications</w:t>
      </w:r>
      <w:r w:rsidRPr="007746C5">
        <w:t xml:space="preserve">, </w:t>
      </w:r>
      <w:r w:rsidRPr="007746C5">
        <w:rPr>
          <w:i/>
          <w:iCs/>
        </w:rPr>
        <w:t>22</w:t>
      </w:r>
      <w:r w:rsidRPr="007746C5">
        <w:t>(3), 959–971. https://doi.org/10.1890/11-1252.1</w:t>
      </w:r>
    </w:p>
    <w:p w14:paraId="47B66E6A" w14:textId="77777777" w:rsidR="007746C5" w:rsidRPr="007746C5" w:rsidRDefault="007746C5" w:rsidP="009A04E6">
      <w:pPr>
        <w:pStyle w:val="Bibliography"/>
        <w:spacing w:line="240" w:lineRule="auto"/>
      </w:pPr>
      <w:r w:rsidRPr="007746C5">
        <w:t xml:space="preserve">McGinn, D., &amp; Disbury, M. (2019). National saltmarsh Mosquito Surveillance programme 2018-2019. </w:t>
      </w:r>
      <w:r w:rsidRPr="007746C5">
        <w:rPr>
          <w:i/>
          <w:iCs/>
        </w:rPr>
        <w:t>Surveillance</w:t>
      </w:r>
      <w:r w:rsidRPr="007746C5">
        <w:t xml:space="preserve">, </w:t>
      </w:r>
      <w:r w:rsidRPr="007746C5">
        <w:rPr>
          <w:i/>
          <w:iCs/>
        </w:rPr>
        <w:t>46</w:t>
      </w:r>
      <w:r w:rsidRPr="007746C5">
        <w:t>(3), 87–88.</w:t>
      </w:r>
    </w:p>
    <w:p w14:paraId="3CB6AC81" w14:textId="77777777" w:rsidR="007746C5" w:rsidRPr="007746C5" w:rsidRDefault="007746C5" w:rsidP="009A04E6">
      <w:pPr>
        <w:pStyle w:val="Bibliography"/>
        <w:spacing w:line="240" w:lineRule="auto"/>
      </w:pPr>
      <w:r w:rsidRPr="007746C5">
        <w:t xml:space="preserve">McGlynn, T. P. (1999). The worldwide transfer of ants: Geographical distribution and ecological invasions. </w:t>
      </w:r>
      <w:r w:rsidRPr="007746C5">
        <w:rPr>
          <w:i/>
          <w:iCs/>
        </w:rPr>
        <w:t>Journal of Biogeography</w:t>
      </w:r>
      <w:r w:rsidRPr="007746C5">
        <w:t xml:space="preserve">, </w:t>
      </w:r>
      <w:r w:rsidRPr="007746C5">
        <w:rPr>
          <w:i/>
          <w:iCs/>
        </w:rPr>
        <w:t>26</w:t>
      </w:r>
      <w:r w:rsidRPr="007746C5">
        <w:t>(3), 535–548. https://doi.org/10.1046/j.1365-2699.1999.00310.x</w:t>
      </w:r>
    </w:p>
    <w:p w14:paraId="47049C17" w14:textId="77777777" w:rsidR="007746C5" w:rsidRPr="007746C5" w:rsidRDefault="007746C5" w:rsidP="009A04E6">
      <w:pPr>
        <w:pStyle w:val="Bibliography"/>
        <w:spacing w:line="240" w:lineRule="auto"/>
      </w:pPr>
      <w:r w:rsidRPr="007746C5">
        <w:t xml:space="preserve">McGrannachan, C. M., Pagad, S., &amp; McGeoch, M. A. (2021). A multiregional assessment of transnational pathways of introduction. </w:t>
      </w:r>
      <w:r w:rsidRPr="007746C5">
        <w:rPr>
          <w:i/>
          <w:iCs/>
        </w:rPr>
        <w:t>NeoBiota</w:t>
      </w:r>
      <w:r w:rsidRPr="007746C5">
        <w:t xml:space="preserve">, </w:t>
      </w:r>
      <w:r w:rsidRPr="007746C5">
        <w:rPr>
          <w:i/>
          <w:iCs/>
        </w:rPr>
        <w:t>64</w:t>
      </w:r>
      <w:r w:rsidRPr="007746C5">
        <w:t>, 43–67. https://doi.org/10.3897/neobiota.64.60642</w:t>
      </w:r>
    </w:p>
    <w:p w14:paraId="16E50649" w14:textId="77777777" w:rsidR="007746C5" w:rsidRPr="007746C5" w:rsidRDefault="007746C5" w:rsidP="009A04E6">
      <w:pPr>
        <w:pStyle w:val="Bibliography"/>
        <w:spacing w:line="240" w:lineRule="auto"/>
      </w:pPr>
      <w:r w:rsidRPr="007746C5">
        <w:t xml:space="preserve">McInerney, J., Small, K., &amp; Caley, P. (1995). Prevalence of </w:t>
      </w:r>
      <w:r w:rsidRPr="007746C5">
        <w:rPr>
          <w:i/>
          <w:iCs/>
        </w:rPr>
        <w:t>Mycobacterium bovis</w:t>
      </w:r>
      <w:r w:rsidRPr="007746C5">
        <w:t xml:space="preserve"> infection in feral pigs in the Northern Territory. </w:t>
      </w:r>
      <w:r w:rsidRPr="007746C5">
        <w:rPr>
          <w:i/>
          <w:iCs/>
        </w:rPr>
        <w:t>Australian Veterinary Journal</w:t>
      </w:r>
      <w:r w:rsidRPr="007746C5">
        <w:t xml:space="preserve">, </w:t>
      </w:r>
      <w:r w:rsidRPr="007746C5">
        <w:rPr>
          <w:i/>
          <w:iCs/>
        </w:rPr>
        <w:t>72</w:t>
      </w:r>
      <w:r w:rsidRPr="007746C5">
        <w:t>(12), 448–451. https://doi.org/10.1111/j.1751-0813.1995.tb03486.x</w:t>
      </w:r>
    </w:p>
    <w:p w14:paraId="6B2ECF85" w14:textId="77777777" w:rsidR="007746C5" w:rsidRPr="007746C5" w:rsidRDefault="007746C5" w:rsidP="009A04E6">
      <w:pPr>
        <w:pStyle w:val="Bibliography"/>
        <w:spacing w:line="240" w:lineRule="auto"/>
      </w:pPr>
      <w:r w:rsidRPr="007746C5">
        <w:t xml:space="preserve">McKenzie, C. H., Reid, V., Lambert, G., Matheson, K., Minchin, D., Pederson, J., Brown, L., Curd, A., Gollasch, S., Goulletquer, P., Occhipinti-Ambrogi, A., Simard, N., &amp; Therriault, T. W. (2017). </w:t>
      </w:r>
      <w:r w:rsidRPr="007746C5">
        <w:rPr>
          <w:i/>
          <w:iCs/>
        </w:rPr>
        <w:t>Alien Species Alert: Didemnum vexillum Kott, 2002: Invasion, impact, and control</w:t>
      </w:r>
      <w:r w:rsidRPr="007746C5">
        <w:t xml:space="preserve"> (ICES Cooperative Research Report No. 335). International Council for the Exploration of the Sea. http://doi.org/10.17895/ices.pub.2138</w:t>
      </w:r>
    </w:p>
    <w:p w14:paraId="7DDC1993" w14:textId="77777777" w:rsidR="007746C5" w:rsidRPr="007746C5" w:rsidRDefault="007746C5" w:rsidP="009A04E6">
      <w:pPr>
        <w:pStyle w:val="Bibliography"/>
        <w:spacing w:line="240" w:lineRule="auto"/>
      </w:pPr>
      <w:r w:rsidRPr="007746C5">
        <w:t xml:space="preserve">McLean, P., Gallien, L., Wilson, J. R. U., Gaertner, M., &amp; Richardson, D. M. (2017). Small urban centres as launching sites for plant invasions in natural areas: Insights from South Africa. </w:t>
      </w:r>
      <w:r w:rsidRPr="007746C5">
        <w:rPr>
          <w:i/>
          <w:iCs/>
        </w:rPr>
        <w:t>Biological Invasions</w:t>
      </w:r>
      <w:r w:rsidRPr="007746C5">
        <w:t xml:space="preserve">, </w:t>
      </w:r>
      <w:r w:rsidRPr="007746C5">
        <w:rPr>
          <w:i/>
          <w:iCs/>
        </w:rPr>
        <w:t>19</w:t>
      </w:r>
      <w:r w:rsidRPr="007746C5">
        <w:t>(12), 3541–3555. https://doi.org/10.1007/s10530-017-1600-4</w:t>
      </w:r>
    </w:p>
    <w:p w14:paraId="7FCE0AC5" w14:textId="77777777" w:rsidR="007746C5" w:rsidRPr="007746C5" w:rsidRDefault="007746C5" w:rsidP="009A04E6">
      <w:pPr>
        <w:pStyle w:val="Bibliography"/>
        <w:spacing w:line="240" w:lineRule="auto"/>
      </w:pPr>
      <w:r w:rsidRPr="007746C5">
        <w:t xml:space="preserve">McLeod, L., &amp; Saunders, G. (2013). </w:t>
      </w:r>
      <w:r w:rsidRPr="007746C5">
        <w:rPr>
          <w:i/>
          <w:iCs/>
        </w:rPr>
        <w:t>Pesticides used in the management of vertebrate pests in Australia: A review</w:t>
      </w:r>
      <w:r w:rsidRPr="007746C5">
        <w:t>. NSW Department of Primary industries.</w:t>
      </w:r>
    </w:p>
    <w:p w14:paraId="1E8016D6" w14:textId="77777777" w:rsidR="007746C5" w:rsidRPr="007746C5" w:rsidRDefault="007746C5" w:rsidP="009A04E6">
      <w:pPr>
        <w:pStyle w:val="Bibliography"/>
        <w:spacing w:line="240" w:lineRule="auto"/>
      </w:pPr>
      <w:r w:rsidRPr="007746C5">
        <w:t xml:space="preserve">McNie, E. C. (2007). Reconciling the supply of scientific information with user demands: An analysis of the problem and review of the literature. </w:t>
      </w:r>
      <w:r w:rsidRPr="007746C5">
        <w:rPr>
          <w:i/>
          <w:iCs/>
        </w:rPr>
        <w:t>Environmental Science &amp; Policy</w:t>
      </w:r>
      <w:r w:rsidRPr="007746C5">
        <w:t xml:space="preserve">, </w:t>
      </w:r>
      <w:r w:rsidRPr="007746C5">
        <w:rPr>
          <w:i/>
          <w:iCs/>
        </w:rPr>
        <w:t>10</w:t>
      </w:r>
      <w:r w:rsidRPr="007746C5">
        <w:t>(1), 17–38. https://doi.org/10.1016/j.envsci.2006.10.004</w:t>
      </w:r>
    </w:p>
    <w:p w14:paraId="32F8DF8B" w14:textId="77777777" w:rsidR="007746C5" w:rsidRPr="007746C5" w:rsidRDefault="007746C5" w:rsidP="009A04E6">
      <w:pPr>
        <w:pStyle w:val="Bibliography"/>
        <w:spacing w:line="240" w:lineRule="auto"/>
      </w:pPr>
      <w:r w:rsidRPr="007746C5">
        <w:lastRenderedPageBreak/>
        <w:t xml:space="preserve">Meat &amp; Livestock Australia. (2021). </w:t>
      </w:r>
      <w:r w:rsidRPr="007746C5">
        <w:rPr>
          <w:i/>
          <w:iCs/>
        </w:rPr>
        <w:t>Australia still world’s top goatmeat exporter | Meat &amp; Livestock Australia</w:t>
      </w:r>
      <w:r w:rsidRPr="007746C5">
        <w:t>. MLA Corporate. https://www.mla.com.au/prices-markets/market-news/2021/australia-remains-top-goatmeat-exporter-despite-decline/</w:t>
      </w:r>
    </w:p>
    <w:p w14:paraId="10A49C22" w14:textId="77777777" w:rsidR="007746C5" w:rsidRPr="007746C5" w:rsidRDefault="007746C5" w:rsidP="009A04E6">
      <w:pPr>
        <w:pStyle w:val="Bibliography"/>
        <w:spacing w:line="240" w:lineRule="auto"/>
      </w:pPr>
      <w:r w:rsidRPr="007746C5">
        <w:t xml:space="preserve">Meek, P. D., Ballard, G.-A., &amp; Fleming, P. J. S. (2015). The pitfalls of wildlife camera trapping as a survey tool in Australia. </w:t>
      </w:r>
      <w:r w:rsidRPr="007746C5">
        <w:rPr>
          <w:i/>
          <w:iCs/>
        </w:rPr>
        <w:t>Australian Mammalogy</w:t>
      </w:r>
      <w:r w:rsidRPr="007746C5">
        <w:t xml:space="preserve">, </w:t>
      </w:r>
      <w:r w:rsidRPr="007746C5">
        <w:rPr>
          <w:i/>
          <w:iCs/>
        </w:rPr>
        <w:t>37</w:t>
      </w:r>
      <w:r w:rsidRPr="007746C5">
        <w:t>(1), 13–22. https://doi.org/10.1071/AM14023</w:t>
      </w:r>
    </w:p>
    <w:p w14:paraId="16068684" w14:textId="77777777" w:rsidR="007746C5" w:rsidRPr="007746C5" w:rsidRDefault="007746C5" w:rsidP="009A04E6">
      <w:pPr>
        <w:pStyle w:val="Bibliography"/>
        <w:spacing w:line="240" w:lineRule="auto"/>
      </w:pPr>
      <w:r w:rsidRPr="007746C5">
        <w:t xml:space="preserve">Meier, S., Taff, G. N., Aune, J. B., &amp; Eiter, S. (2017). Regulation of the Invasive Plant </w:t>
      </w:r>
      <w:r w:rsidRPr="007746C5">
        <w:rPr>
          <w:i/>
          <w:iCs/>
        </w:rPr>
        <w:t>Heracleum persicum</w:t>
      </w:r>
      <w:r w:rsidRPr="007746C5">
        <w:t xml:space="preserve"> by Private Landowners in Tromsø, Norway. </w:t>
      </w:r>
      <w:r w:rsidRPr="007746C5">
        <w:rPr>
          <w:i/>
          <w:iCs/>
        </w:rPr>
        <w:t>Invasive Plant Science and Management</w:t>
      </w:r>
      <w:r w:rsidRPr="007746C5">
        <w:t xml:space="preserve">, </w:t>
      </w:r>
      <w:r w:rsidRPr="007746C5">
        <w:rPr>
          <w:i/>
          <w:iCs/>
        </w:rPr>
        <w:t>10</w:t>
      </w:r>
      <w:r w:rsidRPr="007746C5">
        <w:t>(2), 166–179. https://doi.org/10.1017/inp.2017.11</w:t>
      </w:r>
    </w:p>
    <w:p w14:paraId="13633858" w14:textId="77777777" w:rsidR="007746C5" w:rsidRPr="007746C5" w:rsidRDefault="007746C5" w:rsidP="009A04E6">
      <w:pPr>
        <w:pStyle w:val="Bibliography"/>
        <w:spacing w:line="240" w:lineRule="auto"/>
      </w:pPr>
      <w:r w:rsidRPr="007746C5">
        <w:t xml:space="preserve">Merwe, J. V. (2015, November 9). </w:t>
      </w:r>
      <w:r w:rsidRPr="007746C5">
        <w:rPr>
          <w:i/>
          <w:iCs/>
        </w:rPr>
        <w:t>Barrow Island Quarantine: Beyond Best Practice</w:t>
      </w:r>
      <w:r w:rsidRPr="007746C5">
        <w:t>. Abu Dhabi International Petroleum Exhibition and Conference. https://doi.org/10.2118/177952-MS</w:t>
      </w:r>
    </w:p>
    <w:p w14:paraId="607538E5" w14:textId="77777777" w:rsidR="007746C5" w:rsidRPr="007746C5" w:rsidRDefault="007746C5" w:rsidP="009A04E6">
      <w:pPr>
        <w:pStyle w:val="Bibliography"/>
        <w:spacing w:line="240" w:lineRule="auto"/>
      </w:pPr>
      <w:r w:rsidRPr="007746C5">
        <w:t xml:space="preserve">Mesnage, R., &amp; Antoniou, M. N. (2018). Ignoring Adjuvant Toxicity Falsifies the Safety Profile of Commercial Pesticides. </w:t>
      </w:r>
      <w:r w:rsidRPr="007746C5">
        <w:rPr>
          <w:i/>
          <w:iCs/>
        </w:rPr>
        <w:t>Frontiers in Public Health</w:t>
      </w:r>
      <w:r w:rsidRPr="007746C5">
        <w:t xml:space="preserve">, </w:t>
      </w:r>
      <w:r w:rsidRPr="007746C5">
        <w:rPr>
          <w:i/>
          <w:iCs/>
        </w:rPr>
        <w:t>5</w:t>
      </w:r>
      <w:r w:rsidRPr="007746C5">
        <w:t>, 361. https://doi.org/10.3389/fpubh.2017.00361</w:t>
      </w:r>
    </w:p>
    <w:p w14:paraId="0C149A7D" w14:textId="77777777" w:rsidR="007746C5" w:rsidRPr="007746C5" w:rsidRDefault="007746C5" w:rsidP="009A04E6">
      <w:pPr>
        <w:pStyle w:val="Bibliography"/>
        <w:spacing w:line="240" w:lineRule="auto"/>
      </w:pPr>
      <w:r w:rsidRPr="007746C5">
        <w:t xml:space="preserve">Meyer, J.-Y. (2008). Is eradication of the invasive tree miconia feasible? Lessons from 15 years of active management in French Polynesia (Pacific Islands). In R. D. Van Klinken, V. A. Osten, F. D. Panetta, &amp; J. . Scanlan (Eds.), </w:t>
      </w:r>
      <w:r w:rsidRPr="007746C5">
        <w:rPr>
          <w:i/>
          <w:iCs/>
        </w:rPr>
        <w:t>Proceedings of the 16th Australian Weeds Conference</w:t>
      </w:r>
      <w:r w:rsidRPr="007746C5">
        <w:t xml:space="preserve"> (p. 433). https://caws.org.nz/old-site/awc/2008/awc200814331.pdf</w:t>
      </w:r>
    </w:p>
    <w:p w14:paraId="0D77531A" w14:textId="77777777" w:rsidR="007746C5" w:rsidRPr="007746C5" w:rsidRDefault="007746C5" w:rsidP="009A04E6">
      <w:pPr>
        <w:pStyle w:val="Bibliography"/>
        <w:spacing w:line="240" w:lineRule="auto"/>
      </w:pPr>
      <w:r w:rsidRPr="007746C5">
        <w:t xml:space="preserve">Meyerson, L. A., &amp; Reaser, J. K. (2002). Biosecurity: Moving toward a comprehensive approach: A comprehensive approach to biosecurity is necessary to minimize the risk of harm caused by non-native organisms to agriculture, the economy, the environment, and human health. </w:t>
      </w:r>
      <w:r w:rsidRPr="007746C5">
        <w:rPr>
          <w:i/>
          <w:iCs/>
        </w:rPr>
        <w:t>BioScience</w:t>
      </w:r>
      <w:r w:rsidRPr="007746C5">
        <w:t xml:space="preserve">, </w:t>
      </w:r>
      <w:r w:rsidRPr="007746C5">
        <w:rPr>
          <w:i/>
          <w:iCs/>
        </w:rPr>
        <w:t>52</w:t>
      </w:r>
      <w:r w:rsidRPr="007746C5">
        <w:t>(7), 593–600. https://doi.org/10.1641/0006-3568(2002)052[0593:BMTACA]2.0.CO;2</w:t>
      </w:r>
    </w:p>
    <w:p w14:paraId="35BBCDEF" w14:textId="77777777" w:rsidR="007746C5" w:rsidRPr="007746C5" w:rsidRDefault="007746C5" w:rsidP="009A04E6">
      <w:pPr>
        <w:pStyle w:val="Bibliography"/>
        <w:spacing w:line="240" w:lineRule="auto"/>
      </w:pPr>
      <w:r w:rsidRPr="007746C5">
        <w:t xml:space="preserve">Middleton, K. (1999). Who Killed “Malagasy Cactus”? Science, Environment and Colonialism in Southern Madagascar (1924-1930). </w:t>
      </w:r>
      <w:r w:rsidRPr="007746C5">
        <w:rPr>
          <w:i/>
          <w:iCs/>
        </w:rPr>
        <w:t>Journal of Southern African Studies</w:t>
      </w:r>
      <w:r w:rsidRPr="007746C5">
        <w:t xml:space="preserve">, </w:t>
      </w:r>
      <w:r w:rsidRPr="007746C5">
        <w:rPr>
          <w:i/>
          <w:iCs/>
        </w:rPr>
        <w:t>25</w:t>
      </w:r>
      <w:r w:rsidRPr="007746C5">
        <w:t>(2), 215–248. http://www.jstor.org/stable/2637601</w:t>
      </w:r>
    </w:p>
    <w:p w14:paraId="00D81A3A" w14:textId="77777777" w:rsidR="007746C5" w:rsidRPr="007746C5" w:rsidRDefault="007746C5" w:rsidP="009A04E6">
      <w:pPr>
        <w:pStyle w:val="Bibliography"/>
        <w:spacing w:line="240" w:lineRule="auto"/>
      </w:pPr>
      <w:r w:rsidRPr="007746C5">
        <w:t xml:space="preserve">Migiro, L., &amp; Otieno, W. (2020). The Role of Plantwise in Improving Detection and Action on Pest Situations. In S. Niassy, S. Ekesi, L. Migiro, &amp; W. Otieno (Eds.), </w:t>
      </w:r>
      <w:r w:rsidRPr="007746C5">
        <w:rPr>
          <w:i/>
          <w:iCs/>
        </w:rPr>
        <w:t>Sustainable Management of Invasive Pests in Africa</w:t>
      </w:r>
      <w:r w:rsidRPr="007746C5">
        <w:t xml:space="preserve"> (Vol. 14, pp. 245–251). Springer International Publishing. https://doi.org/10.1007/978-3-030-41083-4_19</w:t>
      </w:r>
    </w:p>
    <w:p w14:paraId="7D72D2B9" w14:textId="77777777" w:rsidR="007746C5" w:rsidRPr="007746C5" w:rsidRDefault="007746C5" w:rsidP="009A04E6">
      <w:pPr>
        <w:pStyle w:val="Bibliography"/>
        <w:spacing w:line="240" w:lineRule="auto"/>
      </w:pPr>
      <w:r w:rsidRPr="007746C5">
        <w:rPr>
          <w:rFonts w:hint="eastAsia"/>
        </w:rPr>
        <w:t>Mill, A. C., Crowley, S. L., Lambin, X., McKinney, C., Maggs, G., Robertson, P., Robinson, N. J., Ward, A. I., &amp; Marzano, M. (2020). The challenges of long</w:t>
      </w:r>
      <w:r w:rsidRPr="007746C5">
        <w:rPr>
          <w:rFonts w:hint="eastAsia"/>
        </w:rPr>
        <w:t>‐</w:t>
      </w:r>
      <w:r w:rsidRPr="007746C5">
        <w:rPr>
          <w:rFonts w:hint="eastAsia"/>
        </w:rPr>
        <w:t xml:space="preserve">term invasive mammal management: Lessons from the UK. </w:t>
      </w:r>
      <w:r w:rsidRPr="007746C5">
        <w:rPr>
          <w:i/>
          <w:iCs/>
        </w:rPr>
        <w:t>Mammal Review</w:t>
      </w:r>
      <w:r w:rsidRPr="007746C5">
        <w:t xml:space="preserve">, </w:t>
      </w:r>
      <w:r w:rsidRPr="007746C5">
        <w:rPr>
          <w:i/>
          <w:iCs/>
        </w:rPr>
        <w:t>50</w:t>
      </w:r>
      <w:r w:rsidRPr="007746C5">
        <w:t>(2), 136–146. https://doi.org/10.1111/mam.12186</w:t>
      </w:r>
    </w:p>
    <w:p w14:paraId="390AF121" w14:textId="77777777" w:rsidR="007746C5" w:rsidRPr="007746C5" w:rsidRDefault="007746C5" w:rsidP="009A04E6">
      <w:pPr>
        <w:pStyle w:val="Bibliography"/>
        <w:spacing w:line="240" w:lineRule="auto"/>
      </w:pPr>
      <w:r w:rsidRPr="007746C5">
        <w:t xml:space="preserve">Miller, B. W., Breckheimer, I., McCleary, A. L., Guzmán-Ramirez, L., Caplow, S. C., Jones-Smith, J. C., &amp; Walsh, S. J. (2010). Using stylized agent-based models for population–environment research: A case study from the Galápagos Islands. </w:t>
      </w:r>
      <w:r w:rsidRPr="007746C5">
        <w:rPr>
          <w:i/>
          <w:iCs/>
        </w:rPr>
        <w:t>Population and Environment</w:t>
      </w:r>
      <w:r w:rsidRPr="007746C5">
        <w:t xml:space="preserve">, </w:t>
      </w:r>
      <w:r w:rsidRPr="007746C5">
        <w:rPr>
          <w:i/>
          <w:iCs/>
        </w:rPr>
        <w:t>31</w:t>
      </w:r>
      <w:r w:rsidRPr="007746C5">
        <w:t>(6), 401–426. https://doi.org/10.1007/s11111-010-0110-4</w:t>
      </w:r>
    </w:p>
    <w:p w14:paraId="73D14FFC" w14:textId="77777777" w:rsidR="007746C5" w:rsidRPr="007746C5" w:rsidRDefault="007746C5" w:rsidP="009A04E6">
      <w:pPr>
        <w:pStyle w:val="Bibliography"/>
        <w:spacing w:line="240" w:lineRule="auto"/>
      </w:pPr>
      <w:r w:rsidRPr="007746C5">
        <w:t xml:space="preserve">Mills, N. J., &amp; Getz, W. M. (1996). Modelling the biological control of insect pests: A review of host-parasitoid models. </w:t>
      </w:r>
      <w:r w:rsidRPr="007746C5">
        <w:rPr>
          <w:i/>
          <w:iCs/>
        </w:rPr>
        <w:t>Ecological Modelling</w:t>
      </w:r>
      <w:r w:rsidRPr="007746C5">
        <w:t xml:space="preserve">, </w:t>
      </w:r>
      <w:r w:rsidRPr="007746C5">
        <w:rPr>
          <w:i/>
          <w:iCs/>
        </w:rPr>
        <w:t>92</w:t>
      </w:r>
      <w:r w:rsidRPr="007746C5">
        <w:t>(2), 121–143. https://doi.org/10.1016/0304-3800(95)00177-8</w:t>
      </w:r>
    </w:p>
    <w:p w14:paraId="3FF65DF3" w14:textId="77777777" w:rsidR="007746C5" w:rsidRPr="007746C5" w:rsidRDefault="007746C5" w:rsidP="009A04E6">
      <w:pPr>
        <w:pStyle w:val="Bibliography"/>
        <w:spacing w:line="240" w:lineRule="auto"/>
      </w:pPr>
      <w:r w:rsidRPr="007746C5">
        <w:t xml:space="preserve">Ministry for Primary Industries, New Zealand. (2020, November 16). </w:t>
      </w:r>
      <w:r w:rsidRPr="007746C5">
        <w:rPr>
          <w:i/>
          <w:iCs/>
        </w:rPr>
        <w:t>“Surveillance” biosecurity magazine | MPI - Ministry for Primary Industries. A New Zealand Government Department.</w:t>
      </w:r>
      <w:r w:rsidRPr="007746C5">
        <w:t xml:space="preserve"> Ministry for Primary Industries. https://www.mpi.govt.nz/biosecurity/about-biosecurity-in-new-zealand/surveillance-biosecurity-magazine/</w:t>
      </w:r>
    </w:p>
    <w:p w14:paraId="697F003A" w14:textId="77777777" w:rsidR="007746C5" w:rsidRPr="007746C5" w:rsidRDefault="007746C5" w:rsidP="009A04E6">
      <w:pPr>
        <w:pStyle w:val="Bibliography"/>
        <w:spacing w:line="240" w:lineRule="auto"/>
      </w:pPr>
      <w:r w:rsidRPr="007746C5">
        <w:t xml:space="preserve">Ministry for Primary Industries, New Zealand. (2021). </w:t>
      </w:r>
      <w:r w:rsidRPr="007746C5">
        <w:rPr>
          <w:i/>
          <w:iCs/>
        </w:rPr>
        <w:t>Brown marmorated stink bug: Requirements for importers | MPI - Ministry for Primary Industries. A New Zealand Government Department.</w:t>
      </w:r>
      <w:r w:rsidRPr="007746C5">
        <w:t xml:space="preserve"> Ministry for Primary Industries. https://www.mpi.govt.nz/import/vehicles-machinery-parts/brown-marmorated-stink-bug-requirements-for-importers/</w:t>
      </w:r>
    </w:p>
    <w:p w14:paraId="48389FD0" w14:textId="77777777" w:rsidR="007746C5" w:rsidRPr="007746C5" w:rsidRDefault="007746C5" w:rsidP="009A04E6">
      <w:pPr>
        <w:pStyle w:val="Bibliography"/>
        <w:spacing w:line="240" w:lineRule="auto"/>
      </w:pPr>
      <w:r w:rsidRPr="007746C5">
        <w:t xml:space="preserve">Miththapala, S. (2007). </w:t>
      </w:r>
      <w:r w:rsidRPr="007746C5">
        <w:rPr>
          <w:i/>
          <w:iCs/>
        </w:rPr>
        <w:t>A strategy for addressing issues of aquatic invasive alien species in the Lower Mekong Basin.</w:t>
      </w:r>
      <w:r w:rsidRPr="007746C5">
        <w:t xml:space="preserve"> (p. 14). IUCN: Mekong Wetland Biodiversity Programme and </w:t>
      </w:r>
      <w:r w:rsidRPr="007746C5">
        <w:lastRenderedPageBreak/>
        <w:t>Regional Species Conservation Programme, The World Conservation Union (IUCN), Asia. https://portals.iucn.org/library/sites/library/files/documents/2007-074.pdf</w:t>
      </w:r>
    </w:p>
    <w:p w14:paraId="3F57DA3C" w14:textId="77777777" w:rsidR="007746C5" w:rsidRPr="007746C5" w:rsidRDefault="007746C5" w:rsidP="009A04E6">
      <w:pPr>
        <w:pStyle w:val="Bibliography"/>
        <w:spacing w:line="240" w:lineRule="auto"/>
      </w:pPr>
      <w:r w:rsidRPr="007746C5">
        <w:t xml:space="preserve">Mitter, N., Worrall, E. A., Robinson, K. E., Xu, Z. P., &amp; Carroll, B. J. (2017). Induction of virus resistance by exogenous application of double-stranded RNA. </w:t>
      </w:r>
      <w:r w:rsidRPr="007746C5">
        <w:rPr>
          <w:i/>
          <w:iCs/>
        </w:rPr>
        <w:t>Current Opinion in Virology</w:t>
      </w:r>
      <w:r w:rsidRPr="007746C5">
        <w:t xml:space="preserve">, </w:t>
      </w:r>
      <w:r w:rsidRPr="007746C5">
        <w:rPr>
          <w:i/>
          <w:iCs/>
        </w:rPr>
        <w:t>26</w:t>
      </w:r>
      <w:r w:rsidRPr="007746C5">
        <w:t>, 49–55. https://doi.org/10.1016/j.coviro.2017.07.009</w:t>
      </w:r>
    </w:p>
    <w:p w14:paraId="285C0A50" w14:textId="77777777" w:rsidR="007746C5" w:rsidRPr="007746C5" w:rsidRDefault="007746C5" w:rsidP="009A04E6">
      <w:pPr>
        <w:pStyle w:val="Bibliography"/>
        <w:spacing w:line="240" w:lineRule="auto"/>
      </w:pPr>
      <w:r w:rsidRPr="007746C5">
        <w:t xml:space="preserve">Mo, J., Frank, E., &amp; Vetrova, V. (2017). Large-Scale Automatic Species Identification. In W. Peng, D. Alahakoon, &amp; X. Li (Eds.), </w:t>
      </w:r>
      <w:r w:rsidRPr="007746C5">
        <w:rPr>
          <w:i/>
          <w:iCs/>
        </w:rPr>
        <w:t>AI 2017: Advances in Artificial Intelligence</w:t>
      </w:r>
      <w:r w:rsidRPr="007746C5">
        <w:t xml:space="preserve"> (pp. 301–312). Springer International Publishing. https://doi.org/10.1007/978-3-319-63004-5_24</w:t>
      </w:r>
    </w:p>
    <w:p w14:paraId="6E0462B8" w14:textId="77777777" w:rsidR="007746C5" w:rsidRPr="007746C5" w:rsidRDefault="007746C5" w:rsidP="009A04E6">
      <w:pPr>
        <w:pStyle w:val="Bibliography"/>
        <w:spacing w:line="240" w:lineRule="auto"/>
      </w:pPr>
      <w:r w:rsidRPr="007746C5">
        <w:t xml:space="preserve">Molina, V., &amp; Drake, L. A. (2016). Efficacy of open-ocean ballast water exchange: A review. </w:t>
      </w:r>
      <w:r w:rsidRPr="007746C5">
        <w:rPr>
          <w:i/>
          <w:iCs/>
        </w:rPr>
        <w:t>Management of Biological Invasions</w:t>
      </w:r>
      <w:r w:rsidRPr="007746C5">
        <w:t xml:space="preserve">, </w:t>
      </w:r>
      <w:r w:rsidRPr="007746C5">
        <w:rPr>
          <w:i/>
          <w:iCs/>
        </w:rPr>
        <w:t>7</w:t>
      </w:r>
      <w:r w:rsidRPr="007746C5">
        <w:t>(4), 375–388. https://doi.org/10.3391/mbi.2016.7.4.07</w:t>
      </w:r>
    </w:p>
    <w:p w14:paraId="394C2DDF" w14:textId="77777777" w:rsidR="007746C5" w:rsidRPr="007746C5" w:rsidRDefault="007746C5" w:rsidP="009A04E6">
      <w:pPr>
        <w:pStyle w:val="Bibliography"/>
        <w:spacing w:line="240" w:lineRule="auto"/>
      </w:pPr>
      <w:r w:rsidRPr="007746C5">
        <w:t xml:space="preserve">Monterroso, I., Binimelis, R., &amp; Rodríguez-Labajos, B. (2011). New methods for the analysis of invasion processes: Multi-criteria evaluation of the invasion of </w:t>
      </w:r>
      <w:r w:rsidRPr="007746C5">
        <w:rPr>
          <w:i/>
          <w:iCs/>
        </w:rPr>
        <w:t>Hydrilla verticillata</w:t>
      </w:r>
      <w:r w:rsidRPr="007746C5">
        <w:t xml:space="preserve"> in Guatemala. </w:t>
      </w:r>
      <w:r w:rsidRPr="007746C5">
        <w:rPr>
          <w:i/>
          <w:iCs/>
        </w:rPr>
        <w:t>Journal of Environmental Management</w:t>
      </w:r>
      <w:r w:rsidRPr="007746C5">
        <w:t xml:space="preserve">, </w:t>
      </w:r>
      <w:r w:rsidRPr="007746C5">
        <w:rPr>
          <w:i/>
          <w:iCs/>
        </w:rPr>
        <w:t>92</w:t>
      </w:r>
      <w:r w:rsidRPr="007746C5">
        <w:t>(3), 494–507. https://doi.org/10.1016/j.jenvman.2010.09.017</w:t>
      </w:r>
    </w:p>
    <w:p w14:paraId="3A8895C2" w14:textId="77777777" w:rsidR="007746C5" w:rsidRPr="007746C5" w:rsidRDefault="007746C5" w:rsidP="009A04E6">
      <w:pPr>
        <w:pStyle w:val="Bibliography"/>
        <w:spacing w:line="240" w:lineRule="auto"/>
      </w:pPr>
      <w:r w:rsidRPr="007746C5">
        <w:t xml:space="preserve">Moon, K., Blackman, D. A., &amp; Brewer, T. D. (2015). Understanding and integrating knowledge to improve invasive species management. </w:t>
      </w:r>
      <w:r w:rsidRPr="007746C5">
        <w:rPr>
          <w:i/>
          <w:iCs/>
        </w:rPr>
        <w:t>Biological Invasions</w:t>
      </w:r>
      <w:r w:rsidRPr="007746C5">
        <w:t xml:space="preserve">, </w:t>
      </w:r>
      <w:r w:rsidRPr="007746C5">
        <w:rPr>
          <w:i/>
          <w:iCs/>
        </w:rPr>
        <w:t>17</w:t>
      </w:r>
      <w:r w:rsidRPr="007746C5">
        <w:t>(9), 2675–2689. https://doi.org/10.1007/s10530-015-0904-5</w:t>
      </w:r>
    </w:p>
    <w:p w14:paraId="24E613D6" w14:textId="77777777" w:rsidR="007746C5" w:rsidRPr="007746C5" w:rsidRDefault="007746C5" w:rsidP="009A04E6">
      <w:pPr>
        <w:pStyle w:val="Bibliography"/>
        <w:spacing w:line="240" w:lineRule="auto"/>
      </w:pPr>
      <w:r w:rsidRPr="007746C5">
        <w:t xml:space="preserve">Moon, K., Blackman, D., Brewer, T. D., &amp; Sarre, S. D. (2017). Environmental governance for urgent and uncertain problems. </w:t>
      </w:r>
      <w:r w:rsidRPr="007746C5">
        <w:rPr>
          <w:i/>
          <w:iCs/>
        </w:rPr>
        <w:t>Biological Invasions</w:t>
      </w:r>
      <w:r w:rsidRPr="007746C5">
        <w:t xml:space="preserve">, </w:t>
      </w:r>
      <w:r w:rsidRPr="007746C5">
        <w:rPr>
          <w:i/>
          <w:iCs/>
        </w:rPr>
        <w:t>19</w:t>
      </w:r>
      <w:r w:rsidRPr="007746C5">
        <w:t>(3), 785–797. https://doi.org/10.1007/s10530-016-1351-7</w:t>
      </w:r>
    </w:p>
    <w:p w14:paraId="2993C2D9" w14:textId="77777777" w:rsidR="007746C5" w:rsidRPr="007746C5" w:rsidRDefault="007746C5" w:rsidP="009A04E6">
      <w:pPr>
        <w:pStyle w:val="Bibliography"/>
        <w:spacing w:line="240" w:lineRule="auto"/>
      </w:pPr>
      <w:r w:rsidRPr="007746C5">
        <w:t xml:space="preserve">Moran, V. C., Hoffmann, J. H., &amp; Zimmermann, H. G. (2005). Biological control of invasive alien plants in South Africa: Necessity, circumspection, and success. </w:t>
      </w:r>
      <w:r w:rsidRPr="007746C5">
        <w:rPr>
          <w:i/>
          <w:iCs/>
        </w:rPr>
        <w:t>Frontiers in Ecology and the Environment</w:t>
      </w:r>
      <w:r w:rsidRPr="007746C5">
        <w:t xml:space="preserve">, </w:t>
      </w:r>
      <w:r w:rsidRPr="007746C5">
        <w:rPr>
          <w:i/>
          <w:iCs/>
        </w:rPr>
        <w:t>3</w:t>
      </w:r>
      <w:r w:rsidRPr="007746C5">
        <w:t>(2), 71–77. https://doi.org/10.1890/1540-9295(2005)003[0071:BCOIAP]2.0.CO;2</w:t>
      </w:r>
    </w:p>
    <w:p w14:paraId="24A6CAF6" w14:textId="77777777" w:rsidR="007746C5" w:rsidRPr="007746C5" w:rsidRDefault="007746C5" w:rsidP="009A04E6">
      <w:pPr>
        <w:pStyle w:val="Bibliography"/>
        <w:spacing w:line="240" w:lineRule="auto"/>
      </w:pPr>
      <w:r w:rsidRPr="007746C5">
        <w:t xml:space="preserve">Moran, V. C., Hoffmann, J. H., &amp; Zimmermann, H. G. (2013). 100 years of biological control of invasive alien plants in South Africa: History, practice and achievements : news &amp; views. </w:t>
      </w:r>
      <w:r w:rsidRPr="007746C5">
        <w:rPr>
          <w:i/>
          <w:iCs/>
        </w:rPr>
        <w:t>South African Journal of Science</w:t>
      </w:r>
      <w:r w:rsidRPr="007746C5">
        <w:t xml:space="preserve">, </w:t>
      </w:r>
      <w:r w:rsidRPr="007746C5">
        <w:rPr>
          <w:i/>
          <w:iCs/>
        </w:rPr>
        <w:t>109</w:t>
      </w:r>
      <w:r w:rsidRPr="007746C5">
        <w:t>(9), a0022. https://doi.org/10.10520/EJC142072</w:t>
      </w:r>
    </w:p>
    <w:p w14:paraId="2DC507D3" w14:textId="77777777" w:rsidR="007746C5" w:rsidRPr="007746C5" w:rsidRDefault="007746C5" w:rsidP="009A04E6">
      <w:pPr>
        <w:pStyle w:val="Bibliography"/>
        <w:spacing w:line="240" w:lineRule="auto"/>
      </w:pPr>
      <w:r w:rsidRPr="007746C5">
        <w:t xml:space="preserve">More, S. J., Radunz, B., &amp; Glanville, R. J. (2015). Lessons learned during the successful eradication of bovine tuberculosis from Australia. </w:t>
      </w:r>
      <w:r w:rsidRPr="007746C5">
        <w:rPr>
          <w:i/>
          <w:iCs/>
        </w:rPr>
        <w:t>Veterinary Record</w:t>
      </w:r>
      <w:r w:rsidRPr="007746C5">
        <w:t xml:space="preserve">, </w:t>
      </w:r>
      <w:r w:rsidRPr="007746C5">
        <w:rPr>
          <w:i/>
          <w:iCs/>
        </w:rPr>
        <w:t>177</w:t>
      </w:r>
      <w:r w:rsidRPr="007746C5">
        <w:t>(9), 224–232. https://doi.org/10.1136/vr.103163</w:t>
      </w:r>
    </w:p>
    <w:p w14:paraId="7AC9F5ED" w14:textId="77777777" w:rsidR="007746C5" w:rsidRPr="007746C5" w:rsidRDefault="007746C5" w:rsidP="009A04E6">
      <w:pPr>
        <w:pStyle w:val="Bibliography"/>
        <w:spacing w:line="240" w:lineRule="auto"/>
      </w:pPr>
      <w:r w:rsidRPr="007746C5">
        <w:t xml:space="preserve">Morin, L. (2020). Progress in Biological Control of Weeds with Plant Pathogens. </w:t>
      </w:r>
      <w:r w:rsidRPr="007746C5">
        <w:rPr>
          <w:i/>
          <w:iCs/>
        </w:rPr>
        <w:t>Annual Review of Phytopathology</w:t>
      </w:r>
      <w:r w:rsidRPr="007746C5">
        <w:t xml:space="preserve">, </w:t>
      </w:r>
      <w:r w:rsidRPr="007746C5">
        <w:rPr>
          <w:i/>
          <w:iCs/>
        </w:rPr>
        <w:t>58</w:t>
      </w:r>
      <w:r w:rsidRPr="007746C5">
        <w:t>(1), 201–223. https://doi.org/10.1146/annurev-phyto-010820-012823</w:t>
      </w:r>
    </w:p>
    <w:p w14:paraId="30EC81DB" w14:textId="77777777" w:rsidR="007746C5" w:rsidRPr="007746C5" w:rsidRDefault="007746C5" w:rsidP="009A04E6">
      <w:pPr>
        <w:pStyle w:val="Bibliography"/>
        <w:spacing w:line="240" w:lineRule="auto"/>
      </w:pPr>
      <w:r w:rsidRPr="007746C5">
        <w:t xml:space="preserve">Morin, L., Evans, K. J., &amp; Sheppard, A. W. (2006). Selection of pathogen agents in weed biological control: Critical issues and peculiarities in relation to arthropod agents. </w:t>
      </w:r>
      <w:r w:rsidRPr="007746C5">
        <w:rPr>
          <w:i/>
          <w:iCs/>
        </w:rPr>
        <w:t>Australian Journal of Entomology</w:t>
      </w:r>
      <w:r w:rsidRPr="007746C5">
        <w:t xml:space="preserve">, </w:t>
      </w:r>
      <w:r w:rsidRPr="007746C5">
        <w:rPr>
          <w:i/>
          <w:iCs/>
        </w:rPr>
        <w:t>45</w:t>
      </w:r>
      <w:r w:rsidRPr="007746C5">
        <w:t>(4), 349–365. https://doi.org/10.1111/j.1440-6055.2006.00562.x</w:t>
      </w:r>
    </w:p>
    <w:p w14:paraId="7C3E72AA" w14:textId="77777777" w:rsidR="007746C5" w:rsidRPr="007746C5" w:rsidRDefault="007746C5" w:rsidP="009A04E6">
      <w:pPr>
        <w:pStyle w:val="Bibliography"/>
        <w:spacing w:line="240" w:lineRule="auto"/>
      </w:pPr>
      <w:r w:rsidRPr="007746C5">
        <w:t xml:space="preserve">Morin, L., Reid, A. M., Sims-Chilton, N. M., Buckley, Y. M., Dhileepan, K., Hastwell, G. T., Nordblom, T. L., &amp; Raghu, S. (2009). Review of approaches to evaluate the effectiveness of weed biological control agents. </w:t>
      </w:r>
      <w:r w:rsidRPr="007746C5">
        <w:rPr>
          <w:i/>
          <w:iCs/>
        </w:rPr>
        <w:t>Biological Control</w:t>
      </w:r>
      <w:r w:rsidRPr="007746C5">
        <w:t xml:space="preserve">, </w:t>
      </w:r>
      <w:r w:rsidRPr="007746C5">
        <w:rPr>
          <w:i/>
          <w:iCs/>
        </w:rPr>
        <w:t>51</w:t>
      </w:r>
      <w:r w:rsidRPr="007746C5">
        <w:t>(1), 1–15. https://doi.org/10.1016/j.biocontrol.2009.05.017</w:t>
      </w:r>
    </w:p>
    <w:p w14:paraId="02C1E83C" w14:textId="77777777" w:rsidR="007746C5" w:rsidRPr="007746C5" w:rsidRDefault="007746C5" w:rsidP="009A04E6">
      <w:pPr>
        <w:pStyle w:val="Bibliography"/>
        <w:spacing w:line="240" w:lineRule="auto"/>
      </w:pPr>
      <w:r w:rsidRPr="007746C5">
        <w:t xml:space="preserve">Moro, D., Byrne, M., Kennedy, M., Campbell, S., &amp; Tizard, M. (2018). Identifying knowledge gaps for gene drive research to control invasive animal species: The next CRISPR step. </w:t>
      </w:r>
      <w:r w:rsidRPr="007746C5">
        <w:rPr>
          <w:i/>
          <w:iCs/>
        </w:rPr>
        <w:t>Global Ecology and Conservation</w:t>
      </w:r>
      <w:r w:rsidRPr="007746C5">
        <w:t xml:space="preserve">, </w:t>
      </w:r>
      <w:r w:rsidRPr="007746C5">
        <w:rPr>
          <w:i/>
          <w:iCs/>
        </w:rPr>
        <w:t>13</w:t>
      </w:r>
      <w:r w:rsidRPr="007746C5">
        <w:t>, e00363. https://doi.org/10.1016/j.gecco.2017.e00363</w:t>
      </w:r>
    </w:p>
    <w:p w14:paraId="63F6FEAA" w14:textId="77777777" w:rsidR="007746C5" w:rsidRPr="007746C5" w:rsidRDefault="007746C5" w:rsidP="009A04E6">
      <w:pPr>
        <w:pStyle w:val="Bibliography"/>
        <w:spacing w:line="240" w:lineRule="auto"/>
      </w:pPr>
      <w:r w:rsidRPr="007746C5">
        <w:t xml:space="preserve">Morris, I. (1996). </w:t>
      </w:r>
      <w:r w:rsidRPr="007746C5">
        <w:rPr>
          <w:i/>
          <w:iCs/>
        </w:rPr>
        <w:t>Kakadu National Park, Australia.</w:t>
      </w:r>
      <w:r w:rsidRPr="007746C5">
        <w:t xml:space="preserve"> Steve Parish Publishing.</w:t>
      </w:r>
    </w:p>
    <w:p w14:paraId="1594BACC" w14:textId="77777777" w:rsidR="007746C5" w:rsidRPr="007746C5" w:rsidRDefault="007746C5" w:rsidP="009A04E6">
      <w:pPr>
        <w:pStyle w:val="Bibliography"/>
        <w:spacing w:line="240" w:lineRule="auto"/>
      </w:pPr>
      <w:r w:rsidRPr="007746C5">
        <w:t xml:space="preserve">Morrisey, D. J., Depree, C. V., Hickey, C. W., McKenzie, D. S., Middleton, I., Smith, M. D., Stewart, M., &amp; Thompson, K. J. (2016). Rapid treatment of vessels fouled with an invasive polychaete, </w:t>
      </w:r>
      <w:r w:rsidRPr="007746C5">
        <w:rPr>
          <w:i/>
          <w:iCs/>
        </w:rPr>
        <w:t>Sabella spallanzanii</w:t>
      </w:r>
      <w:r w:rsidRPr="007746C5">
        <w:t xml:space="preserve"> , using a floating dock and chlorine as a biocide. </w:t>
      </w:r>
      <w:r w:rsidRPr="007746C5">
        <w:rPr>
          <w:i/>
          <w:iCs/>
        </w:rPr>
        <w:t>Biofouling</w:t>
      </w:r>
      <w:r w:rsidRPr="007746C5">
        <w:t xml:space="preserve">, </w:t>
      </w:r>
      <w:r w:rsidRPr="007746C5">
        <w:rPr>
          <w:i/>
          <w:iCs/>
        </w:rPr>
        <w:t>32</w:t>
      </w:r>
      <w:r w:rsidRPr="007746C5">
        <w:t>(2), 135–144. https://doi.org/10.1080/08927014.2015.1126713</w:t>
      </w:r>
    </w:p>
    <w:p w14:paraId="05CED1F8" w14:textId="77777777" w:rsidR="007746C5" w:rsidRPr="007746C5" w:rsidRDefault="007746C5" w:rsidP="009A04E6">
      <w:pPr>
        <w:pStyle w:val="Bibliography"/>
        <w:spacing w:line="240" w:lineRule="auto"/>
      </w:pPr>
      <w:r w:rsidRPr="007746C5">
        <w:t xml:space="preserve">Morrisey, D. J., &amp; Woods, C. (2015). </w:t>
      </w:r>
      <w:r w:rsidRPr="007746C5">
        <w:rPr>
          <w:i/>
          <w:iCs/>
        </w:rPr>
        <w:t>In-water cleaning technologies: Review of information</w:t>
      </w:r>
      <w:r w:rsidRPr="007746C5">
        <w:t>. Ministry for Primary Industries, Manatū Ahu Matua.</w:t>
      </w:r>
    </w:p>
    <w:p w14:paraId="6A59D0DC" w14:textId="77777777" w:rsidR="007746C5" w:rsidRPr="007746C5" w:rsidRDefault="007746C5" w:rsidP="009A04E6">
      <w:pPr>
        <w:pStyle w:val="Bibliography"/>
        <w:spacing w:line="240" w:lineRule="auto"/>
      </w:pPr>
      <w:r w:rsidRPr="007746C5">
        <w:lastRenderedPageBreak/>
        <w:t xml:space="preserve">Moser, A. Y., Brown, W. Y., Bizo, L. A., Andrew, N. R., &amp; Taylor, M. K. (2020). Biosecurity Dogs Detect Live Insects after Training with Odor-Proxy Training Aids: Scent Extract and Dead Specimens. </w:t>
      </w:r>
      <w:r w:rsidRPr="007746C5">
        <w:rPr>
          <w:i/>
          <w:iCs/>
        </w:rPr>
        <w:t>Chemical Senses</w:t>
      </w:r>
      <w:r w:rsidRPr="007746C5">
        <w:t xml:space="preserve">, </w:t>
      </w:r>
      <w:r w:rsidRPr="007746C5">
        <w:rPr>
          <w:i/>
          <w:iCs/>
        </w:rPr>
        <w:t>45</w:t>
      </w:r>
      <w:r w:rsidRPr="007746C5">
        <w:t>(3), 179–186. https://doi.org/10.1093/chemse/bjaa001</w:t>
      </w:r>
    </w:p>
    <w:p w14:paraId="12AE89DA" w14:textId="77777777" w:rsidR="007746C5" w:rsidRPr="007746C5" w:rsidRDefault="007746C5" w:rsidP="009A04E6">
      <w:pPr>
        <w:pStyle w:val="Bibliography"/>
        <w:spacing w:line="240" w:lineRule="auto"/>
      </w:pPr>
      <w:r w:rsidRPr="007746C5">
        <w:t xml:space="preserve">Moser, D., Lenzner, B., Weigelt, P., Dawson, W., Kreft, H., Pergl, J., Pyšek, P., van Kleunen, M., Winter, M., Capinha, C., Cassey, P., Dullinger, S., Economo, E. P., García-Díaz, P., Guénard, B., Hofhansl, F., Mang, T., Seebens, H., &amp; Essl, F. (2018). Remoteness promotes biological invasions on islands worldwide. </w:t>
      </w:r>
      <w:r w:rsidRPr="007746C5">
        <w:rPr>
          <w:i/>
          <w:iCs/>
        </w:rPr>
        <w:t>Proceedings of the National Academy of Sciences</w:t>
      </w:r>
      <w:r w:rsidRPr="007746C5">
        <w:t xml:space="preserve">, </w:t>
      </w:r>
      <w:r w:rsidRPr="007746C5">
        <w:rPr>
          <w:i/>
          <w:iCs/>
        </w:rPr>
        <w:t>115</w:t>
      </w:r>
      <w:r w:rsidRPr="007746C5">
        <w:t>(37), 9270–9275. https://doi.org/10.1073/pnas.1804179115</w:t>
      </w:r>
    </w:p>
    <w:p w14:paraId="4CEB2252" w14:textId="77777777" w:rsidR="007746C5" w:rsidRPr="007746C5" w:rsidRDefault="007746C5" w:rsidP="009A04E6">
      <w:pPr>
        <w:pStyle w:val="Bibliography"/>
        <w:spacing w:line="240" w:lineRule="auto"/>
      </w:pPr>
      <w:r w:rsidRPr="007746C5">
        <w:t xml:space="preserve">Mosquito Alert. (2021). </w:t>
      </w:r>
      <w:r w:rsidRPr="007746C5">
        <w:rPr>
          <w:i/>
          <w:iCs/>
        </w:rPr>
        <w:t>Citizen science to investigate and control disease-carrying mosquitoes</w:t>
      </w:r>
      <w:r w:rsidRPr="007746C5">
        <w:t>. Mosquito Alert. http://www.mosquitoalert.com/en/</w:t>
      </w:r>
    </w:p>
    <w:p w14:paraId="7390917B" w14:textId="77777777" w:rsidR="007746C5" w:rsidRPr="007746C5" w:rsidRDefault="007746C5" w:rsidP="009A04E6">
      <w:pPr>
        <w:pStyle w:val="Bibliography"/>
        <w:spacing w:line="240" w:lineRule="auto"/>
      </w:pPr>
      <w:r w:rsidRPr="007746C5">
        <w:t xml:space="preserve">Mphande, F. A. (2016). Surveillance. In F. A. Mphande, </w:t>
      </w:r>
      <w:r w:rsidRPr="007746C5">
        <w:rPr>
          <w:i/>
          <w:iCs/>
        </w:rPr>
        <w:t>Infectious Diseases and Rural Livelihood in Developing Countries</w:t>
      </w:r>
      <w:r w:rsidRPr="007746C5">
        <w:t xml:space="preserve"> (pp. 115–127). Springer Singapore. https://doi.org/10.1007/978-981-10-0428-5_7</w:t>
      </w:r>
    </w:p>
    <w:p w14:paraId="0C2A18E4" w14:textId="77777777" w:rsidR="007746C5" w:rsidRPr="007746C5" w:rsidRDefault="007746C5" w:rsidP="009A04E6">
      <w:pPr>
        <w:pStyle w:val="Bibliography"/>
        <w:spacing w:line="240" w:lineRule="auto"/>
      </w:pPr>
      <w:r w:rsidRPr="007746C5">
        <w:t xml:space="preserve">Müllerová, J. (2019). UAS for Nature Conservation–Monitoring Invasive Species. In </w:t>
      </w:r>
      <w:r w:rsidRPr="007746C5">
        <w:rPr>
          <w:i/>
          <w:iCs/>
        </w:rPr>
        <w:t>Applications of Small Unmanned Aircraft Systems: Best Practices and Case Studies</w:t>
      </w:r>
      <w:r w:rsidRPr="007746C5">
        <w:t xml:space="preserve"> (p. 290). CRC Press. http://dx.doi.org/10.1201/9780429244117-8</w:t>
      </w:r>
    </w:p>
    <w:p w14:paraId="4609AA62" w14:textId="77777777" w:rsidR="007746C5" w:rsidRPr="007746C5" w:rsidRDefault="007746C5" w:rsidP="009A04E6">
      <w:pPr>
        <w:pStyle w:val="Bibliography"/>
        <w:spacing w:line="240" w:lineRule="auto"/>
      </w:pPr>
      <w:r w:rsidRPr="007746C5">
        <w:t xml:space="preserve">Müllerová, J., Bartaloš, T., Brůna, J., Dvořák, P., &amp; Vítková, M. (2017). Unmanned aircraft in nature conservation: An example from plant invasions. </w:t>
      </w:r>
      <w:r w:rsidRPr="007746C5">
        <w:rPr>
          <w:i/>
          <w:iCs/>
        </w:rPr>
        <w:t>International Journal of Remote Sensing</w:t>
      </w:r>
      <w:r w:rsidRPr="007746C5">
        <w:t xml:space="preserve">, </w:t>
      </w:r>
      <w:r w:rsidRPr="007746C5">
        <w:rPr>
          <w:i/>
          <w:iCs/>
        </w:rPr>
        <w:t>38</w:t>
      </w:r>
      <w:r w:rsidRPr="007746C5">
        <w:t>(8–10), 2177–2198. https://doi.org/10.1080/01431161.2016.1275059</w:t>
      </w:r>
    </w:p>
    <w:p w14:paraId="7BDA5D58" w14:textId="77777777" w:rsidR="007746C5" w:rsidRPr="007746C5" w:rsidRDefault="007746C5" w:rsidP="009A04E6">
      <w:pPr>
        <w:pStyle w:val="Bibliography"/>
        <w:spacing w:line="240" w:lineRule="auto"/>
      </w:pPr>
      <w:r w:rsidRPr="007746C5">
        <w:t xml:space="preserve">Mungi, N. A., Kaushik, M., Mohanty, N. P., Rastogi, R., Johnson, J. A., &amp; Qureshi, Q. (2019). Identifying knowledge gaps in the research and management of invasive species in India. </w:t>
      </w:r>
      <w:r w:rsidRPr="007746C5">
        <w:rPr>
          <w:i/>
          <w:iCs/>
        </w:rPr>
        <w:t>Biologia</w:t>
      </w:r>
      <w:r w:rsidRPr="007746C5">
        <w:t xml:space="preserve">, </w:t>
      </w:r>
      <w:r w:rsidRPr="007746C5">
        <w:rPr>
          <w:i/>
          <w:iCs/>
        </w:rPr>
        <w:t>74</w:t>
      </w:r>
      <w:r w:rsidRPr="007746C5">
        <w:t>(6), 623–629. https://doi.org/10.2478/s11756-018-00186-8</w:t>
      </w:r>
    </w:p>
    <w:p w14:paraId="033C00D1" w14:textId="77777777" w:rsidR="007746C5" w:rsidRPr="007746C5" w:rsidRDefault="007746C5" w:rsidP="009A04E6">
      <w:pPr>
        <w:pStyle w:val="Bibliography"/>
        <w:spacing w:line="240" w:lineRule="auto"/>
      </w:pPr>
      <w:r w:rsidRPr="007746C5">
        <w:t xml:space="preserve">Muraleedharan, P. K., &amp; Anitha, V. (2000). The economic impact of </w:t>
      </w:r>
      <w:r w:rsidRPr="007746C5">
        <w:rPr>
          <w:i/>
          <w:iCs/>
        </w:rPr>
        <w:t>Mikania micrantha</w:t>
      </w:r>
      <w:r w:rsidRPr="007746C5">
        <w:t xml:space="preserve"> on teak plantations in Kerala. </w:t>
      </w:r>
      <w:r w:rsidRPr="007746C5">
        <w:rPr>
          <w:i/>
          <w:iCs/>
        </w:rPr>
        <w:t>Indian Journal of Forestry</w:t>
      </w:r>
      <w:r w:rsidRPr="007746C5">
        <w:t xml:space="preserve">, </w:t>
      </w:r>
      <w:r w:rsidRPr="007746C5">
        <w:rPr>
          <w:i/>
          <w:iCs/>
        </w:rPr>
        <w:t>23</w:t>
      </w:r>
      <w:r w:rsidRPr="007746C5">
        <w:t>(3), 248–251.</w:t>
      </w:r>
    </w:p>
    <w:p w14:paraId="2FF8118B" w14:textId="77777777" w:rsidR="007746C5" w:rsidRPr="007746C5" w:rsidRDefault="007746C5" w:rsidP="009A04E6">
      <w:pPr>
        <w:pStyle w:val="Bibliography"/>
        <w:spacing w:line="240" w:lineRule="auto"/>
      </w:pPr>
      <w:r w:rsidRPr="007746C5">
        <w:t xml:space="preserve">Murdoch, W. W., Briggs, C. J., &amp; Nisbet, R. M. (2003). Consumer-Resource Dynamics (MPB-36). In </w:t>
      </w:r>
      <w:r w:rsidRPr="007746C5">
        <w:rPr>
          <w:i/>
          <w:iCs/>
        </w:rPr>
        <w:t>Consumer-Resource Dynamics (MPB-36)</w:t>
      </w:r>
      <w:r w:rsidRPr="007746C5">
        <w:t>. Princeton University Press. https://doi.org/10.1515/9781400847259</w:t>
      </w:r>
    </w:p>
    <w:p w14:paraId="5AC5BD24" w14:textId="77777777" w:rsidR="007746C5" w:rsidRPr="007746C5" w:rsidRDefault="007746C5" w:rsidP="009A04E6">
      <w:pPr>
        <w:pStyle w:val="Bibliography"/>
        <w:spacing w:line="240" w:lineRule="auto"/>
      </w:pPr>
      <w:r w:rsidRPr="007746C5">
        <w:t xml:space="preserve">Murdoch, W. W., Swarbrick, S. L., &amp; Briggs, C. J. (2006). Biological control: Lessons from a study of California red scale. </w:t>
      </w:r>
      <w:r w:rsidRPr="007746C5">
        <w:rPr>
          <w:i/>
          <w:iCs/>
        </w:rPr>
        <w:t>Population Ecology</w:t>
      </w:r>
      <w:r w:rsidRPr="007746C5">
        <w:t xml:space="preserve">, </w:t>
      </w:r>
      <w:r w:rsidRPr="007746C5">
        <w:rPr>
          <w:i/>
          <w:iCs/>
        </w:rPr>
        <w:t>48</w:t>
      </w:r>
      <w:r w:rsidRPr="007746C5">
        <w:t>(4), 297–305. https://doi.org/10.1007/s10144-006-0004-6</w:t>
      </w:r>
    </w:p>
    <w:p w14:paraId="6EF5EF08" w14:textId="77777777" w:rsidR="007746C5" w:rsidRPr="007746C5" w:rsidRDefault="007746C5" w:rsidP="009A04E6">
      <w:pPr>
        <w:pStyle w:val="Bibliography"/>
        <w:spacing w:line="240" w:lineRule="auto"/>
      </w:pPr>
      <w:r w:rsidRPr="007746C5">
        <w:t xml:space="preserve">Murphy, D., Gormley, E., Collins, D. M., McGrath, G., Sovsic, E., Costello, E., &amp; Corner, L. A. L. (2011). Tuberculosis in cattle herds are sentinels for </w:t>
      </w:r>
      <w:r w:rsidRPr="007746C5">
        <w:rPr>
          <w:i/>
          <w:iCs/>
        </w:rPr>
        <w:t>Mycobacterium bovis</w:t>
      </w:r>
      <w:r w:rsidRPr="007746C5">
        <w:t xml:space="preserve"> infection in European badgers (</w:t>
      </w:r>
      <w:r w:rsidRPr="007746C5">
        <w:rPr>
          <w:i/>
          <w:iCs/>
        </w:rPr>
        <w:t>Meles meles</w:t>
      </w:r>
      <w:r w:rsidRPr="007746C5">
        <w:t xml:space="preserve">): The Irish Greenfield Study. </w:t>
      </w:r>
      <w:r w:rsidRPr="007746C5">
        <w:rPr>
          <w:i/>
          <w:iCs/>
        </w:rPr>
        <w:t>Veterinary Microbiology</w:t>
      </w:r>
      <w:r w:rsidRPr="007746C5">
        <w:t xml:space="preserve">, </w:t>
      </w:r>
      <w:r w:rsidRPr="007746C5">
        <w:rPr>
          <w:i/>
          <w:iCs/>
        </w:rPr>
        <w:t>151</w:t>
      </w:r>
      <w:r w:rsidRPr="007746C5">
        <w:t>(1–2), 120–125. https://doi.org/10.1016/j.vetmic.2011.02.034</w:t>
      </w:r>
    </w:p>
    <w:p w14:paraId="6BE007C1" w14:textId="77777777" w:rsidR="007746C5" w:rsidRPr="007746C5" w:rsidRDefault="007746C5" w:rsidP="009A04E6">
      <w:pPr>
        <w:pStyle w:val="Bibliography"/>
        <w:spacing w:line="240" w:lineRule="auto"/>
      </w:pPr>
      <w:r w:rsidRPr="007746C5">
        <w:t xml:space="preserve">Murray, K., Jepson, P. C., &amp; Chaola, M. (2019). </w:t>
      </w:r>
      <w:r w:rsidRPr="007746C5">
        <w:rPr>
          <w:i/>
          <w:iCs/>
        </w:rPr>
        <w:t>Fall Armyworm Management for Maize Smallholders in Malawi: An Integrated Pest Management Strategic Plan</w:t>
      </w:r>
      <w:r w:rsidRPr="007746C5">
        <w:t>. CDMX, CIMMYT. https://repository.cimmyt.org/handle/10883/20170</w:t>
      </w:r>
    </w:p>
    <w:p w14:paraId="0C966F14" w14:textId="77777777" w:rsidR="007746C5" w:rsidRPr="007746C5" w:rsidRDefault="007746C5" w:rsidP="009A04E6">
      <w:pPr>
        <w:pStyle w:val="Bibliography"/>
        <w:spacing w:line="240" w:lineRule="auto"/>
      </w:pPr>
      <w:r w:rsidRPr="007746C5">
        <w:t xml:space="preserve">Murray, K., Jepson, P. C., &amp; Huesing, J. (2021). </w:t>
      </w:r>
      <w:r w:rsidRPr="007746C5">
        <w:rPr>
          <w:i/>
          <w:iCs/>
        </w:rPr>
        <w:t>Fall armyworm for maize smallholders in Kenya: An integrated pest management strategic plan</w:t>
      </w:r>
      <w:r w:rsidRPr="007746C5">
        <w:t>. USAID, CIMMYT. https://repository.cimmyt.org/handle/10883/21259</w:t>
      </w:r>
    </w:p>
    <w:p w14:paraId="022FFE67" w14:textId="77777777" w:rsidR="007746C5" w:rsidRPr="007746C5" w:rsidRDefault="007746C5" w:rsidP="009A04E6">
      <w:pPr>
        <w:pStyle w:val="Bibliography"/>
        <w:spacing w:line="240" w:lineRule="auto"/>
      </w:pPr>
      <w:r w:rsidRPr="007746C5">
        <w:t xml:space="preserve">Mutze, G. J. (1991). Long-term effects of warren ripping for rabbit control in semi-arid South Australia. </w:t>
      </w:r>
      <w:r w:rsidRPr="007746C5">
        <w:rPr>
          <w:i/>
          <w:iCs/>
        </w:rPr>
        <w:t>The Rangeland Journal</w:t>
      </w:r>
      <w:r w:rsidRPr="007746C5">
        <w:t xml:space="preserve">, </w:t>
      </w:r>
      <w:r w:rsidRPr="007746C5">
        <w:rPr>
          <w:i/>
          <w:iCs/>
        </w:rPr>
        <w:t>13</w:t>
      </w:r>
      <w:r w:rsidRPr="007746C5">
        <w:t>(2), 96–106. https://doi.org/10.1071/rj9910096</w:t>
      </w:r>
    </w:p>
    <w:p w14:paraId="063F6860" w14:textId="77777777" w:rsidR="007746C5" w:rsidRPr="007746C5" w:rsidRDefault="007746C5" w:rsidP="009A04E6">
      <w:pPr>
        <w:pStyle w:val="Bibliography"/>
        <w:spacing w:line="240" w:lineRule="auto"/>
      </w:pPr>
      <w:r w:rsidRPr="007746C5">
        <w:t xml:space="preserve">Mwangi, E., &amp; Swallow, B. (2005). </w:t>
      </w:r>
      <w:r w:rsidRPr="007746C5">
        <w:rPr>
          <w:i/>
          <w:iCs/>
        </w:rPr>
        <w:t xml:space="preserve">Invasion of </w:t>
      </w:r>
      <w:r w:rsidRPr="007746C5">
        <w:t>Prosopis juliflora</w:t>
      </w:r>
      <w:r w:rsidRPr="007746C5">
        <w:rPr>
          <w:i/>
          <w:iCs/>
        </w:rPr>
        <w:t xml:space="preserve"> and local livelihoods: Case study from the lake Baringo area of Kenya</w:t>
      </w:r>
      <w:r w:rsidRPr="007746C5">
        <w:t>. ICRAF Working Paper – no. 3. Nairobi: World Agroforestry Centre. http://apps.worldagroforestry.org/downloads/Publications/PDFS/WP13657.pdf</w:t>
      </w:r>
    </w:p>
    <w:p w14:paraId="4993CBC5" w14:textId="77777777" w:rsidR="007746C5" w:rsidRPr="007746C5" w:rsidRDefault="007746C5" w:rsidP="009A04E6">
      <w:pPr>
        <w:pStyle w:val="Bibliography"/>
        <w:spacing w:line="240" w:lineRule="auto"/>
      </w:pPr>
      <w:r w:rsidRPr="007746C5">
        <w:t xml:space="preserve">Myers, J. H., Savoie, A., &amp; van Randen, E. (1998). Eradication and pest management. </w:t>
      </w:r>
      <w:r w:rsidRPr="007746C5">
        <w:rPr>
          <w:i/>
          <w:iCs/>
        </w:rPr>
        <w:t>Annual Review of Entomology</w:t>
      </w:r>
      <w:r w:rsidRPr="007746C5">
        <w:t xml:space="preserve">, </w:t>
      </w:r>
      <w:r w:rsidRPr="007746C5">
        <w:rPr>
          <w:i/>
          <w:iCs/>
        </w:rPr>
        <w:t>43</w:t>
      </w:r>
      <w:r w:rsidRPr="007746C5">
        <w:t>, 471–491. https://doi.org/10.1146/annurev.ento.43.1.471</w:t>
      </w:r>
    </w:p>
    <w:p w14:paraId="45FD2B6F" w14:textId="77777777" w:rsidR="007746C5" w:rsidRPr="007746C5" w:rsidRDefault="007746C5" w:rsidP="009A04E6">
      <w:pPr>
        <w:pStyle w:val="Bibliography"/>
        <w:spacing w:line="240" w:lineRule="auto"/>
      </w:pPr>
      <w:r w:rsidRPr="007746C5">
        <w:t xml:space="preserve">Naidoo, R., &amp; Ricketts, T. H. (2006). Mapping the Economic Costs and Benefits of Conservation. </w:t>
      </w:r>
      <w:r w:rsidRPr="007746C5">
        <w:rPr>
          <w:i/>
          <w:iCs/>
        </w:rPr>
        <w:t>PLoS Biology</w:t>
      </w:r>
      <w:r w:rsidRPr="007746C5">
        <w:t xml:space="preserve">, </w:t>
      </w:r>
      <w:r w:rsidRPr="007746C5">
        <w:rPr>
          <w:i/>
          <w:iCs/>
        </w:rPr>
        <w:t>4</w:t>
      </w:r>
      <w:r w:rsidRPr="007746C5">
        <w:t>(11), e360. https://doi.org/10.1371/journal.pbio.0040360</w:t>
      </w:r>
    </w:p>
    <w:p w14:paraId="1C781AF1" w14:textId="77777777" w:rsidR="007746C5" w:rsidRPr="007746C5" w:rsidRDefault="007746C5" w:rsidP="009A04E6">
      <w:pPr>
        <w:pStyle w:val="Bibliography"/>
        <w:spacing w:line="240" w:lineRule="auto"/>
      </w:pPr>
      <w:r w:rsidRPr="007746C5">
        <w:lastRenderedPageBreak/>
        <w:t xml:space="preserve">National Academies of Sciences, Engineering, and Medicine. (2016). </w:t>
      </w:r>
      <w:r w:rsidRPr="007746C5">
        <w:rPr>
          <w:i/>
          <w:iCs/>
        </w:rPr>
        <w:t>Gene Drives on the Horizon: Advancing Science, Navigating Uncertainty, and Aligning Research with Public Values</w:t>
      </w:r>
      <w:r w:rsidRPr="007746C5">
        <w:t>. National Academies Press. https://doi.org/10.17226/23405</w:t>
      </w:r>
    </w:p>
    <w:p w14:paraId="46AE4C51" w14:textId="77777777" w:rsidR="007746C5" w:rsidRPr="007746C5" w:rsidRDefault="007746C5" w:rsidP="009A04E6">
      <w:pPr>
        <w:pStyle w:val="Bibliography"/>
        <w:spacing w:line="240" w:lineRule="auto"/>
      </w:pPr>
      <w:r w:rsidRPr="007746C5">
        <w:t xml:space="preserve">Navarro, H., &amp; Navarro, S. (2016). Current global challenges to the use of fumigants. In S. Navarro, D. S. Jayas, &amp; K. Alagusundaram (Eds.), </w:t>
      </w:r>
      <w:r w:rsidRPr="007746C5">
        <w:rPr>
          <w:i/>
          <w:iCs/>
        </w:rPr>
        <w:t>Proceedings of the 10th International Conference on controlled atmosphere and fumigation in stored products</w:t>
      </w:r>
      <w:r w:rsidRPr="007746C5">
        <w:t xml:space="preserve"> (pp. 126–133). CAF Permanent Committee Secretariat, CAF. http://ftic.co.il/2016NewDelhiPDF/PP126-133-A022-SESSION03.pdf</w:t>
      </w:r>
    </w:p>
    <w:p w14:paraId="27B2A52E" w14:textId="77777777" w:rsidR="007746C5" w:rsidRPr="007746C5" w:rsidRDefault="007746C5" w:rsidP="009A04E6">
      <w:pPr>
        <w:pStyle w:val="Bibliography"/>
        <w:spacing w:line="240" w:lineRule="auto"/>
      </w:pPr>
      <w:r w:rsidRPr="007746C5">
        <w:t xml:space="preserve">Nayak, M. K., Collins, P. J., &amp; Pavic, H. (2003). Developments in phosphine resistance in China and possible implications for Australia. In E. J. Wright, M. C. Webb, &amp; E. Highley (Eds.), </w:t>
      </w:r>
      <w:r w:rsidRPr="007746C5">
        <w:rPr>
          <w:i/>
          <w:iCs/>
        </w:rPr>
        <w:t>Stored grain in Australia 2003.</w:t>
      </w:r>
      <w:r w:rsidRPr="007746C5">
        <w:t xml:space="preserve"> (pp. 156–159). CSIRO Stored Grain Research Laboratory. https://storedgrain.com.au/wp-content/uploads/2013/06/30.pdf</w:t>
      </w:r>
    </w:p>
    <w:p w14:paraId="0B77A2D1" w14:textId="77777777" w:rsidR="007746C5" w:rsidRPr="007746C5" w:rsidRDefault="007746C5" w:rsidP="009A04E6">
      <w:pPr>
        <w:pStyle w:val="Bibliography"/>
        <w:spacing w:line="240" w:lineRule="auto"/>
      </w:pPr>
      <w:r w:rsidRPr="007746C5">
        <w:t xml:space="preserve">Newsome, T., van Eeden, L., Lazenby, B., &amp; Dickman, C. (2017). Does Culling Work? </w:t>
      </w:r>
      <w:r w:rsidRPr="007746C5">
        <w:rPr>
          <w:i/>
          <w:iCs/>
        </w:rPr>
        <w:t>Australasian Science</w:t>
      </w:r>
      <w:r w:rsidRPr="007746C5">
        <w:t xml:space="preserve">, </w:t>
      </w:r>
      <w:r w:rsidRPr="007746C5">
        <w:rPr>
          <w:i/>
          <w:iCs/>
        </w:rPr>
        <w:t>38</w:t>
      </w:r>
      <w:r w:rsidRPr="007746C5">
        <w:t>(1), 28–30. http://www.australasianscience.com.au/article/issue-janfeb-2017/does-culling-work.html</w:t>
      </w:r>
    </w:p>
    <w:p w14:paraId="07ADDBE2" w14:textId="77777777" w:rsidR="007746C5" w:rsidRPr="007746C5" w:rsidRDefault="007746C5" w:rsidP="009A04E6">
      <w:pPr>
        <w:pStyle w:val="Bibliography"/>
        <w:spacing w:line="240" w:lineRule="auto"/>
      </w:pPr>
      <w:r w:rsidRPr="007746C5">
        <w:t xml:space="preserve">Niemiec, R. M., Pech, R. P., Norbury, G. L., &amp; Byrom, A. E. (2017). Landowners’ Perspectives on Coordinated, Landscape-Level Invasive Species Control: The Role of Social and Ecological Context. </w:t>
      </w:r>
      <w:r w:rsidRPr="007746C5">
        <w:rPr>
          <w:i/>
          <w:iCs/>
        </w:rPr>
        <w:t>Environmental Management</w:t>
      </w:r>
      <w:r w:rsidRPr="007746C5">
        <w:t xml:space="preserve">, </w:t>
      </w:r>
      <w:r w:rsidRPr="007746C5">
        <w:rPr>
          <w:i/>
          <w:iCs/>
        </w:rPr>
        <w:t>59</w:t>
      </w:r>
      <w:r w:rsidRPr="007746C5">
        <w:t>(3), 477–489. https://doi.org/10.1007/s00267-016-0807-y</w:t>
      </w:r>
    </w:p>
    <w:p w14:paraId="33D92A2B" w14:textId="77777777" w:rsidR="007746C5" w:rsidRPr="007746C5" w:rsidRDefault="007746C5" w:rsidP="009A04E6">
      <w:pPr>
        <w:pStyle w:val="Bibliography"/>
        <w:spacing w:line="240" w:lineRule="auto"/>
      </w:pPr>
      <w:r w:rsidRPr="007746C5">
        <w:t xml:space="preserve">Niemiera, A. X., &amp; Holle, B. V. (2009). Invasive Plant Species and the Ornamental Horticulture Industry. In Inderjit (Ed.), </w:t>
      </w:r>
      <w:r w:rsidRPr="007746C5">
        <w:rPr>
          <w:i/>
          <w:iCs/>
        </w:rPr>
        <w:t>Management of Invasive Weeds</w:t>
      </w:r>
      <w:r w:rsidRPr="007746C5">
        <w:t xml:space="preserve"> (Vol. 5, pp. 167–187). Springer Netherlands. https://doi.org/10.1007/978-1-4020-9202-2_9</w:t>
      </w:r>
    </w:p>
    <w:p w14:paraId="2D338EE3" w14:textId="77777777" w:rsidR="007746C5" w:rsidRPr="007746C5" w:rsidRDefault="007746C5" w:rsidP="009A04E6">
      <w:pPr>
        <w:pStyle w:val="Bibliography"/>
        <w:spacing w:line="240" w:lineRule="auto"/>
      </w:pPr>
      <w:r w:rsidRPr="007746C5">
        <w:t xml:space="preserve">Nishida, T., Yamashita, N., Asai, M., Kurokawa, S., Enomoto, T., Pheloung, P. C., &amp; Groves, R. H. (2009). Developing a pre-entry weed risk assessment system for use in Japan. </w:t>
      </w:r>
      <w:r w:rsidRPr="007746C5">
        <w:rPr>
          <w:i/>
          <w:iCs/>
        </w:rPr>
        <w:t>Biological Invasions</w:t>
      </w:r>
      <w:r w:rsidRPr="007746C5">
        <w:t xml:space="preserve">, </w:t>
      </w:r>
      <w:r w:rsidRPr="007746C5">
        <w:rPr>
          <w:i/>
          <w:iCs/>
        </w:rPr>
        <w:t>11</w:t>
      </w:r>
      <w:r w:rsidRPr="007746C5">
        <w:t>(6), 1319–1333. https://doi.org/10.1007/s10530-008-9340-0</w:t>
      </w:r>
    </w:p>
    <w:p w14:paraId="2DFD5715" w14:textId="77777777" w:rsidR="007746C5" w:rsidRPr="007746C5" w:rsidRDefault="007746C5" w:rsidP="009A04E6">
      <w:pPr>
        <w:pStyle w:val="Bibliography"/>
        <w:spacing w:line="240" w:lineRule="auto"/>
      </w:pPr>
      <w:r w:rsidRPr="007746C5">
        <w:t xml:space="preserve">Nishimoto, R. (2019). Global trends in the crop protection industry. </w:t>
      </w:r>
      <w:r w:rsidRPr="007746C5">
        <w:rPr>
          <w:i/>
          <w:iCs/>
        </w:rPr>
        <w:t>Journal of Pesticide Science</w:t>
      </w:r>
      <w:r w:rsidRPr="007746C5">
        <w:t xml:space="preserve">, </w:t>
      </w:r>
      <w:r w:rsidRPr="007746C5">
        <w:rPr>
          <w:i/>
          <w:iCs/>
        </w:rPr>
        <w:t>44</w:t>
      </w:r>
      <w:r w:rsidRPr="007746C5">
        <w:t>(3), 141–147. https://doi.org/10.1584/jpestics.D19-101</w:t>
      </w:r>
    </w:p>
    <w:p w14:paraId="6B029871" w14:textId="77777777" w:rsidR="007746C5" w:rsidRPr="007746C5" w:rsidRDefault="007746C5" w:rsidP="009A04E6">
      <w:pPr>
        <w:pStyle w:val="Bibliography"/>
        <w:spacing w:line="240" w:lineRule="auto"/>
      </w:pPr>
      <w:r w:rsidRPr="007746C5">
        <w:t xml:space="preserve">Njiru, M., Waithaka, E., Muchiri, M., van Knaap, M., &amp; Cowx, I. G. (2005). Exotic introductions to the fishery of Lake Victoria: What are the management options? </w:t>
      </w:r>
      <w:r w:rsidRPr="007746C5">
        <w:rPr>
          <w:i/>
          <w:iCs/>
        </w:rPr>
        <w:t>Lakes &amp; Reservoirs: Research &amp; Management</w:t>
      </w:r>
      <w:r w:rsidRPr="007746C5">
        <w:t xml:space="preserve">, </w:t>
      </w:r>
      <w:r w:rsidRPr="007746C5">
        <w:rPr>
          <w:i/>
          <w:iCs/>
        </w:rPr>
        <w:t>10</w:t>
      </w:r>
      <w:r w:rsidRPr="007746C5">
        <w:t>(3), 147–155. https://doi.org/10.1111/j.1440-1770.2005.00270.x</w:t>
      </w:r>
    </w:p>
    <w:p w14:paraId="5D9F22C2" w14:textId="77777777" w:rsidR="007746C5" w:rsidRPr="007746C5" w:rsidRDefault="007746C5" w:rsidP="009A04E6">
      <w:pPr>
        <w:pStyle w:val="Bibliography"/>
        <w:spacing w:line="240" w:lineRule="auto"/>
      </w:pPr>
      <w:r w:rsidRPr="007746C5">
        <w:t xml:space="preserve">Noar, R. D., Jahant-Miller, C. J., Emerine, S., &amp; Hallberg, R. (2021). Early Warning Systems as a Component of Integrated Pest Management to Prevent the Introduction of Exotic Pests. </w:t>
      </w:r>
      <w:r w:rsidRPr="007746C5">
        <w:rPr>
          <w:i/>
          <w:iCs/>
        </w:rPr>
        <w:t>Journal of Integrated Pest Management</w:t>
      </w:r>
      <w:r w:rsidRPr="007746C5">
        <w:t xml:space="preserve">, </w:t>
      </w:r>
      <w:r w:rsidRPr="007746C5">
        <w:rPr>
          <w:i/>
          <w:iCs/>
        </w:rPr>
        <w:t>12</w:t>
      </w:r>
      <w:r w:rsidRPr="007746C5">
        <w:t>(1), 16. https://doi.org/10.1093/jipm/pmab011</w:t>
      </w:r>
    </w:p>
    <w:p w14:paraId="3D05421F" w14:textId="77777777" w:rsidR="007746C5" w:rsidRPr="007746C5" w:rsidRDefault="007746C5" w:rsidP="009A04E6">
      <w:pPr>
        <w:pStyle w:val="Bibliography"/>
        <w:spacing w:line="240" w:lineRule="auto"/>
      </w:pPr>
      <w:r w:rsidRPr="007746C5">
        <w:t xml:space="preserve">Noble, M., Ruiz, G. M., &amp; Murphy, K. R. (2016). Chemical Assessment of Ballast Water Exchange Compliance: Implementation in North America and New Zealand. </w:t>
      </w:r>
      <w:r w:rsidRPr="007746C5">
        <w:rPr>
          <w:i/>
          <w:iCs/>
        </w:rPr>
        <w:t>Frontiers in Marine Science</w:t>
      </w:r>
      <w:r w:rsidRPr="007746C5">
        <w:t xml:space="preserve">, </w:t>
      </w:r>
      <w:r w:rsidRPr="007746C5">
        <w:rPr>
          <w:i/>
          <w:iCs/>
        </w:rPr>
        <w:t>3</w:t>
      </w:r>
      <w:r w:rsidRPr="007746C5">
        <w:t>. https://doi.org/10.3389/fmars.2016.00066</w:t>
      </w:r>
    </w:p>
    <w:p w14:paraId="0DC66A58" w14:textId="77777777" w:rsidR="007746C5" w:rsidRPr="007746C5" w:rsidRDefault="007746C5" w:rsidP="009A04E6">
      <w:pPr>
        <w:pStyle w:val="Bibliography"/>
        <w:spacing w:line="240" w:lineRule="auto"/>
      </w:pPr>
      <w:r w:rsidRPr="007746C5">
        <w:t xml:space="preserve">Nogales, M., Vidal, E., Medina, F. M., Bonnaud, E., Tershy, B. R., Campbell, K. J., &amp; Zavaleta, E. S. (2013). Feral Cats and Biodiversity Conservation: The Urgent Prioritization of Island Management. </w:t>
      </w:r>
      <w:r w:rsidRPr="007746C5">
        <w:rPr>
          <w:i/>
          <w:iCs/>
        </w:rPr>
        <w:t>BioScience</w:t>
      </w:r>
      <w:r w:rsidRPr="007746C5">
        <w:t xml:space="preserve">, </w:t>
      </w:r>
      <w:r w:rsidRPr="007746C5">
        <w:rPr>
          <w:i/>
          <w:iCs/>
        </w:rPr>
        <w:t>63</w:t>
      </w:r>
      <w:r w:rsidRPr="007746C5">
        <w:t>(10), 804–810. https://doi.org/10.1525/bio.2013.63.10.7</w:t>
      </w:r>
    </w:p>
    <w:p w14:paraId="0FEA6599" w14:textId="77777777" w:rsidR="007746C5" w:rsidRPr="007746C5" w:rsidRDefault="007746C5" w:rsidP="009A04E6">
      <w:pPr>
        <w:pStyle w:val="Bibliography"/>
        <w:spacing w:line="240" w:lineRule="auto"/>
      </w:pPr>
      <w:r w:rsidRPr="007746C5">
        <w:t xml:space="preserve">Nordberg, E. J., Macdonald, S., Zimny, G., Hoskins, A., Zimny, A., Somaweera, R., Ferguson, J., &amp; Perry, J. (2019). An evaluation of nest predator impacts and the efficacy of plastic meshing on marine turtle nests on the western Cape York Peninsula, Australia. </w:t>
      </w:r>
      <w:r w:rsidRPr="007746C5">
        <w:rPr>
          <w:i/>
          <w:iCs/>
        </w:rPr>
        <w:t>Biological Conservation</w:t>
      </w:r>
      <w:r w:rsidRPr="007746C5">
        <w:t xml:space="preserve">, </w:t>
      </w:r>
      <w:r w:rsidRPr="007746C5">
        <w:rPr>
          <w:i/>
          <w:iCs/>
        </w:rPr>
        <w:t>238</w:t>
      </w:r>
      <w:r w:rsidRPr="007746C5">
        <w:t>, 108201. https://doi.org/10.1016/j.biocon.2019.108201</w:t>
      </w:r>
    </w:p>
    <w:p w14:paraId="2E4857D4" w14:textId="77777777" w:rsidR="007746C5" w:rsidRPr="007746C5" w:rsidRDefault="007746C5" w:rsidP="009A04E6">
      <w:pPr>
        <w:pStyle w:val="Bibliography"/>
        <w:spacing w:line="240" w:lineRule="auto"/>
      </w:pPr>
      <w:r w:rsidRPr="007746C5">
        <w:t xml:space="preserve">Nourani, S. W., Krasny, M. E., &amp; Decker, D. J. (2018). Learning and linking for invasive species management. </w:t>
      </w:r>
      <w:r w:rsidRPr="007746C5">
        <w:rPr>
          <w:i/>
          <w:iCs/>
        </w:rPr>
        <w:t>Ecology and Society</w:t>
      </w:r>
      <w:r w:rsidRPr="007746C5">
        <w:t xml:space="preserve">, </w:t>
      </w:r>
      <w:r w:rsidRPr="007746C5">
        <w:rPr>
          <w:i/>
          <w:iCs/>
        </w:rPr>
        <w:t>23</w:t>
      </w:r>
      <w:r w:rsidRPr="007746C5">
        <w:t>(3), 29. https://doi.org/10.5751/ES-10327-230329</w:t>
      </w:r>
    </w:p>
    <w:p w14:paraId="285E312A" w14:textId="77777777" w:rsidR="007746C5" w:rsidRPr="007746C5" w:rsidRDefault="007746C5" w:rsidP="009A04E6">
      <w:pPr>
        <w:pStyle w:val="Bibliography"/>
        <w:spacing w:line="240" w:lineRule="auto"/>
      </w:pPr>
      <w:r w:rsidRPr="007746C5">
        <w:t xml:space="preserve">Novoa, A., Shackleton, R., Canavan, S., Cybèle, C., Davies, S. J., Dehnen-Schmutz, K., Fried, J., Gaertner, M., Geerts, S., Griffiths, C. L., Kaplan, H., Kumschick, S., Le Maitre, D. C., Measey, G. J., Nunes, A. L., Richardson, D. M., Robinson, T. B., Touza, J., &amp; Wilson, J. R. U. (2018). A framework for engaging stakeholders on the management of alien species. </w:t>
      </w:r>
      <w:r w:rsidRPr="007746C5">
        <w:rPr>
          <w:i/>
          <w:iCs/>
        </w:rPr>
        <w:t>Journal of Environmental Management</w:t>
      </w:r>
      <w:r w:rsidRPr="007746C5">
        <w:t xml:space="preserve">, </w:t>
      </w:r>
      <w:r w:rsidRPr="007746C5">
        <w:rPr>
          <w:i/>
          <w:iCs/>
        </w:rPr>
        <w:t>205</w:t>
      </w:r>
      <w:r w:rsidRPr="007746C5">
        <w:t>, 286–297. https://doi.org/10.1016/j.jenvman.2017.09.059</w:t>
      </w:r>
    </w:p>
    <w:p w14:paraId="4090E73C" w14:textId="77777777" w:rsidR="007746C5" w:rsidRPr="007746C5" w:rsidRDefault="007746C5" w:rsidP="009A04E6">
      <w:pPr>
        <w:pStyle w:val="Bibliography"/>
        <w:spacing w:line="240" w:lineRule="auto"/>
      </w:pPr>
      <w:r w:rsidRPr="007746C5">
        <w:lastRenderedPageBreak/>
        <w:t xml:space="preserve">Nsikani, M. M., van Wilgen, B. W., &amp; Gaertner, M. (2018). Barriers to ecosystem restoration presented by soil legacy effects of invasive alien N2-fixing woody species: Implications for ecological restoration. </w:t>
      </w:r>
      <w:r w:rsidRPr="007746C5">
        <w:rPr>
          <w:i/>
          <w:iCs/>
        </w:rPr>
        <w:t>Restoration Ecology</w:t>
      </w:r>
      <w:r w:rsidRPr="007746C5">
        <w:t xml:space="preserve">, </w:t>
      </w:r>
      <w:r w:rsidRPr="007746C5">
        <w:rPr>
          <w:i/>
          <w:iCs/>
        </w:rPr>
        <w:t>26</w:t>
      </w:r>
      <w:r w:rsidRPr="007746C5">
        <w:t>(2), 235–244. https://doi.org/10.1111/rec.12669</w:t>
      </w:r>
    </w:p>
    <w:p w14:paraId="1203AD82" w14:textId="77777777" w:rsidR="007746C5" w:rsidRPr="007746C5" w:rsidRDefault="007746C5" w:rsidP="009A04E6">
      <w:pPr>
        <w:pStyle w:val="Bibliography"/>
        <w:spacing w:line="240" w:lineRule="auto"/>
      </w:pPr>
      <w:r w:rsidRPr="007746C5">
        <w:t xml:space="preserve">Nunes, A. L., Hoffman, A. C., Zengeya, T. A., Measey, G. J., &amp; Weyl, O. L. (2017). Red swamp crayfish, </w:t>
      </w:r>
      <w:r w:rsidRPr="007746C5">
        <w:rPr>
          <w:i/>
          <w:iCs/>
        </w:rPr>
        <w:t>Procambarus clarkii</w:t>
      </w:r>
      <w:r w:rsidRPr="007746C5">
        <w:t xml:space="preserve"> , found in South Africa 22 years after attempted eradication. </w:t>
      </w:r>
      <w:r w:rsidRPr="007746C5">
        <w:rPr>
          <w:i/>
          <w:iCs/>
        </w:rPr>
        <w:t>Aquatic Conservation: Marine and Freshwater Ecosystems</w:t>
      </w:r>
      <w:r w:rsidRPr="007746C5">
        <w:t xml:space="preserve">, </w:t>
      </w:r>
      <w:r w:rsidRPr="007746C5">
        <w:rPr>
          <w:i/>
          <w:iCs/>
        </w:rPr>
        <w:t>27</w:t>
      </w:r>
      <w:r w:rsidRPr="007746C5">
        <w:t>(6), 1334–1340. https://doi.org/10.1002/aqc.2741</w:t>
      </w:r>
    </w:p>
    <w:p w14:paraId="32241D5C" w14:textId="77777777" w:rsidR="007746C5" w:rsidRPr="007746C5" w:rsidRDefault="007746C5" w:rsidP="009A04E6">
      <w:pPr>
        <w:pStyle w:val="Bibliography"/>
        <w:spacing w:line="240" w:lineRule="auto"/>
      </w:pPr>
      <w:r w:rsidRPr="007746C5">
        <w:t xml:space="preserve">Nunes, A. L., Tricarico, E., Panov, V. E., Cardoso, A. C., &amp; Katsanevakis, S. (2015). Pathways and gateways of freshwater invasions in Europe. </w:t>
      </w:r>
      <w:r w:rsidRPr="007746C5">
        <w:rPr>
          <w:i/>
          <w:iCs/>
        </w:rPr>
        <w:t>Aquatic Invasions</w:t>
      </w:r>
      <w:r w:rsidRPr="007746C5">
        <w:t xml:space="preserve">, </w:t>
      </w:r>
      <w:r w:rsidRPr="007746C5">
        <w:rPr>
          <w:i/>
          <w:iCs/>
        </w:rPr>
        <w:t>10</w:t>
      </w:r>
      <w:r w:rsidRPr="007746C5">
        <w:t>(4), 359–370. https://doi.org/10.3391/ai.2015.10.4.01</w:t>
      </w:r>
    </w:p>
    <w:p w14:paraId="2E8710B0" w14:textId="77777777" w:rsidR="007746C5" w:rsidRPr="007746C5" w:rsidRDefault="007746C5" w:rsidP="009A04E6">
      <w:pPr>
        <w:pStyle w:val="Bibliography"/>
        <w:spacing w:line="240" w:lineRule="auto"/>
      </w:pPr>
      <w:r w:rsidRPr="007746C5">
        <w:t xml:space="preserve">Nuñez, M. A., Chiuffo, M. C., Torres, A., Paul, T., Dimarco, R. D., Raal, P., Policelli, N., Moyano, J., García, R. A., van Wilgen, B. W., Pauchard, A., &amp; Richardson, D. M. (2017). Ecology and management of invasive Pinaceae around the world: Progress and challenges. </w:t>
      </w:r>
      <w:r w:rsidRPr="007746C5">
        <w:rPr>
          <w:i/>
          <w:iCs/>
        </w:rPr>
        <w:t>Biological Invasions</w:t>
      </w:r>
      <w:r w:rsidRPr="007746C5">
        <w:t xml:space="preserve">, </w:t>
      </w:r>
      <w:r w:rsidRPr="007746C5">
        <w:rPr>
          <w:i/>
          <w:iCs/>
        </w:rPr>
        <w:t>19</w:t>
      </w:r>
      <w:r w:rsidRPr="007746C5">
        <w:t>(11), 3099–3120. https://doi.org/10.1007/s10530-017-1483-4</w:t>
      </w:r>
    </w:p>
    <w:p w14:paraId="0E98079B" w14:textId="77777777" w:rsidR="007746C5" w:rsidRPr="007746C5" w:rsidRDefault="007746C5" w:rsidP="009A04E6">
      <w:pPr>
        <w:pStyle w:val="Bibliography"/>
        <w:spacing w:line="240" w:lineRule="auto"/>
      </w:pPr>
      <w:r w:rsidRPr="007746C5">
        <w:t xml:space="preserve">Nuñez, M. A., Kuebbing, S., Dimarco, R. D., &amp; Simberloff, D. (2012). Invasive Species: To eat or not to eat, that is the question. </w:t>
      </w:r>
      <w:r w:rsidRPr="007746C5">
        <w:rPr>
          <w:i/>
          <w:iCs/>
        </w:rPr>
        <w:t>Conservation Letters</w:t>
      </w:r>
      <w:r w:rsidRPr="007746C5">
        <w:t xml:space="preserve">, </w:t>
      </w:r>
      <w:r w:rsidRPr="007746C5">
        <w:rPr>
          <w:i/>
          <w:iCs/>
        </w:rPr>
        <w:t>5</w:t>
      </w:r>
      <w:r w:rsidRPr="007746C5">
        <w:t>(5), 334–341. https://doi.org/10.1111/j.1755-263X.2012.00250.x</w:t>
      </w:r>
    </w:p>
    <w:p w14:paraId="79688CB6" w14:textId="77777777" w:rsidR="007746C5" w:rsidRPr="007746C5" w:rsidRDefault="007746C5" w:rsidP="009A04E6">
      <w:pPr>
        <w:pStyle w:val="Bibliography"/>
        <w:spacing w:line="240" w:lineRule="auto"/>
      </w:pPr>
      <w:r w:rsidRPr="007746C5">
        <w:t xml:space="preserve">Nuñez, M. A., &amp; Pauchard, A. (2010). Biological invasions in developing and developed countries: Does one model fit all? </w:t>
      </w:r>
      <w:r w:rsidRPr="007746C5">
        <w:rPr>
          <w:i/>
          <w:iCs/>
        </w:rPr>
        <w:t>Biological Invasions</w:t>
      </w:r>
      <w:r w:rsidRPr="007746C5">
        <w:t xml:space="preserve">, </w:t>
      </w:r>
      <w:r w:rsidRPr="007746C5">
        <w:rPr>
          <w:i/>
          <w:iCs/>
        </w:rPr>
        <w:t>12</w:t>
      </w:r>
      <w:r w:rsidRPr="007746C5">
        <w:t>(4), 707–714. https://doi.org/10.1007/s10530-009-9517-1</w:t>
      </w:r>
    </w:p>
    <w:p w14:paraId="3AEB264B" w14:textId="77777777" w:rsidR="007746C5" w:rsidRPr="007746C5" w:rsidRDefault="007746C5" w:rsidP="009A04E6">
      <w:pPr>
        <w:pStyle w:val="Bibliography"/>
        <w:spacing w:line="240" w:lineRule="auto"/>
      </w:pPr>
      <w:r w:rsidRPr="007746C5">
        <w:t xml:space="preserve">Nyangau, P., Muriithi, B., Diiro, G., Akutse, K. S., &amp; Subramanian, S. (2020). Farmers’ knowledge and management practices of cereal, legume and vegetable insect pests, and willingness to pay for biopesticides. </w:t>
      </w:r>
      <w:r w:rsidRPr="007746C5">
        <w:rPr>
          <w:i/>
          <w:iCs/>
        </w:rPr>
        <w:t>International Journal of Pest Management</w:t>
      </w:r>
      <w:r w:rsidRPr="007746C5">
        <w:t xml:space="preserve">, </w:t>
      </w:r>
      <w:r w:rsidRPr="007746C5">
        <w:rPr>
          <w:i/>
          <w:iCs/>
        </w:rPr>
        <w:t>68</w:t>
      </w:r>
      <w:r w:rsidRPr="007746C5">
        <w:t>(3), 204–216. https://doi.org/10.1080/09670874.2020.1817621</w:t>
      </w:r>
    </w:p>
    <w:p w14:paraId="6A28CE9B" w14:textId="77777777" w:rsidR="007746C5" w:rsidRPr="007746C5" w:rsidRDefault="007746C5" w:rsidP="009A04E6">
      <w:pPr>
        <w:pStyle w:val="Bibliography"/>
        <w:spacing w:line="240" w:lineRule="auto"/>
      </w:pPr>
      <w:r w:rsidRPr="007746C5">
        <w:t xml:space="preserve">Oba, G., Byakagaba, P., &amp; Angassa, A. (2008). Participatory monitoring of biodiversity in East African grazing lands. </w:t>
      </w:r>
      <w:r w:rsidRPr="007746C5">
        <w:rPr>
          <w:i/>
          <w:iCs/>
        </w:rPr>
        <w:t>Land Degradation &amp; Development</w:t>
      </w:r>
      <w:r w:rsidRPr="007746C5">
        <w:t xml:space="preserve">, </w:t>
      </w:r>
      <w:r w:rsidRPr="007746C5">
        <w:rPr>
          <w:i/>
          <w:iCs/>
        </w:rPr>
        <w:t>19</w:t>
      </w:r>
      <w:r w:rsidRPr="007746C5">
        <w:t>(6), 636–648. https://doi.org/10.1002/ldr.867</w:t>
      </w:r>
    </w:p>
    <w:p w14:paraId="3A8AF576" w14:textId="77777777" w:rsidR="007746C5" w:rsidRPr="007746C5" w:rsidRDefault="007746C5" w:rsidP="009A04E6">
      <w:pPr>
        <w:pStyle w:val="Bibliography"/>
        <w:spacing w:line="240" w:lineRule="auto"/>
      </w:pPr>
      <w:r w:rsidRPr="007746C5">
        <w:t xml:space="preserve">O’Donnell, C. F. J., Dilks, P. J., &amp; Elliott, G. P. (1996). Control of a stoat </w:t>
      </w:r>
      <w:r w:rsidRPr="007746C5">
        <w:rPr>
          <w:i/>
          <w:iCs/>
        </w:rPr>
        <w:t>(Mustela erminea</w:t>
      </w:r>
      <w:r w:rsidRPr="007746C5">
        <w:t>) population irruption to enhance mohua (yellowhead) (</w:t>
      </w:r>
      <w:r w:rsidRPr="007746C5">
        <w:rPr>
          <w:i/>
          <w:iCs/>
        </w:rPr>
        <w:t>Mohoua ochrocephala</w:t>
      </w:r>
      <w:r w:rsidRPr="007746C5">
        <w:t xml:space="preserve">) breeding success in New Zealand. </w:t>
      </w:r>
      <w:r w:rsidRPr="007746C5">
        <w:rPr>
          <w:i/>
          <w:iCs/>
        </w:rPr>
        <w:t>New Zealand Journal of Zoology</w:t>
      </w:r>
      <w:r w:rsidRPr="007746C5">
        <w:t xml:space="preserve">, </w:t>
      </w:r>
      <w:r w:rsidRPr="007746C5">
        <w:rPr>
          <w:i/>
          <w:iCs/>
        </w:rPr>
        <w:t>23</w:t>
      </w:r>
      <w:r w:rsidRPr="007746C5">
        <w:t>(3), 279–286. https://doi.org/10.1080/03014223.1996.9518086</w:t>
      </w:r>
    </w:p>
    <w:p w14:paraId="7FF791F2" w14:textId="77777777" w:rsidR="007746C5" w:rsidRPr="007746C5" w:rsidRDefault="007746C5" w:rsidP="009A04E6">
      <w:pPr>
        <w:pStyle w:val="Bibliography"/>
        <w:spacing w:line="240" w:lineRule="auto"/>
      </w:pPr>
      <w:r w:rsidRPr="007746C5">
        <w:t xml:space="preserve">OECD. (2012). </w:t>
      </w:r>
      <w:r w:rsidRPr="007746C5">
        <w:rPr>
          <w:i/>
          <w:iCs/>
        </w:rPr>
        <w:t>Important Issues on Risk Assessment of Manufactured Nanomaterials</w:t>
      </w:r>
      <w:r w:rsidRPr="007746C5">
        <w:t>. Organization for Economic Cooperation and Development, Environmental Health ….</w:t>
      </w:r>
    </w:p>
    <w:p w14:paraId="57A6E833" w14:textId="77777777" w:rsidR="007746C5" w:rsidRPr="007746C5" w:rsidRDefault="007746C5" w:rsidP="009A04E6">
      <w:pPr>
        <w:pStyle w:val="Bibliography"/>
        <w:spacing w:line="240" w:lineRule="auto"/>
      </w:pPr>
      <w:r w:rsidRPr="007746C5">
        <w:t xml:space="preserve">Oficialdegui, F. J., Delibes-Mateos, M., Green, A. J., Sánchez, M. I., Boyero, L., &amp; Clavero, M. (2020). Rigid laws and invasive species management. </w:t>
      </w:r>
      <w:r w:rsidRPr="007746C5">
        <w:rPr>
          <w:i/>
          <w:iCs/>
        </w:rPr>
        <w:t>Conservation Biology</w:t>
      </w:r>
      <w:r w:rsidRPr="007746C5">
        <w:t xml:space="preserve">, </w:t>
      </w:r>
      <w:r w:rsidRPr="007746C5">
        <w:rPr>
          <w:i/>
          <w:iCs/>
        </w:rPr>
        <w:t>34</w:t>
      </w:r>
      <w:r w:rsidRPr="007746C5">
        <w:t>(4), 1047–1050. https://doi.org/10.1111/cobi.13481</w:t>
      </w:r>
    </w:p>
    <w:p w14:paraId="3926CCF6" w14:textId="77777777" w:rsidR="007746C5" w:rsidRPr="007746C5" w:rsidRDefault="007746C5" w:rsidP="009A04E6">
      <w:pPr>
        <w:pStyle w:val="Bibliography"/>
        <w:spacing w:line="240" w:lineRule="auto"/>
      </w:pPr>
      <w:r w:rsidRPr="007746C5">
        <w:t xml:space="preserve">Oficialdegui, F. J., Sánchez, M. I., &amp; Clavero, M. (2020). One century away from home: How the red swamp crayfish took over the world. </w:t>
      </w:r>
      <w:r w:rsidRPr="007746C5">
        <w:rPr>
          <w:i/>
          <w:iCs/>
        </w:rPr>
        <w:t>Reviews in Fish Biology and Fisheries</w:t>
      </w:r>
      <w:r w:rsidRPr="007746C5">
        <w:t xml:space="preserve">, </w:t>
      </w:r>
      <w:r w:rsidRPr="007746C5">
        <w:rPr>
          <w:i/>
          <w:iCs/>
        </w:rPr>
        <w:t>30</w:t>
      </w:r>
      <w:r w:rsidRPr="007746C5">
        <w:t>(1), 121–135. https://doi.org/10.1007/s11160-020-09594-z</w:t>
      </w:r>
    </w:p>
    <w:p w14:paraId="2091CA71" w14:textId="77777777" w:rsidR="007746C5" w:rsidRPr="007746C5" w:rsidRDefault="007746C5" w:rsidP="009A04E6">
      <w:pPr>
        <w:pStyle w:val="Bibliography"/>
        <w:spacing w:line="240" w:lineRule="auto"/>
      </w:pPr>
      <w:r w:rsidRPr="007746C5">
        <w:t xml:space="preserve">Oidtmann, B., Peeler, E., Lyngstad, T., Brun, E., Bang Jensen, B., &amp; Stärk, K. D. C. (2013). Risk-based methods for fish and terrestrial animal disease surveillance. </w:t>
      </w:r>
      <w:r w:rsidRPr="007746C5">
        <w:rPr>
          <w:i/>
          <w:iCs/>
        </w:rPr>
        <w:t>Preventive Veterinary Medicine</w:t>
      </w:r>
      <w:r w:rsidRPr="007746C5">
        <w:t xml:space="preserve">, </w:t>
      </w:r>
      <w:r w:rsidRPr="007746C5">
        <w:rPr>
          <w:i/>
          <w:iCs/>
        </w:rPr>
        <w:t>112</w:t>
      </w:r>
      <w:r w:rsidRPr="007746C5">
        <w:t>(1–2), 13–26. https://doi.org/10.1016/j.prevetmed.2013.07.008</w:t>
      </w:r>
    </w:p>
    <w:p w14:paraId="1410190F" w14:textId="77777777" w:rsidR="007746C5" w:rsidRPr="007746C5" w:rsidRDefault="007746C5" w:rsidP="009A04E6">
      <w:pPr>
        <w:pStyle w:val="Bibliography"/>
        <w:spacing w:line="240" w:lineRule="auto"/>
      </w:pPr>
      <w:r w:rsidRPr="007746C5">
        <w:t xml:space="preserve">Olenin, S., Minchin, D., &amp; Daunys, D. (2007). Assessment of biopollution in aquatic ecosystems. </w:t>
      </w:r>
      <w:r w:rsidRPr="007746C5">
        <w:rPr>
          <w:i/>
          <w:iCs/>
        </w:rPr>
        <w:t>Marine Pollution Bulletin</w:t>
      </w:r>
      <w:r w:rsidRPr="007746C5">
        <w:t xml:space="preserve">, </w:t>
      </w:r>
      <w:r w:rsidRPr="007746C5">
        <w:rPr>
          <w:i/>
          <w:iCs/>
        </w:rPr>
        <w:t>55</w:t>
      </w:r>
      <w:r w:rsidRPr="007746C5">
        <w:t>(7–9), 379–394. https://doi.org/10.1016/j.marpolbul.2007.01.010</w:t>
      </w:r>
    </w:p>
    <w:p w14:paraId="489E1D48" w14:textId="77777777" w:rsidR="007746C5" w:rsidRPr="007746C5" w:rsidRDefault="007746C5" w:rsidP="009A04E6">
      <w:pPr>
        <w:pStyle w:val="Bibliography"/>
        <w:spacing w:line="240" w:lineRule="auto"/>
      </w:pPr>
      <w:r w:rsidRPr="007746C5">
        <w:t xml:space="preserve">Olsen, A., Konovalov, D. A., Philippa, B., Ridd, P., Wood, J. C., Johns, J., Banks, W., Girgenti, B., Kenny, O., Whinney, J., Calvert, B., Azghadi, M. R., &amp; White, R. D. (2019). DeepWeeds: A Multiclass Weed Species Image Dataset for Deep Learning. </w:t>
      </w:r>
      <w:r w:rsidRPr="007746C5">
        <w:rPr>
          <w:i/>
          <w:iCs/>
        </w:rPr>
        <w:t>Scientific Reports</w:t>
      </w:r>
      <w:r w:rsidRPr="007746C5">
        <w:t xml:space="preserve">, </w:t>
      </w:r>
      <w:r w:rsidRPr="007746C5">
        <w:rPr>
          <w:i/>
          <w:iCs/>
        </w:rPr>
        <w:t>9</w:t>
      </w:r>
      <w:r w:rsidRPr="007746C5">
        <w:t>(1), 2058. https://doi.org/10.1038/s41598-018-38343-3</w:t>
      </w:r>
    </w:p>
    <w:p w14:paraId="74D61BE9" w14:textId="77777777" w:rsidR="007746C5" w:rsidRPr="007746C5" w:rsidRDefault="007746C5" w:rsidP="009A04E6">
      <w:pPr>
        <w:pStyle w:val="Bibliography"/>
        <w:spacing w:line="240" w:lineRule="auto"/>
      </w:pPr>
      <w:r w:rsidRPr="007746C5">
        <w:t xml:space="preserve">Ontario Invasive Plant Council. (2021). Best Management Practices. </w:t>
      </w:r>
      <w:r w:rsidRPr="007746C5">
        <w:rPr>
          <w:i/>
          <w:iCs/>
        </w:rPr>
        <w:t>Ontario Invasive Plant Council</w:t>
      </w:r>
      <w:r w:rsidRPr="007746C5">
        <w:t>. https://www.ontarioinvasiveplants.ca/resources/best-management-practices/</w:t>
      </w:r>
    </w:p>
    <w:p w14:paraId="54F9A1CB" w14:textId="77777777" w:rsidR="007746C5" w:rsidRPr="007746C5" w:rsidRDefault="007746C5" w:rsidP="009A04E6">
      <w:pPr>
        <w:pStyle w:val="Bibliography"/>
        <w:spacing w:line="240" w:lineRule="auto"/>
      </w:pPr>
      <w:r w:rsidRPr="007746C5">
        <w:lastRenderedPageBreak/>
        <w:t xml:space="preserve">Oppel, S., Beaven, B. M., Bolton, M., Vickery, J., &amp; Bodey, T. W. (2011). Eradication of Invasive Mammals on Islands Inhabited by Humans and Domestic Animals. </w:t>
      </w:r>
      <w:r w:rsidRPr="007746C5">
        <w:rPr>
          <w:i/>
          <w:iCs/>
        </w:rPr>
        <w:t>Conservation Biology</w:t>
      </w:r>
      <w:r w:rsidRPr="007746C5">
        <w:t xml:space="preserve">, </w:t>
      </w:r>
      <w:r w:rsidRPr="007746C5">
        <w:rPr>
          <w:i/>
          <w:iCs/>
        </w:rPr>
        <w:t>25</w:t>
      </w:r>
      <w:r w:rsidRPr="007746C5">
        <w:t>(2), 232–240. https://doi.org/10.1111/j.1523-1739.2010.01601.x</w:t>
      </w:r>
    </w:p>
    <w:p w14:paraId="07C0D52C" w14:textId="77777777" w:rsidR="007746C5" w:rsidRPr="007746C5" w:rsidRDefault="007746C5" w:rsidP="009A04E6">
      <w:pPr>
        <w:pStyle w:val="Bibliography"/>
        <w:spacing w:line="240" w:lineRule="auto"/>
      </w:pPr>
      <w:r w:rsidRPr="007746C5">
        <w:t xml:space="preserve">Orapa, W. (2017). Impact and management of invasive alien plants in Pacific Island communities. In C. A. Ellison, K. V. Sankaran, &amp; S. T. Murphy (Eds.), </w:t>
      </w:r>
      <w:r w:rsidRPr="007746C5">
        <w:rPr>
          <w:i/>
          <w:iCs/>
        </w:rPr>
        <w:t>Invasive alien plants: Impacts on development and options for management</w:t>
      </w:r>
      <w:r w:rsidRPr="007746C5">
        <w:t xml:space="preserve"> (pp. 73–108). CABI. https://doi.org/10.1079/9781780646275.0073</w:t>
      </w:r>
    </w:p>
    <w:p w14:paraId="0BBEA618" w14:textId="77777777" w:rsidR="007746C5" w:rsidRPr="007746C5" w:rsidRDefault="007746C5" w:rsidP="009A04E6">
      <w:pPr>
        <w:pStyle w:val="Bibliography"/>
        <w:spacing w:line="240" w:lineRule="auto"/>
      </w:pPr>
      <w:r w:rsidRPr="007746C5">
        <w:t xml:space="preserve">Orr, A., Mwale, B., &amp; Saiti, D. (2002). Modelling agricultural “performance”: Smallholder weed management in Southern Malawi. </w:t>
      </w:r>
      <w:r w:rsidRPr="007746C5">
        <w:rPr>
          <w:i/>
          <w:iCs/>
        </w:rPr>
        <w:t>International Journal of Pest Management</w:t>
      </w:r>
      <w:r w:rsidRPr="007746C5">
        <w:t xml:space="preserve">, </w:t>
      </w:r>
      <w:r w:rsidRPr="007746C5">
        <w:rPr>
          <w:i/>
          <w:iCs/>
        </w:rPr>
        <w:t>48</w:t>
      </w:r>
      <w:r w:rsidRPr="007746C5">
        <w:t>(4), 265–278. https://doi.org/10.1080/09670870210149808</w:t>
      </w:r>
    </w:p>
    <w:p w14:paraId="2BF6A789" w14:textId="77777777" w:rsidR="007746C5" w:rsidRPr="007746C5" w:rsidRDefault="007746C5" w:rsidP="009A04E6">
      <w:pPr>
        <w:pStyle w:val="Bibliography"/>
        <w:spacing w:line="240" w:lineRule="auto"/>
      </w:pPr>
      <w:r w:rsidRPr="007746C5">
        <w:t xml:space="preserve">Ortiz, M., Rodriguez-Zaragoza, F., Hermosillo-Nuñez, B., &amp; Jordán, F. (2015). Control Strategy Scenarios for the Alien Lionfish </w:t>
      </w:r>
      <w:r w:rsidRPr="007746C5">
        <w:rPr>
          <w:i/>
          <w:iCs/>
        </w:rPr>
        <w:t>Pterois volitans</w:t>
      </w:r>
      <w:r w:rsidRPr="007746C5">
        <w:t xml:space="preserve"> in Chinchorro Bank (Mexican Caribbean): Based on Semi-Quantitative Loop Analysis. </w:t>
      </w:r>
      <w:r w:rsidRPr="007746C5">
        <w:rPr>
          <w:i/>
          <w:iCs/>
        </w:rPr>
        <w:t>PLoS ONE</w:t>
      </w:r>
      <w:r w:rsidRPr="007746C5">
        <w:t xml:space="preserve">, </w:t>
      </w:r>
      <w:r w:rsidRPr="007746C5">
        <w:rPr>
          <w:i/>
          <w:iCs/>
        </w:rPr>
        <w:t>10</w:t>
      </w:r>
      <w:r w:rsidRPr="007746C5">
        <w:t>(6), e0130261. https://doi.org/10.1371/journal.pone.0130261</w:t>
      </w:r>
    </w:p>
    <w:p w14:paraId="3085EAD1" w14:textId="77777777" w:rsidR="007746C5" w:rsidRPr="007746C5" w:rsidRDefault="007746C5" w:rsidP="009A04E6">
      <w:pPr>
        <w:pStyle w:val="Bibliography"/>
        <w:spacing w:line="240" w:lineRule="auto"/>
      </w:pPr>
      <w:r w:rsidRPr="007746C5">
        <w:t xml:space="preserve">Osunkoya, O. O., Froese, J. G., &amp; Nicol, S. (2019). Management feasibility of established invasive plant species in Queensland, Australia: A stakeholders’ perspective. </w:t>
      </w:r>
      <w:r w:rsidRPr="007746C5">
        <w:rPr>
          <w:i/>
          <w:iCs/>
        </w:rPr>
        <w:t>Journal of Environmental Management</w:t>
      </w:r>
      <w:r w:rsidRPr="007746C5">
        <w:t xml:space="preserve">, </w:t>
      </w:r>
      <w:r w:rsidRPr="007746C5">
        <w:rPr>
          <w:i/>
          <w:iCs/>
        </w:rPr>
        <w:t>246</w:t>
      </w:r>
      <w:r w:rsidRPr="007746C5">
        <w:t>, 484–495. https://doi.org/10.1016/j.jenvman.2019.05.052</w:t>
      </w:r>
    </w:p>
    <w:p w14:paraId="1C8E28AC" w14:textId="77777777" w:rsidR="007746C5" w:rsidRPr="007746C5" w:rsidRDefault="007746C5" w:rsidP="009A04E6">
      <w:pPr>
        <w:pStyle w:val="Bibliography"/>
        <w:spacing w:line="240" w:lineRule="auto"/>
      </w:pPr>
      <w:r w:rsidRPr="007746C5">
        <w:t xml:space="preserve">Oswald, A. (2005). </w:t>
      </w:r>
      <w:r w:rsidRPr="007746C5">
        <w:rPr>
          <w:i/>
          <w:iCs/>
        </w:rPr>
        <w:t>Striga</w:t>
      </w:r>
      <w:r w:rsidRPr="007746C5">
        <w:t xml:space="preserve"> control—Technologies and their dissemination. </w:t>
      </w:r>
      <w:r w:rsidRPr="007746C5">
        <w:rPr>
          <w:i/>
          <w:iCs/>
        </w:rPr>
        <w:t>Crop Protection</w:t>
      </w:r>
      <w:r w:rsidRPr="007746C5">
        <w:t xml:space="preserve">, </w:t>
      </w:r>
      <w:r w:rsidRPr="007746C5">
        <w:rPr>
          <w:i/>
          <w:iCs/>
        </w:rPr>
        <w:t>24</w:t>
      </w:r>
      <w:r w:rsidRPr="007746C5">
        <w:t>(4), 333–342. https://doi.org/10.1016/j.cropro.2004.09.003</w:t>
      </w:r>
    </w:p>
    <w:p w14:paraId="14BB12AC" w14:textId="77777777" w:rsidR="007746C5" w:rsidRPr="007746C5" w:rsidRDefault="007746C5" w:rsidP="009A04E6">
      <w:pPr>
        <w:pStyle w:val="Bibliography"/>
        <w:spacing w:line="240" w:lineRule="auto"/>
      </w:pPr>
      <w:r w:rsidRPr="007746C5">
        <w:t xml:space="preserve">Otim, M. H., Tay, W. T., Walsh, T. K., Kanyesigye, D., Adumo, S., Abongosi, J., Ochen, S., Sserumaga, J., Alibu, S., Abalo, G., Asea, G., &amp; Agona, A. (2018). Detection of sister-species in invasive populations of the fall armyworm </w:t>
      </w:r>
      <w:r w:rsidRPr="007746C5">
        <w:rPr>
          <w:i/>
          <w:iCs/>
        </w:rPr>
        <w:t>Spodoptera frugiperda</w:t>
      </w:r>
      <w:r w:rsidRPr="007746C5">
        <w:t xml:space="preserve"> (Lepidoptera: Noctuidae) from Uganda. </w:t>
      </w:r>
      <w:r w:rsidRPr="007746C5">
        <w:rPr>
          <w:i/>
          <w:iCs/>
        </w:rPr>
        <w:t>PLoS ONE</w:t>
      </w:r>
      <w:r w:rsidRPr="007746C5">
        <w:t xml:space="preserve">, </w:t>
      </w:r>
      <w:r w:rsidRPr="007746C5">
        <w:rPr>
          <w:i/>
          <w:iCs/>
        </w:rPr>
        <w:t>13</w:t>
      </w:r>
      <w:r w:rsidRPr="007746C5">
        <w:t>(4), e0194571. https://doi.org/10.1371/journal.pone.0194571</w:t>
      </w:r>
    </w:p>
    <w:p w14:paraId="67C80F32" w14:textId="77777777" w:rsidR="007746C5" w:rsidRPr="007746C5" w:rsidRDefault="007746C5" w:rsidP="009A04E6">
      <w:pPr>
        <w:pStyle w:val="Bibliography"/>
        <w:spacing w:line="240" w:lineRule="auto"/>
      </w:pPr>
      <w:r w:rsidRPr="007746C5">
        <w:t xml:space="preserve">Owen, S. J., &amp; Sheldon, J. K. (1996). Strategies for ecological weed control on conservation lands in New Zealand. </w:t>
      </w:r>
      <w:r w:rsidRPr="007746C5">
        <w:rPr>
          <w:i/>
          <w:iCs/>
        </w:rPr>
        <w:t>Proceedings of the Eleventh Australian Weeds Conference</w:t>
      </w:r>
      <w:r w:rsidRPr="007746C5">
        <w:t xml:space="preserve">, </w:t>
      </w:r>
      <w:r w:rsidRPr="007746C5">
        <w:rPr>
          <w:i/>
          <w:iCs/>
        </w:rPr>
        <w:t>2</w:t>
      </w:r>
      <w:r w:rsidRPr="007746C5">
        <w:t>(5). https://caws.org.nz/old-site/awc/1996/awc199615161.pdf</w:t>
      </w:r>
    </w:p>
    <w:p w14:paraId="00FBF2A5" w14:textId="77777777" w:rsidR="007746C5" w:rsidRPr="007746C5" w:rsidRDefault="007746C5" w:rsidP="009A04E6">
      <w:pPr>
        <w:pStyle w:val="Bibliography"/>
        <w:spacing w:line="240" w:lineRule="auto"/>
      </w:pPr>
      <w:r w:rsidRPr="007746C5">
        <w:t xml:space="preserve">Paap, T., Burgess, T. I., &amp; Wingfield, M. J. (2017). Urban trees: Bridge-heads for forest pest invasions and sentinels for early detection. </w:t>
      </w:r>
      <w:r w:rsidRPr="007746C5">
        <w:rPr>
          <w:i/>
          <w:iCs/>
        </w:rPr>
        <w:t>Biological Invasions</w:t>
      </w:r>
      <w:r w:rsidRPr="007746C5">
        <w:t xml:space="preserve">, </w:t>
      </w:r>
      <w:r w:rsidRPr="007746C5">
        <w:rPr>
          <w:i/>
          <w:iCs/>
        </w:rPr>
        <w:t>19</w:t>
      </w:r>
      <w:r w:rsidRPr="007746C5">
        <w:t>(12), 3515–3526. https://doi.org/10.1007/s10530-017-1595-x</w:t>
      </w:r>
    </w:p>
    <w:p w14:paraId="5C98529F" w14:textId="77777777" w:rsidR="007746C5" w:rsidRPr="007746C5" w:rsidRDefault="007746C5" w:rsidP="009A04E6">
      <w:pPr>
        <w:pStyle w:val="Bibliography"/>
        <w:spacing w:line="240" w:lineRule="auto"/>
      </w:pPr>
      <w:r w:rsidRPr="007746C5">
        <w:t xml:space="preserve">Paap, T., Wingfield, M. J., de Beer, Z. W., &amp; Roets, F. (2020). Lessons from a major pest invasion: The polyphagous shot hole borer in South Africa. </w:t>
      </w:r>
      <w:r w:rsidRPr="007746C5">
        <w:rPr>
          <w:i/>
          <w:iCs/>
        </w:rPr>
        <w:t>South African Journal of Science</w:t>
      </w:r>
      <w:r w:rsidRPr="007746C5">
        <w:t xml:space="preserve">, </w:t>
      </w:r>
      <w:r w:rsidRPr="007746C5">
        <w:rPr>
          <w:i/>
          <w:iCs/>
        </w:rPr>
        <w:t>116</w:t>
      </w:r>
      <w:r w:rsidRPr="007746C5">
        <w:t>(11/12). https://doi.org/10.17159/sajs.2020/8757</w:t>
      </w:r>
    </w:p>
    <w:p w14:paraId="5AA67DD2" w14:textId="77777777" w:rsidR="007746C5" w:rsidRPr="007746C5" w:rsidRDefault="007746C5" w:rsidP="009A04E6">
      <w:pPr>
        <w:pStyle w:val="Bibliography"/>
        <w:spacing w:line="240" w:lineRule="auto"/>
      </w:pPr>
      <w:r w:rsidRPr="007746C5">
        <w:t xml:space="preserve">Padayachee, A. L., Irlich, U. M., Faulkner, K. T., Gaertner, M., Procheş, Ş., Wilson, J. R. U., &amp; Rouget, M. (2017). How do invasive species travel to and through urban environments? </w:t>
      </w:r>
      <w:r w:rsidRPr="007746C5">
        <w:rPr>
          <w:i/>
          <w:iCs/>
        </w:rPr>
        <w:t>Biological Invasions</w:t>
      </w:r>
      <w:r w:rsidRPr="007746C5">
        <w:t xml:space="preserve">, </w:t>
      </w:r>
      <w:r w:rsidRPr="007746C5">
        <w:rPr>
          <w:i/>
          <w:iCs/>
        </w:rPr>
        <w:t>19</w:t>
      </w:r>
      <w:r w:rsidRPr="007746C5">
        <w:t>(12), 3557–3570. https://doi.org/10.1007/s10530-017-1596-9</w:t>
      </w:r>
    </w:p>
    <w:p w14:paraId="4035C159" w14:textId="77777777" w:rsidR="007746C5" w:rsidRPr="007746C5" w:rsidRDefault="007746C5" w:rsidP="009A04E6">
      <w:pPr>
        <w:pStyle w:val="Bibliography"/>
        <w:spacing w:line="240" w:lineRule="auto"/>
      </w:pPr>
      <w:r w:rsidRPr="007746C5">
        <w:t xml:space="preserve">Page, A. R., &amp; Lacey, K. L. (2006). </w:t>
      </w:r>
      <w:r w:rsidRPr="007746C5">
        <w:rPr>
          <w:i/>
          <w:iCs/>
        </w:rPr>
        <w:t>Economic Impact Assessment of Australian Weed Biological Control: Report to the CRC for Australian Weed Management</w:t>
      </w:r>
      <w:r w:rsidRPr="007746C5">
        <w:t>. CRC for Australian Weed Management. https://books.google.com.au/books?id=LrHkAAAACAAJ</w:t>
      </w:r>
    </w:p>
    <w:p w14:paraId="694747ED" w14:textId="77777777" w:rsidR="007746C5" w:rsidRPr="007746C5" w:rsidRDefault="007746C5" w:rsidP="009A04E6">
      <w:pPr>
        <w:pStyle w:val="Bibliography"/>
        <w:spacing w:line="240" w:lineRule="auto"/>
      </w:pPr>
      <w:r w:rsidRPr="007746C5">
        <w:t xml:space="preserve">Paini, D. R., Sheppard, A. W., Cook, D. C., De Barro, P. J., Worner, S. P., &amp; Thomas, M. B. (2016). Global threat to agriculture from invasive species. </w:t>
      </w:r>
      <w:r w:rsidRPr="007746C5">
        <w:rPr>
          <w:i/>
          <w:iCs/>
        </w:rPr>
        <w:t>Proceedings of the National Academy of Sciences of the United States of America</w:t>
      </w:r>
      <w:r w:rsidRPr="007746C5">
        <w:t xml:space="preserve">, </w:t>
      </w:r>
      <w:r w:rsidRPr="007746C5">
        <w:rPr>
          <w:i/>
          <w:iCs/>
        </w:rPr>
        <w:t>113</w:t>
      </w:r>
      <w:r w:rsidRPr="007746C5">
        <w:t>(27), 7575–7579. https://doi.org/10.1073/pnas.1602205113</w:t>
      </w:r>
    </w:p>
    <w:p w14:paraId="6E9F2BB5" w14:textId="77777777" w:rsidR="007746C5" w:rsidRPr="007746C5" w:rsidRDefault="007746C5" w:rsidP="009A04E6">
      <w:pPr>
        <w:pStyle w:val="Bibliography"/>
        <w:spacing w:line="240" w:lineRule="auto"/>
      </w:pPr>
      <w:r w:rsidRPr="007746C5">
        <w:t xml:space="preserve">Pan, H., Xu, L., Noland, J. E., Li, H., Siegfried, B. D., &amp; Zhou, X. (2016). Assessment of Potential Risks of Dietary RNAi to a Soil Micro-arthropod, </w:t>
      </w:r>
      <w:r w:rsidRPr="007746C5">
        <w:rPr>
          <w:i/>
          <w:iCs/>
        </w:rPr>
        <w:t>Sinella curviseta</w:t>
      </w:r>
      <w:r w:rsidRPr="007746C5">
        <w:t xml:space="preserve"> Brook (Collembola: Entomobryidae). </w:t>
      </w:r>
      <w:r w:rsidRPr="007746C5">
        <w:rPr>
          <w:i/>
          <w:iCs/>
        </w:rPr>
        <w:t>Frontiers in Plant Science</w:t>
      </w:r>
      <w:r w:rsidRPr="007746C5">
        <w:t xml:space="preserve">, </w:t>
      </w:r>
      <w:r w:rsidRPr="007746C5">
        <w:rPr>
          <w:i/>
          <w:iCs/>
        </w:rPr>
        <w:t>7</w:t>
      </w:r>
      <w:r w:rsidRPr="007746C5">
        <w:t>, 1028. https://doi.org/10.3389/fpls.2016.01028</w:t>
      </w:r>
    </w:p>
    <w:p w14:paraId="6B5CAC12" w14:textId="77777777" w:rsidR="007746C5" w:rsidRPr="007746C5" w:rsidRDefault="007746C5" w:rsidP="009A04E6">
      <w:pPr>
        <w:pStyle w:val="Bibliography"/>
        <w:spacing w:line="240" w:lineRule="auto"/>
      </w:pPr>
      <w:r w:rsidRPr="007746C5">
        <w:t xml:space="preserve">Panetta, F. D. (2012). Evaluating the performance of weed containment programmes. </w:t>
      </w:r>
      <w:r w:rsidRPr="007746C5">
        <w:rPr>
          <w:i/>
          <w:iCs/>
        </w:rPr>
        <w:t>Diversity and Distributions</w:t>
      </w:r>
      <w:r w:rsidRPr="007746C5">
        <w:t xml:space="preserve">, </w:t>
      </w:r>
      <w:r w:rsidRPr="007746C5">
        <w:rPr>
          <w:i/>
          <w:iCs/>
        </w:rPr>
        <w:t>18</w:t>
      </w:r>
      <w:r w:rsidRPr="007746C5">
        <w:t>(10), 1024–1032. https://doi.org/10.1111/j.1472-4642.2012.00932.x</w:t>
      </w:r>
    </w:p>
    <w:p w14:paraId="5D422F57" w14:textId="77777777" w:rsidR="007746C5" w:rsidRPr="007746C5" w:rsidRDefault="007746C5" w:rsidP="009A04E6">
      <w:pPr>
        <w:pStyle w:val="Bibliography"/>
        <w:spacing w:line="240" w:lineRule="auto"/>
      </w:pPr>
      <w:r w:rsidRPr="007746C5">
        <w:rPr>
          <w:rFonts w:hint="eastAsia"/>
        </w:rPr>
        <w:t>Panetta, F. D., Cacho, O., Hester, S., Sims</w:t>
      </w:r>
      <w:r w:rsidRPr="007746C5">
        <w:rPr>
          <w:rFonts w:hint="eastAsia"/>
        </w:rPr>
        <w:t>‐</w:t>
      </w:r>
      <w:r w:rsidRPr="007746C5">
        <w:rPr>
          <w:rFonts w:hint="eastAsia"/>
        </w:rPr>
        <w:t xml:space="preserve">Chilton, N., &amp; Brooks, S. (2011). Estimating and influencing the duration of weed eradication programmes. </w:t>
      </w:r>
      <w:r w:rsidRPr="007746C5">
        <w:rPr>
          <w:i/>
          <w:iCs/>
        </w:rPr>
        <w:t>Journal of Applied Ecology</w:t>
      </w:r>
      <w:r w:rsidRPr="007746C5">
        <w:t xml:space="preserve">, </w:t>
      </w:r>
      <w:r w:rsidRPr="007746C5">
        <w:rPr>
          <w:i/>
          <w:iCs/>
        </w:rPr>
        <w:t>48</w:t>
      </w:r>
      <w:r w:rsidRPr="007746C5">
        <w:t>(4), 980–988. https://doi.org/10.1111/j.1365-2664.2011.02000.x</w:t>
      </w:r>
    </w:p>
    <w:p w14:paraId="4F1EFFBC" w14:textId="77777777" w:rsidR="007746C5" w:rsidRPr="007746C5" w:rsidRDefault="007746C5" w:rsidP="009A04E6">
      <w:pPr>
        <w:pStyle w:val="Bibliography"/>
        <w:spacing w:line="240" w:lineRule="auto"/>
      </w:pPr>
      <w:r w:rsidRPr="007746C5">
        <w:lastRenderedPageBreak/>
        <w:t xml:space="preserve">Panetta, F. D., &amp; Cacho, O. J. (2014). Designing weed containment strategies: An approach based on feasibilities of eradication and containment. </w:t>
      </w:r>
      <w:r w:rsidRPr="007746C5">
        <w:rPr>
          <w:i/>
          <w:iCs/>
        </w:rPr>
        <w:t>Diversity and Distributions</w:t>
      </w:r>
      <w:r w:rsidRPr="007746C5">
        <w:t xml:space="preserve">, </w:t>
      </w:r>
      <w:r w:rsidRPr="007746C5">
        <w:rPr>
          <w:i/>
          <w:iCs/>
        </w:rPr>
        <w:t>20</w:t>
      </w:r>
      <w:r w:rsidRPr="007746C5">
        <w:t>(5), 555–566. https://doi.org/10.1111/ddi.12170</w:t>
      </w:r>
    </w:p>
    <w:p w14:paraId="7345B50C" w14:textId="77777777" w:rsidR="007746C5" w:rsidRPr="007746C5" w:rsidRDefault="007746C5" w:rsidP="009A04E6">
      <w:pPr>
        <w:pStyle w:val="Bibliography"/>
        <w:spacing w:line="240" w:lineRule="auto"/>
      </w:pPr>
      <w:r w:rsidRPr="007746C5">
        <w:t xml:space="preserve">Panzacchi, M., Cocchi, R., Genovesi, P., &amp; Bertolino, S. (2007). Population control of coypu </w:t>
      </w:r>
      <w:r w:rsidRPr="007746C5">
        <w:rPr>
          <w:i/>
          <w:iCs/>
        </w:rPr>
        <w:t>Myocastor coypus</w:t>
      </w:r>
      <w:r w:rsidRPr="007746C5">
        <w:t xml:space="preserve"> in Italy compared to eradication in UK: A cost-benefit analysis. </w:t>
      </w:r>
      <w:r w:rsidRPr="007746C5">
        <w:rPr>
          <w:i/>
          <w:iCs/>
        </w:rPr>
        <w:t>Wildlife Biology</w:t>
      </w:r>
      <w:r w:rsidRPr="007746C5">
        <w:t xml:space="preserve">, </w:t>
      </w:r>
      <w:r w:rsidRPr="007746C5">
        <w:rPr>
          <w:i/>
          <w:iCs/>
        </w:rPr>
        <w:t>13</w:t>
      </w:r>
      <w:r w:rsidRPr="007746C5">
        <w:t>(2), 159–171. https://doi.org/10.2981/0909-6396(2007)13[159:PCOCMC]2.0.CO;2</w:t>
      </w:r>
    </w:p>
    <w:p w14:paraId="543F80D3" w14:textId="77777777" w:rsidR="007746C5" w:rsidRPr="007746C5" w:rsidRDefault="007746C5" w:rsidP="009A04E6">
      <w:pPr>
        <w:pStyle w:val="Bibliography"/>
        <w:spacing w:line="240" w:lineRule="auto"/>
      </w:pPr>
      <w:r w:rsidRPr="007746C5">
        <w:t xml:space="preserve">Papadimitriou, V. C., Portmann, R. W., Fahey, D. W., Mühle, J., Weiss, R. F., &amp; Burkholder, J. B. (2008). Experimental and Theoretical Study of the Atmospheric Chemistry and Global Warming Potential of SO </w:t>
      </w:r>
      <w:r w:rsidRPr="007746C5">
        <w:rPr>
          <w:vertAlign w:val="subscript"/>
        </w:rPr>
        <w:t>2</w:t>
      </w:r>
      <w:r w:rsidRPr="007746C5">
        <w:t xml:space="preserve"> F </w:t>
      </w:r>
      <w:r w:rsidRPr="007746C5">
        <w:rPr>
          <w:vertAlign w:val="subscript"/>
        </w:rPr>
        <w:t>2</w:t>
      </w:r>
      <w:r w:rsidRPr="007746C5">
        <w:t xml:space="preserve">. </w:t>
      </w:r>
      <w:r w:rsidRPr="007746C5">
        <w:rPr>
          <w:i/>
          <w:iCs/>
        </w:rPr>
        <w:t>The Journal of Physical Chemistry A</w:t>
      </w:r>
      <w:r w:rsidRPr="007746C5">
        <w:t xml:space="preserve">, </w:t>
      </w:r>
      <w:r w:rsidRPr="007746C5">
        <w:rPr>
          <w:i/>
          <w:iCs/>
        </w:rPr>
        <w:t>112</w:t>
      </w:r>
      <w:r w:rsidRPr="007746C5">
        <w:t>(49), 12657–12666. https://doi.org/10.1021/jp806368u</w:t>
      </w:r>
    </w:p>
    <w:p w14:paraId="233DF50C" w14:textId="77777777" w:rsidR="007746C5" w:rsidRPr="007746C5" w:rsidRDefault="007746C5" w:rsidP="009A04E6">
      <w:pPr>
        <w:pStyle w:val="Bibliography"/>
        <w:spacing w:line="240" w:lineRule="auto"/>
      </w:pPr>
      <w:r w:rsidRPr="007746C5">
        <w:t xml:space="preserve">Park, E., Loc, H. H., Van Binh, D., &amp; Kantoush, S. (2022). The worst 2020 saline water intrusion disaster of the past century in the Mekong Delta: Impacts, causes, and management implications. </w:t>
      </w:r>
      <w:r w:rsidRPr="007746C5">
        <w:rPr>
          <w:i/>
          <w:iCs/>
        </w:rPr>
        <w:t>Ambio</w:t>
      </w:r>
      <w:r w:rsidRPr="007746C5">
        <w:t xml:space="preserve">, </w:t>
      </w:r>
      <w:r w:rsidRPr="007746C5">
        <w:rPr>
          <w:i/>
          <w:iCs/>
        </w:rPr>
        <w:t>51</w:t>
      </w:r>
      <w:r w:rsidRPr="007746C5">
        <w:t>(3), 691–699. https://doi.org/10.1007/s13280-021-01577-z</w:t>
      </w:r>
    </w:p>
    <w:p w14:paraId="1AEE9166" w14:textId="77777777" w:rsidR="007746C5" w:rsidRPr="007746C5" w:rsidRDefault="007746C5" w:rsidP="009A04E6">
      <w:pPr>
        <w:pStyle w:val="Bibliography"/>
        <w:spacing w:line="240" w:lineRule="auto"/>
      </w:pPr>
      <w:r w:rsidRPr="007746C5">
        <w:t xml:space="preserve">Park, K. (2004). Assessment and Management of Invasive Alien Predators. </w:t>
      </w:r>
      <w:r w:rsidRPr="007746C5">
        <w:rPr>
          <w:i/>
          <w:iCs/>
        </w:rPr>
        <w:t>Ecology and Society</w:t>
      </w:r>
      <w:r w:rsidRPr="007746C5">
        <w:t xml:space="preserve">, </w:t>
      </w:r>
      <w:r w:rsidRPr="007746C5">
        <w:rPr>
          <w:i/>
          <w:iCs/>
        </w:rPr>
        <w:t>9</w:t>
      </w:r>
      <w:r w:rsidRPr="007746C5">
        <w:t>(2), 12. https://doi.org/10.5751/ES-01208-090212</w:t>
      </w:r>
    </w:p>
    <w:p w14:paraId="4D4CA6D5" w14:textId="77777777" w:rsidR="007746C5" w:rsidRPr="007746C5" w:rsidRDefault="007746C5" w:rsidP="009A04E6">
      <w:pPr>
        <w:pStyle w:val="Bibliography"/>
        <w:spacing w:line="240" w:lineRule="auto"/>
      </w:pPr>
      <w:r w:rsidRPr="007746C5">
        <w:t xml:space="preserve">Parkes, J., Fisher, P., Robinson, S., &amp; Aguirre-Muñoz, A. (2014). Eradication of feral cats from large islands: An assessment of the effort required for success. </w:t>
      </w:r>
      <w:r w:rsidRPr="007746C5">
        <w:rPr>
          <w:i/>
          <w:iCs/>
        </w:rPr>
        <w:t>New Zealand Journal of Ecology</w:t>
      </w:r>
      <w:r w:rsidRPr="007746C5">
        <w:t xml:space="preserve">, </w:t>
      </w:r>
      <w:r w:rsidRPr="007746C5">
        <w:rPr>
          <w:i/>
          <w:iCs/>
        </w:rPr>
        <w:t>38</w:t>
      </w:r>
      <w:r w:rsidRPr="007746C5">
        <w:t>(2), 307–314. https://www.jstor.org/stable/24060808</w:t>
      </w:r>
    </w:p>
    <w:p w14:paraId="10A91CBD" w14:textId="77777777" w:rsidR="007746C5" w:rsidRPr="007746C5" w:rsidRDefault="007746C5" w:rsidP="009A04E6">
      <w:pPr>
        <w:pStyle w:val="Bibliography"/>
        <w:spacing w:line="240" w:lineRule="auto"/>
      </w:pPr>
      <w:r w:rsidRPr="007746C5">
        <w:t xml:space="preserve">Parrot, D., Roy, S., Baker, R., Cannon, R., Eyre, D., Hill, M., Wagner, M., Preston, C., Roy, H., Beckmann, B., Copp, G. H., Edmonds, N., Ellis, J., Laing, I., Britton, J. R., Gozlan, R. E., &amp; Mumford, J. (2009). </w:t>
      </w:r>
      <w:r w:rsidRPr="007746C5">
        <w:rPr>
          <w:i/>
          <w:iCs/>
        </w:rPr>
        <w:t>Horizon scanning for new invasive non-native animal species in England</w:t>
      </w:r>
      <w:r w:rsidRPr="007746C5">
        <w:t xml:space="preserve"> (Natural England Commissioned Report NECR009; p. 121). Natural England. http://publications.naturalengland.org.uk/publication/43005</w:t>
      </w:r>
    </w:p>
    <w:p w14:paraId="42C02C97" w14:textId="77777777" w:rsidR="007746C5" w:rsidRPr="007746C5" w:rsidRDefault="007746C5" w:rsidP="009A04E6">
      <w:pPr>
        <w:pStyle w:val="Bibliography"/>
        <w:spacing w:line="240" w:lineRule="auto"/>
      </w:pPr>
      <w:r w:rsidRPr="007746C5">
        <w:t xml:space="preserve">Paschoal, A. M. O., Massara, R. L., Bailey, L. L., Kendall, W. L., Doherty, P. F., Hirsch, A., Chiarello, A. G., &amp; Paglia, A. P. (2016). Use of Atlantic Forest protected areas by free-ranging dogs: Estimating abundance and persistence of use. </w:t>
      </w:r>
      <w:r w:rsidRPr="007746C5">
        <w:rPr>
          <w:i/>
          <w:iCs/>
        </w:rPr>
        <w:t>Ecosphere</w:t>
      </w:r>
      <w:r w:rsidRPr="007746C5">
        <w:t xml:space="preserve">, </w:t>
      </w:r>
      <w:r w:rsidRPr="007746C5">
        <w:rPr>
          <w:i/>
          <w:iCs/>
        </w:rPr>
        <w:t>7</w:t>
      </w:r>
      <w:r w:rsidRPr="007746C5">
        <w:t>(10), e01480. https://doi.org/10.1002/ecs2.1480</w:t>
      </w:r>
    </w:p>
    <w:p w14:paraId="617B83F5" w14:textId="77777777" w:rsidR="007746C5" w:rsidRPr="007746C5" w:rsidRDefault="007746C5" w:rsidP="009A04E6">
      <w:pPr>
        <w:pStyle w:val="Bibliography"/>
        <w:spacing w:line="240" w:lineRule="auto"/>
      </w:pPr>
      <w:r w:rsidRPr="007746C5">
        <w:rPr>
          <w:rFonts w:hint="eastAsia"/>
        </w:rPr>
        <w:t>Pauchard, A., &amp; Alaback, P. B. (2004). Influence of elevation, land use, and landscape context on patterns of alien plant invasions along roadsides in protected areas of South</w:t>
      </w:r>
      <w:r w:rsidRPr="007746C5">
        <w:rPr>
          <w:rFonts w:hint="eastAsia"/>
        </w:rPr>
        <w:t>‐</w:t>
      </w:r>
      <w:r w:rsidRPr="007746C5">
        <w:rPr>
          <w:rFonts w:hint="eastAsia"/>
        </w:rPr>
        <w:t xml:space="preserve">Central Chile. </w:t>
      </w:r>
      <w:r w:rsidRPr="007746C5">
        <w:rPr>
          <w:i/>
          <w:iCs/>
        </w:rPr>
        <w:t>Conservation Biology</w:t>
      </w:r>
      <w:r w:rsidRPr="007746C5">
        <w:t xml:space="preserve">, </w:t>
      </w:r>
      <w:r w:rsidRPr="007746C5">
        <w:rPr>
          <w:i/>
          <w:iCs/>
        </w:rPr>
        <w:t>18</w:t>
      </w:r>
      <w:r w:rsidRPr="007746C5">
        <w:t>(1), 238–248. https://doi.org/10.1111/j.1523-1739.2004.00300.x</w:t>
      </w:r>
    </w:p>
    <w:p w14:paraId="5A822572" w14:textId="77777777" w:rsidR="007746C5" w:rsidRPr="007746C5" w:rsidRDefault="007746C5" w:rsidP="009A04E6">
      <w:pPr>
        <w:pStyle w:val="Bibliography"/>
        <w:spacing w:line="240" w:lineRule="auto"/>
      </w:pPr>
      <w:r w:rsidRPr="007746C5">
        <w:t xml:space="preserve">Paudel, S., Mansfield, S., Villamizar, L. F., Jackson, T. A., &amp; Marshall, S. D. G. (2021). Can Biological Control Overcome the Threat From Newly Invasive Coconut Rhinoceros Beetle Populations (Coleoptera: Scarabaeidae)? A Review. </w:t>
      </w:r>
      <w:r w:rsidRPr="007746C5">
        <w:rPr>
          <w:i/>
          <w:iCs/>
        </w:rPr>
        <w:t>Annals of the Entomological Society of America</w:t>
      </w:r>
      <w:r w:rsidRPr="007746C5">
        <w:t xml:space="preserve">, </w:t>
      </w:r>
      <w:r w:rsidRPr="007746C5">
        <w:rPr>
          <w:i/>
          <w:iCs/>
        </w:rPr>
        <w:t>114</w:t>
      </w:r>
      <w:r w:rsidRPr="007746C5">
        <w:t>(2), 247–256. https://doi.org/10.1093/aesa/saaa057</w:t>
      </w:r>
    </w:p>
    <w:p w14:paraId="4DE35F47" w14:textId="77777777" w:rsidR="007746C5" w:rsidRPr="007746C5" w:rsidRDefault="007746C5" w:rsidP="009A04E6">
      <w:pPr>
        <w:pStyle w:val="Bibliography"/>
        <w:spacing w:line="240" w:lineRule="auto"/>
      </w:pPr>
      <w:r w:rsidRPr="007746C5">
        <w:t xml:space="preserve">Paul, A., Radhakrishnan, M., Anandakumar, S., Shanmugasundaram, S., &amp; Anandharamakrishnan, C. (2020). Disinfestation techniques for major cereals: A status report. </w:t>
      </w:r>
      <w:r w:rsidRPr="007746C5">
        <w:rPr>
          <w:i/>
          <w:iCs/>
        </w:rPr>
        <w:t>Comprehensive Reviews in Food Science and Food Safety</w:t>
      </w:r>
      <w:r w:rsidRPr="007746C5">
        <w:t xml:space="preserve">, </w:t>
      </w:r>
      <w:r w:rsidRPr="007746C5">
        <w:rPr>
          <w:i/>
          <w:iCs/>
        </w:rPr>
        <w:t>19</w:t>
      </w:r>
      <w:r w:rsidRPr="007746C5">
        <w:t>(3), 1125–1155. https://doi.org/10.1111/1541-4337.12555</w:t>
      </w:r>
    </w:p>
    <w:p w14:paraId="26CB10F8" w14:textId="77777777" w:rsidR="007746C5" w:rsidRPr="007746C5" w:rsidRDefault="007746C5" w:rsidP="009A04E6">
      <w:pPr>
        <w:pStyle w:val="Bibliography"/>
        <w:spacing w:line="240" w:lineRule="auto"/>
      </w:pPr>
      <w:r w:rsidRPr="007746C5">
        <w:t xml:space="preserve">Paula, A. F., &amp; Creed, J. C. (2005). Spatial distribution and abundance of nonindigenous coral genus </w:t>
      </w:r>
      <w:r w:rsidRPr="007746C5">
        <w:rPr>
          <w:i/>
          <w:iCs/>
        </w:rPr>
        <w:t>Tubastraea</w:t>
      </w:r>
      <w:r w:rsidRPr="007746C5">
        <w:t xml:space="preserve"> (</w:t>
      </w:r>
      <w:r w:rsidRPr="007746C5">
        <w:rPr>
          <w:i/>
          <w:iCs/>
        </w:rPr>
        <w:t>Cnidaria, Scleractinia</w:t>
      </w:r>
      <w:r w:rsidRPr="007746C5">
        <w:t xml:space="preserve">) around Ilha Grande, Brazil. </w:t>
      </w:r>
      <w:r w:rsidRPr="007746C5">
        <w:rPr>
          <w:i/>
          <w:iCs/>
        </w:rPr>
        <w:t>Brazilian Journal of Biology</w:t>
      </w:r>
      <w:r w:rsidRPr="007746C5">
        <w:t xml:space="preserve">, </w:t>
      </w:r>
      <w:r w:rsidRPr="007746C5">
        <w:rPr>
          <w:i/>
          <w:iCs/>
        </w:rPr>
        <w:t>65</w:t>
      </w:r>
      <w:r w:rsidRPr="007746C5">
        <w:t>(4), 661–673. https://doi.org/10.1590/S1519-69842005000400014</w:t>
      </w:r>
    </w:p>
    <w:p w14:paraId="5756BC54" w14:textId="77777777" w:rsidR="007746C5" w:rsidRPr="007746C5" w:rsidRDefault="007746C5" w:rsidP="009A04E6">
      <w:pPr>
        <w:pStyle w:val="Bibliography"/>
        <w:spacing w:line="240" w:lineRule="auto"/>
      </w:pPr>
      <w:r w:rsidRPr="007746C5">
        <w:t xml:space="preserve">Pawson, S. M., Sullivan, J. J., &amp; Grant, A. (2020). Expanding general surveillance of invasive species by integrating citizens as both observers and identifiers. </w:t>
      </w:r>
      <w:r w:rsidRPr="007746C5">
        <w:rPr>
          <w:i/>
          <w:iCs/>
        </w:rPr>
        <w:t>Journal of Pest Science</w:t>
      </w:r>
      <w:r w:rsidRPr="007746C5">
        <w:t xml:space="preserve">, </w:t>
      </w:r>
      <w:r w:rsidRPr="007746C5">
        <w:rPr>
          <w:i/>
          <w:iCs/>
        </w:rPr>
        <w:t>93</w:t>
      </w:r>
      <w:r w:rsidRPr="007746C5">
        <w:t>, 1155–1166. https://doi.org/10.1007/s10340-020-01259-x</w:t>
      </w:r>
    </w:p>
    <w:p w14:paraId="3583D23C" w14:textId="77777777" w:rsidR="007746C5" w:rsidRPr="007746C5" w:rsidRDefault="007746C5" w:rsidP="009A04E6">
      <w:pPr>
        <w:pStyle w:val="Bibliography"/>
        <w:spacing w:line="240" w:lineRule="auto"/>
      </w:pPr>
      <w:r w:rsidRPr="007746C5">
        <w:t xml:space="preserve">Payne, P. R., Finlay-Smits, S., Small, B., Cave, V., &amp; Kean, J. (2021). </w:t>
      </w:r>
      <w:r w:rsidRPr="007746C5">
        <w:rPr>
          <w:i/>
          <w:iCs/>
        </w:rPr>
        <w:t>What’s That Bug? Citizen Science For Biosecurity In Mount Maunganui, New Zealand</w:t>
      </w:r>
      <w:r w:rsidRPr="007746C5">
        <w:t xml:space="preserve"> [Preprint]. In Review. https://doi.org/10.21203/rs.3.rs-746797/v1</w:t>
      </w:r>
    </w:p>
    <w:p w14:paraId="1D251AF8" w14:textId="77777777" w:rsidR="007746C5" w:rsidRPr="007746C5" w:rsidRDefault="007746C5" w:rsidP="009A04E6">
      <w:pPr>
        <w:pStyle w:val="Bibliography"/>
        <w:spacing w:line="240" w:lineRule="auto"/>
      </w:pPr>
      <w:r w:rsidRPr="007746C5">
        <w:t xml:space="preserve">Paynter, Q., Overton, J. M., Hill, R. L., Bellgard, S. E., &amp; Dawson, M. I. (2012). Plant traits predict the success of weed biocontrol. </w:t>
      </w:r>
      <w:r w:rsidRPr="007746C5">
        <w:rPr>
          <w:i/>
          <w:iCs/>
        </w:rPr>
        <w:t>Journal of Applied Ecology</w:t>
      </w:r>
      <w:r w:rsidRPr="007746C5">
        <w:t xml:space="preserve">, </w:t>
      </w:r>
      <w:r w:rsidRPr="007746C5">
        <w:rPr>
          <w:i/>
          <w:iCs/>
        </w:rPr>
        <w:t>49</w:t>
      </w:r>
      <w:r w:rsidRPr="007746C5">
        <w:t>(5), 1140–1148. https://doi.org/10.1111/j.1365-2664.2012.02178.x</w:t>
      </w:r>
    </w:p>
    <w:p w14:paraId="33886766" w14:textId="77777777" w:rsidR="007746C5" w:rsidRPr="007746C5" w:rsidRDefault="007746C5" w:rsidP="009A04E6">
      <w:pPr>
        <w:pStyle w:val="Bibliography"/>
        <w:spacing w:line="240" w:lineRule="auto"/>
      </w:pPr>
      <w:r w:rsidRPr="007746C5">
        <w:lastRenderedPageBreak/>
        <w:t xml:space="preserve">Peacock, L., Twaddle, M., Craddock, P., &amp; Nagle, D. (2019). National Invasive Ant Surveillance Programme. </w:t>
      </w:r>
      <w:r w:rsidRPr="007746C5">
        <w:rPr>
          <w:i/>
          <w:iCs/>
        </w:rPr>
        <w:t>Surveillance</w:t>
      </w:r>
      <w:r w:rsidRPr="007746C5">
        <w:t xml:space="preserve">, </w:t>
      </w:r>
      <w:r w:rsidRPr="007746C5">
        <w:rPr>
          <w:i/>
          <w:iCs/>
        </w:rPr>
        <w:t>46</w:t>
      </w:r>
      <w:r w:rsidRPr="007746C5">
        <w:t>(3 Annual Report), 81–82. http://www.sciquest.org.nz/node/157807</w:t>
      </w:r>
    </w:p>
    <w:p w14:paraId="12F37C97" w14:textId="77777777" w:rsidR="007746C5" w:rsidRPr="007746C5" w:rsidRDefault="007746C5" w:rsidP="009A04E6">
      <w:pPr>
        <w:pStyle w:val="Bibliography"/>
        <w:spacing w:line="240" w:lineRule="auto"/>
      </w:pPr>
      <w:r w:rsidRPr="007746C5">
        <w:t xml:space="preserve">Pearson, D. E., &amp; Callaway, R. M. (2005). Indirect nontarget effects of host-specific biological control agents: Implications for biological control. </w:t>
      </w:r>
      <w:r w:rsidRPr="007746C5">
        <w:rPr>
          <w:i/>
          <w:iCs/>
        </w:rPr>
        <w:t>Biological Control</w:t>
      </w:r>
      <w:r w:rsidRPr="007746C5">
        <w:t xml:space="preserve">, </w:t>
      </w:r>
      <w:r w:rsidRPr="007746C5">
        <w:rPr>
          <w:i/>
          <w:iCs/>
        </w:rPr>
        <w:t>35</w:t>
      </w:r>
      <w:r w:rsidRPr="007746C5">
        <w:t>(3), 288–298. https://doi.org/10.1016/j.biocontrol.2005.05.011</w:t>
      </w:r>
    </w:p>
    <w:p w14:paraId="21FF59BD" w14:textId="77777777" w:rsidR="007746C5" w:rsidRPr="007746C5" w:rsidRDefault="007746C5" w:rsidP="009A04E6">
      <w:pPr>
        <w:pStyle w:val="Bibliography"/>
        <w:spacing w:line="240" w:lineRule="auto"/>
      </w:pPr>
      <w:r w:rsidRPr="007746C5">
        <w:t xml:space="preserve">Pearson, D. E., Ortega, Y. K., Runyon, J. B., &amp; Butler, J. L. (2016). Secondary invasion: The bane of weed management. </w:t>
      </w:r>
      <w:r w:rsidRPr="007746C5">
        <w:rPr>
          <w:i/>
          <w:iCs/>
        </w:rPr>
        <w:t>Biological Conservation</w:t>
      </w:r>
      <w:r w:rsidRPr="007746C5">
        <w:t xml:space="preserve">, </w:t>
      </w:r>
      <w:r w:rsidRPr="007746C5">
        <w:rPr>
          <w:i/>
          <w:iCs/>
        </w:rPr>
        <w:t>197</w:t>
      </w:r>
      <w:r w:rsidRPr="007746C5">
        <w:t>, 8–17. https://doi.org/10.1016/j.biocon.2016.02.029</w:t>
      </w:r>
    </w:p>
    <w:p w14:paraId="5C2279EE" w14:textId="77777777" w:rsidR="007746C5" w:rsidRPr="007746C5" w:rsidRDefault="007746C5" w:rsidP="009A04E6">
      <w:pPr>
        <w:pStyle w:val="Bibliography"/>
        <w:spacing w:line="240" w:lineRule="auto"/>
      </w:pPr>
      <w:r w:rsidRPr="007746C5">
        <w:t xml:space="preserve">Pejchar, L., &amp; Mooney, H. A. (2009). Invasive species, ecosystem services and human well-being. </w:t>
      </w:r>
      <w:r w:rsidRPr="007746C5">
        <w:rPr>
          <w:i/>
          <w:iCs/>
        </w:rPr>
        <w:t>Trends in Ecology &amp; Evolution</w:t>
      </w:r>
      <w:r w:rsidRPr="007746C5">
        <w:t xml:space="preserve">, </w:t>
      </w:r>
      <w:r w:rsidRPr="007746C5">
        <w:rPr>
          <w:i/>
          <w:iCs/>
        </w:rPr>
        <w:t>24</w:t>
      </w:r>
      <w:r w:rsidRPr="007746C5">
        <w:t>(9), 497–504. https://doi.org/10.1016/j.tree.2009.03.016</w:t>
      </w:r>
    </w:p>
    <w:p w14:paraId="31AC8A3C" w14:textId="77777777" w:rsidR="007746C5" w:rsidRPr="007746C5" w:rsidRDefault="007746C5" w:rsidP="009A04E6">
      <w:pPr>
        <w:pStyle w:val="Bibliography"/>
        <w:spacing w:line="240" w:lineRule="auto"/>
      </w:pPr>
      <w:r w:rsidRPr="007746C5">
        <w:t xml:space="preserve">Peltzer, D. A., Bellingham, P. J., Dickie, I. A., Houliston, G., Hulme, P. E., Lyver, P. O., McGlone, M., Richardson, S. J., &amp; Wood, J. (2019). Scale and complexity implications of making New Zealand predator-free by 2050. </w:t>
      </w:r>
      <w:r w:rsidRPr="007746C5">
        <w:rPr>
          <w:i/>
          <w:iCs/>
        </w:rPr>
        <w:t>Journal of the Royal Society of New Zealand</w:t>
      </w:r>
      <w:r w:rsidRPr="007746C5">
        <w:t xml:space="preserve">, </w:t>
      </w:r>
      <w:r w:rsidRPr="007746C5">
        <w:rPr>
          <w:i/>
          <w:iCs/>
        </w:rPr>
        <w:t>49</w:t>
      </w:r>
      <w:r w:rsidRPr="007746C5">
        <w:t>(3), 412–439. https://doi.org/10.1080/03036758.2019.1653940</w:t>
      </w:r>
    </w:p>
    <w:p w14:paraId="433FF36B" w14:textId="77777777" w:rsidR="007746C5" w:rsidRPr="007746C5" w:rsidRDefault="007746C5" w:rsidP="009A04E6">
      <w:pPr>
        <w:pStyle w:val="Bibliography"/>
        <w:spacing w:line="240" w:lineRule="auto"/>
      </w:pPr>
      <w:r w:rsidRPr="007746C5">
        <w:t xml:space="preserve">Pergl, J., Härtel, H., Pyšek, P., &amp; Stejskal, R. (2020). Don’t throw the baby out with the bathwater–ban of glyphosate use depends on context. </w:t>
      </w:r>
      <w:r w:rsidRPr="007746C5">
        <w:rPr>
          <w:i/>
          <w:iCs/>
        </w:rPr>
        <w:t>NeoBiota</w:t>
      </w:r>
      <w:r w:rsidRPr="007746C5">
        <w:t xml:space="preserve">, </w:t>
      </w:r>
      <w:r w:rsidRPr="007746C5">
        <w:rPr>
          <w:i/>
          <w:iCs/>
        </w:rPr>
        <w:t>56</w:t>
      </w:r>
      <w:r w:rsidRPr="007746C5">
        <w:t>, 27–29. https://doi.org/10.3897/neobiota.56.51823</w:t>
      </w:r>
    </w:p>
    <w:p w14:paraId="076A1EA0" w14:textId="77777777" w:rsidR="007746C5" w:rsidRPr="007746C5" w:rsidRDefault="007746C5" w:rsidP="009A04E6">
      <w:pPr>
        <w:pStyle w:val="Bibliography"/>
        <w:spacing w:line="240" w:lineRule="auto"/>
      </w:pPr>
      <w:r w:rsidRPr="007746C5">
        <w:t xml:space="preserve">Pergl, J., Pyšek, P., Bacher, S., Essl, F., Genovesi, P., Harrower, C. A., Hulme, P. E., Jeschke, J. E., Kenis, M., Kühn, I., Perglová, I., Rabitsch, W., Roques, A., Roy, D. B., Roy, H. E., Vilà, M., Winter, M., &amp; Nentwig, W. (2017). Troubling travellers: Are ecologically harmful alien species associated with particular introduction pathways? </w:t>
      </w:r>
      <w:r w:rsidRPr="007746C5">
        <w:rPr>
          <w:i/>
          <w:iCs/>
        </w:rPr>
        <w:t>NeoBiota</w:t>
      </w:r>
      <w:r w:rsidRPr="007746C5">
        <w:t xml:space="preserve">, </w:t>
      </w:r>
      <w:r w:rsidRPr="007746C5">
        <w:rPr>
          <w:i/>
          <w:iCs/>
        </w:rPr>
        <w:t>32</w:t>
      </w:r>
      <w:r w:rsidRPr="007746C5">
        <w:t>(October 2016), 1–20. https://doi.org/10.3897/neobiota.32.10199</w:t>
      </w:r>
    </w:p>
    <w:p w14:paraId="0D258FEF" w14:textId="77777777" w:rsidR="007746C5" w:rsidRPr="007746C5" w:rsidRDefault="007746C5" w:rsidP="009A04E6">
      <w:pPr>
        <w:pStyle w:val="Bibliography"/>
        <w:spacing w:line="240" w:lineRule="auto"/>
      </w:pPr>
      <w:r w:rsidRPr="007746C5">
        <w:t xml:space="preserve">Perrings, C. (2016). Options for managing the infectious animal and plant disease risks of international trade. </w:t>
      </w:r>
      <w:r w:rsidRPr="007746C5">
        <w:rPr>
          <w:i/>
          <w:iCs/>
        </w:rPr>
        <w:t>Food Security</w:t>
      </w:r>
      <w:r w:rsidRPr="007746C5">
        <w:t xml:space="preserve">, </w:t>
      </w:r>
      <w:r w:rsidRPr="007746C5">
        <w:rPr>
          <w:i/>
          <w:iCs/>
        </w:rPr>
        <w:t>8</w:t>
      </w:r>
      <w:r w:rsidRPr="007746C5">
        <w:t>(1), 27–35. https://doi.org/10.1007/s12571-015-0523-0</w:t>
      </w:r>
    </w:p>
    <w:p w14:paraId="750F72F4" w14:textId="77777777" w:rsidR="007746C5" w:rsidRPr="007746C5" w:rsidRDefault="007746C5" w:rsidP="009A04E6">
      <w:pPr>
        <w:pStyle w:val="Bibliography"/>
        <w:spacing w:line="240" w:lineRule="auto"/>
      </w:pPr>
      <w:r w:rsidRPr="007746C5">
        <w:t xml:space="preserve">Perroy, R. L., Sullivan, T., &amp; Stephenson, N. (2017). Assessing the impacts of canopy openness and flight parameters on detecting a sub-canopy tropical invasive plant using a small unmanned aerial system. </w:t>
      </w:r>
      <w:r w:rsidRPr="007746C5">
        <w:rPr>
          <w:i/>
          <w:iCs/>
        </w:rPr>
        <w:t>ISPRS Journal of Photogrammetry and Remote Sensing</w:t>
      </w:r>
      <w:r w:rsidRPr="007746C5">
        <w:t xml:space="preserve">, </w:t>
      </w:r>
      <w:r w:rsidRPr="007746C5">
        <w:rPr>
          <w:i/>
          <w:iCs/>
        </w:rPr>
        <w:t>125</w:t>
      </w:r>
      <w:r w:rsidRPr="007746C5">
        <w:t>, 174–183. https://doi.org/10.1016/j.isprsjprs.2017.01.018</w:t>
      </w:r>
    </w:p>
    <w:p w14:paraId="6CB9DE25" w14:textId="77777777" w:rsidR="007746C5" w:rsidRPr="007746C5" w:rsidRDefault="007746C5" w:rsidP="009A04E6">
      <w:pPr>
        <w:pStyle w:val="Bibliography"/>
        <w:spacing w:line="240" w:lineRule="auto"/>
      </w:pPr>
      <w:r w:rsidRPr="007746C5">
        <w:t xml:space="preserve">Pettorelli, N., Laurance, W. F., O’Brien, T. G., Wegmann, M., Nagendra, H., &amp; Turner, W. (2014). Satellite remote sensing for applied ecologists: Opportunities and challenges. </w:t>
      </w:r>
      <w:r w:rsidRPr="007746C5">
        <w:rPr>
          <w:i/>
          <w:iCs/>
        </w:rPr>
        <w:t>Journal of Applied Ecology</w:t>
      </w:r>
      <w:r w:rsidRPr="007746C5">
        <w:t xml:space="preserve">, </w:t>
      </w:r>
      <w:r w:rsidRPr="007746C5">
        <w:rPr>
          <w:i/>
          <w:iCs/>
        </w:rPr>
        <w:t>51</w:t>
      </w:r>
      <w:r w:rsidRPr="007746C5">
        <w:t>(4), 839–848. https://doi.org/10.1111/1365-2664.12261</w:t>
      </w:r>
    </w:p>
    <w:p w14:paraId="318C13AC" w14:textId="77777777" w:rsidR="007746C5" w:rsidRPr="007746C5" w:rsidRDefault="007746C5" w:rsidP="009A04E6">
      <w:pPr>
        <w:pStyle w:val="Bibliography"/>
        <w:spacing w:line="240" w:lineRule="auto"/>
      </w:pPr>
      <w:r w:rsidRPr="007746C5">
        <w:t xml:space="preserve">Petucco, C., Lobianco, A., &amp; Caurla, S. (2020). Economic Evaluation of an Invasive Forest Pathogen at a Large Scale: The Case of Ash Dieback in France. </w:t>
      </w:r>
      <w:r w:rsidRPr="007746C5">
        <w:rPr>
          <w:i/>
          <w:iCs/>
        </w:rPr>
        <w:t>Environmental Modeling &amp; Assessment</w:t>
      </w:r>
      <w:r w:rsidRPr="007746C5">
        <w:t xml:space="preserve">, </w:t>
      </w:r>
      <w:r w:rsidRPr="007746C5">
        <w:rPr>
          <w:i/>
          <w:iCs/>
        </w:rPr>
        <w:t>25</w:t>
      </w:r>
      <w:r w:rsidRPr="007746C5">
        <w:t>(1), 1–21. https://doi.org/10.1007/s10666-019-09661-1</w:t>
      </w:r>
    </w:p>
    <w:p w14:paraId="65DB8C6B" w14:textId="77777777" w:rsidR="007746C5" w:rsidRPr="007746C5" w:rsidRDefault="007746C5" w:rsidP="009A04E6">
      <w:pPr>
        <w:pStyle w:val="Bibliography"/>
        <w:spacing w:line="240" w:lineRule="auto"/>
      </w:pPr>
      <w:r w:rsidRPr="007746C5">
        <w:t xml:space="preserve">Peyre, M., Haesler, B., Hoinville, L., Goutard, F., Cameron, A., Dorea, F., Traon, D., Grosbois, V., &amp; Schauer, B. (2019). </w:t>
      </w:r>
      <w:r w:rsidRPr="007746C5">
        <w:rPr>
          <w:i/>
          <w:iCs/>
        </w:rPr>
        <w:t>The EVA tool: A decision support tool for the evaluation of surveillance systems</w:t>
      </w:r>
      <w:r w:rsidRPr="007746C5">
        <w:t>. RiskSur. https://www.fp7-risksur.eu/</w:t>
      </w:r>
    </w:p>
    <w:p w14:paraId="32A6C408" w14:textId="77777777" w:rsidR="007746C5" w:rsidRPr="007746C5" w:rsidRDefault="007746C5" w:rsidP="009A04E6">
      <w:pPr>
        <w:pStyle w:val="Bibliography"/>
        <w:spacing w:line="240" w:lineRule="auto"/>
      </w:pPr>
      <w:r w:rsidRPr="007746C5">
        <w:t xml:space="preserve">Peyton, J., Martinou, A. F., Adriaens, T., Chartosia, N., Karachle, P. K., Rabitsch, W., Tricarico, E., Arianoutsou, M., Bacher, S., Bazos, I., Brundu, G., Bruno-McClung, E., Charalambidou, I., Demetriou, M., Galanidi, M., Galil, B., Guillem, R., Hadjiafxentis, K., Hadjioannou, L., … Roy, H. E. (2020). Horizon Scanning to Predict and Prioritize Invasive Alien Species With the Potential to Threaten Human Health and Economies on Cyprus. </w:t>
      </w:r>
      <w:r w:rsidRPr="007746C5">
        <w:rPr>
          <w:i/>
          <w:iCs/>
        </w:rPr>
        <w:t>Frontiers in Ecology and Evolution</w:t>
      </w:r>
      <w:r w:rsidRPr="007746C5">
        <w:t xml:space="preserve">, </w:t>
      </w:r>
      <w:r w:rsidRPr="007746C5">
        <w:rPr>
          <w:i/>
          <w:iCs/>
        </w:rPr>
        <w:t>8</w:t>
      </w:r>
      <w:r w:rsidRPr="007746C5">
        <w:t>. https://doi.org/10.3389/fevo.2020.566281</w:t>
      </w:r>
    </w:p>
    <w:p w14:paraId="42BB349B" w14:textId="77777777" w:rsidR="007746C5" w:rsidRPr="007746C5" w:rsidRDefault="007746C5" w:rsidP="009A04E6">
      <w:pPr>
        <w:pStyle w:val="Bibliography"/>
        <w:spacing w:line="240" w:lineRule="auto"/>
      </w:pPr>
      <w:r w:rsidRPr="007746C5">
        <w:t xml:space="preserve">Peyton, J., Martinou, A. F., Pescott, O. L., Demetriou, M., Adriaens, T., Arianoutsou, M., Bazos, I., Bean, C. W., Booy, O., Botham, M., Britton, J. R., Cervia, J. L., Charilaou, P., Chartosia, N., Dean, H. J., Delipetrou, P., Dimitriou, A. C., Dörflinger, G., Fawcett, J., … Roy, H. E. (2019). Horizon scanning for invasive alien species with the potential to threaten biodiversity and human health on a Mediterranean island. </w:t>
      </w:r>
      <w:r w:rsidRPr="007746C5">
        <w:rPr>
          <w:i/>
          <w:iCs/>
        </w:rPr>
        <w:t>Biological Invasions</w:t>
      </w:r>
      <w:r w:rsidRPr="007746C5">
        <w:t xml:space="preserve">, </w:t>
      </w:r>
      <w:r w:rsidRPr="007746C5">
        <w:rPr>
          <w:i/>
          <w:iCs/>
        </w:rPr>
        <w:t>21</w:t>
      </w:r>
      <w:r w:rsidRPr="007746C5">
        <w:t>(6), 2107–2125. https://doi.org/10.1007/s10530-019-01961-7</w:t>
      </w:r>
    </w:p>
    <w:p w14:paraId="22DE0603" w14:textId="77777777" w:rsidR="007746C5" w:rsidRPr="007746C5" w:rsidRDefault="007746C5" w:rsidP="009A04E6">
      <w:pPr>
        <w:pStyle w:val="Bibliography"/>
        <w:spacing w:line="240" w:lineRule="auto"/>
      </w:pPr>
      <w:r w:rsidRPr="007746C5">
        <w:lastRenderedPageBreak/>
        <w:t xml:space="preserve">Pfeiffer, J. M., &amp; Voeks, R. A. (2008). Biological invasions and biocultural diversity: Linking ecological and cultural systems. </w:t>
      </w:r>
      <w:r w:rsidRPr="007746C5">
        <w:rPr>
          <w:i/>
          <w:iCs/>
        </w:rPr>
        <w:t>Environmental Conservation</w:t>
      </w:r>
      <w:r w:rsidRPr="007746C5">
        <w:t xml:space="preserve">, </w:t>
      </w:r>
      <w:r w:rsidRPr="007746C5">
        <w:rPr>
          <w:i/>
          <w:iCs/>
        </w:rPr>
        <w:t>35</w:t>
      </w:r>
      <w:r w:rsidRPr="007746C5">
        <w:t>(4), 281–293. https://doi.org/10.1017/S0376892908005146</w:t>
      </w:r>
    </w:p>
    <w:p w14:paraId="3A99638D" w14:textId="77777777" w:rsidR="007746C5" w:rsidRPr="007746C5" w:rsidRDefault="007746C5" w:rsidP="009A04E6">
      <w:pPr>
        <w:pStyle w:val="Bibliography"/>
        <w:spacing w:line="240" w:lineRule="auto"/>
      </w:pPr>
      <w:r w:rsidRPr="007746C5">
        <w:t xml:space="preserve">Pheloung, P. C., Williams, P. A., &amp; Halloy, S. R. (1999). A weed risk assessment model for use as a biosecurity tool evaluating plant introductions. </w:t>
      </w:r>
      <w:r w:rsidRPr="007746C5">
        <w:rPr>
          <w:i/>
          <w:iCs/>
        </w:rPr>
        <w:t>Journal of Environmental Management</w:t>
      </w:r>
      <w:r w:rsidRPr="007746C5">
        <w:t xml:space="preserve">, </w:t>
      </w:r>
      <w:r w:rsidRPr="007746C5">
        <w:rPr>
          <w:i/>
          <w:iCs/>
        </w:rPr>
        <w:t>57</w:t>
      </w:r>
      <w:r w:rsidRPr="007746C5">
        <w:t>(4), 239–251. https://doi.org/10.1006/jema.1999.0297</w:t>
      </w:r>
    </w:p>
    <w:p w14:paraId="298CF67C" w14:textId="77777777" w:rsidR="007746C5" w:rsidRPr="007746C5" w:rsidRDefault="007746C5" w:rsidP="009A04E6">
      <w:pPr>
        <w:pStyle w:val="Bibliography"/>
        <w:spacing w:line="240" w:lineRule="auto"/>
      </w:pPr>
      <w:r w:rsidRPr="007746C5">
        <w:t xml:space="preserve">Phillips McDougall. (2016). </w:t>
      </w:r>
      <w:r w:rsidRPr="007746C5">
        <w:rPr>
          <w:i/>
          <w:iCs/>
        </w:rPr>
        <w:t>The Cost of New Agrochemical Product Discovery, Development and Registration in 1995, 2000, 2005-8 and 2010-2014. R&amp;D expenditure in 2014 and expectations for 2019</w:t>
      </w:r>
      <w:r w:rsidRPr="007746C5">
        <w:t>. https://croplife.org/wp-content/uploads/2016/04/Cost-of-CP-report-FINAL.pdf</w:t>
      </w:r>
    </w:p>
    <w:p w14:paraId="1FD8B9DB" w14:textId="77777777" w:rsidR="007746C5" w:rsidRPr="007746C5" w:rsidRDefault="007746C5" w:rsidP="009A04E6">
      <w:pPr>
        <w:pStyle w:val="Bibliography"/>
        <w:spacing w:line="240" w:lineRule="auto"/>
      </w:pPr>
      <w:r w:rsidRPr="007746C5">
        <w:t xml:space="preserve">Phillips McDougall. (2018). </w:t>
      </w:r>
      <w:r w:rsidRPr="007746C5">
        <w:rPr>
          <w:i/>
          <w:iCs/>
        </w:rPr>
        <w:t>Evolution of the Crop Protection Industry since 1960</w:t>
      </w:r>
      <w:r w:rsidRPr="007746C5">
        <w:t>. https://croplife.org/wp-content/uploads/2018/11/Phillips-McDougall-Evolution-of-the-Crop-Protection-Industry-since-1960-FINAL.pdf</w:t>
      </w:r>
    </w:p>
    <w:p w14:paraId="585ED2FC" w14:textId="77777777" w:rsidR="007746C5" w:rsidRPr="007746C5" w:rsidRDefault="007746C5" w:rsidP="009A04E6">
      <w:pPr>
        <w:pStyle w:val="Bibliography"/>
        <w:spacing w:line="240" w:lineRule="auto"/>
      </w:pPr>
      <w:r w:rsidRPr="007746C5">
        <w:t xml:space="preserve">Phillips, R. B., Wiedenfeld, D. A., &amp; Snell, H. L. (2012). Current status of alien vertebrates in the Galápagos Islands: Invasion history, distribution, and potential impacts. </w:t>
      </w:r>
      <w:r w:rsidRPr="007746C5">
        <w:rPr>
          <w:i/>
          <w:iCs/>
        </w:rPr>
        <w:t>Biological Invasions</w:t>
      </w:r>
      <w:r w:rsidRPr="007746C5">
        <w:t xml:space="preserve">, </w:t>
      </w:r>
      <w:r w:rsidRPr="007746C5">
        <w:rPr>
          <w:i/>
          <w:iCs/>
        </w:rPr>
        <w:t>14</w:t>
      </w:r>
      <w:r w:rsidRPr="007746C5">
        <w:t>(2), 461–480. https://doi.org/10.1007/s10530-011-0090-z</w:t>
      </w:r>
    </w:p>
    <w:p w14:paraId="48D0F1E0" w14:textId="77777777" w:rsidR="007746C5" w:rsidRPr="007746C5" w:rsidRDefault="007746C5" w:rsidP="009A04E6">
      <w:pPr>
        <w:pStyle w:val="Bibliography"/>
        <w:spacing w:line="240" w:lineRule="auto"/>
      </w:pPr>
      <w:r w:rsidRPr="007746C5">
        <w:t xml:space="preserve">Pickart, A. (2012). </w:t>
      </w:r>
      <w:r w:rsidRPr="007746C5">
        <w:rPr>
          <w:i/>
          <w:iCs/>
        </w:rPr>
        <w:t>Spartina densiflora</w:t>
      </w:r>
      <w:r w:rsidRPr="007746C5">
        <w:t xml:space="preserve"> invasion ecology and the restoration of native salt marshes, Huumboldt Bay, California. </w:t>
      </w:r>
      <w:r w:rsidRPr="007746C5">
        <w:rPr>
          <w:i/>
          <w:iCs/>
        </w:rPr>
        <w:t>Unpublished Report, US Fish &amp; Wildlife Service, Arcata, California</w:t>
      </w:r>
      <w:r w:rsidRPr="007746C5">
        <w:t>. https://www.nfwf.org/sites/default/files/finalreports1/25318_FinalReport.pdf</w:t>
      </w:r>
    </w:p>
    <w:p w14:paraId="12DC0089" w14:textId="77777777" w:rsidR="007746C5" w:rsidRPr="007746C5" w:rsidRDefault="007746C5" w:rsidP="009A04E6">
      <w:pPr>
        <w:pStyle w:val="Bibliography"/>
        <w:spacing w:line="240" w:lineRule="auto"/>
      </w:pPr>
      <w:r w:rsidRPr="007746C5">
        <w:t xml:space="preserve">Pickering, C., &amp; Mount, A. (2010). Do tourists disperse weed seed? A global review of unintentional human-mediated terrestrial seed dispersal on clothing, vehicles and horses. </w:t>
      </w:r>
      <w:r w:rsidRPr="007746C5">
        <w:rPr>
          <w:i/>
          <w:iCs/>
        </w:rPr>
        <w:t>Journal of Sustainable Tourism</w:t>
      </w:r>
      <w:r w:rsidRPr="007746C5">
        <w:t xml:space="preserve">, </w:t>
      </w:r>
      <w:r w:rsidRPr="007746C5">
        <w:rPr>
          <w:i/>
          <w:iCs/>
        </w:rPr>
        <w:t>18</w:t>
      </w:r>
      <w:r w:rsidRPr="007746C5">
        <w:t>(2), 239–256. https://doi.org/10.1080/09669580903406613</w:t>
      </w:r>
    </w:p>
    <w:p w14:paraId="1D0D394D" w14:textId="77777777" w:rsidR="007746C5" w:rsidRPr="007746C5" w:rsidRDefault="007746C5" w:rsidP="009A04E6">
      <w:pPr>
        <w:pStyle w:val="Bibliography"/>
        <w:spacing w:line="240" w:lineRule="auto"/>
      </w:pPr>
      <w:r w:rsidRPr="007746C5">
        <w:t xml:space="preserve">Piel, F., Gilbert, M., De Cannière, C., &amp; Grégoire, J.-C. (2007). Coniferous round wood imports from Russia and Baltic countries to Belgium. A pathway analysis for assessing risks of exotic pest insect introductions. </w:t>
      </w:r>
      <w:r w:rsidRPr="007746C5">
        <w:rPr>
          <w:i/>
          <w:iCs/>
        </w:rPr>
        <w:t>Diversity and Distributions</w:t>
      </w:r>
      <w:r w:rsidRPr="007746C5">
        <w:t xml:space="preserve">, </w:t>
      </w:r>
      <w:r w:rsidRPr="007746C5">
        <w:rPr>
          <w:i/>
          <w:iCs/>
        </w:rPr>
        <w:t>14</w:t>
      </w:r>
      <w:r w:rsidRPr="007746C5">
        <w:t>(2), 318–328. https://doi.org/10.1111/j.1472-4642.2007.00390.x</w:t>
      </w:r>
    </w:p>
    <w:p w14:paraId="1F5BF4EC" w14:textId="77777777" w:rsidR="007746C5" w:rsidRPr="007746C5" w:rsidRDefault="007746C5" w:rsidP="009A04E6">
      <w:pPr>
        <w:pStyle w:val="Bibliography"/>
        <w:spacing w:line="240" w:lineRule="auto"/>
      </w:pPr>
      <w:r w:rsidRPr="007746C5">
        <w:t xml:space="preserve">Piertney, S. B., Black, A., Watt, L., Christie, D., Poncet, S., &amp; Collins, M. A. (2016). Resolving patterns of population genetic and phylogeographic structure to inform control and eradication initiatives for brown rats </w:t>
      </w:r>
      <w:r w:rsidRPr="007746C5">
        <w:rPr>
          <w:i/>
          <w:iCs/>
        </w:rPr>
        <w:t>Rattus norvegicus</w:t>
      </w:r>
      <w:r w:rsidRPr="007746C5">
        <w:t xml:space="preserve"> on South Georgia. </w:t>
      </w:r>
      <w:r w:rsidRPr="007746C5">
        <w:rPr>
          <w:i/>
          <w:iCs/>
        </w:rPr>
        <w:t>Journal of Applied Ecology</w:t>
      </w:r>
      <w:r w:rsidRPr="007746C5">
        <w:t xml:space="preserve">, </w:t>
      </w:r>
      <w:r w:rsidRPr="007746C5">
        <w:rPr>
          <w:i/>
          <w:iCs/>
        </w:rPr>
        <w:t>53</w:t>
      </w:r>
      <w:r w:rsidRPr="007746C5">
        <w:t>(2), 332–339. https://doi.org/10.1111/1365-2664.12589</w:t>
      </w:r>
    </w:p>
    <w:p w14:paraId="25CFD32F" w14:textId="77777777" w:rsidR="007746C5" w:rsidRPr="007746C5" w:rsidRDefault="007746C5" w:rsidP="009A04E6">
      <w:pPr>
        <w:pStyle w:val="Bibliography"/>
        <w:spacing w:line="240" w:lineRule="auto"/>
      </w:pPr>
      <w:r w:rsidRPr="007746C5">
        <w:t xml:space="preserve">Pimentel, D., Acquay, H., Biltonen, M., Rice, P., Silva, M., Nelson, J., Lipner, V., Giordano, S., Horowitz, A., &amp; D’Amore, M. (1992). Environmental and Economic Costs of Pesticide Use. </w:t>
      </w:r>
      <w:r w:rsidRPr="007746C5">
        <w:rPr>
          <w:i/>
          <w:iCs/>
        </w:rPr>
        <w:t>BioScience</w:t>
      </w:r>
      <w:r w:rsidRPr="007746C5">
        <w:t xml:space="preserve">, </w:t>
      </w:r>
      <w:r w:rsidRPr="007746C5">
        <w:rPr>
          <w:i/>
          <w:iCs/>
        </w:rPr>
        <w:t>42</w:t>
      </w:r>
      <w:r w:rsidRPr="007746C5">
        <w:t>(10), 750–760. https://doi.org/10.2307/1311994</w:t>
      </w:r>
    </w:p>
    <w:p w14:paraId="30E5768F" w14:textId="77777777" w:rsidR="007746C5" w:rsidRPr="007746C5" w:rsidRDefault="007746C5" w:rsidP="009A04E6">
      <w:pPr>
        <w:pStyle w:val="Bibliography"/>
        <w:spacing w:line="240" w:lineRule="auto"/>
      </w:pPr>
      <w:r w:rsidRPr="007746C5">
        <w:t xml:space="preserve">Pimentel, D., &amp; Andow, D. A. (1984). Pest management and pesticide impacts. </w:t>
      </w:r>
      <w:r w:rsidRPr="007746C5">
        <w:rPr>
          <w:i/>
          <w:iCs/>
        </w:rPr>
        <w:t>International Journal of Tropical Insect Science</w:t>
      </w:r>
      <w:r w:rsidRPr="007746C5">
        <w:t xml:space="preserve">, </w:t>
      </w:r>
      <w:r w:rsidRPr="007746C5">
        <w:rPr>
          <w:i/>
          <w:iCs/>
        </w:rPr>
        <w:t>5</w:t>
      </w:r>
      <w:r w:rsidRPr="007746C5">
        <w:t>(3), 141–149. https://doi.org/10.1017/S1742758400008201</w:t>
      </w:r>
    </w:p>
    <w:p w14:paraId="6E022689" w14:textId="77777777" w:rsidR="007746C5" w:rsidRPr="007746C5" w:rsidRDefault="007746C5" w:rsidP="009A04E6">
      <w:pPr>
        <w:pStyle w:val="Bibliography"/>
        <w:spacing w:line="240" w:lineRule="auto"/>
      </w:pPr>
      <w:r w:rsidRPr="007746C5">
        <w:t xml:space="preserve">Pimentel, M. A. G., Faroni, L. R. D., Guedes, R. N. C., Sousa, A. H., &amp; Tótola, M. R. (2009). Phosphine resistance in Brazilian populations of </w:t>
      </w:r>
      <w:r w:rsidRPr="007746C5">
        <w:rPr>
          <w:i/>
          <w:iCs/>
        </w:rPr>
        <w:t>Sitophilus zeamais</w:t>
      </w:r>
      <w:r w:rsidRPr="007746C5">
        <w:t xml:space="preserve"> Motschulsky (Coleoptera: Curculionidae). </w:t>
      </w:r>
      <w:r w:rsidRPr="007746C5">
        <w:rPr>
          <w:i/>
          <w:iCs/>
        </w:rPr>
        <w:t>Journal of Stored Products Research</w:t>
      </w:r>
      <w:r w:rsidRPr="007746C5">
        <w:t xml:space="preserve">, </w:t>
      </w:r>
      <w:r w:rsidRPr="007746C5">
        <w:rPr>
          <w:i/>
          <w:iCs/>
        </w:rPr>
        <w:t>45</w:t>
      </w:r>
      <w:r w:rsidRPr="007746C5">
        <w:t>(1), 71–74. https://doi.org/10.1016/j.jspr.2008.09.001</w:t>
      </w:r>
    </w:p>
    <w:p w14:paraId="638D46C2" w14:textId="77777777" w:rsidR="007746C5" w:rsidRPr="007746C5" w:rsidRDefault="007746C5" w:rsidP="009A04E6">
      <w:pPr>
        <w:pStyle w:val="Bibliography"/>
        <w:spacing w:line="240" w:lineRule="auto"/>
      </w:pPr>
      <w:r w:rsidRPr="007746C5">
        <w:t xml:space="preserve">Piria, M., Copp, G. H., Dick, J. T. A., Duplić, A., Groom, Q., Jelić, D., Lucy, F. E., Roy, H. E., Sarat, E., Simonović, P., Tomljanović, T., Tricarico, E., Weinlander, M., Adámek, Z., Sarah Bedolfe, Coughlan, N. E., Davis, E., Dobrzycka-Krahel, A., Grgić, Z., … Caffrey, J. M. (2017). Tackling invasive alien species in Europe II: Threats and opportunities until 2020. </w:t>
      </w:r>
      <w:r w:rsidRPr="007746C5">
        <w:rPr>
          <w:i/>
          <w:iCs/>
        </w:rPr>
        <w:t>Management of Biological Invasions</w:t>
      </w:r>
      <w:r w:rsidRPr="007746C5">
        <w:t xml:space="preserve">, </w:t>
      </w:r>
      <w:r w:rsidRPr="007746C5">
        <w:rPr>
          <w:i/>
          <w:iCs/>
        </w:rPr>
        <w:t>8</w:t>
      </w:r>
      <w:r w:rsidRPr="007746C5">
        <w:t>(3), 273–286. https://doi.org/10.3391/mbi.2017.8.3.02</w:t>
      </w:r>
    </w:p>
    <w:p w14:paraId="3DE07D62" w14:textId="77777777" w:rsidR="007746C5" w:rsidRPr="007746C5" w:rsidRDefault="007746C5" w:rsidP="009A04E6">
      <w:pPr>
        <w:pStyle w:val="Bibliography"/>
        <w:spacing w:line="240" w:lineRule="auto"/>
      </w:pPr>
      <w:r w:rsidRPr="007746C5">
        <w:t xml:space="preserve">Pluess, T., Cannon, R., Jarošík, V., Pergl, J., Pyšek, P., &amp; Bacher, S. (2012). When are eradication campaigns successful? A test of common assumptions. </w:t>
      </w:r>
      <w:r w:rsidRPr="007746C5">
        <w:rPr>
          <w:i/>
          <w:iCs/>
        </w:rPr>
        <w:t>Biological Invasions</w:t>
      </w:r>
      <w:r w:rsidRPr="007746C5">
        <w:t xml:space="preserve">, </w:t>
      </w:r>
      <w:r w:rsidRPr="007746C5">
        <w:rPr>
          <w:i/>
          <w:iCs/>
        </w:rPr>
        <w:t>14</w:t>
      </w:r>
      <w:r w:rsidRPr="007746C5">
        <w:t>(7), 1365–1378. https://doi.org/10.1007/s10530-011-0160-2</w:t>
      </w:r>
    </w:p>
    <w:p w14:paraId="6836EA92" w14:textId="77777777" w:rsidR="007746C5" w:rsidRPr="007746C5" w:rsidRDefault="007746C5" w:rsidP="009A04E6">
      <w:pPr>
        <w:pStyle w:val="Bibliography"/>
        <w:spacing w:line="240" w:lineRule="auto"/>
      </w:pPr>
      <w:r w:rsidRPr="007746C5">
        <w:lastRenderedPageBreak/>
        <w:t xml:space="preserve">Pluess, T., Jarošík, V., Pyšek, P., Cannon, R., Pergl, J., Breukers, A., &amp; Bacher, S. (2012). Which Factors Affect the Success or Failure of Eradication Campaigns against Alien Species? </w:t>
      </w:r>
      <w:r w:rsidRPr="007746C5">
        <w:rPr>
          <w:i/>
          <w:iCs/>
        </w:rPr>
        <w:t>PLoS ONE</w:t>
      </w:r>
      <w:r w:rsidRPr="007746C5">
        <w:t xml:space="preserve">, </w:t>
      </w:r>
      <w:r w:rsidRPr="007746C5">
        <w:rPr>
          <w:i/>
          <w:iCs/>
        </w:rPr>
        <w:t>7</w:t>
      </w:r>
      <w:r w:rsidRPr="007746C5">
        <w:t>(10), e48157. https://doi.org/10.1371/journal.pone.0048157</w:t>
      </w:r>
    </w:p>
    <w:p w14:paraId="1DD1D84E" w14:textId="77777777" w:rsidR="007746C5" w:rsidRPr="007746C5" w:rsidRDefault="007746C5" w:rsidP="009A04E6">
      <w:pPr>
        <w:pStyle w:val="Bibliography"/>
        <w:spacing w:line="240" w:lineRule="auto"/>
      </w:pPr>
      <w:r w:rsidRPr="007746C5">
        <w:t xml:space="preserve">Poland, T. M., &amp; McCullough, D. G. (2006). Emerald Ash Borer: Invasion of the Urban Forest and the Threat to North America’s Ash Resource. </w:t>
      </w:r>
      <w:r w:rsidRPr="007746C5">
        <w:rPr>
          <w:i/>
          <w:iCs/>
        </w:rPr>
        <w:t>Journal of Forestry</w:t>
      </w:r>
      <w:r w:rsidRPr="007746C5">
        <w:t xml:space="preserve">, </w:t>
      </w:r>
      <w:r w:rsidRPr="007746C5">
        <w:rPr>
          <w:i/>
          <w:iCs/>
        </w:rPr>
        <w:t>104</w:t>
      </w:r>
      <w:r w:rsidRPr="007746C5">
        <w:t>(3), 118–124. https://doi.org/10.1093/jof/104.3.118</w:t>
      </w:r>
    </w:p>
    <w:p w14:paraId="1663E614" w14:textId="77777777" w:rsidR="007746C5" w:rsidRPr="007746C5" w:rsidRDefault="007746C5" w:rsidP="009A04E6">
      <w:pPr>
        <w:pStyle w:val="Bibliography"/>
        <w:spacing w:line="240" w:lineRule="auto"/>
      </w:pPr>
      <w:r w:rsidRPr="007746C5">
        <w:t xml:space="preserve">Poncio, L. C., Anjos, F. A. dos, Oliveira, D. A. de, Rebechi, D., Oliveira, R. N. de, Chitolina, R. F., Fermino, M. L., Bernardes, L. G., Guimarães, D., Lemos, P. A., Silva, M. N. E., Silvestre, R. G. M., Bernardes, E. S., &amp; Paldi, N. (2019). </w:t>
      </w:r>
      <w:r w:rsidRPr="007746C5">
        <w:rPr>
          <w:i/>
          <w:iCs/>
        </w:rPr>
        <w:t xml:space="preserve">Successful suppression of a field population of </w:t>
      </w:r>
      <w:r w:rsidRPr="007746C5">
        <w:t>Ae. Aegypti</w:t>
      </w:r>
      <w:r w:rsidRPr="007746C5">
        <w:rPr>
          <w:i/>
          <w:iCs/>
        </w:rPr>
        <w:t xml:space="preserve"> mosquitoes using a novel biological vector control strategy is associated with significantly lower incidence of dengue</w:t>
      </w:r>
      <w:r w:rsidRPr="007746C5">
        <w:t xml:space="preserve"> (p. 19010678). medRxiv. https://doi.org/10.1101/19010678</w:t>
      </w:r>
    </w:p>
    <w:p w14:paraId="117E5A85" w14:textId="77777777" w:rsidR="007746C5" w:rsidRPr="007746C5" w:rsidRDefault="007746C5" w:rsidP="009A04E6">
      <w:pPr>
        <w:pStyle w:val="Bibliography"/>
        <w:spacing w:line="240" w:lineRule="auto"/>
      </w:pPr>
      <w:r w:rsidRPr="007746C5">
        <w:t xml:space="preserve">Popay, I., &amp; Field, R. (1996). Grazing Animals as Weed Control Agents. </w:t>
      </w:r>
      <w:r w:rsidRPr="007746C5">
        <w:rPr>
          <w:i/>
          <w:iCs/>
        </w:rPr>
        <w:t>Weed Technology</w:t>
      </w:r>
      <w:r w:rsidRPr="007746C5">
        <w:t xml:space="preserve">, </w:t>
      </w:r>
      <w:r w:rsidRPr="007746C5">
        <w:rPr>
          <w:i/>
          <w:iCs/>
        </w:rPr>
        <w:t>10</w:t>
      </w:r>
      <w:r w:rsidRPr="007746C5">
        <w:t>(1), 217–231. https://doi.org/10.1017/S0890037X00045942</w:t>
      </w:r>
    </w:p>
    <w:p w14:paraId="37635E35" w14:textId="77777777" w:rsidR="007746C5" w:rsidRPr="007746C5" w:rsidRDefault="007746C5" w:rsidP="009A04E6">
      <w:pPr>
        <w:pStyle w:val="Bibliography"/>
        <w:spacing w:line="240" w:lineRule="auto"/>
      </w:pPr>
      <w:r w:rsidRPr="007746C5">
        <w:t xml:space="preserve">Potamitis, I., &amp; Rigakis, I. (2015). </w:t>
      </w:r>
      <w:r w:rsidRPr="007746C5">
        <w:rPr>
          <w:i/>
          <w:iCs/>
        </w:rPr>
        <w:t xml:space="preserve">Smart traps for automatic remote monitoring of </w:t>
      </w:r>
      <w:r w:rsidRPr="007746C5">
        <w:t>Rhynchophorus ferrugineus</w:t>
      </w:r>
      <w:r w:rsidRPr="007746C5">
        <w:rPr>
          <w:i/>
          <w:iCs/>
        </w:rPr>
        <w:t xml:space="preserve"> (Coleoptera: Curculionidae)</w:t>
      </w:r>
      <w:r w:rsidRPr="007746C5">
        <w:t xml:space="preserve"> (e1651). PeerJ Inc. https://doi.org/10.7287/peerj.preprints.1337v1</w:t>
      </w:r>
    </w:p>
    <w:p w14:paraId="7A21F270" w14:textId="77777777" w:rsidR="007746C5" w:rsidRPr="007746C5" w:rsidRDefault="007746C5" w:rsidP="009A04E6">
      <w:pPr>
        <w:pStyle w:val="Bibliography"/>
        <w:spacing w:line="240" w:lineRule="auto"/>
      </w:pPr>
      <w:r w:rsidRPr="007746C5">
        <w:t xml:space="preserve">PREDATOR Free NZ. (2021). </w:t>
      </w:r>
      <w:r w:rsidRPr="007746C5">
        <w:rPr>
          <w:i/>
          <w:iCs/>
        </w:rPr>
        <w:t>Home</w:t>
      </w:r>
      <w:r w:rsidRPr="007746C5">
        <w:t>. Predator Free NZ Trust. https://predatorfreenz.org/</w:t>
      </w:r>
    </w:p>
    <w:p w14:paraId="035EB511" w14:textId="77777777" w:rsidR="007746C5" w:rsidRPr="007746C5" w:rsidRDefault="007746C5" w:rsidP="009A04E6">
      <w:pPr>
        <w:pStyle w:val="Bibliography"/>
        <w:spacing w:line="240" w:lineRule="auto"/>
      </w:pPr>
      <w:r w:rsidRPr="007746C5">
        <w:t xml:space="preserve">Preti, M., Verheggen, F., &amp; Angeli, S. (2021). Insect pest monitoring with camera-equipped traps: Strengths and limitations. </w:t>
      </w:r>
      <w:r w:rsidRPr="007746C5">
        <w:rPr>
          <w:i/>
          <w:iCs/>
        </w:rPr>
        <w:t>Journal of Pest Science</w:t>
      </w:r>
      <w:r w:rsidRPr="007746C5">
        <w:t xml:space="preserve">, </w:t>
      </w:r>
      <w:r w:rsidRPr="007746C5">
        <w:rPr>
          <w:i/>
          <w:iCs/>
        </w:rPr>
        <w:t>94</w:t>
      </w:r>
      <w:r w:rsidRPr="007746C5">
        <w:t>(2), 203–217. https://doi.org/10.1007/s10340-020-01309-4</w:t>
      </w:r>
    </w:p>
    <w:p w14:paraId="635502BF" w14:textId="77777777" w:rsidR="007746C5" w:rsidRPr="007746C5" w:rsidRDefault="007746C5" w:rsidP="009A04E6">
      <w:pPr>
        <w:pStyle w:val="Bibliography"/>
        <w:spacing w:line="240" w:lineRule="auto"/>
      </w:pPr>
      <w:r w:rsidRPr="007746C5">
        <w:t xml:space="preserve">Pretty Paint-Small, V. (2013). </w:t>
      </w:r>
      <w:r w:rsidRPr="007746C5">
        <w:rPr>
          <w:i/>
          <w:iCs/>
        </w:rPr>
        <w:t>Linking culture, ecology and policy: The invasion of Russian-olive (</w:t>
      </w:r>
      <w:r w:rsidRPr="007746C5">
        <w:t>Elaeagnus angustifolia</w:t>
      </w:r>
      <w:r w:rsidRPr="007746C5">
        <w:rPr>
          <w:i/>
          <w:iCs/>
        </w:rPr>
        <w:t xml:space="preserve"> l.) on the Crow Indian Reservation, south-central Montana, USA</w:t>
      </w:r>
      <w:r w:rsidRPr="007746C5">
        <w:t xml:space="preserve"> [Thesis, Colorado State University. Libraries]. https://mountainscholar.org/handle/10217/78865</w:t>
      </w:r>
    </w:p>
    <w:p w14:paraId="4F5754B8" w14:textId="77777777" w:rsidR="007746C5" w:rsidRPr="007746C5" w:rsidRDefault="007746C5" w:rsidP="009A04E6">
      <w:pPr>
        <w:pStyle w:val="Bibliography"/>
        <w:spacing w:line="240" w:lineRule="auto"/>
      </w:pPr>
      <w:r w:rsidRPr="007746C5">
        <w:t xml:space="preserve">Priono, B., &amp; Satyani, D. (2010). Sekilas Tentang Beberapa Jenis Ikan Hias Air Tawar Yang Dilarang Masuk Ke Indonesia. </w:t>
      </w:r>
      <w:r w:rsidRPr="007746C5">
        <w:rPr>
          <w:i/>
          <w:iCs/>
        </w:rPr>
        <w:t>Media Akuakultur</w:t>
      </w:r>
      <w:r w:rsidRPr="007746C5">
        <w:t xml:space="preserve">, </w:t>
      </w:r>
      <w:r w:rsidRPr="007746C5">
        <w:rPr>
          <w:i/>
          <w:iCs/>
        </w:rPr>
        <w:t>5</w:t>
      </w:r>
      <w:r w:rsidRPr="007746C5">
        <w:t>(2), 102–108. https://doi.org/10.15578/ma.5.2.2010.102-108</w:t>
      </w:r>
    </w:p>
    <w:p w14:paraId="6459EFEE" w14:textId="77777777" w:rsidR="007746C5" w:rsidRPr="007746C5" w:rsidRDefault="007746C5" w:rsidP="009A04E6">
      <w:pPr>
        <w:pStyle w:val="Bibliography"/>
        <w:spacing w:line="240" w:lineRule="auto"/>
      </w:pPr>
      <w:r w:rsidRPr="007746C5">
        <w:t xml:space="preserve">Prior, K. M., Adams, D. C., Klepzig, K. D., &amp; Hulcr, J. (2018). When does invasive species removal lead to ecological recovery? Implications for management success. </w:t>
      </w:r>
      <w:r w:rsidRPr="007746C5">
        <w:rPr>
          <w:i/>
          <w:iCs/>
        </w:rPr>
        <w:t>Biological Invasions</w:t>
      </w:r>
      <w:r w:rsidRPr="007746C5">
        <w:t xml:space="preserve">, </w:t>
      </w:r>
      <w:r w:rsidRPr="007746C5">
        <w:rPr>
          <w:i/>
          <w:iCs/>
        </w:rPr>
        <w:t>20</w:t>
      </w:r>
      <w:r w:rsidRPr="007746C5">
        <w:t>(2), 267–283.</w:t>
      </w:r>
    </w:p>
    <w:p w14:paraId="69567C8A" w14:textId="77777777" w:rsidR="007746C5" w:rsidRPr="007746C5" w:rsidRDefault="007746C5" w:rsidP="009A04E6">
      <w:pPr>
        <w:pStyle w:val="Bibliography"/>
        <w:spacing w:line="240" w:lineRule="auto"/>
      </w:pPr>
      <w:r w:rsidRPr="007746C5">
        <w:t xml:space="preserve">Probert, A. F., Volery, L., Kumschick, S., Vimercati, G., &amp; Bacher, S. (2020). Understanding uncertainty in the Impact Classification for Alien Taxa (ICAT) assessments. </w:t>
      </w:r>
      <w:r w:rsidRPr="007746C5">
        <w:rPr>
          <w:i/>
          <w:iCs/>
        </w:rPr>
        <w:t>NeoBiota</w:t>
      </w:r>
      <w:r w:rsidRPr="007746C5">
        <w:t xml:space="preserve">, </w:t>
      </w:r>
      <w:r w:rsidRPr="007746C5">
        <w:rPr>
          <w:i/>
          <w:iCs/>
        </w:rPr>
        <w:t>62</w:t>
      </w:r>
      <w:r w:rsidRPr="007746C5">
        <w:t>, 387–405. https://doi.org/10.3897/neobiota.62.52010</w:t>
      </w:r>
    </w:p>
    <w:p w14:paraId="35F4965F" w14:textId="77777777" w:rsidR="007746C5" w:rsidRPr="007746C5" w:rsidRDefault="007746C5" w:rsidP="009A04E6">
      <w:pPr>
        <w:pStyle w:val="Bibliography"/>
        <w:spacing w:line="240" w:lineRule="auto"/>
      </w:pPr>
      <w:r w:rsidRPr="007746C5">
        <w:t xml:space="preserve">Probert, A. F., Wegmann, D., Volery, L., Adriaens, T., Bakiu, R., Bertolino, S., Essl, F., Gervasini, E., Groom, Q., Latombe, G., Marisavljevic, D., Mumford, J., Pergl, J., Preda, C., Roy, H. E., Scalera, R., Teixeira, H., Tricarico, E., Vanderhoeven, S., &amp; Bacher, S. (2022). Identifying, reducing, and communicating uncertainty in community science: A focus on alien species. </w:t>
      </w:r>
      <w:r w:rsidRPr="007746C5">
        <w:rPr>
          <w:i/>
          <w:iCs/>
        </w:rPr>
        <w:t>Biological Invasions</w:t>
      </w:r>
      <w:r w:rsidRPr="007746C5">
        <w:t xml:space="preserve">, </w:t>
      </w:r>
      <w:r w:rsidRPr="007746C5">
        <w:rPr>
          <w:i/>
          <w:iCs/>
        </w:rPr>
        <w:t>24</w:t>
      </w:r>
      <w:r w:rsidRPr="007746C5">
        <w:t>(11), 3395–3421. https://doi.org/10.1007/s10530-022-02858-8</w:t>
      </w:r>
    </w:p>
    <w:p w14:paraId="033984FF" w14:textId="77777777" w:rsidR="007746C5" w:rsidRPr="007746C5" w:rsidRDefault="007746C5" w:rsidP="009A04E6">
      <w:pPr>
        <w:pStyle w:val="Bibliography"/>
        <w:spacing w:line="240" w:lineRule="auto"/>
      </w:pPr>
      <w:r w:rsidRPr="007746C5">
        <w:t xml:space="preserve">Proctor, W., &amp; Drechsler, M. (2006). Deliberative Multicriteria Evaluation. </w:t>
      </w:r>
      <w:r w:rsidRPr="007746C5">
        <w:rPr>
          <w:i/>
          <w:iCs/>
        </w:rPr>
        <w:t>Environment and Planning C: Government and Policy</w:t>
      </w:r>
      <w:r w:rsidRPr="007746C5">
        <w:t xml:space="preserve">, </w:t>
      </w:r>
      <w:r w:rsidRPr="007746C5">
        <w:rPr>
          <w:i/>
          <w:iCs/>
        </w:rPr>
        <w:t>24</w:t>
      </w:r>
      <w:r w:rsidRPr="007746C5">
        <w:t>(2), 169–190. https://doi.org/10.1068/c22s</w:t>
      </w:r>
    </w:p>
    <w:p w14:paraId="50AFCCE1" w14:textId="77777777" w:rsidR="007746C5" w:rsidRPr="007746C5" w:rsidRDefault="007746C5" w:rsidP="009A04E6">
      <w:pPr>
        <w:pStyle w:val="Bibliography"/>
        <w:spacing w:line="240" w:lineRule="auto"/>
      </w:pPr>
      <w:r w:rsidRPr="007746C5">
        <w:t xml:space="preserve">Provencher, B., Lewis, D. J., &amp; Anderson, K. (2012). Disentangling preferences and expectations in stated preference analysis with respondent uncertainty: The case of invasive species prevention. </w:t>
      </w:r>
      <w:r w:rsidRPr="007746C5">
        <w:rPr>
          <w:i/>
          <w:iCs/>
        </w:rPr>
        <w:t>Journal of Environmental Economics and Management</w:t>
      </w:r>
      <w:r w:rsidRPr="007746C5">
        <w:t xml:space="preserve">, </w:t>
      </w:r>
      <w:r w:rsidRPr="007746C5">
        <w:rPr>
          <w:i/>
          <w:iCs/>
        </w:rPr>
        <w:t>64</w:t>
      </w:r>
      <w:r w:rsidRPr="007746C5">
        <w:t>(2), 169–182. https://doi.org/10.1016/j.jeem.2012.04.002</w:t>
      </w:r>
    </w:p>
    <w:p w14:paraId="0353ADF5" w14:textId="77777777" w:rsidR="007746C5" w:rsidRPr="007746C5" w:rsidRDefault="007746C5" w:rsidP="009A04E6">
      <w:pPr>
        <w:pStyle w:val="Bibliography"/>
        <w:spacing w:line="240" w:lineRule="auto"/>
      </w:pPr>
      <w:r w:rsidRPr="007746C5">
        <w:t xml:space="preserve">Provencher, L., Forbis, T. A., Frid, L., &amp; Medlyn, G. (2007). Comparing alternative management strategies of fire, grazing, and weed control using spatial modeling. </w:t>
      </w:r>
      <w:r w:rsidRPr="007746C5">
        <w:rPr>
          <w:i/>
          <w:iCs/>
        </w:rPr>
        <w:t>Ecological Modelling</w:t>
      </w:r>
      <w:r w:rsidRPr="007746C5">
        <w:t xml:space="preserve">, </w:t>
      </w:r>
      <w:r w:rsidRPr="007746C5">
        <w:rPr>
          <w:i/>
          <w:iCs/>
        </w:rPr>
        <w:t>209</w:t>
      </w:r>
      <w:r w:rsidRPr="007746C5">
        <w:t>(2), 249–263. https://doi.org/10.1016/j.ecolmodel.2007.06.030</w:t>
      </w:r>
    </w:p>
    <w:p w14:paraId="3C454ECB" w14:textId="77777777" w:rsidR="007746C5" w:rsidRPr="007746C5" w:rsidRDefault="007746C5" w:rsidP="009A04E6">
      <w:pPr>
        <w:pStyle w:val="Bibliography"/>
        <w:spacing w:line="240" w:lineRule="auto"/>
      </w:pPr>
      <w:r w:rsidRPr="007746C5">
        <w:t xml:space="preserve">Pyšek, P., Hulme, P. E., Meyerson, L. A., Smith, G. F., Boatwright, J. S., Crouch, N. R., Figueiredo, E., Foxcroft, L. C., Jarošík, V., Richardson, D. M., Suda, J., &amp; Wilson, J. R. U. (2013). Hitting the right target: Taxonomic challenges for, and of, plant invasions. </w:t>
      </w:r>
      <w:r w:rsidRPr="007746C5">
        <w:rPr>
          <w:i/>
          <w:iCs/>
        </w:rPr>
        <w:t>AoB PLANTS</w:t>
      </w:r>
      <w:r w:rsidRPr="007746C5">
        <w:t xml:space="preserve">, </w:t>
      </w:r>
      <w:r w:rsidRPr="007746C5">
        <w:rPr>
          <w:i/>
          <w:iCs/>
        </w:rPr>
        <w:t>5</w:t>
      </w:r>
      <w:r w:rsidRPr="007746C5">
        <w:t>, plt042. https://doi.org/10.1093/aobpla/plt042</w:t>
      </w:r>
    </w:p>
    <w:p w14:paraId="49ECA3D4" w14:textId="77777777" w:rsidR="007746C5" w:rsidRPr="007746C5" w:rsidRDefault="007746C5" w:rsidP="009A04E6">
      <w:pPr>
        <w:pStyle w:val="Bibliography"/>
        <w:spacing w:line="240" w:lineRule="auto"/>
      </w:pPr>
      <w:r w:rsidRPr="007746C5">
        <w:lastRenderedPageBreak/>
        <w:t xml:space="preserve">Pyšek, P., Hulme, P. E., Simberloff, D., Bacher, S., Blackburn, T. M., Carlton, J. T., Dawson, W., Essl, F., Foxcroft, L. C., Genovesi, P., Jeschke, J. M., Kühn, I., Liebhold, A. M., Mandrak, N. E., Meyerson, L. A., Pauchard, A., Pergl, J., Roy, H. E., Seebens, H., … Richardson, D. M. (2020). Scientists’ warning on invasive alien species. </w:t>
      </w:r>
      <w:r w:rsidRPr="007746C5">
        <w:rPr>
          <w:i/>
          <w:iCs/>
        </w:rPr>
        <w:t>Biological Reviews</w:t>
      </w:r>
      <w:r w:rsidRPr="007746C5">
        <w:t xml:space="preserve">, </w:t>
      </w:r>
      <w:r w:rsidRPr="007746C5">
        <w:rPr>
          <w:i/>
          <w:iCs/>
        </w:rPr>
        <w:t>95</w:t>
      </w:r>
      <w:r w:rsidRPr="007746C5">
        <w:t>(6), 1511–1534. https://doi.org/10.1111/brv.12627</w:t>
      </w:r>
    </w:p>
    <w:p w14:paraId="1655E3F2" w14:textId="77777777" w:rsidR="007746C5" w:rsidRPr="007746C5" w:rsidRDefault="007746C5" w:rsidP="009A04E6">
      <w:pPr>
        <w:pStyle w:val="Bibliography"/>
        <w:spacing w:line="240" w:lineRule="auto"/>
      </w:pPr>
      <w:r w:rsidRPr="007746C5">
        <w:t xml:space="preserve">Rai, R. K., &amp; Scarborough, H. (2013). Economic value of mitigation of plant invaders in a subsistence economy: Incorporating labour as a mode of payment. </w:t>
      </w:r>
      <w:r w:rsidRPr="007746C5">
        <w:rPr>
          <w:i/>
          <w:iCs/>
        </w:rPr>
        <w:t>Environment and Development Economics</w:t>
      </w:r>
      <w:r w:rsidRPr="007746C5">
        <w:t xml:space="preserve">, </w:t>
      </w:r>
      <w:r w:rsidRPr="007746C5">
        <w:rPr>
          <w:i/>
          <w:iCs/>
        </w:rPr>
        <w:t>18</w:t>
      </w:r>
      <w:r w:rsidRPr="007746C5">
        <w:t>(2), 225–244. https://doi.org/10.1017/S1355770X1200037X</w:t>
      </w:r>
    </w:p>
    <w:p w14:paraId="78166BEA" w14:textId="77777777" w:rsidR="007746C5" w:rsidRPr="007746C5" w:rsidRDefault="007746C5" w:rsidP="009A04E6">
      <w:pPr>
        <w:pStyle w:val="Bibliography"/>
        <w:spacing w:line="240" w:lineRule="auto"/>
      </w:pPr>
      <w:r w:rsidRPr="007746C5">
        <w:t xml:space="preserve">Raine, A. F., Vynne, M., &amp; Driskill, S. (2019). The impact of an introduced avian predator, the Barn Owl </w:t>
      </w:r>
      <w:r w:rsidRPr="007746C5">
        <w:rPr>
          <w:i/>
          <w:iCs/>
        </w:rPr>
        <w:t>Tyto alba</w:t>
      </w:r>
      <w:r w:rsidRPr="007746C5">
        <w:t xml:space="preserve">, on Hawaiian seabirds. </w:t>
      </w:r>
      <w:r w:rsidRPr="007746C5">
        <w:rPr>
          <w:i/>
          <w:iCs/>
        </w:rPr>
        <w:t>Marine Ornithology</w:t>
      </w:r>
      <w:r w:rsidRPr="007746C5">
        <w:t xml:space="preserve">, </w:t>
      </w:r>
      <w:r w:rsidRPr="007746C5">
        <w:rPr>
          <w:i/>
          <w:iCs/>
        </w:rPr>
        <w:t>47</w:t>
      </w:r>
      <w:r w:rsidRPr="007746C5">
        <w:t>, 33–38.</w:t>
      </w:r>
    </w:p>
    <w:p w14:paraId="0F36E845" w14:textId="77777777" w:rsidR="007746C5" w:rsidRPr="007746C5" w:rsidRDefault="007746C5" w:rsidP="009A04E6">
      <w:pPr>
        <w:pStyle w:val="Bibliography"/>
        <w:spacing w:line="240" w:lineRule="auto"/>
      </w:pPr>
      <w:r w:rsidRPr="007746C5">
        <w:t xml:space="preserve">Rainwater-Lovett, K., Pacheco, J. M., Packer, C., &amp; Rodriguez, L. L. (2009). Detection of foot-and-mouth disease virus infected cattle using infrared thermography. </w:t>
      </w:r>
      <w:r w:rsidRPr="007746C5">
        <w:rPr>
          <w:i/>
          <w:iCs/>
        </w:rPr>
        <w:t>The Veterinary Journal</w:t>
      </w:r>
      <w:r w:rsidRPr="007746C5">
        <w:t xml:space="preserve">, </w:t>
      </w:r>
      <w:r w:rsidRPr="007746C5">
        <w:rPr>
          <w:i/>
          <w:iCs/>
        </w:rPr>
        <w:t>180</w:t>
      </w:r>
      <w:r w:rsidRPr="007746C5">
        <w:t>(3), 317–324. https://doi.org/10.1016/j.tvjl.2008.01.003</w:t>
      </w:r>
    </w:p>
    <w:p w14:paraId="48796713" w14:textId="77777777" w:rsidR="007746C5" w:rsidRPr="007746C5" w:rsidRDefault="007746C5" w:rsidP="009A04E6">
      <w:pPr>
        <w:pStyle w:val="Bibliography"/>
        <w:spacing w:line="240" w:lineRule="auto"/>
      </w:pPr>
      <w:r w:rsidRPr="007746C5">
        <w:t xml:space="preserve">Ramsar Convention on Wetlands. (2018). </w:t>
      </w:r>
      <w:r w:rsidRPr="007746C5">
        <w:rPr>
          <w:i/>
          <w:iCs/>
        </w:rPr>
        <w:t>Global Wetland Outlook: State of the World’s Wetlands and their Services to People.</w:t>
      </w:r>
      <w:r w:rsidRPr="007746C5">
        <w:t xml:space="preserve"> Ramsar Convention Secretariat.</w:t>
      </w:r>
    </w:p>
    <w:p w14:paraId="74740CBB" w14:textId="77777777" w:rsidR="007746C5" w:rsidRPr="007746C5" w:rsidRDefault="007746C5" w:rsidP="009A04E6">
      <w:pPr>
        <w:pStyle w:val="Bibliography"/>
        <w:spacing w:line="240" w:lineRule="auto"/>
      </w:pPr>
      <w:r w:rsidRPr="007746C5">
        <w:t xml:space="preserve">Ramsar Convention Secretariat. (2010). </w:t>
      </w:r>
      <w:r w:rsidRPr="007746C5">
        <w:rPr>
          <w:i/>
          <w:iCs/>
        </w:rPr>
        <w:t>Managing wetlands: Frameworks for managing Wetlands of International Importance and other wetland sites</w:t>
      </w:r>
      <w:r w:rsidRPr="007746C5">
        <w:t xml:space="preserve"> (4th ed., Vol. 18). Ramsar Convention Secretariat. https://www.ramsar.org/sites/default/files/documents/pdf/lib/hbk4-18.pdf</w:t>
      </w:r>
    </w:p>
    <w:p w14:paraId="2319510E" w14:textId="77777777" w:rsidR="007746C5" w:rsidRPr="007746C5" w:rsidRDefault="007746C5" w:rsidP="009A04E6">
      <w:pPr>
        <w:pStyle w:val="Bibliography"/>
        <w:spacing w:line="240" w:lineRule="auto"/>
      </w:pPr>
      <w:r w:rsidRPr="007746C5">
        <w:t xml:space="preserve">Ramsey, D. S. L., Parkes, J., &amp; Morrison, S. A. (2009). Quantifying Eradication Success: The Removal of Feral Pigs from Santa Cruz Island, California. </w:t>
      </w:r>
      <w:r w:rsidRPr="007746C5">
        <w:rPr>
          <w:i/>
          <w:iCs/>
        </w:rPr>
        <w:t>Conservation Biology</w:t>
      </w:r>
      <w:r w:rsidRPr="007746C5">
        <w:t xml:space="preserve">, </w:t>
      </w:r>
      <w:r w:rsidRPr="007746C5">
        <w:rPr>
          <w:i/>
          <w:iCs/>
        </w:rPr>
        <w:t>23</w:t>
      </w:r>
      <w:r w:rsidRPr="007746C5">
        <w:t>(2), 449–459. https://doi.org/10.1111/j.1523-1739.2008.01119.x</w:t>
      </w:r>
    </w:p>
    <w:p w14:paraId="1D4747F3" w14:textId="77777777" w:rsidR="007746C5" w:rsidRPr="007746C5" w:rsidRDefault="007746C5" w:rsidP="009A04E6">
      <w:pPr>
        <w:pStyle w:val="Bibliography"/>
        <w:spacing w:line="240" w:lineRule="auto"/>
      </w:pPr>
      <w:r w:rsidRPr="007746C5">
        <w:t xml:space="preserve">Ramsey, D. S. L., Parkes, J. P., Will, D., Hanson, C. C., &amp; Campbell, K. J. (2011). Quantifying the success of feral cat eradication, San Nicolas Island, California. </w:t>
      </w:r>
      <w:r w:rsidRPr="007746C5">
        <w:rPr>
          <w:i/>
          <w:iCs/>
        </w:rPr>
        <w:t>New Zealand Journal of Ecology</w:t>
      </w:r>
      <w:r w:rsidRPr="007746C5">
        <w:t xml:space="preserve">, </w:t>
      </w:r>
      <w:r w:rsidRPr="007746C5">
        <w:rPr>
          <w:i/>
          <w:iCs/>
        </w:rPr>
        <w:t>35</w:t>
      </w:r>
      <w:r w:rsidRPr="007746C5">
        <w:t>(2), 163–173. https://www.jstor.org/stable/24060664</w:t>
      </w:r>
    </w:p>
    <w:p w14:paraId="52A00227" w14:textId="77777777" w:rsidR="007746C5" w:rsidRPr="007746C5" w:rsidRDefault="007746C5" w:rsidP="009A04E6">
      <w:pPr>
        <w:pStyle w:val="Bibliography"/>
        <w:spacing w:line="240" w:lineRule="auto"/>
      </w:pPr>
      <w:r w:rsidRPr="007746C5">
        <w:t xml:space="preserve">Randall, J. M. (1996). Weed Control for the Preservation of Biological Diversity. </w:t>
      </w:r>
      <w:r w:rsidRPr="007746C5">
        <w:rPr>
          <w:i/>
          <w:iCs/>
        </w:rPr>
        <w:t>Weed Technology</w:t>
      </w:r>
      <w:r w:rsidRPr="007746C5">
        <w:t xml:space="preserve">, </w:t>
      </w:r>
      <w:r w:rsidRPr="007746C5">
        <w:rPr>
          <w:i/>
          <w:iCs/>
        </w:rPr>
        <w:t>10</w:t>
      </w:r>
      <w:r w:rsidRPr="007746C5">
        <w:t>(2), 370–383. https://doi.org/10.1017/S0890037X00040124</w:t>
      </w:r>
    </w:p>
    <w:p w14:paraId="5F7F79F1" w14:textId="77777777" w:rsidR="007746C5" w:rsidRPr="007746C5" w:rsidRDefault="007746C5" w:rsidP="009A04E6">
      <w:pPr>
        <w:pStyle w:val="Bibliography"/>
        <w:spacing w:line="240" w:lineRule="auto"/>
      </w:pPr>
      <w:r w:rsidRPr="007746C5">
        <w:t xml:space="preserve">Ranjan, R. (2019). Deriving double dividends through linking payments for ecosystem services to environmental entrepreneurship: The case of the invasive weed </w:t>
      </w:r>
      <w:r w:rsidRPr="007746C5">
        <w:rPr>
          <w:i/>
          <w:iCs/>
        </w:rPr>
        <w:t>Lantana camara</w:t>
      </w:r>
      <w:r w:rsidRPr="007746C5">
        <w:t xml:space="preserve">. </w:t>
      </w:r>
      <w:r w:rsidRPr="007746C5">
        <w:rPr>
          <w:i/>
          <w:iCs/>
        </w:rPr>
        <w:t>Ecological Economics</w:t>
      </w:r>
      <w:r w:rsidRPr="007746C5">
        <w:t xml:space="preserve">, </w:t>
      </w:r>
      <w:r w:rsidRPr="007746C5">
        <w:rPr>
          <w:i/>
          <w:iCs/>
        </w:rPr>
        <w:t>164</w:t>
      </w:r>
      <w:r w:rsidRPr="007746C5">
        <w:t>, 106380. https://doi.org/10.1016/j.ecolecon.2019.106380</w:t>
      </w:r>
    </w:p>
    <w:p w14:paraId="38760258" w14:textId="77777777" w:rsidR="007746C5" w:rsidRPr="007746C5" w:rsidRDefault="007746C5" w:rsidP="009A04E6">
      <w:pPr>
        <w:pStyle w:val="Bibliography"/>
        <w:spacing w:line="240" w:lineRule="auto"/>
      </w:pPr>
      <w:r w:rsidRPr="007746C5">
        <w:t xml:space="preserve">Reaser, J. K. (2003). Invasive alien species: Definitions, causes, consequences, and the way forward. In N. Pallewatta, J. K. Reaser, &amp; A. Gutierrez (Eds.), </w:t>
      </w:r>
      <w:r w:rsidRPr="007746C5">
        <w:rPr>
          <w:i/>
          <w:iCs/>
        </w:rPr>
        <w:t>Prevention and Management of Invasive Alien Species: Proceedings of a Workshop on Forging Cooperation throughout South and Southeast Asia</w:t>
      </w:r>
      <w:r w:rsidRPr="007746C5">
        <w:t xml:space="preserve"> (pp. 11–18). Global Invasive Species Programme. https://giasipartnership.myspecies.info/en/content/pallewatta-n-jk-reaser-gutierrez-eds-2003-prevention-and-management-invasive-alien-species</w:t>
      </w:r>
    </w:p>
    <w:p w14:paraId="2244C41C" w14:textId="77777777" w:rsidR="007746C5" w:rsidRPr="007746C5" w:rsidRDefault="007746C5" w:rsidP="009A04E6">
      <w:pPr>
        <w:pStyle w:val="Bibliography"/>
        <w:spacing w:line="240" w:lineRule="auto"/>
      </w:pPr>
      <w:r w:rsidRPr="007746C5">
        <w:t xml:space="preserve">Reaser, J. K., Burgiel, S. W., Kirkey, J., Brantley, K. A., Veatch, S. D., &amp; Burgos-Rodríguez, J. (2020). The early detection of and rapid response (EDRR) to invasive species: A conceptual framework and federal capacities assessment. </w:t>
      </w:r>
      <w:r w:rsidRPr="007746C5">
        <w:rPr>
          <w:i/>
          <w:iCs/>
        </w:rPr>
        <w:t>Biological Invasions</w:t>
      </w:r>
      <w:r w:rsidRPr="007746C5">
        <w:t xml:space="preserve">, </w:t>
      </w:r>
      <w:r w:rsidRPr="007746C5">
        <w:rPr>
          <w:i/>
          <w:iCs/>
        </w:rPr>
        <w:t>22</w:t>
      </w:r>
      <w:r w:rsidRPr="007746C5">
        <w:t>(1), 1–19. https://doi.org/10.1007/s10530-019-02156-w</w:t>
      </w:r>
    </w:p>
    <w:p w14:paraId="43242D5B" w14:textId="77777777" w:rsidR="007746C5" w:rsidRPr="007746C5" w:rsidRDefault="007746C5" w:rsidP="009A04E6">
      <w:pPr>
        <w:pStyle w:val="Bibliography"/>
        <w:spacing w:line="240" w:lineRule="auto"/>
      </w:pPr>
      <w:r w:rsidRPr="007746C5">
        <w:t xml:space="preserve">Reaser, J. K., Simpson, A., Guala, G. F., Morisette, J. T., &amp; Fuller, P. (2020). Envisioning a national invasive species information framework. </w:t>
      </w:r>
      <w:r w:rsidRPr="007746C5">
        <w:rPr>
          <w:i/>
          <w:iCs/>
        </w:rPr>
        <w:t>Biological Invasions</w:t>
      </w:r>
      <w:r w:rsidRPr="007746C5">
        <w:t xml:space="preserve">, </w:t>
      </w:r>
      <w:r w:rsidRPr="007746C5">
        <w:rPr>
          <w:i/>
          <w:iCs/>
        </w:rPr>
        <w:t>22</w:t>
      </w:r>
      <w:r w:rsidRPr="007746C5">
        <w:t>(1), 21–36. https://doi.org/10.1007/s10530-019-02141-3</w:t>
      </w:r>
    </w:p>
    <w:p w14:paraId="5DECC4F6" w14:textId="77777777" w:rsidR="007746C5" w:rsidRPr="007746C5" w:rsidRDefault="007746C5" w:rsidP="009A04E6">
      <w:pPr>
        <w:pStyle w:val="Bibliography"/>
        <w:spacing w:line="240" w:lineRule="auto"/>
      </w:pPr>
      <w:r w:rsidRPr="007746C5">
        <w:t>Rebelo, M. F., Afonso, L. F., Americo, J. A., da Silva, L., Neto, J. L. B., Dondero, F., &amp; Zhang, Q. (2018). A sustainable synthetic biology approach for the control of the invasive golden mussel (</w:t>
      </w:r>
      <w:r w:rsidRPr="007746C5">
        <w:rPr>
          <w:i/>
          <w:iCs/>
        </w:rPr>
        <w:t>Limnoperna fortunei</w:t>
      </w:r>
      <w:r w:rsidRPr="007746C5">
        <w:t xml:space="preserve">). </w:t>
      </w:r>
      <w:r w:rsidRPr="007746C5">
        <w:rPr>
          <w:i/>
          <w:iCs/>
        </w:rPr>
        <w:t>PeerJ Preprints</w:t>
      </w:r>
      <w:r w:rsidRPr="007746C5">
        <w:t xml:space="preserve">, </w:t>
      </w:r>
      <w:r w:rsidRPr="007746C5">
        <w:rPr>
          <w:i/>
          <w:iCs/>
        </w:rPr>
        <w:t>6</w:t>
      </w:r>
      <w:r w:rsidRPr="007746C5">
        <w:t>, e27164v3. https://doi.org/10.7287/peerj.preprints.27164v3</w:t>
      </w:r>
    </w:p>
    <w:p w14:paraId="5F4D0774" w14:textId="77777777" w:rsidR="007746C5" w:rsidRPr="007746C5" w:rsidRDefault="007746C5" w:rsidP="009A04E6">
      <w:pPr>
        <w:pStyle w:val="Bibliography"/>
        <w:spacing w:line="240" w:lineRule="auto"/>
      </w:pPr>
      <w:r w:rsidRPr="007746C5">
        <w:t xml:space="preserve">Redford, K. H., Brooks, T. M., Macfarlane, N. B. W., &amp; Adams, J. S. (Eds.). (2019). </w:t>
      </w:r>
      <w:r w:rsidRPr="007746C5">
        <w:rPr>
          <w:i/>
          <w:iCs/>
        </w:rPr>
        <w:t>Genetic frontiers for conservation: An assessment of synthetic biology and biodiversity conservation: technical assessment</w:t>
      </w:r>
      <w:r w:rsidRPr="007746C5">
        <w:t>. IUCN, International Union for Conservation of Nature. https://doi.org/10.2305/IUCN.CH.2019.05.en</w:t>
      </w:r>
    </w:p>
    <w:p w14:paraId="2923D12C" w14:textId="77777777" w:rsidR="007746C5" w:rsidRPr="007746C5" w:rsidRDefault="007746C5" w:rsidP="009A04E6">
      <w:pPr>
        <w:pStyle w:val="Bibliography"/>
        <w:spacing w:line="240" w:lineRule="auto"/>
      </w:pPr>
      <w:r w:rsidRPr="007746C5">
        <w:t xml:space="preserve">Rees, H. C., Maddison, B. C., Middleditch, D. J., Patmore, J. R. M., &amp; Gough, K. C. (2014). REVIEW: The detection of aquatic animal species using environmental DNA – a review of </w:t>
      </w:r>
      <w:r w:rsidRPr="007746C5">
        <w:lastRenderedPageBreak/>
        <w:t xml:space="preserve">eDNA as a survey tool in ecology. </w:t>
      </w:r>
      <w:r w:rsidRPr="007746C5">
        <w:rPr>
          <w:i/>
          <w:iCs/>
        </w:rPr>
        <w:t>Journal of Applied Ecology</w:t>
      </w:r>
      <w:r w:rsidRPr="007746C5">
        <w:t xml:space="preserve">, </w:t>
      </w:r>
      <w:r w:rsidRPr="007746C5">
        <w:rPr>
          <w:i/>
          <w:iCs/>
        </w:rPr>
        <w:t>51</w:t>
      </w:r>
      <w:r w:rsidRPr="007746C5">
        <w:t>(5), 1450–1459. https://doi.org/10.1111/1365-2664.12306</w:t>
      </w:r>
    </w:p>
    <w:p w14:paraId="5E1C4B44" w14:textId="77777777" w:rsidR="007746C5" w:rsidRPr="007746C5" w:rsidRDefault="007746C5" w:rsidP="009A04E6">
      <w:pPr>
        <w:pStyle w:val="Bibliography"/>
        <w:spacing w:line="240" w:lineRule="auto"/>
      </w:pPr>
      <w:r w:rsidRPr="007746C5">
        <w:t xml:space="preserve">Regan, H. M., Colyvan, M., &amp; Burgman, M. A. (2002). A Taxonomy and Treatment of Uncertainty for Ecology and Conservation Biology. </w:t>
      </w:r>
      <w:r w:rsidRPr="007746C5">
        <w:rPr>
          <w:i/>
          <w:iCs/>
        </w:rPr>
        <w:t>Ecological Applications</w:t>
      </w:r>
      <w:r w:rsidRPr="007746C5">
        <w:t xml:space="preserve">, </w:t>
      </w:r>
      <w:r w:rsidRPr="007746C5">
        <w:rPr>
          <w:i/>
          <w:iCs/>
        </w:rPr>
        <w:t>12</w:t>
      </w:r>
      <w:r w:rsidRPr="007746C5">
        <w:t>(2), 618–628. https://doi.org/10.1890/1051-0761(2002)012[0618:ATATOU]2.0.CO;2</w:t>
      </w:r>
    </w:p>
    <w:p w14:paraId="7E805813" w14:textId="77777777" w:rsidR="007746C5" w:rsidRPr="007746C5" w:rsidRDefault="007746C5" w:rsidP="009A04E6">
      <w:pPr>
        <w:pStyle w:val="Bibliography"/>
        <w:spacing w:line="240" w:lineRule="auto"/>
      </w:pPr>
      <w:r w:rsidRPr="007746C5">
        <w:t xml:space="preserve">Regan, T. J., McCarthy, M. A., Baxter, P. W. J., Panetta, F. D., &amp; Possingham, H. P. (2006). Optimal eradication: When to stop looking for an invasive plant. </w:t>
      </w:r>
      <w:r w:rsidRPr="007746C5">
        <w:rPr>
          <w:i/>
          <w:iCs/>
        </w:rPr>
        <w:t>Ecology Letters</w:t>
      </w:r>
      <w:r w:rsidRPr="007746C5">
        <w:t xml:space="preserve">, </w:t>
      </w:r>
      <w:r w:rsidRPr="007746C5">
        <w:rPr>
          <w:i/>
          <w:iCs/>
        </w:rPr>
        <w:t>9</w:t>
      </w:r>
      <w:r w:rsidRPr="007746C5">
        <w:t>(7), 759–766. https://doi.org/10.1111/j.1461-0248.2006.00920.x</w:t>
      </w:r>
    </w:p>
    <w:p w14:paraId="1CBFD215" w14:textId="77777777" w:rsidR="007746C5" w:rsidRPr="007746C5" w:rsidRDefault="007746C5" w:rsidP="009A04E6">
      <w:pPr>
        <w:pStyle w:val="Bibliography"/>
        <w:spacing w:line="240" w:lineRule="auto"/>
      </w:pPr>
      <w:r w:rsidRPr="007746C5">
        <w:t xml:space="preserve">Reichard, S. H., &amp; Hamilton, C. W. (1997). Predicting Invasions of Woody Plants Introduced into North America. </w:t>
      </w:r>
      <w:r w:rsidRPr="007746C5">
        <w:rPr>
          <w:i/>
          <w:iCs/>
        </w:rPr>
        <w:t>Conservation Biology</w:t>
      </w:r>
      <w:r w:rsidRPr="007746C5">
        <w:t xml:space="preserve">, </w:t>
      </w:r>
      <w:r w:rsidRPr="007746C5">
        <w:rPr>
          <w:i/>
          <w:iCs/>
        </w:rPr>
        <w:t>11</w:t>
      </w:r>
      <w:r w:rsidRPr="007746C5">
        <w:t>(1), 193–203. https://doi.org/10.1046/j.1523-1739.1997.95473.x</w:t>
      </w:r>
    </w:p>
    <w:p w14:paraId="05EB28CE" w14:textId="77777777" w:rsidR="007746C5" w:rsidRPr="007746C5" w:rsidRDefault="007746C5" w:rsidP="009A04E6">
      <w:pPr>
        <w:pStyle w:val="Bibliography"/>
        <w:spacing w:line="240" w:lineRule="auto"/>
      </w:pPr>
      <w:r w:rsidRPr="007746C5">
        <w:t xml:space="preserve">Reisen, W., Lothrop, H., Chiles, R., Madon, M., Cossen, C., Woods, L., Husted, S., Kramer, V., &amp; Edman, J. (2004). West Nile Virus in California. </w:t>
      </w:r>
      <w:r w:rsidRPr="007746C5">
        <w:rPr>
          <w:i/>
          <w:iCs/>
        </w:rPr>
        <w:t>Emerging Infectious Diseases</w:t>
      </w:r>
      <w:r w:rsidRPr="007746C5">
        <w:t xml:space="preserve">, </w:t>
      </w:r>
      <w:r w:rsidRPr="007746C5">
        <w:rPr>
          <w:i/>
          <w:iCs/>
        </w:rPr>
        <w:t>10</w:t>
      </w:r>
      <w:r w:rsidRPr="007746C5">
        <w:t>(8), 1369–1378. https://doi.org/10.3201/eid1008.040077</w:t>
      </w:r>
    </w:p>
    <w:p w14:paraId="29890AA7" w14:textId="77777777" w:rsidR="007746C5" w:rsidRPr="007746C5" w:rsidRDefault="007746C5" w:rsidP="009A04E6">
      <w:pPr>
        <w:pStyle w:val="Bibliography"/>
        <w:spacing w:line="240" w:lineRule="auto"/>
      </w:pPr>
      <w:r w:rsidRPr="007746C5">
        <w:t xml:space="preserve">Rejmanek, M., &amp; Pitcairn, M. J. (2002). When is eradication of exotic pest plants a realistic goal? In C. R. Veitch &amp; M. N. Clout (Eds.), </w:t>
      </w:r>
      <w:r w:rsidRPr="007746C5">
        <w:rPr>
          <w:i/>
          <w:iCs/>
        </w:rPr>
        <w:t>Turning the tide: The eradication of invasive species: Proceedings of the International Conference on eradication of Island Invasives</w:t>
      </w:r>
      <w:r w:rsidRPr="007746C5">
        <w:t xml:space="preserve"> (pp. 249–253). IUCN. https://portals.iucn.org/library/efiles/documents/ssc-op-028.pdf</w:t>
      </w:r>
    </w:p>
    <w:p w14:paraId="096A7BC4" w14:textId="77777777" w:rsidR="007746C5" w:rsidRPr="007746C5" w:rsidRDefault="007746C5" w:rsidP="009A04E6">
      <w:pPr>
        <w:pStyle w:val="Bibliography"/>
        <w:spacing w:line="240" w:lineRule="auto"/>
      </w:pPr>
      <w:r w:rsidRPr="007746C5">
        <w:t xml:space="preserve">Rettberg, S. (2010). Contested narratives of pastoral vulnerability and risk in Ethiopia’s Afar region. </w:t>
      </w:r>
      <w:r w:rsidRPr="007746C5">
        <w:rPr>
          <w:i/>
          <w:iCs/>
        </w:rPr>
        <w:t>Pastoralism - Research, Policy and Practice</w:t>
      </w:r>
      <w:r w:rsidRPr="007746C5">
        <w:t xml:space="preserve">, </w:t>
      </w:r>
      <w:r w:rsidRPr="007746C5">
        <w:rPr>
          <w:i/>
          <w:iCs/>
        </w:rPr>
        <w:t>1</w:t>
      </w:r>
      <w:r w:rsidRPr="007746C5">
        <w:t>(2), 248–273. https://doi.org/10.3362/2041-7136.2010.014</w:t>
      </w:r>
    </w:p>
    <w:p w14:paraId="551AD289" w14:textId="77777777" w:rsidR="007746C5" w:rsidRPr="007746C5" w:rsidRDefault="007746C5" w:rsidP="009A04E6">
      <w:pPr>
        <w:pStyle w:val="Bibliography"/>
        <w:spacing w:line="240" w:lineRule="auto"/>
      </w:pPr>
      <w:r w:rsidRPr="007746C5">
        <w:t xml:space="preserve">Rettberg, S., &amp; Müller-Mahn, D. (2012). Human Environment Interactions: The invasion of </w:t>
      </w:r>
      <w:r w:rsidRPr="007746C5">
        <w:rPr>
          <w:i/>
          <w:iCs/>
        </w:rPr>
        <w:t>Prosopis juliflora</w:t>
      </w:r>
      <w:r w:rsidRPr="007746C5">
        <w:t xml:space="preserve"> in the Drylands of Northeast Ethiopia. In L. Mol &amp; T. Sternberg (Eds.), </w:t>
      </w:r>
      <w:r w:rsidRPr="007746C5">
        <w:rPr>
          <w:i/>
          <w:iCs/>
        </w:rPr>
        <w:t>Changing Deserts – Integrating People and their Environments.</w:t>
      </w:r>
      <w:r w:rsidRPr="007746C5">
        <w:t xml:space="preserve"> (pp. 297-316.). Whitehorse Press. http://dx.doi.org/10.3197/9781912186310.ch15</w:t>
      </w:r>
    </w:p>
    <w:p w14:paraId="010BC4CA" w14:textId="77777777" w:rsidR="007746C5" w:rsidRPr="007746C5" w:rsidRDefault="007746C5" w:rsidP="009A04E6">
      <w:pPr>
        <w:pStyle w:val="Bibliography"/>
        <w:spacing w:line="240" w:lineRule="auto"/>
      </w:pPr>
      <w:r w:rsidRPr="007746C5">
        <w:t xml:space="preserve">Reyes-García, V., Fernández-Llamazares, Á., McElwee, P., Molnár, Z., Öllerer, K., Wilson, S. J., &amp; Brondizio, E. S. (2019). The contributions of Indigenous Peoples and local communities to ecological restoration. </w:t>
      </w:r>
      <w:r w:rsidRPr="007746C5">
        <w:rPr>
          <w:i/>
          <w:iCs/>
        </w:rPr>
        <w:t>Restoration Ecology</w:t>
      </w:r>
      <w:r w:rsidRPr="007746C5">
        <w:t xml:space="preserve">, </w:t>
      </w:r>
      <w:r w:rsidRPr="007746C5">
        <w:rPr>
          <w:i/>
          <w:iCs/>
        </w:rPr>
        <w:t>27</w:t>
      </w:r>
      <w:r w:rsidRPr="007746C5">
        <w:t>(1), 3–8. https://doi.org/10.1111/rec.12894</w:t>
      </w:r>
    </w:p>
    <w:p w14:paraId="3B8925E4" w14:textId="77777777" w:rsidR="007746C5" w:rsidRPr="007746C5" w:rsidRDefault="007746C5" w:rsidP="009A04E6">
      <w:pPr>
        <w:pStyle w:val="Bibliography"/>
        <w:spacing w:line="240" w:lineRule="auto"/>
      </w:pPr>
      <w:r w:rsidRPr="007746C5">
        <w:t xml:space="preserve">Ricciardi, A., Blackburn, T. M., Carlton, J. T., Dick, J. T. A., Hulme, P. E., Iacarella, J. C., Jeschke, J. M., Liebhold, A. M., Lockwood, J. L., MacIsaac, H. J., Pyšek, P., Richardson, D. M., Ruiz, G. M., Simberloff, D., Sutherland, W. J., Wardle, D. A., &amp; Aldridge, D. C. (2017). Invasion Science: A Horizon Scan of Emerging Challenges and Opportunities. </w:t>
      </w:r>
      <w:r w:rsidRPr="007746C5">
        <w:rPr>
          <w:i/>
          <w:iCs/>
        </w:rPr>
        <w:t>Trends in Ecology &amp; Evolution</w:t>
      </w:r>
      <w:r w:rsidRPr="007746C5">
        <w:t xml:space="preserve">, </w:t>
      </w:r>
      <w:r w:rsidRPr="007746C5">
        <w:rPr>
          <w:i/>
          <w:iCs/>
        </w:rPr>
        <w:t>32</w:t>
      </w:r>
      <w:r w:rsidRPr="007746C5">
        <w:t>(6), 464–474. https://doi.org/10.1016/j.tree.2017.03.007</w:t>
      </w:r>
    </w:p>
    <w:p w14:paraId="177F71A0" w14:textId="77777777" w:rsidR="007746C5" w:rsidRPr="007746C5" w:rsidRDefault="007746C5" w:rsidP="009A04E6">
      <w:pPr>
        <w:pStyle w:val="Bibliography"/>
        <w:spacing w:line="240" w:lineRule="auto"/>
      </w:pPr>
      <w:r w:rsidRPr="007746C5">
        <w:t xml:space="preserve">Ricciardi, A., Iacarella, J. C., Aldridge, D. C., Blackburn, T. M., Carlton, J. T., Catford, J. A., Dick, J. T. A., Hulme, P. E., Jeschke, J. M., Liebhold, A. M., Lockwood, J. L., MacIsaac, H. J., Meyerson, L. A., Pyšek, P., Richardson, D. M., Ruiz, G. M., Simberloff, D., Vilà, M., &amp; Wardle, D. A. (2020). Four priority areas to advance invasion science in the face of rapid environmental change. </w:t>
      </w:r>
      <w:r w:rsidRPr="007746C5">
        <w:rPr>
          <w:i/>
          <w:iCs/>
        </w:rPr>
        <w:t>Environmental Reviews</w:t>
      </w:r>
      <w:r w:rsidRPr="007746C5">
        <w:t xml:space="preserve">, </w:t>
      </w:r>
      <w:r w:rsidRPr="007746C5">
        <w:rPr>
          <w:i/>
          <w:iCs/>
        </w:rPr>
        <w:t>29</w:t>
      </w:r>
      <w:r w:rsidRPr="007746C5">
        <w:t>(2), 119–141. https://doi.org/10.1139/er-2020-0088</w:t>
      </w:r>
    </w:p>
    <w:p w14:paraId="0F36C53E" w14:textId="77777777" w:rsidR="007746C5" w:rsidRPr="007746C5" w:rsidRDefault="007746C5" w:rsidP="009A04E6">
      <w:pPr>
        <w:pStyle w:val="Bibliography"/>
        <w:spacing w:line="240" w:lineRule="auto"/>
      </w:pPr>
      <w:r w:rsidRPr="007746C5">
        <w:t xml:space="preserve">Riccò, M., Ferraro, P., Gualerzi, G., Ranzieri, S., Henry, B. M., Said, Y. B., Pyatigorskaya, N. V., Nevolina, E., Wu, J., Bragazzi, N. L., &amp; Signorelli, C. (2020). Point-of-Care Diagnostic Tests for Detecting SARS-CoV-2 Antibodies: A Systematic Review and Meta-Analysis of Real-World Data. </w:t>
      </w:r>
      <w:r w:rsidRPr="007746C5">
        <w:rPr>
          <w:i/>
          <w:iCs/>
        </w:rPr>
        <w:t>Journal of Clinical Medicine</w:t>
      </w:r>
      <w:r w:rsidRPr="007746C5">
        <w:t xml:space="preserve">, </w:t>
      </w:r>
      <w:r w:rsidRPr="007746C5">
        <w:rPr>
          <w:i/>
          <w:iCs/>
        </w:rPr>
        <w:t>9</w:t>
      </w:r>
      <w:r w:rsidRPr="007746C5">
        <w:t>(5), 1515. https://doi.org/10.3390/jcm9051515</w:t>
      </w:r>
    </w:p>
    <w:p w14:paraId="4339A541" w14:textId="77777777" w:rsidR="007746C5" w:rsidRPr="007746C5" w:rsidRDefault="007746C5" w:rsidP="009A04E6">
      <w:pPr>
        <w:pStyle w:val="Bibliography"/>
        <w:spacing w:line="240" w:lineRule="auto"/>
      </w:pPr>
      <w:r w:rsidRPr="007746C5">
        <w:t xml:space="preserve">Richardson, D. M., &amp; van Wilgen, B. W. (2004). Invasive alien plants in South Africa: How well do we understand the ecological impacts?: working for water. </w:t>
      </w:r>
      <w:r w:rsidRPr="007746C5">
        <w:rPr>
          <w:i/>
          <w:iCs/>
        </w:rPr>
        <w:t>South African Journal of Science</w:t>
      </w:r>
      <w:r w:rsidRPr="007746C5">
        <w:t xml:space="preserve">, </w:t>
      </w:r>
      <w:r w:rsidRPr="007746C5">
        <w:rPr>
          <w:i/>
          <w:iCs/>
        </w:rPr>
        <w:t>100</w:t>
      </w:r>
      <w:r w:rsidRPr="007746C5">
        <w:t>(1), 45–52. https://doi.org/10.10520/EJC96214</w:t>
      </w:r>
    </w:p>
    <w:p w14:paraId="15857E44" w14:textId="77777777" w:rsidR="007746C5" w:rsidRPr="007746C5" w:rsidRDefault="007746C5" w:rsidP="009A04E6">
      <w:pPr>
        <w:pStyle w:val="Bibliography"/>
        <w:spacing w:line="240" w:lineRule="auto"/>
      </w:pPr>
      <w:r w:rsidRPr="007746C5">
        <w:t xml:space="preserve">Ridpath, M. G., &amp; Waithman, J. (1988). Controlling Feral Asian Water Buffalo in Australia. </w:t>
      </w:r>
      <w:r w:rsidRPr="007746C5">
        <w:rPr>
          <w:i/>
          <w:iCs/>
        </w:rPr>
        <w:t>Wildlife Society Bulletin (1973-2006)</w:t>
      </w:r>
      <w:r w:rsidRPr="007746C5">
        <w:t xml:space="preserve">, </w:t>
      </w:r>
      <w:r w:rsidRPr="007746C5">
        <w:rPr>
          <w:i/>
          <w:iCs/>
        </w:rPr>
        <w:t>16</w:t>
      </w:r>
      <w:r w:rsidRPr="007746C5">
        <w:t>(4), 385–390. https://www.jstor.org/stable/3782438</w:t>
      </w:r>
    </w:p>
    <w:p w14:paraId="3D49AD67" w14:textId="77777777" w:rsidR="007746C5" w:rsidRPr="007746C5" w:rsidRDefault="007746C5" w:rsidP="009A04E6">
      <w:pPr>
        <w:pStyle w:val="Bibliography"/>
        <w:spacing w:line="240" w:lineRule="auto"/>
      </w:pPr>
      <w:r w:rsidRPr="007746C5">
        <w:t xml:space="preserve">Ringma, J., Legge, S., Woinarski, J., Radford, J., Wintle, B., &amp; Bode, M. (2018). Australia’s mammal fauna requires a strategic and enhanced network of predator-free havens. </w:t>
      </w:r>
      <w:r w:rsidRPr="007746C5">
        <w:rPr>
          <w:i/>
          <w:iCs/>
        </w:rPr>
        <w:t>Nature Ecology &amp; Evolution</w:t>
      </w:r>
      <w:r w:rsidRPr="007746C5">
        <w:t xml:space="preserve">, </w:t>
      </w:r>
      <w:r w:rsidRPr="007746C5">
        <w:rPr>
          <w:i/>
          <w:iCs/>
        </w:rPr>
        <w:t>2</w:t>
      </w:r>
      <w:r w:rsidRPr="007746C5">
        <w:t>(3), 410–411. https://doi.org/10.1038/s41559-017-0456-4</w:t>
      </w:r>
    </w:p>
    <w:p w14:paraId="4E8E12D2" w14:textId="77777777" w:rsidR="007746C5" w:rsidRPr="007746C5" w:rsidRDefault="007746C5" w:rsidP="009A04E6">
      <w:pPr>
        <w:pStyle w:val="Bibliography"/>
        <w:spacing w:line="240" w:lineRule="auto"/>
      </w:pPr>
      <w:r w:rsidRPr="007746C5">
        <w:lastRenderedPageBreak/>
        <w:t xml:space="preserve">Robertson, P. A., Adriaens, T., Caizergues, A., Cranswick, P. A., Devos, K., Gutiérrez-Expósito, C., Henderson, I., Hughes, B., Mill, A. C., &amp; Smith, G. C. (2015). Towards the European eradication of the North American ruddy duck. </w:t>
      </w:r>
      <w:r w:rsidRPr="007746C5">
        <w:rPr>
          <w:i/>
          <w:iCs/>
        </w:rPr>
        <w:t>Biological Invasions</w:t>
      </w:r>
      <w:r w:rsidRPr="007746C5">
        <w:t xml:space="preserve">, </w:t>
      </w:r>
      <w:r w:rsidRPr="007746C5">
        <w:rPr>
          <w:i/>
          <w:iCs/>
        </w:rPr>
        <w:t>17</w:t>
      </w:r>
      <w:r w:rsidRPr="007746C5">
        <w:t>(1), 9–12. https://doi.org/10.1007/s10530-014-0704-3</w:t>
      </w:r>
    </w:p>
    <w:p w14:paraId="3B74EA4A" w14:textId="77777777" w:rsidR="007746C5" w:rsidRPr="007746C5" w:rsidRDefault="007746C5" w:rsidP="009A04E6">
      <w:pPr>
        <w:pStyle w:val="Bibliography"/>
        <w:spacing w:line="240" w:lineRule="auto"/>
      </w:pPr>
      <w:r w:rsidRPr="007746C5">
        <w:t xml:space="preserve">Robertson, P. A., Adriaens, T., Lambin, X., Mill, A., Roy, S., Shuttleworth, C. M., &amp; Sutton-Croft, M. (2017). The large-scale removal of mammalian invasive alien species in Northern Europe. </w:t>
      </w:r>
      <w:r w:rsidRPr="007746C5">
        <w:rPr>
          <w:i/>
          <w:iCs/>
        </w:rPr>
        <w:t>Pest Management Science</w:t>
      </w:r>
      <w:r w:rsidRPr="007746C5">
        <w:t xml:space="preserve">, </w:t>
      </w:r>
      <w:r w:rsidRPr="007746C5">
        <w:rPr>
          <w:i/>
          <w:iCs/>
        </w:rPr>
        <w:t>73</w:t>
      </w:r>
      <w:r w:rsidRPr="007746C5">
        <w:t>(2), 273–279. https://doi.org/10.1002/ps.4224</w:t>
      </w:r>
    </w:p>
    <w:p w14:paraId="0F4CF739" w14:textId="77777777" w:rsidR="007746C5" w:rsidRPr="007746C5" w:rsidRDefault="007746C5" w:rsidP="009A04E6">
      <w:pPr>
        <w:pStyle w:val="Bibliography"/>
        <w:spacing w:line="240" w:lineRule="auto"/>
      </w:pPr>
      <w:r w:rsidRPr="007746C5">
        <w:t xml:space="preserve">Robertson, P. A., Mill, A., Novoa, A., Jeschke, J. M., Essl, F., Gallardo, B., Geist, J., Jarić, I., Lambin, X., Musseau, C., Pergl, J., Pyšek, P., Rabitsch, W., von Schmalensee, M., Shirley, M., Strayer, D. L., Stefansson, R. A., Smith, K., &amp; Booy, O. (2020). A proposed unified framework to describe the management of biological invasions. </w:t>
      </w:r>
      <w:r w:rsidRPr="007746C5">
        <w:rPr>
          <w:i/>
          <w:iCs/>
        </w:rPr>
        <w:t>Biological Invasions</w:t>
      </w:r>
      <w:r w:rsidRPr="007746C5">
        <w:t xml:space="preserve">, </w:t>
      </w:r>
      <w:r w:rsidRPr="007746C5">
        <w:rPr>
          <w:i/>
          <w:iCs/>
        </w:rPr>
        <w:t>22</w:t>
      </w:r>
      <w:r w:rsidRPr="007746C5">
        <w:t>(9), 2633–2645. https://doi.org/10.1007/s10530-020-02298-2</w:t>
      </w:r>
    </w:p>
    <w:p w14:paraId="16B4ED1F" w14:textId="77777777" w:rsidR="007746C5" w:rsidRPr="007746C5" w:rsidRDefault="007746C5" w:rsidP="009A04E6">
      <w:pPr>
        <w:pStyle w:val="Bibliography"/>
        <w:spacing w:line="240" w:lineRule="auto"/>
      </w:pPr>
      <w:r w:rsidRPr="007746C5">
        <w:t xml:space="preserve">Robertson, P. A., Roy, S., Mill, A. C., Shirley, M., Adriaens, T., Ward, A. I., Tatayah, V., &amp; Booy, O. (2019). Invasive species removals and scale – contrasting island and mainland experience. </w:t>
      </w:r>
      <w:r w:rsidRPr="007746C5">
        <w:rPr>
          <w:i/>
          <w:iCs/>
        </w:rPr>
        <w:t>Island Invasives: Scaling up to Meet the Challenge.: Proceedings of the International Conference on Island Invasives.</w:t>
      </w:r>
      <w:r w:rsidRPr="007746C5">
        <w:t xml:space="preserve">, </w:t>
      </w:r>
      <w:r w:rsidRPr="007746C5">
        <w:rPr>
          <w:i/>
          <w:iCs/>
        </w:rPr>
        <w:t>62</w:t>
      </w:r>
      <w:r w:rsidRPr="007746C5">
        <w:t>, 687–691. https://doi.org/10.2305/IUCN.CH.2019.SSC-OP.62.en</w:t>
      </w:r>
    </w:p>
    <w:p w14:paraId="35F98692" w14:textId="77777777" w:rsidR="007746C5" w:rsidRPr="007746C5" w:rsidRDefault="007746C5" w:rsidP="009A04E6">
      <w:pPr>
        <w:pStyle w:val="Bibliography"/>
        <w:spacing w:line="240" w:lineRule="auto"/>
      </w:pPr>
      <w:r w:rsidRPr="007746C5">
        <w:t xml:space="preserve">Robinson, A. P., Walshe, T., Burgman, M. A., &amp; Nunn, M. (Eds.). (2017). </w:t>
      </w:r>
      <w:r w:rsidRPr="007746C5">
        <w:rPr>
          <w:i/>
          <w:iCs/>
        </w:rPr>
        <w:t>Invasive Species: Risk Assessment and Management</w:t>
      </w:r>
      <w:r w:rsidRPr="007746C5">
        <w:t>. Cambridge University Press. https://doi.org/10.1017/9781139019606</w:t>
      </w:r>
    </w:p>
    <w:p w14:paraId="40AC4D61" w14:textId="77777777" w:rsidR="007746C5" w:rsidRPr="007746C5" w:rsidRDefault="007746C5" w:rsidP="009A04E6">
      <w:pPr>
        <w:pStyle w:val="Bibliography"/>
        <w:spacing w:line="240" w:lineRule="auto"/>
      </w:pPr>
      <w:r w:rsidRPr="007746C5">
        <w:t xml:space="preserve">Robinson, A. S. (2002). Genetic Sexing Strains in Medfly, </w:t>
      </w:r>
      <w:r w:rsidRPr="007746C5">
        <w:rPr>
          <w:i/>
          <w:iCs/>
        </w:rPr>
        <w:t>Ceratitis capitata</w:t>
      </w:r>
      <w:r w:rsidRPr="007746C5">
        <w:t xml:space="preserve">, Sterile Insect Technique Programmes. </w:t>
      </w:r>
      <w:r w:rsidRPr="007746C5">
        <w:rPr>
          <w:i/>
          <w:iCs/>
        </w:rPr>
        <w:t>Genetica</w:t>
      </w:r>
      <w:r w:rsidRPr="007746C5">
        <w:t xml:space="preserve">, </w:t>
      </w:r>
      <w:r w:rsidRPr="007746C5">
        <w:rPr>
          <w:i/>
          <w:iCs/>
        </w:rPr>
        <w:t>116</w:t>
      </w:r>
      <w:r w:rsidRPr="007746C5">
        <w:t>(1), 5–13. https://doi.org/10.1023/A:1020951407069</w:t>
      </w:r>
    </w:p>
    <w:p w14:paraId="2D2160E0" w14:textId="77777777" w:rsidR="007746C5" w:rsidRPr="007746C5" w:rsidRDefault="007746C5" w:rsidP="009A04E6">
      <w:pPr>
        <w:pStyle w:val="Bibliography"/>
        <w:spacing w:line="240" w:lineRule="auto"/>
      </w:pPr>
      <w:r w:rsidRPr="007746C5">
        <w:t xml:space="preserve">Robinson, T. P., van Klinken, R. D., &amp; Metternicht, G. (2010). Comparison of alternative strategies for invasive species distribution modeling. </w:t>
      </w:r>
      <w:r w:rsidRPr="007746C5">
        <w:rPr>
          <w:i/>
          <w:iCs/>
        </w:rPr>
        <w:t>Ecological Modelling</w:t>
      </w:r>
      <w:r w:rsidRPr="007746C5">
        <w:t xml:space="preserve">, </w:t>
      </w:r>
      <w:r w:rsidRPr="007746C5">
        <w:rPr>
          <w:i/>
          <w:iCs/>
        </w:rPr>
        <w:t>221</w:t>
      </w:r>
      <w:r w:rsidRPr="007746C5">
        <w:t>(19), 2261–2269. https://doi.org/10.1016/j.ecolmodel.2010.04.018</w:t>
      </w:r>
    </w:p>
    <w:p w14:paraId="748E34A8" w14:textId="77777777" w:rsidR="007746C5" w:rsidRPr="007746C5" w:rsidRDefault="007746C5" w:rsidP="009A04E6">
      <w:pPr>
        <w:pStyle w:val="Bibliography"/>
        <w:spacing w:line="240" w:lineRule="auto"/>
      </w:pPr>
      <w:r w:rsidRPr="007746C5">
        <w:t xml:space="preserve">Rocamora, G. (2015). </w:t>
      </w:r>
      <w:r w:rsidRPr="007746C5">
        <w:rPr>
          <w:i/>
          <w:iCs/>
        </w:rPr>
        <w:t>Biosecurity protocols for protected areas and islands of high biodiversity value in Seychelles</w:t>
      </w:r>
      <w:r w:rsidRPr="007746C5">
        <w:t>.</w:t>
      </w:r>
    </w:p>
    <w:p w14:paraId="0E871595" w14:textId="77777777" w:rsidR="007746C5" w:rsidRPr="007746C5" w:rsidRDefault="007746C5" w:rsidP="009A04E6">
      <w:pPr>
        <w:pStyle w:val="Bibliography"/>
        <w:spacing w:line="240" w:lineRule="auto"/>
      </w:pPr>
      <w:r w:rsidRPr="007746C5">
        <w:t xml:space="preserve">Roche, R. C., Monnington, J. M., Newstead, R. G., Sambrook, K., Griffith, K., Holt, R. H. F., &amp; Jenkins, S. R. (2015). Recreational vessels as a vector for marine non-natives: Developing biosecurity measures and managing risk through an in-water encapsulation system. </w:t>
      </w:r>
      <w:r w:rsidRPr="007746C5">
        <w:rPr>
          <w:i/>
          <w:iCs/>
        </w:rPr>
        <w:t>Hydrobiologia</w:t>
      </w:r>
      <w:r w:rsidRPr="007746C5">
        <w:t xml:space="preserve">, </w:t>
      </w:r>
      <w:r w:rsidRPr="007746C5">
        <w:rPr>
          <w:i/>
          <w:iCs/>
        </w:rPr>
        <w:t>750</w:t>
      </w:r>
      <w:r w:rsidRPr="007746C5">
        <w:t>(1), 187–199. https://doi.org/10.1007/s10750-014-2131-y</w:t>
      </w:r>
    </w:p>
    <w:p w14:paraId="6F53B50A" w14:textId="77777777" w:rsidR="007746C5" w:rsidRPr="007746C5" w:rsidRDefault="007746C5" w:rsidP="009A04E6">
      <w:pPr>
        <w:pStyle w:val="Bibliography"/>
        <w:spacing w:line="240" w:lineRule="auto"/>
      </w:pPr>
      <w:r w:rsidRPr="007746C5">
        <w:t xml:space="preserve">Rolheiser, K. C., Dunham, A., Switzer, S. E., Pearce, C. M., &amp; Therriault, T. W. (2012). Assessment of chemical treatments for controlling </w:t>
      </w:r>
      <w:r w:rsidRPr="007746C5">
        <w:rPr>
          <w:i/>
          <w:iCs/>
        </w:rPr>
        <w:t>Didemnum vexillum</w:t>
      </w:r>
      <w:r w:rsidRPr="007746C5">
        <w:t xml:space="preserve">, other biofouling, and predatory sea stars in Pacific oyster aquaculture. </w:t>
      </w:r>
      <w:r w:rsidRPr="007746C5">
        <w:rPr>
          <w:i/>
          <w:iCs/>
        </w:rPr>
        <w:t>Aquaculture</w:t>
      </w:r>
      <w:r w:rsidRPr="007746C5">
        <w:t xml:space="preserve">, </w:t>
      </w:r>
      <w:r w:rsidRPr="007746C5">
        <w:rPr>
          <w:i/>
          <w:iCs/>
        </w:rPr>
        <w:t>364–365</w:t>
      </w:r>
      <w:r w:rsidRPr="007746C5">
        <w:t>, 53–60. https://doi.org/10.1016/j.aquaculture.2012.07.038</w:t>
      </w:r>
    </w:p>
    <w:p w14:paraId="79553E82" w14:textId="77777777" w:rsidR="007746C5" w:rsidRPr="007746C5" w:rsidRDefault="007746C5" w:rsidP="009A04E6">
      <w:pPr>
        <w:pStyle w:val="Bibliography"/>
        <w:spacing w:line="240" w:lineRule="auto"/>
      </w:pPr>
      <w:r w:rsidRPr="007746C5">
        <w:t xml:space="preserve">Rondeau, D. (2001). Along the Way Back from the Brink. </w:t>
      </w:r>
      <w:r w:rsidRPr="007746C5">
        <w:rPr>
          <w:i/>
          <w:iCs/>
        </w:rPr>
        <w:t>Journal of Environmental Economics and Management</w:t>
      </w:r>
      <w:r w:rsidRPr="007746C5">
        <w:t xml:space="preserve">, </w:t>
      </w:r>
      <w:r w:rsidRPr="007746C5">
        <w:rPr>
          <w:i/>
          <w:iCs/>
        </w:rPr>
        <w:t>42</w:t>
      </w:r>
      <w:r w:rsidRPr="007746C5">
        <w:t>(2), 156–182. https://doi.org/10.1006/jeem.2000.1157</w:t>
      </w:r>
    </w:p>
    <w:p w14:paraId="564C076C" w14:textId="77777777" w:rsidR="007746C5" w:rsidRPr="007746C5" w:rsidRDefault="007746C5" w:rsidP="009A04E6">
      <w:pPr>
        <w:pStyle w:val="Bibliography"/>
        <w:spacing w:line="240" w:lineRule="auto"/>
      </w:pPr>
      <w:r w:rsidRPr="007746C5">
        <w:t xml:space="preserve">Rout, T. M., Kirkwood, R., Sutherland, D. R., Murphy, S., &amp; McCarthy, M. A. (2014). When to declare successful eradication of an invasive predator? </w:t>
      </w:r>
      <w:r w:rsidRPr="007746C5">
        <w:rPr>
          <w:i/>
          <w:iCs/>
        </w:rPr>
        <w:t>Animal Conservation</w:t>
      </w:r>
      <w:r w:rsidRPr="007746C5">
        <w:t xml:space="preserve">, </w:t>
      </w:r>
      <w:r w:rsidRPr="007746C5">
        <w:rPr>
          <w:i/>
          <w:iCs/>
        </w:rPr>
        <w:t>17</w:t>
      </w:r>
      <w:r w:rsidRPr="007746C5">
        <w:t>(2), 125–132. https://doi.org/10.1111/acv.12065</w:t>
      </w:r>
    </w:p>
    <w:p w14:paraId="3DC5A05D" w14:textId="77777777" w:rsidR="007746C5" w:rsidRPr="007746C5" w:rsidRDefault="007746C5" w:rsidP="009A04E6">
      <w:pPr>
        <w:pStyle w:val="Bibliography"/>
        <w:spacing w:line="240" w:lineRule="auto"/>
      </w:pPr>
      <w:r w:rsidRPr="007746C5">
        <w:t xml:space="preserve">Rout, T. M., Salomon, Y., &amp; McCarthy, M. A. (2009). Using sighting records to declare eradication of an invasive species. </w:t>
      </w:r>
      <w:r w:rsidRPr="007746C5">
        <w:rPr>
          <w:i/>
          <w:iCs/>
        </w:rPr>
        <w:t>Journal of Applied Ecology</w:t>
      </w:r>
      <w:r w:rsidRPr="007746C5">
        <w:t xml:space="preserve">, </w:t>
      </w:r>
      <w:r w:rsidRPr="007746C5">
        <w:rPr>
          <w:i/>
          <w:iCs/>
        </w:rPr>
        <w:t>46</w:t>
      </w:r>
      <w:r w:rsidRPr="007746C5">
        <w:t>(1), 110–117. https://doi.org/10.1111/j.1365-2664.2008.01586.x</w:t>
      </w:r>
    </w:p>
    <w:p w14:paraId="61A5D95D" w14:textId="77777777" w:rsidR="007746C5" w:rsidRPr="007746C5" w:rsidRDefault="007746C5" w:rsidP="009A04E6">
      <w:pPr>
        <w:pStyle w:val="Bibliography"/>
        <w:spacing w:line="240" w:lineRule="auto"/>
      </w:pPr>
      <w:r w:rsidRPr="007746C5">
        <w:t xml:space="preserve">Roux, D. J., &amp; Foxcroft, L. C. (2011). The development and application of strategic adaptive management within South African National Parks. </w:t>
      </w:r>
      <w:r w:rsidRPr="007746C5">
        <w:rPr>
          <w:i/>
          <w:iCs/>
        </w:rPr>
        <w:t>Koedoe</w:t>
      </w:r>
      <w:r w:rsidRPr="007746C5">
        <w:t xml:space="preserve">, </w:t>
      </w:r>
      <w:r w:rsidRPr="007746C5">
        <w:rPr>
          <w:i/>
          <w:iCs/>
        </w:rPr>
        <w:t>53</w:t>
      </w:r>
      <w:r w:rsidRPr="007746C5">
        <w:t>(2), #1049. https://doi.org/10.4102/koedoe. v53i2.1049</w:t>
      </w:r>
    </w:p>
    <w:p w14:paraId="3290ACDD" w14:textId="77777777" w:rsidR="007746C5" w:rsidRPr="007746C5" w:rsidRDefault="007746C5" w:rsidP="009A04E6">
      <w:pPr>
        <w:pStyle w:val="Bibliography"/>
        <w:spacing w:line="240" w:lineRule="auto"/>
      </w:pPr>
      <w:r w:rsidRPr="007746C5">
        <w:rPr>
          <w:rFonts w:hint="eastAsia"/>
        </w:rPr>
        <w:t>Roy, H. E., Bacher, S., Essl, F., Adriaens, T., Aldridge, D. C., Bishop, J. D. D., Blackburn, T. M., Branquart, E., Brodie, J., Carboneras, C., Cottier-Cook, E. J., Copp, G. H., Dean, H. J., Eilenberg, J., Gallardo, B., Garcia, M., García</w:t>
      </w:r>
      <w:r w:rsidRPr="007746C5">
        <w:rPr>
          <w:rFonts w:hint="eastAsia"/>
        </w:rPr>
        <w:t>‐</w:t>
      </w:r>
      <w:r w:rsidRPr="007746C5">
        <w:rPr>
          <w:rFonts w:hint="eastAsia"/>
        </w:rPr>
        <w:t xml:space="preserve">Berthou, E., Genovesi, P., Hulme, P. E., </w:t>
      </w:r>
      <w:r w:rsidRPr="007746C5">
        <w:rPr>
          <w:rFonts w:hint="eastAsia"/>
        </w:rPr>
        <w:t>…</w:t>
      </w:r>
      <w:r w:rsidRPr="007746C5">
        <w:rPr>
          <w:rFonts w:hint="eastAsia"/>
        </w:rPr>
        <w:t xml:space="preserve"> Rabitsch, W. (2018). Developing a list of invasive alien species likely to threaten biodiversity and ecosystems in the European Union. </w:t>
      </w:r>
      <w:r w:rsidRPr="007746C5">
        <w:rPr>
          <w:i/>
          <w:iCs/>
        </w:rPr>
        <w:t>Global Change Biology</w:t>
      </w:r>
      <w:r w:rsidRPr="007746C5">
        <w:t xml:space="preserve">, </w:t>
      </w:r>
      <w:r w:rsidRPr="007746C5">
        <w:rPr>
          <w:i/>
          <w:iCs/>
        </w:rPr>
        <w:t>25</w:t>
      </w:r>
      <w:r w:rsidRPr="007746C5">
        <w:t>(3), 1032–1048. https://doi.org/10.1111/gcb.14527</w:t>
      </w:r>
    </w:p>
    <w:p w14:paraId="73445939" w14:textId="77777777" w:rsidR="007746C5" w:rsidRPr="007746C5" w:rsidRDefault="007746C5" w:rsidP="009A04E6">
      <w:pPr>
        <w:pStyle w:val="Bibliography"/>
        <w:spacing w:line="240" w:lineRule="auto"/>
      </w:pPr>
      <w:r w:rsidRPr="007746C5">
        <w:lastRenderedPageBreak/>
        <w:t xml:space="preserve">Roy, H. E., Brown, P. M. J., Adriaens, T., Berkvens, N., Borges, I., Clusella-Trullas, S., Comont, R. F., De Clercq, P., Eschen, R., Estoup, A., Evans, E. W., Facon, B., Gardiner, M. M., Gil, A., Grez, A. A., Guillemaud, T., Haelewaters, D., Herz, A., Honek, A., … Zhao, Z. (2016). The harlequin ladybird, Harmonia axyridis: Global perspectives on invasion history and ecology. </w:t>
      </w:r>
      <w:r w:rsidRPr="007746C5">
        <w:rPr>
          <w:i/>
          <w:iCs/>
        </w:rPr>
        <w:t>Biological Invasions</w:t>
      </w:r>
      <w:r w:rsidRPr="007746C5">
        <w:t xml:space="preserve">, </w:t>
      </w:r>
      <w:r w:rsidRPr="007746C5">
        <w:rPr>
          <w:i/>
          <w:iCs/>
        </w:rPr>
        <w:t>18</w:t>
      </w:r>
      <w:r w:rsidRPr="007746C5">
        <w:t>(4), 997–1044. https://doi.org/10.1007/s10530-016-1077-6</w:t>
      </w:r>
    </w:p>
    <w:p w14:paraId="201FCFBA" w14:textId="77777777" w:rsidR="007746C5" w:rsidRPr="007746C5" w:rsidRDefault="007746C5" w:rsidP="009A04E6">
      <w:pPr>
        <w:pStyle w:val="Bibliography"/>
        <w:spacing w:line="240" w:lineRule="auto"/>
      </w:pPr>
      <w:r w:rsidRPr="007746C5">
        <w:t xml:space="preserve">Roy, H. E., Peyton, J. M., Aldridge, D. C., Bantock, T., Blackburn, T. M., Britton, R., Clark, P., Cook, E., Dehnen-Schmutz, K., Dines, T., Dobson, M., Edwards, F., Harrower, C., Harvey, M. C., Minchin, D., Noble, D. G., Parrott, D., Pocock, M. J. O., Preston, C. D., … Walker, K. J. (2014). Horizon scanning for invasive alien species with the potential to threaten biodiversity in Great Britain. </w:t>
      </w:r>
      <w:r w:rsidRPr="007746C5">
        <w:rPr>
          <w:i/>
          <w:iCs/>
        </w:rPr>
        <w:t>Global Change Biology</w:t>
      </w:r>
      <w:r w:rsidRPr="007746C5">
        <w:t xml:space="preserve">, </w:t>
      </w:r>
      <w:r w:rsidRPr="007746C5">
        <w:rPr>
          <w:i/>
          <w:iCs/>
        </w:rPr>
        <w:t>20</w:t>
      </w:r>
      <w:r w:rsidRPr="007746C5">
        <w:t>(12), 3859–3871. https://doi.org/10.1111/gcb.12603</w:t>
      </w:r>
    </w:p>
    <w:p w14:paraId="7F70DB52" w14:textId="77777777" w:rsidR="007746C5" w:rsidRPr="007746C5" w:rsidRDefault="007746C5" w:rsidP="009A04E6">
      <w:pPr>
        <w:pStyle w:val="Bibliography"/>
        <w:spacing w:line="240" w:lineRule="auto"/>
      </w:pPr>
      <w:r w:rsidRPr="007746C5">
        <w:rPr>
          <w:rFonts w:hint="eastAsia"/>
        </w:rPr>
        <w:t>Roy, H. E., Peyton, J. M., &amp; Booy, O. (2020). Guiding principles for utilizing social influence within expert</w:t>
      </w:r>
      <w:r w:rsidRPr="007746C5">
        <w:rPr>
          <w:rFonts w:hint="eastAsia"/>
        </w:rPr>
        <w:t>‐</w:t>
      </w:r>
      <w:r w:rsidRPr="007746C5">
        <w:rPr>
          <w:rFonts w:hint="eastAsia"/>
        </w:rPr>
        <w:t>elicitation to inform conservation decision</w:t>
      </w:r>
      <w:r w:rsidRPr="007746C5">
        <w:rPr>
          <w:rFonts w:hint="eastAsia"/>
        </w:rPr>
        <w:t>‐</w:t>
      </w:r>
      <w:r w:rsidRPr="007746C5">
        <w:rPr>
          <w:rFonts w:hint="eastAsia"/>
        </w:rPr>
        <w:t xml:space="preserve">making. </w:t>
      </w:r>
      <w:r w:rsidRPr="007746C5">
        <w:rPr>
          <w:i/>
          <w:iCs/>
        </w:rPr>
        <w:t>Global Change Biology</w:t>
      </w:r>
      <w:r w:rsidRPr="007746C5">
        <w:t xml:space="preserve">, </w:t>
      </w:r>
      <w:r w:rsidRPr="007746C5">
        <w:rPr>
          <w:i/>
          <w:iCs/>
        </w:rPr>
        <w:t>26</w:t>
      </w:r>
      <w:r w:rsidRPr="007746C5">
        <w:t>(6), 3181–3184. https://doi.org/10.1111/gcb.15062</w:t>
      </w:r>
    </w:p>
    <w:p w14:paraId="279AE74E" w14:textId="77777777" w:rsidR="007746C5" w:rsidRPr="007746C5" w:rsidRDefault="007746C5" w:rsidP="009A04E6">
      <w:pPr>
        <w:pStyle w:val="Bibliography"/>
        <w:spacing w:line="240" w:lineRule="auto"/>
      </w:pPr>
      <w:r w:rsidRPr="007746C5">
        <w:t xml:space="preserve">Roy, H. E., Rabitsch, W., Scalera, R., Stewart, A., Gallardo, B., Genovesi, P., Essl, F., Adriaens, T., Bacher, S., Booy, O., Branquart, E., Brunel, S., Copp, G. H., Dean, H., D’hondt, B., Josefsson, M., Kenis, M., Kettunen, M., Linnamagi, M., … Zenetos, A. (2018). Developing a framework of minimum standards for the risk assessment of alien species. </w:t>
      </w:r>
      <w:r w:rsidRPr="007746C5">
        <w:rPr>
          <w:i/>
          <w:iCs/>
        </w:rPr>
        <w:t>Journal of Applied Ecology</w:t>
      </w:r>
      <w:r w:rsidRPr="007746C5">
        <w:t xml:space="preserve">, </w:t>
      </w:r>
      <w:r w:rsidRPr="007746C5">
        <w:rPr>
          <w:i/>
          <w:iCs/>
        </w:rPr>
        <w:t>55</w:t>
      </w:r>
      <w:r w:rsidRPr="007746C5">
        <w:t>(2), 526–538. https://doi.org/10.1111/1365-2664.13025</w:t>
      </w:r>
    </w:p>
    <w:p w14:paraId="7CA86164" w14:textId="77777777" w:rsidR="007746C5" w:rsidRPr="007746C5" w:rsidRDefault="007746C5" w:rsidP="009A04E6">
      <w:pPr>
        <w:pStyle w:val="Bibliography"/>
        <w:spacing w:line="240" w:lineRule="auto"/>
      </w:pPr>
      <w:r w:rsidRPr="007746C5">
        <w:t xml:space="preserve">Roy, S., Smith, G. C., &amp; Russell, J. C. (2009). The eradication of invasive mammal species: Can adaptive resource management fill the gaps in our knowledge? </w:t>
      </w:r>
      <w:r w:rsidRPr="007746C5">
        <w:rPr>
          <w:i/>
          <w:iCs/>
        </w:rPr>
        <w:t>Human–Wildlife Conflicts</w:t>
      </w:r>
      <w:r w:rsidRPr="007746C5">
        <w:t xml:space="preserve">, </w:t>
      </w:r>
      <w:r w:rsidRPr="007746C5">
        <w:rPr>
          <w:i/>
          <w:iCs/>
        </w:rPr>
        <w:t>3</w:t>
      </w:r>
      <w:r w:rsidRPr="007746C5">
        <w:t>(35), 30–40.</w:t>
      </w:r>
    </w:p>
    <w:p w14:paraId="62AD3329" w14:textId="77777777" w:rsidR="007746C5" w:rsidRPr="007746C5" w:rsidRDefault="007746C5" w:rsidP="009A04E6">
      <w:pPr>
        <w:pStyle w:val="Bibliography"/>
        <w:spacing w:line="240" w:lineRule="auto"/>
      </w:pPr>
      <w:r w:rsidRPr="007746C5">
        <w:t xml:space="preserve">Royimani, L., Mutanga, O., Odindi, J., Dube, T., &amp; Matongera, T. N. (2019). Advancements in satellite remote sensing for mapping and monitoring of alien invasive plant species (AIPs). </w:t>
      </w:r>
      <w:r w:rsidRPr="007746C5">
        <w:rPr>
          <w:i/>
          <w:iCs/>
        </w:rPr>
        <w:t>Physics and Chemistry of the Earth, Parts A/B/C</w:t>
      </w:r>
      <w:r w:rsidRPr="007746C5">
        <w:t xml:space="preserve">, </w:t>
      </w:r>
      <w:r w:rsidRPr="007746C5">
        <w:rPr>
          <w:i/>
          <w:iCs/>
        </w:rPr>
        <w:t>112</w:t>
      </w:r>
      <w:r w:rsidRPr="007746C5">
        <w:t>, 237–245. https://doi.org/10.1016/j.pce.2018.12.004</w:t>
      </w:r>
    </w:p>
    <w:p w14:paraId="29909339" w14:textId="77777777" w:rsidR="007746C5" w:rsidRPr="007746C5" w:rsidRDefault="007746C5" w:rsidP="009A04E6">
      <w:pPr>
        <w:pStyle w:val="Bibliography"/>
        <w:spacing w:line="240" w:lineRule="auto"/>
      </w:pPr>
      <w:r w:rsidRPr="007746C5">
        <w:t xml:space="preserve">RSPCA. (2019). What is rabbit calicivirus and how do I protect my rabbit from rabbit haemorrhagic disease? – RSPCA Knowledgebase [Royal Society for the Prevention of Cruelty to Animals, Australia]. </w:t>
      </w:r>
      <w:r w:rsidRPr="007746C5">
        <w:rPr>
          <w:i/>
          <w:iCs/>
        </w:rPr>
        <w:t>RSPCA Knowledgebase</w:t>
      </w:r>
      <w:r w:rsidRPr="007746C5">
        <w:t>. https://kb.rspca.org.au/knowledge-base/what-is-rabbit-calicivirus-and-how-do-i-protect-my-rabbit-from-rabbit-haemorrhagic-disease/</w:t>
      </w:r>
    </w:p>
    <w:p w14:paraId="2A6CB7B1" w14:textId="77777777" w:rsidR="007746C5" w:rsidRPr="007746C5" w:rsidRDefault="007746C5" w:rsidP="009A04E6">
      <w:pPr>
        <w:pStyle w:val="Bibliography"/>
        <w:spacing w:line="240" w:lineRule="auto"/>
      </w:pPr>
      <w:r w:rsidRPr="007746C5">
        <w:t xml:space="preserve">RSPCA. (2021). </w:t>
      </w:r>
      <w:r w:rsidRPr="007746C5">
        <w:rPr>
          <w:i/>
          <w:iCs/>
        </w:rPr>
        <w:t>About Us</w:t>
      </w:r>
      <w:r w:rsidRPr="007746C5">
        <w:t>. Royal Society for the Prevention of Cruelty to Animals, Australia. https://www.rspca.org.au/about-us</w:t>
      </w:r>
    </w:p>
    <w:p w14:paraId="27CFCDCE" w14:textId="77777777" w:rsidR="007746C5" w:rsidRPr="007746C5" w:rsidRDefault="007746C5" w:rsidP="009A04E6">
      <w:pPr>
        <w:pStyle w:val="Bibliography"/>
        <w:spacing w:line="240" w:lineRule="auto"/>
      </w:pPr>
      <w:r w:rsidRPr="007746C5">
        <w:t xml:space="preserve">Ruhi, A., Catford, J. A., Cross, W. F., Escoriza, D., &amp; Olden, J. D. (2019). Chapter 3—Understanding the Nexus Between Hydrological Alteration And Biological Invasions. In S. Sabater, A. Elosegi, &amp; R. Ludwig (Eds.), </w:t>
      </w:r>
      <w:r w:rsidRPr="007746C5">
        <w:rPr>
          <w:i/>
          <w:iCs/>
        </w:rPr>
        <w:t>Multiple Stressors in River Ecosystems: Status, Impacts and Prospects for the Future</w:t>
      </w:r>
      <w:r w:rsidRPr="007746C5">
        <w:t xml:space="preserve"> (pp. 45–64). Elsevier. https://doi.org/10.1016/B978-0-12-811713-2.00003-0</w:t>
      </w:r>
    </w:p>
    <w:p w14:paraId="6A171CC5" w14:textId="77777777" w:rsidR="007746C5" w:rsidRPr="007746C5" w:rsidRDefault="007746C5" w:rsidP="009A04E6">
      <w:pPr>
        <w:pStyle w:val="Bibliography"/>
        <w:spacing w:line="240" w:lineRule="auto"/>
      </w:pPr>
      <w:r w:rsidRPr="007746C5">
        <w:t xml:space="preserve">Rundel, P. W., Graham, E. A., Allen, M. F., Fisher, J. C., &amp; Harmon, T. C. (2009). Environmental sensor networks in ecological research. </w:t>
      </w:r>
      <w:r w:rsidRPr="007746C5">
        <w:rPr>
          <w:i/>
          <w:iCs/>
        </w:rPr>
        <w:t>New Phytologist</w:t>
      </w:r>
      <w:r w:rsidRPr="007746C5">
        <w:t xml:space="preserve">, </w:t>
      </w:r>
      <w:r w:rsidRPr="007746C5">
        <w:rPr>
          <w:i/>
          <w:iCs/>
        </w:rPr>
        <w:t>182</w:t>
      </w:r>
      <w:r w:rsidRPr="007746C5">
        <w:t>(3), 589–607. https://doi.org/10.1111/j.1469-8137.2009.02811.x</w:t>
      </w:r>
    </w:p>
    <w:p w14:paraId="13B78F9B" w14:textId="77777777" w:rsidR="007746C5" w:rsidRPr="007746C5" w:rsidRDefault="007746C5" w:rsidP="009A04E6">
      <w:pPr>
        <w:pStyle w:val="Bibliography"/>
        <w:spacing w:line="240" w:lineRule="auto"/>
      </w:pPr>
      <w:r w:rsidRPr="007746C5">
        <w:t xml:space="preserve">Russell, J. C., Innes, J. G., Brown, P. H., &amp; Byrom, A. E. (2015). Predator-Free New Zealand: Conservation Country. </w:t>
      </w:r>
      <w:r w:rsidRPr="007746C5">
        <w:rPr>
          <w:i/>
          <w:iCs/>
        </w:rPr>
        <w:t>BioScience</w:t>
      </w:r>
      <w:r w:rsidRPr="007746C5">
        <w:t xml:space="preserve">, </w:t>
      </w:r>
      <w:r w:rsidRPr="007746C5">
        <w:rPr>
          <w:i/>
          <w:iCs/>
        </w:rPr>
        <w:t>65</w:t>
      </w:r>
      <w:r w:rsidRPr="007746C5">
        <w:t>(5), 520–525. https://doi.org/10.1093/biosci/biv012</w:t>
      </w:r>
    </w:p>
    <w:p w14:paraId="040CDF37" w14:textId="77777777" w:rsidR="007746C5" w:rsidRPr="007746C5" w:rsidRDefault="007746C5" w:rsidP="009A04E6">
      <w:pPr>
        <w:pStyle w:val="Bibliography"/>
        <w:spacing w:line="240" w:lineRule="auto"/>
      </w:pPr>
      <w:r w:rsidRPr="007746C5">
        <w:t xml:space="preserve">Rwomushana, I., Bateman, M., Beale, T., Beseh, P., Cameron, K., Chiluba, M., Clottey, V., Davis, T., Day, R., Early, R., Godwin, J., Gonzalez-Moreno, P., Kansiime, M., Kenis, M., Makale, F., Mugambi, I., Murphy, S., Nunda, W., Phiri, N., … Tambo, J. (2018). </w:t>
      </w:r>
      <w:r w:rsidRPr="007746C5">
        <w:rPr>
          <w:i/>
          <w:iCs/>
        </w:rPr>
        <w:t>Fall armyworm: Impacts and implications for Africa. Evidence Note Update, October 2018</w:t>
      </w:r>
      <w:r w:rsidRPr="007746C5">
        <w:t>. CABI. https://www.invasive-species.org/wp-content/uploads/sites/2/2019/02/FAW-Evidence-Note-October-2018.pdf</w:t>
      </w:r>
    </w:p>
    <w:p w14:paraId="7CDBF367" w14:textId="77777777" w:rsidR="007746C5" w:rsidRPr="007746C5" w:rsidRDefault="007746C5" w:rsidP="009A04E6">
      <w:pPr>
        <w:pStyle w:val="Bibliography"/>
        <w:spacing w:line="240" w:lineRule="auto"/>
      </w:pPr>
      <w:r w:rsidRPr="007746C5">
        <w:t xml:space="preserve">Salafsky, N., Margoluis, M., &amp; Redford, K. H. (2001). </w:t>
      </w:r>
      <w:r w:rsidRPr="007746C5">
        <w:rPr>
          <w:i/>
          <w:iCs/>
        </w:rPr>
        <w:t>Adaptive management: A tool for conservation practitioners</w:t>
      </w:r>
      <w:r w:rsidRPr="007746C5">
        <w:t>. Biodiversity Support Program. http://hdl.handle.net/10919/67624</w:t>
      </w:r>
    </w:p>
    <w:p w14:paraId="1D15BFFD" w14:textId="77777777" w:rsidR="007746C5" w:rsidRPr="007746C5" w:rsidRDefault="007746C5" w:rsidP="009A04E6">
      <w:pPr>
        <w:pStyle w:val="Bibliography"/>
        <w:spacing w:line="240" w:lineRule="auto"/>
      </w:pPr>
      <w:r w:rsidRPr="007746C5">
        <w:rPr>
          <w:rFonts w:hint="eastAsia"/>
        </w:rPr>
        <w:lastRenderedPageBreak/>
        <w:t>Salafsky, N., Salzer, D., Stattersfield, A. J., Hilton</w:t>
      </w:r>
      <w:r w:rsidRPr="007746C5">
        <w:rPr>
          <w:rFonts w:hint="eastAsia"/>
        </w:rPr>
        <w:t>‐</w:t>
      </w:r>
      <w:r w:rsidRPr="007746C5">
        <w:rPr>
          <w:rFonts w:hint="eastAsia"/>
        </w:rPr>
        <w:t>Taylor, C., Neugarten, R., Butchart, S. H. M., Collen, B., Cox, N., Master, L. L., O</w:t>
      </w:r>
      <w:r w:rsidRPr="007746C5">
        <w:rPr>
          <w:rFonts w:hint="eastAsia"/>
        </w:rPr>
        <w:t>’</w:t>
      </w:r>
      <w:r w:rsidRPr="007746C5">
        <w:rPr>
          <w:rFonts w:hint="eastAsia"/>
        </w:rPr>
        <w:t xml:space="preserve">connor, S., &amp; Wilkie, D. (2008). A Standard Lexicon for Biodiversity Conservation: Unified Classifications of Threats and Actions. </w:t>
      </w:r>
      <w:r w:rsidRPr="007746C5">
        <w:rPr>
          <w:i/>
          <w:iCs/>
        </w:rPr>
        <w:t>Conservation Biology</w:t>
      </w:r>
      <w:r w:rsidRPr="007746C5">
        <w:t xml:space="preserve">, </w:t>
      </w:r>
      <w:r w:rsidRPr="007746C5">
        <w:rPr>
          <w:i/>
          <w:iCs/>
        </w:rPr>
        <w:t>22</w:t>
      </w:r>
      <w:r w:rsidRPr="007746C5">
        <w:t>(4), 897–911. https://doi.org/10.1111/j.1523-1739.2008.00937.x</w:t>
      </w:r>
    </w:p>
    <w:p w14:paraId="66731344" w14:textId="77777777" w:rsidR="007746C5" w:rsidRPr="007746C5" w:rsidRDefault="007746C5" w:rsidP="009A04E6">
      <w:pPr>
        <w:pStyle w:val="Bibliography"/>
        <w:spacing w:line="240" w:lineRule="auto"/>
      </w:pPr>
      <w:r w:rsidRPr="007746C5">
        <w:t xml:space="preserve">Sammarco, P. W., Porter, S. A., Sinclair, J., &amp; Genazzio, M. (2013). Depth distribution of a new invasive coral (Gulf of Mexico) – </w:t>
      </w:r>
      <w:r w:rsidRPr="007746C5">
        <w:rPr>
          <w:i/>
          <w:iCs/>
        </w:rPr>
        <w:t>Tubastraea micranthus</w:t>
      </w:r>
      <w:r w:rsidRPr="007746C5">
        <w:t xml:space="preserve">, comparisons with </w:t>
      </w:r>
      <w:r w:rsidRPr="007746C5">
        <w:rPr>
          <w:i/>
          <w:iCs/>
        </w:rPr>
        <w:t>T. coccinea</w:t>
      </w:r>
      <w:r w:rsidRPr="007746C5">
        <w:t xml:space="preserve">, and implications for control. </w:t>
      </w:r>
      <w:r w:rsidRPr="007746C5">
        <w:rPr>
          <w:i/>
          <w:iCs/>
        </w:rPr>
        <w:t>Management of Biological Invasions</w:t>
      </w:r>
      <w:r w:rsidRPr="007746C5">
        <w:t xml:space="preserve">, </w:t>
      </w:r>
      <w:r w:rsidRPr="007746C5">
        <w:rPr>
          <w:i/>
          <w:iCs/>
        </w:rPr>
        <w:t>4</w:t>
      </w:r>
      <w:r w:rsidRPr="007746C5">
        <w:t>(4), 291–303. https://doi.org/10.3391/mbi.2013.4.4.04</w:t>
      </w:r>
    </w:p>
    <w:p w14:paraId="67B7070B" w14:textId="77777777" w:rsidR="007746C5" w:rsidRPr="007746C5" w:rsidRDefault="007746C5" w:rsidP="009A04E6">
      <w:pPr>
        <w:pStyle w:val="Bibliography"/>
        <w:spacing w:line="240" w:lineRule="auto"/>
      </w:pPr>
      <w:r w:rsidRPr="007746C5">
        <w:t xml:space="preserve">Samways, M. J., Hitchins, P. M., Bourquin, O., &amp; Henwood, J. (2010). Restoration of a tropical island: Cousine Island, Seychelles. </w:t>
      </w:r>
      <w:r w:rsidRPr="007746C5">
        <w:rPr>
          <w:i/>
          <w:iCs/>
        </w:rPr>
        <w:t>Biodiversity and Conservation</w:t>
      </w:r>
      <w:r w:rsidRPr="007746C5">
        <w:t xml:space="preserve">, </w:t>
      </w:r>
      <w:r w:rsidRPr="007746C5">
        <w:rPr>
          <w:i/>
          <w:iCs/>
        </w:rPr>
        <w:t>19</w:t>
      </w:r>
      <w:r w:rsidRPr="007746C5">
        <w:t>(2), 425–434. https://doi.org/10.1007/s10531-008-9524-z</w:t>
      </w:r>
    </w:p>
    <w:p w14:paraId="73962E0C" w14:textId="77777777" w:rsidR="007746C5" w:rsidRPr="007746C5" w:rsidRDefault="007746C5" w:rsidP="009A04E6">
      <w:pPr>
        <w:pStyle w:val="Bibliography"/>
        <w:spacing w:line="240" w:lineRule="auto"/>
      </w:pPr>
      <w:r w:rsidRPr="007746C5">
        <w:t xml:space="preserve">Sandvik, H., Hilmo, O., Finstad, A. G., Hegre, H., Moen, T. L., Rafoss, T., Skarpaas, O., Elven, R., Sandmark, H., &amp; Gederaas, L. (2019). Generic ecological impact assessment of alien species (GEIAA): The third generation of assessments in Norway. </w:t>
      </w:r>
      <w:r w:rsidRPr="007746C5">
        <w:rPr>
          <w:i/>
          <w:iCs/>
        </w:rPr>
        <w:t>Biological Invasions</w:t>
      </w:r>
      <w:r w:rsidRPr="007746C5">
        <w:t xml:space="preserve">, </w:t>
      </w:r>
      <w:r w:rsidRPr="007746C5">
        <w:rPr>
          <w:i/>
          <w:iCs/>
        </w:rPr>
        <w:t>21</w:t>
      </w:r>
      <w:r w:rsidRPr="007746C5">
        <w:t>(9), 2803–2810. https://doi.org/10.1007/s10530-019-02033-6</w:t>
      </w:r>
    </w:p>
    <w:p w14:paraId="637188A1" w14:textId="77777777" w:rsidR="007746C5" w:rsidRPr="007746C5" w:rsidRDefault="007746C5" w:rsidP="009A04E6">
      <w:pPr>
        <w:pStyle w:val="Bibliography"/>
        <w:spacing w:line="240" w:lineRule="auto"/>
      </w:pPr>
      <w:r w:rsidRPr="007746C5">
        <w:t xml:space="preserve">Sankaran, K. V. (2008). </w:t>
      </w:r>
      <w:r w:rsidRPr="007746C5">
        <w:rPr>
          <w:i/>
          <w:iCs/>
        </w:rPr>
        <w:t>Giant African Snail. Pest Fact Sheet. Asia-Pacific Forest Invasive Species Network, FAO, Bangkok, apfisn.net</w:t>
      </w:r>
      <w:r w:rsidRPr="007746C5">
        <w:t>. https://apfisn.net/wp-content/uploads/2018/07/Achatina-fulica_0.pdf</w:t>
      </w:r>
    </w:p>
    <w:p w14:paraId="15937583" w14:textId="77777777" w:rsidR="007746C5" w:rsidRPr="007746C5" w:rsidRDefault="007746C5" w:rsidP="009A04E6">
      <w:pPr>
        <w:pStyle w:val="Bibliography"/>
        <w:spacing w:line="240" w:lineRule="auto"/>
      </w:pPr>
      <w:r w:rsidRPr="007746C5">
        <w:t xml:space="preserve">Sankaran, K. V., &amp; Suresh, T. A. (2013). </w:t>
      </w:r>
      <w:r w:rsidRPr="007746C5">
        <w:rPr>
          <w:i/>
          <w:iCs/>
        </w:rPr>
        <w:t xml:space="preserve">Evaluation of Classical Biological Control of </w:t>
      </w:r>
      <w:r w:rsidRPr="007746C5">
        <w:t>Mikania micrantha</w:t>
      </w:r>
      <w:r w:rsidRPr="007746C5">
        <w:rPr>
          <w:i/>
          <w:iCs/>
        </w:rPr>
        <w:t xml:space="preserve"> with </w:t>
      </w:r>
      <w:r w:rsidRPr="007746C5">
        <w:t>Puccinia spegazzinii (Final Report of Research Project No.416/2003 KFRI Research report No.472/2013). Kerala Forest Research Institute.</w:t>
      </w:r>
    </w:p>
    <w:p w14:paraId="550FE114" w14:textId="77777777" w:rsidR="007746C5" w:rsidRPr="007746C5" w:rsidRDefault="007746C5" w:rsidP="009A04E6">
      <w:pPr>
        <w:pStyle w:val="Bibliography"/>
        <w:spacing w:line="240" w:lineRule="auto"/>
      </w:pPr>
      <w:r w:rsidRPr="007746C5">
        <w:t xml:space="preserve">Santagata, S., Gasiūnaite, Z. R., Verling, E., Cordell, J. R., Eason, K., Cohen, J. S., Bacela, K., Quilez-Badia, G., Johengen, T. H., Reid, D. F., &amp; Ruiz, G. M. (2008). Effect of osmotic shock as a management strategy to reduce transfers of non-indigenous species among low-salinity ports by ships. </w:t>
      </w:r>
      <w:r w:rsidRPr="007746C5">
        <w:rPr>
          <w:i/>
          <w:iCs/>
        </w:rPr>
        <w:t>Aquatic Invasions</w:t>
      </w:r>
      <w:r w:rsidRPr="007746C5">
        <w:t xml:space="preserve">, </w:t>
      </w:r>
      <w:r w:rsidRPr="007746C5">
        <w:rPr>
          <w:i/>
          <w:iCs/>
        </w:rPr>
        <w:t>3</w:t>
      </w:r>
      <w:r w:rsidRPr="007746C5">
        <w:t>(1), 61–76. https://doi.org/10.3391/ai.2008.3.1.10</w:t>
      </w:r>
    </w:p>
    <w:p w14:paraId="5D3AA8D6" w14:textId="77777777" w:rsidR="007746C5" w:rsidRPr="007746C5" w:rsidRDefault="007746C5" w:rsidP="009A04E6">
      <w:pPr>
        <w:pStyle w:val="Bibliography"/>
        <w:spacing w:line="240" w:lineRule="auto"/>
      </w:pPr>
      <w:r w:rsidRPr="007746C5">
        <w:t xml:space="preserve">Saul, W.-C., Roy, H. E., Booy, O., Carnevali, L., Chen, H.-J., Genovesi, P., Harrower, C. A., Hulme, P. E., Pagad, S., Pergl, J., &amp; Jeschke, J. M. (2017). Assessing patterns in introduction pathways of alien species by linking major invasion data bases. </w:t>
      </w:r>
      <w:r w:rsidRPr="007746C5">
        <w:rPr>
          <w:i/>
          <w:iCs/>
        </w:rPr>
        <w:t>Journal of Applied Ecology</w:t>
      </w:r>
      <w:r w:rsidRPr="007746C5">
        <w:t xml:space="preserve">, </w:t>
      </w:r>
      <w:r w:rsidRPr="007746C5">
        <w:rPr>
          <w:i/>
          <w:iCs/>
        </w:rPr>
        <w:t>54</w:t>
      </w:r>
      <w:r w:rsidRPr="007746C5">
        <w:t>(2), 657–669. https://doi.org/10.1111/1365-2664.12819</w:t>
      </w:r>
    </w:p>
    <w:p w14:paraId="2E6BFB26" w14:textId="77777777" w:rsidR="007746C5" w:rsidRPr="007746C5" w:rsidRDefault="007746C5" w:rsidP="009A04E6">
      <w:pPr>
        <w:pStyle w:val="Bibliography"/>
        <w:spacing w:line="240" w:lineRule="auto"/>
      </w:pPr>
      <w:r w:rsidRPr="007746C5">
        <w:t xml:space="preserve">Saunders, G., Cooke, B., McColl, K., Shine, R., &amp; Peacock, T. (2010). Modern approaches for the biological control of vertebrate pests: An Australian perspective. </w:t>
      </w:r>
      <w:r w:rsidRPr="007746C5">
        <w:rPr>
          <w:i/>
          <w:iCs/>
        </w:rPr>
        <w:t>Biological Control</w:t>
      </w:r>
      <w:r w:rsidRPr="007746C5">
        <w:t xml:space="preserve">, </w:t>
      </w:r>
      <w:r w:rsidRPr="007746C5">
        <w:rPr>
          <w:i/>
          <w:iCs/>
        </w:rPr>
        <w:t>52</w:t>
      </w:r>
      <w:r w:rsidRPr="007746C5">
        <w:t>(3), 288–295. https://doi.org/10.1016/j.biocontrol.2009.06.014</w:t>
      </w:r>
    </w:p>
    <w:p w14:paraId="7F8EBFBC" w14:textId="77777777" w:rsidR="007746C5" w:rsidRPr="007746C5" w:rsidRDefault="007746C5" w:rsidP="009A04E6">
      <w:pPr>
        <w:pStyle w:val="Bibliography"/>
        <w:spacing w:line="240" w:lineRule="auto"/>
      </w:pPr>
      <w:r w:rsidRPr="007746C5">
        <w:t xml:space="preserve">Sax, D. F., Gaines, S. D., &amp; Brown, J. H. (2002). Species Invasions Exceed Extinctions on Islands Worldwide: A Comparative Study of Plants and Birds. </w:t>
      </w:r>
      <w:r w:rsidRPr="007746C5">
        <w:rPr>
          <w:i/>
          <w:iCs/>
        </w:rPr>
        <w:t>The American Naturalist</w:t>
      </w:r>
      <w:r w:rsidRPr="007746C5">
        <w:t xml:space="preserve">, </w:t>
      </w:r>
      <w:r w:rsidRPr="007746C5">
        <w:rPr>
          <w:i/>
          <w:iCs/>
        </w:rPr>
        <w:t>160</w:t>
      </w:r>
      <w:r w:rsidRPr="007746C5">
        <w:t>(6), 766–783. https://doi.org/10.1086/343877</w:t>
      </w:r>
    </w:p>
    <w:p w14:paraId="225E94D2" w14:textId="77777777" w:rsidR="007746C5" w:rsidRPr="007746C5" w:rsidRDefault="007746C5" w:rsidP="009A04E6">
      <w:pPr>
        <w:pStyle w:val="Bibliography"/>
        <w:spacing w:line="240" w:lineRule="auto"/>
      </w:pPr>
      <w:r w:rsidRPr="007746C5">
        <w:t>Scapin, P., Ulbano, M., Ruggiero, C., Balduzzi, A., Marsan, A., Ferrari, N., &amp; Bertolino, S. (2019). Surgical sterilization of male and female grey squirrels (</w:t>
      </w:r>
      <w:r w:rsidRPr="007746C5">
        <w:rPr>
          <w:i/>
          <w:iCs/>
        </w:rPr>
        <w:t>Sciurus carolinensis</w:t>
      </w:r>
      <w:r w:rsidRPr="007746C5">
        <w:t xml:space="preserve">) of an urban population introduced in Italy. </w:t>
      </w:r>
      <w:r w:rsidRPr="007746C5">
        <w:rPr>
          <w:i/>
          <w:iCs/>
        </w:rPr>
        <w:t>Journal of Veterinary Medical Science</w:t>
      </w:r>
      <w:r w:rsidRPr="007746C5">
        <w:t xml:space="preserve">, </w:t>
      </w:r>
      <w:r w:rsidRPr="007746C5">
        <w:rPr>
          <w:i/>
          <w:iCs/>
        </w:rPr>
        <w:t>advpub</w:t>
      </w:r>
      <w:r w:rsidRPr="007746C5">
        <w:t>. https://doi.org/10.1292/jvms.18-0319</w:t>
      </w:r>
    </w:p>
    <w:p w14:paraId="21800A24" w14:textId="77777777" w:rsidR="007746C5" w:rsidRPr="007746C5" w:rsidRDefault="007746C5" w:rsidP="009A04E6">
      <w:pPr>
        <w:pStyle w:val="Bibliography"/>
        <w:spacing w:line="240" w:lineRule="auto"/>
      </w:pPr>
      <w:r w:rsidRPr="007746C5">
        <w:t xml:space="preserve">Scasta, J. D., Engle, D. M., Fuhlendorf, S. D., Redfearn, D. D., &amp; Bidwell, T. G. (2015). Meta-Analysis of Exotic Forages as Invasive Plants in Complex Multi-Functioning Landscapes. </w:t>
      </w:r>
      <w:r w:rsidRPr="007746C5">
        <w:rPr>
          <w:i/>
          <w:iCs/>
        </w:rPr>
        <w:t>Invasive Plant Science and Management</w:t>
      </w:r>
      <w:r w:rsidRPr="007746C5">
        <w:t xml:space="preserve">, </w:t>
      </w:r>
      <w:r w:rsidRPr="007746C5">
        <w:rPr>
          <w:i/>
          <w:iCs/>
        </w:rPr>
        <w:t>8</w:t>
      </w:r>
      <w:r w:rsidRPr="007746C5">
        <w:t>(3), 292–306. https://doi.org/10.1614/IPSM-D-14-00076.1</w:t>
      </w:r>
    </w:p>
    <w:p w14:paraId="4811D65A" w14:textId="77777777" w:rsidR="007746C5" w:rsidRPr="007746C5" w:rsidRDefault="007746C5" w:rsidP="009A04E6">
      <w:pPr>
        <w:pStyle w:val="Bibliography"/>
        <w:spacing w:line="240" w:lineRule="auto"/>
      </w:pPr>
      <w:r w:rsidRPr="007746C5">
        <w:t xml:space="preserve">Schirrmeier, H., Reimann, I., Köllner, B., &amp; Granzow, H. (1999). Pathogenic, antigenic and molecular properties of rabbit haemorrhagic disease virus (RHDV) isolated from vaccinated rabbits: Detection and characterization of antigenic variants. </w:t>
      </w:r>
      <w:r w:rsidRPr="007746C5">
        <w:rPr>
          <w:i/>
          <w:iCs/>
        </w:rPr>
        <w:t>Archives of Virology</w:t>
      </w:r>
      <w:r w:rsidRPr="007746C5">
        <w:t xml:space="preserve">, </w:t>
      </w:r>
      <w:r w:rsidRPr="007746C5">
        <w:rPr>
          <w:i/>
          <w:iCs/>
        </w:rPr>
        <w:t>144</w:t>
      </w:r>
      <w:r w:rsidRPr="007746C5">
        <w:t>(4), 719–735. https://doi.org/10.1007/s007050050538</w:t>
      </w:r>
    </w:p>
    <w:p w14:paraId="6F591B46" w14:textId="77777777" w:rsidR="007746C5" w:rsidRPr="007746C5" w:rsidRDefault="007746C5" w:rsidP="009A04E6">
      <w:pPr>
        <w:pStyle w:val="Bibliography"/>
        <w:spacing w:line="240" w:lineRule="auto"/>
      </w:pPr>
      <w:r w:rsidRPr="007746C5">
        <w:t xml:space="preserve">Schlipalius, D. I., Ebert, P. R., &amp; Collins, P. J. (2015). An emerging international picture of phosphine resistance: Opportunities for global cooperation. </w:t>
      </w:r>
      <w:r w:rsidRPr="007746C5">
        <w:rPr>
          <w:i/>
          <w:iCs/>
        </w:rPr>
        <w:t>Session 1: Emerging Global Issues in Stored Product Protection</w:t>
      </w:r>
      <w:r w:rsidRPr="007746C5">
        <w:t>, 10–14. https://doi.org/10.14455/DOA.res.2014.3</w:t>
      </w:r>
    </w:p>
    <w:p w14:paraId="487851CD" w14:textId="77777777" w:rsidR="007746C5" w:rsidRPr="007746C5" w:rsidRDefault="007746C5" w:rsidP="009A04E6">
      <w:pPr>
        <w:pStyle w:val="Bibliography"/>
        <w:spacing w:line="240" w:lineRule="auto"/>
      </w:pPr>
      <w:r w:rsidRPr="007746C5">
        <w:lastRenderedPageBreak/>
        <w:t xml:space="preserve">Schmidt-Lebuhn, A. N., &amp; Norton, G. (2017). An Online Multi-Access Identification Key to the Propagules of Selected Biosecurity-Relevant Asteraceae (Daisy or Sunflower Family). </w:t>
      </w:r>
      <w:r w:rsidRPr="007746C5">
        <w:rPr>
          <w:i/>
          <w:iCs/>
        </w:rPr>
        <w:t>Invasive Plant Science and Management</w:t>
      </w:r>
      <w:r w:rsidRPr="007746C5">
        <w:t xml:space="preserve">, </w:t>
      </w:r>
      <w:r w:rsidRPr="007746C5">
        <w:rPr>
          <w:i/>
          <w:iCs/>
        </w:rPr>
        <w:t>10</w:t>
      </w:r>
      <w:r w:rsidRPr="007746C5">
        <w:t>(2), 210–211. https://doi.org/10.1017/inp.2017.17</w:t>
      </w:r>
    </w:p>
    <w:p w14:paraId="4AE70B99" w14:textId="77777777" w:rsidR="007746C5" w:rsidRPr="007746C5" w:rsidRDefault="007746C5" w:rsidP="009A04E6">
      <w:pPr>
        <w:pStyle w:val="Bibliography"/>
        <w:spacing w:line="240" w:lineRule="auto"/>
      </w:pPr>
      <w:r w:rsidRPr="007746C5">
        <w:t xml:space="preserve">Schnase, J. L., Smith, J. A., Stohlgren, T. J., Graves, S., &amp; Trees, C. (2002). Biological invasions: A challenge in ecological forecasting. </w:t>
      </w:r>
      <w:r w:rsidRPr="007746C5">
        <w:rPr>
          <w:i/>
          <w:iCs/>
        </w:rPr>
        <w:t>IEEE International Geoscience and Remote Sensing Symposium</w:t>
      </w:r>
      <w:r w:rsidRPr="007746C5">
        <w:t xml:space="preserve">, </w:t>
      </w:r>
      <w:r w:rsidRPr="007746C5">
        <w:rPr>
          <w:i/>
          <w:iCs/>
        </w:rPr>
        <w:t>1</w:t>
      </w:r>
      <w:r w:rsidRPr="007746C5">
        <w:t>, 122–124 vol.1. https://doi.org/10.1109/IGARSS.2002.1024961</w:t>
      </w:r>
    </w:p>
    <w:p w14:paraId="1CB4DC87" w14:textId="77777777" w:rsidR="007746C5" w:rsidRPr="007746C5" w:rsidRDefault="007746C5" w:rsidP="009A04E6">
      <w:pPr>
        <w:pStyle w:val="Bibliography"/>
        <w:spacing w:line="240" w:lineRule="auto"/>
      </w:pPr>
      <w:r w:rsidRPr="007746C5">
        <w:t xml:space="preserve">Schneider, K., Camac, J., Dodd, A., Fraser, H., Gomboso, J., Gibert, A., Kompas, T., Lane, S., Robinson, A., &amp; Spring, D. (2020). </w:t>
      </w:r>
      <w:r w:rsidRPr="007746C5">
        <w:rPr>
          <w:i/>
          <w:iCs/>
        </w:rPr>
        <w:t>Evaluating the health of Australia’s biosecurity system</w:t>
      </w:r>
      <w:r w:rsidRPr="007746C5">
        <w:t>. https://cebra.unimelb.edu.au/__data/assets/pdf_file/0011/3423278/Endorsed-CEBRA-170714-Final-Report-June2020.pdf</w:t>
      </w:r>
    </w:p>
    <w:p w14:paraId="617CE8C1" w14:textId="77777777" w:rsidR="007746C5" w:rsidRPr="007746C5" w:rsidRDefault="007746C5" w:rsidP="009A04E6">
      <w:pPr>
        <w:pStyle w:val="Bibliography"/>
        <w:spacing w:line="240" w:lineRule="auto"/>
      </w:pPr>
      <w:r w:rsidRPr="007746C5">
        <w:t xml:space="preserve">Schrader, G., &amp; Unger, J.-G. (2003). Plant Quarantine as a Measure Against Invasive Alien Species: The Framework of the International Plant Protection Convention and the plant health regulations in the European Union. </w:t>
      </w:r>
      <w:r w:rsidRPr="007746C5">
        <w:rPr>
          <w:i/>
          <w:iCs/>
        </w:rPr>
        <w:t>Biological Invasions</w:t>
      </w:r>
      <w:r w:rsidRPr="007746C5">
        <w:t xml:space="preserve">, </w:t>
      </w:r>
      <w:r w:rsidRPr="007746C5">
        <w:rPr>
          <w:i/>
          <w:iCs/>
        </w:rPr>
        <w:t>5</w:t>
      </w:r>
      <w:r w:rsidRPr="007746C5">
        <w:t>(4), 357–364. https://doi.org/10.1023/B:BINV.0000005567.58234.b9</w:t>
      </w:r>
    </w:p>
    <w:p w14:paraId="0FFA196B" w14:textId="77777777" w:rsidR="007746C5" w:rsidRPr="007746C5" w:rsidRDefault="007746C5" w:rsidP="009A04E6">
      <w:pPr>
        <w:pStyle w:val="Bibliography"/>
        <w:spacing w:line="240" w:lineRule="auto"/>
      </w:pPr>
      <w:r w:rsidRPr="007746C5">
        <w:t xml:space="preserve">Schwarzländer, M., Hinz, H. L., Winston, R. L., &amp; Day, M. D. (2018). Biological control of weeds: An analysis of introductions, rates of establishment and estimates of success, worldwide. </w:t>
      </w:r>
      <w:r w:rsidRPr="007746C5">
        <w:rPr>
          <w:i/>
          <w:iCs/>
        </w:rPr>
        <w:t>BioControl</w:t>
      </w:r>
      <w:r w:rsidRPr="007746C5">
        <w:t xml:space="preserve">, </w:t>
      </w:r>
      <w:r w:rsidRPr="007746C5">
        <w:rPr>
          <w:i/>
          <w:iCs/>
        </w:rPr>
        <w:t>63</w:t>
      </w:r>
      <w:r w:rsidRPr="007746C5">
        <w:t>(3), 319–331. https://doi.org/10.1007/s10526-018-9890-8</w:t>
      </w:r>
    </w:p>
    <w:p w14:paraId="08ADE788" w14:textId="77777777" w:rsidR="007746C5" w:rsidRPr="007746C5" w:rsidRDefault="007746C5" w:rsidP="009A04E6">
      <w:pPr>
        <w:pStyle w:val="Bibliography"/>
        <w:spacing w:line="240" w:lineRule="auto"/>
      </w:pPr>
      <w:r w:rsidRPr="007746C5">
        <w:t xml:space="preserve">Scianni, C., &amp; Georgiades, E. (2019). Vessel In-Water Cleaning or Treatment: Identification of Environmental Risks and Science Needs for Evidence-Based Decision Making. </w:t>
      </w:r>
      <w:r w:rsidRPr="007746C5">
        <w:rPr>
          <w:i/>
          <w:iCs/>
        </w:rPr>
        <w:t>Frontiers in Marine Science</w:t>
      </w:r>
      <w:r w:rsidRPr="007746C5">
        <w:t xml:space="preserve">, </w:t>
      </w:r>
      <w:r w:rsidRPr="007746C5">
        <w:rPr>
          <w:i/>
          <w:iCs/>
        </w:rPr>
        <w:t>6</w:t>
      </w:r>
      <w:r w:rsidRPr="007746C5">
        <w:t>, 467. https://doi.org/10.3389/fmars.2019.00467</w:t>
      </w:r>
    </w:p>
    <w:p w14:paraId="1297EEBA" w14:textId="77777777" w:rsidR="007746C5" w:rsidRPr="007746C5" w:rsidRDefault="007746C5" w:rsidP="009A04E6">
      <w:pPr>
        <w:pStyle w:val="Bibliography"/>
        <w:spacing w:line="240" w:lineRule="auto"/>
      </w:pPr>
      <w:r w:rsidRPr="007746C5">
        <w:t xml:space="preserve">Scott, J. K. (1995). 7 Classical biological control of plant pathogens. In J. H. Andrews &amp; I. C. Tommerup (Eds.), </w:t>
      </w:r>
      <w:r w:rsidRPr="007746C5">
        <w:rPr>
          <w:i/>
          <w:iCs/>
        </w:rPr>
        <w:t>Advances in Plant Pathology</w:t>
      </w:r>
      <w:r w:rsidRPr="007746C5">
        <w:t xml:space="preserve"> (Vol. 11, pp. 131–146). Academic Press. https://doi.org/10.1016/S0736-4539(06)80009-7</w:t>
      </w:r>
    </w:p>
    <w:p w14:paraId="69AE1063" w14:textId="77777777" w:rsidR="007746C5" w:rsidRPr="007746C5" w:rsidRDefault="007746C5" w:rsidP="009A04E6">
      <w:pPr>
        <w:pStyle w:val="Bibliography"/>
        <w:spacing w:line="240" w:lineRule="auto"/>
      </w:pPr>
      <w:r w:rsidRPr="007746C5">
        <w:t xml:space="preserve">Scott, J. K., McKirdy, S. J., van der Merwe, J., Green, R., Burbidge, A. A., Pickles, G., Hardie, D. C., Morris, K., Kendrick, P. G., Thomas, M. L., Horton, K. L., O’Connor, S. M., Downs, J., Stoklosa, R., Lagdon, R., Marks, B., Nairn, M., &amp; Mengersen, K. (2017). Zero-tolerance biosecurity protects high-conservation-value island nature reserve. </w:t>
      </w:r>
      <w:r w:rsidRPr="007746C5">
        <w:rPr>
          <w:i/>
          <w:iCs/>
        </w:rPr>
        <w:t>Scientific Reports</w:t>
      </w:r>
      <w:r w:rsidRPr="007746C5">
        <w:t xml:space="preserve">, </w:t>
      </w:r>
      <w:r w:rsidRPr="007746C5">
        <w:rPr>
          <w:i/>
          <w:iCs/>
        </w:rPr>
        <w:t>7</w:t>
      </w:r>
      <w:r w:rsidRPr="007746C5">
        <w:t>(1), 772. https://doi.org/10.1038/s41598-017-00450-y</w:t>
      </w:r>
    </w:p>
    <w:p w14:paraId="55B7965B" w14:textId="77777777" w:rsidR="007746C5" w:rsidRPr="007746C5" w:rsidRDefault="007746C5" w:rsidP="009A04E6">
      <w:pPr>
        <w:pStyle w:val="Bibliography"/>
        <w:spacing w:line="240" w:lineRule="auto"/>
      </w:pPr>
      <w:r w:rsidRPr="007746C5">
        <w:t xml:space="preserve">Scott, J. K., &amp; Panetta, F. D. (1993). Predicting the Australian Weed Status of Southern African Plants. </w:t>
      </w:r>
      <w:r w:rsidRPr="007746C5">
        <w:rPr>
          <w:i/>
          <w:iCs/>
        </w:rPr>
        <w:t>Journal of Biogeography</w:t>
      </w:r>
      <w:r w:rsidRPr="007746C5">
        <w:t xml:space="preserve">, </w:t>
      </w:r>
      <w:r w:rsidRPr="007746C5">
        <w:rPr>
          <w:i/>
          <w:iCs/>
        </w:rPr>
        <w:t>20</w:t>
      </w:r>
      <w:r w:rsidRPr="007746C5">
        <w:t>(1), 87–93. https://doi.org/10.2307/2845742</w:t>
      </w:r>
    </w:p>
    <w:p w14:paraId="7F100C94" w14:textId="77777777" w:rsidR="007746C5" w:rsidRPr="007746C5" w:rsidRDefault="007746C5" w:rsidP="009A04E6">
      <w:pPr>
        <w:pStyle w:val="Bibliography"/>
        <w:spacing w:line="240" w:lineRule="auto"/>
      </w:pPr>
      <w:r w:rsidRPr="007746C5">
        <w:t xml:space="preserve">Secord, D. (2003). Biological control of marine invasive species: Cautionary tales and land-based lessons. </w:t>
      </w:r>
      <w:r w:rsidRPr="007746C5">
        <w:rPr>
          <w:i/>
          <w:iCs/>
        </w:rPr>
        <w:t>Biological Invasions</w:t>
      </w:r>
      <w:r w:rsidRPr="007746C5">
        <w:t xml:space="preserve">, </w:t>
      </w:r>
      <w:r w:rsidRPr="007746C5">
        <w:rPr>
          <w:i/>
          <w:iCs/>
        </w:rPr>
        <w:t>5</w:t>
      </w:r>
      <w:r w:rsidRPr="007746C5">
        <w:t>(1/2), 117–131. https://doi.org/10.1023/A:1024054909052</w:t>
      </w:r>
    </w:p>
    <w:p w14:paraId="25BF7CB5" w14:textId="77777777" w:rsidR="007746C5" w:rsidRPr="007746C5" w:rsidRDefault="007746C5" w:rsidP="009A04E6">
      <w:pPr>
        <w:pStyle w:val="Bibliography"/>
        <w:spacing w:line="240" w:lineRule="auto"/>
      </w:pPr>
      <w:r w:rsidRPr="007746C5">
        <w:t xml:space="preserve">Seebens, H., Blackburn, T. M., Dyer, E. E., Genovesi, P., Hulme, P. E., Jeschke, J. M., Pagad, S., Pyšek, P., Winter, M., Arianoutsou, M., Bacher, S., Blasius, B., Brundu, G., Capinha, C., Celesti-Grapow, L., Dawson, W., Dullinger, S., Fuentes, N., Jäger, H., … Essl, F. (2017). No saturation in the accumulation of alien species worldwide. </w:t>
      </w:r>
      <w:r w:rsidRPr="007746C5">
        <w:rPr>
          <w:i/>
          <w:iCs/>
        </w:rPr>
        <w:t>Nature Communications</w:t>
      </w:r>
      <w:r w:rsidRPr="007746C5">
        <w:t xml:space="preserve">, </w:t>
      </w:r>
      <w:r w:rsidRPr="007746C5">
        <w:rPr>
          <w:i/>
          <w:iCs/>
        </w:rPr>
        <w:t>8</w:t>
      </w:r>
      <w:r w:rsidRPr="007746C5">
        <w:t>(1), 14435. https://doi.org/10.1038/ncomms14435</w:t>
      </w:r>
    </w:p>
    <w:p w14:paraId="3E1FF7CE" w14:textId="77777777" w:rsidR="007746C5" w:rsidRPr="007746C5" w:rsidRDefault="007746C5" w:rsidP="009A04E6">
      <w:pPr>
        <w:pStyle w:val="Bibliography"/>
        <w:spacing w:line="240" w:lineRule="auto"/>
      </w:pPr>
      <w:r w:rsidRPr="007746C5">
        <w:t xml:space="preserve">Senterre, B., &amp; Dine, M. L. P. (2022). </w:t>
      </w:r>
      <w:r w:rsidRPr="007746C5">
        <w:rPr>
          <w:i/>
          <w:iCs/>
        </w:rPr>
        <w:t>Toward a Seychelles Invasive Species Strategy and Action Plan (ISSAP): Biological factors</w:t>
      </w:r>
      <w:r w:rsidRPr="007746C5">
        <w:t xml:space="preserve"> [Final Report]. Unpublished. https://doi.org/10.13140/RG.2.2.18218.70081</w:t>
      </w:r>
    </w:p>
    <w:p w14:paraId="6B7281AF" w14:textId="77777777" w:rsidR="007746C5" w:rsidRPr="007746C5" w:rsidRDefault="007746C5" w:rsidP="009A04E6">
      <w:pPr>
        <w:pStyle w:val="Bibliography"/>
        <w:spacing w:line="240" w:lineRule="auto"/>
      </w:pPr>
      <w:r w:rsidRPr="007746C5">
        <w:t xml:space="preserve">Sergeant, ESG. (2018). </w:t>
      </w:r>
      <w:r w:rsidRPr="007746C5">
        <w:rPr>
          <w:i/>
          <w:iCs/>
        </w:rPr>
        <w:t>Epitools Epidemiological Calculators</w:t>
      </w:r>
      <w:r w:rsidRPr="007746C5">
        <w:t>. Ausvet. http://epitools.ausvet.com.au.</w:t>
      </w:r>
    </w:p>
    <w:p w14:paraId="22E60D56" w14:textId="77777777" w:rsidR="007746C5" w:rsidRPr="007746C5" w:rsidRDefault="007746C5" w:rsidP="009A04E6">
      <w:pPr>
        <w:pStyle w:val="Bibliography"/>
        <w:spacing w:line="240" w:lineRule="auto"/>
      </w:pPr>
      <w:r w:rsidRPr="007746C5">
        <w:t xml:space="preserve">Seto, K. C., Parnell, S., &amp; Elmqvist, T. (2013). A Global Outlook on Urbanization. In T. Elmqvist, M. Fragkias, J. Goodness, B. Güneralp, P. J. Marcotullio, R. I. McDonald, S. Parnell, M. Schewenius, M. Sendstad, K. C. Seto, &amp; C. Wilkinson (Eds.), </w:t>
      </w:r>
      <w:r w:rsidRPr="007746C5">
        <w:rPr>
          <w:i/>
          <w:iCs/>
        </w:rPr>
        <w:t>Urbanization, Biodiversity and Ecosystem Services: Challenges and Opportunities</w:t>
      </w:r>
      <w:r w:rsidRPr="007746C5">
        <w:t xml:space="preserve"> (pp. 1–12). Springer Open. https://doi.org/10.1007/978-94-007-7088-1_1</w:t>
      </w:r>
    </w:p>
    <w:p w14:paraId="6E9A7255" w14:textId="77777777" w:rsidR="007746C5" w:rsidRPr="007746C5" w:rsidRDefault="007746C5" w:rsidP="009A04E6">
      <w:pPr>
        <w:pStyle w:val="Bibliography"/>
        <w:spacing w:line="240" w:lineRule="auto"/>
      </w:pPr>
      <w:r w:rsidRPr="007746C5">
        <w:t xml:space="preserve">Seto, K. C., &amp; Shepherd, J. M. (2009). Global Urban Land-Use Trends and Climate Impacts. </w:t>
      </w:r>
      <w:r w:rsidRPr="007746C5">
        <w:rPr>
          <w:i/>
          <w:iCs/>
        </w:rPr>
        <w:t>Current Opinion in Environmental Sustainability</w:t>
      </w:r>
      <w:r w:rsidRPr="007746C5">
        <w:t xml:space="preserve">, </w:t>
      </w:r>
      <w:r w:rsidRPr="007746C5">
        <w:rPr>
          <w:i/>
          <w:iCs/>
        </w:rPr>
        <w:t>1</w:t>
      </w:r>
      <w:r w:rsidRPr="007746C5">
        <w:t>(1), 89–95. https://doi.org/10.1016/j.cosust.2009.07.012</w:t>
      </w:r>
    </w:p>
    <w:p w14:paraId="36211BC5" w14:textId="77777777" w:rsidR="007746C5" w:rsidRPr="007746C5" w:rsidRDefault="007746C5" w:rsidP="009A04E6">
      <w:pPr>
        <w:pStyle w:val="Bibliography"/>
        <w:spacing w:line="240" w:lineRule="auto"/>
      </w:pPr>
      <w:r w:rsidRPr="007746C5">
        <w:lastRenderedPageBreak/>
        <w:t xml:space="preserve">Setterfield, S. A., Douglas, M. M., Petty, A. M., Bayliss, P., Ferdinands, K. B., &amp; Winderlich, S. (2013). Invasive Plants in the Floodplains of Australia’s Kakadu National Park. In L. C. Foxcroft, P. Pyšek, D. M. Richardson, &amp; P. Genovesi (Eds.), </w:t>
      </w:r>
      <w:r w:rsidRPr="007746C5">
        <w:rPr>
          <w:i/>
          <w:iCs/>
        </w:rPr>
        <w:t>Plant Invasions in Protected Areas. Patterns, Problems and Challenges.</w:t>
      </w:r>
      <w:r w:rsidRPr="007746C5">
        <w:t xml:space="preserve"> (Vol. 7, pp. 167–189). Springer Netherlands. https://doi.org/10.1007/978-94-007-7750-7_9</w:t>
      </w:r>
    </w:p>
    <w:p w14:paraId="2F3315D5" w14:textId="77777777" w:rsidR="007746C5" w:rsidRPr="007746C5" w:rsidRDefault="007746C5" w:rsidP="009A04E6">
      <w:pPr>
        <w:pStyle w:val="Bibliography"/>
        <w:spacing w:line="240" w:lineRule="auto"/>
      </w:pPr>
      <w:r w:rsidRPr="007746C5">
        <w:t xml:space="preserve">Setyawati, T., Sunardi, Tjitrosoedirdjo, S., T. Pullaiah, &amp; Ielmini, M. R. (2021). Invasive Alien Plant Species Management in Indonesia. In </w:t>
      </w:r>
      <w:r w:rsidRPr="007746C5">
        <w:rPr>
          <w:i/>
          <w:iCs/>
        </w:rPr>
        <w:t>Invasive Alien Species: Observations and Issues from Around the World</w:t>
      </w:r>
      <w:r w:rsidRPr="007746C5">
        <w:t xml:space="preserve"> (pp. 73–102). John Wiley &amp; Sons, Ltd. https://doi.org/10.1002/9781119607045.ch16</w:t>
      </w:r>
    </w:p>
    <w:p w14:paraId="55D947DF" w14:textId="77777777" w:rsidR="007746C5" w:rsidRPr="007746C5" w:rsidRDefault="007746C5" w:rsidP="009A04E6">
      <w:pPr>
        <w:pStyle w:val="Bibliography"/>
        <w:spacing w:line="240" w:lineRule="auto"/>
      </w:pPr>
      <w:r w:rsidRPr="007746C5">
        <w:t xml:space="preserve">Shackleton, R. T., Adriaens, T., Brundu, G., Dehnen-Schmutz, K., Estévez, R. A., Fried, J., Larson, B. M. H., Liu, S., Marchante, E., Marchante, H., Moshobane, M. C., Novoa, A., Reed, M., &amp; Richardson, D. M. (2019). Stakeholder engagement in the study and management of invasive alien species. </w:t>
      </w:r>
      <w:r w:rsidRPr="007746C5">
        <w:rPr>
          <w:i/>
          <w:iCs/>
        </w:rPr>
        <w:t>Journal of Environmental Management</w:t>
      </w:r>
      <w:r w:rsidRPr="007746C5">
        <w:t xml:space="preserve">, </w:t>
      </w:r>
      <w:r w:rsidRPr="007746C5">
        <w:rPr>
          <w:i/>
          <w:iCs/>
        </w:rPr>
        <w:t>229</w:t>
      </w:r>
      <w:r w:rsidRPr="007746C5">
        <w:t>, 88–101. https://doi.org/10.1016/j.jenvman.2018.04.044</w:t>
      </w:r>
    </w:p>
    <w:p w14:paraId="0BA71865" w14:textId="77777777" w:rsidR="007746C5" w:rsidRPr="007746C5" w:rsidRDefault="007746C5" w:rsidP="009A04E6">
      <w:pPr>
        <w:pStyle w:val="Bibliography"/>
        <w:spacing w:line="240" w:lineRule="auto"/>
      </w:pPr>
      <w:r w:rsidRPr="007746C5">
        <w:t xml:space="preserve">Shackleton, R. T., Bertzky, B., Wood, L. E., Bunbury, N., Jäger, H., van Merm, R., Sevilla, C., Smith, K., Wilson, J. R. U., Witt, A. B. R., &amp; Richardson, D. M. (2020). Biological invasions in World Heritage Sites: Current status and a proposed monitoring and reporting framework. </w:t>
      </w:r>
      <w:r w:rsidRPr="007746C5">
        <w:rPr>
          <w:i/>
          <w:iCs/>
        </w:rPr>
        <w:t>Biodiversity and Conservation</w:t>
      </w:r>
      <w:r w:rsidRPr="007746C5">
        <w:t xml:space="preserve">, </w:t>
      </w:r>
      <w:r w:rsidRPr="007746C5">
        <w:rPr>
          <w:i/>
          <w:iCs/>
        </w:rPr>
        <w:t>29</w:t>
      </w:r>
      <w:r w:rsidRPr="007746C5">
        <w:t>(11), 3327–3347. https://doi.org/10.1007/s10531-020-02026-1</w:t>
      </w:r>
    </w:p>
    <w:p w14:paraId="245FA120" w14:textId="77777777" w:rsidR="007746C5" w:rsidRPr="007746C5" w:rsidRDefault="007746C5" w:rsidP="009A04E6">
      <w:pPr>
        <w:pStyle w:val="Bibliography"/>
        <w:spacing w:line="240" w:lineRule="auto"/>
      </w:pPr>
      <w:r w:rsidRPr="007746C5">
        <w:t xml:space="preserve">Shackleton, R. T., Foxcroft, L. C., Pyšek, P., Wood, L. E., &amp; Richardson, D. M. (2020). Assessing biological invasions in protected areas after 30 years: Revisiting nature reserves targeted by the 1980s SCOPE programme. </w:t>
      </w:r>
      <w:r w:rsidRPr="007746C5">
        <w:rPr>
          <w:i/>
          <w:iCs/>
        </w:rPr>
        <w:t>Biological Conservation</w:t>
      </w:r>
      <w:r w:rsidRPr="007746C5">
        <w:t xml:space="preserve">, </w:t>
      </w:r>
      <w:r w:rsidRPr="007746C5">
        <w:rPr>
          <w:i/>
          <w:iCs/>
        </w:rPr>
        <w:t>243</w:t>
      </w:r>
      <w:r w:rsidRPr="007746C5">
        <w:t>, 108424. https://doi.org/10.1016/j.biocon.2020.108424</w:t>
      </w:r>
    </w:p>
    <w:p w14:paraId="03B51894" w14:textId="77777777" w:rsidR="007746C5" w:rsidRPr="007746C5" w:rsidRDefault="007746C5" w:rsidP="009A04E6">
      <w:pPr>
        <w:pStyle w:val="Bibliography"/>
        <w:spacing w:line="240" w:lineRule="auto"/>
      </w:pPr>
      <w:r w:rsidRPr="007746C5">
        <w:t xml:space="preserve">Shackleton, R. T., Larson, B. M. H., Novoa, A., Richardson, D. M., &amp; Kull, C. A. (2019). The human and social dimensions of invasion science and management. </w:t>
      </w:r>
      <w:r w:rsidRPr="007746C5">
        <w:rPr>
          <w:i/>
          <w:iCs/>
        </w:rPr>
        <w:t>Journal of Environmental Management</w:t>
      </w:r>
      <w:r w:rsidRPr="007746C5">
        <w:t xml:space="preserve">, </w:t>
      </w:r>
      <w:r w:rsidRPr="007746C5">
        <w:rPr>
          <w:i/>
          <w:iCs/>
        </w:rPr>
        <w:t>229</w:t>
      </w:r>
      <w:r w:rsidRPr="007746C5">
        <w:t>, 1–9. https://doi.org/10.1016/j.jenvman.2018.08.041</w:t>
      </w:r>
    </w:p>
    <w:p w14:paraId="557C91F9" w14:textId="77777777" w:rsidR="007746C5" w:rsidRPr="007746C5" w:rsidRDefault="007746C5" w:rsidP="009A04E6">
      <w:pPr>
        <w:pStyle w:val="Bibliography"/>
        <w:spacing w:line="240" w:lineRule="auto"/>
      </w:pPr>
      <w:r w:rsidRPr="007746C5">
        <w:t xml:space="preserve">Shackleton, R. T., Le Maitre, D. C., Pasiecznik, N. M., &amp; Richardson, D. M. (2014). </w:t>
      </w:r>
      <w:r w:rsidRPr="007746C5">
        <w:rPr>
          <w:i/>
          <w:iCs/>
        </w:rPr>
        <w:t>Prosopis</w:t>
      </w:r>
      <w:r w:rsidRPr="007746C5">
        <w:t xml:space="preserve">: A global assessment of the biogeography, benefits, impacts and management of one of the world’s worst woody invasive plant taxa. </w:t>
      </w:r>
      <w:r w:rsidRPr="007746C5">
        <w:rPr>
          <w:i/>
          <w:iCs/>
        </w:rPr>
        <w:t>AoB PLANTS</w:t>
      </w:r>
      <w:r w:rsidRPr="007746C5">
        <w:t xml:space="preserve">, </w:t>
      </w:r>
      <w:r w:rsidRPr="007746C5">
        <w:rPr>
          <w:i/>
          <w:iCs/>
        </w:rPr>
        <w:t>6</w:t>
      </w:r>
      <w:r w:rsidRPr="007746C5">
        <w:t>, plu027. https://doi.org/10.1093/aobpla/plu027</w:t>
      </w:r>
    </w:p>
    <w:p w14:paraId="26F8DDBE" w14:textId="77777777" w:rsidR="007746C5" w:rsidRPr="007746C5" w:rsidRDefault="007746C5" w:rsidP="009A04E6">
      <w:pPr>
        <w:pStyle w:val="Bibliography"/>
        <w:spacing w:line="240" w:lineRule="auto"/>
      </w:pPr>
      <w:r w:rsidRPr="007746C5">
        <w:t xml:space="preserve">Shackleton, R. T., Witt, A. B. R., Piroris, F. M., &amp; van Wilgen, B. W. (2017). Distribution and socio-ecological impacts of the invasive alien cactus </w:t>
      </w:r>
      <w:r w:rsidRPr="007746C5">
        <w:rPr>
          <w:i/>
          <w:iCs/>
        </w:rPr>
        <w:t>Opuntia stricta</w:t>
      </w:r>
      <w:r w:rsidRPr="007746C5">
        <w:t xml:space="preserve"> in eastern Africa. </w:t>
      </w:r>
      <w:r w:rsidRPr="007746C5">
        <w:rPr>
          <w:i/>
          <w:iCs/>
        </w:rPr>
        <w:t>Biological Invasions</w:t>
      </w:r>
      <w:r w:rsidRPr="007746C5">
        <w:t xml:space="preserve">, </w:t>
      </w:r>
      <w:r w:rsidRPr="007746C5">
        <w:rPr>
          <w:i/>
          <w:iCs/>
        </w:rPr>
        <w:t>19</w:t>
      </w:r>
      <w:r w:rsidRPr="007746C5">
        <w:t>(8), 2427–2441. https://doi.org/10.1007/s10530-017-1453-x</w:t>
      </w:r>
    </w:p>
    <w:p w14:paraId="345F8529" w14:textId="77777777" w:rsidR="007746C5" w:rsidRPr="007746C5" w:rsidRDefault="007746C5" w:rsidP="009A04E6">
      <w:pPr>
        <w:pStyle w:val="Bibliography"/>
        <w:spacing w:line="240" w:lineRule="auto"/>
      </w:pPr>
      <w:r w:rsidRPr="007746C5">
        <w:t>Shackleton, S., Kirby, D., &amp; Gambiza, J. (2011). Invasive plants – friends or foes? Contribution of prickly pear (</w:t>
      </w:r>
      <w:r w:rsidRPr="007746C5">
        <w:rPr>
          <w:i/>
          <w:iCs/>
        </w:rPr>
        <w:t>Opuntia ficus-indica</w:t>
      </w:r>
      <w:r w:rsidRPr="007746C5">
        <w:t xml:space="preserve">) to livelihoods in Makana Municipality, Eastern Cape, South Africa. </w:t>
      </w:r>
      <w:r w:rsidRPr="007746C5">
        <w:rPr>
          <w:i/>
          <w:iCs/>
        </w:rPr>
        <w:t>Development Southern Africa</w:t>
      </w:r>
      <w:r w:rsidRPr="007746C5">
        <w:t xml:space="preserve">, </w:t>
      </w:r>
      <w:r w:rsidRPr="007746C5">
        <w:rPr>
          <w:i/>
          <w:iCs/>
        </w:rPr>
        <w:t>28</w:t>
      </w:r>
      <w:r w:rsidRPr="007746C5">
        <w:t>(2), 177–193. https://doi.org/10.1080/0376835X.2011.570065</w:t>
      </w:r>
    </w:p>
    <w:p w14:paraId="4F844624" w14:textId="77777777" w:rsidR="007746C5" w:rsidRPr="007746C5" w:rsidRDefault="007746C5" w:rsidP="009A04E6">
      <w:pPr>
        <w:pStyle w:val="Bibliography"/>
        <w:spacing w:line="240" w:lineRule="auto"/>
      </w:pPr>
      <w:r w:rsidRPr="007746C5">
        <w:t xml:space="preserve">Shanmuganathan, T., Pallister, J., Doody, S., McCallum, H., Robinson, T., Sheppard, A., Hardy, C., Halliday, D., Venables, D., Voysey, R., Strive, T., Hinds, L., &amp; Hyatt, A. (2010). Biological control of the cane toad in Australia: A review. </w:t>
      </w:r>
      <w:r w:rsidRPr="007746C5">
        <w:rPr>
          <w:i/>
          <w:iCs/>
        </w:rPr>
        <w:t>Animal Conservation</w:t>
      </w:r>
      <w:r w:rsidRPr="007746C5">
        <w:t xml:space="preserve">, </w:t>
      </w:r>
      <w:r w:rsidRPr="007746C5">
        <w:rPr>
          <w:i/>
          <w:iCs/>
        </w:rPr>
        <w:t>13</w:t>
      </w:r>
      <w:r w:rsidRPr="007746C5">
        <w:t>(s1), 16–23. https://doi.org/10.1111/j.1469-1795.2009.00319.x</w:t>
      </w:r>
    </w:p>
    <w:p w14:paraId="2083C186" w14:textId="77777777" w:rsidR="007746C5" w:rsidRPr="007746C5" w:rsidRDefault="007746C5" w:rsidP="009A04E6">
      <w:pPr>
        <w:pStyle w:val="Bibliography"/>
        <w:spacing w:line="240" w:lineRule="auto"/>
      </w:pPr>
      <w:r w:rsidRPr="007746C5">
        <w:t xml:space="preserve">Shao, H., Xi, N., &amp; Zhang, Y. (2018). Microemulsion formulation of a new biopesticide to control the diamondback moth (Lepidoptera: Plutellidae). </w:t>
      </w:r>
      <w:r w:rsidRPr="007746C5">
        <w:rPr>
          <w:i/>
          <w:iCs/>
        </w:rPr>
        <w:t>Scientific Reports</w:t>
      </w:r>
      <w:r w:rsidRPr="007746C5">
        <w:t xml:space="preserve">, </w:t>
      </w:r>
      <w:r w:rsidRPr="007746C5">
        <w:rPr>
          <w:i/>
          <w:iCs/>
        </w:rPr>
        <w:t>8</w:t>
      </w:r>
      <w:r w:rsidRPr="007746C5">
        <w:t>(1), 10565. https://doi.org/10.1038/s41598-018-28626-0</w:t>
      </w:r>
    </w:p>
    <w:p w14:paraId="79A4017A" w14:textId="77777777" w:rsidR="007746C5" w:rsidRPr="007746C5" w:rsidRDefault="007746C5" w:rsidP="009A04E6">
      <w:pPr>
        <w:pStyle w:val="Bibliography"/>
        <w:spacing w:line="240" w:lineRule="auto"/>
      </w:pPr>
      <w:r w:rsidRPr="007746C5">
        <w:t xml:space="preserve">Sharma, A., Shukla, A., Attri, K., Kumar, M., Kumar, P., Suttee, A., Singh, G., Barnwal, R. P., &amp; Singla, N. (2020). Global trends in pesticides: A looming threat and viable alternatives. </w:t>
      </w:r>
      <w:r w:rsidRPr="007746C5">
        <w:rPr>
          <w:i/>
          <w:iCs/>
        </w:rPr>
        <w:t>Ecotoxicology and Environmental Safety</w:t>
      </w:r>
      <w:r w:rsidRPr="007746C5">
        <w:t xml:space="preserve">, </w:t>
      </w:r>
      <w:r w:rsidRPr="007746C5">
        <w:rPr>
          <w:i/>
          <w:iCs/>
        </w:rPr>
        <w:t>201</w:t>
      </w:r>
      <w:r w:rsidRPr="007746C5">
        <w:t>, 110812. https://doi.org/10.1016/j.ecoenv.2020.110812</w:t>
      </w:r>
    </w:p>
    <w:p w14:paraId="23D99052" w14:textId="77777777" w:rsidR="007746C5" w:rsidRPr="007746C5" w:rsidRDefault="007746C5" w:rsidP="009A04E6">
      <w:pPr>
        <w:pStyle w:val="Bibliography"/>
        <w:spacing w:line="240" w:lineRule="auto"/>
      </w:pPr>
      <w:r w:rsidRPr="007746C5">
        <w:t xml:space="preserve">Sharov, A. A., Leonard, D., Liebhold, A. M., Roberts, E. A., &amp; Dickerson, W. (2002). “Slow The Spread”: A National Program to Contain the Gypsy Moth. </w:t>
      </w:r>
      <w:r w:rsidRPr="007746C5">
        <w:rPr>
          <w:i/>
          <w:iCs/>
        </w:rPr>
        <w:t>Journal of Forestry</w:t>
      </w:r>
      <w:r w:rsidRPr="007746C5">
        <w:t xml:space="preserve">, </w:t>
      </w:r>
      <w:r w:rsidRPr="007746C5">
        <w:rPr>
          <w:i/>
          <w:iCs/>
        </w:rPr>
        <w:t>100</w:t>
      </w:r>
      <w:r w:rsidRPr="007746C5">
        <w:t>(5), 30–36. https://doi.org/10.1093/jof/100.5.30</w:t>
      </w:r>
    </w:p>
    <w:p w14:paraId="6C825BF3" w14:textId="77777777" w:rsidR="007746C5" w:rsidRPr="007746C5" w:rsidRDefault="007746C5" w:rsidP="009A04E6">
      <w:pPr>
        <w:pStyle w:val="Bibliography"/>
        <w:spacing w:line="240" w:lineRule="auto"/>
      </w:pPr>
      <w:r w:rsidRPr="007746C5">
        <w:lastRenderedPageBreak/>
        <w:t xml:space="preserve">Sharov, A. A., &amp; Liebhold, A. M. (1998). Model of slowing the spread of gypsy moth (Lepidoptera: Lymantriidae) with a barrier zone. </w:t>
      </w:r>
      <w:r w:rsidRPr="007746C5">
        <w:rPr>
          <w:i/>
          <w:iCs/>
        </w:rPr>
        <w:t>Ecological Applications</w:t>
      </w:r>
      <w:r w:rsidRPr="007746C5">
        <w:t xml:space="preserve">, </w:t>
      </w:r>
      <w:r w:rsidRPr="007746C5">
        <w:rPr>
          <w:i/>
          <w:iCs/>
        </w:rPr>
        <w:t>8</w:t>
      </w:r>
      <w:r w:rsidRPr="007746C5">
        <w:t>(4), 1170–1179. https://doi.org/10.2307/2640970</w:t>
      </w:r>
    </w:p>
    <w:p w14:paraId="600E6207" w14:textId="77777777" w:rsidR="007746C5" w:rsidRPr="007746C5" w:rsidRDefault="007746C5" w:rsidP="009A04E6">
      <w:pPr>
        <w:pStyle w:val="Bibliography"/>
        <w:spacing w:line="240" w:lineRule="auto"/>
      </w:pPr>
      <w:r w:rsidRPr="007746C5">
        <w:t xml:space="preserve">Sharp, T., &amp; Saunders, G. (2011). </w:t>
      </w:r>
      <w:r w:rsidRPr="007746C5">
        <w:rPr>
          <w:i/>
          <w:iCs/>
        </w:rPr>
        <w:t>A model for assessing the relative humaneness of pest animal control methods</w:t>
      </w:r>
      <w:r w:rsidRPr="007746C5">
        <w:t xml:space="preserve"> (Second). Australian Government Department of Agriculture, Fisheries and Forestry, Canberra, ACT.</w:t>
      </w:r>
    </w:p>
    <w:p w14:paraId="22D37DFD" w14:textId="77777777" w:rsidR="007746C5" w:rsidRPr="007746C5" w:rsidRDefault="007746C5" w:rsidP="009A04E6">
      <w:pPr>
        <w:pStyle w:val="Bibliography"/>
        <w:spacing w:line="240" w:lineRule="auto"/>
      </w:pPr>
      <w:r w:rsidRPr="007746C5">
        <w:t xml:space="preserve">Shaw, A., Miller, K. K., &amp; Wescott, G. (2017). Australian native gardens: Is there scope for a community shift? </w:t>
      </w:r>
      <w:r w:rsidRPr="007746C5">
        <w:rPr>
          <w:i/>
          <w:iCs/>
        </w:rPr>
        <w:t>Landscape and Urban Planning</w:t>
      </w:r>
      <w:r w:rsidRPr="007746C5">
        <w:t xml:space="preserve">, </w:t>
      </w:r>
      <w:r w:rsidRPr="007746C5">
        <w:rPr>
          <w:i/>
          <w:iCs/>
        </w:rPr>
        <w:t>157</w:t>
      </w:r>
      <w:r w:rsidRPr="007746C5">
        <w:t>, 322–330. https://doi.org/10.1016/j.landurbplan.2016.07.009</w:t>
      </w:r>
    </w:p>
    <w:p w14:paraId="2695056A" w14:textId="77777777" w:rsidR="007746C5" w:rsidRPr="007746C5" w:rsidRDefault="007746C5" w:rsidP="009A04E6">
      <w:pPr>
        <w:pStyle w:val="Bibliography"/>
        <w:spacing w:line="240" w:lineRule="auto"/>
      </w:pPr>
      <w:r w:rsidRPr="007746C5">
        <w:t xml:space="preserve">Shea, K., Possingham, H. P., Murdoch, W. W., &amp; Roush, R. (2002). Active Adaptive Management in Insect Pest and Weed Control: Intervention with a Plan for Learning. </w:t>
      </w:r>
      <w:r w:rsidRPr="007746C5">
        <w:rPr>
          <w:i/>
          <w:iCs/>
        </w:rPr>
        <w:t>Ecological Applications</w:t>
      </w:r>
      <w:r w:rsidRPr="007746C5">
        <w:t xml:space="preserve">, </w:t>
      </w:r>
      <w:r w:rsidRPr="007746C5">
        <w:rPr>
          <w:i/>
          <w:iCs/>
        </w:rPr>
        <w:t>12</w:t>
      </w:r>
      <w:r w:rsidRPr="007746C5">
        <w:t>(3), 927–936. https://doi.org/10.1890/1051-0761(2002)012[0927:AAMIIP]2.0.CO;2</w:t>
      </w:r>
    </w:p>
    <w:p w14:paraId="3DFD7752" w14:textId="77777777" w:rsidR="007746C5" w:rsidRPr="007746C5" w:rsidRDefault="007746C5" w:rsidP="009A04E6">
      <w:pPr>
        <w:pStyle w:val="Bibliography"/>
        <w:spacing w:line="240" w:lineRule="auto"/>
      </w:pPr>
      <w:r w:rsidRPr="007746C5">
        <w:t xml:space="preserve">Sheail, J. (2003). Government and the Management of an Alien Pest Species: A British perspective. </w:t>
      </w:r>
      <w:r w:rsidRPr="007746C5">
        <w:rPr>
          <w:i/>
          <w:iCs/>
        </w:rPr>
        <w:t>Landscape Research</w:t>
      </w:r>
      <w:r w:rsidRPr="007746C5">
        <w:t xml:space="preserve">, </w:t>
      </w:r>
      <w:r w:rsidRPr="007746C5">
        <w:rPr>
          <w:i/>
          <w:iCs/>
        </w:rPr>
        <w:t>28</w:t>
      </w:r>
      <w:r w:rsidRPr="007746C5">
        <w:t>(1), 101–111. https://doi.org/10.1080/01426390306528</w:t>
      </w:r>
    </w:p>
    <w:p w14:paraId="3FD74707" w14:textId="77777777" w:rsidR="007746C5" w:rsidRPr="007746C5" w:rsidRDefault="007746C5" w:rsidP="009A04E6">
      <w:pPr>
        <w:pStyle w:val="Bibliography"/>
        <w:spacing w:line="240" w:lineRule="auto"/>
      </w:pPr>
      <w:r w:rsidRPr="007746C5">
        <w:t xml:space="preserve">Sheley, R. L., Svejcar, T. J., &amp; Maxwell, B. D. (1996). A Theoretical Framework for Developing Successional Weed Management Strategies on Rangeland. </w:t>
      </w:r>
      <w:r w:rsidRPr="007746C5">
        <w:rPr>
          <w:i/>
          <w:iCs/>
        </w:rPr>
        <w:t>Weed Technology</w:t>
      </w:r>
      <w:r w:rsidRPr="007746C5">
        <w:t xml:space="preserve">, </w:t>
      </w:r>
      <w:r w:rsidRPr="007746C5">
        <w:rPr>
          <w:i/>
          <w:iCs/>
        </w:rPr>
        <w:t>10</w:t>
      </w:r>
      <w:r w:rsidRPr="007746C5">
        <w:t>(4), 766–773. https://doi.org/10.1017/S0890037X00040793</w:t>
      </w:r>
    </w:p>
    <w:p w14:paraId="40CCA0E6" w14:textId="77777777" w:rsidR="007746C5" w:rsidRPr="007746C5" w:rsidRDefault="007746C5" w:rsidP="009A04E6">
      <w:pPr>
        <w:pStyle w:val="Bibliography"/>
        <w:spacing w:line="240" w:lineRule="auto"/>
      </w:pPr>
      <w:r w:rsidRPr="007746C5">
        <w:t xml:space="preserve">Shephard, R. W., Williams, S. H., &amp; Beckett, S. D. (2016). Farm economic impacts of bovine Johne’s disease in endemically infected Australian dairy herds. </w:t>
      </w:r>
      <w:r w:rsidRPr="007746C5">
        <w:rPr>
          <w:i/>
          <w:iCs/>
        </w:rPr>
        <w:t>Australian Veterinary Journal</w:t>
      </w:r>
      <w:r w:rsidRPr="007746C5">
        <w:t xml:space="preserve">, </w:t>
      </w:r>
      <w:r w:rsidRPr="007746C5">
        <w:rPr>
          <w:i/>
          <w:iCs/>
        </w:rPr>
        <w:t>94</w:t>
      </w:r>
      <w:r w:rsidRPr="007746C5">
        <w:t>(7), 232–239. https://doi.org/10.1111/avj.12455</w:t>
      </w:r>
    </w:p>
    <w:p w14:paraId="05456ABB" w14:textId="77777777" w:rsidR="007746C5" w:rsidRPr="007746C5" w:rsidRDefault="007746C5" w:rsidP="009A04E6">
      <w:pPr>
        <w:pStyle w:val="Bibliography"/>
        <w:spacing w:line="240" w:lineRule="auto"/>
      </w:pPr>
      <w:r w:rsidRPr="007746C5">
        <w:t xml:space="preserve">Sheppard, A. W., &amp; Glanzing, A. (2021). </w:t>
      </w:r>
      <w:r w:rsidRPr="007746C5">
        <w:rPr>
          <w:i/>
          <w:iCs/>
        </w:rPr>
        <w:t>Fighting plagues and predators Australia’s path towards a pest and weed-free future</w:t>
      </w:r>
      <w:r w:rsidRPr="007746C5">
        <w:t>. CSIRO. https://www.csiro.au/-/media/News-releases/2021/Fighting-plagues-and-predators/Final-FightingPlaguesPredators_WEB_211126.pdf</w:t>
      </w:r>
    </w:p>
    <w:p w14:paraId="531C2CDF" w14:textId="77777777" w:rsidR="007746C5" w:rsidRPr="007746C5" w:rsidRDefault="007746C5" w:rsidP="009A04E6">
      <w:pPr>
        <w:pStyle w:val="Bibliography"/>
        <w:spacing w:line="240" w:lineRule="auto"/>
      </w:pPr>
      <w:r w:rsidRPr="007746C5">
        <w:t xml:space="preserve">Sheppard, A. W., Hill, R., DeClerck-Floate, R. A., McClay, A., Olckers, T., Quimby, P. C., &amp; Zimmermann, H. G. (2003). A global review of risk-benefit-cost analysis for the introduction of classical biological control agents against weeds: A crisis in the making? </w:t>
      </w:r>
      <w:r w:rsidRPr="007746C5">
        <w:rPr>
          <w:i/>
          <w:iCs/>
        </w:rPr>
        <w:t>Biocontrol News and Information</w:t>
      </w:r>
      <w:r w:rsidRPr="007746C5">
        <w:t xml:space="preserve">, </w:t>
      </w:r>
      <w:r w:rsidRPr="007746C5">
        <w:rPr>
          <w:i/>
          <w:iCs/>
        </w:rPr>
        <w:t>24</w:t>
      </w:r>
      <w:r w:rsidRPr="007746C5">
        <w:t>(4), 91N-108N. https://www.cabdirect.org/cabdirect/abstract/20043008816</w:t>
      </w:r>
    </w:p>
    <w:p w14:paraId="7AF255E7" w14:textId="77777777" w:rsidR="007746C5" w:rsidRPr="007746C5" w:rsidRDefault="007746C5" w:rsidP="009A04E6">
      <w:pPr>
        <w:pStyle w:val="Bibliography"/>
        <w:spacing w:line="240" w:lineRule="auto"/>
      </w:pPr>
      <w:r w:rsidRPr="007746C5">
        <w:t xml:space="preserve">Sheppard, A. W., Hodge, P., Paynter, Q., &amp; Rees, M. (2002). Factors Affecting Invasion and Persistence of Broom Cytisus scoparius in Australia. </w:t>
      </w:r>
      <w:r w:rsidRPr="007746C5">
        <w:rPr>
          <w:i/>
          <w:iCs/>
        </w:rPr>
        <w:t>Journal of Applied Ecology</w:t>
      </w:r>
      <w:r w:rsidRPr="007746C5">
        <w:t xml:space="preserve">, </w:t>
      </w:r>
      <w:r w:rsidRPr="007746C5">
        <w:rPr>
          <w:i/>
          <w:iCs/>
        </w:rPr>
        <w:t>39</w:t>
      </w:r>
      <w:r w:rsidRPr="007746C5">
        <w:t>(5), 721–734. JSTOR. https://www.jstor.org/stable/827200</w:t>
      </w:r>
    </w:p>
    <w:p w14:paraId="3DD67887" w14:textId="77777777" w:rsidR="007746C5" w:rsidRPr="007746C5" w:rsidRDefault="007746C5" w:rsidP="009A04E6">
      <w:pPr>
        <w:pStyle w:val="Bibliography"/>
        <w:spacing w:line="240" w:lineRule="auto"/>
      </w:pPr>
      <w:r w:rsidRPr="007746C5">
        <w:t xml:space="preserve">Sheppard, A. W., Paynter, Q., Mason, P., Murphy, S., Stoett, P., Cowan, P., Brodeur, J., Warner, K., Villegas, C., Shaw, R., Hinz, H., Hill, M., &amp; Genovesi, P. (2019). IUCN SSC Invasive Species Specialist Group. The Application of Biological Control for the Management of Established Invasive Alien Species Causing Environmental Impacts. </w:t>
      </w:r>
      <w:r w:rsidRPr="007746C5">
        <w:rPr>
          <w:i/>
          <w:iCs/>
        </w:rPr>
        <w:t>The Application of Biological Control for the Management of Established Invasive Alien Species Causing Environmental Impacts. The Secretariat of the Convention on Biological Diversity Technical Series</w:t>
      </w:r>
      <w:r w:rsidRPr="007746C5">
        <w:t xml:space="preserve">, </w:t>
      </w:r>
      <w:r w:rsidRPr="007746C5">
        <w:rPr>
          <w:i/>
          <w:iCs/>
        </w:rPr>
        <w:t>Technical Series No. 91. Montreal, Canada 88 pages.</w:t>
      </w:r>
      <w:r w:rsidRPr="007746C5">
        <w:t>(91). https://www.cbd.int/doc/publications/cbd-ts-91-en.pdf</w:t>
      </w:r>
    </w:p>
    <w:p w14:paraId="67DAA563" w14:textId="77777777" w:rsidR="007746C5" w:rsidRPr="007746C5" w:rsidRDefault="007746C5" w:rsidP="009A04E6">
      <w:pPr>
        <w:pStyle w:val="Bibliography"/>
        <w:spacing w:line="240" w:lineRule="auto"/>
      </w:pPr>
      <w:r w:rsidRPr="007746C5">
        <w:t xml:space="preserve">Shine, C. (2005). Overview of the management of invasive alien species from the environmental perspective. In </w:t>
      </w:r>
      <w:r w:rsidRPr="007746C5">
        <w:rPr>
          <w:i/>
          <w:iCs/>
        </w:rPr>
        <w:t>: Identification of risks and management of invasive alien species using the IPPC framework. Proceedings of the workshop on invasive alien species and the International Plant Protection Convention (IPPC), IPPC Secretariat, Braunschweig, Germany, 22-26 September 2003. Rome, Italy, FAO</w:t>
      </w:r>
      <w:r w:rsidRPr="007746C5">
        <w:t xml:space="preserve"> (p. xii + 301). https://assets.ippc.int/static/media/files/publications/en/1065703408882_FRANCE_IUCN_Clare_Shine_1.pdf</w:t>
      </w:r>
    </w:p>
    <w:p w14:paraId="4A07B8B5" w14:textId="77777777" w:rsidR="007746C5" w:rsidRPr="007746C5" w:rsidRDefault="007746C5" w:rsidP="009A04E6">
      <w:pPr>
        <w:pStyle w:val="Bibliography"/>
        <w:spacing w:line="240" w:lineRule="auto"/>
      </w:pPr>
      <w:r w:rsidRPr="007746C5">
        <w:t xml:space="preserve">Shrestha, B. B., Shrestha, U. B., Sharma, K. P., Thapa-Parajuli, R. B., Devkota, A., &amp; Siwakoti, M. (2019). Community perception and prioritization of invasive alien plants in Chitwan-Annapurna Landscape, Nepal. </w:t>
      </w:r>
      <w:r w:rsidRPr="007746C5">
        <w:rPr>
          <w:i/>
          <w:iCs/>
        </w:rPr>
        <w:t>Journal of Environmental Management</w:t>
      </w:r>
      <w:r w:rsidRPr="007746C5">
        <w:t xml:space="preserve">, </w:t>
      </w:r>
      <w:r w:rsidRPr="007746C5">
        <w:rPr>
          <w:i/>
          <w:iCs/>
        </w:rPr>
        <w:t>229</w:t>
      </w:r>
      <w:r w:rsidRPr="007746C5">
        <w:t>, 38–47. https://doi.org/10.1016/j.jenvman.2018.06.034</w:t>
      </w:r>
    </w:p>
    <w:p w14:paraId="2545C741" w14:textId="77777777" w:rsidR="007746C5" w:rsidRPr="007746C5" w:rsidRDefault="007746C5" w:rsidP="009A04E6">
      <w:pPr>
        <w:pStyle w:val="Bibliography"/>
        <w:spacing w:line="240" w:lineRule="auto"/>
      </w:pPr>
      <w:r w:rsidRPr="007746C5">
        <w:lastRenderedPageBreak/>
        <w:t xml:space="preserve">Simberloff, D. (2001). Eradication of island invasives: Practical actions and results achieved. </w:t>
      </w:r>
      <w:r w:rsidRPr="007746C5">
        <w:rPr>
          <w:i/>
          <w:iCs/>
        </w:rPr>
        <w:t>Trends in Ecology &amp; Evolution</w:t>
      </w:r>
      <w:r w:rsidRPr="007746C5">
        <w:t xml:space="preserve">, </w:t>
      </w:r>
      <w:r w:rsidRPr="007746C5">
        <w:rPr>
          <w:i/>
          <w:iCs/>
        </w:rPr>
        <w:t>16</w:t>
      </w:r>
      <w:r w:rsidRPr="007746C5">
        <w:t>(6), 273–274. https://doi.org/10.1016/S0169-5347(01)02154-1</w:t>
      </w:r>
    </w:p>
    <w:p w14:paraId="00F9D7BE" w14:textId="77777777" w:rsidR="007746C5" w:rsidRPr="007746C5" w:rsidRDefault="007746C5" w:rsidP="009A04E6">
      <w:pPr>
        <w:pStyle w:val="Bibliography"/>
        <w:spacing w:line="240" w:lineRule="auto"/>
      </w:pPr>
      <w:r w:rsidRPr="007746C5">
        <w:t xml:space="preserve">Simberloff, D. (2003). Eradication-preventing invasions at the outset. </w:t>
      </w:r>
      <w:r w:rsidRPr="007746C5">
        <w:rPr>
          <w:i/>
          <w:iCs/>
        </w:rPr>
        <w:t>Weed Science</w:t>
      </w:r>
      <w:r w:rsidRPr="007746C5">
        <w:t xml:space="preserve">, </w:t>
      </w:r>
      <w:r w:rsidRPr="007746C5">
        <w:rPr>
          <w:i/>
          <w:iCs/>
        </w:rPr>
        <w:t>51</w:t>
      </w:r>
      <w:r w:rsidRPr="007746C5">
        <w:t>(2), 247–253. https://doi.org/10.1614/0043-1745(2003)051[0247:EPIATO]2.0.CO;2</w:t>
      </w:r>
    </w:p>
    <w:p w14:paraId="0BD6404F" w14:textId="77777777" w:rsidR="007746C5" w:rsidRPr="007746C5" w:rsidRDefault="007746C5" w:rsidP="009A04E6">
      <w:pPr>
        <w:pStyle w:val="Bibliography"/>
        <w:spacing w:line="240" w:lineRule="auto"/>
      </w:pPr>
      <w:r w:rsidRPr="007746C5">
        <w:t xml:space="preserve">Simberloff, D. (2006). Risk Assessments, Blacklists, and White Lists for Introduced Species: Are Predictions Good Enough to Be Useful? </w:t>
      </w:r>
      <w:r w:rsidRPr="007746C5">
        <w:rPr>
          <w:i/>
          <w:iCs/>
        </w:rPr>
        <w:t>Agricultural and Resource Economics Review</w:t>
      </w:r>
      <w:r w:rsidRPr="007746C5">
        <w:t xml:space="preserve">, </w:t>
      </w:r>
      <w:r w:rsidRPr="007746C5">
        <w:rPr>
          <w:i/>
          <w:iCs/>
        </w:rPr>
        <w:t>35</w:t>
      </w:r>
      <w:r w:rsidRPr="007746C5">
        <w:t>(1), 1–10. https://doi.org/10.1017/S1068280500010005</w:t>
      </w:r>
    </w:p>
    <w:p w14:paraId="356DD797" w14:textId="77777777" w:rsidR="007746C5" w:rsidRPr="007746C5" w:rsidRDefault="007746C5" w:rsidP="009A04E6">
      <w:pPr>
        <w:pStyle w:val="Bibliography"/>
        <w:spacing w:line="240" w:lineRule="auto"/>
      </w:pPr>
      <w:r w:rsidRPr="007746C5">
        <w:t xml:space="preserve">Simberloff, D. (2009). We can eliminate invasions or live with them. Successful management projects. </w:t>
      </w:r>
      <w:r w:rsidRPr="007746C5">
        <w:rPr>
          <w:i/>
          <w:iCs/>
        </w:rPr>
        <w:t>Biological Invasions</w:t>
      </w:r>
      <w:r w:rsidRPr="007746C5">
        <w:t xml:space="preserve">, </w:t>
      </w:r>
      <w:r w:rsidRPr="007746C5">
        <w:rPr>
          <w:i/>
          <w:iCs/>
        </w:rPr>
        <w:t>11</w:t>
      </w:r>
      <w:r w:rsidRPr="007746C5">
        <w:t>(1), 149–157. https://doi.org/10.1007/s10530-008-9317-z</w:t>
      </w:r>
    </w:p>
    <w:p w14:paraId="51F4865F" w14:textId="77777777" w:rsidR="007746C5" w:rsidRPr="007746C5" w:rsidRDefault="007746C5" w:rsidP="009A04E6">
      <w:pPr>
        <w:pStyle w:val="Bibliography"/>
        <w:spacing w:line="240" w:lineRule="auto"/>
      </w:pPr>
      <w:r w:rsidRPr="007746C5">
        <w:t xml:space="preserve">Simberloff, D. (2013). Eradication: Pipe Dream or Real Option? In L. C. Foxcroft, P. Pyšek, D. M. Richardson, &amp; P. Genovesi (Eds.), </w:t>
      </w:r>
      <w:r w:rsidRPr="007746C5">
        <w:rPr>
          <w:i/>
          <w:iCs/>
        </w:rPr>
        <w:t>Plant Invasions in Protected Areas</w:t>
      </w:r>
      <w:r w:rsidRPr="007746C5">
        <w:t xml:space="preserve"> (Vol. 7, pp. 549–559). Springer Netherlands. https://doi.org/10.1007/978-94-007-7750-7_25</w:t>
      </w:r>
    </w:p>
    <w:p w14:paraId="2CD3C9D2" w14:textId="77777777" w:rsidR="007746C5" w:rsidRPr="007746C5" w:rsidRDefault="007746C5" w:rsidP="009A04E6">
      <w:pPr>
        <w:pStyle w:val="Bibliography"/>
        <w:spacing w:line="240" w:lineRule="auto"/>
      </w:pPr>
      <w:r w:rsidRPr="007746C5">
        <w:t xml:space="preserve">Simberloff, D. (2021). Maintenance management and eradication of established aquatic invaders. </w:t>
      </w:r>
      <w:r w:rsidRPr="007746C5">
        <w:rPr>
          <w:i/>
          <w:iCs/>
        </w:rPr>
        <w:t>Hydrobiologia</w:t>
      </w:r>
      <w:r w:rsidRPr="007746C5">
        <w:t xml:space="preserve">, </w:t>
      </w:r>
      <w:r w:rsidRPr="007746C5">
        <w:rPr>
          <w:i/>
          <w:iCs/>
        </w:rPr>
        <w:t>848</w:t>
      </w:r>
      <w:r w:rsidRPr="007746C5">
        <w:t>(9), 2399–2420. https://doi.org/10.1007/s10750-020-04352-5</w:t>
      </w:r>
    </w:p>
    <w:p w14:paraId="53F258ED" w14:textId="77777777" w:rsidR="007746C5" w:rsidRPr="007746C5" w:rsidRDefault="007746C5" w:rsidP="009A04E6">
      <w:pPr>
        <w:pStyle w:val="Bibliography"/>
        <w:spacing w:line="240" w:lineRule="auto"/>
      </w:pPr>
      <w:r w:rsidRPr="007746C5">
        <w:t xml:space="preserve">Simberloff, D., Martin, J.-L., Genovesi, P., Maris, V., Wardle, D. A., Aronson, J., Courchamp, F., Galil, B., García-Berthou, E., Pascal, M., Pyšek, P., Sousa, R., Tabacchi, E., &amp; Vilà, M. (2013). Impacts of biological invasions: What’s what and the way forward. </w:t>
      </w:r>
      <w:r w:rsidRPr="007746C5">
        <w:rPr>
          <w:i/>
          <w:iCs/>
        </w:rPr>
        <w:t>Trends in Ecology &amp; Evolution</w:t>
      </w:r>
      <w:r w:rsidRPr="007746C5">
        <w:t xml:space="preserve">, </w:t>
      </w:r>
      <w:r w:rsidRPr="007746C5">
        <w:rPr>
          <w:i/>
          <w:iCs/>
        </w:rPr>
        <w:t>28</w:t>
      </w:r>
      <w:r w:rsidRPr="007746C5">
        <w:t>(1), 58–66. https://doi.org/10.1016/j.tree.2012.07.013</w:t>
      </w:r>
    </w:p>
    <w:p w14:paraId="134A5B8F" w14:textId="77777777" w:rsidR="007746C5" w:rsidRPr="007746C5" w:rsidRDefault="007746C5" w:rsidP="009A04E6">
      <w:pPr>
        <w:pStyle w:val="Bibliography"/>
        <w:spacing w:line="240" w:lineRule="auto"/>
      </w:pPr>
      <w:r w:rsidRPr="007746C5">
        <w:t xml:space="preserve">Simberloff, D., Parker, I. M., &amp; Windle, P. N. (2005). Introduced species policy, management, and future research needs. </w:t>
      </w:r>
      <w:r w:rsidRPr="007746C5">
        <w:rPr>
          <w:i/>
          <w:iCs/>
        </w:rPr>
        <w:t>Frontiers in Ecology and the Environment</w:t>
      </w:r>
      <w:r w:rsidRPr="007746C5">
        <w:t xml:space="preserve">, </w:t>
      </w:r>
      <w:r w:rsidRPr="007746C5">
        <w:rPr>
          <w:i/>
          <w:iCs/>
        </w:rPr>
        <w:t>3</w:t>
      </w:r>
      <w:r w:rsidRPr="007746C5">
        <w:t>(1), 12–20. https://doi.org/10.1890/1540-9295(2005)003[0012:ISPMAF]2.0.CO;2</w:t>
      </w:r>
    </w:p>
    <w:p w14:paraId="26A74029" w14:textId="77777777" w:rsidR="007746C5" w:rsidRPr="007746C5" w:rsidRDefault="007746C5" w:rsidP="009A04E6">
      <w:pPr>
        <w:pStyle w:val="Bibliography"/>
        <w:spacing w:line="240" w:lineRule="auto"/>
      </w:pPr>
      <w:r w:rsidRPr="007746C5">
        <w:t xml:space="preserve">Simberloff, D., &amp; Stiling, P. (1996). How risky is biological control? </w:t>
      </w:r>
      <w:r w:rsidRPr="007746C5">
        <w:rPr>
          <w:i/>
          <w:iCs/>
        </w:rPr>
        <w:t>Ecology</w:t>
      </w:r>
      <w:r w:rsidRPr="007746C5">
        <w:t xml:space="preserve">, </w:t>
      </w:r>
      <w:r w:rsidRPr="007746C5">
        <w:rPr>
          <w:i/>
          <w:iCs/>
        </w:rPr>
        <w:t>77</w:t>
      </w:r>
      <w:r w:rsidRPr="007746C5">
        <w:t>(7), 1965–1974. https://doi.org/10.2307/2265693</w:t>
      </w:r>
    </w:p>
    <w:p w14:paraId="79553C1C" w14:textId="77777777" w:rsidR="007746C5" w:rsidRPr="007746C5" w:rsidRDefault="007746C5" w:rsidP="009A04E6">
      <w:pPr>
        <w:pStyle w:val="Bibliography"/>
        <w:spacing w:line="240" w:lineRule="auto"/>
      </w:pPr>
      <w:r w:rsidRPr="007746C5">
        <w:t xml:space="preserve">Simon, S., Otto, M., &amp; Engelhard, M. (2018). Synthetic gene drive: Between continuity and novelty. </w:t>
      </w:r>
      <w:r w:rsidRPr="007746C5">
        <w:rPr>
          <w:i/>
          <w:iCs/>
        </w:rPr>
        <w:t>EMBO Reports</w:t>
      </w:r>
      <w:r w:rsidRPr="007746C5">
        <w:t xml:space="preserve">, </w:t>
      </w:r>
      <w:r w:rsidRPr="007746C5">
        <w:rPr>
          <w:i/>
          <w:iCs/>
        </w:rPr>
        <w:t>19</w:t>
      </w:r>
      <w:r w:rsidRPr="007746C5">
        <w:t>(5), e45760. https://doi.org/10.15252/embr.201845760</w:t>
      </w:r>
    </w:p>
    <w:p w14:paraId="55EFE87E" w14:textId="77777777" w:rsidR="007746C5" w:rsidRPr="007746C5" w:rsidRDefault="007746C5" w:rsidP="009A04E6">
      <w:pPr>
        <w:pStyle w:val="Bibliography"/>
        <w:spacing w:line="240" w:lineRule="auto"/>
      </w:pPr>
      <w:r w:rsidRPr="007746C5">
        <w:t xml:space="preserve">Simpson, A. (2004). The Global Invasive Species Information Network: What’s in It for You? </w:t>
      </w:r>
      <w:r w:rsidRPr="007746C5">
        <w:rPr>
          <w:i/>
          <w:iCs/>
        </w:rPr>
        <w:t>BioScience</w:t>
      </w:r>
      <w:r w:rsidRPr="007746C5">
        <w:t xml:space="preserve">, </w:t>
      </w:r>
      <w:r w:rsidRPr="007746C5">
        <w:rPr>
          <w:i/>
          <w:iCs/>
        </w:rPr>
        <w:t>54</w:t>
      </w:r>
      <w:r w:rsidRPr="007746C5">
        <w:t>(7), 613–614. https://doi.org/10.1641/0006-3568(2004)054[0613:TGISIN]2.0.CO;2</w:t>
      </w:r>
    </w:p>
    <w:p w14:paraId="6FB72062" w14:textId="77777777" w:rsidR="007746C5" w:rsidRPr="007746C5" w:rsidRDefault="007746C5" w:rsidP="009A04E6">
      <w:pPr>
        <w:pStyle w:val="Bibliography"/>
        <w:spacing w:line="240" w:lineRule="auto"/>
      </w:pPr>
      <w:r w:rsidRPr="007746C5">
        <w:t xml:space="preserve">Simpson, A., Jarnevich, C., Madsen, J., Westbrooks, R., Fournier, C., Mehrhoff, L., Browne, M., Graham, J., &amp; Sellers, E. (2009). Invasive species information networks: Collaboration at multiple scales for prevention, early detection, and rapid response to invasive alien species. </w:t>
      </w:r>
      <w:r w:rsidRPr="007746C5">
        <w:rPr>
          <w:i/>
          <w:iCs/>
        </w:rPr>
        <w:t>Biodiversity</w:t>
      </w:r>
      <w:r w:rsidRPr="007746C5">
        <w:t xml:space="preserve">, </w:t>
      </w:r>
      <w:r w:rsidRPr="007746C5">
        <w:rPr>
          <w:i/>
          <w:iCs/>
        </w:rPr>
        <w:t>10</w:t>
      </w:r>
      <w:r w:rsidRPr="007746C5">
        <w:t>(2–3), 5–13. https://doi.org/10.1080/14888386.2009.9712839</w:t>
      </w:r>
    </w:p>
    <w:p w14:paraId="5F623E0B" w14:textId="77777777" w:rsidR="007746C5" w:rsidRPr="007746C5" w:rsidRDefault="007746C5" w:rsidP="009A04E6">
      <w:pPr>
        <w:pStyle w:val="Bibliography"/>
        <w:spacing w:line="240" w:lineRule="auto"/>
      </w:pPr>
      <w:r w:rsidRPr="007746C5">
        <w:t xml:space="preserve">Simpson, A., Sellers, E., Grosse, A., &amp; Xie, Y. (2006). Essential elements of online information networks on invasive alien species. </w:t>
      </w:r>
      <w:r w:rsidRPr="007746C5">
        <w:rPr>
          <w:i/>
          <w:iCs/>
        </w:rPr>
        <w:t>Biological Invasions</w:t>
      </w:r>
      <w:r w:rsidRPr="007746C5">
        <w:t xml:space="preserve">, </w:t>
      </w:r>
      <w:r w:rsidRPr="007746C5">
        <w:rPr>
          <w:i/>
          <w:iCs/>
        </w:rPr>
        <w:t>8</w:t>
      </w:r>
      <w:r w:rsidRPr="007746C5">
        <w:t>(7), 1579–1587. https://doi.org/10.1007/s10530-005-5850-1</w:t>
      </w:r>
    </w:p>
    <w:p w14:paraId="56F3224F" w14:textId="77777777" w:rsidR="007746C5" w:rsidRPr="007746C5" w:rsidRDefault="007746C5" w:rsidP="009A04E6">
      <w:pPr>
        <w:pStyle w:val="Bibliography"/>
        <w:spacing w:line="240" w:lineRule="auto"/>
      </w:pPr>
      <w:r w:rsidRPr="007746C5">
        <w:t xml:space="preserve">Sims, B. G., Thierfelder, C., Kienzle, J., Friedrich, T., &amp; Kassam, A. (2012). Development of the Conservation Agriculture Equipment Industry in Sub-Saharan Africa. </w:t>
      </w:r>
      <w:r w:rsidRPr="007746C5">
        <w:rPr>
          <w:i/>
          <w:iCs/>
        </w:rPr>
        <w:t>Applied Engineering in Agriculture</w:t>
      </w:r>
      <w:r w:rsidRPr="007746C5">
        <w:t xml:space="preserve">, </w:t>
      </w:r>
      <w:r w:rsidRPr="007746C5">
        <w:rPr>
          <w:i/>
          <w:iCs/>
        </w:rPr>
        <w:t>28</w:t>
      </w:r>
      <w:r w:rsidRPr="007746C5">
        <w:t>(6), 813–823. https://doi.org/10.13031/2013.42472</w:t>
      </w:r>
    </w:p>
    <w:p w14:paraId="48780345" w14:textId="77777777" w:rsidR="007746C5" w:rsidRPr="007746C5" w:rsidRDefault="007746C5" w:rsidP="009A04E6">
      <w:pPr>
        <w:pStyle w:val="Bibliography"/>
        <w:spacing w:line="240" w:lineRule="auto"/>
      </w:pPr>
      <w:r w:rsidRPr="007746C5">
        <w:t xml:space="preserve">Sinclair, K., Curtis, A. L., Hacker, R. B., &amp; Atkinson, T. (2020). Stakeholder judgements of the social acceptability of control practices for kangaroos, unmanaged goats and feral pigs in the south-eastern rangelands of Australia. </w:t>
      </w:r>
      <w:r w:rsidRPr="007746C5">
        <w:rPr>
          <w:i/>
          <w:iCs/>
        </w:rPr>
        <w:t>The Rangeland Journal</w:t>
      </w:r>
      <w:r w:rsidRPr="007746C5">
        <w:t xml:space="preserve">, </w:t>
      </w:r>
      <w:r w:rsidRPr="007746C5">
        <w:rPr>
          <w:i/>
          <w:iCs/>
        </w:rPr>
        <w:t>41</w:t>
      </w:r>
      <w:r w:rsidRPr="007746C5">
        <w:t>(6), 485–496. https://doi.org/10.1071/RJ19047</w:t>
      </w:r>
    </w:p>
    <w:p w14:paraId="3F224E5A" w14:textId="77777777" w:rsidR="007746C5" w:rsidRPr="007746C5" w:rsidRDefault="007746C5" w:rsidP="009A04E6">
      <w:pPr>
        <w:pStyle w:val="Bibliography"/>
        <w:spacing w:line="240" w:lineRule="auto"/>
      </w:pPr>
      <w:r w:rsidRPr="007746C5">
        <w:t xml:space="preserve">Smith, D., &amp; Dunbabin, M. (2007). Automated Counting of the Northern Pacific Sea Star in the Derwent Using Shape Recognition. </w:t>
      </w:r>
      <w:r w:rsidRPr="007746C5">
        <w:rPr>
          <w:i/>
          <w:iCs/>
        </w:rPr>
        <w:t>9th Biennial Conference of the Australian Pattern Recognition Society on Digital Image Computing Techniques and Applications (DICTA 2007)</w:t>
      </w:r>
      <w:r w:rsidRPr="007746C5">
        <w:t>, 500–507. https://doi.org/10.1109/DICTA.2007.4426838</w:t>
      </w:r>
    </w:p>
    <w:p w14:paraId="222495D5" w14:textId="77777777" w:rsidR="007746C5" w:rsidRPr="007746C5" w:rsidRDefault="007746C5" w:rsidP="009A04E6">
      <w:pPr>
        <w:pStyle w:val="Bibliography"/>
        <w:spacing w:line="240" w:lineRule="auto"/>
      </w:pPr>
      <w:r w:rsidRPr="007746C5">
        <w:t xml:space="preserve">Smith, K., &amp; Kraaij, T. (2020). Research note: Trail runners as agents of alien plant introduction into protected areas. </w:t>
      </w:r>
      <w:r w:rsidRPr="007746C5">
        <w:rPr>
          <w:i/>
          <w:iCs/>
        </w:rPr>
        <w:t>Journal of Outdoor Recreation and Tourism</w:t>
      </w:r>
      <w:r w:rsidRPr="007746C5">
        <w:t xml:space="preserve">, </w:t>
      </w:r>
      <w:r w:rsidRPr="007746C5">
        <w:rPr>
          <w:i/>
          <w:iCs/>
        </w:rPr>
        <w:t>31</w:t>
      </w:r>
      <w:r w:rsidRPr="007746C5">
        <w:t>, 100315. https://doi.org/10.1016/j.jort.2020.100315</w:t>
      </w:r>
    </w:p>
    <w:p w14:paraId="7094DCA0" w14:textId="77777777" w:rsidR="007746C5" w:rsidRPr="007746C5" w:rsidRDefault="007746C5" w:rsidP="009A04E6">
      <w:pPr>
        <w:pStyle w:val="Bibliography"/>
        <w:spacing w:line="240" w:lineRule="auto"/>
      </w:pPr>
      <w:r w:rsidRPr="007746C5">
        <w:t xml:space="preserve">Smith, P. J., Page, M., Handley, S. J., McVeagh, S. M., &amp; Ekins, M. (2007). First record of the Australian ascidian </w:t>
      </w:r>
      <w:r w:rsidRPr="007746C5">
        <w:rPr>
          <w:i/>
          <w:iCs/>
        </w:rPr>
        <w:t>Eudistoma elongatum</w:t>
      </w:r>
      <w:r w:rsidRPr="007746C5">
        <w:t xml:space="preserve"> in northern New Zealand. </w:t>
      </w:r>
      <w:r w:rsidRPr="007746C5">
        <w:rPr>
          <w:i/>
          <w:iCs/>
        </w:rPr>
        <w:t xml:space="preserve">New Zealand Journal </w:t>
      </w:r>
      <w:r w:rsidRPr="007746C5">
        <w:rPr>
          <w:i/>
          <w:iCs/>
        </w:rPr>
        <w:lastRenderedPageBreak/>
        <w:t>of Marine and Freshwater Research</w:t>
      </w:r>
      <w:r w:rsidRPr="007746C5">
        <w:t xml:space="preserve">, </w:t>
      </w:r>
      <w:r w:rsidRPr="007746C5">
        <w:rPr>
          <w:i/>
          <w:iCs/>
        </w:rPr>
        <w:t>41</w:t>
      </w:r>
      <w:r w:rsidRPr="007746C5">
        <w:t>(4), 347–355. https://doi.org/10.1080/00288330709509924</w:t>
      </w:r>
    </w:p>
    <w:p w14:paraId="19E0D492" w14:textId="77777777" w:rsidR="007746C5" w:rsidRPr="007746C5" w:rsidRDefault="007746C5" w:rsidP="009A04E6">
      <w:pPr>
        <w:pStyle w:val="Bibliography"/>
        <w:spacing w:line="240" w:lineRule="auto"/>
      </w:pPr>
      <w:r w:rsidRPr="007746C5">
        <w:t xml:space="preserve">Smith, P. J., Webber, W. R., McVeagh, S. M., Inglis, G. J., &amp; Gust, N. (2003). DNA and morphological identification of an invasive swimming crab, </w:t>
      </w:r>
      <w:r w:rsidRPr="007746C5">
        <w:rPr>
          <w:i/>
          <w:iCs/>
        </w:rPr>
        <w:t>Charybdis japonica</w:t>
      </w:r>
      <w:r w:rsidRPr="007746C5">
        <w:t xml:space="preserve">, in New Zealand waters. </w:t>
      </w:r>
      <w:r w:rsidRPr="007746C5">
        <w:rPr>
          <w:i/>
          <w:iCs/>
        </w:rPr>
        <w:t>New Zealand Journal of Marine and Freshwater Research</w:t>
      </w:r>
      <w:r w:rsidRPr="007746C5">
        <w:t xml:space="preserve">, </w:t>
      </w:r>
      <w:r w:rsidRPr="007746C5">
        <w:rPr>
          <w:i/>
          <w:iCs/>
        </w:rPr>
        <w:t>37</w:t>
      </w:r>
      <w:r w:rsidRPr="007746C5">
        <w:t>(4), 753–762. https://doi.org/10.1080/00288330.2003.9517205</w:t>
      </w:r>
    </w:p>
    <w:p w14:paraId="6147B4FC" w14:textId="77777777" w:rsidR="007746C5" w:rsidRPr="007746C5" w:rsidRDefault="007746C5" w:rsidP="009A04E6">
      <w:pPr>
        <w:pStyle w:val="Bibliography"/>
        <w:spacing w:line="240" w:lineRule="auto"/>
      </w:pPr>
      <w:r w:rsidRPr="007746C5">
        <w:t xml:space="preserve">Smith, R. G., Maxwell, B. D., Menalled, F. D., &amp; Rew, L. J. (2006). Lessons from agriculture may improve the management of invasive plants in wildland systems. </w:t>
      </w:r>
      <w:r w:rsidRPr="007746C5">
        <w:rPr>
          <w:i/>
          <w:iCs/>
        </w:rPr>
        <w:t>Frontiers in Ecology and the Environment</w:t>
      </w:r>
      <w:r w:rsidRPr="007746C5">
        <w:t xml:space="preserve">, </w:t>
      </w:r>
      <w:r w:rsidRPr="007746C5">
        <w:rPr>
          <w:i/>
          <w:iCs/>
        </w:rPr>
        <w:t>4</w:t>
      </w:r>
      <w:r w:rsidRPr="007746C5">
        <w:t>(8), 428–434. https://doi.org/10.1890/1540-9295(2006)4[428:LFAMIT]2.0.CO;2</w:t>
      </w:r>
    </w:p>
    <w:p w14:paraId="16F7207C" w14:textId="77777777" w:rsidR="007746C5" w:rsidRPr="007746C5" w:rsidRDefault="007746C5" w:rsidP="009A04E6">
      <w:pPr>
        <w:pStyle w:val="Bibliography"/>
        <w:spacing w:line="240" w:lineRule="auto"/>
      </w:pPr>
      <w:r w:rsidRPr="007746C5">
        <w:t xml:space="preserve">Solow, A., Seymour, A., Beet, A., &amp; Harris, S. (2008). The untamed shrew: On the termination of an eradication programme for an introduced species. </w:t>
      </w:r>
      <w:r w:rsidRPr="007746C5">
        <w:rPr>
          <w:i/>
          <w:iCs/>
        </w:rPr>
        <w:t>Journal of Applied Ecology</w:t>
      </w:r>
      <w:r w:rsidRPr="007746C5">
        <w:t xml:space="preserve">, </w:t>
      </w:r>
      <w:r w:rsidRPr="007746C5">
        <w:rPr>
          <w:i/>
          <w:iCs/>
        </w:rPr>
        <w:t>45</w:t>
      </w:r>
      <w:r w:rsidRPr="007746C5">
        <w:t>(2), 424–427. https://doi.org/10.1111/j.1365-2664.2007.01446.x</w:t>
      </w:r>
    </w:p>
    <w:p w14:paraId="21A5EEF8" w14:textId="77777777" w:rsidR="007746C5" w:rsidRPr="007746C5" w:rsidRDefault="007746C5" w:rsidP="009A04E6">
      <w:pPr>
        <w:pStyle w:val="Bibliography"/>
        <w:spacing w:line="240" w:lineRule="auto"/>
      </w:pPr>
      <w:r w:rsidRPr="007746C5">
        <w:t xml:space="preserve">Sommer, P., Kusy, B., Jurdak, R., Kottege, N., Liu, J., Zhao, K., McKeown, A., &amp; Westcott, D. (2016). From the lab into the wild: Design and deployment methods for multi-modal tracking platforms. </w:t>
      </w:r>
      <w:r w:rsidRPr="007746C5">
        <w:rPr>
          <w:i/>
          <w:iCs/>
        </w:rPr>
        <w:t>Pervasive and Mobile Computing</w:t>
      </w:r>
      <w:r w:rsidRPr="007746C5">
        <w:t xml:space="preserve">, </w:t>
      </w:r>
      <w:r w:rsidRPr="007746C5">
        <w:rPr>
          <w:i/>
          <w:iCs/>
        </w:rPr>
        <w:t>30</w:t>
      </w:r>
      <w:r w:rsidRPr="007746C5">
        <w:t>, 1–17. https://doi.org/10.1016/j.pmcj.2015.09.003</w:t>
      </w:r>
    </w:p>
    <w:p w14:paraId="75CD633A" w14:textId="77777777" w:rsidR="007746C5" w:rsidRPr="007746C5" w:rsidRDefault="007746C5" w:rsidP="009A04E6">
      <w:pPr>
        <w:pStyle w:val="Bibliography"/>
        <w:spacing w:line="240" w:lineRule="auto"/>
      </w:pPr>
      <w:r w:rsidRPr="007746C5">
        <w:t xml:space="preserve">Sor, R., Ngor, P. B., Boets, P., Goethals, P. L. M., Lek, S., Hogan, Z. S., &amp; Park, Y.-S. (2020). Patterns of Mekong Mollusc Biodiversity: Identification of Emerging Threats and Importance to Management and Livelihoods in a Region of Globally Significant Biodiversity and Endemism. </w:t>
      </w:r>
      <w:r w:rsidRPr="007746C5">
        <w:rPr>
          <w:i/>
          <w:iCs/>
        </w:rPr>
        <w:t>Water</w:t>
      </w:r>
      <w:r w:rsidRPr="007746C5">
        <w:t xml:space="preserve">, </w:t>
      </w:r>
      <w:r w:rsidRPr="007746C5">
        <w:rPr>
          <w:i/>
          <w:iCs/>
        </w:rPr>
        <w:t>12</w:t>
      </w:r>
      <w:r w:rsidRPr="007746C5">
        <w:t>(9), Article 9. https://doi.org/10.3390/w12092619</w:t>
      </w:r>
    </w:p>
    <w:p w14:paraId="63649EAE" w14:textId="77777777" w:rsidR="007746C5" w:rsidRPr="007746C5" w:rsidRDefault="007746C5" w:rsidP="009A04E6">
      <w:pPr>
        <w:pStyle w:val="Bibliography"/>
        <w:spacing w:line="240" w:lineRule="auto"/>
      </w:pPr>
      <w:r w:rsidRPr="007746C5">
        <w:t xml:space="preserve">Sosa, A. J., Jiménez, N. L., Faltlhauser, A. C., Righetti, T., Mc Kay, F., Bruzzone, O. A., Stiers, I., &amp; Fernández Souto, A. (2021). The educational community and its knowledge and perceptions of native and invasive alien species. </w:t>
      </w:r>
      <w:r w:rsidRPr="007746C5">
        <w:rPr>
          <w:i/>
          <w:iCs/>
        </w:rPr>
        <w:t>Scientific Reports</w:t>
      </w:r>
      <w:r w:rsidRPr="007746C5">
        <w:t xml:space="preserve">, </w:t>
      </w:r>
      <w:r w:rsidRPr="007746C5">
        <w:rPr>
          <w:i/>
          <w:iCs/>
        </w:rPr>
        <w:t>11</w:t>
      </w:r>
      <w:r w:rsidRPr="007746C5">
        <w:t>(1), Article 1. https://doi.org/10.1038/s41598-021-00683-y</w:t>
      </w:r>
    </w:p>
    <w:p w14:paraId="262867BB" w14:textId="77777777" w:rsidR="007746C5" w:rsidRPr="007746C5" w:rsidRDefault="007746C5" w:rsidP="009A04E6">
      <w:pPr>
        <w:pStyle w:val="Bibliography"/>
        <w:spacing w:line="240" w:lineRule="auto"/>
      </w:pPr>
      <w:r w:rsidRPr="007746C5">
        <w:t xml:space="preserve">Soubeyran, Y., Meyer, J.-Y., Lebouvier, M., De Thoisy, B., Lavergne, C., Urtizberea, F., &amp; Kirchner, F. (2015). Dealing with invasive alien species in the French overseas territories: Results and benefits of a 7-year Initiative. </w:t>
      </w:r>
      <w:r w:rsidRPr="007746C5">
        <w:rPr>
          <w:i/>
          <w:iCs/>
        </w:rPr>
        <w:t>Biological Invasions</w:t>
      </w:r>
      <w:r w:rsidRPr="007746C5">
        <w:t xml:space="preserve">, </w:t>
      </w:r>
      <w:r w:rsidRPr="007746C5">
        <w:rPr>
          <w:i/>
          <w:iCs/>
        </w:rPr>
        <w:t>17</w:t>
      </w:r>
      <w:r w:rsidRPr="007746C5">
        <w:t>(2), 545–554. https://doi.org/10.1007/s10530-014-0766-2</w:t>
      </w:r>
    </w:p>
    <w:p w14:paraId="772047B3" w14:textId="77777777" w:rsidR="007746C5" w:rsidRPr="007746C5" w:rsidRDefault="007746C5" w:rsidP="009A04E6">
      <w:pPr>
        <w:pStyle w:val="Bibliography"/>
        <w:spacing w:line="240" w:lineRule="auto"/>
      </w:pPr>
      <w:r w:rsidRPr="007746C5">
        <w:t xml:space="preserve">Soukhaphon, A., Baird, I. G., &amp; Hogan, Z. S. (2021). The Impacts of Hydropower Dams in the Mekong River Basin: A Review. </w:t>
      </w:r>
      <w:r w:rsidRPr="007746C5">
        <w:rPr>
          <w:i/>
          <w:iCs/>
        </w:rPr>
        <w:t>Water</w:t>
      </w:r>
      <w:r w:rsidRPr="007746C5">
        <w:t xml:space="preserve">, </w:t>
      </w:r>
      <w:r w:rsidRPr="007746C5">
        <w:rPr>
          <w:i/>
          <w:iCs/>
        </w:rPr>
        <w:t>13</w:t>
      </w:r>
      <w:r w:rsidRPr="007746C5">
        <w:t>(3), 265. https://doi.org/10.3390/w13030265</w:t>
      </w:r>
    </w:p>
    <w:p w14:paraId="2C6B84E8" w14:textId="77777777" w:rsidR="007746C5" w:rsidRPr="007746C5" w:rsidRDefault="007746C5" w:rsidP="009A04E6">
      <w:pPr>
        <w:pStyle w:val="Bibliography"/>
        <w:spacing w:line="240" w:lineRule="auto"/>
      </w:pPr>
      <w:r w:rsidRPr="007746C5">
        <w:t xml:space="preserve">Sparks, T. C., &amp; Nauen, R. (2015). IRAC: Mode of action classification and insecticide resistance management. </w:t>
      </w:r>
      <w:r w:rsidRPr="007746C5">
        <w:rPr>
          <w:i/>
          <w:iCs/>
        </w:rPr>
        <w:t>Pesticide Biochemistry and Physiology</w:t>
      </w:r>
      <w:r w:rsidRPr="007746C5">
        <w:t xml:space="preserve">, </w:t>
      </w:r>
      <w:r w:rsidRPr="007746C5">
        <w:rPr>
          <w:i/>
          <w:iCs/>
        </w:rPr>
        <w:t>121</w:t>
      </w:r>
      <w:r w:rsidRPr="007746C5">
        <w:t>, 122–128. https://doi.org/10.1016/j.pestbp.2014.11.014</w:t>
      </w:r>
    </w:p>
    <w:p w14:paraId="33D67AE5" w14:textId="77777777" w:rsidR="007746C5" w:rsidRPr="007746C5" w:rsidRDefault="007746C5" w:rsidP="009A04E6">
      <w:pPr>
        <w:pStyle w:val="Bibliography"/>
        <w:spacing w:line="240" w:lineRule="auto"/>
      </w:pPr>
      <w:r w:rsidRPr="007746C5">
        <w:t xml:space="preserve">Spatz, D. R., Holmes, N. D., Will, D. J., Hein, S., Carter, Z. T., Fewster, R. M., Keitt, B., Genovesi, P., Samaniego, A., Croll, D. A., Tershy, B. R., &amp; Russell, J. C. (2022). The global contribution of invasive vertebrate eradication as a key island restoration tool. </w:t>
      </w:r>
      <w:r w:rsidRPr="007746C5">
        <w:rPr>
          <w:i/>
          <w:iCs/>
        </w:rPr>
        <w:t>Scientific Reports</w:t>
      </w:r>
      <w:r w:rsidRPr="007746C5">
        <w:t xml:space="preserve">, </w:t>
      </w:r>
      <w:r w:rsidRPr="007746C5">
        <w:rPr>
          <w:i/>
          <w:iCs/>
        </w:rPr>
        <w:t>12</w:t>
      </w:r>
      <w:r w:rsidRPr="007746C5">
        <w:t>(1), Article 1. https://doi.org/10.1038/s41598-022-14982-5</w:t>
      </w:r>
    </w:p>
    <w:p w14:paraId="46356906" w14:textId="77777777" w:rsidR="007746C5" w:rsidRPr="007746C5" w:rsidRDefault="007746C5" w:rsidP="009A04E6">
      <w:pPr>
        <w:pStyle w:val="Bibliography"/>
        <w:spacing w:line="240" w:lineRule="auto"/>
      </w:pPr>
      <w:r w:rsidRPr="007746C5">
        <w:t xml:space="preserve">Spear, D., Foxcroft, L. C., Bezuidenhout, H., &amp; McGeoch, M. A. (2013). Human population density explains alien species richness in protected areas. </w:t>
      </w:r>
      <w:r w:rsidRPr="007746C5">
        <w:rPr>
          <w:i/>
          <w:iCs/>
        </w:rPr>
        <w:t>Biological Conservation</w:t>
      </w:r>
      <w:r w:rsidRPr="007746C5">
        <w:t xml:space="preserve">, </w:t>
      </w:r>
      <w:r w:rsidRPr="007746C5">
        <w:rPr>
          <w:i/>
          <w:iCs/>
        </w:rPr>
        <w:t>159</w:t>
      </w:r>
      <w:r w:rsidRPr="007746C5">
        <w:t>, 137–147. https://doi.org/10.1016/j.biocon.2012.11.022</w:t>
      </w:r>
    </w:p>
    <w:p w14:paraId="0A0AF01D" w14:textId="77777777" w:rsidR="007746C5" w:rsidRPr="007746C5" w:rsidRDefault="007746C5" w:rsidP="009A04E6">
      <w:pPr>
        <w:pStyle w:val="Bibliography"/>
        <w:spacing w:line="240" w:lineRule="auto"/>
      </w:pPr>
      <w:r w:rsidRPr="007746C5">
        <w:t xml:space="preserve">St George, T. D. (1985). Studies on the pathogenesis of bovine ephemeral fever in sentinel cattle. I. Virology and serology. </w:t>
      </w:r>
      <w:r w:rsidRPr="007746C5">
        <w:rPr>
          <w:i/>
          <w:iCs/>
        </w:rPr>
        <w:t>Veterinary Microbiology</w:t>
      </w:r>
      <w:r w:rsidRPr="007746C5">
        <w:t xml:space="preserve">, </w:t>
      </w:r>
      <w:r w:rsidRPr="007746C5">
        <w:rPr>
          <w:i/>
          <w:iCs/>
        </w:rPr>
        <w:t>10</w:t>
      </w:r>
      <w:r w:rsidRPr="007746C5">
        <w:t>(6), 493–504. https://doi.org/10.1016/0378-1135(85)90058-6</w:t>
      </w:r>
    </w:p>
    <w:p w14:paraId="60AA2F59" w14:textId="77777777" w:rsidR="007746C5" w:rsidRPr="007746C5" w:rsidRDefault="007746C5" w:rsidP="009A04E6">
      <w:pPr>
        <w:pStyle w:val="Bibliography"/>
        <w:spacing w:line="240" w:lineRule="auto"/>
      </w:pPr>
      <w:r w:rsidRPr="007746C5">
        <w:t xml:space="preserve">Stanley, M. (2004). Review of the efficacy of baits used for ant control and eradication. </w:t>
      </w:r>
      <w:r w:rsidRPr="007746C5">
        <w:rPr>
          <w:i/>
          <w:iCs/>
        </w:rPr>
        <w:t>Landcare Research Contract Report: LC0405/044</w:t>
      </w:r>
      <w:r w:rsidRPr="007746C5">
        <w:t>, 74. https://littlefireants.com/wp-content/uploads/Stanley-2004_compressed.pdf</w:t>
      </w:r>
    </w:p>
    <w:p w14:paraId="7BE7469D" w14:textId="77777777" w:rsidR="007746C5" w:rsidRPr="007746C5" w:rsidRDefault="007746C5" w:rsidP="009A04E6">
      <w:pPr>
        <w:pStyle w:val="Bibliography"/>
        <w:spacing w:line="240" w:lineRule="auto"/>
      </w:pPr>
      <w:r w:rsidRPr="007746C5">
        <w:t xml:space="preserve">Staples, E. J., &amp; Viswanathan, S. (2008). Detection of Contrabands in Cargo Containers Using a High-Speed Gas Chromatograph with Surface Acoustic Wave Sensor. </w:t>
      </w:r>
      <w:r w:rsidRPr="007746C5">
        <w:rPr>
          <w:i/>
          <w:iCs/>
        </w:rPr>
        <w:t>Industrial &amp; Engineering Chemistry Research</w:t>
      </w:r>
      <w:r w:rsidRPr="007746C5">
        <w:t xml:space="preserve">, </w:t>
      </w:r>
      <w:r w:rsidRPr="007746C5">
        <w:rPr>
          <w:i/>
          <w:iCs/>
        </w:rPr>
        <w:t>47</w:t>
      </w:r>
      <w:r w:rsidRPr="007746C5">
        <w:t>(21), 8361–8367. https://doi.org/10.1021/ie701703y</w:t>
      </w:r>
    </w:p>
    <w:p w14:paraId="728CFAB4" w14:textId="77777777" w:rsidR="007746C5" w:rsidRPr="007746C5" w:rsidRDefault="007746C5" w:rsidP="009A04E6">
      <w:pPr>
        <w:pStyle w:val="Bibliography"/>
        <w:spacing w:line="240" w:lineRule="auto"/>
      </w:pPr>
      <w:r w:rsidRPr="007746C5">
        <w:lastRenderedPageBreak/>
        <w:t xml:space="preserve">Stephens, A. E. A., Krannitz, P. G., &amp; Myers, J. H. (2009). Plant community changes after the reduction of an invasive rangeland weed, diffuse knapweed, </w:t>
      </w:r>
      <w:r w:rsidRPr="007746C5">
        <w:rPr>
          <w:i/>
          <w:iCs/>
        </w:rPr>
        <w:t>Centaurea diffusa</w:t>
      </w:r>
      <w:r w:rsidRPr="007746C5">
        <w:t xml:space="preserve">. </w:t>
      </w:r>
      <w:r w:rsidRPr="007746C5">
        <w:rPr>
          <w:i/>
          <w:iCs/>
        </w:rPr>
        <w:t>Biological Control</w:t>
      </w:r>
      <w:r w:rsidRPr="007746C5">
        <w:t xml:space="preserve">, </w:t>
      </w:r>
      <w:r w:rsidRPr="007746C5">
        <w:rPr>
          <w:i/>
          <w:iCs/>
        </w:rPr>
        <w:t>51</w:t>
      </w:r>
      <w:r w:rsidRPr="007746C5">
        <w:t>(1), 140–146. https://doi.org/10.1016/j.biocontrol.2009.06.015</w:t>
      </w:r>
    </w:p>
    <w:p w14:paraId="257ACD65" w14:textId="77777777" w:rsidR="007746C5" w:rsidRPr="007746C5" w:rsidRDefault="007746C5" w:rsidP="009A04E6">
      <w:pPr>
        <w:pStyle w:val="Bibliography"/>
        <w:spacing w:line="240" w:lineRule="auto"/>
      </w:pPr>
      <w:r w:rsidRPr="007746C5">
        <w:t xml:space="preserve">Stevenson, M. (2004). </w:t>
      </w:r>
      <w:r w:rsidRPr="007746C5">
        <w:rPr>
          <w:i/>
          <w:iCs/>
        </w:rPr>
        <w:t>Hunters and Bureaucrats: Power, Knowledge and Aboriginal-State Relations in the Southwest Yukon</w:t>
      </w:r>
      <w:r w:rsidRPr="007746C5">
        <w:t>. https://journalhosting.ucalgary.ca/index.php/arctic/article/download/63610/47546</w:t>
      </w:r>
    </w:p>
    <w:p w14:paraId="732654DC" w14:textId="77777777" w:rsidR="007746C5" w:rsidRPr="007746C5" w:rsidRDefault="007746C5" w:rsidP="009A04E6">
      <w:pPr>
        <w:pStyle w:val="Bibliography"/>
        <w:spacing w:line="240" w:lineRule="auto"/>
      </w:pPr>
      <w:r w:rsidRPr="007746C5">
        <w:t xml:space="preserve">Stilgoe, J., Owen, R., &amp; Macnaghten, P. (2020). Developing a framework for responsible innovation. </w:t>
      </w:r>
      <w:r w:rsidRPr="007746C5">
        <w:rPr>
          <w:i/>
          <w:iCs/>
        </w:rPr>
        <w:t>Research Policy</w:t>
      </w:r>
      <w:r w:rsidRPr="007746C5">
        <w:t xml:space="preserve">, </w:t>
      </w:r>
      <w:r w:rsidRPr="007746C5">
        <w:rPr>
          <w:i/>
          <w:iCs/>
        </w:rPr>
        <w:t>42</w:t>
      </w:r>
      <w:r w:rsidRPr="007746C5">
        <w:t>(9), 1568–1580. https://doi.org/10.1016/j.respol.2013.05.008</w:t>
      </w:r>
    </w:p>
    <w:p w14:paraId="20926C77" w14:textId="77777777" w:rsidR="007746C5" w:rsidRPr="007746C5" w:rsidRDefault="007746C5" w:rsidP="009A04E6">
      <w:pPr>
        <w:pStyle w:val="Bibliography"/>
        <w:spacing w:line="240" w:lineRule="auto"/>
      </w:pPr>
      <w:r w:rsidRPr="007746C5">
        <w:t xml:space="preserve">Stohlgren, T. J., &amp; Jarnevich, C. S. (2009). Risk assessment of invasive species. In M. N. Clout &amp; P. A. Williams (Eds.), </w:t>
      </w:r>
      <w:r w:rsidRPr="007746C5">
        <w:rPr>
          <w:i/>
          <w:iCs/>
        </w:rPr>
        <w:t>Invasive species management. A handbook of principles and techniques.</w:t>
      </w:r>
      <w:r w:rsidRPr="007746C5">
        <w:t xml:space="preserve"> (pp. 19–35). Oxford University Press. https://global.oup.com/academic/product/invasive-species-management-9780199216338?cc=jp&amp;lang=en&amp;</w:t>
      </w:r>
    </w:p>
    <w:p w14:paraId="2C57E47A" w14:textId="77777777" w:rsidR="007746C5" w:rsidRPr="007746C5" w:rsidRDefault="007746C5" w:rsidP="009A04E6">
      <w:pPr>
        <w:pStyle w:val="Bibliography"/>
        <w:spacing w:line="240" w:lineRule="auto"/>
      </w:pPr>
      <w:r w:rsidRPr="007746C5">
        <w:t xml:space="preserve">Stokes, K. E., O℉Neill, K. P., Montgomery, W. I., Dick, J. T. A., Maggs, C. A., &amp; McDonald, R. A. (2006). The Importance of Stakeholder Engagement in Invasive Species Management: A Cross-jurisdictional Perspective in Ireland. </w:t>
      </w:r>
      <w:r w:rsidRPr="007746C5">
        <w:rPr>
          <w:i/>
          <w:iCs/>
        </w:rPr>
        <w:t>Biodiversity and Conservation</w:t>
      </w:r>
      <w:r w:rsidRPr="007746C5">
        <w:t xml:space="preserve">, </w:t>
      </w:r>
      <w:r w:rsidRPr="007746C5">
        <w:rPr>
          <w:i/>
          <w:iCs/>
        </w:rPr>
        <w:t>15</w:t>
      </w:r>
      <w:r w:rsidRPr="007746C5">
        <w:t>(8), 2829–2852. https://doi.org/10.1007/s10531-005-3137-6</w:t>
      </w:r>
    </w:p>
    <w:p w14:paraId="42E4EE97" w14:textId="77777777" w:rsidR="007746C5" w:rsidRPr="007746C5" w:rsidRDefault="007746C5" w:rsidP="009A04E6">
      <w:pPr>
        <w:pStyle w:val="Bibliography"/>
        <w:spacing w:line="240" w:lineRule="auto"/>
      </w:pPr>
      <w:r w:rsidRPr="007746C5">
        <w:t xml:space="preserve">Stokols, D. (1996). Translating Social Ecological Theory into Guidelines for Community Health Promotion. </w:t>
      </w:r>
      <w:r w:rsidRPr="007746C5">
        <w:rPr>
          <w:i/>
          <w:iCs/>
        </w:rPr>
        <w:t>American Journal of Health Promotion</w:t>
      </w:r>
      <w:r w:rsidRPr="007746C5">
        <w:t xml:space="preserve">, </w:t>
      </w:r>
      <w:r w:rsidRPr="007746C5">
        <w:rPr>
          <w:i/>
          <w:iCs/>
        </w:rPr>
        <w:t>10</w:t>
      </w:r>
      <w:r w:rsidRPr="007746C5">
        <w:t>(4), 282–298. https://doi.org/10.4278/0890-1171-10.4.282</w:t>
      </w:r>
    </w:p>
    <w:p w14:paraId="63A201A0" w14:textId="77777777" w:rsidR="007746C5" w:rsidRPr="007746C5" w:rsidRDefault="007746C5" w:rsidP="009A04E6">
      <w:pPr>
        <w:pStyle w:val="Bibliography"/>
        <w:spacing w:line="240" w:lineRule="auto"/>
      </w:pPr>
      <w:r w:rsidRPr="007746C5">
        <w:t xml:space="preserve">Storm, D. J., Samuel, M. D., Van Deelen, T. R., Malcolm, K. D., Rolley, R. E., Frost, N. A., Bates, D. P., &amp; Richards, B. J. (2011). Comparison of visual-based helicopter and fixed-wing forward-looking infrared surveys for counting white-tailed deer </w:t>
      </w:r>
      <w:r w:rsidRPr="007746C5">
        <w:rPr>
          <w:i/>
          <w:iCs/>
        </w:rPr>
        <w:t>Odocoileus virginianus</w:t>
      </w:r>
      <w:r w:rsidRPr="007746C5">
        <w:t xml:space="preserve">. </w:t>
      </w:r>
      <w:r w:rsidRPr="007746C5">
        <w:rPr>
          <w:i/>
          <w:iCs/>
        </w:rPr>
        <w:t>Wildlife Biology</w:t>
      </w:r>
      <w:r w:rsidRPr="007746C5">
        <w:t xml:space="preserve">, </w:t>
      </w:r>
      <w:r w:rsidRPr="007746C5">
        <w:rPr>
          <w:i/>
          <w:iCs/>
        </w:rPr>
        <w:t>17</w:t>
      </w:r>
      <w:r w:rsidRPr="007746C5">
        <w:t>(4), 431–440. https://doi.org/10.2981/10-062</w:t>
      </w:r>
    </w:p>
    <w:p w14:paraId="5925511B" w14:textId="77777777" w:rsidR="007746C5" w:rsidRPr="007746C5" w:rsidRDefault="007746C5" w:rsidP="009A04E6">
      <w:pPr>
        <w:pStyle w:val="Bibliography"/>
        <w:spacing w:line="240" w:lineRule="auto"/>
      </w:pPr>
      <w:r w:rsidRPr="007746C5">
        <w:t xml:space="preserve">Strand, J. F. (2000). Some agrometeorological aspects of pest and disease management for the 21st century. </w:t>
      </w:r>
      <w:r w:rsidRPr="007746C5">
        <w:rPr>
          <w:i/>
          <w:iCs/>
        </w:rPr>
        <w:t>Agricultural and Forest Meteorology</w:t>
      </w:r>
      <w:r w:rsidRPr="007746C5">
        <w:t xml:space="preserve">, </w:t>
      </w:r>
      <w:r w:rsidRPr="007746C5">
        <w:rPr>
          <w:i/>
          <w:iCs/>
        </w:rPr>
        <w:t>103</w:t>
      </w:r>
      <w:r w:rsidRPr="007746C5">
        <w:t>(1), 73–82. https://doi.org/10.1016/S0168-1923(00)00119-2</w:t>
      </w:r>
    </w:p>
    <w:p w14:paraId="07A56DED" w14:textId="77777777" w:rsidR="007746C5" w:rsidRPr="007746C5" w:rsidRDefault="007746C5" w:rsidP="009A04E6">
      <w:pPr>
        <w:pStyle w:val="Bibliography"/>
        <w:spacing w:line="240" w:lineRule="auto"/>
      </w:pPr>
      <w:r w:rsidRPr="007746C5">
        <w:rPr>
          <w:rFonts w:hint="eastAsia"/>
        </w:rPr>
        <w:t>Stringham, O. C., García</w:t>
      </w:r>
      <w:r w:rsidRPr="007746C5">
        <w:rPr>
          <w:rFonts w:hint="eastAsia"/>
        </w:rPr>
        <w:t>‐</w:t>
      </w:r>
      <w:r w:rsidRPr="007746C5">
        <w:rPr>
          <w:rFonts w:hint="eastAsia"/>
        </w:rPr>
        <w:t xml:space="preserve">Díaz, P., Toomes, A., Mitchell, L., Ross, J. V., &amp; Cassey, P. (2021). Live reptile smuggling is predicted by trends in the legal exotic pet trade. </w:t>
      </w:r>
      <w:r w:rsidRPr="007746C5">
        <w:rPr>
          <w:i/>
          <w:iCs/>
        </w:rPr>
        <w:t>Conservation Letters</w:t>
      </w:r>
      <w:r w:rsidRPr="007746C5">
        <w:t xml:space="preserve">, </w:t>
      </w:r>
      <w:r w:rsidRPr="007746C5">
        <w:rPr>
          <w:i/>
          <w:iCs/>
        </w:rPr>
        <w:t>14</w:t>
      </w:r>
      <w:r w:rsidRPr="007746C5">
        <w:t>(6), e12833. https://doi.org/10.1111/conl.12833</w:t>
      </w:r>
    </w:p>
    <w:p w14:paraId="7076CCE6" w14:textId="77777777" w:rsidR="007746C5" w:rsidRPr="007746C5" w:rsidRDefault="007746C5" w:rsidP="009A04E6">
      <w:pPr>
        <w:pStyle w:val="Bibliography"/>
        <w:spacing w:line="240" w:lineRule="auto"/>
      </w:pPr>
      <w:r w:rsidRPr="007746C5">
        <w:t xml:space="preserve">Suarez-Menendez, M., Planes, S., Garcia-Vazquez, E., &amp; Ardura, A. (2020). Early Alert of Biological Risk in a Coastal Lagoon Through eDNA Metabarcoding. </w:t>
      </w:r>
      <w:r w:rsidRPr="007746C5">
        <w:rPr>
          <w:i/>
          <w:iCs/>
        </w:rPr>
        <w:t>Frontiers in Ecology and Evolution</w:t>
      </w:r>
      <w:r w:rsidRPr="007746C5">
        <w:t xml:space="preserve">, </w:t>
      </w:r>
      <w:r w:rsidRPr="007746C5">
        <w:rPr>
          <w:i/>
          <w:iCs/>
        </w:rPr>
        <w:t>8</w:t>
      </w:r>
      <w:r w:rsidRPr="007746C5">
        <w:t>, 9. https://doi.org/10.3389/fevo.2020.00009</w:t>
      </w:r>
    </w:p>
    <w:p w14:paraId="189F8F6A" w14:textId="77777777" w:rsidR="007746C5" w:rsidRPr="007746C5" w:rsidRDefault="007746C5" w:rsidP="009A04E6">
      <w:pPr>
        <w:pStyle w:val="Bibliography"/>
        <w:spacing w:line="240" w:lineRule="auto"/>
      </w:pPr>
      <w:r w:rsidRPr="007746C5">
        <w:t xml:space="preserve">Suckling, D. M. (2015). Can we replace toxicants, achieve biosecurity, and generate market position with semiochemicals? </w:t>
      </w:r>
      <w:r w:rsidRPr="007746C5">
        <w:rPr>
          <w:i/>
          <w:iCs/>
        </w:rPr>
        <w:t>Frontiers in Ecology and Evolution</w:t>
      </w:r>
      <w:r w:rsidRPr="007746C5">
        <w:t xml:space="preserve">, </w:t>
      </w:r>
      <w:r w:rsidRPr="007746C5">
        <w:rPr>
          <w:i/>
          <w:iCs/>
        </w:rPr>
        <w:t>3</w:t>
      </w:r>
      <w:r w:rsidRPr="007746C5">
        <w:t>. https://doi.org/10.3389/fevo.2015.00017</w:t>
      </w:r>
    </w:p>
    <w:p w14:paraId="3C4D92BA" w14:textId="77777777" w:rsidR="007746C5" w:rsidRPr="007746C5" w:rsidRDefault="007746C5" w:rsidP="009A04E6">
      <w:pPr>
        <w:pStyle w:val="Bibliography"/>
        <w:spacing w:line="240" w:lineRule="auto"/>
      </w:pPr>
      <w:r w:rsidRPr="007746C5">
        <w:t xml:space="preserve">Suckling, D. M., Stringer, L. D., Stephens, A. E., Woods, B., Williams, D. G., Baker, G., &amp; El-Sayed, A. M. (2014). From integrated pest management to integrated pest eradication: Technologies and future needs. </w:t>
      </w:r>
      <w:r w:rsidRPr="007746C5">
        <w:rPr>
          <w:i/>
          <w:iCs/>
        </w:rPr>
        <w:t>Pest Management Science</w:t>
      </w:r>
      <w:r w:rsidRPr="007746C5">
        <w:t xml:space="preserve">, </w:t>
      </w:r>
      <w:r w:rsidRPr="007746C5">
        <w:rPr>
          <w:i/>
          <w:iCs/>
        </w:rPr>
        <w:t>70</w:t>
      </w:r>
      <w:r w:rsidRPr="007746C5">
        <w:t>(2), 179–189. https://doi.org/10.1002/ps.3670</w:t>
      </w:r>
    </w:p>
    <w:p w14:paraId="0702AC69" w14:textId="77777777" w:rsidR="007746C5" w:rsidRPr="007746C5" w:rsidRDefault="007746C5" w:rsidP="009A04E6">
      <w:pPr>
        <w:pStyle w:val="Bibliography"/>
        <w:spacing w:line="240" w:lineRule="auto"/>
      </w:pPr>
      <w:r w:rsidRPr="007746C5">
        <w:t xml:space="preserve">Sun, J., Lu, M., Gillette, N. E., &amp; Wingfield, M. J. (2013). Red Turpentine Beetle: Innocuous Native Becomes Invasive Tree Killer in China. </w:t>
      </w:r>
      <w:r w:rsidRPr="007746C5">
        <w:rPr>
          <w:i/>
          <w:iCs/>
        </w:rPr>
        <w:t>Annual Review of Entomology</w:t>
      </w:r>
      <w:r w:rsidRPr="007746C5">
        <w:t xml:space="preserve">, </w:t>
      </w:r>
      <w:r w:rsidRPr="007746C5">
        <w:rPr>
          <w:i/>
          <w:iCs/>
        </w:rPr>
        <w:t>58</w:t>
      </w:r>
      <w:r w:rsidRPr="007746C5">
        <w:t>(1), 293–311. https://doi.org/10.1146/annurev-ento-120811-153624</w:t>
      </w:r>
    </w:p>
    <w:p w14:paraId="0C9CEC86" w14:textId="77777777" w:rsidR="007746C5" w:rsidRPr="007746C5" w:rsidRDefault="007746C5" w:rsidP="009A04E6">
      <w:pPr>
        <w:pStyle w:val="Bibliography"/>
        <w:spacing w:line="240" w:lineRule="auto"/>
      </w:pPr>
      <w:r w:rsidRPr="007746C5">
        <w:t xml:space="preserve">Sun, Y., Ding, J., Siemann, E., &amp; Keller, S. R. (2020). Biocontrol of invasive weeds under climate change: Progress, challenges and management implications. </w:t>
      </w:r>
      <w:r w:rsidRPr="007746C5">
        <w:rPr>
          <w:i/>
          <w:iCs/>
        </w:rPr>
        <w:t>Current Opinion in Insect Science</w:t>
      </w:r>
      <w:r w:rsidRPr="007746C5">
        <w:t xml:space="preserve">, </w:t>
      </w:r>
      <w:r w:rsidRPr="007746C5">
        <w:rPr>
          <w:i/>
          <w:iCs/>
        </w:rPr>
        <w:t>38</w:t>
      </w:r>
      <w:r w:rsidRPr="007746C5">
        <w:t>, 72–78. https://doi.org/10.1016/j.cois.2020.02.003</w:t>
      </w:r>
    </w:p>
    <w:p w14:paraId="7B2A82E1" w14:textId="77777777" w:rsidR="007746C5" w:rsidRPr="007746C5" w:rsidRDefault="007746C5" w:rsidP="009A04E6">
      <w:pPr>
        <w:pStyle w:val="Bibliography"/>
        <w:spacing w:line="240" w:lineRule="auto"/>
      </w:pPr>
      <w:r w:rsidRPr="007746C5">
        <w:t xml:space="preserve">Sundaram, B., Krishnan, S., Hiremath, A. J., &amp; Joseph, G. (2012). Ecology and Impacts of the Invasive Species, </w:t>
      </w:r>
      <w:r w:rsidRPr="007746C5">
        <w:rPr>
          <w:i/>
          <w:iCs/>
        </w:rPr>
        <w:t>Lantana camara</w:t>
      </w:r>
      <w:r w:rsidRPr="007746C5">
        <w:t xml:space="preserve">, in a Social-Ecological System in South India: Perspectives from Local Knowledge. </w:t>
      </w:r>
      <w:r w:rsidRPr="007746C5">
        <w:rPr>
          <w:i/>
          <w:iCs/>
        </w:rPr>
        <w:t>Human Ecology</w:t>
      </w:r>
      <w:r w:rsidRPr="007746C5">
        <w:t xml:space="preserve">, </w:t>
      </w:r>
      <w:r w:rsidRPr="007746C5">
        <w:rPr>
          <w:i/>
          <w:iCs/>
        </w:rPr>
        <w:t>40</w:t>
      </w:r>
      <w:r w:rsidRPr="007746C5">
        <w:t>(6), 931–942. https://doi.org/10.1007/s10745-012-9532-1</w:t>
      </w:r>
    </w:p>
    <w:p w14:paraId="28EBE667" w14:textId="77777777" w:rsidR="007746C5" w:rsidRPr="007746C5" w:rsidRDefault="007746C5" w:rsidP="009A04E6">
      <w:pPr>
        <w:pStyle w:val="Bibliography"/>
        <w:spacing w:line="240" w:lineRule="auto"/>
      </w:pPr>
      <w:r w:rsidRPr="007746C5">
        <w:lastRenderedPageBreak/>
        <w:t xml:space="preserve">Sutherland, W. J. (Ed.). (2022). </w:t>
      </w:r>
      <w:r w:rsidRPr="007746C5">
        <w:rPr>
          <w:i/>
          <w:iCs/>
        </w:rPr>
        <w:t>Transforming Conservation: A Practical Guide to Evidence and Decision Making</w:t>
      </w:r>
      <w:r w:rsidRPr="007746C5">
        <w:t>. Open Book Publishers. https://doi.org/10.11647/obp.0321</w:t>
      </w:r>
    </w:p>
    <w:p w14:paraId="7CF2D036" w14:textId="77777777" w:rsidR="007746C5" w:rsidRPr="007746C5" w:rsidRDefault="007746C5" w:rsidP="009A04E6">
      <w:pPr>
        <w:pStyle w:val="Bibliography"/>
        <w:spacing w:line="240" w:lineRule="auto"/>
      </w:pPr>
      <w:r w:rsidRPr="007746C5">
        <w:t xml:space="preserve">Sutherland, W. J., Taylor, N. G., MacFarlane, D., Amano, T., Christie, A. P., Dicks, L. V., Lemasson, A. J., Littlewood, N. A., Martin, P. A., Ockendon, N., Petrovan, S. O., Robertson, R. J., Rocha, R., Shackelford, G. E., Smith, R. K., Tyler, E. H. M., &amp; Wordley, C. F. R. (2019). Building a tool to overcome barriers in research-implementation spaces: The Conservation Evidence database. </w:t>
      </w:r>
      <w:r w:rsidRPr="007746C5">
        <w:rPr>
          <w:i/>
          <w:iCs/>
        </w:rPr>
        <w:t>Biological Conservation</w:t>
      </w:r>
      <w:r w:rsidRPr="007746C5">
        <w:t xml:space="preserve">, </w:t>
      </w:r>
      <w:r w:rsidRPr="007746C5">
        <w:rPr>
          <w:i/>
          <w:iCs/>
        </w:rPr>
        <w:t>238</w:t>
      </w:r>
      <w:r w:rsidRPr="007746C5">
        <w:t>, 108199. https://doi.org/10.1016/j.biocon.2019.108199</w:t>
      </w:r>
    </w:p>
    <w:p w14:paraId="0A2A9CCF" w14:textId="77777777" w:rsidR="007746C5" w:rsidRPr="007746C5" w:rsidRDefault="007746C5" w:rsidP="009A04E6">
      <w:pPr>
        <w:pStyle w:val="Bibliography"/>
        <w:spacing w:line="240" w:lineRule="auto"/>
      </w:pPr>
      <w:r w:rsidRPr="007746C5">
        <w:t xml:space="preserve">Sutherst, R. W., Constable, F., Finlay, K. J., Harrington, R., Luck, J., &amp; Zalucki, M. P. (2011). Adapting to crop pest and pathogen risks under a changing climate. </w:t>
      </w:r>
      <w:r w:rsidRPr="007746C5">
        <w:rPr>
          <w:i/>
          <w:iCs/>
        </w:rPr>
        <w:t>WIREs Climate Change</w:t>
      </w:r>
      <w:r w:rsidRPr="007746C5">
        <w:t xml:space="preserve">, </w:t>
      </w:r>
      <w:r w:rsidRPr="007746C5">
        <w:rPr>
          <w:i/>
          <w:iCs/>
        </w:rPr>
        <w:t>2</w:t>
      </w:r>
      <w:r w:rsidRPr="007746C5">
        <w:t>(2), 220–237. https://doi.org/10.1002/wcc.102</w:t>
      </w:r>
    </w:p>
    <w:p w14:paraId="1FCE67F9" w14:textId="77777777" w:rsidR="007746C5" w:rsidRPr="007746C5" w:rsidRDefault="007746C5" w:rsidP="009A04E6">
      <w:pPr>
        <w:pStyle w:val="Bibliography"/>
        <w:spacing w:line="240" w:lineRule="auto"/>
      </w:pPr>
      <w:r w:rsidRPr="007746C5">
        <w:t xml:space="preserve">Swathy, N. S. (2021). </w:t>
      </w:r>
      <w:r w:rsidRPr="007746C5">
        <w:rPr>
          <w:i/>
          <w:iCs/>
        </w:rPr>
        <w:t xml:space="preserve">Early detection and Rapid Response (EDRR) Strategy and Genome Sequencing for Controlling </w:t>
      </w:r>
      <w:r w:rsidRPr="007746C5">
        <w:t>Ceroplastes cirripediformis</w:t>
      </w:r>
      <w:r w:rsidRPr="007746C5">
        <w:rPr>
          <w:i/>
          <w:iCs/>
        </w:rPr>
        <w:t xml:space="preserve"> with reference to its biological studies</w:t>
      </w:r>
      <w:r w:rsidRPr="007746C5">
        <w:t xml:space="preserve"> (M.Sc. thesis in Zoology).</w:t>
      </w:r>
    </w:p>
    <w:p w14:paraId="4C778CD4" w14:textId="77777777" w:rsidR="007746C5" w:rsidRPr="007746C5" w:rsidRDefault="007746C5" w:rsidP="009A04E6">
      <w:pPr>
        <w:pStyle w:val="Bibliography"/>
        <w:spacing w:line="240" w:lineRule="auto"/>
      </w:pPr>
      <w:r w:rsidRPr="007746C5">
        <w:t xml:space="preserve">Sweeney, J., De Groot, P., MacDonald, L., Smith, S., Cocquempot, C., Kenis, M., &amp; Gutowski, J. M. (2004). Host Volatile Attractants and Traps for Detection of </w:t>
      </w:r>
      <w:r w:rsidRPr="007746C5">
        <w:rPr>
          <w:i/>
          <w:iCs/>
        </w:rPr>
        <w:t>Tetropium fuscum</w:t>
      </w:r>
      <w:r w:rsidRPr="007746C5">
        <w:t xml:space="preserve"> (F.), </w:t>
      </w:r>
      <w:r w:rsidRPr="007746C5">
        <w:rPr>
          <w:i/>
          <w:iCs/>
        </w:rPr>
        <w:t>Tetropium castaneum</w:t>
      </w:r>
      <w:r w:rsidRPr="007746C5">
        <w:t xml:space="preserve"> L., and Other Longhorned Beetles (Coleoptera: Cerambycidae). </w:t>
      </w:r>
      <w:r w:rsidRPr="007746C5">
        <w:rPr>
          <w:i/>
          <w:iCs/>
        </w:rPr>
        <w:t>Environmental Entomology</w:t>
      </w:r>
      <w:r w:rsidRPr="007746C5">
        <w:t xml:space="preserve">, </w:t>
      </w:r>
      <w:r w:rsidRPr="007746C5">
        <w:rPr>
          <w:i/>
          <w:iCs/>
        </w:rPr>
        <w:t>33</w:t>
      </w:r>
      <w:r w:rsidRPr="007746C5">
        <w:t>(4), 844–854. https://doi.org/10.1603/0046-225X-33.4.844</w:t>
      </w:r>
    </w:p>
    <w:p w14:paraId="216284E6" w14:textId="77777777" w:rsidR="007746C5" w:rsidRPr="007746C5" w:rsidRDefault="007746C5" w:rsidP="009A04E6">
      <w:pPr>
        <w:pStyle w:val="Bibliography"/>
        <w:spacing w:line="240" w:lineRule="auto"/>
      </w:pPr>
      <w:r w:rsidRPr="007746C5">
        <w:t xml:space="preserve">Taitingfong, R. I. (2019). Islands as Laboratories: Indigenous Knowledge and Gene Drives in the Pacific. </w:t>
      </w:r>
      <w:r w:rsidRPr="007746C5">
        <w:rPr>
          <w:i/>
          <w:iCs/>
        </w:rPr>
        <w:t>Human Biology</w:t>
      </w:r>
      <w:r w:rsidRPr="007746C5">
        <w:t xml:space="preserve">, </w:t>
      </w:r>
      <w:r w:rsidRPr="007746C5">
        <w:rPr>
          <w:i/>
          <w:iCs/>
        </w:rPr>
        <w:t>91</w:t>
      </w:r>
      <w:r w:rsidRPr="007746C5">
        <w:t>(3), 179–188. https://doi.org/10.13110/humanbiology.91.3.01</w:t>
      </w:r>
    </w:p>
    <w:p w14:paraId="5B9123E6" w14:textId="77777777" w:rsidR="007746C5" w:rsidRPr="007746C5" w:rsidRDefault="007746C5" w:rsidP="009A04E6">
      <w:pPr>
        <w:pStyle w:val="Bibliography"/>
        <w:spacing w:line="240" w:lineRule="auto"/>
      </w:pPr>
      <w:r w:rsidRPr="007746C5">
        <w:t xml:space="preserve">Tambo, J. A., Aliamo, C., Davis, T., Mugambi, I., Romney, D., Onyango, D. O., Kansiime, M., Alokit, C., &amp; Byantwale, S. T. (2019). The impact of ICT-enabled extension campaign on farmers’ knowledge and management of fall armyworm in Uganda. </w:t>
      </w:r>
      <w:r w:rsidRPr="007746C5">
        <w:rPr>
          <w:i/>
          <w:iCs/>
        </w:rPr>
        <w:t>PLoS ONE</w:t>
      </w:r>
      <w:r w:rsidRPr="007746C5">
        <w:t xml:space="preserve">, </w:t>
      </w:r>
      <w:r w:rsidRPr="007746C5">
        <w:rPr>
          <w:i/>
          <w:iCs/>
        </w:rPr>
        <w:t>14</w:t>
      </w:r>
      <w:r w:rsidRPr="007746C5">
        <w:t>(8), e0220844. https://doi.org/10.1371/journal.pone.0220844</w:t>
      </w:r>
    </w:p>
    <w:p w14:paraId="6A1B1F2B" w14:textId="77777777" w:rsidR="007746C5" w:rsidRPr="007746C5" w:rsidRDefault="007746C5" w:rsidP="009A04E6">
      <w:pPr>
        <w:pStyle w:val="Bibliography"/>
        <w:spacing w:line="240" w:lineRule="auto"/>
      </w:pPr>
      <w:r w:rsidRPr="007746C5">
        <w:t>Tambo, J. A., Day, R. K., Lamontagne-Godwin, J., Silvestri, S., Beseh, P. K., Oppong-Mensah, B., Phiri, N. A., &amp; Matimelo, M. (2020). Tackling fall armyworm (</w:t>
      </w:r>
      <w:r w:rsidRPr="007746C5">
        <w:rPr>
          <w:i/>
          <w:iCs/>
        </w:rPr>
        <w:t>Spodoptera frugiperda</w:t>
      </w:r>
      <w:r w:rsidRPr="007746C5">
        <w:t xml:space="preserve">) outbreak in Africa: An analysis of farmers’ control actions. </w:t>
      </w:r>
      <w:r w:rsidRPr="007746C5">
        <w:rPr>
          <w:i/>
          <w:iCs/>
        </w:rPr>
        <w:t>International Journal of Pest Management</w:t>
      </w:r>
      <w:r w:rsidRPr="007746C5">
        <w:t xml:space="preserve">, </w:t>
      </w:r>
      <w:r w:rsidRPr="007746C5">
        <w:rPr>
          <w:i/>
          <w:iCs/>
        </w:rPr>
        <w:t>66</w:t>
      </w:r>
      <w:r w:rsidRPr="007746C5">
        <w:t>(4), 298–310. https://doi.org/10.1080/09670874.2019.1646942</w:t>
      </w:r>
    </w:p>
    <w:p w14:paraId="2D87B50D" w14:textId="77777777" w:rsidR="007746C5" w:rsidRPr="007746C5" w:rsidRDefault="007746C5" w:rsidP="009A04E6">
      <w:pPr>
        <w:pStyle w:val="Bibliography"/>
        <w:spacing w:line="240" w:lineRule="auto"/>
      </w:pPr>
      <w:r w:rsidRPr="007746C5">
        <w:t>Tambo, J. A., Kansiime, M. K., Mugambi, I., Rwomushana, I., Kenis, M., Day, R. K., &amp; Lamontagne-Godwin, J. (2020). Understanding smallholders’ responses to fall armyworm (</w:t>
      </w:r>
      <w:r w:rsidRPr="007746C5">
        <w:rPr>
          <w:i/>
          <w:iCs/>
        </w:rPr>
        <w:t>Spodoptera frugiperda</w:t>
      </w:r>
      <w:r w:rsidRPr="007746C5">
        <w:t xml:space="preserve">) invasion: Evidence from five African countries. </w:t>
      </w:r>
      <w:r w:rsidRPr="007746C5">
        <w:rPr>
          <w:i/>
          <w:iCs/>
        </w:rPr>
        <w:t>Science of the Total Environment</w:t>
      </w:r>
      <w:r w:rsidRPr="007746C5">
        <w:t xml:space="preserve">, </w:t>
      </w:r>
      <w:r w:rsidRPr="007746C5">
        <w:rPr>
          <w:i/>
          <w:iCs/>
        </w:rPr>
        <w:t>740</w:t>
      </w:r>
      <w:r w:rsidRPr="007746C5">
        <w:t>, 140015. https://doi.org/10.1016/j.scitotenv.2020.140015</w:t>
      </w:r>
    </w:p>
    <w:p w14:paraId="4A3973F0" w14:textId="77777777" w:rsidR="007746C5" w:rsidRPr="007746C5" w:rsidRDefault="007746C5" w:rsidP="009A04E6">
      <w:pPr>
        <w:pStyle w:val="Bibliography"/>
        <w:spacing w:line="240" w:lineRule="auto"/>
      </w:pPr>
      <w:r w:rsidRPr="007746C5">
        <w:t xml:space="preserve">Tambo, J. A., Romney, D., Mugambi, I., Mbugua, F., Bundi, M., Uzayisenga, B., Matimelo, M., &amp; Ndhlovu, M. (2021). Can plant clinics enhance judicious use of pesticides? Evidence from Rwanda and Zambia. </w:t>
      </w:r>
      <w:r w:rsidRPr="007746C5">
        <w:rPr>
          <w:i/>
          <w:iCs/>
        </w:rPr>
        <w:t>Food Policy</w:t>
      </w:r>
      <w:r w:rsidRPr="007746C5">
        <w:t xml:space="preserve">, </w:t>
      </w:r>
      <w:r w:rsidRPr="007746C5">
        <w:rPr>
          <w:i/>
          <w:iCs/>
        </w:rPr>
        <w:t>101</w:t>
      </w:r>
      <w:r w:rsidRPr="007746C5">
        <w:t>, 102073. https://doi.org/10.1016/j.foodpol.2021.102073</w:t>
      </w:r>
    </w:p>
    <w:p w14:paraId="19218B37" w14:textId="77777777" w:rsidR="007746C5" w:rsidRPr="007746C5" w:rsidRDefault="007746C5" w:rsidP="009A04E6">
      <w:pPr>
        <w:pStyle w:val="Bibliography"/>
        <w:spacing w:line="240" w:lineRule="auto"/>
      </w:pPr>
      <w:r w:rsidRPr="007746C5">
        <w:t xml:space="preserve">Tamburri, M. N., Davidson, I. C., First, M. R., Scianni, C., Newcomer, K., Inglis, G. J., Georgiades, E. T., Barnes, J. M., &amp; Ruiz, G. M. (2020). In-Water Cleaning and Capture to Remove Ship Biofouling: An Initial Evaluation of Efficacy and Environmental Safety. </w:t>
      </w:r>
      <w:r w:rsidRPr="007746C5">
        <w:rPr>
          <w:i/>
          <w:iCs/>
        </w:rPr>
        <w:t>Frontiers in Marine Science</w:t>
      </w:r>
      <w:r w:rsidRPr="007746C5">
        <w:t xml:space="preserve">, </w:t>
      </w:r>
      <w:r w:rsidRPr="007746C5">
        <w:rPr>
          <w:i/>
          <w:iCs/>
        </w:rPr>
        <w:t>7</w:t>
      </w:r>
      <w:r w:rsidRPr="007746C5">
        <w:t>, 437. https://doi.org/10.3389/fmars.2020.00437</w:t>
      </w:r>
    </w:p>
    <w:p w14:paraId="36E68C55" w14:textId="77777777" w:rsidR="007746C5" w:rsidRPr="007746C5" w:rsidRDefault="007746C5" w:rsidP="009A04E6">
      <w:pPr>
        <w:pStyle w:val="Bibliography"/>
        <w:spacing w:line="240" w:lineRule="auto"/>
      </w:pPr>
      <w:r w:rsidRPr="007746C5">
        <w:t xml:space="preserve">Tana, T. (2014). The MPI animal general surveillance programme. </w:t>
      </w:r>
      <w:r w:rsidRPr="007746C5">
        <w:rPr>
          <w:i/>
          <w:iCs/>
        </w:rPr>
        <w:t>Surveillance</w:t>
      </w:r>
      <w:r w:rsidRPr="007746C5">
        <w:t xml:space="preserve">, </w:t>
      </w:r>
      <w:r w:rsidRPr="007746C5">
        <w:rPr>
          <w:i/>
          <w:iCs/>
        </w:rPr>
        <w:t>41</w:t>
      </w:r>
      <w:r w:rsidRPr="007746C5">
        <w:t>(2), 5–8.</w:t>
      </w:r>
    </w:p>
    <w:p w14:paraId="45A25A11" w14:textId="77777777" w:rsidR="007746C5" w:rsidRPr="007746C5" w:rsidRDefault="007746C5" w:rsidP="009A04E6">
      <w:pPr>
        <w:pStyle w:val="Bibliography"/>
        <w:spacing w:line="240" w:lineRule="auto"/>
      </w:pPr>
      <w:r w:rsidRPr="007746C5">
        <w:t xml:space="preserve">Tanentzap, A. J., Bazely, D. R., Williams, P. A., &amp; Hoogensen, G. (2009). A Human Security Framework for the Management of Invasive Nonindigenous Plants. </w:t>
      </w:r>
      <w:r w:rsidRPr="007746C5">
        <w:rPr>
          <w:i/>
          <w:iCs/>
        </w:rPr>
        <w:t>Invasive Plant Science and Management</w:t>
      </w:r>
      <w:r w:rsidRPr="007746C5">
        <w:t xml:space="preserve">, </w:t>
      </w:r>
      <w:r w:rsidRPr="007746C5">
        <w:rPr>
          <w:i/>
          <w:iCs/>
        </w:rPr>
        <w:t>2</w:t>
      </w:r>
      <w:r w:rsidRPr="007746C5">
        <w:t>(2), 99–109. https://doi.org/10.1614/IPSM-08-127.1</w:t>
      </w:r>
    </w:p>
    <w:p w14:paraId="00661911" w14:textId="77777777" w:rsidR="007746C5" w:rsidRPr="007746C5" w:rsidRDefault="007746C5" w:rsidP="009A04E6">
      <w:pPr>
        <w:pStyle w:val="Bibliography"/>
        <w:spacing w:line="240" w:lineRule="auto"/>
      </w:pPr>
      <w:r w:rsidRPr="007746C5">
        <w:t xml:space="preserve">Tay, W. T., Rane, R. V., Padovan, A., Walsh, T. K., Elfekih, S., Downes, S., Nam, K., d’Alençon, E., Zhang, J., Wu, Y., Nègre, N., Kunz, D., Kriticos, D. J., Czepak, C., Otim, M. H., &amp; Gordon, K. H. J. (2022). Global population genomic signature of </w:t>
      </w:r>
      <w:r w:rsidRPr="007746C5">
        <w:rPr>
          <w:i/>
          <w:iCs/>
        </w:rPr>
        <w:t>Spodoptera frugiperda</w:t>
      </w:r>
      <w:r w:rsidRPr="007746C5">
        <w:t xml:space="preserve"> (fall armyworm) supports complex introduction events across the Old World. </w:t>
      </w:r>
      <w:r w:rsidRPr="007746C5">
        <w:rPr>
          <w:i/>
          <w:iCs/>
        </w:rPr>
        <w:t>Communications Biology</w:t>
      </w:r>
      <w:r w:rsidRPr="007746C5">
        <w:t xml:space="preserve">, </w:t>
      </w:r>
      <w:r w:rsidRPr="007746C5">
        <w:rPr>
          <w:i/>
          <w:iCs/>
        </w:rPr>
        <w:t>5</w:t>
      </w:r>
      <w:r w:rsidRPr="007746C5">
        <w:t>, 297. https://doi.org/10.1038/s42003-022-03230-1</w:t>
      </w:r>
    </w:p>
    <w:p w14:paraId="67DC6150" w14:textId="77777777" w:rsidR="007746C5" w:rsidRPr="007746C5" w:rsidRDefault="007746C5" w:rsidP="009A04E6">
      <w:pPr>
        <w:pStyle w:val="Bibliography"/>
        <w:spacing w:line="240" w:lineRule="auto"/>
      </w:pPr>
      <w:r w:rsidRPr="007746C5">
        <w:t xml:space="preserve">Teem, J. L., Alphey, L., Descamps, S., Edgington, M. P., Edwards, O., Gemmell, N., Harvey-Samuel, T., Melnick, R. L., Oh, K. P., Piaggio, A. J., Saah, J. R., Schill, D., Thomas, P., </w:t>
      </w:r>
      <w:r w:rsidRPr="007746C5">
        <w:lastRenderedPageBreak/>
        <w:t xml:space="preserve">Smith, T., &amp; Roberts, A. (2020). Genetic Biocontrol for Invasive Species. </w:t>
      </w:r>
      <w:r w:rsidRPr="007746C5">
        <w:rPr>
          <w:i/>
          <w:iCs/>
        </w:rPr>
        <w:t>Frontiers in Bioengineering and Biotechnology</w:t>
      </w:r>
      <w:r w:rsidRPr="007746C5">
        <w:t xml:space="preserve">, </w:t>
      </w:r>
      <w:r w:rsidRPr="007746C5">
        <w:rPr>
          <w:i/>
          <w:iCs/>
        </w:rPr>
        <w:t>8</w:t>
      </w:r>
      <w:r w:rsidRPr="007746C5">
        <w:t>, 452. https://doi.org/10.3389/fbioe.2020.00452</w:t>
      </w:r>
    </w:p>
    <w:p w14:paraId="0C8E267D" w14:textId="77777777" w:rsidR="007746C5" w:rsidRPr="007746C5" w:rsidRDefault="007746C5" w:rsidP="009A04E6">
      <w:pPr>
        <w:pStyle w:val="Bibliography"/>
        <w:spacing w:line="240" w:lineRule="auto"/>
      </w:pPr>
      <w:r w:rsidRPr="007746C5">
        <w:t xml:space="preserve">Tenllado, F., &amp; Dı́az-Ruı́z, J. R. (2001). Double-Stranded RNA-Mediated Interference with Plant Virus Infection. </w:t>
      </w:r>
      <w:r w:rsidRPr="007746C5">
        <w:rPr>
          <w:i/>
          <w:iCs/>
        </w:rPr>
        <w:t>Journal of Virology</w:t>
      </w:r>
      <w:r w:rsidRPr="007746C5">
        <w:t xml:space="preserve">, </w:t>
      </w:r>
      <w:r w:rsidRPr="007746C5">
        <w:rPr>
          <w:i/>
          <w:iCs/>
        </w:rPr>
        <w:t>75</w:t>
      </w:r>
      <w:r w:rsidRPr="007746C5">
        <w:t>(24), 12288–12297. https://doi.org/10.1128/JVI.75.24.12288-12297.2001</w:t>
      </w:r>
    </w:p>
    <w:p w14:paraId="446744E7" w14:textId="77777777" w:rsidR="007746C5" w:rsidRPr="007746C5" w:rsidRDefault="007746C5" w:rsidP="009A04E6">
      <w:pPr>
        <w:pStyle w:val="Bibliography"/>
        <w:spacing w:line="240" w:lineRule="auto"/>
      </w:pPr>
      <w:r w:rsidRPr="007746C5">
        <w:t xml:space="preserve">Terefe, B., Williams, F., &amp; Lamontagne-Godwin, J. (2020). </w:t>
      </w:r>
      <w:r w:rsidRPr="007746C5">
        <w:rPr>
          <w:i/>
          <w:iCs/>
        </w:rPr>
        <w:t>Invasive species management—Integrating a gender perspective</w:t>
      </w:r>
      <w:r w:rsidRPr="007746C5">
        <w:t>. CABI. https://doi.org/10.1079/CABICOMM-62-8140</w:t>
      </w:r>
    </w:p>
    <w:p w14:paraId="48CB344C" w14:textId="77777777" w:rsidR="007746C5" w:rsidRPr="007746C5" w:rsidRDefault="007746C5" w:rsidP="009A04E6">
      <w:pPr>
        <w:pStyle w:val="Bibliography"/>
        <w:spacing w:line="240" w:lineRule="auto"/>
      </w:pPr>
      <w:r w:rsidRPr="007746C5">
        <w:t xml:space="preserve">The Commonwealth of Australia. (2016). </w:t>
      </w:r>
      <w:r w:rsidRPr="007746C5">
        <w:rPr>
          <w:i/>
          <w:iCs/>
        </w:rPr>
        <w:t>Wetlands and Indigenous values</w:t>
      </w:r>
      <w:r w:rsidRPr="007746C5">
        <w:t>. https://www.dcceew.gov.au/sites/default/files/documents/factsheet-wetlands-indigenous-values.pdf</w:t>
      </w:r>
    </w:p>
    <w:p w14:paraId="36A23468" w14:textId="77777777" w:rsidR="007746C5" w:rsidRPr="007746C5" w:rsidRDefault="007746C5" w:rsidP="009A04E6">
      <w:pPr>
        <w:pStyle w:val="Bibliography"/>
        <w:spacing w:line="240" w:lineRule="auto"/>
      </w:pPr>
      <w:r w:rsidRPr="007746C5">
        <w:t xml:space="preserve">Thorp, J. R., &amp; Lynch, R. (2000). </w:t>
      </w:r>
      <w:r w:rsidRPr="007746C5">
        <w:rPr>
          <w:i/>
          <w:iCs/>
        </w:rPr>
        <w:t>The determination of weeds of national significance</w:t>
      </w:r>
      <w:r w:rsidRPr="007746C5">
        <w:t>. National weeds strategy executive committee.</w:t>
      </w:r>
    </w:p>
    <w:p w14:paraId="07C149BC" w14:textId="77777777" w:rsidR="007746C5" w:rsidRPr="007746C5" w:rsidRDefault="007746C5" w:rsidP="009A04E6">
      <w:pPr>
        <w:pStyle w:val="Bibliography"/>
        <w:spacing w:line="240" w:lineRule="auto"/>
      </w:pPr>
      <w:r w:rsidRPr="007746C5">
        <w:t xml:space="preserve">Thresher, R. E., Hayes, K., Bax, N. J., Teem, J., Benfey, T. J., &amp; Gould, F. (2014). Genetic control of invasive fish: Technological options and its role in integrated pest management. </w:t>
      </w:r>
      <w:r w:rsidRPr="007746C5">
        <w:rPr>
          <w:i/>
          <w:iCs/>
        </w:rPr>
        <w:t>Biological Invasions</w:t>
      </w:r>
      <w:r w:rsidRPr="007746C5">
        <w:t xml:space="preserve">, </w:t>
      </w:r>
      <w:r w:rsidRPr="007746C5">
        <w:rPr>
          <w:i/>
          <w:iCs/>
        </w:rPr>
        <w:t>16</w:t>
      </w:r>
      <w:r w:rsidRPr="007746C5">
        <w:t>(6), 1201–1216. https://doi.org/10.1007/s10530-013-0477-0</w:t>
      </w:r>
    </w:p>
    <w:p w14:paraId="1D365D82" w14:textId="77777777" w:rsidR="007746C5" w:rsidRPr="007746C5" w:rsidRDefault="007746C5" w:rsidP="009A04E6">
      <w:pPr>
        <w:pStyle w:val="Bibliography"/>
        <w:spacing w:line="240" w:lineRule="auto"/>
      </w:pPr>
      <w:r w:rsidRPr="007746C5">
        <w:t>Thresher, R. E., Jones, M., &amp; Drake, D. A. R. (2019). Evaluating active genetic options for the control of sea lamprey (</w:t>
      </w:r>
      <w:r w:rsidRPr="007746C5">
        <w:rPr>
          <w:i/>
          <w:iCs/>
        </w:rPr>
        <w:t>Petromyzon marinus</w:t>
      </w:r>
      <w:r w:rsidRPr="007746C5">
        <w:t xml:space="preserve">) in the Laurentian Great Lakes. </w:t>
      </w:r>
      <w:r w:rsidRPr="007746C5">
        <w:rPr>
          <w:i/>
          <w:iCs/>
        </w:rPr>
        <w:t>Canadian Journal of Fisheries and Aquatic Sciences</w:t>
      </w:r>
      <w:r w:rsidRPr="007746C5">
        <w:t xml:space="preserve">, </w:t>
      </w:r>
      <w:r w:rsidRPr="007746C5">
        <w:rPr>
          <w:i/>
          <w:iCs/>
        </w:rPr>
        <w:t>76</w:t>
      </w:r>
      <w:r w:rsidRPr="007746C5">
        <w:t>(7), 1186–1202. https://doi.org/10.1139/cjfas-2018-0153</w:t>
      </w:r>
    </w:p>
    <w:p w14:paraId="49ADFE25" w14:textId="77777777" w:rsidR="007746C5" w:rsidRPr="007746C5" w:rsidRDefault="007746C5" w:rsidP="009A04E6">
      <w:pPr>
        <w:pStyle w:val="Bibliography"/>
        <w:spacing w:line="240" w:lineRule="auto"/>
      </w:pPr>
      <w:r w:rsidRPr="007746C5">
        <w:t xml:space="preserve">Thresher, R. E., van de Kamp, J., Campbell, G., Grewe, P., Canning, M., Barney, M., Bax, N. J., Dunham, R., Su, B., &amp; Fulton, W. (2014). Sex-ratio-biasing constructs for the control of invasive lower vertebrates. </w:t>
      </w:r>
      <w:r w:rsidRPr="007746C5">
        <w:rPr>
          <w:i/>
          <w:iCs/>
        </w:rPr>
        <w:t>Nature Biotechnology</w:t>
      </w:r>
      <w:r w:rsidRPr="007746C5">
        <w:t xml:space="preserve">, </w:t>
      </w:r>
      <w:r w:rsidRPr="007746C5">
        <w:rPr>
          <w:i/>
          <w:iCs/>
        </w:rPr>
        <w:t>32</w:t>
      </w:r>
      <w:r w:rsidRPr="007746C5">
        <w:t>(5), Article 5. https://doi.org/10.1038/nbt.2903</w:t>
      </w:r>
    </w:p>
    <w:p w14:paraId="32FBBAF1" w14:textId="77777777" w:rsidR="007746C5" w:rsidRPr="007746C5" w:rsidRDefault="007746C5" w:rsidP="009A04E6">
      <w:pPr>
        <w:pStyle w:val="Bibliography"/>
        <w:spacing w:line="240" w:lineRule="auto"/>
      </w:pPr>
      <w:r w:rsidRPr="007746C5">
        <w:t xml:space="preserve">Thresher, R. E., Werner, M., Høeg, J. T., Svane, I., Glenner, H., Murphy, N. E., &amp; Wittwer, C. (2000). Developing the options for managing marine pests: Specificity trials on the parasitic castrator, </w:t>
      </w:r>
      <w:r w:rsidRPr="007746C5">
        <w:rPr>
          <w:i/>
          <w:iCs/>
        </w:rPr>
        <w:t>Sacculina carcini</w:t>
      </w:r>
      <w:r w:rsidRPr="007746C5">
        <w:t xml:space="preserve">, against the European crab, </w:t>
      </w:r>
      <w:r w:rsidRPr="007746C5">
        <w:rPr>
          <w:i/>
          <w:iCs/>
        </w:rPr>
        <w:t>Carcinus maenas</w:t>
      </w:r>
      <w:r w:rsidRPr="007746C5">
        <w:t xml:space="preserve">, and related species. </w:t>
      </w:r>
      <w:r w:rsidRPr="007746C5">
        <w:rPr>
          <w:i/>
          <w:iCs/>
        </w:rPr>
        <w:t>Journal of Experimental Marine Biology and Ecology</w:t>
      </w:r>
      <w:r w:rsidRPr="007746C5">
        <w:t xml:space="preserve">, </w:t>
      </w:r>
      <w:r w:rsidRPr="007746C5">
        <w:rPr>
          <w:i/>
          <w:iCs/>
        </w:rPr>
        <w:t>254</w:t>
      </w:r>
      <w:r w:rsidRPr="007746C5">
        <w:t>(1), 37–51. https://doi.org/10.1016/S0022-0981(00)00260-4</w:t>
      </w:r>
    </w:p>
    <w:p w14:paraId="7E3F7FCC" w14:textId="77777777" w:rsidR="007746C5" w:rsidRPr="007746C5" w:rsidRDefault="007746C5" w:rsidP="009A04E6">
      <w:pPr>
        <w:pStyle w:val="Bibliography"/>
        <w:spacing w:line="240" w:lineRule="auto"/>
      </w:pPr>
      <w:r w:rsidRPr="007746C5">
        <w:t xml:space="preserve">Ticktin, T., Whitehead, A. N., &amp; Fraiola, H. (2006). Traditional gathering of native hula plants in alien-invaded Hawaiian forests: Adaptive practices, impacts on alien invasive species and conservation implications. </w:t>
      </w:r>
      <w:r w:rsidRPr="007746C5">
        <w:rPr>
          <w:i/>
          <w:iCs/>
        </w:rPr>
        <w:t>Environmental Conservation</w:t>
      </w:r>
      <w:r w:rsidRPr="007746C5">
        <w:t xml:space="preserve">, </w:t>
      </w:r>
      <w:r w:rsidRPr="007746C5">
        <w:rPr>
          <w:i/>
          <w:iCs/>
        </w:rPr>
        <w:t>33</w:t>
      </w:r>
      <w:r w:rsidRPr="007746C5">
        <w:t>(3), 185–194. JSTOR. https://www.jstor.org/stable/44521908</w:t>
      </w:r>
    </w:p>
    <w:p w14:paraId="6516A38D" w14:textId="77777777" w:rsidR="007746C5" w:rsidRPr="007746C5" w:rsidRDefault="007746C5" w:rsidP="009A04E6">
      <w:pPr>
        <w:pStyle w:val="Bibliography"/>
        <w:spacing w:line="240" w:lineRule="auto"/>
      </w:pPr>
      <w:r w:rsidRPr="007746C5">
        <w:t xml:space="preserve">Tildesley, M. J., Savill, N. J., Shaw, D. J., Deardon, R., Brooks, S. P., Woolhouse, M. E. J., Grenfell, B. T., &amp; Keeling, M. J. (2006). Optimal reactive vaccination strategies for a foot-and-mouth outbreak in the UK. </w:t>
      </w:r>
      <w:r w:rsidRPr="007746C5">
        <w:rPr>
          <w:i/>
          <w:iCs/>
        </w:rPr>
        <w:t>Nature</w:t>
      </w:r>
      <w:r w:rsidRPr="007746C5">
        <w:t xml:space="preserve">, </w:t>
      </w:r>
      <w:r w:rsidRPr="007746C5">
        <w:rPr>
          <w:i/>
          <w:iCs/>
        </w:rPr>
        <w:t>440</w:t>
      </w:r>
      <w:r w:rsidRPr="007746C5">
        <w:t>(7080), 83–86. https://doi.org/10.1038/nature04324</w:t>
      </w:r>
    </w:p>
    <w:p w14:paraId="308D4E89" w14:textId="77777777" w:rsidR="007746C5" w:rsidRPr="007746C5" w:rsidRDefault="007746C5" w:rsidP="009A04E6">
      <w:pPr>
        <w:pStyle w:val="Bibliography"/>
        <w:spacing w:line="240" w:lineRule="auto"/>
      </w:pPr>
      <w:r w:rsidRPr="007746C5">
        <w:t xml:space="preserve">Tildesley, M. J., Smith, G., &amp; Keeling, M. J. (2012). Modeling the spread and control of foot-and-mouth disease in Pennsylvania following its discovery and options for control. </w:t>
      </w:r>
      <w:r w:rsidRPr="007746C5">
        <w:rPr>
          <w:i/>
          <w:iCs/>
        </w:rPr>
        <w:t>Preventive Veterinary Medicine</w:t>
      </w:r>
      <w:r w:rsidRPr="007746C5">
        <w:t xml:space="preserve">, </w:t>
      </w:r>
      <w:r w:rsidRPr="007746C5">
        <w:rPr>
          <w:i/>
          <w:iCs/>
        </w:rPr>
        <w:t>104</w:t>
      </w:r>
      <w:r w:rsidRPr="007746C5">
        <w:t>(3), 224–239. https://doi.org/10.1016/j.prevetmed.2011.11.007</w:t>
      </w:r>
    </w:p>
    <w:p w14:paraId="380AB057" w14:textId="77777777" w:rsidR="007746C5" w:rsidRPr="007746C5" w:rsidRDefault="007746C5" w:rsidP="009A04E6">
      <w:pPr>
        <w:pStyle w:val="Bibliography"/>
        <w:spacing w:line="240" w:lineRule="auto"/>
      </w:pPr>
      <w:r w:rsidRPr="007746C5">
        <w:t xml:space="preserve">Timmins, S. M., &amp; Popay, A. I. (2002). The scientific approach to managing New Zealand’s environmental weeds. </w:t>
      </w:r>
      <w:r w:rsidRPr="007746C5">
        <w:rPr>
          <w:i/>
          <w:iCs/>
        </w:rPr>
        <w:t>Defending the Green Oasis: New Zealand Biosecurity and Science: Proceedings of the New Zealand Plant Protection Society Symposium, Rotorua August</w:t>
      </w:r>
      <w:r w:rsidRPr="007746C5">
        <w:t>, 101–108.</w:t>
      </w:r>
    </w:p>
    <w:p w14:paraId="0D1BD9E4" w14:textId="77777777" w:rsidR="007746C5" w:rsidRPr="007746C5" w:rsidRDefault="007746C5" w:rsidP="009A04E6">
      <w:pPr>
        <w:pStyle w:val="Bibliography"/>
        <w:spacing w:line="240" w:lineRule="auto"/>
      </w:pPr>
      <w:r w:rsidRPr="007746C5">
        <w:t xml:space="preserve">Tobin, P. C., Kean, J. M., Suckling, D. M., McCullough, D. G., Herms, D. A., &amp; Stringer, L. D. (2014). Determinants of successful arthropod eradication programs. </w:t>
      </w:r>
      <w:r w:rsidRPr="007746C5">
        <w:rPr>
          <w:i/>
          <w:iCs/>
        </w:rPr>
        <w:t>Biological Invasions</w:t>
      </w:r>
      <w:r w:rsidRPr="007746C5">
        <w:t xml:space="preserve">, </w:t>
      </w:r>
      <w:r w:rsidRPr="007746C5">
        <w:rPr>
          <w:i/>
          <w:iCs/>
        </w:rPr>
        <w:t>16</w:t>
      </w:r>
      <w:r w:rsidRPr="007746C5">
        <w:t>(2), 401–414. https://doi.org/10.1007/s10530-013-0529-5</w:t>
      </w:r>
    </w:p>
    <w:p w14:paraId="0082C2F8" w14:textId="77777777" w:rsidR="007746C5" w:rsidRPr="007746C5" w:rsidRDefault="007746C5" w:rsidP="009A04E6">
      <w:pPr>
        <w:pStyle w:val="Bibliography"/>
        <w:spacing w:line="240" w:lineRule="auto"/>
      </w:pPr>
      <w:r w:rsidRPr="007746C5">
        <w:t xml:space="preserve">Tolentino, H., Kamadjeu, R., Fontelo, P., Liu, F., Matters, M., Pollack, M., &amp; Madoff, L. (2007). Scanning the Emerging Infectious Diseases Horizon—Visualizing ProMED Emails Using EpiSPIDER. </w:t>
      </w:r>
      <w:r w:rsidRPr="007746C5">
        <w:rPr>
          <w:i/>
          <w:iCs/>
        </w:rPr>
        <w:t>Advances in Disease Surveillance</w:t>
      </w:r>
      <w:r w:rsidRPr="007746C5">
        <w:t xml:space="preserve">, </w:t>
      </w:r>
      <w:r w:rsidRPr="007746C5">
        <w:rPr>
          <w:i/>
          <w:iCs/>
        </w:rPr>
        <w:t>2</w:t>
      </w:r>
      <w:r w:rsidRPr="007746C5">
        <w:t>, 169. https://lhncbc.nlm.nih.gov/publication/lhncbc-2007-055</w:t>
      </w:r>
    </w:p>
    <w:p w14:paraId="337E4DFB" w14:textId="77777777" w:rsidR="007746C5" w:rsidRPr="007746C5" w:rsidRDefault="007746C5" w:rsidP="009A04E6">
      <w:pPr>
        <w:pStyle w:val="Bibliography"/>
        <w:spacing w:line="240" w:lineRule="auto"/>
      </w:pPr>
      <w:r w:rsidRPr="007746C5">
        <w:t xml:space="preserve">Toral-Granda, M. V., Causton, C. E., Jäger, H., Trueman, M., Izurieta, J. C., Araujo, E., Cruz, M., Zander, K. K., Izurieta, A., &amp; Garnett, S. T. (2017). Alien species pathways to the </w:t>
      </w:r>
      <w:r w:rsidRPr="007746C5">
        <w:lastRenderedPageBreak/>
        <w:t xml:space="preserve">Galapagos Islands, Ecuador. </w:t>
      </w:r>
      <w:r w:rsidRPr="007746C5">
        <w:rPr>
          <w:i/>
          <w:iCs/>
        </w:rPr>
        <w:t>PLoS ONE</w:t>
      </w:r>
      <w:r w:rsidRPr="007746C5">
        <w:t xml:space="preserve">, </w:t>
      </w:r>
      <w:r w:rsidRPr="007746C5">
        <w:rPr>
          <w:i/>
          <w:iCs/>
        </w:rPr>
        <w:t>12</w:t>
      </w:r>
      <w:r w:rsidRPr="007746C5">
        <w:t>(9), e0184379. https://doi.org/10.1371/journal.pone.0184379</w:t>
      </w:r>
    </w:p>
    <w:p w14:paraId="0F825E45" w14:textId="77777777" w:rsidR="007746C5" w:rsidRPr="007746C5" w:rsidRDefault="007746C5" w:rsidP="009A04E6">
      <w:pPr>
        <w:pStyle w:val="Bibliography"/>
        <w:spacing w:line="240" w:lineRule="auto"/>
      </w:pPr>
      <w:r w:rsidRPr="007746C5">
        <w:t xml:space="preserve">Towns, D. R., Daugherty, C. H., Broome, K., Timmins, S., &amp; Clout, M. (2019). The thirty-year conservation revolution in New Zealand: An introduction. </w:t>
      </w:r>
      <w:r w:rsidRPr="007746C5">
        <w:rPr>
          <w:i/>
          <w:iCs/>
        </w:rPr>
        <w:t>Journal of the Royal Society of New Zealand</w:t>
      </w:r>
      <w:r w:rsidRPr="007746C5">
        <w:t xml:space="preserve">, </w:t>
      </w:r>
      <w:r w:rsidRPr="007746C5">
        <w:rPr>
          <w:i/>
          <w:iCs/>
        </w:rPr>
        <w:t>49</w:t>
      </w:r>
      <w:r w:rsidRPr="007746C5">
        <w:t>(3), 243–258. https://doi.org/10.1080/03036758.2019.1652192</w:t>
      </w:r>
    </w:p>
    <w:p w14:paraId="17673202" w14:textId="77777777" w:rsidR="007746C5" w:rsidRPr="007746C5" w:rsidRDefault="007746C5" w:rsidP="009A04E6">
      <w:pPr>
        <w:pStyle w:val="Bibliography"/>
        <w:spacing w:line="240" w:lineRule="auto"/>
      </w:pPr>
      <w:r w:rsidRPr="007746C5">
        <w:t xml:space="preserve">Tracey, J., Lane, C., Fleming, P., Dickman, C., Quinn, J., Buckmaster, T., &amp; McMahon, S. (2015). </w:t>
      </w:r>
      <w:r w:rsidRPr="007746C5">
        <w:rPr>
          <w:i/>
          <w:iCs/>
        </w:rPr>
        <w:t>2015 National Feral Cat Management Workshop Proceedings</w:t>
      </w:r>
      <w:r w:rsidRPr="007746C5">
        <w:t>. Invasive Animals Cooperative Research Centre. https://www.pestsmart.org.au/wp-content/uploads/2015/09/2015CatWorkshop_Proceedings_FINAL.pdf</w:t>
      </w:r>
    </w:p>
    <w:p w14:paraId="6CF623A5" w14:textId="77777777" w:rsidR="007746C5" w:rsidRPr="007746C5" w:rsidRDefault="007746C5" w:rsidP="009A04E6">
      <w:pPr>
        <w:pStyle w:val="Bibliography"/>
        <w:spacing w:line="240" w:lineRule="auto"/>
      </w:pPr>
      <w:r w:rsidRPr="007746C5">
        <w:t xml:space="preserve">Trouvé, R., &amp; Robinson, A. P. (2021). Estimating Consignment-Level Infestation Rates from the Proportion of Consignment that Failed Border Inspection: Possibilities and Limitations in the Presence of Overdispersed Data. </w:t>
      </w:r>
      <w:r w:rsidRPr="007746C5">
        <w:rPr>
          <w:i/>
          <w:iCs/>
        </w:rPr>
        <w:t>Risk Analysis</w:t>
      </w:r>
      <w:r w:rsidRPr="007746C5">
        <w:t xml:space="preserve">, </w:t>
      </w:r>
      <w:r w:rsidRPr="007746C5">
        <w:rPr>
          <w:i/>
          <w:iCs/>
        </w:rPr>
        <w:t>41</w:t>
      </w:r>
      <w:r w:rsidRPr="007746C5">
        <w:t>(6), 992–1003. https://doi.org/10.1111/risa.13592</w:t>
      </w:r>
    </w:p>
    <w:p w14:paraId="39C259E1" w14:textId="77777777" w:rsidR="007746C5" w:rsidRPr="007746C5" w:rsidRDefault="007746C5" w:rsidP="009A04E6">
      <w:pPr>
        <w:pStyle w:val="Bibliography"/>
        <w:spacing w:line="240" w:lineRule="auto"/>
      </w:pPr>
      <w:r w:rsidRPr="007746C5">
        <w:t xml:space="preserve">Trowbridge, C. C., Stanley, A., Kaye, T. N., Dunwiddie, P. W., &amp; Williams, J. L. (2017). Long-term effects of prairie restoration on plant community structure and native population dynamics. </w:t>
      </w:r>
      <w:r w:rsidRPr="007746C5">
        <w:rPr>
          <w:i/>
          <w:iCs/>
        </w:rPr>
        <w:t>Restoration Ecology</w:t>
      </w:r>
      <w:r w:rsidRPr="007746C5">
        <w:t xml:space="preserve">, </w:t>
      </w:r>
      <w:r w:rsidRPr="007746C5">
        <w:rPr>
          <w:i/>
          <w:iCs/>
        </w:rPr>
        <w:t>25</w:t>
      </w:r>
      <w:r w:rsidRPr="007746C5">
        <w:t>(4), 559–568. https://doi.org/10.1111/rec.12468</w:t>
      </w:r>
    </w:p>
    <w:p w14:paraId="6FFEE261" w14:textId="77777777" w:rsidR="007746C5" w:rsidRPr="007746C5" w:rsidRDefault="007746C5" w:rsidP="009A04E6">
      <w:pPr>
        <w:pStyle w:val="Bibliography"/>
        <w:spacing w:line="240" w:lineRule="auto"/>
      </w:pPr>
      <w:r w:rsidRPr="007746C5">
        <w:t xml:space="preserve">Truelove, N. K., Patin, N. V., Min, M., Pitz, K. J., Preston, C. M., Yamahara, K. M., Zhang, Y., Raanan, B. Y., Kieft, B., Hobson, B., Thompson, L. R., Goodwin, K. D., &amp; Chavez, F. P. (2022). Expanding the temporal and spatial scales of environmental DNA research with autonomous sampling. </w:t>
      </w:r>
      <w:r w:rsidRPr="007746C5">
        <w:rPr>
          <w:i/>
          <w:iCs/>
        </w:rPr>
        <w:t>Environmental DNA</w:t>
      </w:r>
      <w:r w:rsidRPr="007746C5">
        <w:t xml:space="preserve">, </w:t>
      </w:r>
      <w:r w:rsidRPr="007746C5">
        <w:rPr>
          <w:i/>
          <w:iCs/>
        </w:rPr>
        <w:t>4</w:t>
      </w:r>
      <w:r w:rsidRPr="007746C5">
        <w:t>(4), 972–984. https://doi.org/10.1002/edn3.299</w:t>
      </w:r>
    </w:p>
    <w:p w14:paraId="203F94AF" w14:textId="77777777" w:rsidR="007746C5" w:rsidRPr="007746C5" w:rsidRDefault="007746C5" w:rsidP="009A04E6">
      <w:pPr>
        <w:pStyle w:val="Bibliography"/>
        <w:spacing w:line="240" w:lineRule="auto"/>
      </w:pPr>
      <w:r w:rsidRPr="007746C5">
        <w:t xml:space="preserve">Tucker, K. C., &amp; Richardson, D. M. (1995). An expert system for screening potentially invasive alien plants in South African fynbos. </w:t>
      </w:r>
      <w:r w:rsidRPr="007746C5">
        <w:rPr>
          <w:i/>
          <w:iCs/>
        </w:rPr>
        <w:t>Journal of Environmental Management</w:t>
      </w:r>
      <w:r w:rsidRPr="007746C5">
        <w:t xml:space="preserve">, </w:t>
      </w:r>
      <w:r w:rsidRPr="007746C5">
        <w:rPr>
          <w:i/>
          <w:iCs/>
        </w:rPr>
        <w:t>44</w:t>
      </w:r>
      <w:r w:rsidRPr="007746C5">
        <w:t>(4), 309–338. https://doi.org/10.1016/S0301-4797(95)90347-X</w:t>
      </w:r>
    </w:p>
    <w:p w14:paraId="4237B15A" w14:textId="77777777" w:rsidR="007746C5" w:rsidRPr="007746C5" w:rsidRDefault="007746C5" w:rsidP="009A04E6">
      <w:pPr>
        <w:pStyle w:val="Bibliography"/>
        <w:spacing w:line="240" w:lineRule="auto"/>
      </w:pPr>
      <w:r w:rsidRPr="007746C5">
        <w:t xml:space="preserve">Twigg, L. E., Martin, G. R., &amp; Lowe, T. J. (2002). Evidence of pesticide resistance in medium-sized mammalian pests: A case study with 1080 poison and Australian rabbits. </w:t>
      </w:r>
      <w:r w:rsidRPr="007746C5">
        <w:rPr>
          <w:i/>
          <w:iCs/>
        </w:rPr>
        <w:t>Journal of Applied Ecology</w:t>
      </w:r>
      <w:r w:rsidRPr="007746C5">
        <w:t xml:space="preserve">, </w:t>
      </w:r>
      <w:r w:rsidRPr="007746C5">
        <w:rPr>
          <w:i/>
          <w:iCs/>
        </w:rPr>
        <w:t>39</w:t>
      </w:r>
      <w:r w:rsidRPr="007746C5">
        <w:t>(4), 549–560. https://doi.org/10.1046/j.1365-2664.2002.00738.x</w:t>
      </w:r>
    </w:p>
    <w:p w14:paraId="6D9B90E0" w14:textId="77777777" w:rsidR="007746C5" w:rsidRPr="007746C5" w:rsidRDefault="007746C5" w:rsidP="009A04E6">
      <w:pPr>
        <w:pStyle w:val="Bibliography"/>
        <w:spacing w:line="240" w:lineRule="auto"/>
      </w:pPr>
      <w:r w:rsidRPr="007746C5">
        <w:t xml:space="preserve">UNEP. (2011). </w:t>
      </w:r>
      <w:r w:rsidRPr="007746C5">
        <w:rPr>
          <w:i/>
          <w:iCs/>
        </w:rPr>
        <w:t>The strategic plan for biodiversity 2011–2020 and the Aichi biodiversity targets</w:t>
      </w:r>
      <w:r w:rsidRPr="007746C5">
        <w:t>. UNEP/CBD/COP/DEC/X/2 29 October 2010, Nagoya, Japan. COP CBD Tenth Meeting. www.cbd.int/decisions/cop/?m=cop-10</w:t>
      </w:r>
    </w:p>
    <w:p w14:paraId="0411D0A6" w14:textId="77777777" w:rsidR="007746C5" w:rsidRPr="007746C5" w:rsidRDefault="007746C5" w:rsidP="009A04E6">
      <w:pPr>
        <w:pStyle w:val="Bibliography"/>
        <w:spacing w:line="240" w:lineRule="auto"/>
      </w:pPr>
      <w:r w:rsidRPr="007746C5">
        <w:t xml:space="preserve">Upadhyay, B., Burra, D. D., Nguyen, T. T., &amp; Wyckhuys, K. A. G. (2020). Caught off guard: Folk knowledge proves deficient when addressing invasive pests in Asian cassava systems. </w:t>
      </w:r>
      <w:r w:rsidRPr="007746C5">
        <w:rPr>
          <w:i/>
          <w:iCs/>
        </w:rPr>
        <w:t>Environment, Development and Sustainability</w:t>
      </w:r>
      <w:r w:rsidRPr="007746C5">
        <w:t xml:space="preserve">, </w:t>
      </w:r>
      <w:r w:rsidRPr="007746C5">
        <w:rPr>
          <w:i/>
          <w:iCs/>
        </w:rPr>
        <w:t>22</w:t>
      </w:r>
      <w:r w:rsidRPr="007746C5">
        <w:t>(1), 425–445. https://doi.org/10.1007/s10668-018-0208-x</w:t>
      </w:r>
    </w:p>
    <w:p w14:paraId="3A7E19BE" w14:textId="77777777" w:rsidR="007746C5" w:rsidRPr="007746C5" w:rsidRDefault="007746C5" w:rsidP="009A04E6">
      <w:pPr>
        <w:pStyle w:val="Bibliography"/>
        <w:spacing w:line="240" w:lineRule="auto"/>
      </w:pPr>
      <w:r w:rsidRPr="007746C5">
        <w:t xml:space="preserve">UPGE. (2020). </w:t>
      </w:r>
      <w:r w:rsidRPr="007746C5">
        <w:rPr>
          <w:i/>
          <w:iCs/>
        </w:rPr>
        <w:t>Préconisations pour une meilleure prise en compte du risque de dissémination des espèces végétales exotiques envahissantes (EVEE) terrestres dans les projets de travaux.</w:t>
      </w:r>
      <w:r w:rsidRPr="007746C5">
        <w:t xml:space="preserve"> https://www.genieecologique.fr/reference-biblio/preconisations-pour-une-meilleure-prise-en-compte-du-risque-de-dissemination-des</w:t>
      </w:r>
    </w:p>
    <w:p w14:paraId="12AE52A9" w14:textId="77777777" w:rsidR="007746C5" w:rsidRPr="007746C5" w:rsidRDefault="007746C5" w:rsidP="009A04E6">
      <w:pPr>
        <w:pStyle w:val="Bibliography"/>
        <w:spacing w:line="240" w:lineRule="auto"/>
      </w:pPr>
      <w:r w:rsidRPr="007746C5">
        <w:t xml:space="preserve">Usher, M. B. (1988). Biological invasions of nature reserves: A search for generalisations. </w:t>
      </w:r>
      <w:r w:rsidRPr="007746C5">
        <w:rPr>
          <w:i/>
          <w:iCs/>
        </w:rPr>
        <w:t>Biological Conservation</w:t>
      </w:r>
      <w:r w:rsidRPr="007746C5">
        <w:t xml:space="preserve">, </w:t>
      </w:r>
      <w:r w:rsidRPr="007746C5">
        <w:rPr>
          <w:i/>
          <w:iCs/>
        </w:rPr>
        <w:t>44</w:t>
      </w:r>
      <w:r w:rsidRPr="007746C5">
        <w:t>(1–2), 119–135. https://doi.org/10.1016/0006-3207(88)90007-9</w:t>
      </w:r>
    </w:p>
    <w:p w14:paraId="44A5DF8E" w14:textId="77777777" w:rsidR="007746C5" w:rsidRPr="007746C5" w:rsidRDefault="007746C5" w:rsidP="009A04E6">
      <w:pPr>
        <w:pStyle w:val="Bibliography"/>
        <w:spacing w:line="240" w:lineRule="auto"/>
      </w:pPr>
      <w:r w:rsidRPr="007746C5">
        <w:t xml:space="preserve">Usseglio, P., Selwyn, J. D., Downey-Wall, A. M., &amp; Hogan, J. D. (2017). Effectiveness of removals of the invasive lionfish: How many dives are needed to deplete a reef? </w:t>
      </w:r>
      <w:r w:rsidRPr="007746C5">
        <w:rPr>
          <w:i/>
          <w:iCs/>
        </w:rPr>
        <w:t>PeerJ</w:t>
      </w:r>
      <w:r w:rsidRPr="007746C5">
        <w:t xml:space="preserve">, </w:t>
      </w:r>
      <w:r w:rsidRPr="007746C5">
        <w:rPr>
          <w:i/>
          <w:iCs/>
        </w:rPr>
        <w:t>5</w:t>
      </w:r>
      <w:r w:rsidRPr="007746C5">
        <w:t>, e3043. https://doi.org/10.7717/peerj.3043</w:t>
      </w:r>
    </w:p>
    <w:p w14:paraId="2A7E3356" w14:textId="77777777" w:rsidR="007746C5" w:rsidRPr="007746C5" w:rsidRDefault="007746C5" w:rsidP="009A04E6">
      <w:pPr>
        <w:pStyle w:val="Bibliography"/>
        <w:spacing w:line="240" w:lineRule="auto"/>
      </w:pPr>
      <w:r w:rsidRPr="007746C5">
        <w:t xml:space="preserve">van de Kant, K. D., van der Sande, L. J., Jöbsis, Q., van Schayck, O. C., &amp; Dompeling, E. (2012). Clinical use of exhaled volatile organic compounds in pulmonary diseases: A systematic review. </w:t>
      </w:r>
      <w:r w:rsidRPr="007746C5">
        <w:rPr>
          <w:i/>
          <w:iCs/>
        </w:rPr>
        <w:t>Respiratory Research</w:t>
      </w:r>
      <w:r w:rsidRPr="007746C5">
        <w:t xml:space="preserve">, </w:t>
      </w:r>
      <w:r w:rsidRPr="007746C5">
        <w:rPr>
          <w:i/>
          <w:iCs/>
        </w:rPr>
        <w:t>13</w:t>
      </w:r>
      <w:r w:rsidRPr="007746C5">
        <w:t>(1), 117. https://doi.org/10.1186/1465-9921-13-117</w:t>
      </w:r>
    </w:p>
    <w:p w14:paraId="46844189" w14:textId="77777777" w:rsidR="007746C5" w:rsidRPr="007746C5" w:rsidRDefault="007746C5" w:rsidP="009A04E6">
      <w:pPr>
        <w:pStyle w:val="Bibliography"/>
        <w:spacing w:line="240" w:lineRule="auto"/>
      </w:pPr>
      <w:r w:rsidRPr="007746C5">
        <w:t xml:space="preserve">van der Bles, A. M. (2019). Be certainly uncertain. </w:t>
      </w:r>
      <w:r w:rsidRPr="007746C5">
        <w:rPr>
          <w:i/>
          <w:iCs/>
        </w:rPr>
        <w:t>New Scientist</w:t>
      </w:r>
      <w:r w:rsidRPr="007746C5">
        <w:t xml:space="preserve">, </w:t>
      </w:r>
      <w:r w:rsidRPr="007746C5">
        <w:rPr>
          <w:i/>
          <w:iCs/>
        </w:rPr>
        <w:t>243</w:t>
      </w:r>
      <w:r w:rsidRPr="007746C5">
        <w:t>(3237), 21. https://doi.org/10.1016/S0262-4079(19)31224-2</w:t>
      </w:r>
    </w:p>
    <w:p w14:paraId="5AD2EFB2" w14:textId="77777777" w:rsidR="007746C5" w:rsidRPr="007746C5" w:rsidRDefault="007746C5" w:rsidP="009A04E6">
      <w:pPr>
        <w:pStyle w:val="Bibliography"/>
        <w:spacing w:line="240" w:lineRule="auto"/>
      </w:pPr>
      <w:r w:rsidRPr="007746C5">
        <w:t xml:space="preserve">Van der Colff, D., Kumschick, S., Foden, W., &amp; Wilson, J. R. U. (2020). Comparing the IUCN’s EICAT and Red List to improve assessments of the impact of biological invasions. </w:t>
      </w:r>
      <w:r w:rsidRPr="007746C5">
        <w:rPr>
          <w:i/>
          <w:iCs/>
        </w:rPr>
        <w:t>NeoBiota</w:t>
      </w:r>
      <w:r w:rsidRPr="007746C5">
        <w:t xml:space="preserve">, </w:t>
      </w:r>
      <w:r w:rsidRPr="007746C5">
        <w:rPr>
          <w:i/>
          <w:iCs/>
        </w:rPr>
        <w:t>62</w:t>
      </w:r>
      <w:r w:rsidRPr="007746C5">
        <w:t>, 509–523. https://doi.org/10.3897/neobiota.62.52623</w:t>
      </w:r>
    </w:p>
    <w:p w14:paraId="69427214" w14:textId="77777777" w:rsidR="007746C5" w:rsidRPr="007746C5" w:rsidRDefault="007746C5" w:rsidP="009A04E6">
      <w:pPr>
        <w:pStyle w:val="Bibliography"/>
        <w:spacing w:line="240" w:lineRule="auto"/>
      </w:pPr>
      <w:r w:rsidRPr="007746C5">
        <w:lastRenderedPageBreak/>
        <w:t xml:space="preserve">Van Driesche, R. G., Carruthers, R. I., Center, T., Hoddle, M. S., Hough-Goldstein, J., Morin, L., Smith, L., Wagner, D. L., Blossey, B., Brancatini, V., Casagrande, R., Causton, C. E., Coetzee, J. A., Cuda, J., Ding, J., Fowler, S. V., Frank, J. H., Fuester, R., Goolsby, J., … van Klinken, R. D. (2010). Classical biological control for the protection of natural ecosystems. </w:t>
      </w:r>
      <w:r w:rsidRPr="007746C5">
        <w:rPr>
          <w:i/>
          <w:iCs/>
        </w:rPr>
        <w:t>Biological Control</w:t>
      </w:r>
      <w:r w:rsidRPr="007746C5">
        <w:t xml:space="preserve">, </w:t>
      </w:r>
      <w:r w:rsidRPr="007746C5">
        <w:rPr>
          <w:i/>
          <w:iCs/>
        </w:rPr>
        <w:t>54</w:t>
      </w:r>
      <w:r w:rsidRPr="007746C5">
        <w:t>(Supplement 1), S2–S33. https://doi.org/10.1016/j.biocontrol.2010.03.003</w:t>
      </w:r>
    </w:p>
    <w:p w14:paraId="351F511E" w14:textId="77777777" w:rsidR="007746C5" w:rsidRPr="007746C5" w:rsidRDefault="007746C5" w:rsidP="009A04E6">
      <w:pPr>
        <w:pStyle w:val="Bibliography"/>
        <w:spacing w:line="240" w:lineRule="auto"/>
      </w:pPr>
      <w:r w:rsidRPr="007746C5">
        <w:t xml:space="preserve">van Eeden, L. M., Newsome, T. M., Crowther, M. S., Dickman, C. R., &amp; Bruskotter, J. (2020). Diverse public perceptions of species’ status and management align with conflicting conservation frameworks. </w:t>
      </w:r>
      <w:r w:rsidRPr="007746C5">
        <w:rPr>
          <w:i/>
          <w:iCs/>
        </w:rPr>
        <w:t>Biological Conservation</w:t>
      </w:r>
      <w:r w:rsidRPr="007746C5">
        <w:t xml:space="preserve">, </w:t>
      </w:r>
      <w:r w:rsidRPr="007746C5">
        <w:rPr>
          <w:i/>
          <w:iCs/>
        </w:rPr>
        <w:t>242</w:t>
      </w:r>
      <w:r w:rsidRPr="007746C5">
        <w:t>, 108416. https://doi.org/10.1016/j.biocon.2020.108416</w:t>
      </w:r>
    </w:p>
    <w:p w14:paraId="0D77BC4D" w14:textId="77777777" w:rsidR="007746C5" w:rsidRPr="007746C5" w:rsidRDefault="007746C5" w:rsidP="009A04E6">
      <w:pPr>
        <w:pStyle w:val="Bibliography"/>
        <w:spacing w:line="240" w:lineRule="auto"/>
      </w:pPr>
      <w:r w:rsidRPr="007746C5">
        <w:t xml:space="preserve">van Kleunen, M., Essl, F., Pergl, J., Brundu, G., Carboni, M., Dullinger, S., Early, R., González-Moreno, P., Groom, Q. J., Hulme, P. E., Kueffer, C., Kühn, I., Máguas, C., Maurel, N., Novoa, A., Parepa, M., Pyšek, P., Seebens, H., Tanner, R., … Dehnen-Schmutz, K. (2018). The changing role of ornamental horticulture in alien plant invasions. </w:t>
      </w:r>
      <w:r w:rsidRPr="007746C5">
        <w:rPr>
          <w:i/>
          <w:iCs/>
        </w:rPr>
        <w:t>Biological Reviews</w:t>
      </w:r>
      <w:r w:rsidRPr="007746C5">
        <w:t xml:space="preserve">, </w:t>
      </w:r>
      <w:r w:rsidRPr="007746C5">
        <w:rPr>
          <w:i/>
          <w:iCs/>
        </w:rPr>
        <w:t>93</w:t>
      </w:r>
      <w:r w:rsidRPr="007746C5">
        <w:t>(3), 1421–1437. https://doi.org/10.1111/brv.12402</w:t>
      </w:r>
    </w:p>
    <w:p w14:paraId="457F85A1" w14:textId="77777777" w:rsidR="007746C5" w:rsidRPr="007746C5" w:rsidRDefault="007746C5" w:rsidP="009A04E6">
      <w:pPr>
        <w:pStyle w:val="Bibliography"/>
        <w:spacing w:line="240" w:lineRule="auto"/>
      </w:pPr>
      <w:r w:rsidRPr="007746C5">
        <w:t xml:space="preserve">van Klinken, R. D., Fiedler, K., Kingham, L., Collins, K., &amp; Barbour, D. (2020). A risk framework for using systems approaches to manage horticultural biosecurity risks for market access. </w:t>
      </w:r>
      <w:r w:rsidRPr="007746C5">
        <w:rPr>
          <w:i/>
          <w:iCs/>
        </w:rPr>
        <w:t>Crop Protection</w:t>
      </w:r>
      <w:r w:rsidRPr="007746C5">
        <w:t xml:space="preserve">, </w:t>
      </w:r>
      <w:r w:rsidRPr="007746C5">
        <w:rPr>
          <w:i/>
          <w:iCs/>
        </w:rPr>
        <w:t>129</w:t>
      </w:r>
      <w:r w:rsidRPr="007746C5">
        <w:t>, 104994. https://doi.org/10.1016/j.cropro.2019.104994</w:t>
      </w:r>
    </w:p>
    <w:p w14:paraId="4836390B" w14:textId="77777777" w:rsidR="007746C5" w:rsidRPr="007746C5" w:rsidRDefault="007746C5" w:rsidP="009A04E6">
      <w:pPr>
        <w:pStyle w:val="Bibliography"/>
        <w:spacing w:line="240" w:lineRule="auto"/>
      </w:pPr>
      <w:r w:rsidRPr="007746C5">
        <w:t xml:space="preserve">van Klinken, R. D., Morin, L., Sheppard, A., &amp; Raghu, S. (2016). Experts know more than just facts: Eliciting functional understanding to help prioritise weed biological control targets. </w:t>
      </w:r>
      <w:r w:rsidRPr="007746C5">
        <w:rPr>
          <w:i/>
          <w:iCs/>
        </w:rPr>
        <w:t>Biological Invasions</w:t>
      </w:r>
      <w:r w:rsidRPr="007746C5">
        <w:t xml:space="preserve">, </w:t>
      </w:r>
      <w:r w:rsidRPr="007746C5">
        <w:rPr>
          <w:i/>
          <w:iCs/>
        </w:rPr>
        <w:t>18</w:t>
      </w:r>
      <w:r w:rsidRPr="007746C5">
        <w:t>(10), 2853–2870. https://doi.org/10.1007/s10530-016-1175-5</w:t>
      </w:r>
    </w:p>
    <w:p w14:paraId="633746BE" w14:textId="77777777" w:rsidR="007746C5" w:rsidRPr="007746C5" w:rsidRDefault="007746C5" w:rsidP="009A04E6">
      <w:pPr>
        <w:pStyle w:val="Bibliography"/>
        <w:spacing w:line="240" w:lineRule="auto"/>
      </w:pPr>
      <w:r w:rsidRPr="007746C5">
        <w:t xml:space="preserve">van Rees, C. B., Hand, B. K., Carter, S. C., Bargeron, C., Cline, T. J., Daniel, W., Ferrante, J. A., Gaddis, K., Hunter, M. E., Jarnevich, C. S., McGeoch, M. A., Morisette, J. T., Neilson, M. E., Roy, H. E., Rozance, M. A., Sepulveda, A., Wallace, R. D., Whited, D., Wilcox, T., … Luikart, G. (2022). A framework to integrate innovations in invasion science for proactive management. </w:t>
      </w:r>
      <w:r w:rsidRPr="007746C5">
        <w:rPr>
          <w:i/>
          <w:iCs/>
        </w:rPr>
        <w:t>Biological Reviews</w:t>
      </w:r>
      <w:r w:rsidRPr="007746C5">
        <w:t xml:space="preserve">, </w:t>
      </w:r>
      <w:r w:rsidRPr="007746C5">
        <w:rPr>
          <w:i/>
          <w:iCs/>
        </w:rPr>
        <w:t>97</w:t>
      </w:r>
      <w:r w:rsidRPr="007746C5">
        <w:t>(4), 1712–1735. https://doi.org/10.1111/brv.12859</w:t>
      </w:r>
    </w:p>
    <w:p w14:paraId="5AA1C881" w14:textId="77777777" w:rsidR="007746C5" w:rsidRPr="007746C5" w:rsidRDefault="007746C5" w:rsidP="009A04E6">
      <w:pPr>
        <w:pStyle w:val="Bibliography"/>
        <w:spacing w:line="240" w:lineRule="auto"/>
      </w:pPr>
      <w:r w:rsidRPr="007746C5">
        <w:t xml:space="preserve">van Wilgen, B. W. (2012). Evidence, perceptions, and trade-offs associated with invasive alien plant control in the Table Mountain National Park, South Africa. </w:t>
      </w:r>
      <w:r w:rsidRPr="007746C5">
        <w:rPr>
          <w:i/>
          <w:iCs/>
        </w:rPr>
        <w:t>Ecology and Society</w:t>
      </w:r>
      <w:r w:rsidRPr="007746C5">
        <w:t xml:space="preserve">, </w:t>
      </w:r>
      <w:r w:rsidRPr="007746C5">
        <w:rPr>
          <w:i/>
          <w:iCs/>
        </w:rPr>
        <w:t>17</w:t>
      </w:r>
      <w:r w:rsidRPr="007746C5">
        <w:t>(2), 23. https://doi.org/10.5751/ES-04590-170223</w:t>
      </w:r>
    </w:p>
    <w:p w14:paraId="0B95E2C5" w14:textId="77777777" w:rsidR="007746C5" w:rsidRPr="007746C5" w:rsidRDefault="007746C5" w:rsidP="009A04E6">
      <w:pPr>
        <w:pStyle w:val="Bibliography"/>
        <w:spacing w:line="240" w:lineRule="auto"/>
      </w:pPr>
      <w:r w:rsidRPr="007746C5">
        <w:t xml:space="preserve">van Wilgen, B. W., De Wit, M. P., Anderson, H. J., Le Maitre, D. C., Kotze, I. M., Ndala, S., Brown, B., &amp; Rapholo, M. B. (2004). Costs and benefits of biological control of invasive alien plants: Case studies from South Africa. </w:t>
      </w:r>
      <w:r w:rsidRPr="007746C5">
        <w:rPr>
          <w:i/>
          <w:iCs/>
        </w:rPr>
        <w:t>South African Journal of Science</w:t>
      </w:r>
      <w:r w:rsidRPr="007746C5">
        <w:t xml:space="preserve">, </w:t>
      </w:r>
      <w:r w:rsidRPr="007746C5">
        <w:rPr>
          <w:i/>
          <w:iCs/>
        </w:rPr>
        <w:t>100</w:t>
      </w:r>
      <w:r w:rsidRPr="007746C5">
        <w:t>(1–2), 113–122. https://www.dws.gov.za/wfw/docs/VanWilgenetal.,2004.pdf</w:t>
      </w:r>
    </w:p>
    <w:p w14:paraId="1029543F" w14:textId="77777777" w:rsidR="007746C5" w:rsidRPr="007746C5" w:rsidRDefault="007746C5" w:rsidP="009A04E6">
      <w:pPr>
        <w:pStyle w:val="Bibliography"/>
        <w:spacing w:line="240" w:lineRule="auto"/>
      </w:pPr>
      <w:r w:rsidRPr="007746C5">
        <w:t xml:space="preserve">van Wilgen, B. W., Forsyth, G. G., Le Maitre, D. C., Wannenburgh, A., Kotzé, J. D. F., van den Berg, E., &amp; Henderson, L. (2012). An assessment of the effectiveness of a large, national-scale invasive alien plant control strategy in South Africa. </w:t>
      </w:r>
      <w:r w:rsidRPr="007746C5">
        <w:rPr>
          <w:i/>
          <w:iCs/>
        </w:rPr>
        <w:t>Biological Conservation</w:t>
      </w:r>
      <w:r w:rsidRPr="007746C5">
        <w:t xml:space="preserve">, </w:t>
      </w:r>
      <w:r w:rsidRPr="007746C5">
        <w:rPr>
          <w:i/>
          <w:iCs/>
        </w:rPr>
        <w:t>148</w:t>
      </w:r>
      <w:r w:rsidRPr="007746C5">
        <w:t>(1), 28–38. https://doi.org/10.1016/j.biocon.2011.12.035</w:t>
      </w:r>
    </w:p>
    <w:p w14:paraId="1C919C9A" w14:textId="77777777" w:rsidR="007746C5" w:rsidRPr="007746C5" w:rsidRDefault="007746C5" w:rsidP="009A04E6">
      <w:pPr>
        <w:pStyle w:val="Bibliography"/>
        <w:spacing w:line="240" w:lineRule="auto"/>
      </w:pPr>
      <w:r w:rsidRPr="007746C5">
        <w:t xml:space="preserve">van Wilgen, B. W., &amp; Richardson, D. M. (2014). Challenges and trade-offs in the management of invasive alien trees. </w:t>
      </w:r>
      <w:r w:rsidRPr="007746C5">
        <w:rPr>
          <w:i/>
          <w:iCs/>
        </w:rPr>
        <w:t>Biological Invasions</w:t>
      </w:r>
      <w:r w:rsidRPr="007746C5">
        <w:t xml:space="preserve">, </w:t>
      </w:r>
      <w:r w:rsidRPr="007746C5">
        <w:rPr>
          <w:i/>
          <w:iCs/>
        </w:rPr>
        <w:t>16</w:t>
      </w:r>
      <w:r w:rsidRPr="007746C5">
        <w:t>(3), 721–734. https://doi.org/10.1007/s10530-013-0615-8</w:t>
      </w:r>
    </w:p>
    <w:p w14:paraId="19317DC4" w14:textId="77777777" w:rsidR="007746C5" w:rsidRPr="007746C5" w:rsidRDefault="007746C5" w:rsidP="009A04E6">
      <w:pPr>
        <w:pStyle w:val="Bibliography"/>
        <w:spacing w:line="240" w:lineRule="auto"/>
      </w:pPr>
      <w:r w:rsidRPr="007746C5">
        <w:t xml:space="preserve">van Wilgen, B. W., &amp; Wannenburgh, A. (2016). Co-facilitating invasive species control, water conservation and poverty relief: Achievements and challenges in South Africa’s Working for Water programme. </w:t>
      </w:r>
      <w:r w:rsidRPr="007746C5">
        <w:rPr>
          <w:i/>
          <w:iCs/>
        </w:rPr>
        <w:t>Current Opinion in Environmental Sustainability</w:t>
      </w:r>
      <w:r w:rsidRPr="007746C5">
        <w:t xml:space="preserve">, </w:t>
      </w:r>
      <w:r w:rsidRPr="007746C5">
        <w:rPr>
          <w:i/>
          <w:iCs/>
        </w:rPr>
        <w:t>19</w:t>
      </w:r>
      <w:r w:rsidRPr="007746C5">
        <w:t>, 7–17. https://doi.org/10.1016/j.cosust.2015.08.012</w:t>
      </w:r>
    </w:p>
    <w:p w14:paraId="1AB27610" w14:textId="77777777" w:rsidR="007746C5" w:rsidRPr="007746C5" w:rsidRDefault="007746C5" w:rsidP="009A04E6">
      <w:pPr>
        <w:pStyle w:val="Bibliography"/>
        <w:spacing w:line="240" w:lineRule="auto"/>
      </w:pPr>
      <w:r w:rsidRPr="007746C5">
        <w:t xml:space="preserve">van Wilgen, B. W., Wilson, J. R., Wannenburgh, A., &amp; Foxcroft, L. C. (2020). The Extent and Effectiveness of Alien Plant Control Projects in South Africa. In B. W. van Wilgen, J. Measey, D. M. Richardson, J. R. Wilson, &amp; T. A. Zengeya (Eds.), </w:t>
      </w:r>
      <w:r w:rsidRPr="007746C5">
        <w:rPr>
          <w:i/>
          <w:iCs/>
        </w:rPr>
        <w:t>Biological Invasions in South Africa</w:t>
      </w:r>
      <w:r w:rsidRPr="007746C5">
        <w:t xml:space="preserve"> (Vol. 14, pp. 597–628). Springer International Publishing. https://doi.org/10.1007/978-3-030-32394-3_21</w:t>
      </w:r>
    </w:p>
    <w:p w14:paraId="4B67FD95" w14:textId="77777777" w:rsidR="007746C5" w:rsidRPr="007746C5" w:rsidRDefault="007746C5" w:rsidP="009A04E6">
      <w:pPr>
        <w:pStyle w:val="Bibliography"/>
        <w:spacing w:line="240" w:lineRule="auto"/>
      </w:pPr>
      <w:r w:rsidRPr="007746C5">
        <w:t xml:space="preserve">van Zalinger, R. (2006). </w:t>
      </w:r>
      <w:r w:rsidRPr="007746C5">
        <w:rPr>
          <w:i/>
          <w:iCs/>
        </w:rPr>
        <w:t xml:space="preserve">An assessment of exotic species in the Tonle Sap Biosphere Reserve and associated threats to biodiversity. A resource document for the management of invasive </w:t>
      </w:r>
      <w:r w:rsidRPr="007746C5">
        <w:rPr>
          <w:i/>
          <w:iCs/>
        </w:rPr>
        <w:lastRenderedPageBreak/>
        <w:t>alien species.</w:t>
      </w:r>
      <w:r w:rsidRPr="007746C5">
        <w:t xml:space="preserve"> (p. 96). UNDP/GEF-funded Tonle Sap Conservation Project. https://library.wcs.org/doi/ctl/view/mid/33065/pubid/DMX1252900000.aspx</w:t>
      </w:r>
    </w:p>
    <w:p w14:paraId="6F7818B0" w14:textId="77777777" w:rsidR="007746C5" w:rsidRPr="007746C5" w:rsidRDefault="007746C5" w:rsidP="009A04E6">
      <w:pPr>
        <w:pStyle w:val="Bibliography"/>
        <w:spacing w:line="240" w:lineRule="auto"/>
      </w:pPr>
      <w:r w:rsidRPr="007746C5">
        <w:t xml:space="preserve">Vanderhoeven, S., Adriaens, T., D’hondt, B., Van Gossum, H., Vandegehuchte, M., Verreycken, H., Cigar, J., &amp; Branquart, E. (2015). A science-based approach to tackle invasive alien species in Belgium – the role of the ISEIA protocol and the Harmonia information system as decision support tools. </w:t>
      </w:r>
      <w:r w:rsidRPr="007746C5">
        <w:rPr>
          <w:i/>
          <w:iCs/>
        </w:rPr>
        <w:t>Management of Biological Invasions</w:t>
      </w:r>
      <w:r w:rsidRPr="007746C5">
        <w:t xml:space="preserve">, </w:t>
      </w:r>
      <w:r w:rsidRPr="007746C5">
        <w:rPr>
          <w:i/>
          <w:iCs/>
        </w:rPr>
        <w:t>6</w:t>
      </w:r>
      <w:r w:rsidRPr="007746C5">
        <w:t>(2), 197–208. https://doi.org/10.3391/mbi.2015.6.2.10</w:t>
      </w:r>
    </w:p>
    <w:p w14:paraId="6D5816CA" w14:textId="77777777" w:rsidR="007746C5" w:rsidRPr="007746C5" w:rsidRDefault="007746C5" w:rsidP="009A04E6">
      <w:pPr>
        <w:pStyle w:val="Bibliography"/>
        <w:spacing w:line="240" w:lineRule="auto"/>
      </w:pPr>
      <w:r w:rsidRPr="007746C5">
        <w:t xml:space="preserve">Vanderhoeven, S., Branquart, E., Casaer, J., D’hondt, B., Hulme, P. E., Shwartz, A., Strubbe, D., Turbé, A., Verreycken, H., &amp; Adriaens, T. (2017). Beyond protocols: Improving the reliability of expert-based risk analysis underpinning invasive species policies. </w:t>
      </w:r>
      <w:r w:rsidRPr="007746C5">
        <w:rPr>
          <w:i/>
          <w:iCs/>
        </w:rPr>
        <w:t>Biological Invasions</w:t>
      </w:r>
      <w:r w:rsidRPr="007746C5">
        <w:t xml:space="preserve">, </w:t>
      </w:r>
      <w:r w:rsidRPr="007746C5">
        <w:rPr>
          <w:i/>
          <w:iCs/>
        </w:rPr>
        <w:t>19</w:t>
      </w:r>
      <w:r w:rsidRPr="007746C5">
        <w:t>(9), 2507–2517. https://doi.org/10.1007/s10530-017-1434-0</w:t>
      </w:r>
    </w:p>
    <w:p w14:paraId="676F3127" w14:textId="77777777" w:rsidR="007746C5" w:rsidRPr="007746C5" w:rsidRDefault="007746C5" w:rsidP="009A04E6">
      <w:pPr>
        <w:pStyle w:val="Bibliography"/>
        <w:spacing w:line="240" w:lineRule="auto"/>
      </w:pPr>
      <w:r w:rsidRPr="007746C5">
        <w:t xml:space="preserve">Vannatta, A. R., Hauer, R. H., &amp; Schuettpelz, N. M. (2012). Economic Analysis of Emerald Ash Borer (Coleoptera: Buprestidae) Management Options. </w:t>
      </w:r>
      <w:r w:rsidRPr="007746C5">
        <w:rPr>
          <w:i/>
          <w:iCs/>
        </w:rPr>
        <w:t>Journal of Economic Entomology</w:t>
      </w:r>
      <w:r w:rsidRPr="007746C5">
        <w:t xml:space="preserve">, </w:t>
      </w:r>
      <w:r w:rsidRPr="007746C5">
        <w:rPr>
          <w:i/>
          <w:iCs/>
        </w:rPr>
        <w:t>105</w:t>
      </w:r>
      <w:r w:rsidRPr="007746C5">
        <w:t>(1), 196–206. https://doi.org/10.1603/EC11130</w:t>
      </w:r>
    </w:p>
    <w:p w14:paraId="2FBD830E" w14:textId="77777777" w:rsidR="007746C5" w:rsidRPr="007746C5" w:rsidRDefault="007746C5" w:rsidP="009A04E6">
      <w:pPr>
        <w:pStyle w:val="Bibliography"/>
        <w:spacing w:line="240" w:lineRule="auto"/>
      </w:pPr>
      <w:r w:rsidRPr="007746C5">
        <w:t xml:space="preserve">Veitch, C. R., &amp; Clout, M. N. (Eds.). (2002). </w:t>
      </w:r>
      <w:r w:rsidRPr="007746C5">
        <w:rPr>
          <w:i/>
          <w:iCs/>
        </w:rPr>
        <w:t>Turning the Tide: The Eradication of Invasive Species : Proceedings of the International Conference on Eradication of Island Invasives</w:t>
      </w:r>
      <w:r w:rsidRPr="007746C5">
        <w:t>. IUCN SSC Invasive Species Specialist Group.</w:t>
      </w:r>
    </w:p>
    <w:p w14:paraId="14597A6B" w14:textId="77777777" w:rsidR="007746C5" w:rsidRPr="007746C5" w:rsidRDefault="007746C5" w:rsidP="009A04E6">
      <w:pPr>
        <w:pStyle w:val="Bibliography"/>
        <w:spacing w:line="240" w:lineRule="auto"/>
      </w:pPr>
      <w:r w:rsidRPr="007746C5">
        <w:t xml:space="preserve">Veitch, C. R., Clout, M. N., &amp; Towns, D. R. (2011). </w:t>
      </w:r>
      <w:r w:rsidRPr="007746C5">
        <w:rPr>
          <w:i/>
          <w:iCs/>
        </w:rPr>
        <w:t>Island Invasives: Eradication and Management Proceedings of the International Conference on Island Invasives</w:t>
      </w:r>
      <w:r w:rsidRPr="007746C5">
        <w:t xml:space="preserve"> (https://policycommons.net/artifacts/1375054/island-invasives/1989310/).</w:t>
      </w:r>
    </w:p>
    <w:p w14:paraId="47BA158A" w14:textId="77777777" w:rsidR="007746C5" w:rsidRPr="007746C5" w:rsidRDefault="007746C5" w:rsidP="009A04E6">
      <w:pPr>
        <w:pStyle w:val="Bibliography"/>
        <w:spacing w:line="240" w:lineRule="auto"/>
      </w:pPr>
      <w:r w:rsidRPr="007746C5">
        <w:t xml:space="preserve">Venette, R. C. (2015). The challenge of modelling and mapping the future distribution and impact of invasive alien species. In </w:t>
      </w:r>
      <w:r w:rsidRPr="007746C5">
        <w:rPr>
          <w:i/>
          <w:iCs/>
        </w:rPr>
        <w:t>Pest risk modelling and mapping for invasive alien species</w:t>
      </w:r>
      <w:r w:rsidRPr="007746C5">
        <w:t xml:space="preserve"> (USDA, pp. 1–17). CABI. https://doi.org/10.1079/9781780643946.0001</w:t>
      </w:r>
    </w:p>
    <w:p w14:paraId="48D93197" w14:textId="77777777" w:rsidR="007746C5" w:rsidRPr="007746C5" w:rsidRDefault="007746C5" w:rsidP="009A04E6">
      <w:pPr>
        <w:pStyle w:val="Bibliography"/>
        <w:spacing w:line="240" w:lineRule="auto"/>
      </w:pPr>
      <w:r w:rsidRPr="007746C5">
        <w:t xml:space="preserve">Venette, R. C., Kriticos, D. J., Magarey, R. D., Koch, F. H., Baker, R. H. A., Worner, S. P., Gómez Raboteaux, N. N., McKenney, D. W., Dobesberger, E. J., Yemshanov, D., De Barro, P. J., Hutchison, W. D., Fowler, G., Kalaris, T. M., &amp; Pedlar, J. (2010). Pest Risk Maps for Invasive Alien Species: A Roadmap for Improvement. </w:t>
      </w:r>
      <w:r w:rsidRPr="007746C5">
        <w:rPr>
          <w:i/>
          <w:iCs/>
        </w:rPr>
        <w:t>BioScience</w:t>
      </w:r>
      <w:r w:rsidRPr="007746C5">
        <w:t xml:space="preserve">, </w:t>
      </w:r>
      <w:r w:rsidRPr="007746C5">
        <w:rPr>
          <w:i/>
          <w:iCs/>
        </w:rPr>
        <w:t>60</w:t>
      </w:r>
      <w:r w:rsidRPr="007746C5">
        <w:t>(5), 349–362. https://doi.org/10.1525/bio.2010.60.5.5</w:t>
      </w:r>
    </w:p>
    <w:p w14:paraId="4F503B41" w14:textId="77777777" w:rsidR="007746C5" w:rsidRPr="007746C5" w:rsidRDefault="007746C5" w:rsidP="009A04E6">
      <w:pPr>
        <w:pStyle w:val="Bibliography"/>
        <w:spacing w:line="240" w:lineRule="auto"/>
      </w:pPr>
      <w:r w:rsidRPr="007746C5">
        <w:t xml:space="preserve">Vimercati, G., Davies, S. J., Hui, C., &amp; Measey, J. (2017). Does restricted access limit management of invasive urban frogs? </w:t>
      </w:r>
      <w:r w:rsidRPr="007746C5">
        <w:rPr>
          <w:i/>
          <w:iCs/>
        </w:rPr>
        <w:t>Biological Invasions</w:t>
      </w:r>
      <w:r w:rsidRPr="007746C5">
        <w:t xml:space="preserve">, </w:t>
      </w:r>
      <w:r w:rsidRPr="007746C5">
        <w:rPr>
          <w:i/>
          <w:iCs/>
        </w:rPr>
        <w:t>19</w:t>
      </w:r>
      <w:r w:rsidRPr="007746C5">
        <w:t>(12), 3659–3674. https://doi.org/10.1007/s10530-017-1599-6</w:t>
      </w:r>
    </w:p>
    <w:p w14:paraId="53FE1ECE" w14:textId="77777777" w:rsidR="007746C5" w:rsidRPr="007746C5" w:rsidRDefault="007746C5" w:rsidP="009A04E6">
      <w:pPr>
        <w:pStyle w:val="Bibliography"/>
        <w:spacing w:line="240" w:lineRule="auto"/>
      </w:pPr>
      <w:r w:rsidRPr="007746C5">
        <w:t xml:space="preserve">Vimercati, G., Kumschick, S., Probert, A. F., Volery, L., &amp; Bacher, S. (2020). The importance of assessing positive and beneficial impacts of alien species. </w:t>
      </w:r>
      <w:r w:rsidRPr="007746C5">
        <w:rPr>
          <w:i/>
          <w:iCs/>
        </w:rPr>
        <w:t>NeoBiota</w:t>
      </w:r>
      <w:r w:rsidRPr="007746C5">
        <w:t xml:space="preserve">, </w:t>
      </w:r>
      <w:r w:rsidRPr="007746C5">
        <w:rPr>
          <w:i/>
          <w:iCs/>
        </w:rPr>
        <w:t>62</w:t>
      </w:r>
      <w:r w:rsidRPr="007746C5">
        <w:t>, 525–545. https://doi.org/10.3897/neobiota.62.52793</w:t>
      </w:r>
    </w:p>
    <w:p w14:paraId="56F097C8" w14:textId="77777777" w:rsidR="007746C5" w:rsidRPr="007746C5" w:rsidRDefault="007746C5" w:rsidP="009A04E6">
      <w:pPr>
        <w:pStyle w:val="Bibliography"/>
        <w:spacing w:line="240" w:lineRule="auto"/>
      </w:pPr>
      <w:r w:rsidRPr="007746C5">
        <w:t xml:space="preserve">Vishnu Chandran, M., &amp; Gopakumar, S. (Guide). (2018). </w:t>
      </w:r>
      <w:r w:rsidRPr="007746C5">
        <w:rPr>
          <w:i/>
          <w:iCs/>
        </w:rPr>
        <w:t>Impact of invasive alien plants on understorey vegetation in Wayanad wildlife sanctuary</w:t>
      </w:r>
      <w:r w:rsidRPr="007746C5">
        <w:t xml:space="preserve"> [Department of Natural Resource Management College of Forestry]. http://hdl.handle.net/123456789/8047</w:t>
      </w:r>
    </w:p>
    <w:p w14:paraId="66FBB06A" w14:textId="77777777" w:rsidR="007746C5" w:rsidRPr="007746C5" w:rsidRDefault="007746C5" w:rsidP="009A04E6">
      <w:pPr>
        <w:pStyle w:val="Bibliography"/>
        <w:spacing w:line="240" w:lineRule="auto"/>
      </w:pPr>
      <w:r w:rsidRPr="007746C5">
        <w:t xml:space="preserve">Vissoh, P. V., Gbèhounou, G., Ahanchédé, A., Kuyper, T. W., &amp; Röling, N. G. (2004). Weeds as agricultural constraint to farmers in Benin: Results of a diagnostic study. </w:t>
      </w:r>
      <w:r w:rsidRPr="007746C5">
        <w:rPr>
          <w:i/>
          <w:iCs/>
        </w:rPr>
        <w:t>NJAS - Wageningen Journal of Life Sciences</w:t>
      </w:r>
      <w:r w:rsidRPr="007746C5">
        <w:t xml:space="preserve">, </w:t>
      </w:r>
      <w:r w:rsidRPr="007746C5">
        <w:rPr>
          <w:i/>
          <w:iCs/>
        </w:rPr>
        <w:t>52</w:t>
      </w:r>
      <w:r w:rsidRPr="007746C5">
        <w:t>(3–4), 305–329. https://doi.org/10.1016/S1573-5214(04)80019-8</w:t>
      </w:r>
    </w:p>
    <w:p w14:paraId="60ABCDC3" w14:textId="77777777" w:rsidR="007746C5" w:rsidRPr="007746C5" w:rsidRDefault="007746C5" w:rsidP="009A04E6">
      <w:pPr>
        <w:pStyle w:val="Bibliography"/>
        <w:spacing w:line="240" w:lineRule="auto"/>
      </w:pPr>
      <w:r w:rsidRPr="007746C5">
        <w:t>Vítková, M., Müllerová, J., Sádlo, J., Pergl, J., &amp; Pyšek, P. (2017). Black locust (</w:t>
      </w:r>
      <w:r w:rsidRPr="007746C5">
        <w:rPr>
          <w:i/>
          <w:iCs/>
        </w:rPr>
        <w:t>Robinia pseudoacacia</w:t>
      </w:r>
      <w:r w:rsidRPr="007746C5">
        <w:t xml:space="preserve">) beloved and despised: A story of an invasive tree in Central Europe. </w:t>
      </w:r>
      <w:r w:rsidRPr="007746C5">
        <w:rPr>
          <w:i/>
          <w:iCs/>
        </w:rPr>
        <w:t>Forest Ecology and Management</w:t>
      </w:r>
      <w:r w:rsidRPr="007746C5">
        <w:t xml:space="preserve">, </w:t>
      </w:r>
      <w:r w:rsidRPr="007746C5">
        <w:rPr>
          <w:i/>
          <w:iCs/>
        </w:rPr>
        <w:t>384</w:t>
      </w:r>
      <w:r w:rsidRPr="007746C5">
        <w:t>, 287–302. https://doi.org/10.1016/j.foreco.2016.10.057</w:t>
      </w:r>
    </w:p>
    <w:p w14:paraId="3A01AA53" w14:textId="77777777" w:rsidR="007746C5" w:rsidRPr="007746C5" w:rsidRDefault="007746C5" w:rsidP="009A04E6">
      <w:pPr>
        <w:pStyle w:val="Bibliography"/>
        <w:spacing w:line="240" w:lineRule="auto"/>
      </w:pPr>
      <w:r w:rsidRPr="007746C5">
        <w:t xml:space="preserve">Vogel, E., Santos, D., Mingels, L., Verdonckt, T.-W., &amp; Broeck, J. V. (2019). RNA Interference in Insects: Protecting Beneficials and Controlling Pests. </w:t>
      </w:r>
      <w:r w:rsidRPr="007746C5">
        <w:rPr>
          <w:i/>
          <w:iCs/>
        </w:rPr>
        <w:t>Frontiers in Physiology</w:t>
      </w:r>
      <w:r w:rsidRPr="007746C5">
        <w:t xml:space="preserve">, </w:t>
      </w:r>
      <w:r w:rsidRPr="007746C5">
        <w:rPr>
          <w:i/>
          <w:iCs/>
        </w:rPr>
        <w:t>9</w:t>
      </w:r>
      <w:r w:rsidRPr="007746C5">
        <w:t>. https://www.frontiersin.org/articles/10.3389/fphys.2018.01912</w:t>
      </w:r>
    </w:p>
    <w:p w14:paraId="6CF00EFC" w14:textId="77777777" w:rsidR="007746C5" w:rsidRPr="007746C5" w:rsidRDefault="007746C5" w:rsidP="009A04E6">
      <w:pPr>
        <w:pStyle w:val="Bibliography"/>
        <w:spacing w:line="240" w:lineRule="auto"/>
      </w:pPr>
      <w:r w:rsidRPr="007746C5">
        <w:t xml:space="preserve">Volery, L., Blackburn, T. M., Bertolino, S., Evans, T., Genovesi, P., Kumschick, S., Roy, H. E., Smith, K. G., &amp; Bacher, S. (2020). Improving the Environmental Impact Classification for Alien Taxa (EICAT): A summary of revisions to the framework and guidelines. </w:t>
      </w:r>
      <w:r w:rsidRPr="007746C5">
        <w:rPr>
          <w:i/>
          <w:iCs/>
        </w:rPr>
        <w:t>NeoBiota</w:t>
      </w:r>
      <w:r w:rsidRPr="007746C5">
        <w:t xml:space="preserve">, </w:t>
      </w:r>
      <w:r w:rsidRPr="007746C5">
        <w:rPr>
          <w:i/>
          <w:iCs/>
        </w:rPr>
        <w:t>62</w:t>
      </w:r>
      <w:r w:rsidRPr="007746C5">
        <w:t>, 547–567. https://doi.org/10.3897/neobiota.62.52723</w:t>
      </w:r>
    </w:p>
    <w:p w14:paraId="507BDBC6" w14:textId="77777777" w:rsidR="007746C5" w:rsidRPr="007746C5" w:rsidRDefault="007746C5" w:rsidP="009A04E6">
      <w:pPr>
        <w:pStyle w:val="Bibliography"/>
        <w:spacing w:line="240" w:lineRule="auto"/>
      </w:pPr>
      <w:r w:rsidRPr="007746C5">
        <w:lastRenderedPageBreak/>
        <w:t>Vranjic, J. A., Morin, L., Reid, A. M., &amp; Groves, R. H. (2012). Integrating revegetation with management methods to rehabilitate coastal vegetation invaded by Bitou bush (</w:t>
      </w:r>
      <w:r w:rsidRPr="007746C5">
        <w:rPr>
          <w:i/>
          <w:iCs/>
        </w:rPr>
        <w:t>Chrysanthemoides monilifera</w:t>
      </w:r>
      <w:r w:rsidRPr="007746C5">
        <w:t xml:space="preserve"> ssp. </w:t>
      </w:r>
      <w:r w:rsidRPr="007746C5">
        <w:rPr>
          <w:i/>
          <w:iCs/>
        </w:rPr>
        <w:t>Rotundata</w:t>
      </w:r>
      <w:r w:rsidRPr="007746C5">
        <w:t xml:space="preserve">) in Australia. </w:t>
      </w:r>
      <w:r w:rsidRPr="007746C5">
        <w:rPr>
          <w:i/>
          <w:iCs/>
        </w:rPr>
        <w:t>Austral Ecology</w:t>
      </w:r>
      <w:r w:rsidRPr="007746C5">
        <w:t xml:space="preserve">, </w:t>
      </w:r>
      <w:r w:rsidRPr="007746C5">
        <w:rPr>
          <w:i/>
          <w:iCs/>
        </w:rPr>
        <w:t>37</w:t>
      </w:r>
      <w:r w:rsidRPr="007746C5">
        <w:t>(1), 78–89. https://doi.org/10.1111/j.1442-9993.2011.02242.x</w:t>
      </w:r>
    </w:p>
    <w:p w14:paraId="3AAB0915" w14:textId="77777777" w:rsidR="007746C5" w:rsidRPr="007746C5" w:rsidRDefault="007746C5" w:rsidP="009A04E6">
      <w:pPr>
        <w:pStyle w:val="Bibliography"/>
        <w:spacing w:line="240" w:lineRule="auto"/>
      </w:pPr>
      <w:r w:rsidRPr="007746C5">
        <w:t xml:space="preserve">Wadsworth, R. A., Collingham, Y. C., Willis, S. G., Huntley, B., &amp; Hulme, P. E. (2000). Simulating the spread and management of alien riparian weeds: Are they out of control? </w:t>
      </w:r>
      <w:r w:rsidRPr="007746C5">
        <w:rPr>
          <w:i/>
          <w:iCs/>
        </w:rPr>
        <w:t>Journal of Applied Ecology</w:t>
      </w:r>
      <w:r w:rsidRPr="007746C5">
        <w:t xml:space="preserve">, </w:t>
      </w:r>
      <w:r w:rsidRPr="007746C5">
        <w:rPr>
          <w:i/>
          <w:iCs/>
        </w:rPr>
        <w:t>37</w:t>
      </w:r>
      <w:r w:rsidRPr="007746C5">
        <w:t>(s1), 28–38. https://doi.org/10.1046/j.1365-2664.2000.00551.x</w:t>
      </w:r>
    </w:p>
    <w:p w14:paraId="4E882F6A" w14:textId="77777777" w:rsidR="007746C5" w:rsidRPr="007746C5" w:rsidRDefault="007746C5" w:rsidP="009A04E6">
      <w:pPr>
        <w:pStyle w:val="Bibliography"/>
        <w:spacing w:line="240" w:lineRule="auto"/>
      </w:pPr>
      <w:r w:rsidRPr="007746C5">
        <w:t xml:space="preserve">Wäldchen, J., Rzanny, M., Seeland, M., &amp; Mäder, P. (2018). Automated plant species identification—Trends and future directions. </w:t>
      </w:r>
      <w:r w:rsidRPr="007746C5">
        <w:rPr>
          <w:i/>
          <w:iCs/>
        </w:rPr>
        <w:t>PLOS Computational Biology</w:t>
      </w:r>
      <w:r w:rsidRPr="007746C5">
        <w:t xml:space="preserve">, </w:t>
      </w:r>
      <w:r w:rsidRPr="007746C5">
        <w:rPr>
          <w:i/>
          <w:iCs/>
        </w:rPr>
        <w:t>14</w:t>
      </w:r>
      <w:r w:rsidRPr="007746C5">
        <w:t>(4), e1005993. https://doi.org/10.1371/journal.pcbi.1005993</w:t>
      </w:r>
    </w:p>
    <w:p w14:paraId="598FC59B" w14:textId="77777777" w:rsidR="007746C5" w:rsidRPr="007746C5" w:rsidRDefault="007746C5" w:rsidP="009A04E6">
      <w:pPr>
        <w:pStyle w:val="Bibliography"/>
        <w:spacing w:line="240" w:lineRule="auto"/>
      </w:pPr>
      <w:r w:rsidRPr="007746C5">
        <w:t xml:space="preserve">Wallace, R. D., Bargeron, C. T., &amp; Reaser, J. K. (2020). Enabling decisions that make a difference: Guidance for improving access to and analysis of invasive species information. </w:t>
      </w:r>
      <w:r w:rsidRPr="007746C5">
        <w:rPr>
          <w:i/>
          <w:iCs/>
        </w:rPr>
        <w:t>Biological Invasions</w:t>
      </w:r>
      <w:r w:rsidRPr="007746C5">
        <w:t xml:space="preserve">, </w:t>
      </w:r>
      <w:r w:rsidRPr="007746C5">
        <w:rPr>
          <w:i/>
          <w:iCs/>
        </w:rPr>
        <w:t>22</w:t>
      </w:r>
      <w:r w:rsidRPr="007746C5">
        <w:t>(1), 37–45. https://doi.org/10.1007/s10530-019-02142-2</w:t>
      </w:r>
    </w:p>
    <w:p w14:paraId="7B9CABD0" w14:textId="77777777" w:rsidR="007746C5" w:rsidRPr="007746C5" w:rsidRDefault="007746C5" w:rsidP="009A04E6">
      <w:pPr>
        <w:pStyle w:val="Bibliography"/>
        <w:spacing w:line="240" w:lineRule="auto"/>
      </w:pPr>
      <w:r w:rsidRPr="007746C5">
        <w:t xml:space="preserve">Walsh, S. J. (2018). Multi-scale Remote Sensing of Introduced and Invasive Species: An Overview of Approaches and Perspectives. In M. de L. Torres &amp; C. F. Mena (Eds.), </w:t>
      </w:r>
      <w:r w:rsidRPr="007746C5">
        <w:rPr>
          <w:i/>
          <w:iCs/>
        </w:rPr>
        <w:t>Understanding Invasive Species in the Galapagos Islands: From the Molecular to the Landscape</w:t>
      </w:r>
      <w:r w:rsidRPr="007746C5">
        <w:t xml:space="preserve"> (pp. 143–154). Springer International Publishing. https://doi.org/10.1007/978-3-319-67177-2_8</w:t>
      </w:r>
    </w:p>
    <w:p w14:paraId="447848F7" w14:textId="77777777" w:rsidR="007746C5" w:rsidRPr="007746C5" w:rsidRDefault="007746C5" w:rsidP="009A04E6">
      <w:pPr>
        <w:pStyle w:val="Bibliography"/>
        <w:spacing w:line="240" w:lineRule="auto"/>
      </w:pPr>
      <w:r w:rsidRPr="007746C5">
        <w:t xml:space="preserve">Walter, K. J., &amp; Armstrong, K. V. (2014). Benefits, threats and potential of </w:t>
      </w:r>
      <w:r w:rsidRPr="007746C5">
        <w:rPr>
          <w:i/>
          <w:iCs/>
        </w:rPr>
        <w:t>Prosopis</w:t>
      </w:r>
      <w:r w:rsidRPr="007746C5">
        <w:t xml:space="preserve"> in South India. </w:t>
      </w:r>
      <w:r w:rsidRPr="007746C5">
        <w:rPr>
          <w:i/>
          <w:iCs/>
        </w:rPr>
        <w:t>Forests, Trees and Livelihoods</w:t>
      </w:r>
      <w:r w:rsidRPr="007746C5">
        <w:t xml:space="preserve">, </w:t>
      </w:r>
      <w:r w:rsidRPr="007746C5">
        <w:rPr>
          <w:i/>
          <w:iCs/>
        </w:rPr>
        <w:t>23</w:t>
      </w:r>
      <w:r w:rsidRPr="007746C5">
        <w:t>(4), 232–247. https://doi.org/10.1080/14728028.2014.919880</w:t>
      </w:r>
    </w:p>
    <w:p w14:paraId="5594160D" w14:textId="77777777" w:rsidR="007746C5" w:rsidRPr="007746C5" w:rsidRDefault="007746C5" w:rsidP="009A04E6">
      <w:pPr>
        <w:pStyle w:val="Bibliography"/>
        <w:spacing w:line="240" w:lineRule="auto"/>
      </w:pPr>
      <w:r w:rsidRPr="007746C5">
        <w:t xml:space="preserve">Walther, G.-R., Roques, A., Hulme, P. E., Sykes, M. T., Pyšek, P., Kühn, I., Zobel, M., Bacher, S., Botta-Dukát, Z., Bugmann, H., Czúcz, B., Dauber, J., Hickler, T., Jarošík, V., Kenis, M., Klotz, S., Minchin, D., Moora, M., Nentwig, W., … Settele, J. (2009). Alien species in a warmer world: Risks and opportunities. </w:t>
      </w:r>
      <w:r w:rsidRPr="007746C5">
        <w:rPr>
          <w:i/>
          <w:iCs/>
        </w:rPr>
        <w:t>Trends in Ecology &amp; Evolution</w:t>
      </w:r>
      <w:r w:rsidRPr="007746C5">
        <w:t xml:space="preserve">, </w:t>
      </w:r>
      <w:r w:rsidRPr="007746C5">
        <w:rPr>
          <w:i/>
          <w:iCs/>
        </w:rPr>
        <w:t>24</w:t>
      </w:r>
      <w:r w:rsidRPr="007746C5">
        <w:t>(12), 686–693. https://doi.org/10.1016/j.tree.2009.06.008</w:t>
      </w:r>
    </w:p>
    <w:p w14:paraId="2D1EE743" w14:textId="77777777" w:rsidR="007746C5" w:rsidRPr="007746C5" w:rsidRDefault="007746C5" w:rsidP="009A04E6">
      <w:pPr>
        <w:pStyle w:val="Bibliography"/>
        <w:spacing w:line="240" w:lineRule="auto"/>
      </w:pPr>
      <w:r w:rsidRPr="007746C5">
        <w:t xml:space="preserve">Wan, F., Guo, J. Y., &amp; Zhang, F. (2009). </w:t>
      </w:r>
      <w:r w:rsidRPr="007746C5">
        <w:rPr>
          <w:i/>
          <w:iCs/>
        </w:rPr>
        <w:t>Research on biological invasions in China.</w:t>
      </w:r>
      <w:r w:rsidRPr="007746C5">
        <w:t xml:space="preserve"> Science Press. https://www.cabdirect.org/cabdirect/abstract/20103059337</w:t>
      </w:r>
    </w:p>
    <w:p w14:paraId="159AB675" w14:textId="77777777" w:rsidR="007746C5" w:rsidRPr="007746C5" w:rsidRDefault="007746C5" w:rsidP="009A04E6">
      <w:pPr>
        <w:pStyle w:val="Bibliography"/>
        <w:spacing w:line="240" w:lineRule="auto"/>
      </w:pPr>
      <w:r w:rsidRPr="007746C5">
        <w:t xml:space="preserve">Wan, F., Jiang, M., &amp; Zhan, A. (Eds.). (2017). </w:t>
      </w:r>
      <w:r w:rsidRPr="007746C5">
        <w:rPr>
          <w:i/>
          <w:iCs/>
        </w:rPr>
        <w:t>Biological invasions and its management in China</w:t>
      </w:r>
      <w:r w:rsidRPr="007746C5">
        <w:t>. Springer.</w:t>
      </w:r>
    </w:p>
    <w:p w14:paraId="6B56540F" w14:textId="77777777" w:rsidR="007746C5" w:rsidRPr="007746C5" w:rsidRDefault="007746C5" w:rsidP="009A04E6">
      <w:pPr>
        <w:pStyle w:val="Bibliography"/>
        <w:spacing w:line="240" w:lineRule="auto"/>
      </w:pPr>
      <w:r w:rsidRPr="007746C5">
        <w:t xml:space="preserve">Wang, X., Walton, J. R., Parshad, R. D., Storey, K., &amp; Boggess, M. (2014). Analysis of the </w:t>
      </w:r>
      <w:r w:rsidRPr="007746C5">
        <w:rPr>
          <w:i/>
          <w:iCs/>
        </w:rPr>
        <w:t>Trojan Y-Chromosome</w:t>
      </w:r>
      <w:r w:rsidRPr="007746C5">
        <w:t xml:space="preserve"> eradication strategy for an invasive species. </w:t>
      </w:r>
      <w:r w:rsidRPr="007746C5">
        <w:rPr>
          <w:i/>
          <w:iCs/>
        </w:rPr>
        <w:t>Journal of Mathematical Biology</w:t>
      </w:r>
      <w:r w:rsidRPr="007746C5">
        <w:t xml:space="preserve">, </w:t>
      </w:r>
      <w:r w:rsidRPr="007746C5">
        <w:rPr>
          <w:i/>
          <w:iCs/>
        </w:rPr>
        <w:t>68</w:t>
      </w:r>
      <w:r w:rsidRPr="007746C5">
        <w:t>(7), 1731–1756. https://doi.org/10.1007/s00285-013-0687-1</w:t>
      </w:r>
    </w:p>
    <w:p w14:paraId="69E3AE12" w14:textId="77777777" w:rsidR="007746C5" w:rsidRPr="007746C5" w:rsidRDefault="007746C5" w:rsidP="009A04E6">
      <w:pPr>
        <w:pStyle w:val="Bibliography"/>
        <w:spacing w:line="240" w:lineRule="auto"/>
      </w:pPr>
      <w:r w:rsidRPr="007746C5">
        <w:t xml:space="preserve">Wanzala, W., Takken, W., Mukabana, W. R., Pala, A. O., &amp; Hassanali, A. (2012). Ethnoknowledge of Bukusu community on livestock tick prevention and control in Bungoma district, western Kenya. </w:t>
      </w:r>
      <w:r w:rsidRPr="007746C5">
        <w:rPr>
          <w:i/>
          <w:iCs/>
        </w:rPr>
        <w:t>Journal of Ethnopharmacology</w:t>
      </w:r>
      <w:r w:rsidRPr="007746C5">
        <w:t xml:space="preserve">, </w:t>
      </w:r>
      <w:r w:rsidRPr="007746C5">
        <w:rPr>
          <w:i/>
          <w:iCs/>
        </w:rPr>
        <w:t>140</w:t>
      </w:r>
      <w:r w:rsidRPr="007746C5">
        <w:t>(2), 298–324. https://doi.org/10.1016/j.jep.2012.01.021</w:t>
      </w:r>
    </w:p>
    <w:p w14:paraId="5E99D4A9" w14:textId="77777777" w:rsidR="007746C5" w:rsidRPr="007746C5" w:rsidRDefault="007746C5" w:rsidP="009A04E6">
      <w:pPr>
        <w:pStyle w:val="Bibliography"/>
        <w:spacing w:line="240" w:lineRule="auto"/>
      </w:pPr>
      <w:r w:rsidRPr="007746C5">
        <w:rPr>
          <w:rFonts w:hint="eastAsia"/>
        </w:rPr>
        <w:t>Ward, A. I., Richardson, S., Macarthur, R., &amp; Mill, A. C. (2020). Using and communicating uncertainty for the effective control of invasive non</w:t>
      </w:r>
      <w:r w:rsidRPr="007746C5">
        <w:rPr>
          <w:rFonts w:hint="eastAsia"/>
        </w:rPr>
        <w:t>‐</w:t>
      </w:r>
      <w:r w:rsidRPr="007746C5">
        <w:rPr>
          <w:rFonts w:hint="eastAsia"/>
        </w:rPr>
        <w:t xml:space="preserve">native species. </w:t>
      </w:r>
      <w:r w:rsidRPr="007746C5">
        <w:rPr>
          <w:i/>
          <w:iCs/>
        </w:rPr>
        <w:t>Mammal Review</w:t>
      </w:r>
      <w:r w:rsidRPr="007746C5">
        <w:t xml:space="preserve">, </w:t>
      </w:r>
      <w:r w:rsidRPr="007746C5">
        <w:rPr>
          <w:i/>
          <w:iCs/>
        </w:rPr>
        <w:t>50</w:t>
      </w:r>
      <w:r w:rsidRPr="007746C5">
        <w:t>(2), 211–220. https://doi.org/10.1111/mam.12188</w:t>
      </w:r>
    </w:p>
    <w:p w14:paraId="4E80355B" w14:textId="77777777" w:rsidR="007746C5" w:rsidRPr="007746C5" w:rsidRDefault="007746C5" w:rsidP="009A04E6">
      <w:pPr>
        <w:pStyle w:val="Bibliography"/>
        <w:spacing w:line="240" w:lineRule="auto"/>
      </w:pPr>
      <w:r w:rsidRPr="007746C5">
        <w:t xml:space="preserve">Ward, M. P., Tian, K., &amp; Nowotny, N. (2021). African Swine Fever, the forgotten pandemic. </w:t>
      </w:r>
      <w:r w:rsidRPr="007746C5">
        <w:rPr>
          <w:i/>
          <w:iCs/>
        </w:rPr>
        <w:t>Transboundary and Emerging Diseases</w:t>
      </w:r>
      <w:r w:rsidRPr="007746C5">
        <w:t xml:space="preserve">, </w:t>
      </w:r>
      <w:r w:rsidRPr="007746C5">
        <w:rPr>
          <w:i/>
          <w:iCs/>
        </w:rPr>
        <w:t>68</w:t>
      </w:r>
      <w:r w:rsidRPr="007746C5">
        <w:t>(5), 2637–2639. https://doi.org/10.1111/tbed.14245</w:t>
      </w:r>
    </w:p>
    <w:p w14:paraId="278BB55C" w14:textId="77777777" w:rsidR="007746C5" w:rsidRPr="007746C5" w:rsidRDefault="007746C5" w:rsidP="009A04E6">
      <w:pPr>
        <w:pStyle w:val="Bibliography"/>
        <w:spacing w:line="240" w:lineRule="auto"/>
      </w:pPr>
      <w:r w:rsidRPr="007746C5">
        <w:t xml:space="preserve">Waterhouse, D. F., &amp; Sands, D. P. A. (2001). </w:t>
      </w:r>
      <w:r w:rsidRPr="007746C5">
        <w:rPr>
          <w:i/>
          <w:iCs/>
        </w:rPr>
        <w:t>Classical biological control of arthropods in Australia. ACIAR monograph No. 77</w:t>
      </w:r>
      <w:r w:rsidRPr="007746C5">
        <w:t>. CSIRO Entomology, Australian Centre for International Agricultural Research.</w:t>
      </w:r>
    </w:p>
    <w:p w14:paraId="35B940F8" w14:textId="77777777" w:rsidR="007746C5" w:rsidRPr="007746C5" w:rsidRDefault="007746C5" w:rsidP="009A04E6">
      <w:pPr>
        <w:pStyle w:val="Bibliography"/>
        <w:spacing w:line="240" w:lineRule="auto"/>
      </w:pPr>
      <w:r w:rsidRPr="007746C5">
        <w:t xml:space="preserve">Webber, B. L., &amp; Scott, J. K. (2012). Rapid global change: Implications for defining natives and aliens. </w:t>
      </w:r>
      <w:r w:rsidRPr="007746C5">
        <w:rPr>
          <w:i/>
          <w:iCs/>
        </w:rPr>
        <w:t>Global Ecology and Biogeography</w:t>
      </w:r>
      <w:r w:rsidRPr="007746C5">
        <w:t xml:space="preserve">, </w:t>
      </w:r>
      <w:r w:rsidRPr="007746C5">
        <w:rPr>
          <w:i/>
          <w:iCs/>
        </w:rPr>
        <w:t>21</w:t>
      </w:r>
      <w:r w:rsidRPr="007746C5">
        <w:t>(3), 305–311. https://doi.org/10.1111/j.1466-8238.2011.00684.x</w:t>
      </w:r>
    </w:p>
    <w:p w14:paraId="1EFE4CED" w14:textId="77777777" w:rsidR="007746C5" w:rsidRPr="007746C5" w:rsidRDefault="007746C5" w:rsidP="009A04E6">
      <w:pPr>
        <w:pStyle w:val="Bibliography"/>
        <w:spacing w:line="240" w:lineRule="auto"/>
      </w:pPr>
      <w:r w:rsidRPr="007746C5">
        <w:t xml:space="preserve">Weiberg, A., Wang, M., Lin, F.-M., Zhao, H., Zhang, Z., Kaloshian, I., Huang, H.-D., &amp; Jin, H. (2013). Fungal Small RNAs Suppress Plant Immunity by Hijacking Host RNA Interference Pathways. </w:t>
      </w:r>
      <w:r w:rsidRPr="007746C5">
        <w:rPr>
          <w:i/>
          <w:iCs/>
        </w:rPr>
        <w:t>Science</w:t>
      </w:r>
      <w:r w:rsidRPr="007746C5">
        <w:t xml:space="preserve">, </w:t>
      </w:r>
      <w:r w:rsidRPr="007746C5">
        <w:rPr>
          <w:i/>
          <w:iCs/>
        </w:rPr>
        <w:t>342</w:t>
      </w:r>
      <w:r w:rsidRPr="007746C5">
        <w:t>(6154), 118–123. https://doi.org/10.1126/science.1239705</w:t>
      </w:r>
    </w:p>
    <w:p w14:paraId="1CD9E9FB" w14:textId="77777777" w:rsidR="007746C5" w:rsidRPr="007746C5" w:rsidRDefault="007746C5" w:rsidP="009A04E6">
      <w:pPr>
        <w:pStyle w:val="Bibliography"/>
        <w:spacing w:line="240" w:lineRule="auto"/>
      </w:pPr>
      <w:r w:rsidRPr="007746C5">
        <w:lastRenderedPageBreak/>
        <w:t xml:space="preserve">Weidlich, E. W. A., Flórido, F. G., Sorrini, T. B., &amp; Brancalion, P. H. S. (2020). Controlling invasive plant species in ecological restoration: A global review. </w:t>
      </w:r>
      <w:r w:rsidRPr="007746C5">
        <w:rPr>
          <w:i/>
          <w:iCs/>
        </w:rPr>
        <w:t>Journal of Applied Ecology</w:t>
      </w:r>
      <w:r w:rsidRPr="007746C5">
        <w:t xml:space="preserve">, </w:t>
      </w:r>
      <w:r w:rsidRPr="007746C5">
        <w:rPr>
          <w:i/>
          <w:iCs/>
        </w:rPr>
        <w:t>57</w:t>
      </w:r>
      <w:r w:rsidRPr="007746C5">
        <w:t>(9), 1806–1817. https://doi.org/10.1111/1365-2664.13656</w:t>
      </w:r>
    </w:p>
    <w:p w14:paraId="6EF1F967" w14:textId="77777777" w:rsidR="007746C5" w:rsidRPr="007746C5" w:rsidRDefault="007746C5" w:rsidP="009A04E6">
      <w:pPr>
        <w:pStyle w:val="Bibliography"/>
        <w:spacing w:line="240" w:lineRule="auto"/>
      </w:pPr>
      <w:r w:rsidRPr="007746C5">
        <w:t xml:space="preserve">Weir, J., &amp; Duff, N. (2015). Weeds and Native Title in the Kimberley. In E. Ens, J. Fisher, &amp; O. Costello (Eds.), </w:t>
      </w:r>
      <w:r w:rsidRPr="007746C5">
        <w:rPr>
          <w:i/>
          <w:iCs/>
        </w:rPr>
        <w:t>Indigenous people and invasive species: Perceptions, management, challenges and uses. IUCN Commission on Ecosystem Management Community Report.</w:t>
      </w:r>
      <w:r w:rsidRPr="007746C5">
        <w:t xml:space="preserve"> (pp. 21–22).</w:t>
      </w:r>
    </w:p>
    <w:p w14:paraId="53F9DF99" w14:textId="77777777" w:rsidR="007746C5" w:rsidRPr="007746C5" w:rsidRDefault="007746C5" w:rsidP="009A04E6">
      <w:pPr>
        <w:pStyle w:val="Bibliography"/>
        <w:spacing w:line="240" w:lineRule="auto"/>
      </w:pPr>
      <w:r w:rsidRPr="007746C5">
        <w:t xml:space="preserve">Weiss, D. J., Nelson, A., Gibson, H. S., Temperley, W., Peedell, S., Lieber, A., Hancher, M., Poyart, E., Belchior, S., Fullman, N., Mappin, B., Dalrymple, U., Rozier, J., Lucas, T. C. D., Howes, R. E., Tusting, L. S., Kang, S. Y., Cameron, E., Bisanzio, D., … Gething, P. W. (2018). A global map of travel time to cities to assess inequalities in accessibility in 2015. </w:t>
      </w:r>
      <w:r w:rsidRPr="007746C5">
        <w:rPr>
          <w:i/>
          <w:iCs/>
        </w:rPr>
        <w:t>Nature</w:t>
      </w:r>
      <w:r w:rsidRPr="007746C5">
        <w:t xml:space="preserve">, </w:t>
      </w:r>
      <w:r w:rsidRPr="007746C5">
        <w:rPr>
          <w:i/>
          <w:iCs/>
        </w:rPr>
        <w:t>553</w:t>
      </w:r>
      <w:r w:rsidRPr="007746C5">
        <w:t>(7688), 333–336. https://doi.org/10.1038/nature25181</w:t>
      </w:r>
    </w:p>
    <w:p w14:paraId="3403E219" w14:textId="77777777" w:rsidR="007746C5" w:rsidRPr="007746C5" w:rsidRDefault="007746C5" w:rsidP="009A04E6">
      <w:pPr>
        <w:pStyle w:val="Bibliography"/>
        <w:spacing w:line="240" w:lineRule="auto"/>
      </w:pPr>
      <w:r w:rsidRPr="007746C5">
        <w:t xml:space="preserve">Wells, C. R., Sah, P., Moghadas, S. M., Pandey, A., Shoukat, A., Wang, Y., Wang, Z., Meyers, L. A., Singer, B. H., &amp; Galvani, A. P. (2020). Impact of international travel and border control measures on the global spread of the novel 2019 coronavirus outbreak. </w:t>
      </w:r>
      <w:r w:rsidRPr="007746C5">
        <w:rPr>
          <w:i/>
          <w:iCs/>
        </w:rPr>
        <w:t>Proceedings of the National Academy of Sciences</w:t>
      </w:r>
      <w:r w:rsidRPr="007746C5">
        <w:t xml:space="preserve">, </w:t>
      </w:r>
      <w:r w:rsidRPr="007746C5">
        <w:rPr>
          <w:i/>
          <w:iCs/>
        </w:rPr>
        <w:t>117</w:t>
      </w:r>
      <w:r w:rsidRPr="007746C5">
        <w:t>(13), 7504–7509. https://doi.org/10.1073/pnas.2002616117</w:t>
      </w:r>
    </w:p>
    <w:p w14:paraId="1405BA0B" w14:textId="77777777" w:rsidR="007746C5" w:rsidRPr="007746C5" w:rsidRDefault="007746C5" w:rsidP="009A04E6">
      <w:pPr>
        <w:pStyle w:val="Bibliography"/>
        <w:spacing w:line="240" w:lineRule="auto"/>
      </w:pPr>
      <w:r w:rsidRPr="007746C5">
        <w:t xml:space="preserve">Wells, F. E. (2019). Environmental Emergency: Why Did the False Mussel </w:t>
      </w:r>
      <w:r w:rsidRPr="007746C5">
        <w:rPr>
          <w:i/>
          <w:iCs/>
        </w:rPr>
        <w:t>Mytilopsis sallei</w:t>
      </w:r>
      <w:r w:rsidRPr="007746C5">
        <w:t xml:space="preserve"> Not Invade Darwin Harbour, Australia? </w:t>
      </w:r>
      <w:r w:rsidRPr="007746C5">
        <w:rPr>
          <w:i/>
          <w:iCs/>
        </w:rPr>
        <w:t>Malacologia</w:t>
      </w:r>
      <w:r w:rsidRPr="007746C5">
        <w:t xml:space="preserve">, </w:t>
      </w:r>
      <w:r w:rsidRPr="007746C5">
        <w:rPr>
          <w:i/>
          <w:iCs/>
        </w:rPr>
        <w:t>62</w:t>
      </w:r>
      <w:r w:rsidRPr="007746C5">
        <w:t>(2), 247–256. https://doi.org/10.4002/040.062.0205</w:t>
      </w:r>
    </w:p>
    <w:p w14:paraId="3ABEED1F" w14:textId="77777777" w:rsidR="007746C5" w:rsidRPr="007746C5" w:rsidRDefault="007746C5" w:rsidP="009A04E6">
      <w:pPr>
        <w:pStyle w:val="Bibliography"/>
        <w:spacing w:line="240" w:lineRule="auto"/>
      </w:pPr>
      <w:r w:rsidRPr="007746C5">
        <w:t xml:space="preserve">Welvaert, M., &amp; Caley, P. (2016). Citizen surveillance for environmental monitoring: Combining the efforts of citizen science and crowdsourcing in a quantitative data framework. </w:t>
      </w:r>
      <w:r w:rsidRPr="007746C5">
        <w:rPr>
          <w:i/>
          <w:iCs/>
        </w:rPr>
        <w:t>SpringerPlus</w:t>
      </w:r>
      <w:r w:rsidRPr="007746C5">
        <w:t xml:space="preserve">, </w:t>
      </w:r>
      <w:r w:rsidRPr="007746C5">
        <w:rPr>
          <w:i/>
          <w:iCs/>
        </w:rPr>
        <w:t>5</w:t>
      </w:r>
      <w:r w:rsidRPr="007746C5">
        <w:t>(1), 1890. https://doi.org/10.1186/s40064-016-3583-5</w:t>
      </w:r>
    </w:p>
    <w:p w14:paraId="499B8FC9" w14:textId="77777777" w:rsidR="007746C5" w:rsidRPr="007746C5" w:rsidRDefault="007746C5" w:rsidP="009A04E6">
      <w:pPr>
        <w:pStyle w:val="Bibliography"/>
        <w:spacing w:line="240" w:lineRule="auto"/>
      </w:pPr>
      <w:r w:rsidRPr="007746C5">
        <w:t xml:space="preserve">Weng, X., Kang, Y., Guo, Q., Peng, B., &amp; Jiang, H. (2019). Recent advances in thread-based microfluidics for diagnostic applications. </w:t>
      </w:r>
      <w:r w:rsidRPr="007746C5">
        <w:rPr>
          <w:i/>
          <w:iCs/>
        </w:rPr>
        <w:t>Biosensors and Bioelectronics</w:t>
      </w:r>
      <w:r w:rsidRPr="007746C5">
        <w:t xml:space="preserve">, </w:t>
      </w:r>
      <w:r w:rsidRPr="007746C5">
        <w:rPr>
          <w:i/>
          <w:iCs/>
        </w:rPr>
        <w:t>132</w:t>
      </w:r>
      <w:r w:rsidRPr="007746C5">
        <w:t>, 171–185. https://doi.org/10.1016/j.bios.2019.03.009</w:t>
      </w:r>
    </w:p>
    <w:p w14:paraId="6FE7DD78" w14:textId="77777777" w:rsidR="007746C5" w:rsidRPr="007746C5" w:rsidRDefault="007746C5" w:rsidP="009A04E6">
      <w:pPr>
        <w:pStyle w:val="Bibliography"/>
        <w:spacing w:line="240" w:lineRule="auto"/>
      </w:pPr>
      <w:r w:rsidRPr="007746C5">
        <w:t xml:space="preserve">Werschkun, B., Banerji, S., Basurko, O. C., David, M., Fuhr, F., Gollasch, S., Grummt, T., Haarich, M., Jha, A. N., Kacan, S., Kehrer, A., Linders, J., Mesbahi, E., Pughiuc, D., Richardson, S. D., Schwarz-Schulz, B., Shah, A., Theobald, N., von Gunten, U., … Höfer, T. (2014). Emerging risks from ballast water treatment: The run-up to the International Ballast Water Management Convention. </w:t>
      </w:r>
      <w:r w:rsidRPr="007746C5">
        <w:rPr>
          <w:i/>
          <w:iCs/>
        </w:rPr>
        <w:t>Chemosphere</w:t>
      </w:r>
      <w:r w:rsidRPr="007746C5">
        <w:t xml:space="preserve">, </w:t>
      </w:r>
      <w:r w:rsidRPr="007746C5">
        <w:rPr>
          <w:i/>
          <w:iCs/>
        </w:rPr>
        <w:t>112</w:t>
      </w:r>
      <w:r w:rsidRPr="007746C5">
        <w:t>, 256–266. https://doi.org/10.1016/j.chemosphere.2014.03.135</w:t>
      </w:r>
    </w:p>
    <w:p w14:paraId="2D28416D" w14:textId="77777777" w:rsidR="007746C5" w:rsidRPr="007746C5" w:rsidRDefault="007746C5" w:rsidP="009A04E6">
      <w:pPr>
        <w:pStyle w:val="Bibliography"/>
        <w:spacing w:line="240" w:lineRule="auto"/>
      </w:pPr>
      <w:r w:rsidRPr="007746C5">
        <w:t xml:space="preserve">Westwood, J. H., Charudattan, R., Duke, S. O., Fennimore, S. A., Marrone, P., Slaughter, D. C., Swanton, C., &amp; Zollinger, R. (2018). Weed Management in 2050: Perspectives on the Future of Weed Science. </w:t>
      </w:r>
      <w:r w:rsidRPr="007746C5">
        <w:rPr>
          <w:i/>
          <w:iCs/>
        </w:rPr>
        <w:t>Weed Science</w:t>
      </w:r>
      <w:r w:rsidRPr="007746C5">
        <w:t xml:space="preserve">, </w:t>
      </w:r>
      <w:r w:rsidRPr="007746C5">
        <w:rPr>
          <w:i/>
          <w:iCs/>
        </w:rPr>
        <w:t>66</w:t>
      </w:r>
      <w:r w:rsidRPr="007746C5">
        <w:t>(3), 275–285. https://doi.org/10.1017/wsc.2017.78</w:t>
      </w:r>
    </w:p>
    <w:p w14:paraId="7C62BDBF" w14:textId="77777777" w:rsidR="007746C5" w:rsidRPr="007746C5" w:rsidRDefault="007746C5" w:rsidP="009A04E6">
      <w:pPr>
        <w:pStyle w:val="Bibliography"/>
        <w:spacing w:line="240" w:lineRule="auto"/>
      </w:pPr>
      <w:r w:rsidRPr="007746C5">
        <w:t xml:space="preserve">Weyl, O. L. F., Ellender, B. R., Wasserman, R. J., &amp; Woodford, D. J. (2015). Unintended consequences of using alien fish for human benefit in protected areas. </w:t>
      </w:r>
      <w:r w:rsidRPr="007746C5">
        <w:rPr>
          <w:i/>
          <w:iCs/>
        </w:rPr>
        <w:t>Koedoe</w:t>
      </w:r>
      <w:r w:rsidRPr="007746C5">
        <w:t xml:space="preserve">, </w:t>
      </w:r>
      <w:r w:rsidRPr="007746C5">
        <w:rPr>
          <w:i/>
          <w:iCs/>
        </w:rPr>
        <w:t>57</w:t>
      </w:r>
      <w:r w:rsidRPr="007746C5">
        <w:t>(1), a1264. https://doi.org/10.4102/koedoe.v57i1.1264</w:t>
      </w:r>
    </w:p>
    <w:p w14:paraId="73164FB4" w14:textId="77777777" w:rsidR="007746C5" w:rsidRPr="007746C5" w:rsidRDefault="007746C5" w:rsidP="009A04E6">
      <w:pPr>
        <w:pStyle w:val="Bibliography"/>
        <w:spacing w:line="240" w:lineRule="auto"/>
      </w:pPr>
      <w:r w:rsidRPr="007746C5">
        <w:t xml:space="preserve">Weyl, O. L. F., Ellender, B. R., Woodford, D. J., &amp; Jordaan, M. S. (2013). Fish distributions in the Rondegat River, Cape Floristic Region, South Africa, and the immediate impact of rotenone treatment in an invaded reach. </w:t>
      </w:r>
      <w:r w:rsidRPr="007746C5">
        <w:rPr>
          <w:i/>
          <w:iCs/>
        </w:rPr>
        <w:t>African Journal of Aquatic Science</w:t>
      </w:r>
      <w:r w:rsidRPr="007746C5">
        <w:t xml:space="preserve">, </w:t>
      </w:r>
      <w:r w:rsidRPr="007746C5">
        <w:rPr>
          <w:i/>
          <w:iCs/>
        </w:rPr>
        <w:t>38</w:t>
      </w:r>
      <w:r w:rsidRPr="007746C5">
        <w:t>(2), 201–209. https://doi.org/10.2989/16085914.2012.753401</w:t>
      </w:r>
    </w:p>
    <w:p w14:paraId="39FCAE64" w14:textId="77777777" w:rsidR="007746C5" w:rsidRPr="007746C5" w:rsidRDefault="007746C5" w:rsidP="009A04E6">
      <w:pPr>
        <w:pStyle w:val="Bibliography"/>
        <w:spacing w:line="240" w:lineRule="auto"/>
      </w:pPr>
      <w:r w:rsidRPr="007746C5">
        <w:t xml:space="preserve">Weyl, P. S. R., de Moor, F. C., Hill, M. P., &amp; Weyl, O. L. F. (2010). The effect of largemouth bass </w:t>
      </w:r>
      <w:r w:rsidRPr="007746C5">
        <w:rPr>
          <w:i/>
          <w:iCs/>
        </w:rPr>
        <w:t>Micropterus salmoides</w:t>
      </w:r>
      <w:r w:rsidRPr="007746C5">
        <w:t xml:space="preserve"> on aquatic macro-invertebrate communities in the Wit River, Eastern Cape, South Africa. </w:t>
      </w:r>
      <w:r w:rsidRPr="007746C5">
        <w:rPr>
          <w:i/>
          <w:iCs/>
        </w:rPr>
        <w:t>African Journal of Aquatic Science</w:t>
      </w:r>
      <w:r w:rsidRPr="007746C5">
        <w:t xml:space="preserve">, </w:t>
      </w:r>
      <w:r w:rsidRPr="007746C5">
        <w:rPr>
          <w:i/>
          <w:iCs/>
        </w:rPr>
        <w:t>35</w:t>
      </w:r>
      <w:r w:rsidRPr="007746C5">
        <w:t>(3), 273–281. https://doi.org/10.2989/16085914.2010.540776</w:t>
      </w:r>
    </w:p>
    <w:p w14:paraId="2DBB11DD" w14:textId="77777777" w:rsidR="007746C5" w:rsidRPr="007746C5" w:rsidRDefault="007746C5" w:rsidP="009A04E6">
      <w:pPr>
        <w:pStyle w:val="Bibliography"/>
        <w:spacing w:line="240" w:lineRule="auto"/>
      </w:pPr>
      <w:r w:rsidRPr="007746C5">
        <w:t xml:space="preserve">WHO. (2010). </w:t>
      </w:r>
      <w:r w:rsidRPr="007746C5">
        <w:rPr>
          <w:i/>
          <w:iCs/>
        </w:rPr>
        <w:t>International Code of Conduct on the Distribution and Use of Pesticides Guidelines for the Registration of Pesticides</w:t>
      </w:r>
      <w:r w:rsidRPr="007746C5">
        <w:t>. World Health Organization. https://apps.who.int/iris/bitstream/handle/10665/70293/WHO_HTM_NTD_WHOPES_2010.7_eng.pdf</w:t>
      </w:r>
    </w:p>
    <w:p w14:paraId="7CA91576" w14:textId="77777777" w:rsidR="007746C5" w:rsidRPr="007746C5" w:rsidRDefault="007746C5" w:rsidP="009A04E6">
      <w:pPr>
        <w:pStyle w:val="Bibliography"/>
        <w:spacing w:line="240" w:lineRule="auto"/>
      </w:pPr>
      <w:r w:rsidRPr="007746C5">
        <w:lastRenderedPageBreak/>
        <w:t xml:space="preserve">WHO. (2013). </w:t>
      </w:r>
      <w:r w:rsidRPr="007746C5">
        <w:rPr>
          <w:i/>
          <w:iCs/>
        </w:rPr>
        <w:t>Health and environment: Communicating the risks</w:t>
      </w:r>
      <w:r w:rsidRPr="007746C5">
        <w:t>. World Health Organization. https://apps.who.int/iris/bitstream/handle/10665/108629/9789289000512-eng.pdf?sequence=1&amp;isAllowed=y</w:t>
      </w:r>
    </w:p>
    <w:p w14:paraId="7DA94953" w14:textId="77777777" w:rsidR="007746C5" w:rsidRPr="007746C5" w:rsidRDefault="007746C5" w:rsidP="009A04E6">
      <w:pPr>
        <w:pStyle w:val="Bibliography"/>
        <w:spacing w:line="240" w:lineRule="auto"/>
      </w:pPr>
      <w:r w:rsidRPr="007746C5">
        <w:t xml:space="preserve">Whyard, S., Erdelyan, C. N., Partridge, A. L., Singh, A. D., Beebe, N. W., &amp; Capina, R. (2015). Silencing the buzz: A new approach to population suppression of mosquitoes by feeding larvae double-stranded RNAs. </w:t>
      </w:r>
      <w:r w:rsidRPr="007746C5">
        <w:rPr>
          <w:i/>
          <w:iCs/>
        </w:rPr>
        <w:t>Parasites &amp; Vectors</w:t>
      </w:r>
      <w:r w:rsidRPr="007746C5">
        <w:t xml:space="preserve">, </w:t>
      </w:r>
      <w:r w:rsidRPr="007746C5">
        <w:rPr>
          <w:i/>
          <w:iCs/>
        </w:rPr>
        <w:t>8</w:t>
      </w:r>
      <w:r w:rsidRPr="007746C5">
        <w:t>(1), 96. https://doi.org/10.1186/s13071-015-0716-6</w:t>
      </w:r>
    </w:p>
    <w:p w14:paraId="626EDFEC" w14:textId="77777777" w:rsidR="007746C5" w:rsidRPr="007746C5" w:rsidRDefault="007746C5" w:rsidP="009A04E6">
      <w:pPr>
        <w:pStyle w:val="Bibliography"/>
        <w:spacing w:line="240" w:lineRule="auto"/>
      </w:pPr>
      <w:r w:rsidRPr="007746C5">
        <w:t xml:space="preserve">Whyte, C. (2006). Science and biosecurity–monitoring the effectiveness of biosecurity interventions at New Zealand’s borders. </w:t>
      </w:r>
      <w:r w:rsidRPr="007746C5">
        <w:rPr>
          <w:i/>
          <w:iCs/>
        </w:rPr>
        <w:t>Royal Society of New Zealand, Miscellaneous Series</w:t>
      </w:r>
      <w:r w:rsidRPr="007746C5">
        <w:t xml:space="preserve">, </w:t>
      </w:r>
      <w:r w:rsidRPr="007746C5">
        <w:rPr>
          <w:i/>
          <w:iCs/>
        </w:rPr>
        <w:t>67</w:t>
      </w:r>
      <w:r w:rsidRPr="007746C5">
        <w:t>, 27–36.</w:t>
      </w:r>
    </w:p>
    <w:p w14:paraId="52915ACB" w14:textId="77777777" w:rsidR="007746C5" w:rsidRPr="007746C5" w:rsidRDefault="007746C5" w:rsidP="009A04E6">
      <w:pPr>
        <w:pStyle w:val="Bibliography"/>
        <w:spacing w:line="240" w:lineRule="auto"/>
      </w:pPr>
      <w:r w:rsidRPr="007746C5">
        <w:t xml:space="preserve">Willan, R. C., Russell, B. C., Murfet, N. B., Moore, K. L., McEnnulty, F. R., Horner, S. K., Hewitt, C. L., Dally, G. M., Campbell, M. L., &amp; Bourke, S. T. (2000). Outbreak of </w:t>
      </w:r>
      <w:r w:rsidRPr="007746C5">
        <w:rPr>
          <w:i/>
          <w:iCs/>
        </w:rPr>
        <w:t>Mytilopsis sallei</w:t>
      </w:r>
      <w:r w:rsidRPr="007746C5">
        <w:t xml:space="preserve"> (Récluz, 1849) (Bivalvia: Dreissenidae) in Australia. </w:t>
      </w:r>
      <w:r w:rsidRPr="007746C5">
        <w:rPr>
          <w:i/>
          <w:iCs/>
        </w:rPr>
        <w:t>Molluscan Research</w:t>
      </w:r>
      <w:r w:rsidRPr="007746C5">
        <w:t xml:space="preserve">, </w:t>
      </w:r>
      <w:r w:rsidRPr="007746C5">
        <w:rPr>
          <w:i/>
          <w:iCs/>
        </w:rPr>
        <w:t>20</w:t>
      </w:r>
      <w:r w:rsidRPr="007746C5">
        <w:t>(2), 25–30. https://doi.org/10.1080/13235818.2000.10673730</w:t>
      </w:r>
    </w:p>
    <w:p w14:paraId="2D54F377" w14:textId="77777777" w:rsidR="007746C5" w:rsidRPr="007746C5" w:rsidRDefault="007746C5" w:rsidP="009A04E6">
      <w:pPr>
        <w:pStyle w:val="Bibliography"/>
        <w:spacing w:line="240" w:lineRule="auto"/>
      </w:pPr>
      <w:r w:rsidRPr="007746C5">
        <w:t xml:space="preserve">Willis, A. J., &amp; Memmott, J. (2005). The potential for indirect effects between a weed, one of its biocontrol agents and native herbivores: A food web approach. </w:t>
      </w:r>
      <w:r w:rsidRPr="007746C5">
        <w:rPr>
          <w:i/>
          <w:iCs/>
        </w:rPr>
        <w:t>Biological Control</w:t>
      </w:r>
      <w:r w:rsidRPr="007746C5">
        <w:t xml:space="preserve">, </w:t>
      </w:r>
      <w:r w:rsidRPr="007746C5">
        <w:rPr>
          <w:i/>
          <w:iCs/>
        </w:rPr>
        <w:t>35</w:t>
      </w:r>
      <w:r w:rsidRPr="007746C5">
        <w:t>(3), 299–306. https://doi.org/10.1016/j.biocontrol.2005.07.013</w:t>
      </w:r>
    </w:p>
    <w:p w14:paraId="2F0CEE47" w14:textId="77777777" w:rsidR="007746C5" w:rsidRPr="007746C5" w:rsidRDefault="007746C5" w:rsidP="009A04E6">
      <w:pPr>
        <w:pStyle w:val="Bibliography"/>
        <w:spacing w:line="240" w:lineRule="auto"/>
      </w:pPr>
      <w:r w:rsidRPr="007746C5">
        <w:t xml:space="preserve">Wilson, A. D. (2017). Electronic-nose devices—Potential for noninvasive early disease-detection applications. </w:t>
      </w:r>
      <w:r w:rsidRPr="007746C5">
        <w:rPr>
          <w:i/>
          <w:iCs/>
        </w:rPr>
        <w:t>Annals of Clinical Case Reports</w:t>
      </w:r>
      <w:r w:rsidRPr="007746C5">
        <w:t xml:space="preserve">, </w:t>
      </w:r>
      <w:r w:rsidRPr="007746C5">
        <w:rPr>
          <w:i/>
          <w:iCs/>
        </w:rPr>
        <w:t>2</w:t>
      </w:r>
      <w:r w:rsidRPr="007746C5">
        <w:t>, Article 1401. https://www.fs.usda.gov/treesearch/pubs/54652</w:t>
      </w:r>
    </w:p>
    <w:p w14:paraId="1E1DEFAA" w14:textId="77777777" w:rsidR="007746C5" w:rsidRPr="007746C5" w:rsidRDefault="007746C5" w:rsidP="009A04E6">
      <w:pPr>
        <w:pStyle w:val="Bibliography"/>
        <w:spacing w:line="240" w:lineRule="auto"/>
      </w:pPr>
      <w:r w:rsidRPr="007746C5">
        <w:t xml:space="preserve">Wilson, J. R. U., Bacher, S., Daehler, C. C., Groom, Q. J., Kumschick, S., Lockwood, J. L., Robinson, T. B., Zengeya, T. A., &amp; Richardson, D. M. (2020). Frameworks used in invasion science: Progress and prospects. </w:t>
      </w:r>
      <w:r w:rsidRPr="007746C5">
        <w:rPr>
          <w:i/>
          <w:iCs/>
        </w:rPr>
        <w:t>NeoBiota</w:t>
      </w:r>
      <w:r w:rsidRPr="007746C5">
        <w:t xml:space="preserve">, </w:t>
      </w:r>
      <w:r w:rsidRPr="007746C5">
        <w:rPr>
          <w:i/>
          <w:iCs/>
        </w:rPr>
        <w:t>62</w:t>
      </w:r>
      <w:r w:rsidRPr="007746C5">
        <w:t>, 1–30. https://doi.org/10.3897/neobiota.62.58738</w:t>
      </w:r>
    </w:p>
    <w:p w14:paraId="7D800660" w14:textId="77777777" w:rsidR="007746C5" w:rsidRPr="007746C5" w:rsidRDefault="007746C5" w:rsidP="009A04E6">
      <w:pPr>
        <w:pStyle w:val="Bibliography"/>
        <w:spacing w:line="240" w:lineRule="auto"/>
      </w:pPr>
      <w:r w:rsidRPr="007746C5">
        <w:t xml:space="preserve">Wilson, J. R. U., Ivey, P., Manyama, P., &amp; Nänni, I. (2013). A new national unit for invasive species detection, assessment and eradication planning. </w:t>
      </w:r>
      <w:r w:rsidRPr="007746C5">
        <w:rPr>
          <w:i/>
          <w:iCs/>
        </w:rPr>
        <w:t>South African Journal of Science</w:t>
      </w:r>
      <w:r w:rsidRPr="007746C5">
        <w:t xml:space="preserve">, </w:t>
      </w:r>
      <w:r w:rsidRPr="007746C5">
        <w:rPr>
          <w:i/>
          <w:iCs/>
        </w:rPr>
        <w:t>109</w:t>
      </w:r>
      <w:r w:rsidRPr="007746C5">
        <w:t>(5/6), 1–13. https://doi.org/10.1590/sajs.2013/20120111</w:t>
      </w:r>
    </w:p>
    <w:p w14:paraId="338184DD" w14:textId="77777777" w:rsidR="007746C5" w:rsidRPr="007746C5" w:rsidRDefault="007746C5" w:rsidP="009A04E6">
      <w:pPr>
        <w:pStyle w:val="Bibliography"/>
        <w:spacing w:line="240" w:lineRule="auto"/>
      </w:pPr>
      <w:r w:rsidRPr="007746C5">
        <w:t xml:space="preserve">Wilson, J. R. U., Panetta, F. D., &amp; Lindgren, C. (2016). </w:t>
      </w:r>
      <w:r w:rsidRPr="007746C5">
        <w:rPr>
          <w:i/>
          <w:iCs/>
        </w:rPr>
        <w:t>Detecting and Responding to Alien Plant Incursions</w:t>
      </w:r>
      <w:r w:rsidRPr="007746C5">
        <w:t>. Cambridge University Press. https://scholar.google.com.au/scholar?hl=en&amp;as_sdt=0%2C5&amp;q=Detecting+and+responding+to+alien+plant+incursions&amp;btnG=</w:t>
      </w:r>
    </w:p>
    <w:p w14:paraId="0AD2F305" w14:textId="77777777" w:rsidR="007746C5" w:rsidRPr="007746C5" w:rsidRDefault="007746C5" w:rsidP="009A04E6">
      <w:pPr>
        <w:pStyle w:val="Bibliography"/>
        <w:spacing w:line="240" w:lineRule="auto"/>
      </w:pPr>
      <w:r w:rsidRPr="007746C5">
        <w:t xml:space="preserve">Wilson, K. A., Underwood, E. C., Morrison, S. A., Klausmeyer, K. R., Murdoch, W. W., Reyers, B., Wardell-Johnson, G., Marquet, P. A., Rundel, P. W., McBride, M. F., Pressey, R. L., Bode, M., Hoekstra, J. M., Andelman, S., Looker, M., Rondinini, C., Kareiva, P., Shaw, M. R., &amp; Possingham, H. P. (2007). Conserving biodiversity efficiently: What to do, where, and when. </w:t>
      </w:r>
      <w:r w:rsidRPr="007746C5">
        <w:rPr>
          <w:i/>
          <w:iCs/>
        </w:rPr>
        <w:t>PLoS Biology</w:t>
      </w:r>
      <w:r w:rsidRPr="007746C5">
        <w:t xml:space="preserve">, </w:t>
      </w:r>
      <w:r w:rsidRPr="007746C5">
        <w:rPr>
          <w:i/>
          <w:iCs/>
        </w:rPr>
        <w:t>5</w:t>
      </w:r>
      <w:r w:rsidRPr="007746C5">
        <w:t>(9), e223. https://doi.org/10.1371/journal.pbio.0050223</w:t>
      </w:r>
    </w:p>
    <w:p w14:paraId="59C1CD66" w14:textId="77777777" w:rsidR="007746C5" w:rsidRPr="007746C5" w:rsidRDefault="007746C5" w:rsidP="009A04E6">
      <w:pPr>
        <w:pStyle w:val="Bibliography"/>
        <w:spacing w:line="240" w:lineRule="auto"/>
      </w:pPr>
      <w:r w:rsidRPr="007746C5">
        <w:t>Wilson, M. E., &amp; Coulson, G. (2016). Comparative efficacy of levonorgestrel and deslorelin contraceptive implants in free-ranging eastern grey kangaroos (</w:t>
      </w:r>
      <w:r w:rsidRPr="007746C5">
        <w:rPr>
          <w:i/>
          <w:iCs/>
        </w:rPr>
        <w:t>Macropus giganteus</w:t>
      </w:r>
      <w:r w:rsidRPr="007746C5">
        <w:t xml:space="preserve">). </w:t>
      </w:r>
      <w:r w:rsidRPr="007746C5">
        <w:rPr>
          <w:i/>
          <w:iCs/>
        </w:rPr>
        <w:t>Wildlife Research</w:t>
      </w:r>
      <w:r w:rsidRPr="007746C5">
        <w:t xml:space="preserve">, </w:t>
      </w:r>
      <w:r w:rsidRPr="007746C5">
        <w:rPr>
          <w:i/>
          <w:iCs/>
        </w:rPr>
        <w:t>43</w:t>
      </w:r>
      <w:r w:rsidRPr="007746C5">
        <w:t>(3), 212–219. https://doi.org/10.1071/WR15176</w:t>
      </w:r>
    </w:p>
    <w:p w14:paraId="7AF19FF0" w14:textId="77777777" w:rsidR="007746C5" w:rsidRPr="007746C5" w:rsidRDefault="007746C5" w:rsidP="009A04E6">
      <w:pPr>
        <w:pStyle w:val="Bibliography"/>
        <w:spacing w:line="240" w:lineRule="auto"/>
      </w:pPr>
      <w:r w:rsidRPr="007746C5">
        <w:t xml:space="preserve">Winston, R. L., Schwarzlander, M., Hinz, H. L., Day, M. D., Cock, M. J. W., &amp; Julien, M. H. (Eds.). (2014). </w:t>
      </w:r>
      <w:r w:rsidRPr="007746C5">
        <w:rPr>
          <w:i/>
          <w:iCs/>
        </w:rPr>
        <w:t>Biological control of weeds: A world catalogue of agents and their target weeds, 5th edn.</w:t>
      </w:r>
      <w:r w:rsidRPr="007746C5">
        <w:t xml:space="preserve"> USDA Forest Service, Forest Health Technology Enterprise Team, Morgantown. https://www.ibiocontrol.org/catalog/about.pdf</w:t>
      </w:r>
    </w:p>
    <w:p w14:paraId="2291AAE2" w14:textId="77777777" w:rsidR="007746C5" w:rsidRPr="007746C5" w:rsidRDefault="007746C5" w:rsidP="009A04E6">
      <w:pPr>
        <w:pStyle w:val="Bibliography"/>
        <w:spacing w:line="240" w:lineRule="auto"/>
      </w:pPr>
      <w:r w:rsidRPr="007746C5">
        <w:t xml:space="preserve">Witt, A. B. R., Kiambi, S., Beale, T., &amp; Van Wilgen, B. W. (2017). A preliminary assessment of the extent and potential impacts of alien plant invasions in the Serengeti-Mara ecosystem, East Africa. </w:t>
      </w:r>
      <w:r w:rsidRPr="007746C5">
        <w:rPr>
          <w:i/>
          <w:iCs/>
        </w:rPr>
        <w:t>Koedoe</w:t>
      </w:r>
      <w:r w:rsidRPr="007746C5">
        <w:t xml:space="preserve">, </w:t>
      </w:r>
      <w:r w:rsidRPr="007746C5">
        <w:rPr>
          <w:i/>
          <w:iCs/>
        </w:rPr>
        <w:t>59</w:t>
      </w:r>
      <w:r w:rsidRPr="007746C5">
        <w:t>(1), a1426. https://doi.org/10.4102/koedoe.v59i1.1426</w:t>
      </w:r>
    </w:p>
    <w:p w14:paraId="49555AC5" w14:textId="77777777" w:rsidR="007746C5" w:rsidRPr="007746C5" w:rsidRDefault="007746C5" w:rsidP="009A04E6">
      <w:pPr>
        <w:pStyle w:val="Bibliography"/>
        <w:spacing w:line="240" w:lineRule="auto"/>
      </w:pPr>
      <w:r w:rsidRPr="007746C5">
        <w:t xml:space="preserve">Wittenberg, R., &amp; Cock, M. J. W. (2003). </w:t>
      </w:r>
      <w:r w:rsidRPr="007746C5">
        <w:rPr>
          <w:i/>
          <w:iCs/>
        </w:rPr>
        <w:t>Invasive Alien Species: A Toolkit of Best Prevention and Management Practices</w:t>
      </w:r>
      <w:r w:rsidRPr="007746C5">
        <w:t>. CAB International. https://www.cabidigitallibrary.org/doi/10.1079/9780851995694.0000</w:t>
      </w:r>
    </w:p>
    <w:p w14:paraId="6A881A05" w14:textId="77777777" w:rsidR="007746C5" w:rsidRPr="007746C5" w:rsidRDefault="007746C5" w:rsidP="009A04E6">
      <w:pPr>
        <w:pStyle w:val="Bibliography"/>
        <w:spacing w:line="240" w:lineRule="auto"/>
      </w:pPr>
      <w:r w:rsidRPr="007746C5">
        <w:t>Woolnough, A. P., Hampton, J. O., Campbell, S., Lethbridge, M. R., Boardman, W. S. J., Sharp, T., &amp; Rose, K. (2012). Field Immobilization Of Feral ‘Judas’ Donkeys (</w:t>
      </w:r>
      <w:r w:rsidRPr="007746C5">
        <w:rPr>
          <w:i/>
          <w:iCs/>
        </w:rPr>
        <w:t>Equus asinus</w:t>
      </w:r>
      <w:r w:rsidRPr="007746C5">
        <w:t xml:space="preserve">) By </w:t>
      </w:r>
      <w:r w:rsidRPr="007746C5">
        <w:lastRenderedPageBreak/>
        <w:t xml:space="preserve">Remote Injection Of Medetomidine And Ketamine And Antagonism With Atipamezole. </w:t>
      </w:r>
      <w:r w:rsidRPr="007746C5">
        <w:rPr>
          <w:i/>
          <w:iCs/>
        </w:rPr>
        <w:t>Journal of Wildlife Diseases</w:t>
      </w:r>
      <w:r w:rsidRPr="007746C5">
        <w:t xml:space="preserve">, </w:t>
      </w:r>
      <w:r w:rsidRPr="007746C5">
        <w:rPr>
          <w:i/>
          <w:iCs/>
        </w:rPr>
        <w:t>48</w:t>
      </w:r>
      <w:r w:rsidRPr="007746C5">
        <w:t>(2), 435–443. https://doi.org/10.7589/0090-3558-48.2.435</w:t>
      </w:r>
    </w:p>
    <w:p w14:paraId="025B2596" w14:textId="77777777" w:rsidR="007746C5" w:rsidRPr="007746C5" w:rsidRDefault="007746C5" w:rsidP="009A04E6">
      <w:pPr>
        <w:pStyle w:val="Bibliography"/>
        <w:spacing w:line="240" w:lineRule="auto"/>
      </w:pPr>
      <w:r w:rsidRPr="007746C5">
        <w:t xml:space="preserve">World Organisation for Animal Health. (2019). Chapter 1.4. Animal Health Surveillance. In </w:t>
      </w:r>
      <w:r w:rsidRPr="007746C5">
        <w:rPr>
          <w:i/>
          <w:iCs/>
        </w:rPr>
        <w:t>Terrestrial Animal Health Code</w:t>
      </w:r>
      <w:r w:rsidRPr="007746C5">
        <w:t>. World Organisation for Animal Health. https://www.oie.int/index.php?id=169&amp;L=0&amp;htmfile=chapitre_surveillance_general.htm</w:t>
      </w:r>
    </w:p>
    <w:p w14:paraId="7DBD90F4" w14:textId="77777777" w:rsidR="007746C5" w:rsidRPr="007746C5" w:rsidRDefault="007746C5" w:rsidP="009A04E6">
      <w:pPr>
        <w:pStyle w:val="Bibliography"/>
        <w:spacing w:line="240" w:lineRule="auto"/>
      </w:pPr>
      <w:r w:rsidRPr="007746C5">
        <w:t xml:space="preserve">World Organisation for Animal Health. (2020, June 18). Overview of the activities of the OIE Specialist Commissions. </w:t>
      </w:r>
      <w:r w:rsidRPr="007746C5">
        <w:rPr>
          <w:i/>
          <w:iCs/>
        </w:rPr>
        <w:t>OIE - World Organisation for Animal Health</w:t>
      </w:r>
      <w:r w:rsidRPr="007746C5">
        <w:t>. https://www.oie.int/en/overview-of-the-activities-of-the-oie-specialist-commissions/</w:t>
      </w:r>
    </w:p>
    <w:p w14:paraId="6C6ED9F3" w14:textId="77777777" w:rsidR="007746C5" w:rsidRPr="007746C5" w:rsidRDefault="007746C5" w:rsidP="009A04E6">
      <w:pPr>
        <w:pStyle w:val="Bibliography"/>
        <w:spacing w:line="240" w:lineRule="auto"/>
      </w:pPr>
      <w:r w:rsidRPr="007746C5">
        <w:t xml:space="preserve">Xiao, D. R., Zhang, L. Q., Zhu, Z. C., &amp; Tian, K. (2011). </w:t>
      </w:r>
      <w:r w:rsidRPr="007746C5">
        <w:rPr>
          <w:i/>
          <w:iCs/>
        </w:rPr>
        <w:t xml:space="preserve">Response of seed production and viability of </w:t>
      </w:r>
      <w:r w:rsidRPr="007746C5">
        <w:t>Spartina alternifolia</w:t>
      </w:r>
      <w:r w:rsidRPr="007746C5">
        <w:rPr>
          <w:i/>
          <w:iCs/>
        </w:rPr>
        <w:t xml:space="preserve"> to cutting at Shanghai Chongming DongTan, China.</w:t>
      </w:r>
      <w:r w:rsidRPr="007746C5">
        <w:t xml:space="preserve"> </w:t>
      </w:r>
      <w:r w:rsidRPr="007746C5">
        <w:rPr>
          <w:i/>
          <w:iCs/>
        </w:rPr>
        <w:t>20</w:t>
      </w:r>
      <w:r w:rsidRPr="007746C5">
        <w:t>, 1681–1686. http://www.alljournals.cn/view_abstract.aspx?pcid=3FF3ABA7486768130C3FF830376F43B398E0C97F0FF2DD53&amp;cid=BEC1F4700DD66C14D137590A0896A0AD&amp;jid=1CB67BEB88F124F56F6BC6645431F032&amp;aid=42BF0787407D9153CB0AD4178164EB22&amp;yid=9377ED8094509821</w:t>
      </w:r>
    </w:p>
    <w:p w14:paraId="73AC330A" w14:textId="77777777" w:rsidR="007746C5" w:rsidRPr="007746C5" w:rsidRDefault="007746C5" w:rsidP="009A04E6">
      <w:pPr>
        <w:pStyle w:val="Bibliography"/>
        <w:spacing w:line="240" w:lineRule="auto"/>
      </w:pPr>
      <w:r w:rsidRPr="007746C5">
        <w:t xml:space="preserve">Yainna, S., Nègre, N., Silvie, P. J., Brévault, T., Tay, W. T., Gordon, K., dAlençon, E., Walsh, T., &amp; Nam, K. (2021). Geographic Monitoring of Insecticide Resistance Mutations in Native and Invasive Populations of the Fall Armyworm. </w:t>
      </w:r>
      <w:r w:rsidRPr="007746C5">
        <w:rPr>
          <w:i/>
          <w:iCs/>
        </w:rPr>
        <w:t>Insects</w:t>
      </w:r>
      <w:r w:rsidRPr="007746C5">
        <w:t xml:space="preserve">, </w:t>
      </w:r>
      <w:r w:rsidRPr="007746C5">
        <w:rPr>
          <w:i/>
          <w:iCs/>
        </w:rPr>
        <w:t>12</w:t>
      </w:r>
      <w:r w:rsidRPr="007746C5">
        <w:t>(5), Article 5. https://doi.org/10.3390/insects12050468</w:t>
      </w:r>
    </w:p>
    <w:p w14:paraId="302EF8E6" w14:textId="77777777" w:rsidR="007746C5" w:rsidRPr="007746C5" w:rsidRDefault="007746C5" w:rsidP="009A04E6">
      <w:pPr>
        <w:pStyle w:val="Bibliography"/>
        <w:spacing w:line="240" w:lineRule="auto"/>
      </w:pPr>
      <w:r w:rsidRPr="007746C5">
        <w:t xml:space="preserve">Yan, Z., Sun, J., Don, O., &amp; Zhang, Z. (2005). The red turpentine beetle, </w:t>
      </w:r>
      <w:r w:rsidRPr="007746C5">
        <w:rPr>
          <w:i/>
          <w:iCs/>
        </w:rPr>
        <w:t>Dendroctonus valens</w:t>
      </w:r>
      <w:r w:rsidRPr="007746C5">
        <w:t xml:space="preserve"> LeConte (Scolytidae): An exotic invasive pest of pine in China. </w:t>
      </w:r>
      <w:r w:rsidRPr="007746C5">
        <w:rPr>
          <w:i/>
          <w:iCs/>
        </w:rPr>
        <w:t>Biodiversity &amp; Conservation</w:t>
      </w:r>
      <w:r w:rsidRPr="007746C5">
        <w:t xml:space="preserve">, </w:t>
      </w:r>
      <w:r w:rsidRPr="007746C5">
        <w:rPr>
          <w:i/>
          <w:iCs/>
        </w:rPr>
        <w:t>14</w:t>
      </w:r>
      <w:r w:rsidRPr="007746C5">
        <w:t>(7), 1735–1760. https://doi.org/10.1007/s10531-004-0697-9</w:t>
      </w:r>
    </w:p>
    <w:p w14:paraId="150F698C" w14:textId="77777777" w:rsidR="007746C5" w:rsidRPr="007746C5" w:rsidRDefault="007746C5" w:rsidP="009A04E6">
      <w:pPr>
        <w:pStyle w:val="Bibliography"/>
        <w:spacing w:line="240" w:lineRule="auto"/>
      </w:pPr>
      <w:r w:rsidRPr="007746C5">
        <w:t xml:space="preserve">Ye, X., Li, L., Li, J., Wu, X., Fang, X., &amp; Kong, J. (2019). Microfluidic-CFPA Chip for the Point-of-Care Detection of African Swine Fever Virus with a Median Time to Threshold in about 10 min. </w:t>
      </w:r>
      <w:r w:rsidRPr="007746C5">
        <w:rPr>
          <w:i/>
          <w:iCs/>
        </w:rPr>
        <w:t>ACS Sensors</w:t>
      </w:r>
      <w:r w:rsidRPr="007746C5">
        <w:t xml:space="preserve">, </w:t>
      </w:r>
      <w:r w:rsidRPr="007746C5">
        <w:rPr>
          <w:i/>
          <w:iCs/>
        </w:rPr>
        <w:t>4</w:t>
      </w:r>
      <w:r w:rsidRPr="007746C5">
        <w:t>(11), 3066–3071. https://doi.org/10.1021/acssensors.9b01731</w:t>
      </w:r>
    </w:p>
    <w:p w14:paraId="0B50D91C" w14:textId="77777777" w:rsidR="007746C5" w:rsidRPr="007746C5" w:rsidRDefault="007746C5" w:rsidP="009A04E6">
      <w:pPr>
        <w:pStyle w:val="Bibliography"/>
        <w:spacing w:line="240" w:lineRule="auto"/>
      </w:pPr>
      <w:r w:rsidRPr="007746C5">
        <w:t xml:space="preserve">Yemshanov, D., Koch, F. H., &amp; Ducey, M. (2015). Making Invasion Models Useful for Decision Makers: Incorporating Uncertainty, Knowledge Gaps and Decision-making Preferences. In R. C. Venette (Ed.), </w:t>
      </w:r>
      <w:r w:rsidRPr="007746C5">
        <w:rPr>
          <w:i/>
          <w:iCs/>
        </w:rPr>
        <w:t>Pest risk modelling and mapping for Invasive Alien Species</w:t>
      </w:r>
      <w:r w:rsidRPr="007746C5">
        <w:t xml:space="preserve"> (pp. 206–222). CABI International and USDA.</w:t>
      </w:r>
    </w:p>
    <w:p w14:paraId="37A5B1F5" w14:textId="77777777" w:rsidR="007746C5" w:rsidRPr="007746C5" w:rsidRDefault="007746C5" w:rsidP="009A04E6">
      <w:pPr>
        <w:pStyle w:val="Bibliography"/>
        <w:spacing w:line="240" w:lineRule="auto"/>
      </w:pPr>
      <w:r w:rsidRPr="007746C5">
        <w:t xml:space="preserve">Yesson, C., Brewer, P. W., Sutton, T., Caithness, N., Pahwa, J. S., Burgess, M., Gray, W. A., White, R. J., Jones, A. C., Bisby, F. A., &amp; Culham, A. (2007). How Global Is the Global Biodiversity Information Facility? </w:t>
      </w:r>
      <w:r w:rsidRPr="007746C5">
        <w:rPr>
          <w:i/>
          <w:iCs/>
        </w:rPr>
        <w:t>PLoS ONE</w:t>
      </w:r>
      <w:r w:rsidRPr="007746C5">
        <w:t xml:space="preserve">, </w:t>
      </w:r>
      <w:r w:rsidRPr="007746C5">
        <w:rPr>
          <w:i/>
          <w:iCs/>
        </w:rPr>
        <w:t>2</w:t>
      </w:r>
      <w:r w:rsidRPr="007746C5">
        <w:t>(11), e1124. https://doi.org/10.1371/journal.pone.0001124</w:t>
      </w:r>
    </w:p>
    <w:p w14:paraId="6AA8D2FA" w14:textId="77777777" w:rsidR="007746C5" w:rsidRPr="007746C5" w:rsidRDefault="007746C5" w:rsidP="009A04E6">
      <w:pPr>
        <w:pStyle w:val="Bibliography"/>
        <w:spacing w:line="240" w:lineRule="auto"/>
      </w:pPr>
      <w:r w:rsidRPr="007746C5">
        <w:t xml:space="preserve">Yick, J. L., Wisniewski, C., Diggle, J., &amp; Patil, J. G. (2021). Eradication of the Invasive Common Carp, </w:t>
      </w:r>
      <w:r w:rsidRPr="007746C5">
        <w:rPr>
          <w:i/>
          <w:iCs/>
        </w:rPr>
        <w:t>Cyprinus carpio</w:t>
      </w:r>
      <w:r w:rsidRPr="007746C5">
        <w:t xml:space="preserve"> from a Large Lake: Lessons and Insights from the Tasmanian Experience. </w:t>
      </w:r>
      <w:r w:rsidRPr="007746C5">
        <w:rPr>
          <w:i/>
          <w:iCs/>
        </w:rPr>
        <w:t>Fishes</w:t>
      </w:r>
      <w:r w:rsidRPr="007746C5">
        <w:t xml:space="preserve">, </w:t>
      </w:r>
      <w:r w:rsidRPr="007746C5">
        <w:rPr>
          <w:i/>
          <w:iCs/>
        </w:rPr>
        <w:t>6</w:t>
      </w:r>
      <w:r w:rsidRPr="007746C5">
        <w:t>(1), 6. https://doi.org/10.3390/fishes6010006</w:t>
      </w:r>
    </w:p>
    <w:p w14:paraId="69B2ABE4" w14:textId="77777777" w:rsidR="007746C5" w:rsidRPr="007746C5" w:rsidRDefault="007746C5" w:rsidP="009A04E6">
      <w:pPr>
        <w:pStyle w:val="Bibliography"/>
        <w:spacing w:line="240" w:lineRule="auto"/>
      </w:pPr>
      <w:r w:rsidRPr="007746C5">
        <w:t xml:space="preserve">Yu, V. L., &amp; Madoff, L. C. (2004). ProMED-mail: An Early Warning System for Emerging Diseases. </w:t>
      </w:r>
      <w:r w:rsidRPr="007746C5">
        <w:rPr>
          <w:i/>
          <w:iCs/>
        </w:rPr>
        <w:t>Clinical Infectious Diseases</w:t>
      </w:r>
      <w:r w:rsidRPr="007746C5">
        <w:t xml:space="preserve">, </w:t>
      </w:r>
      <w:r w:rsidRPr="007746C5">
        <w:rPr>
          <w:i/>
          <w:iCs/>
        </w:rPr>
        <w:t>39</w:t>
      </w:r>
      <w:r w:rsidRPr="007746C5">
        <w:t>(2), 227–232. https://doi.org/10.1086/422003</w:t>
      </w:r>
    </w:p>
    <w:p w14:paraId="06793953" w14:textId="77777777" w:rsidR="007746C5" w:rsidRPr="007746C5" w:rsidRDefault="007746C5" w:rsidP="009A04E6">
      <w:pPr>
        <w:pStyle w:val="Bibliography"/>
        <w:spacing w:line="240" w:lineRule="auto"/>
      </w:pPr>
      <w:r w:rsidRPr="007746C5">
        <w:t>Zabala, J., Zuberogoitia, I., &amp; González-Oreja, J. A. (2010). Estimating costs and outcomes of invasive American mink (</w:t>
      </w:r>
      <w:r w:rsidRPr="007746C5">
        <w:rPr>
          <w:i/>
          <w:iCs/>
        </w:rPr>
        <w:t>Neovison vison</w:t>
      </w:r>
      <w:r w:rsidRPr="007746C5">
        <w:t xml:space="preserve">) management in continental areas: A framework for evidence based control and eradication. </w:t>
      </w:r>
      <w:r w:rsidRPr="007746C5">
        <w:rPr>
          <w:i/>
          <w:iCs/>
        </w:rPr>
        <w:t>Biological Invasions</w:t>
      </w:r>
      <w:r w:rsidRPr="007746C5">
        <w:t xml:space="preserve">, </w:t>
      </w:r>
      <w:r w:rsidRPr="007746C5">
        <w:rPr>
          <w:i/>
          <w:iCs/>
        </w:rPr>
        <w:t>12</w:t>
      </w:r>
      <w:r w:rsidRPr="007746C5">
        <w:t>(9), 2999–3012. https://doi.org/10.1007/s10530-010-9690-2</w:t>
      </w:r>
    </w:p>
    <w:p w14:paraId="7398E36A" w14:textId="77777777" w:rsidR="007746C5" w:rsidRPr="007746C5" w:rsidRDefault="007746C5" w:rsidP="009A04E6">
      <w:pPr>
        <w:pStyle w:val="Bibliography"/>
        <w:spacing w:line="240" w:lineRule="auto"/>
      </w:pPr>
      <w:r w:rsidRPr="007746C5">
        <w:t xml:space="preserve">Zachrisson, B., &amp; Barba, A. (2020). Biological Control in Panama. In </w:t>
      </w:r>
      <w:r w:rsidRPr="007746C5">
        <w:rPr>
          <w:i/>
          <w:iCs/>
        </w:rPr>
        <w:t>Biological Control in Latin America and the Caribbean: Its Rich History and Bright Future</w:t>
      </w:r>
      <w:r w:rsidRPr="007746C5">
        <w:t xml:space="preserve"> (pp. 345–353). CABI International. https://doi.org/10.1079/9781789242430.0345</w:t>
      </w:r>
    </w:p>
    <w:p w14:paraId="4B595789" w14:textId="77777777" w:rsidR="007746C5" w:rsidRPr="007746C5" w:rsidRDefault="007746C5" w:rsidP="009A04E6">
      <w:pPr>
        <w:pStyle w:val="Bibliography"/>
        <w:spacing w:line="240" w:lineRule="auto"/>
      </w:pPr>
      <w:r w:rsidRPr="007746C5">
        <w:t xml:space="preserve">Zahid, I., Grgurinovic, C., Zaman, T., De Keyzer, R., &amp; Cayzer, L. (2012). Assessment of technologies and dogs for detecting insect pests in timber and forest products. </w:t>
      </w:r>
      <w:r w:rsidRPr="007746C5">
        <w:rPr>
          <w:i/>
          <w:iCs/>
        </w:rPr>
        <w:t>Scandinavian Journal of Forest Research</w:t>
      </w:r>
      <w:r w:rsidRPr="007746C5">
        <w:t xml:space="preserve">, </w:t>
      </w:r>
      <w:r w:rsidRPr="007746C5">
        <w:rPr>
          <w:i/>
          <w:iCs/>
        </w:rPr>
        <w:t>27</w:t>
      </w:r>
      <w:r w:rsidRPr="007746C5">
        <w:t>(5), 492–502. https://doi.org/10.1080/02827581.2012.657801</w:t>
      </w:r>
    </w:p>
    <w:p w14:paraId="3D8010B1" w14:textId="77777777" w:rsidR="007746C5" w:rsidRPr="007746C5" w:rsidRDefault="007746C5" w:rsidP="009A04E6">
      <w:pPr>
        <w:pStyle w:val="Bibliography"/>
        <w:spacing w:line="240" w:lineRule="auto"/>
      </w:pPr>
      <w:r w:rsidRPr="007746C5">
        <w:t xml:space="preserve">Zahra, S., Hofstetter, R. W., Waring, K. M., &amp; Gehring, C. (2020). Review: The invasion of </w:t>
      </w:r>
      <w:r w:rsidRPr="007746C5">
        <w:rPr>
          <w:i/>
          <w:iCs/>
        </w:rPr>
        <w:t>Acacia nilotica</w:t>
      </w:r>
      <w:r w:rsidRPr="007746C5">
        <w:t xml:space="preserve"> in Baluran National Park, Indonesia, and potential future control strategies. </w:t>
      </w:r>
      <w:r w:rsidRPr="007746C5">
        <w:rPr>
          <w:i/>
          <w:iCs/>
        </w:rPr>
        <w:t>Biodiversitas Journal of Biological Diversity</w:t>
      </w:r>
      <w:r w:rsidRPr="007746C5">
        <w:t xml:space="preserve">, </w:t>
      </w:r>
      <w:r w:rsidRPr="007746C5">
        <w:rPr>
          <w:i/>
          <w:iCs/>
        </w:rPr>
        <w:t>21</w:t>
      </w:r>
      <w:r w:rsidRPr="007746C5">
        <w:t>(1), Article 1. https://doi.org/10.13057/biodiv/d210115</w:t>
      </w:r>
    </w:p>
    <w:p w14:paraId="750D1BAE" w14:textId="77777777" w:rsidR="007746C5" w:rsidRPr="007746C5" w:rsidRDefault="007746C5" w:rsidP="009A04E6">
      <w:pPr>
        <w:pStyle w:val="Bibliography"/>
        <w:spacing w:line="240" w:lineRule="auto"/>
      </w:pPr>
      <w:r w:rsidRPr="007746C5">
        <w:lastRenderedPageBreak/>
        <w:t xml:space="preserve">Zaiko, A., Samuiloviene, A., Ardura, A., &amp; Garcia-Vazquez, E. (2015). Metabarcoding approach for nonindigenous species surveillance in marine coastal waters. </w:t>
      </w:r>
      <w:r w:rsidRPr="007746C5">
        <w:rPr>
          <w:i/>
          <w:iCs/>
        </w:rPr>
        <w:t>Marine Pollution Bulletin</w:t>
      </w:r>
      <w:r w:rsidRPr="007746C5">
        <w:t xml:space="preserve">, </w:t>
      </w:r>
      <w:r w:rsidRPr="007746C5">
        <w:rPr>
          <w:i/>
          <w:iCs/>
        </w:rPr>
        <w:t>100</w:t>
      </w:r>
      <w:r w:rsidRPr="007746C5">
        <w:t>(1), 53–59. https://doi.org/10.1016/j.marpolbul.2015.09.030</w:t>
      </w:r>
    </w:p>
    <w:p w14:paraId="12EBEA0F" w14:textId="77777777" w:rsidR="007746C5" w:rsidRPr="007746C5" w:rsidRDefault="007746C5" w:rsidP="009A04E6">
      <w:pPr>
        <w:pStyle w:val="Bibliography"/>
        <w:spacing w:line="240" w:lineRule="auto"/>
      </w:pPr>
      <w:r w:rsidRPr="007746C5">
        <w:t xml:space="preserve">Zalba, S., &amp; Ziller, S. R. (2007). Adaptive management of alien invasive species: Putting the theory into practice. </w:t>
      </w:r>
      <w:r w:rsidRPr="007746C5">
        <w:rPr>
          <w:i/>
          <w:iCs/>
        </w:rPr>
        <w:t>Natureza &amp; Conservação</w:t>
      </w:r>
      <w:r w:rsidRPr="007746C5">
        <w:t xml:space="preserve">, </w:t>
      </w:r>
      <w:r w:rsidRPr="007746C5">
        <w:rPr>
          <w:i/>
          <w:iCs/>
        </w:rPr>
        <w:t>5</w:t>
      </w:r>
      <w:r w:rsidRPr="007746C5">
        <w:t>(2), 86–92. https://www.cabdirect.org/cabdirect/abstract/20073250023</w:t>
      </w:r>
    </w:p>
    <w:p w14:paraId="7F7F010F" w14:textId="77777777" w:rsidR="007746C5" w:rsidRPr="007746C5" w:rsidRDefault="007746C5" w:rsidP="009A04E6">
      <w:pPr>
        <w:pStyle w:val="Bibliography"/>
        <w:spacing w:line="240" w:lineRule="auto"/>
      </w:pPr>
      <w:r w:rsidRPr="007746C5">
        <w:t xml:space="preserve">Zarco-Tejada, P. J., Camino, C., Beck, P. S. A., Calderon, R., Hornero, A., Hernández-Clemente, R., Kattenborn, T., Montes-Borrego, M., Susca, L., Morelli, M., Gonzalez-Dugo, V., North, P. R. J., Landa, B. B., Boscia, D., Saponari, M., &amp; Navas-Cortes, J. A. (2018). Previsual symptoms of </w:t>
      </w:r>
      <w:r w:rsidRPr="007746C5">
        <w:rPr>
          <w:i/>
          <w:iCs/>
        </w:rPr>
        <w:t>Xylella fastidiosa</w:t>
      </w:r>
      <w:r w:rsidRPr="007746C5">
        <w:t xml:space="preserve"> infection revealed in spectral plant-trait alterations. </w:t>
      </w:r>
      <w:r w:rsidRPr="007746C5">
        <w:rPr>
          <w:i/>
          <w:iCs/>
        </w:rPr>
        <w:t>Nature Plants</w:t>
      </w:r>
      <w:r w:rsidRPr="007746C5">
        <w:t xml:space="preserve">, </w:t>
      </w:r>
      <w:r w:rsidRPr="007746C5">
        <w:rPr>
          <w:i/>
          <w:iCs/>
        </w:rPr>
        <w:t>4</w:t>
      </w:r>
      <w:r w:rsidRPr="007746C5">
        <w:t>(7), 432–439. https://doi.org/10.1038/s41477-018-0189-7</w:t>
      </w:r>
    </w:p>
    <w:p w14:paraId="4658A4D2" w14:textId="77777777" w:rsidR="007746C5" w:rsidRPr="007746C5" w:rsidRDefault="007746C5" w:rsidP="009A04E6">
      <w:pPr>
        <w:pStyle w:val="Bibliography"/>
        <w:spacing w:line="240" w:lineRule="auto"/>
      </w:pPr>
      <w:r w:rsidRPr="007746C5">
        <w:t xml:space="preserve">Zavaleta, E. S. (2000). The Economic Value of Controlling an Invasive Shrub. </w:t>
      </w:r>
      <w:r w:rsidRPr="007746C5">
        <w:rPr>
          <w:i/>
          <w:iCs/>
        </w:rPr>
        <w:t>AMBIO: A Journal of the Human Environment</w:t>
      </w:r>
      <w:r w:rsidRPr="007746C5">
        <w:t xml:space="preserve">, </w:t>
      </w:r>
      <w:r w:rsidRPr="007746C5">
        <w:rPr>
          <w:i/>
          <w:iCs/>
        </w:rPr>
        <w:t>29</w:t>
      </w:r>
      <w:r w:rsidRPr="007746C5">
        <w:t>(8), 462–467. https://doi.org/10.1579/0044-7447-29.8.462</w:t>
      </w:r>
    </w:p>
    <w:p w14:paraId="51B7D63E" w14:textId="77777777" w:rsidR="007746C5" w:rsidRPr="007746C5" w:rsidRDefault="007746C5" w:rsidP="009A04E6">
      <w:pPr>
        <w:pStyle w:val="Bibliography"/>
        <w:spacing w:line="240" w:lineRule="auto"/>
      </w:pPr>
      <w:r w:rsidRPr="007746C5">
        <w:t xml:space="preserve">Zavaleta, E. S., Hobbs, R. J., &amp; Mooney, H. A. (2001). Viewing invasive species removal in a whole-ecosystem context. </w:t>
      </w:r>
      <w:r w:rsidRPr="007746C5">
        <w:rPr>
          <w:i/>
          <w:iCs/>
        </w:rPr>
        <w:t>Trends in Ecology &amp; Evolution</w:t>
      </w:r>
      <w:r w:rsidRPr="007746C5">
        <w:t xml:space="preserve">, </w:t>
      </w:r>
      <w:r w:rsidRPr="007746C5">
        <w:rPr>
          <w:i/>
          <w:iCs/>
        </w:rPr>
        <w:t>16</w:t>
      </w:r>
      <w:r w:rsidRPr="007746C5">
        <w:t>(8), 454–459. https://doi.org/10.1016/S0169-5347(01)02194-2</w:t>
      </w:r>
    </w:p>
    <w:p w14:paraId="14A2ED15" w14:textId="77777777" w:rsidR="007746C5" w:rsidRPr="007746C5" w:rsidRDefault="007746C5" w:rsidP="009A04E6">
      <w:pPr>
        <w:pStyle w:val="Bibliography"/>
        <w:spacing w:line="240" w:lineRule="auto"/>
      </w:pPr>
      <w:r w:rsidRPr="007746C5">
        <w:t xml:space="preserve">Zenni, R. D., Ziller, S. R., Pauchard, A., Rodriguez-Cabal, M., &amp; Nuñez, M. A. (2017). Invasion Science in the Developing World: A Response to Ricciardi </w:t>
      </w:r>
      <w:r w:rsidRPr="007746C5">
        <w:rPr>
          <w:i/>
          <w:iCs/>
        </w:rPr>
        <w:t>et al</w:t>
      </w:r>
      <w:r w:rsidRPr="007746C5">
        <w:t xml:space="preserve">. </w:t>
      </w:r>
      <w:r w:rsidRPr="007746C5">
        <w:rPr>
          <w:i/>
          <w:iCs/>
        </w:rPr>
        <w:t>Trends in Ecology &amp; Evolution</w:t>
      </w:r>
      <w:r w:rsidRPr="007746C5">
        <w:t xml:space="preserve">, </w:t>
      </w:r>
      <w:r w:rsidRPr="007746C5">
        <w:rPr>
          <w:i/>
          <w:iCs/>
        </w:rPr>
        <w:t>32</w:t>
      </w:r>
      <w:r w:rsidRPr="007746C5">
        <w:t>(11), 807–808. https://doi.org/10.1016/j.tree.2017.08.006</w:t>
      </w:r>
    </w:p>
    <w:p w14:paraId="496DE8F7" w14:textId="77777777" w:rsidR="007746C5" w:rsidRPr="007746C5" w:rsidRDefault="007746C5" w:rsidP="009A04E6">
      <w:pPr>
        <w:pStyle w:val="Bibliography"/>
        <w:spacing w:line="240" w:lineRule="auto"/>
      </w:pPr>
      <w:r w:rsidRPr="007746C5">
        <w:t xml:space="preserve">Zhang, W., &amp; Swinton, S. M. (2009). Incorporating natural enemies in an economic threshold for dynamically optimal pest management. </w:t>
      </w:r>
      <w:r w:rsidRPr="007746C5">
        <w:rPr>
          <w:i/>
          <w:iCs/>
        </w:rPr>
        <w:t>Ecological Modelling</w:t>
      </w:r>
      <w:r w:rsidRPr="007746C5">
        <w:t xml:space="preserve">, </w:t>
      </w:r>
      <w:r w:rsidRPr="007746C5">
        <w:rPr>
          <w:i/>
          <w:iCs/>
        </w:rPr>
        <w:t>220</w:t>
      </w:r>
      <w:r w:rsidRPr="007746C5">
        <w:t>(9), 1315–1324. https://doi.org/10.1016/j.ecolmodel.2009.01.027</w:t>
      </w:r>
    </w:p>
    <w:p w14:paraId="188F1743" w14:textId="77777777" w:rsidR="007746C5" w:rsidRPr="007746C5" w:rsidRDefault="007746C5" w:rsidP="009A04E6">
      <w:pPr>
        <w:pStyle w:val="Bibliography"/>
        <w:spacing w:line="240" w:lineRule="auto"/>
      </w:pPr>
      <w:r w:rsidRPr="007746C5">
        <w:t xml:space="preserve">Zhang, Z., Yokota, M., &amp; Strüssmann, C. A. (2019). A periodic matrix population model to predict growth potential of the invasive Chinese mitten crab </w:t>
      </w:r>
      <w:r w:rsidRPr="007746C5">
        <w:rPr>
          <w:i/>
          <w:iCs/>
        </w:rPr>
        <w:t>Eriocheir sinensis</w:t>
      </w:r>
      <w:r w:rsidRPr="007746C5">
        <w:t xml:space="preserve"> (H. Milne Edwards, 1853) (Decapoda: Brachyura: Varunidae). </w:t>
      </w:r>
      <w:r w:rsidRPr="007746C5">
        <w:rPr>
          <w:i/>
          <w:iCs/>
        </w:rPr>
        <w:t>Journal of Crustacean Biology</w:t>
      </w:r>
      <w:r w:rsidRPr="007746C5">
        <w:t xml:space="preserve">, </w:t>
      </w:r>
      <w:r w:rsidRPr="007746C5">
        <w:rPr>
          <w:i/>
          <w:iCs/>
        </w:rPr>
        <w:t>39</w:t>
      </w:r>
      <w:r w:rsidRPr="007746C5">
        <w:t>(1), 28–35. https://doi.org/10.1093/jcbiol/ruy090</w:t>
      </w:r>
    </w:p>
    <w:p w14:paraId="447C1C6A" w14:textId="77777777" w:rsidR="007746C5" w:rsidRPr="007746C5" w:rsidRDefault="007746C5" w:rsidP="009A04E6">
      <w:pPr>
        <w:pStyle w:val="Bibliography"/>
        <w:spacing w:line="240" w:lineRule="auto"/>
      </w:pPr>
      <w:r w:rsidRPr="007746C5">
        <w:t xml:space="preserve">Zhu, H., Fohlerová, Z., Pekárek, J., Basova, E., &amp; Neužil, P. (2020). Recent advances in lab-on-a-chip technologies for viral diagnosis. </w:t>
      </w:r>
      <w:r w:rsidRPr="007746C5">
        <w:rPr>
          <w:i/>
          <w:iCs/>
        </w:rPr>
        <w:t>Biosensors and Bioelectronics</w:t>
      </w:r>
      <w:r w:rsidRPr="007746C5">
        <w:t xml:space="preserve">, </w:t>
      </w:r>
      <w:r w:rsidRPr="007746C5">
        <w:rPr>
          <w:i/>
          <w:iCs/>
        </w:rPr>
        <w:t>153</w:t>
      </w:r>
      <w:r w:rsidRPr="007746C5">
        <w:t>, 112041. https://doi.org/10.1016/j.bios.2020.112041</w:t>
      </w:r>
    </w:p>
    <w:p w14:paraId="685AD563" w14:textId="77777777" w:rsidR="007746C5" w:rsidRPr="007746C5" w:rsidRDefault="007746C5" w:rsidP="009A04E6">
      <w:pPr>
        <w:pStyle w:val="Bibliography"/>
        <w:spacing w:line="240" w:lineRule="auto"/>
      </w:pPr>
      <w:r w:rsidRPr="007746C5">
        <w:t xml:space="preserve">Ziller, S. R., de Sá Dechoum, M., &amp; Dudeque Zenni, R. (2019). Predicting invasion risk of 16 species of eucalypts using a risk assessment protocol developed for Brazil. </w:t>
      </w:r>
      <w:r w:rsidRPr="007746C5">
        <w:rPr>
          <w:i/>
          <w:iCs/>
        </w:rPr>
        <w:t>Austral Ecology</w:t>
      </w:r>
      <w:r w:rsidRPr="007746C5">
        <w:t xml:space="preserve">, </w:t>
      </w:r>
      <w:r w:rsidRPr="007746C5">
        <w:rPr>
          <w:i/>
          <w:iCs/>
        </w:rPr>
        <w:t>44</w:t>
      </w:r>
      <w:r w:rsidRPr="007746C5">
        <w:t>(1), 28–35. https://doi.org/10.1111/aec.12649</w:t>
      </w:r>
    </w:p>
    <w:p w14:paraId="7FB930B8" w14:textId="77777777" w:rsidR="007746C5" w:rsidRPr="007746C5" w:rsidRDefault="007746C5" w:rsidP="009A04E6">
      <w:pPr>
        <w:pStyle w:val="Bibliography"/>
        <w:spacing w:line="240" w:lineRule="auto"/>
      </w:pPr>
      <w:r w:rsidRPr="007746C5">
        <w:t xml:space="preserve">Ziller, S. R., Dechoum, M. de S., Silveira, R. A. D., da Rosa, H. M., Motta, M. S., da Silva, L. F., Oliveira, B. C. M., &amp; Zenni, R. D. (2020). A priority-setting scheme for the management of invasive non-native species in protected areas. </w:t>
      </w:r>
      <w:r w:rsidRPr="007746C5">
        <w:rPr>
          <w:i/>
          <w:iCs/>
        </w:rPr>
        <w:t>NeoBiota</w:t>
      </w:r>
      <w:r w:rsidRPr="007746C5">
        <w:t xml:space="preserve">, </w:t>
      </w:r>
      <w:r w:rsidRPr="007746C5">
        <w:rPr>
          <w:i/>
          <w:iCs/>
        </w:rPr>
        <w:t>62</w:t>
      </w:r>
      <w:r w:rsidRPr="007746C5">
        <w:t>, 591–606. https://doi.org/10.3897/neobiota.62.52633</w:t>
      </w:r>
    </w:p>
    <w:p w14:paraId="7E8F0969" w14:textId="77777777" w:rsidR="007746C5" w:rsidRPr="007746C5" w:rsidRDefault="007746C5" w:rsidP="009A04E6">
      <w:pPr>
        <w:pStyle w:val="Bibliography"/>
        <w:spacing w:line="240" w:lineRule="auto"/>
      </w:pPr>
      <w:r w:rsidRPr="007746C5">
        <w:t xml:space="preserve">Zimmerman, C., Jordan, M., Sargis, G., Smith, H., &amp; Schwager, K. (2011). </w:t>
      </w:r>
      <w:r w:rsidRPr="007746C5">
        <w:rPr>
          <w:i/>
          <w:iCs/>
        </w:rPr>
        <w:t>An Invasive Plant Management Decision Analysis Tool</w:t>
      </w:r>
      <w:r w:rsidRPr="007746C5">
        <w:t xml:space="preserve"> (Version 1.1). The Nature Conservancy. https://cipwg.uconn.edu/wp-content/uploads/sites/244/2013/12/IPMDAT.pdf</w:t>
      </w:r>
    </w:p>
    <w:p w14:paraId="50690A0A" w14:textId="77777777" w:rsidR="007746C5" w:rsidRPr="007746C5" w:rsidRDefault="007746C5" w:rsidP="009A04E6">
      <w:pPr>
        <w:pStyle w:val="Bibliography"/>
        <w:spacing w:line="240" w:lineRule="auto"/>
      </w:pPr>
      <w:r w:rsidRPr="007746C5">
        <w:t xml:space="preserve">Zivin, J., Hueth, B. M., &amp; Zilberman, D. (2000). Managing a Multiple-Use Resource: The Case of Feral Pig Management in California Rangeland. </w:t>
      </w:r>
      <w:r w:rsidRPr="007746C5">
        <w:rPr>
          <w:i/>
          <w:iCs/>
        </w:rPr>
        <w:t>Journal of Environmental Economics and Management</w:t>
      </w:r>
      <w:r w:rsidRPr="007746C5">
        <w:t xml:space="preserve">, </w:t>
      </w:r>
      <w:r w:rsidRPr="007746C5">
        <w:rPr>
          <w:i/>
          <w:iCs/>
        </w:rPr>
        <w:t>39</w:t>
      </w:r>
      <w:r w:rsidRPr="007746C5">
        <w:t>(2), 189–204. https://doi.org/10.1006/jeem.1999.1101</w:t>
      </w:r>
    </w:p>
    <w:p w14:paraId="4C83B715" w14:textId="68B2F613" w:rsidR="00366563" w:rsidRPr="00366563" w:rsidRDefault="002A3E2C" w:rsidP="00EC6A3A">
      <w:pPr>
        <w:spacing w:line="240" w:lineRule="auto"/>
        <w:contextualSpacing/>
        <w:rPr>
          <w:lang w:eastAsia="ja-JP"/>
        </w:rPr>
      </w:pPr>
      <w:r w:rsidRPr="00A4003D">
        <w:rPr>
          <w:lang w:eastAsia="ja-JP"/>
        </w:rPr>
        <w:fldChar w:fldCharType="end"/>
      </w:r>
    </w:p>
    <w:p w14:paraId="5CC02133" w14:textId="381E783A" w:rsidR="00366563" w:rsidRDefault="00366563">
      <w:pPr>
        <w:rPr>
          <w:lang w:eastAsia="ja-JP"/>
        </w:rPr>
      </w:pPr>
    </w:p>
    <w:p w14:paraId="03F71EDE" w14:textId="77777777" w:rsidR="000B4441" w:rsidRDefault="000B4441">
      <w:pPr>
        <w:rPr>
          <w:lang w:eastAsia="ja-JP"/>
        </w:rPr>
      </w:pPr>
    </w:p>
    <w:sectPr w:rsidR="000B4441" w:rsidSect="002F2F42">
      <w:headerReference w:type="even" r:id="rId123"/>
      <w:headerReference w:type="default" r:id="rId124"/>
      <w:footerReference w:type="default" r:id="rId125"/>
      <w:headerReference w:type="first" r:id="rId126"/>
      <w:pgSz w:w="11906" w:h="16838" w:code="9"/>
      <w:pgMar w:top="1138" w:right="1138" w:bottom="1138" w:left="1138" w:header="284" w:footer="1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57D2B4" w14:textId="77777777" w:rsidR="00BF75D1" w:rsidRDefault="00BF75D1" w:rsidP="003666A4">
      <w:pPr>
        <w:spacing w:line="240" w:lineRule="auto"/>
      </w:pPr>
      <w:r>
        <w:separator/>
      </w:r>
    </w:p>
  </w:endnote>
  <w:endnote w:type="continuationSeparator" w:id="0">
    <w:p w14:paraId="21D0AD91" w14:textId="77777777" w:rsidR="00BF75D1" w:rsidRDefault="00BF75D1" w:rsidP="003666A4">
      <w:pPr>
        <w:spacing w:line="240" w:lineRule="auto"/>
      </w:pPr>
      <w:r>
        <w:continuationSeparator/>
      </w:r>
    </w:p>
  </w:endnote>
  <w:endnote w:type="continuationNotice" w:id="1">
    <w:p w14:paraId="42C9F138" w14:textId="77777777" w:rsidR="00BF75D1" w:rsidRDefault="00BF75D1" w:rsidP="003666A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D" w14:textId="27BB347C" w:rsidR="00B14625" w:rsidRPr="00AC1F76" w:rsidRDefault="00B14625" w:rsidP="00AC1F76">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rFonts w:eastAsia="Times New Roman"/>
        <w:color w:val="000000"/>
      </w:rPr>
      <w:instrText>PAGE</w:instrText>
    </w:r>
    <w:r>
      <w:rPr>
        <w:color w:val="000000"/>
      </w:rPr>
      <w:fldChar w:fldCharType="end"/>
    </w:r>
  </w:p>
  <w:p w14:paraId="00000FDE" w14:textId="77777777" w:rsidR="00B14625" w:rsidRPr="00AC1F76" w:rsidRDefault="00B14625" w:rsidP="00AC1F76">
    <w:pPr>
      <w:pBdr>
        <w:top w:val="nil"/>
        <w:left w:val="nil"/>
        <w:bottom w:val="nil"/>
        <w:right w:val="nil"/>
        <w:between w:val="nil"/>
      </w:pBdr>
      <w:tabs>
        <w:tab w:val="center" w:pos="4680"/>
        <w:tab w:val="right" w:pos="9360"/>
      </w:tabs>
      <w:spacing w:line="240" w:lineRule="auto"/>
      <w:ind w:right="360" w:firstLine="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C" w14:textId="37A31F07" w:rsidR="00B14625" w:rsidRPr="00AC1F76" w:rsidRDefault="00B14625" w:rsidP="00AC1F76">
    <w:pPr>
      <w:pBdr>
        <w:top w:val="nil"/>
        <w:left w:val="nil"/>
        <w:bottom w:val="nil"/>
        <w:right w:val="nil"/>
        <w:between w:val="nil"/>
      </w:pBdr>
      <w:tabs>
        <w:tab w:val="center" w:pos="4680"/>
        <w:tab w:val="right" w:pos="9360"/>
      </w:tabs>
      <w:spacing w:line="240" w:lineRule="auto"/>
      <w:jc w:val="center"/>
      <w:rPr>
        <w:color w:val="000000"/>
      </w:rPr>
    </w:pPr>
    <w:r w:rsidRPr="00AC1F76">
      <w:rPr>
        <w:color w:val="000000"/>
      </w:rPr>
      <w:fldChar w:fldCharType="begin"/>
    </w:r>
    <w:r>
      <w:rPr>
        <w:rFonts w:eastAsia="Times New Roman"/>
        <w:color w:val="000000"/>
      </w:rPr>
      <w:instrText>PAGE</w:instrText>
    </w:r>
    <w:r w:rsidRPr="00AC1F76">
      <w:rPr>
        <w:color w:val="000000"/>
      </w:rPr>
      <w:fldChar w:fldCharType="separate"/>
    </w:r>
    <w:r>
      <w:rPr>
        <w:rFonts w:eastAsia="Times New Roman"/>
        <w:noProof/>
        <w:color w:val="000000"/>
      </w:rPr>
      <w:t>1</w:t>
    </w:r>
    <w:r w:rsidRPr="00AC1F76">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304419771"/>
      <w:docPartObj>
        <w:docPartGallery w:val="Page Numbers (Bottom of Page)"/>
        <w:docPartUnique/>
      </w:docPartObj>
    </w:sdtPr>
    <w:sdtEndPr>
      <w:rPr>
        <w:rStyle w:val="PageNumber"/>
      </w:rPr>
    </w:sdtEndPr>
    <w:sdtContent>
      <w:p w14:paraId="72008C74" w14:textId="77777777" w:rsidR="00B14625" w:rsidRDefault="00B14625" w:rsidP="00A048E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92</w:t>
        </w:r>
        <w:r>
          <w:rPr>
            <w:rStyle w:val="PageNumber"/>
          </w:rPr>
          <w:fldChar w:fldCharType="end"/>
        </w:r>
      </w:p>
    </w:sdtContent>
  </w:sdt>
  <w:p w14:paraId="1A1931D5" w14:textId="77777777" w:rsidR="00B14625" w:rsidRDefault="00B14625" w:rsidP="00A048EB">
    <w:pPr>
      <w:pStyle w:val="Footer"/>
      <w:ind w:right="360"/>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9" w14:textId="31F3B0A6" w:rsidR="00B14625" w:rsidRPr="00AC1F76" w:rsidRDefault="00B14625" w:rsidP="00AC1F76">
    <w:pPr>
      <w:pBdr>
        <w:top w:val="nil"/>
        <w:left w:val="nil"/>
        <w:bottom w:val="nil"/>
        <w:right w:val="nil"/>
        <w:between w:val="nil"/>
      </w:pBdr>
      <w:tabs>
        <w:tab w:val="center" w:pos="4680"/>
        <w:tab w:val="right" w:pos="9360"/>
      </w:tabs>
      <w:spacing w:line="240" w:lineRule="auto"/>
      <w:jc w:val="center"/>
      <w:rPr>
        <w:color w:val="000000"/>
      </w:rPr>
    </w:pPr>
    <w:r w:rsidRPr="00AC1F76">
      <w:rPr>
        <w:color w:val="000000"/>
      </w:rPr>
      <w:fldChar w:fldCharType="begin"/>
    </w:r>
    <w:r>
      <w:rPr>
        <w:rFonts w:eastAsia="Times New Roman"/>
        <w:color w:val="000000"/>
      </w:rPr>
      <w:instrText>PAGE</w:instrText>
    </w:r>
    <w:r w:rsidRPr="00AC1F76">
      <w:rPr>
        <w:color w:val="000000"/>
      </w:rPr>
      <w:fldChar w:fldCharType="separate"/>
    </w:r>
    <w:r>
      <w:rPr>
        <w:rFonts w:eastAsia="Times New Roman"/>
        <w:noProof/>
        <w:color w:val="000000"/>
      </w:rPr>
      <w:t>94</w:t>
    </w:r>
    <w:r w:rsidRPr="00AC1F76">
      <w:rPr>
        <w:color w:val="000000"/>
      </w:rPr>
      <w:fldChar w:fldCharType="end"/>
    </w:r>
  </w:p>
  <w:p w14:paraId="00000FDA" w14:textId="77777777" w:rsidR="00B14625" w:rsidRPr="00AC1F76" w:rsidRDefault="00B14625" w:rsidP="00AC1F76">
    <w:pPr>
      <w:pBdr>
        <w:top w:val="nil"/>
        <w:left w:val="nil"/>
        <w:bottom w:val="nil"/>
        <w:right w:val="nil"/>
        <w:between w:val="nil"/>
      </w:pBdr>
      <w:tabs>
        <w:tab w:val="center" w:pos="4680"/>
        <w:tab w:val="right" w:pos="9360"/>
      </w:tabs>
      <w:spacing w:line="240" w:lineRule="auto"/>
      <w:ind w:right="360"/>
      <w:jc w:val="right"/>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F" w14:textId="6D48F32B" w:rsidR="00B14625" w:rsidRDefault="00B14625" w:rsidP="002F2F42">
    <w:pPr>
      <w:pBdr>
        <w:top w:val="nil"/>
        <w:left w:val="nil"/>
        <w:bottom w:val="nil"/>
        <w:right w:val="nil"/>
        <w:between w:val="nil"/>
      </w:pBdr>
      <w:tabs>
        <w:tab w:val="center" w:pos="4680"/>
        <w:tab w:val="right" w:pos="9360"/>
      </w:tabs>
      <w:spacing w:line="240" w:lineRule="auto"/>
      <w:jc w:val="center"/>
      <w:rPr>
        <w:color w:val="000000"/>
      </w:rPr>
    </w:pPr>
    <w:r w:rsidRPr="00AC1F76">
      <w:rPr>
        <w:color w:val="000000"/>
      </w:rPr>
      <w:fldChar w:fldCharType="begin"/>
    </w:r>
    <w:r>
      <w:rPr>
        <w:rFonts w:eastAsia="Times New Roman"/>
        <w:color w:val="000000"/>
      </w:rPr>
      <w:instrText>PAGE</w:instrText>
    </w:r>
    <w:r w:rsidRPr="00AC1F76">
      <w:rPr>
        <w:color w:val="000000"/>
      </w:rPr>
      <w:fldChar w:fldCharType="separate"/>
    </w:r>
    <w:r>
      <w:rPr>
        <w:rFonts w:eastAsia="Times New Roman"/>
        <w:noProof/>
        <w:color w:val="000000"/>
      </w:rPr>
      <w:t>125</w:t>
    </w:r>
    <w:r w:rsidRPr="00AC1F76">
      <w:rPr>
        <w:color w:val="000000"/>
      </w:rPr>
      <w:fldChar w:fldCharType="end"/>
    </w:r>
  </w:p>
  <w:p w14:paraId="00000FE0" w14:textId="77777777" w:rsidR="00B14625" w:rsidRDefault="00B14625">
    <w:pPr>
      <w:pBdr>
        <w:top w:val="nil"/>
        <w:left w:val="nil"/>
        <w:bottom w:val="nil"/>
        <w:right w:val="nil"/>
        <w:between w:val="nil"/>
      </w:pBdr>
      <w:tabs>
        <w:tab w:val="center" w:pos="4680"/>
        <w:tab w:val="right" w:pos="9360"/>
      </w:tabs>
      <w:spacing w:line="240" w:lineRule="auto"/>
      <w:jc w:val="right"/>
      <w:rPr>
        <w:color w:val="000000"/>
      </w:rPr>
    </w:pPr>
  </w:p>
  <w:p w14:paraId="00000FE1" w14:textId="77777777" w:rsidR="00B14625" w:rsidRPr="00AC1F76" w:rsidRDefault="00B14625" w:rsidP="00AC1F76">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69EF44" w14:textId="77777777" w:rsidR="00BF75D1" w:rsidRDefault="00BF75D1" w:rsidP="003666A4">
      <w:pPr>
        <w:spacing w:line="240" w:lineRule="auto"/>
      </w:pPr>
      <w:r>
        <w:separator/>
      </w:r>
    </w:p>
  </w:footnote>
  <w:footnote w:type="continuationSeparator" w:id="0">
    <w:p w14:paraId="2E5DB713" w14:textId="77777777" w:rsidR="00BF75D1" w:rsidRDefault="00BF75D1" w:rsidP="003666A4">
      <w:pPr>
        <w:spacing w:line="240" w:lineRule="auto"/>
      </w:pPr>
      <w:r>
        <w:continuationSeparator/>
      </w:r>
    </w:p>
  </w:footnote>
  <w:footnote w:type="continuationNotice" w:id="1">
    <w:p w14:paraId="6354F693" w14:textId="77777777" w:rsidR="00BF75D1" w:rsidRDefault="00BF75D1" w:rsidP="003666A4">
      <w:pPr>
        <w:spacing w:line="240" w:lineRule="auto"/>
      </w:pPr>
    </w:p>
  </w:footnote>
  <w:footnote w:id="2">
    <w:p w14:paraId="00000FAA" w14:textId="77777777" w:rsidR="00B14625" w:rsidRPr="00AC1F76" w:rsidRDefault="00B14625" w:rsidP="00AC1F76">
      <w:pPr>
        <w:pBdr>
          <w:top w:val="nil"/>
          <w:left w:val="nil"/>
          <w:bottom w:val="nil"/>
          <w:right w:val="nil"/>
          <w:between w:val="nil"/>
        </w:pBdr>
        <w:spacing w:line="240" w:lineRule="auto"/>
        <w:rPr>
          <w:color w:val="000000"/>
        </w:rPr>
      </w:pPr>
      <w:r w:rsidRPr="00A4003D">
        <w:rPr>
          <w:rStyle w:val="FootnoteReference"/>
        </w:rPr>
        <w:footnoteRef/>
      </w:r>
      <w:r w:rsidRPr="00AC1F76">
        <w:rPr>
          <w:color w:val="000000"/>
          <w:sz w:val="20"/>
        </w:rPr>
        <w:t xml:space="preserve"> Authors are listed in alphabetical order with, in parentheses, their country or countries of citizenship, separated by a comma when they have more than one; and, following a slash, their country of affiliation, if different from that or those of their citizenship, or their organization if they belong to an international organization. The countries and organizations having nominated the experts are listed on the IPBES website (except for contributing authors who were not nominated).</w:t>
      </w:r>
    </w:p>
  </w:footnote>
  <w:footnote w:id="3">
    <w:p w14:paraId="00000FAB" w14:textId="0683E2F0" w:rsidR="00B14625" w:rsidRPr="002F2F42" w:rsidRDefault="00B14625" w:rsidP="002F2F42">
      <w:pPr>
        <w:pStyle w:val="FootnoteText"/>
      </w:pPr>
      <w:r w:rsidRPr="00A4003D">
        <w:rPr>
          <w:rStyle w:val="FootnoteReference"/>
        </w:rPr>
        <w:footnoteRef/>
      </w:r>
      <w:r>
        <w:t xml:space="preserve"> </w:t>
      </w:r>
      <w:hyperlink r:id="rId1" w:history="1">
        <w:r w:rsidRPr="00CB08E9">
          <w:rPr>
            <w:rStyle w:val="Hyperlink"/>
          </w:rPr>
          <w:t>https://www.invasivespeciescentre.ca/invasive-species/what-is-at-risk/invasive-species-risk-assessment/</w:t>
        </w:r>
      </w:hyperlink>
      <w:r>
        <w:t xml:space="preserve"> </w:t>
      </w:r>
    </w:p>
  </w:footnote>
  <w:footnote w:id="4">
    <w:p w14:paraId="00000FAC" w14:textId="4C151AD9" w:rsidR="00B14625" w:rsidRPr="002F2F42" w:rsidRDefault="00B14625" w:rsidP="002F2F42">
      <w:pPr>
        <w:pStyle w:val="FootnoteText"/>
      </w:pPr>
      <w:r w:rsidRPr="00A4003D">
        <w:rPr>
          <w:rStyle w:val="FootnoteReference"/>
        </w:rPr>
        <w:footnoteRef/>
      </w:r>
      <w:r>
        <w:t xml:space="preserve"> </w:t>
      </w:r>
      <w:hyperlink r:id="rId2" w:history="1">
        <w:r w:rsidRPr="00C17B58">
          <w:rPr>
            <w:rStyle w:val="Hyperlink"/>
          </w:rPr>
          <w:t>http://bd.institutohoru</w:t>
        </w:r>
        <w:r w:rsidRPr="3F34C66E">
          <w:rPr>
            <w:rStyle w:val="Hyperlink"/>
          </w:rPr>
          <w:t>s.org.br</w:t>
        </w:r>
      </w:hyperlink>
    </w:p>
  </w:footnote>
  <w:footnote w:id="5">
    <w:p w14:paraId="00000FAD" w14:textId="32D9A374" w:rsidR="00B14625" w:rsidRPr="00CE3538" w:rsidRDefault="00B14625" w:rsidP="00CE3538">
      <w:pPr>
        <w:pBdr>
          <w:top w:val="nil"/>
          <w:left w:val="nil"/>
          <w:bottom w:val="nil"/>
          <w:right w:val="nil"/>
          <w:between w:val="nil"/>
        </w:pBdr>
        <w:spacing w:line="240" w:lineRule="auto"/>
        <w:rPr>
          <w:color w:val="000000"/>
          <w:sz w:val="20"/>
        </w:rPr>
      </w:pPr>
      <w:r w:rsidRPr="00A4003D">
        <w:rPr>
          <w:rStyle w:val="FootnoteReference"/>
        </w:rPr>
        <w:footnoteRef/>
      </w:r>
      <w:r>
        <w:t xml:space="preserve"> </w:t>
      </w:r>
      <w:r>
        <w:rPr>
          <w:rFonts w:eastAsia="Times New Roman"/>
          <w:color w:val="000000"/>
          <w:sz w:val="20"/>
          <w:szCs w:val="20"/>
        </w:rPr>
        <w:t xml:space="preserve"> </w:t>
      </w:r>
      <w:hyperlink r:id="rId3">
        <w:r>
          <w:rPr>
            <w:rFonts w:eastAsia="Times New Roman"/>
            <w:color w:val="0563C1"/>
            <w:sz w:val="20"/>
            <w:szCs w:val="20"/>
            <w:u w:val="single"/>
          </w:rPr>
          <w:t>https://www.conservationevidence.com/</w:t>
        </w:r>
      </w:hyperlink>
      <w:r>
        <w:rPr>
          <w:rFonts w:eastAsia="Times New Roman"/>
          <w:color w:val="000000"/>
          <w:sz w:val="20"/>
          <w:szCs w:val="20"/>
        </w:rPr>
        <w:t xml:space="preserve"> </w:t>
      </w:r>
    </w:p>
  </w:footnote>
  <w:footnote w:id="6">
    <w:p w14:paraId="53EDB961" w14:textId="77777777" w:rsidR="00B14625" w:rsidRDefault="00B14625">
      <w:pPr>
        <w:pStyle w:val="FootnoteText"/>
      </w:pPr>
      <w:r w:rsidRPr="00A4003D">
        <w:rPr>
          <w:rStyle w:val="FootnoteReference"/>
        </w:rPr>
        <w:footnoteRef/>
      </w:r>
      <w:r>
        <w:t xml:space="preserve"> </w:t>
      </w:r>
      <w:hyperlink r:id="rId4">
        <w:r>
          <w:t>https://www.plantsentinel.org</w:t>
        </w:r>
      </w:hyperlink>
    </w:p>
  </w:footnote>
  <w:footnote w:id="7">
    <w:p w14:paraId="00000FAF" w14:textId="17659EBD" w:rsidR="00B14625" w:rsidRPr="00AC1F76" w:rsidRDefault="00B14625" w:rsidP="002F2F42">
      <w:pPr>
        <w:pBdr>
          <w:top w:val="nil"/>
          <w:left w:val="nil"/>
          <w:bottom w:val="nil"/>
          <w:right w:val="nil"/>
          <w:between w:val="nil"/>
        </w:pBdr>
        <w:spacing w:line="240" w:lineRule="auto"/>
        <w:rPr>
          <w:rFonts w:ascii="Calibri" w:hAnsi="Calibri"/>
          <w:color w:val="000000"/>
          <w:sz w:val="18"/>
          <w:szCs w:val="18"/>
        </w:rPr>
      </w:pPr>
      <w:r w:rsidRPr="00A4003D">
        <w:rPr>
          <w:rStyle w:val="FootnoteReference"/>
        </w:rPr>
        <w:footnoteRef/>
      </w:r>
      <w:r w:rsidRPr="00AC1F76">
        <w:rPr>
          <w:rFonts w:ascii="Calibri" w:hAnsi="Calibri"/>
          <w:color w:val="000000"/>
          <w:sz w:val="18"/>
          <w:szCs w:val="18"/>
        </w:rPr>
        <w:t xml:space="preserve"> </w:t>
      </w:r>
      <w:r w:rsidRPr="00833FD5">
        <w:rPr>
          <w:color w:val="000000"/>
          <w:sz w:val="18"/>
          <w:szCs w:val="18"/>
        </w:rPr>
        <w:t>Remote sensing supporting landscape management and only likely to increase as global broadband internet access become ubiquitous e.g., via low orbital satellite constellations</w:t>
      </w:r>
      <w:r w:rsidRPr="00833FD5">
        <w:rPr>
          <w:rFonts w:ascii="Calibri" w:hAnsi="Calibri"/>
          <w:color w:val="000000"/>
          <w:sz w:val="18"/>
          <w:szCs w:val="18"/>
        </w:rPr>
        <w:t xml:space="preserve"> </w:t>
      </w:r>
    </w:p>
  </w:footnote>
  <w:footnote w:id="8">
    <w:p w14:paraId="00000FB0" w14:textId="77777777" w:rsidR="00B14625" w:rsidRPr="002F2F42" w:rsidRDefault="00B14625" w:rsidP="002F2F42">
      <w:pPr>
        <w:pBdr>
          <w:top w:val="nil"/>
          <w:left w:val="nil"/>
          <w:bottom w:val="nil"/>
          <w:right w:val="nil"/>
          <w:between w:val="nil"/>
        </w:pBdr>
        <w:spacing w:line="240" w:lineRule="auto"/>
        <w:rPr>
          <w:color w:val="000000"/>
          <w:sz w:val="20"/>
        </w:rPr>
      </w:pPr>
      <w:r w:rsidRPr="00A4003D">
        <w:rPr>
          <w:rStyle w:val="FootnoteReference"/>
        </w:rPr>
        <w:footnoteRef/>
      </w:r>
      <w:r w:rsidRPr="00AC1F76">
        <w:rPr>
          <w:color w:val="000000"/>
          <w:sz w:val="18"/>
          <w:szCs w:val="18"/>
        </w:rPr>
        <w:t xml:space="preserve"> Pheromones and semiochemical lures are considered under surveillance, detection and diagnostics but it is reconized that they may be used as an intervention technology (</w:t>
      </w:r>
      <w:r w:rsidRPr="00AC1F76">
        <w:rPr>
          <w:b/>
          <w:color w:val="000000"/>
          <w:sz w:val="18"/>
          <w:szCs w:val="18"/>
        </w:rPr>
        <w:t>section 5.5.4</w:t>
      </w:r>
      <w:r w:rsidRPr="00AC1F76">
        <w:rPr>
          <w:color w:val="000000"/>
          <w:sz w:val="18"/>
          <w:szCs w:val="18"/>
        </w:rPr>
        <w:t>)</w:t>
      </w:r>
      <w:r w:rsidRPr="002F2F42">
        <w:rPr>
          <w:color w:val="000000"/>
          <w:sz w:val="20"/>
        </w:rPr>
        <w:t xml:space="preserve"> </w:t>
      </w:r>
    </w:p>
  </w:footnote>
  <w:footnote w:id="9">
    <w:p w14:paraId="00000FB1" w14:textId="77777777" w:rsidR="00B14625" w:rsidRDefault="00B14625" w:rsidP="00746940">
      <w:pPr>
        <w:rPr>
          <w:sz w:val="20"/>
          <w:szCs w:val="20"/>
        </w:rPr>
      </w:pPr>
      <w:r w:rsidRPr="00A4003D">
        <w:rPr>
          <w:rStyle w:val="FootnoteReference"/>
        </w:rPr>
        <w:footnoteRef/>
      </w:r>
      <w:r>
        <w:rPr>
          <w:sz w:val="20"/>
          <w:szCs w:val="20"/>
        </w:rPr>
        <w:t xml:space="preserve"> </w:t>
      </w:r>
      <w:r>
        <w:rPr>
          <w:sz w:val="18"/>
          <w:szCs w:val="18"/>
        </w:rPr>
        <w:t>Generally, these approaches do not provide widespread long-term contro</w:t>
      </w:r>
      <w:r>
        <w:rPr>
          <w:sz w:val="22"/>
          <w:szCs w:val="22"/>
        </w:rPr>
        <w:t xml:space="preserve">l </w:t>
      </w:r>
      <w:r>
        <w:rPr>
          <w:sz w:val="18"/>
          <w:szCs w:val="18"/>
        </w:rPr>
        <w:t>except when populations are contained i.e., within an offshore or mainland island context.</w:t>
      </w:r>
    </w:p>
  </w:footnote>
  <w:footnote w:id="10">
    <w:p w14:paraId="00000FB2" w14:textId="77777777" w:rsidR="00B14625" w:rsidRPr="002F2F42" w:rsidRDefault="00B14625" w:rsidP="002F2F42">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r w:rsidRPr="002F2F42">
        <w:rPr>
          <w:color w:val="000000"/>
          <w:sz w:val="18"/>
        </w:rPr>
        <w:t>Intervention and control technologies are applied but have so far proved ineffective in marine systems beyond very short-term control</w:t>
      </w:r>
    </w:p>
  </w:footnote>
  <w:footnote w:id="11">
    <w:p w14:paraId="00000FB3" w14:textId="77777777" w:rsidR="00B14625" w:rsidRPr="002F2F42" w:rsidRDefault="00B14625" w:rsidP="002F2F42">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r w:rsidRPr="002F2F42">
        <w:rPr>
          <w:color w:val="000000"/>
          <w:sz w:val="18"/>
        </w:rPr>
        <w:t xml:space="preserve">Databases for these sectors do not appear to be well developed </w:t>
      </w:r>
    </w:p>
  </w:footnote>
  <w:footnote w:id="12">
    <w:p w14:paraId="00000FB4" w14:textId="77777777" w:rsidR="00B14625" w:rsidRPr="002F2F42" w:rsidRDefault="00B14625" w:rsidP="002F2F42">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bookmarkStart w:id="448" w:name="_Hlk112852892"/>
      <w:r w:rsidRPr="002F2F42">
        <w:rPr>
          <w:color w:val="000000"/>
          <w:sz w:val="18"/>
        </w:rPr>
        <w:t>Appear not yet demonstrated as effective for these sectors, but where relevant considered to have potential</w:t>
      </w:r>
      <w:bookmarkEnd w:id="448"/>
      <w:r w:rsidRPr="002F2F42">
        <w:rPr>
          <w:color w:val="000000"/>
          <w:sz w:val="18"/>
        </w:rPr>
        <w:t xml:space="preserve">. </w:t>
      </w:r>
    </w:p>
  </w:footnote>
  <w:footnote w:id="13">
    <w:p w14:paraId="00000FB5" w14:textId="77777777" w:rsidR="00B14625" w:rsidRPr="002F2F42" w:rsidRDefault="00B14625" w:rsidP="00746940">
      <w:pPr>
        <w:pBdr>
          <w:top w:val="nil"/>
          <w:left w:val="nil"/>
          <w:bottom w:val="nil"/>
          <w:right w:val="nil"/>
          <w:between w:val="nil"/>
        </w:pBdr>
        <w:spacing w:line="240" w:lineRule="auto"/>
        <w:rPr>
          <w:color w:val="000000"/>
          <w:sz w:val="18"/>
        </w:rPr>
      </w:pPr>
      <w:r w:rsidRPr="00A4003D">
        <w:rPr>
          <w:rStyle w:val="FootnoteReference"/>
        </w:rPr>
        <w:footnoteRef/>
      </w:r>
      <w:r w:rsidRPr="002F2F42">
        <w:rPr>
          <w:color w:val="000000"/>
          <w:sz w:val="20"/>
        </w:rPr>
        <w:t xml:space="preserve"> </w:t>
      </w:r>
      <w:r w:rsidRPr="002F2F42">
        <w:rPr>
          <w:color w:val="000000"/>
          <w:sz w:val="18"/>
        </w:rPr>
        <w:t xml:space="preserve">Where there is a detectable signal e.g., in the attacked host plant for pathogens and invertebrate herbivores </w:t>
      </w:r>
    </w:p>
  </w:footnote>
  <w:footnote w:id="14">
    <w:p w14:paraId="00000FB6" w14:textId="77777777" w:rsidR="00B14625" w:rsidRPr="002F2F42" w:rsidRDefault="00B14625" w:rsidP="00746940">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18"/>
        </w:rPr>
        <w:t xml:space="preserve"> Only where species are taxonomically defined, which is not always the case </w:t>
      </w:r>
    </w:p>
  </w:footnote>
  <w:footnote w:id="15">
    <w:p w14:paraId="00000FB7" w14:textId="77777777" w:rsidR="00B14625" w:rsidRPr="002F2F42" w:rsidRDefault="00B14625" w:rsidP="00746940">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r w:rsidRPr="002F2F42">
        <w:rPr>
          <w:color w:val="000000"/>
          <w:sz w:val="18"/>
        </w:rPr>
        <w:t>Where noise making</w:t>
      </w:r>
    </w:p>
  </w:footnote>
  <w:footnote w:id="16">
    <w:p w14:paraId="00000FB8" w14:textId="77777777" w:rsidR="00B14625" w:rsidRPr="002F2F42" w:rsidRDefault="00B14625" w:rsidP="00746940">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r w:rsidRPr="002F2F42">
        <w:rPr>
          <w:color w:val="000000"/>
          <w:sz w:val="18"/>
        </w:rPr>
        <w:t>Via pan-genomic full genome sequencing which can also track intraspecific genetic variation</w:t>
      </w:r>
    </w:p>
  </w:footnote>
  <w:footnote w:id="17">
    <w:p w14:paraId="00000FB9" w14:textId="77777777" w:rsidR="00B14625" w:rsidRPr="002F2F42" w:rsidRDefault="00B14625" w:rsidP="00746940">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r w:rsidRPr="002F2F42">
        <w:rPr>
          <w:color w:val="000000"/>
          <w:sz w:val="18"/>
        </w:rPr>
        <w:t>Only exceptions are burrowing species like beetle grubs or rabbits</w:t>
      </w:r>
    </w:p>
  </w:footnote>
  <w:footnote w:id="18">
    <w:p w14:paraId="00000FBA" w14:textId="77777777" w:rsidR="00B14625" w:rsidRPr="002F2F42" w:rsidRDefault="00B14625" w:rsidP="002F2F42">
      <w:pPr>
        <w:pBdr>
          <w:top w:val="nil"/>
          <w:left w:val="nil"/>
          <w:bottom w:val="nil"/>
          <w:right w:val="nil"/>
          <w:between w:val="nil"/>
        </w:pBdr>
        <w:spacing w:line="240" w:lineRule="auto"/>
        <w:rPr>
          <w:color w:val="000000"/>
          <w:sz w:val="20"/>
        </w:rPr>
      </w:pPr>
      <w:r w:rsidRPr="00A4003D">
        <w:rPr>
          <w:rStyle w:val="FootnoteReference"/>
        </w:rPr>
        <w:footnoteRef/>
      </w:r>
      <w:r w:rsidRPr="002F2F42">
        <w:rPr>
          <w:color w:val="000000"/>
          <w:sz w:val="20"/>
        </w:rPr>
        <w:t xml:space="preserve"> </w:t>
      </w:r>
      <w:r w:rsidRPr="002F2F42">
        <w:rPr>
          <w:color w:val="000000"/>
          <w:sz w:val="18"/>
        </w:rPr>
        <w:t>Only shows effectiveness for fungal pathogens in agriculture using fungicides no demonstrated effectiveness in native ecosystems invaded by invasive alien pathogens</w:t>
      </w:r>
    </w:p>
  </w:footnote>
  <w:footnote w:id="19">
    <w:p w14:paraId="00000FBB" w14:textId="5E046C62" w:rsidR="00B14625" w:rsidRPr="002F2F42" w:rsidRDefault="00B14625" w:rsidP="00746940">
      <w:pPr>
        <w:pBdr>
          <w:top w:val="nil"/>
          <w:left w:val="nil"/>
          <w:bottom w:val="nil"/>
          <w:right w:val="nil"/>
          <w:between w:val="nil"/>
        </w:pBdr>
        <w:spacing w:line="240" w:lineRule="auto"/>
        <w:rPr>
          <w:color w:val="000000"/>
          <w:sz w:val="20"/>
        </w:rPr>
      </w:pPr>
      <w:r w:rsidRPr="00A4003D">
        <w:rPr>
          <w:rStyle w:val="FootnoteReference"/>
        </w:rPr>
        <w:footnoteRef/>
      </w:r>
      <w:r>
        <w:t xml:space="preserve"> </w:t>
      </w:r>
      <w:r>
        <w:rPr>
          <w:sz w:val="18"/>
          <w:szCs w:val="18"/>
        </w:rPr>
        <w:t xml:space="preserve">Rarely effective </w:t>
      </w:r>
      <w:r>
        <w:rPr>
          <w:sz w:val="18"/>
          <w:szCs w:val="18"/>
        </w:rPr>
        <w:fldChar w:fldCharType="begin"/>
      </w:r>
      <w:r>
        <w:rPr>
          <w:sz w:val="18"/>
          <w:szCs w:val="18"/>
        </w:rPr>
        <w:instrText xml:space="preserve"> ADDIN ZOTERO_ITEM CSL_CITATION {"citationID":"YGtjERUG","properties":{"formattedCitation":"(Scott, 1995)","plainCitation":"(Scott, 1995)","noteIndex":18},"citationItems":[{"id":53063,"uris":["http://zotero.org/groups/2352922/items/C2G85R27"],"itemData":{"id":53063,"type":"chapter","abstract":"Classical biological control, as shown by successful programmes against weeds and insects, offers considerable advantages over other control methods. It is reasonably permanent, has no harmful side effects, attack is limited to a very small group of related species, agents are self-perpetuating, often density dependent and self-disseminating. This chapter brings a different perspective to the subject of biological control of plant pathogens. Using the example of a major pathogen, Phytophthora cinnamomi, the chapter approaches the question of its control as if it were an introduced weed that was to be subjected to classical biological control. The chapter outlines the theory of classical biological control, provides examples of the wide range of types of organisms and habitats that have been involved in this method, and presents a case for the classical biological control of P. cinnamomi.","container-title":"Advances in Plant Pathology","language":"en","note":"DOI: 10.1016/S0736-4539(06)80009-7","page":"131-146","publisher":"Academic Press","source":"ScienceDirect","title":"7 Classical biological control of plant pathogens","URL":"https://www.sciencedirect.com/science/article/pii/S0736453906800097","volume":"11","author":[{"family":"Scott","given":"John K."}],"editor":[{"family":"Andrews","given":"J. H."},{"family":"Tommerup","given":"I. C."}],"accessed":{"date-parts":[["2022",8,31]]},"issued":{"date-parts":[["1995",1,1]]}},"label":"page"}],"schema":"https://github.com/citation-style-language/schema/raw/master/csl-citation.json"} </w:instrText>
      </w:r>
      <w:r>
        <w:rPr>
          <w:sz w:val="18"/>
          <w:szCs w:val="18"/>
        </w:rPr>
        <w:fldChar w:fldCharType="separate"/>
      </w:r>
      <w:r w:rsidRPr="00271B78">
        <w:rPr>
          <w:rFonts w:ascii="Calibri" w:hAnsi="Calibri" w:cs="Calibri"/>
          <w:sz w:val="18"/>
        </w:rPr>
        <w:t>(Scott, 1995)</w:t>
      </w:r>
      <w:r>
        <w:rPr>
          <w:sz w:val="18"/>
          <w:szCs w:val="18"/>
        </w:rPr>
        <w:fldChar w:fldCharType="end"/>
      </w:r>
      <w:r>
        <w:rPr>
          <w:sz w:val="18"/>
          <w:szCs w:val="18"/>
        </w:rPr>
        <w:t xml:space="preserve"> </w:t>
      </w:r>
    </w:p>
  </w:footnote>
  <w:footnote w:id="20">
    <w:p w14:paraId="00000FBC" w14:textId="77777777" w:rsidR="00B14625" w:rsidRPr="002F2F42" w:rsidRDefault="00B14625" w:rsidP="002F2F42">
      <w:pPr>
        <w:pBdr>
          <w:top w:val="nil"/>
          <w:left w:val="nil"/>
          <w:bottom w:val="nil"/>
          <w:right w:val="nil"/>
          <w:between w:val="nil"/>
        </w:pBdr>
        <w:spacing w:line="240" w:lineRule="auto"/>
        <w:rPr>
          <w:b/>
          <w:bCs/>
          <w:color w:val="000000"/>
          <w:sz w:val="20"/>
        </w:rPr>
      </w:pPr>
      <w:r w:rsidRPr="00A4003D">
        <w:rPr>
          <w:rStyle w:val="FootnoteReference"/>
        </w:rPr>
        <w:footnoteRef/>
      </w:r>
      <w:r w:rsidRPr="002F2F42">
        <w:rPr>
          <w:color w:val="000000"/>
          <w:sz w:val="20"/>
        </w:rPr>
        <w:t xml:space="preserve"> </w:t>
      </w:r>
      <w:r w:rsidRPr="002F2F42">
        <w:rPr>
          <w:color w:val="000000"/>
          <w:sz w:val="18"/>
        </w:rPr>
        <w:t xml:space="preserve">Genetic-control approaches for disease resistant commercial plants and animals is widely used in agriculture but this is not discussed in </w:t>
      </w:r>
      <w:r w:rsidRPr="002F2F42">
        <w:rPr>
          <w:b/>
          <w:bCs/>
          <w:color w:val="000000"/>
          <w:sz w:val="18"/>
        </w:rPr>
        <w:t xml:space="preserve">section 5.4.4.2 </w:t>
      </w:r>
    </w:p>
  </w:footnote>
  <w:footnote w:id="21">
    <w:p w14:paraId="00000FBD" w14:textId="77777777" w:rsidR="00B14625" w:rsidRPr="00AC1F76" w:rsidRDefault="00B14625" w:rsidP="00746940">
      <w:pPr>
        <w:pBdr>
          <w:top w:val="nil"/>
          <w:left w:val="nil"/>
          <w:bottom w:val="nil"/>
          <w:right w:val="nil"/>
          <w:between w:val="nil"/>
        </w:pBdr>
        <w:spacing w:line="240" w:lineRule="auto"/>
        <w:rPr>
          <w:color w:val="000000"/>
          <w:sz w:val="20"/>
        </w:rPr>
      </w:pPr>
      <w:r w:rsidRPr="00A4003D">
        <w:rPr>
          <w:rStyle w:val="FootnoteReference"/>
        </w:rPr>
        <w:footnoteRef/>
      </w:r>
      <w:r w:rsidRPr="00AC1F76">
        <w:rPr>
          <w:color w:val="000000"/>
          <w:sz w:val="20"/>
        </w:rPr>
        <w:t xml:space="preserve"> Pheromones and semiochemical lures are considered under surveillance, detection and diagnostics but it is reconized that they may be used as an intervention technology (</w:t>
      </w:r>
      <w:r w:rsidRPr="00AC1F76">
        <w:rPr>
          <w:b/>
          <w:color w:val="000000"/>
          <w:sz w:val="20"/>
        </w:rPr>
        <w:t>section 5.5.4</w:t>
      </w:r>
      <w:r w:rsidRPr="00AC1F76">
        <w:rPr>
          <w:color w:val="000000"/>
          <w:sz w:val="20"/>
        </w:rPr>
        <w:t xml:space="preserve">) </w:t>
      </w:r>
    </w:p>
  </w:footnote>
  <w:footnote w:id="22">
    <w:p w14:paraId="00000FBE" w14:textId="77777777" w:rsidR="00B14625" w:rsidRPr="00AC1F76" w:rsidRDefault="00B14625" w:rsidP="002F2F42">
      <w:pPr>
        <w:pBdr>
          <w:top w:val="nil"/>
          <w:left w:val="nil"/>
          <w:bottom w:val="nil"/>
          <w:right w:val="nil"/>
          <w:between w:val="nil"/>
        </w:pBdr>
        <w:spacing w:line="240" w:lineRule="auto"/>
        <w:rPr>
          <w:color w:val="000000"/>
          <w:sz w:val="18"/>
          <w:szCs w:val="18"/>
        </w:rPr>
      </w:pPr>
      <w:r w:rsidRPr="00A4003D">
        <w:rPr>
          <w:rStyle w:val="FootnoteReference"/>
        </w:rPr>
        <w:footnoteRef/>
      </w:r>
      <w:r w:rsidRPr="00AC1F76">
        <w:rPr>
          <w:color w:val="000000"/>
          <w:sz w:val="18"/>
          <w:szCs w:val="18"/>
        </w:rPr>
        <w:t xml:space="preserve"> Likely to vary on context e.g., land values and/or area of application</w:t>
      </w:r>
    </w:p>
  </w:footnote>
  <w:footnote w:id="23">
    <w:p w14:paraId="00000FBF" w14:textId="77777777" w:rsidR="00B14625" w:rsidRPr="00AC1F76" w:rsidRDefault="00B14625" w:rsidP="002F2F42">
      <w:pPr>
        <w:pBdr>
          <w:top w:val="nil"/>
          <w:left w:val="nil"/>
          <w:bottom w:val="nil"/>
          <w:right w:val="nil"/>
          <w:between w:val="nil"/>
        </w:pBdr>
        <w:spacing w:line="240" w:lineRule="auto"/>
        <w:rPr>
          <w:color w:val="000000"/>
          <w:sz w:val="18"/>
          <w:szCs w:val="18"/>
        </w:rPr>
      </w:pPr>
      <w:r w:rsidRPr="00A4003D">
        <w:rPr>
          <w:rStyle w:val="FootnoteReference"/>
        </w:rPr>
        <w:footnoteRef/>
      </w:r>
      <w:r w:rsidRPr="00AC1F76">
        <w:rPr>
          <w:color w:val="000000"/>
          <w:sz w:val="18"/>
          <w:szCs w:val="18"/>
        </w:rPr>
        <w:t xml:space="preserve"> Only in contained populations so far without an oral delivery system (not currently available) </w:t>
      </w:r>
    </w:p>
  </w:footnote>
  <w:footnote w:id="24">
    <w:p w14:paraId="00000FC0" w14:textId="77777777" w:rsidR="00B14625" w:rsidRPr="00AC1F76" w:rsidRDefault="00B14625" w:rsidP="002F2F42">
      <w:pPr>
        <w:pBdr>
          <w:top w:val="nil"/>
          <w:left w:val="nil"/>
          <w:bottom w:val="nil"/>
          <w:right w:val="nil"/>
          <w:between w:val="nil"/>
        </w:pBdr>
        <w:spacing w:line="240" w:lineRule="auto"/>
        <w:rPr>
          <w:color w:val="000000"/>
          <w:sz w:val="18"/>
          <w:szCs w:val="18"/>
        </w:rPr>
      </w:pPr>
      <w:r w:rsidRPr="00A4003D">
        <w:rPr>
          <w:rStyle w:val="FootnoteReference"/>
        </w:rPr>
        <w:footnoteRef/>
      </w:r>
      <w:r w:rsidRPr="00AC1F76">
        <w:rPr>
          <w:color w:val="000000"/>
          <w:sz w:val="18"/>
          <w:szCs w:val="18"/>
        </w:rPr>
        <w:t xml:space="preserve"> Where feasibility and success likelihood are high on species by species basis </w:t>
      </w:r>
    </w:p>
  </w:footnote>
  <w:footnote w:id="25">
    <w:p w14:paraId="00000FC1" w14:textId="557795F5" w:rsidR="00B14625" w:rsidRPr="00AC1F76" w:rsidRDefault="00B14625" w:rsidP="002F2F42">
      <w:pPr>
        <w:pBdr>
          <w:top w:val="nil"/>
          <w:left w:val="nil"/>
          <w:bottom w:val="nil"/>
          <w:right w:val="nil"/>
          <w:between w:val="nil"/>
        </w:pBdr>
        <w:spacing w:line="240" w:lineRule="auto"/>
        <w:rPr>
          <w:color w:val="000000"/>
          <w:sz w:val="18"/>
          <w:szCs w:val="18"/>
        </w:rPr>
      </w:pPr>
      <w:r w:rsidRPr="00A4003D">
        <w:rPr>
          <w:rStyle w:val="FootnoteReference"/>
        </w:rPr>
        <w:footnoteRef/>
      </w:r>
      <w:r w:rsidRPr="00AC1F76">
        <w:rPr>
          <w:color w:val="000000"/>
          <w:sz w:val="18"/>
          <w:szCs w:val="18"/>
        </w:rPr>
        <w:t xml:space="preserve"> Where feasibility and success likelihood are high for some invertebrates (</w:t>
      </w:r>
      <w:r>
        <w:rPr>
          <w:color w:val="000000"/>
          <w:sz w:val="18"/>
          <w:szCs w:val="18"/>
        </w:rPr>
        <w:t>sterile insect technique</w:t>
      </w:r>
      <w:r w:rsidRPr="00AC1F76">
        <w:rPr>
          <w:color w:val="000000"/>
          <w:sz w:val="18"/>
          <w:szCs w:val="18"/>
        </w:rPr>
        <w:t xml:space="preserve"> or RNAi) and pathogens (RNAi) only</w:t>
      </w:r>
    </w:p>
  </w:footnote>
  <w:footnote w:id="26">
    <w:p w14:paraId="00000FC2" w14:textId="67C0AF71" w:rsidR="00B14625" w:rsidRPr="002F2F42" w:rsidRDefault="00B14625" w:rsidP="002F2F42">
      <w:pPr>
        <w:pBdr>
          <w:top w:val="nil"/>
          <w:left w:val="nil"/>
          <w:bottom w:val="nil"/>
          <w:right w:val="nil"/>
          <w:between w:val="nil"/>
        </w:pBdr>
        <w:spacing w:line="240" w:lineRule="auto"/>
        <w:rPr>
          <w:color w:val="000000"/>
          <w:sz w:val="20"/>
        </w:rPr>
      </w:pPr>
      <w:r w:rsidRPr="00A4003D">
        <w:rPr>
          <w:rStyle w:val="FootnoteReference"/>
        </w:rPr>
        <w:footnoteRef/>
      </w:r>
      <w:r w:rsidRPr="00AC1F76">
        <w:rPr>
          <w:color w:val="000000"/>
          <w:sz w:val="18"/>
          <w:szCs w:val="18"/>
        </w:rPr>
        <w:t xml:space="preserve"> As not yet field tested so only cost</w:t>
      </w:r>
      <w:r>
        <w:rPr>
          <w:color w:val="000000"/>
          <w:sz w:val="18"/>
          <w:szCs w:val="18"/>
        </w:rPr>
        <w:t>-</w:t>
      </w:r>
      <w:r w:rsidRPr="00AC1F76">
        <w:rPr>
          <w:color w:val="000000"/>
          <w:sz w:val="18"/>
          <w:szCs w:val="18"/>
        </w:rPr>
        <w:t>effective if it works</w:t>
      </w:r>
      <w:r w:rsidRPr="002F2F42">
        <w:rPr>
          <w:color w:val="000000"/>
          <w:sz w:val="20"/>
        </w:rPr>
        <w:t xml:space="preserve"> </w:t>
      </w:r>
    </w:p>
  </w:footnote>
  <w:footnote w:id="27">
    <w:p w14:paraId="00000FC3" w14:textId="77777777" w:rsidR="00B14625" w:rsidRPr="002F2F42" w:rsidRDefault="00B14625" w:rsidP="002F2F42">
      <w:pPr>
        <w:pBdr>
          <w:top w:val="nil"/>
          <w:left w:val="nil"/>
          <w:bottom w:val="nil"/>
          <w:right w:val="nil"/>
          <w:between w:val="nil"/>
        </w:pBdr>
        <w:spacing w:line="240" w:lineRule="auto"/>
        <w:rPr>
          <w:b/>
          <w:color w:val="000000"/>
          <w:sz w:val="20"/>
        </w:rPr>
      </w:pPr>
      <w:r w:rsidRPr="00A4003D">
        <w:rPr>
          <w:rStyle w:val="FootnoteReference"/>
        </w:rPr>
        <w:footnoteRef/>
      </w:r>
      <w:r w:rsidRPr="002F2F42">
        <w:rPr>
          <w:color w:val="000000"/>
          <w:sz w:val="20"/>
        </w:rPr>
        <w:t xml:space="preserve"> https://www.plantwise.org</w:t>
      </w:r>
    </w:p>
  </w:footnote>
  <w:footnote w:id="28">
    <w:p w14:paraId="760C23E5" w14:textId="77777777" w:rsidR="00B14625" w:rsidRDefault="00B14625" w:rsidP="005B0616">
      <w:pPr>
        <w:rPr>
          <w:sz w:val="20"/>
          <w:szCs w:val="20"/>
        </w:rPr>
      </w:pPr>
      <w:r w:rsidRPr="00A4003D">
        <w:rPr>
          <w:rStyle w:val="FootnoteReference"/>
        </w:rPr>
        <w:footnoteRef/>
      </w:r>
      <w:r>
        <w:rPr>
          <w:sz w:val="20"/>
          <w:szCs w:val="20"/>
        </w:rPr>
        <w:t xml:space="preserve"> Data management report available at: </w:t>
      </w:r>
      <w:hyperlink r:id="rId5">
        <w:r>
          <w:rPr>
            <w:color w:val="0563C1"/>
            <w:sz w:val="20"/>
            <w:szCs w:val="20"/>
            <w:u w:val="single"/>
          </w:rPr>
          <w:t>https://doi.org/10.5281/zenodo.5706520</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0" w14:textId="3B0735A7" w:rsidR="00B14625" w:rsidRPr="00AC1F76" w:rsidRDefault="00B14625" w:rsidP="00AC1F76">
    <w:pPr>
      <w:pBdr>
        <w:top w:val="nil"/>
        <w:left w:val="nil"/>
        <w:bottom w:val="nil"/>
        <w:right w:val="nil"/>
        <w:between w:val="nil"/>
      </w:pBdr>
      <w:tabs>
        <w:tab w:val="center" w:pos="4680"/>
        <w:tab w:val="right" w:pos="936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D3ACC" w14:textId="77777777" w:rsidR="00B14625" w:rsidRDefault="00B1462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7" w14:textId="6CCCADD0" w:rsidR="00B14625" w:rsidRPr="00AC1F76" w:rsidRDefault="00B14625" w:rsidP="00AC1F76">
    <w:pPr>
      <w:pBdr>
        <w:top w:val="nil"/>
        <w:left w:val="nil"/>
        <w:bottom w:val="nil"/>
        <w:right w:val="nil"/>
        <w:between w:val="nil"/>
      </w:pBdr>
      <w:tabs>
        <w:tab w:val="center" w:pos="4680"/>
        <w:tab w:val="right" w:pos="936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2" w14:textId="762E6D3C" w:rsidR="00B14625" w:rsidRPr="00AC1F76" w:rsidRDefault="00B14625" w:rsidP="00AC1F76">
    <w:pPr>
      <w:pBdr>
        <w:top w:val="nil"/>
        <w:left w:val="nil"/>
        <w:bottom w:val="nil"/>
        <w:right w:val="nil"/>
        <w:between w:val="nil"/>
      </w:pBdr>
      <w:tabs>
        <w:tab w:val="center" w:pos="4680"/>
        <w:tab w:val="right" w:pos="936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3D85BF" w14:textId="77777777" w:rsidR="00B14625" w:rsidRDefault="00B1462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4" w14:textId="22A5BB30" w:rsidR="00B14625" w:rsidRPr="00AC1F76" w:rsidRDefault="00B14625" w:rsidP="00AC1F76">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CF" w14:textId="26D90ACF" w:rsidR="00B14625" w:rsidRDefault="00B14625" w:rsidP="003666A4">
    <w:pPr>
      <w:pBdr>
        <w:top w:val="nil"/>
        <w:left w:val="nil"/>
        <w:bottom w:val="nil"/>
        <w:right w:val="nil"/>
        <w:between w:val="nil"/>
      </w:pBdr>
      <w:tabs>
        <w:tab w:val="center" w:pos="4680"/>
        <w:tab w:val="right" w:pos="9360"/>
        <w:tab w:val="left" w:pos="3701"/>
      </w:tabs>
      <w:spacing w:before="240" w:after="120" w:line="240" w:lineRule="auto"/>
      <w:jc w:val="center"/>
      <w:rPr>
        <w:color w:val="FF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3" w14:textId="645953DB" w:rsidR="00B14625" w:rsidRDefault="00B14625" w:rsidP="003666A4">
    <w:pPr>
      <w:pBdr>
        <w:top w:val="nil"/>
        <w:left w:val="nil"/>
        <w:bottom w:val="nil"/>
        <w:right w:val="nil"/>
        <w:between w:val="nil"/>
      </w:pBdr>
      <w:tabs>
        <w:tab w:val="center" w:pos="4680"/>
        <w:tab w:val="right" w:pos="9360"/>
      </w:tabs>
      <w:spacing w:before="240" w:after="120" w:line="240" w:lineRule="auto"/>
      <w:jc w:val="center"/>
      <w:rPr>
        <w:color w:val="FF0000"/>
        <w:sz w:val="22"/>
        <w:szCs w:val="2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1" w14:textId="51F2D6E4" w:rsidR="00B14625" w:rsidRPr="003666A4" w:rsidRDefault="00B14625" w:rsidP="00AC1F76">
    <w:pPr>
      <w:pBdr>
        <w:top w:val="nil"/>
        <w:left w:val="nil"/>
        <w:bottom w:val="nil"/>
        <w:right w:val="nil"/>
        <w:between w:val="nil"/>
      </w:pBdr>
      <w:tabs>
        <w:tab w:val="center" w:pos="4680"/>
        <w:tab w:val="right" w:pos="9360"/>
      </w:tabs>
      <w:spacing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6" w14:textId="34EDF420" w:rsidR="00B14625" w:rsidRPr="003666A4" w:rsidRDefault="00B14625" w:rsidP="00AC1F76">
    <w:pPr>
      <w:pBdr>
        <w:top w:val="nil"/>
        <w:left w:val="nil"/>
        <w:bottom w:val="nil"/>
        <w:right w:val="nil"/>
        <w:between w:val="nil"/>
      </w:pBdr>
      <w:tabs>
        <w:tab w:val="center" w:pos="4680"/>
        <w:tab w:val="right" w:pos="9360"/>
      </w:tabs>
      <w:spacing w:before="240" w:after="120" w:line="240" w:lineRule="auto"/>
      <w:jc w:val="center"/>
      <w:rPr>
        <w:color w:val="000000"/>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5" w14:textId="24530D66" w:rsidR="00B14625" w:rsidRPr="00AC1F76" w:rsidRDefault="00B14625" w:rsidP="00AC1F76">
    <w:pPr>
      <w:pBdr>
        <w:top w:val="nil"/>
        <w:left w:val="nil"/>
        <w:bottom w:val="nil"/>
        <w:right w:val="nil"/>
        <w:between w:val="nil"/>
      </w:pBdr>
      <w:tabs>
        <w:tab w:val="center" w:pos="4680"/>
        <w:tab w:val="right" w:pos="936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E087E3" w14:textId="77777777" w:rsidR="00B14625" w:rsidRPr="005119B1" w:rsidRDefault="00BF75D1" w:rsidP="005119B1">
    <w:pPr>
      <w:pStyle w:val="Header"/>
      <w:spacing w:before="240"/>
      <w:jc w:val="center"/>
      <w:rPr>
        <w:color w:val="FF0000"/>
        <w:sz w:val="20"/>
        <w:szCs w:val="18"/>
      </w:rPr>
    </w:pPr>
    <w:r>
      <w:rPr>
        <w:noProof/>
      </w:rPr>
      <w:pict w14:anchorId="2D88E87F">
        <v:shapetype id="_x0000_t202" coordsize="21600,21600" o:spt="202" path="m,l,21600r21600,l21600,xe">
          <v:stroke joinstyle="miter"/>
          <v:path gradientshapeok="t" o:connecttype="rect"/>
        </v:shapetype>
        <v:shape id="Text Box 101250743" o:spid="_x0000_s2050" type="#_x0000_t202" alt="" style="position:absolute;left:0;text-align:left;margin-left:0;margin-top:0;width:614.6pt;height:87.8pt;z-index:-251652096;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rotation="t" aspectratio="t" verticies="t" adjusthandles="t" grouping="t" shapetype="t"/>
          <v:textbox>
            <w:txbxContent>
              <w:p w14:paraId="73A2E96E" w14:textId="77777777" w:rsidR="00B14625" w:rsidRDefault="00B14625" w:rsidP="005041F4">
                <w:pPr>
                  <w:jc w:val="center"/>
                  <w:rPr>
                    <w:color w:val="C0C0C0"/>
                    <w:sz w:val="72"/>
                    <w:szCs w:val="72"/>
                  </w:rPr>
                </w:pPr>
                <w:r>
                  <w:rPr>
                    <w:color w:val="C0C0C0"/>
                    <w:sz w:val="72"/>
                    <w:szCs w:val="72"/>
                  </w:rPr>
                  <w:t>CONFIDENTIAL</w:t>
                </w:r>
              </w:p>
            </w:txbxContent>
          </v:textbox>
          <w10:wrap anchorx="margin" anchory="margin"/>
        </v:shape>
      </w:pict>
    </w:r>
    <w:r w:rsidR="00B14625" w:rsidRPr="005119B1">
      <w:rPr>
        <w:color w:val="FF0000"/>
        <w:sz w:val="20"/>
        <w:szCs w:val="18"/>
      </w:rPr>
      <w:t>Please do not cite, quote or distribute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6643A" w14:textId="77777777" w:rsidR="00B14625" w:rsidRDefault="00BF75D1">
    <w:pPr>
      <w:pStyle w:val="Header"/>
    </w:pPr>
    <w:r>
      <w:rPr>
        <w:noProof/>
      </w:rPr>
      <w:pict w14:anchorId="08CF199D">
        <v:shapetype id="_x0000_t202" coordsize="21600,21600" o:spt="202" path="m,l,21600r21600,l21600,xe">
          <v:stroke joinstyle="miter"/>
          <v:path gradientshapeok="t" o:connecttype="rect"/>
        </v:shapetype>
        <v:shape id="Text Box 6" o:spid="_x0000_s2049" type="#_x0000_t202" alt="" style="position:absolute;margin-left:0;margin-top:0;width:614.6pt;height:87.8pt;rotation:315;z-index:-251653120;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rotation="t" aspectratio="t" verticies="t" adjusthandles="t" grouping="t" shapetype="t"/>
          <v:textbox>
            <w:txbxContent>
              <w:p w14:paraId="3DD151FD" w14:textId="77777777" w:rsidR="00B14625" w:rsidRDefault="00B14625" w:rsidP="005041F4">
                <w:pPr>
                  <w:jc w:val="center"/>
                  <w:rPr>
                    <w:color w:val="C0C0C0"/>
                    <w:sz w:val="72"/>
                    <w:szCs w:val="72"/>
                  </w:rPr>
                </w:pPr>
                <w:r>
                  <w:rPr>
                    <w:color w:val="C0C0C0"/>
                    <w:sz w:val="72"/>
                    <w:szCs w:val="72"/>
                  </w:rPr>
                  <w:t>CONFIDENTIAL</w:t>
                </w:r>
              </w:p>
            </w:txbxContent>
          </v:textbox>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FD8" w14:textId="7F0CE151" w:rsidR="00B14625" w:rsidRDefault="00B14625" w:rsidP="00AC1F76">
    <w:pPr>
      <w:pBdr>
        <w:top w:val="nil"/>
        <w:left w:val="nil"/>
        <w:bottom w:val="nil"/>
        <w:right w:val="nil"/>
        <w:between w:val="nil"/>
      </w:pBdr>
      <w:tabs>
        <w:tab w:val="center" w:pos="4680"/>
        <w:tab w:val="right" w:pos="9360"/>
      </w:tabs>
      <w:spacing w:before="240" w:line="240" w:lineRule="auto"/>
      <w:jc w:val="center"/>
      <w:rPr>
        <w:color w:val="FF0000"/>
        <w:sz w:val="20"/>
        <w:szCs w:val="20"/>
      </w:rPr>
    </w:pPr>
    <w:r>
      <w:rPr>
        <w:rFonts w:eastAsia="Times New Roman"/>
        <w:color w:val="FF0000"/>
        <w:sz w:val="20"/>
        <w:szCs w:val="20"/>
      </w:rPr>
      <w:t>Please do not cite, quote or distribute</w:t>
    </w:r>
  </w:p>
</w:hdr>
</file>

<file path=word/intelligence2.xml><?xml version="1.0" encoding="utf-8"?>
<int2:intelligence xmlns:int2="http://schemas.microsoft.com/office/intelligence/2020/intelligence" xmlns:oel="http://schemas.microsoft.com/office/2019/extlst">
  <int2:observations>
    <int2:textHash int2:hashCode="BkAB5TyN4idSHr" int2:id="7hHgIfOd">
      <int2:state int2:value="Rejected" int2:type="LegacyProofing"/>
    </int2:textHash>
    <int2:textHash int2:hashCode="hpw52cHdJE0dxi" int2:id="AZfobCCa">
      <int2:state int2:value="Rejected" int2:type="LegacyProofing"/>
    </int2:textHash>
    <int2:textHash int2:hashCode="YLpIsKVrU205r0" int2:id="HyV5lXmb">
      <int2:state int2:value="Rejected" int2:type="LegacyProofing"/>
    </int2:textHash>
    <int2:textHash int2:hashCode="xJ89S9GsqG0rna" int2:id="LJ4JT2QA">
      <int2:state int2:value="Rejected" int2:type="LegacyProofing"/>
    </int2:textHash>
    <int2:textHash int2:hashCode="LPz9o/POp+wmHl" int2:id="NSejXdW6">
      <int2:state int2:value="Rejected" int2:type="LegacyProofing"/>
    </int2:textHash>
    <int2:textHash int2:hashCode="ni8UUdXdlt6RIo" int2:id="RbtiiVq8">
      <int2:state int2:value="Rejected" int2:type="LegacyProofing"/>
    </int2:textHash>
    <int2:textHash int2:hashCode="08eDIai7uhNnAH" int2:id="SmA2Yazw">
      <int2:state int2:value="Rejected" int2:type="LegacyProofing"/>
    </int2:textHash>
    <int2:textHash int2:hashCode="AE8GHhOo7aVjcy" int2:id="TwSmZMBA">
      <int2:state int2:value="Rejected" int2:type="LegacyProofing"/>
    </int2:textHash>
    <int2:textHash int2:hashCode="smocjvqORn5KSs" int2:id="UdDCjDEa">
      <int2:state int2:value="Rejected" int2:type="LegacyProofing"/>
    </int2:textHash>
    <int2:textHash int2:hashCode="GU7at+vkXTwUFa" int2:id="XC/7iDln">
      <int2:state int2:value="Rejected" int2:type="LegacyProofing"/>
    </int2:textHash>
    <int2:textHash int2:hashCode="fyUawXwVDi84zn" int2:id="gVO3KjPP">
      <int2:state int2:value="Rejected" int2:type="LegacyProofing"/>
    </int2:textHash>
    <int2:textHash int2:hashCode="1wEcUF3MI/lzgu" int2:id="oNH6w0EK">
      <int2:state int2:value="Rejected" int2:type="LegacyProofing"/>
    </int2:textHash>
    <int2:textHash int2:hashCode="64dYEoWNJ7Issr" int2:id="ogN0i8cL">
      <int2:state int2:value="Rejected" int2:type="LegacyProofing"/>
    </int2:textHash>
    <int2:textHash int2:hashCode="RbfX7doTykNG37" int2:id="qoNdRS9d">
      <int2:state int2:value="Rejected" int2:type="LegacyProofing"/>
    </int2:textHash>
    <int2:bookmark int2:bookmarkName="_Int_Q7wTwpyG" int2:invalidationBookmarkName="" int2:hashCode="X55YArurxx+Sdf" int2:id="AZNF3ee2">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194BAC"/>
    <w:multiLevelType w:val="multilevel"/>
    <w:tmpl w:val="CCDA607C"/>
    <w:styleLink w:val="CurrentList3"/>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6C43BE4"/>
    <w:multiLevelType w:val="multilevel"/>
    <w:tmpl w:val="A238E8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7533540"/>
    <w:multiLevelType w:val="multilevel"/>
    <w:tmpl w:val="17B61462"/>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7876A2C"/>
    <w:multiLevelType w:val="hybridMultilevel"/>
    <w:tmpl w:val="AF66529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078C310A"/>
    <w:multiLevelType w:val="multilevel"/>
    <w:tmpl w:val="5516BDAC"/>
    <w:styleLink w:val="CurrentList18"/>
    <w:lvl w:ilvl="0">
      <w:start w:val="1"/>
      <w:numFmt w:val="lowerLetter"/>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A7E357C"/>
    <w:multiLevelType w:val="hybridMultilevel"/>
    <w:tmpl w:val="7382BC1C"/>
    <w:lvl w:ilvl="0" w:tplc="C3C2A282">
      <w:start w:val="1"/>
      <w:numFmt w:val="decimal"/>
      <w:lvlText w:val="%1."/>
      <w:lvlJc w:val="left"/>
      <w:pPr>
        <w:ind w:left="1656" w:firstLine="0"/>
      </w:pPr>
      <w:rPr>
        <w:rFonts w:hint="default"/>
      </w:rPr>
    </w:lvl>
    <w:lvl w:ilvl="1" w:tplc="04090019">
      <w:start w:val="1"/>
      <w:numFmt w:val="lowerLetter"/>
      <w:lvlText w:val="%2."/>
      <w:lvlJc w:val="left"/>
      <w:pPr>
        <w:ind w:left="2687" w:hanging="360"/>
      </w:pPr>
    </w:lvl>
    <w:lvl w:ilvl="2" w:tplc="0409001B" w:tentative="1">
      <w:start w:val="1"/>
      <w:numFmt w:val="lowerRoman"/>
      <w:lvlText w:val="%3."/>
      <w:lvlJc w:val="right"/>
      <w:pPr>
        <w:ind w:left="3407" w:hanging="180"/>
      </w:pPr>
    </w:lvl>
    <w:lvl w:ilvl="3" w:tplc="0409000F" w:tentative="1">
      <w:start w:val="1"/>
      <w:numFmt w:val="decimal"/>
      <w:lvlText w:val="%4."/>
      <w:lvlJc w:val="left"/>
      <w:pPr>
        <w:ind w:left="4127" w:hanging="360"/>
      </w:pPr>
    </w:lvl>
    <w:lvl w:ilvl="4" w:tplc="04090019" w:tentative="1">
      <w:start w:val="1"/>
      <w:numFmt w:val="lowerLetter"/>
      <w:lvlText w:val="%5."/>
      <w:lvlJc w:val="left"/>
      <w:pPr>
        <w:ind w:left="4847" w:hanging="360"/>
      </w:pPr>
    </w:lvl>
    <w:lvl w:ilvl="5" w:tplc="0409001B" w:tentative="1">
      <w:start w:val="1"/>
      <w:numFmt w:val="lowerRoman"/>
      <w:lvlText w:val="%6."/>
      <w:lvlJc w:val="right"/>
      <w:pPr>
        <w:ind w:left="5567" w:hanging="180"/>
      </w:pPr>
    </w:lvl>
    <w:lvl w:ilvl="6" w:tplc="0409000F" w:tentative="1">
      <w:start w:val="1"/>
      <w:numFmt w:val="decimal"/>
      <w:lvlText w:val="%7."/>
      <w:lvlJc w:val="left"/>
      <w:pPr>
        <w:ind w:left="6287" w:hanging="360"/>
      </w:pPr>
    </w:lvl>
    <w:lvl w:ilvl="7" w:tplc="04090019" w:tentative="1">
      <w:start w:val="1"/>
      <w:numFmt w:val="lowerLetter"/>
      <w:lvlText w:val="%8."/>
      <w:lvlJc w:val="left"/>
      <w:pPr>
        <w:ind w:left="7007" w:hanging="360"/>
      </w:pPr>
    </w:lvl>
    <w:lvl w:ilvl="8" w:tplc="0409001B" w:tentative="1">
      <w:start w:val="1"/>
      <w:numFmt w:val="lowerRoman"/>
      <w:lvlText w:val="%9."/>
      <w:lvlJc w:val="right"/>
      <w:pPr>
        <w:ind w:left="7727" w:hanging="180"/>
      </w:pPr>
    </w:lvl>
  </w:abstractNum>
  <w:abstractNum w:abstractNumId="6" w15:restartNumberingAfterBreak="0">
    <w:nsid w:val="128A6714"/>
    <w:multiLevelType w:val="multilevel"/>
    <w:tmpl w:val="88188716"/>
    <w:lvl w:ilvl="0">
      <w:start w:val="1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 w15:restartNumberingAfterBreak="0">
    <w:nsid w:val="14564A92"/>
    <w:multiLevelType w:val="hybridMultilevel"/>
    <w:tmpl w:val="79CAD8A6"/>
    <w:lvl w:ilvl="0" w:tplc="04127316">
      <w:start w:val="12"/>
      <w:numFmt w:val="bullet"/>
      <w:lvlText w:val="-"/>
      <w:lvlJc w:val="left"/>
      <w:pPr>
        <w:ind w:left="360" w:hanging="360"/>
      </w:pPr>
      <w:rPr>
        <w:rFonts w:ascii="Times New Roman" w:eastAsiaTheme="minorEastAsia"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5910315"/>
    <w:multiLevelType w:val="multilevel"/>
    <w:tmpl w:val="4872B4C2"/>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none"/>
      <w:suff w:val="space"/>
      <w:lvlText w:val="a."/>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6D112D7"/>
    <w:multiLevelType w:val="multilevel"/>
    <w:tmpl w:val="4872B4C2"/>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none"/>
      <w:suff w:val="space"/>
      <w:lvlText w:val="a."/>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89C5D3E"/>
    <w:multiLevelType w:val="multilevel"/>
    <w:tmpl w:val="D75C97E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194B778F"/>
    <w:multiLevelType w:val="multilevel"/>
    <w:tmpl w:val="4872B4C2"/>
    <w:styleLink w:val="CurrentList12"/>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none"/>
      <w:suff w:val="space"/>
      <w:lvlText w:val="a."/>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A0153A3"/>
    <w:multiLevelType w:val="multilevel"/>
    <w:tmpl w:val="2910A2F2"/>
    <w:styleLink w:val="CurrentList23"/>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lvlText w:val="%1.%2.%3."/>
      <w:lvlJc w:val="left"/>
      <w:pPr>
        <w:ind w:left="0" w:firstLine="0"/>
      </w:pPr>
    </w:lvl>
    <w:lvl w:ilvl="3">
      <w:start w:val="1"/>
      <w:numFmt w:val="decimal"/>
      <w:suff w:val="space"/>
      <w:lvlText w:val="%1.%2.%3.%4."/>
      <w:lvlJc w:val="left"/>
      <w:pPr>
        <w:ind w:left="0" w:firstLine="0"/>
      </w:pPr>
    </w:lvl>
    <w:lvl w:ilvl="4">
      <w:start w:val="1"/>
      <w:numFmt w:val="decimal"/>
      <w:lvlText w:val="a."/>
      <w:lvlJc w:val="left"/>
      <w:pPr>
        <w:ind w:left="0" w:firstLine="0"/>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B387CDE"/>
    <w:multiLevelType w:val="multilevel"/>
    <w:tmpl w:val="276E2390"/>
    <w:styleLink w:val="CurrentList21"/>
    <w:lvl w:ilvl="0">
      <w:start w:val="5"/>
      <w:numFmt w:val="decimal"/>
      <w:lvlText w:val="%1."/>
      <w:lvlJc w:val="left"/>
      <w:pPr>
        <w:ind w:left="360" w:hanging="36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a."/>
      <w:lvlJc w:val="left"/>
      <w:pPr>
        <w:ind w:left="0" w:firstLine="0"/>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E061470"/>
    <w:multiLevelType w:val="multilevel"/>
    <w:tmpl w:val="B344B628"/>
    <w:styleLink w:val="CurrentList15"/>
    <w:lvl w:ilvl="0">
      <w:start w:val="1"/>
      <w:numFmt w:val="lowerLetter"/>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EF95FD2"/>
    <w:multiLevelType w:val="multilevel"/>
    <w:tmpl w:val="7D0E0E2C"/>
    <w:styleLink w:val="CurrentList16"/>
    <w:lvl w:ilvl="0">
      <w:start w:val="1"/>
      <w:numFmt w:val="lowerLetter"/>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872BCA"/>
    <w:multiLevelType w:val="multilevel"/>
    <w:tmpl w:val="AE580856"/>
    <w:styleLink w:val="CurrentList4"/>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FAD5BE6"/>
    <w:multiLevelType w:val="multilevel"/>
    <w:tmpl w:val="5B5C6CE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FFD6AFC"/>
    <w:multiLevelType w:val="hybridMultilevel"/>
    <w:tmpl w:val="B03EC476"/>
    <w:lvl w:ilvl="0" w:tplc="85C09A54">
      <w:numFmt w:val="decimal"/>
      <w:lvlText w:val=""/>
      <w:lvlJc w:val="left"/>
    </w:lvl>
    <w:lvl w:ilvl="1" w:tplc="1D7223D8">
      <w:numFmt w:val="decimal"/>
      <w:lvlText w:val=""/>
      <w:lvlJc w:val="left"/>
    </w:lvl>
    <w:lvl w:ilvl="2" w:tplc="777662A2">
      <w:numFmt w:val="decimal"/>
      <w:lvlText w:val=""/>
      <w:lvlJc w:val="left"/>
    </w:lvl>
    <w:lvl w:ilvl="3" w:tplc="6B12F206">
      <w:numFmt w:val="decimal"/>
      <w:lvlText w:val=""/>
      <w:lvlJc w:val="left"/>
    </w:lvl>
    <w:lvl w:ilvl="4" w:tplc="65A0033E">
      <w:numFmt w:val="decimal"/>
      <w:lvlText w:val=""/>
      <w:lvlJc w:val="left"/>
    </w:lvl>
    <w:lvl w:ilvl="5" w:tplc="DEB08B1A">
      <w:numFmt w:val="decimal"/>
      <w:lvlText w:val=""/>
      <w:lvlJc w:val="left"/>
    </w:lvl>
    <w:lvl w:ilvl="6" w:tplc="D85E0CBE">
      <w:numFmt w:val="decimal"/>
      <w:lvlText w:val=""/>
      <w:lvlJc w:val="left"/>
    </w:lvl>
    <w:lvl w:ilvl="7" w:tplc="19065122">
      <w:numFmt w:val="decimal"/>
      <w:lvlText w:val=""/>
      <w:lvlJc w:val="left"/>
    </w:lvl>
    <w:lvl w:ilvl="8" w:tplc="FCB425E6">
      <w:numFmt w:val="decimal"/>
      <w:lvlText w:val=""/>
      <w:lvlJc w:val="left"/>
    </w:lvl>
  </w:abstractNum>
  <w:abstractNum w:abstractNumId="19" w15:restartNumberingAfterBreak="0">
    <w:nsid w:val="213C2DAB"/>
    <w:multiLevelType w:val="multilevel"/>
    <w:tmpl w:val="B05EBCDA"/>
    <w:styleLink w:val="CurrentList8"/>
    <w:lvl w:ilvl="0">
      <w:start w:val="1"/>
      <w:numFmt w:val="lowerRoman"/>
      <w:lvlText w:val="%1."/>
      <w:lvlJc w:val="right"/>
      <w:pPr>
        <w:ind w:left="720" w:hanging="360"/>
      </w:pPr>
    </w:lvl>
    <w:lvl w:ilvl="1">
      <w:start w:val="1"/>
      <w:numFmt w:val="lowerLetter"/>
      <w:lvlText w:val="%2."/>
      <w:lvlJc w:val="left"/>
      <w:pPr>
        <w:ind w:left="0" w:firstLine="0"/>
      </w:pPr>
      <w:rPr>
        <w:rFonts w:ascii="Times New Roman" w:hAnsi="Times New Roman" w:hint="default"/>
        <w:b/>
        <w:bCs/>
        <w:i w:val="0"/>
        <w:spacing w:val="0"/>
        <w:position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3E7153A"/>
    <w:multiLevelType w:val="multilevel"/>
    <w:tmpl w:val="440C160A"/>
    <w:styleLink w:val="CurrentList22"/>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a."/>
      <w:lvlJc w:val="left"/>
      <w:pPr>
        <w:ind w:left="0" w:firstLine="0"/>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4F46BBD"/>
    <w:multiLevelType w:val="multilevel"/>
    <w:tmpl w:val="EA041C7A"/>
    <w:lvl w:ilvl="0">
      <w:start w:val="1"/>
      <w:numFmt w:val="lowerLetter"/>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91242F9"/>
    <w:multiLevelType w:val="multilevel"/>
    <w:tmpl w:val="013819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3" w15:restartNumberingAfterBreak="0">
    <w:nsid w:val="2A7C0A4F"/>
    <w:multiLevelType w:val="multilevel"/>
    <w:tmpl w:val="4FBE9416"/>
    <w:lvl w:ilvl="0">
      <w:start w:val="1"/>
      <w:numFmt w:val="lowerLetter"/>
      <w:pStyle w:val="Heading4"/>
      <w:suff w:val="space"/>
      <w:lvlText w:val="%1."/>
      <w:lvlJc w:val="left"/>
      <w:pPr>
        <w:ind w:left="0" w:firstLine="0"/>
      </w:p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2BB3256E"/>
    <w:multiLevelType w:val="multilevel"/>
    <w:tmpl w:val="1DBC2DE4"/>
    <w:lvl w:ilvl="0">
      <w:start w:val="5"/>
      <w:numFmt w:val="decimal"/>
      <w:lvlText w:val="%1."/>
      <w:lvlJc w:val="left"/>
      <w:pPr>
        <w:ind w:left="360" w:hanging="360"/>
      </w:pPr>
      <w:rPr>
        <w:rFonts w:hint="default"/>
      </w:rPr>
    </w:lvl>
    <w:lvl w:ilvl="1">
      <w:start w:val="1"/>
      <w:numFmt w:val="decimal"/>
      <w:pStyle w:val="Heading1"/>
      <w:suff w:val="space"/>
      <w:lvlText w:val="%1.%2."/>
      <w:lvlJc w:val="left"/>
      <w:pPr>
        <w:ind w:left="0" w:firstLine="0"/>
      </w:pPr>
    </w:lvl>
    <w:lvl w:ilvl="2">
      <w:start w:val="1"/>
      <w:numFmt w:val="decimal"/>
      <w:pStyle w:val="Heading2"/>
      <w:suff w:val="space"/>
      <w:lvlText w:val="%1.%2.%3."/>
      <w:lvlJc w:val="left"/>
      <w:pPr>
        <w:ind w:left="0" w:firstLine="0"/>
      </w:pPr>
    </w:lvl>
    <w:lvl w:ilvl="3">
      <w:start w:val="1"/>
      <w:numFmt w:val="decimal"/>
      <w:pStyle w:val="Heading3"/>
      <w:suff w:val="space"/>
      <w:lvlText w:val="%1.%2.%3.%4."/>
      <w:lvlJc w:val="left"/>
      <w:pPr>
        <w:ind w:left="0" w:firstLine="0"/>
      </w:pPr>
    </w:lvl>
    <w:lvl w:ilvl="4">
      <w:start w:val="1"/>
      <w:numFmt w:val="decimal"/>
      <w:lvlText w:val="a."/>
      <w:lvlJc w:val="left"/>
      <w:pPr>
        <w:ind w:left="0" w:firstLine="0"/>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E924A2E"/>
    <w:multiLevelType w:val="multilevel"/>
    <w:tmpl w:val="2BFE35E6"/>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00B4EA7"/>
    <w:multiLevelType w:val="hybridMultilevel"/>
    <w:tmpl w:val="525C0254"/>
    <w:lvl w:ilvl="0" w:tplc="04127316">
      <w:start w:val="12"/>
      <w:numFmt w:val="bullet"/>
      <w:lvlText w:val="-"/>
      <w:lvlJc w:val="left"/>
      <w:pPr>
        <w:ind w:left="720" w:hanging="360"/>
      </w:pPr>
      <w:rPr>
        <w:rFonts w:ascii="Times New Roman" w:eastAsiaTheme="minorEastAsia" w:hAnsi="Times New Roman" w:cs="Times New Roman" w:hint="default"/>
      </w:rPr>
    </w:lvl>
    <w:lvl w:ilvl="1" w:tplc="C80AA504">
      <w:numFmt w:val="bullet"/>
      <w:lvlText w:val="•"/>
      <w:lvlJc w:val="left"/>
      <w:pPr>
        <w:ind w:left="1440" w:hanging="360"/>
      </w:pPr>
      <w:rPr>
        <w:rFonts w:ascii="Times New Roman" w:eastAsiaTheme="minorEastAsia"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21290D"/>
    <w:multiLevelType w:val="multilevel"/>
    <w:tmpl w:val="059A3FAE"/>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30881514"/>
    <w:multiLevelType w:val="multilevel"/>
    <w:tmpl w:val="1E26E5DA"/>
    <w:styleLink w:val="CurrentList7"/>
    <w:lvl w:ilvl="0">
      <w:start w:val="1"/>
      <w:numFmt w:val="lowerRoman"/>
      <w:lvlText w:val="%1."/>
      <w:lvlJc w:val="right"/>
      <w:pPr>
        <w:ind w:left="720" w:hanging="360"/>
      </w:pPr>
    </w:lvl>
    <w:lvl w:ilvl="1">
      <w:start w:val="1"/>
      <w:numFmt w:val="lowerLetter"/>
      <w:lvlText w:val="%2."/>
      <w:lvlJc w:val="left"/>
      <w:pPr>
        <w:ind w:left="0" w:firstLine="0"/>
      </w:pPr>
      <w:rPr>
        <w:rFonts w:hint="eastAsia"/>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1D3232A"/>
    <w:multiLevelType w:val="multilevel"/>
    <w:tmpl w:val="60FAE4FC"/>
    <w:lvl w:ilvl="0">
      <w:start w:val="1"/>
      <w:numFmt w:val="lowerLetter"/>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3520C35"/>
    <w:multiLevelType w:val="hybridMultilevel"/>
    <w:tmpl w:val="0A62CC6C"/>
    <w:lvl w:ilvl="0" w:tplc="0F9E8B68">
      <w:start w:val="1"/>
      <w:numFmt w:val="lowerRoman"/>
      <w:lvlText w:val="%1."/>
      <w:lvlJc w:val="right"/>
      <w:pPr>
        <w:ind w:left="720" w:hanging="360"/>
      </w:pPr>
    </w:lvl>
    <w:lvl w:ilvl="1" w:tplc="9294A542">
      <w:start w:val="1"/>
      <w:numFmt w:val="lowerLetter"/>
      <w:lvlText w:val="%2."/>
      <w:lvlJc w:val="left"/>
      <w:pPr>
        <w:ind w:left="0" w:firstLine="0"/>
      </w:pPr>
      <w:rPr>
        <w:rFonts w:ascii="Times New Roman Bold" w:hAnsi="Times New Roman Bold" w:hint="default"/>
        <w:b/>
        <w:i w:val="0"/>
        <w:caps w:val="0"/>
        <w:strike w:val="0"/>
        <w:dstrike w:val="0"/>
        <w:vanish w:val="0"/>
        <w:spacing w:val="0"/>
        <w:position w:val="0"/>
        <w:sz w:val="24"/>
        <w:vertAlign w:val="baseline"/>
      </w:r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6F64D19"/>
    <w:multiLevelType w:val="multilevel"/>
    <w:tmpl w:val="80909E9C"/>
    <w:styleLink w:val="CurrentList1"/>
    <w:lvl w:ilvl="0">
      <w:start w:val="5"/>
      <w:numFmt w:val="decimal"/>
      <w:lvlText w:val="%1."/>
      <w:lvlJc w:val="left"/>
      <w:pPr>
        <w:ind w:left="360" w:hanging="360"/>
      </w:pPr>
      <w:rPr>
        <w:rFonts w:hint="default"/>
      </w:rPr>
    </w:lvl>
    <w:lvl w:ilvl="1">
      <w:start w:val="1"/>
      <w:numFmt w:val="decimal"/>
      <w:lvlText w:val="%1.%2."/>
      <w:lvlJc w:val="left"/>
      <w:pPr>
        <w:ind w:left="792" w:hanging="432"/>
      </w:pPr>
      <w:rPr>
        <w:rFonts w:ascii="Times New Roman" w:hAnsi="Times New Roman" w:cs="Times New Roman"/>
        <w:bCs w:val="0"/>
        <w:i w:val="0"/>
        <w:iCs w:val="0"/>
        <w:caps w:val="0"/>
        <w:smallCaps w:val="0"/>
        <w:strike w:val="0"/>
        <w:dstrike w:val="0"/>
        <w:outline w:val="0"/>
        <w:shadow w:val="0"/>
        <w:emboss w:val="0"/>
        <w:imprint w:val="0"/>
        <w:vanish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7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FBE0CBC"/>
    <w:multiLevelType w:val="multilevel"/>
    <w:tmpl w:val="710411D4"/>
    <w:lvl w:ilvl="0">
      <w:start w:val="1"/>
      <w:numFmt w:val="lowerLetter"/>
      <w:suff w:val="space"/>
      <w:lvlText w:val="%1."/>
      <w:lvlJc w:val="left"/>
      <w:pPr>
        <w:ind w:left="0" w:firstLine="0"/>
      </w:p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405A7D6C"/>
    <w:multiLevelType w:val="hybridMultilevel"/>
    <w:tmpl w:val="D04C77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1435DC"/>
    <w:multiLevelType w:val="multilevel"/>
    <w:tmpl w:val="6D607CAC"/>
    <w:styleLink w:val="CurrentList19"/>
    <w:lvl w:ilvl="0">
      <w:start w:val="1"/>
      <w:numFmt w:val="lowerLetter"/>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8452FEB"/>
    <w:multiLevelType w:val="hybridMultilevel"/>
    <w:tmpl w:val="EE40AFA0"/>
    <w:lvl w:ilvl="0" w:tplc="04127316">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0020C0"/>
    <w:multiLevelType w:val="hybridMultilevel"/>
    <w:tmpl w:val="2A50AAEC"/>
    <w:lvl w:ilvl="0" w:tplc="0C090001">
      <w:numFmt w:val="decimal"/>
      <w:lvlText w:val=""/>
      <w:lvlJc w:val="left"/>
    </w:lvl>
    <w:lvl w:ilvl="1" w:tplc="0C090003">
      <w:numFmt w:val="decimal"/>
      <w:lvlText w:val=""/>
      <w:lvlJc w:val="left"/>
    </w:lvl>
    <w:lvl w:ilvl="2" w:tplc="0C090005">
      <w:numFmt w:val="decimal"/>
      <w:lvlText w:val=""/>
      <w:lvlJc w:val="left"/>
    </w:lvl>
    <w:lvl w:ilvl="3" w:tplc="0C090001">
      <w:numFmt w:val="decimal"/>
      <w:lvlText w:val=""/>
      <w:lvlJc w:val="left"/>
    </w:lvl>
    <w:lvl w:ilvl="4" w:tplc="0C090003">
      <w:numFmt w:val="decimal"/>
      <w:lvlText w:val=""/>
      <w:lvlJc w:val="left"/>
    </w:lvl>
    <w:lvl w:ilvl="5" w:tplc="0C090005">
      <w:numFmt w:val="decimal"/>
      <w:lvlText w:val=""/>
      <w:lvlJc w:val="left"/>
    </w:lvl>
    <w:lvl w:ilvl="6" w:tplc="0C090001">
      <w:numFmt w:val="decimal"/>
      <w:lvlText w:val=""/>
      <w:lvlJc w:val="left"/>
    </w:lvl>
    <w:lvl w:ilvl="7" w:tplc="0C090003">
      <w:numFmt w:val="decimal"/>
      <w:lvlText w:val=""/>
      <w:lvlJc w:val="left"/>
    </w:lvl>
    <w:lvl w:ilvl="8" w:tplc="0C090005">
      <w:numFmt w:val="decimal"/>
      <w:lvlText w:val=""/>
      <w:lvlJc w:val="left"/>
    </w:lvl>
  </w:abstractNum>
  <w:abstractNum w:abstractNumId="37" w15:restartNumberingAfterBreak="0">
    <w:nsid w:val="4BB075D7"/>
    <w:multiLevelType w:val="hybridMultilevel"/>
    <w:tmpl w:val="F49216FA"/>
    <w:lvl w:ilvl="0" w:tplc="04127316">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447EC"/>
    <w:multiLevelType w:val="hybridMultilevel"/>
    <w:tmpl w:val="A0B492A4"/>
    <w:lvl w:ilvl="0" w:tplc="1F64AEBA">
      <w:start w:val="1"/>
      <w:numFmt w:val="decimal"/>
      <w:lvlText w:val="%1."/>
      <w:lvlJc w:val="left"/>
      <w:pPr>
        <w:ind w:left="360" w:firstLine="0"/>
      </w:pPr>
      <w:rPr>
        <w:rFonts w:ascii="Times New Roman" w:eastAsiaTheme="minorEastAsia" w:hAnsi="Times New Roman" w:cs="Times New Roman" w:hint="default"/>
      </w:rPr>
    </w:lvl>
    <w:lvl w:ilvl="1" w:tplc="68D673B0">
      <w:numFmt w:val="decimal"/>
      <w:lvlText w:val=""/>
      <w:lvlJc w:val="left"/>
    </w:lvl>
    <w:lvl w:ilvl="2" w:tplc="9D76664A">
      <w:numFmt w:val="decimal"/>
      <w:lvlText w:val=""/>
      <w:lvlJc w:val="left"/>
    </w:lvl>
    <w:lvl w:ilvl="3" w:tplc="AF469624">
      <w:numFmt w:val="decimal"/>
      <w:lvlText w:val=""/>
      <w:lvlJc w:val="left"/>
    </w:lvl>
    <w:lvl w:ilvl="4" w:tplc="90BC0B16">
      <w:numFmt w:val="decimal"/>
      <w:lvlText w:val=""/>
      <w:lvlJc w:val="left"/>
    </w:lvl>
    <w:lvl w:ilvl="5" w:tplc="CAD85C98">
      <w:numFmt w:val="decimal"/>
      <w:lvlText w:val=""/>
      <w:lvlJc w:val="left"/>
    </w:lvl>
    <w:lvl w:ilvl="6" w:tplc="B00C3582">
      <w:numFmt w:val="decimal"/>
      <w:lvlText w:val=""/>
      <w:lvlJc w:val="left"/>
    </w:lvl>
    <w:lvl w:ilvl="7" w:tplc="1278F6FE">
      <w:numFmt w:val="decimal"/>
      <w:lvlText w:val=""/>
      <w:lvlJc w:val="left"/>
    </w:lvl>
    <w:lvl w:ilvl="8" w:tplc="F3B4F4FA">
      <w:numFmt w:val="decimal"/>
      <w:lvlText w:val=""/>
      <w:lvlJc w:val="left"/>
    </w:lvl>
  </w:abstractNum>
  <w:abstractNum w:abstractNumId="39" w15:restartNumberingAfterBreak="0">
    <w:nsid w:val="52A66A9D"/>
    <w:multiLevelType w:val="multilevel"/>
    <w:tmpl w:val="1F46421A"/>
    <w:styleLink w:val="Normallist"/>
    <w:lvl w:ilvl="0">
      <w:start w:val="1"/>
      <w:numFmt w:val="decimal"/>
      <w:lvlText w:val="%1."/>
      <w:lvlJc w:val="left"/>
      <w:pPr>
        <w:tabs>
          <w:tab w:val="num" w:pos="568"/>
        </w:tabs>
        <w:ind w:left="1248" w:firstLine="0"/>
      </w:pPr>
      <w:rPr>
        <w:rFonts w:hint="default"/>
      </w:rPr>
    </w:lvl>
    <w:lvl w:ilvl="1">
      <w:start w:val="1"/>
      <w:numFmt w:val="lowerLetter"/>
      <w:lvlText w:val="(%2)"/>
      <w:lvlJc w:val="left"/>
      <w:pPr>
        <w:tabs>
          <w:tab w:val="num" w:pos="568"/>
        </w:tabs>
        <w:ind w:left="1248" w:firstLine="567"/>
      </w:pPr>
      <w:rPr>
        <w:rFonts w:hint="default"/>
      </w:rPr>
    </w:lvl>
    <w:lvl w:ilvl="2">
      <w:start w:val="1"/>
      <w:numFmt w:val="lowerRoman"/>
      <w:lvlText w:val="(%3)"/>
      <w:lvlJc w:val="left"/>
      <w:pPr>
        <w:tabs>
          <w:tab w:val="num" w:pos="568"/>
        </w:tabs>
        <w:ind w:left="2949" w:hanging="567"/>
      </w:pPr>
      <w:rPr>
        <w:rFonts w:hint="default"/>
      </w:rPr>
    </w:lvl>
    <w:lvl w:ilvl="3">
      <w:start w:val="1"/>
      <w:numFmt w:val="lowerLetter"/>
      <w:lvlText w:val="%4."/>
      <w:lvlJc w:val="left"/>
      <w:pPr>
        <w:tabs>
          <w:tab w:val="num" w:pos="568"/>
        </w:tabs>
        <w:ind w:left="3516" w:hanging="567"/>
      </w:pPr>
      <w:rPr>
        <w:rFonts w:hint="default"/>
      </w:rPr>
    </w:lvl>
    <w:lvl w:ilvl="4">
      <w:start w:val="1"/>
      <w:numFmt w:val="lowerRoman"/>
      <w:lvlText w:val="%5."/>
      <w:lvlJc w:val="left"/>
      <w:pPr>
        <w:tabs>
          <w:tab w:val="num" w:pos="568"/>
        </w:tabs>
        <w:ind w:left="4083" w:hanging="567"/>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40" w15:restartNumberingAfterBreak="0">
    <w:nsid w:val="542B4244"/>
    <w:multiLevelType w:val="multilevel"/>
    <w:tmpl w:val="EE1C457E"/>
    <w:lvl w:ilvl="0">
      <w:start w:val="1"/>
      <w:numFmt w:val="lowerLetter"/>
      <w:pStyle w:val="Title"/>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8631729"/>
    <w:multiLevelType w:val="multilevel"/>
    <w:tmpl w:val="63A0771C"/>
    <w:styleLink w:val="CurrentList20"/>
    <w:lvl w:ilvl="0">
      <w:start w:val="1"/>
      <w:numFmt w:val="lowerLetter"/>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A815456"/>
    <w:multiLevelType w:val="hybridMultilevel"/>
    <w:tmpl w:val="5A8E620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636849BC"/>
    <w:multiLevelType w:val="multilevel"/>
    <w:tmpl w:val="0A62CC6C"/>
    <w:styleLink w:val="CurrentList9"/>
    <w:lvl w:ilvl="0">
      <w:start w:val="1"/>
      <w:numFmt w:val="lowerRoman"/>
      <w:lvlText w:val="%1."/>
      <w:lvlJc w:val="right"/>
      <w:pPr>
        <w:ind w:left="720" w:hanging="360"/>
      </w:pPr>
    </w:lvl>
    <w:lvl w:ilvl="1">
      <w:start w:val="1"/>
      <w:numFmt w:val="lowerLetter"/>
      <w:lvlText w:val="%2."/>
      <w:lvlJc w:val="left"/>
      <w:pPr>
        <w:ind w:left="0" w:firstLine="0"/>
      </w:pPr>
      <w:rPr>
        <w:rFonts w:ascii="Times New Roman Bold" w:hAnsi="Times New Roman Bold" w:hint="default"/>
        <w:b/>
        <w:i w:val="0"/>
        <w:caps w:val="0"/>
        <w:strike w:val="0"/>
        <w:dstrike w:val="0"/>
        <w:vanish w:val="0"/>
        <w:spacing w:val="0"/>
        <w:position w:val="0"/>
        <w:sz w:val="24"/>
        <w:vertAlign w:val="baseline"/>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BC074F4"/>
    <w:multiLevelType w:val="multilevel"/>
    <w:tmpl w:val="2AD47EEE"/>
    <w:lvl w:ilvl="0">
      <w:start w:val="1"/>
      <w:numFmt w:val="lowerLetter"/>
      <w:lvlText w:val="%1."/>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C670810"/>
    <w:multiLevelType w:val="multilevel"/>
    <w:tmpl w:val="BAA28A48"/>
    <w:styleLink w:val="CurrentList5"/>
    <w:lvl w:ilvl="0">
      <w:start w:val="1"/>
      <w:numFmt w:val="lowerRoman"/>
      <w:lvlText w:val="%1."/>
      <w:lvlJc w:val="right"/>
      <w:pPr>
        <w:ind w:left="720" w:hanging="360"/>
      </w:p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D103AA7"/>
    <w:multiLevelType w:val="hybridMultilevel"/>
    <w:tmpl w:val="AFF49186"/>
    <w:lvl w:ilvl="0" w:tplc="04127316">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DA35729"/>
    <w:multiLevelType w:val="multilevel"/>
    <w:tmpl w:val="4872B4C2"/>
    <w:styleLink w:val="CurrentList17"/>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none"/>
      <w:suff w:val="space"/>
      <w:lvlText w:val="a."/>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F7F21BD"/>
    <w:multiLevelType w:val="multilevel"/>
    <w:tmpl w:val="1CD6C154"/>
    <w:lvl w:ilvl="0">
      <w:start w:val="1"/>
      <w:numFmt w:val="decimal"/>
      <w:lvlText w:val="%1."/>
      <w:lvlJc w:val="left"/>
      <w:pPr>
        <w:ind w:left="360" w:firstLine="0"/>
      </w:pPr>
      <w:rPr>
        <w:rFonts w:ascii="Times New Roman" w:eastAsia="Times New Roman" w:hAnsi="Times New Roman" w:cs="Times New Roman"/>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9" w15:restartNumberingAfterBreak="0">
    <w:nsid w:val="73DA33A4"/>
    <w:multiLevelType w:val="multilevel"/>
    <w:tmpl w:val="FC18DD4C"/>
    <w:styleLink w:val="CurrentList10"/>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757C605D"/>
    <w:multiLevelType w:val="multilevel"/>
    <w:tmpl w:val="BDDC5416"/>
    <w:styleLink w:val="CurrentList6"/>
    <w:lvl w:ilvl="0">
      <w:start w:val="1"/>
      <w:numFmt w:val="lowerRoman"/>
      <w:lvlText w:val="%1."/>
      <w:lvlJc w:val="right"/>
      <w:pPr>
        <w:ind w:left="720" w:hanging="360"/>
      </w:pPr>
    </w:lvl>
    <w:lvl w:ilvl="1">
      <w:start w:val="1"/>
      <w:numFmt w:val="lowerLetter"/>
      <w:lvlText w:val="%2."/>
      <w:lvlJc w:val="left"/>
      <w:pPr>
        <w:ind w:left="1440" w:hanging="1440"/>
      </w:pPr>
      <w:rPr>
        <w:rFonts w:hint="eastAsia"/>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71C34A5"/>
    <w:multiLevelType w:val="multilevel"/>
    <w:tmpl w:val="93521730"/>
    <w:styleLink w:val="CurrentList13"/>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80932A9"/>
    <w:multiLevelType w:val="hybridMultilevel"/>
    <w:tmpl w:val="5516BDAC"/>
    <w:lvl w:ilvl="0" w:tplc="12D248F2">
      <w:start w:val="1"/>
      <w:numFmt w:val="lowerLetter"/>
      <w:lvlText w:val="%1."/>
      <w:lvlJc w:val="left"/>
      <w:pPr>
        <w:ind w:left="0" w:firstLine="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8564E2E"/>
    <w:multiLevelType w:val="multilevel"/>
    <w:tmpl w:val="EC1CB360"/>
    <w:styleLink w:val="CurrentList2"/>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specVanish w:val="0"/>
      </w:rPr>
    </w:lvl>
    <w:lvl w:ilvl="2">
      <w:start w:val="1"/>
      <w:numFmt w:val="decimal"/>
      <w:lvlText w:val="%1.%2.%3."/>
      <w:lvlJc w:val="left"/>
      <w:pPr>
        <w:ind w:left="107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96A1708"/>
    <w:multiLevelType w:val="multilevel"/>
    <w:tmpl w:val="900C9A08"/>
    <w:styleLink w:val="CurrentList11"/>
    <w:lvl w:ilvl="0">
      <w:start w:val="5"/>
      <w:numFmt w:val="decimal"/>
      <w:lvlText w:val="%1."/>
      <w:lvlJc w:val="left"/>
      <w:pPr>
        <w:ind w:left="360" w:hanging="360"/>
      </w:pPr>
      <w:rPr>
        <w:rFonts w:hint="default"/>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none"/>
      <w:suff w:val="space"/>
      <w:lvlText w:val="a."/>
      <w:lvlJc w:val="left"/>
      <w:pPr>
        <w:ind w:left="0" w:firstLine="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D242D6E"/>
    <w:multiLevelType w:val="multilevel"/>
    <w:tmpl w:val="3894FC86"/>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7D5909C3"/>
    <w:multiLevelType w:val="hybridMultilevel"/>
    <w:tmpl w:val="75A48CF8"/>
    <w:lvl w:ilvl="0" w:tplc="0C090001">
      <w:numFmt w:val="decimal"/>
      <w:lvlText w:val=""/>
      <w:lvlJc w:val="left"/>
    </w:lvl>
    <w:lvl w:ilvl="1" w:tplc="0C090003">
      <w:numFmt w:val="decimal"/>
      <w:lvlText w:val=""/>
      <w:lvlJc w:val="left"/>
    </w:lvl>
    <w:lvl w:ilvl="2" w:tplc="0C090005">
      <w:numFmt w:val="decimal"/>
      <w:lvlText w:val=""/>
      <w:lvlJc w:val="left"/>
    </w:lvl>
    <w:lvl w:ilvl="3" w:tplc="0C090001">
      <w:numFmt w:val="decimal"/>
      <w:lvlText w:val=""/>
      <w:lvlJc w:val="left"/>
    </w:lvl>
    <w:lvl w:ilvl="4" w:tplc="0C090003">
      <w:numFmt w:val="decimal"/>
      <w:lvlText w:val=""/>
      <w:lvlJc w:val="left"/>
    </w:lvl>
    <w:lvl w:ilvl="5" w:tplc="0C090005">
      <w:numFmt w:val="decimal"/>
      <w:lvlText w:val=""/>
      <w:lvlJc w:val="left"/>
    </w:lvl>
    <w:lvl w:ilvl="6" w:tplc="0C090001">
      <w:numFmt w:val="decimal"/>
      <w:lvlText w:val=""/>
      <w:lvlJc w:val="left"/>
    </w:lvl>
    <w:lvl w:ilvl="7" w:tplc="0C090003">
      <w:numFmt w:val="decimal"/>
      <w:lvlText w:val=""/>
      <w:lvlJc w:val="left"/>
    </w:lvl>
    <w:lvl w:ilvl="8" w:tplc="0C090005">
      <w:numFmt w:val="decimal"/>
      <w:lvlText w:val=""/>
      <w:lvlJc w:val="left"/>
    </w:lvl>
  </w:abstractNum>
  <w:abstractNum w:abstractNumId="57" w15:restartNumberingAfterBreak="0">
    <w:nsid w:val="7D7D66FF"/>
    <w:multiLevelType w:val="multilevel"/>
    <w:tmpl w:val="D1FE7FEA"/>
    <w:styleLink w:val="CurrentList14"/>
    <w:lvl w:ilvl="0">
      <w:start w:val="1"/>
      <w:numFmt w:val="lowerLetter"/>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FB17603"/>
    <w:multiLevelType w:val="multilevel"/>
    <w:tmpl w:val="45CE81B2"/>
    <w:lvl w:ilvl="0">
      <w:start w:val="12"/>
      <w:numFmt w:val="bullet"/>
      <w:lvlText w:val="-"/>
      <w:lvlJc w:val="left"/>
      <w:pPr>
        <w:ind w:left="720" w:hanging="360"/>
      </w:pPr>
      <w:rPr>
        <w:rFonts w:ascii="Times New Roman" w:eastAsia="Times New Roman" w:hAnsi="Times New Roman" w:cs="Times New Roman"/>
      </w:rPr>
    </w:lvl>
    <w:lvl w:ilv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2"/>
  </w:num>
  <w:num w:numId="2">
    <w:abstractNumId w:val="24"/>
  </w:num>
  <w:num w:numId="3">
    <w:abstractNumId w:val="40"/>
  </w:num>
  <w:num w:numId="4">
    <w:abstractNumId w:val="32"/>
  </w:num>
  <w:num w:numId="5">
    <w:abstractNumId w:val="10"/>
  </w:num>
  <w:num w:numId="6">
    <w:abstractNumId w:val="58"/>
  </w:num>
  <w:num w:numId="7">
    <w:abstractNumId w:val="6"/>
  </w:num>
  <w:num w:numId="8">
    <w:abstractNumId w:val="55"/>
  </w:num>
  <w:num w:numId="9">
    <w:abstractNumId w:val="25"/>
  </w:num>
  <w:num w:numId="10">
    <w:abstractNumId w:val="2"/>
  </w:num>
  <w:num w:numId="11">
    <w:abstractNumId w:val="29"/>
  </w:num>
  <w:num w:numId="12">
    <w:abstractNumId w:val="21"/>
  </w:num>
  <w:num w:numId="13">
    <w:abstractNumId w:val="48"/>
  </w:num>
  <w:num w:numId="14">
    <w:abstractNumId w:val="27"/>
  </w:num>
  <w:num w:numId="15">
    <w:abstractNumId w:val="23"/>
  </w:num>
  <w:num w:numId="16">
    <w:abstractNumId w:val="44"/>
  </w:num>
  <w:num w:numId="17">
    <w:abstractNumId w:val="1"/>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num>
  <w:num w:numId="29">
    <w:abstractNumId w:val="41"/>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20"/>
  </w:num>
  <w:num w:numId="36">
    <w:abstractNumId w:val="38"/>
  </w:num>
  <w:num w:numId="37">
    <w:abstractNumId w:val="18"/>
  </w:num>
  <w:num w:numId="38">
    <w:abstractNumId w:val="17"/>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9"/>
  </w:num>
  <w:num w:numId="41">
    <w:abstractNumId w:val="42"/>
  </w:num>
  <w:num w:numId="42">
    <w:abstractNumId w:val="7"/>
  </w:num>
  <w:num w:numId="43">
    <w:abstractNumId w:val="31"/>
  </w:num>
  <w:num w:numId="44">
    <w:abstractNumId w:val="53"/>
  </w:num>
  <w:num w:numId="45">
    <w:abstractNumId w:val="0"/>
  </w:num>
  <w:num w:numId="46">
    <w:abstractNumId w:val="16"/>
  </w:num>
  <w:num w:numId="47">
    <w:abstractNumId w:val="45"/>
  </w:num>
  <w:num w:numId="48">
    <w:abstractNumId w:val="50"/>
  </w:num>
  <w:num w:numId="49">
    <w:abstractNumId w:val="28"/>
  </w:num>
  <w:num w:numId="50">
    <w:abstractNumId w:val="19"/>
  </w:num>
  <w:num w:numId="51">
    <w:abstractNumId w:val="43"/>
  </w:num>
  <w:num w:numId="52">
    <w:abstractNumId w:val="49"/>
  </w:num>
  <w:num w:numId="53">
    <w:abstractNumId w:val="54"/>
  </w:num>
  <w:num w:numId="54">
    <w:abstractNumId w:val="11"/>
  </w:num>
  <w:num w:numId="55">
    <w:abstractNumId w:val="52"/>
  </w:num>
  <w:num w:numId="56">
    <w:abstractNumId w:val="51"/>
  </w:num>
  <w:num w:numId="57">
    <w:abstractNumId w:val="57"/>
  </w:num>
  <w:num w:numId="58">
    <w:abstractNumId w:val="14"/>
  </w:num>
  <w:num w:numId="59">
    <w:abstractNumId w:val="52"/>
    <w:lvlOverride w:ilvl="0">
      <w:startOverride w:val="1"/>
    </w:lvlOverride>
  </w:num>
  <w:num w:numId="60">
    <w:abstractNumId w:val="52"/>
    <w:lvlOverride w:ilvl="0">
      <w:startOverride w:val="1"/>
    </w:lvlOverride>
  </w:num>
  <w:num w:numId="61">
    <w:abstractNumId w:val="15"/>
  </w:num>
  <w:num w:numId="62">
    <w:abstractNumId w:val="47"/>
  </w:num>
  <w:num w:numId="63">
    <w:abstractNumId w:val="52"/>
    <w:lvlOverride w:ilvl="0">
      <w:startOverride w:val="1"/>
    </w:lvlOverride>
  </w:num>
  <w:num w:numId="64">
    <w:abstractNumId w:val="52"/>
    <w:lvlOverride w:ilvl="0">
      <w:startOverride w:val="1"/>
    </w:lvlOverride>
  </w:num>
  <w:num w:numId="65">
    <w:abstractNumId w:val="52"/>
    <w:lvlOverride w:ilvl="0">
      <w:startOverride w:val="1"/>
    </w:lvlOverride>
  </w:num>
  <w:num w:numId="66">
    <w:abstractNumId w:val="26"/>
  </w:num>
  <w:num w:numId="67">
    <w:abstractNumId w:val="37"/>
  </w:num>
  <w:num w:numId="68">
    <w:abstractNumId w:val="46"/>
  </w:num>
  <w:num w:numId="69">
    <w:abstractNumId w:val="35"/>
  </w:num>
  <w:num w:numId="70">
    <w:abstractNumId w:val="4"/>
  </w:num>
  <w:num w:numId="71">
    <w:abstractNumId w:val="39"/>
  </w:num>
  <w:num w:numId="72">
    <w:abstractNumId w:val="5"/>
  </w:num>
  <w:num w:numId="73">
    <w:abstractNumId w:val="36"/>
  </w:num>
  <w:num w:numId="74">
    <w:abstractNumId w:val="56"/>
  </w:num>
  <w:num w:numId="75">
    <w:abstractNumId w:val="30"/>
  </w:num>
  <w:num w:numId="76">
    <w:abstractNumId w:val="30"/>
    <w:lvlOverride w:ilvl="0">
      <w:startOverride w:val="1"/>
    </w:lvlOverride>
    <w:lvlOverride w:ilvl="1">
      <w:startOverride w:val="1"/>
    </w:lvlOverride>
  </w:num>
  <w:num w:numId="77">
    <w:abstractNumId w:val="30"/>
    <w:lvlOverride w:ilvl="0">
      <w:startOverride w:val="1"/>
    </w:lvlOverride>
  </w:num>
  <w:num w:numId="78">
    <w:abstractNumId w:val="30"/>
    <w:lvlOverride w:ilvl="0">
      <w:startOverride w:val="1"/>
    </w:lvlOverride>
    <w:lvlOverride w:ilvl="1">
      <w:startOverride w:val="1"/>
    </w:lvlOverride>
  </w:num>
  <w:num w:numId="79">
    <w:abstractNumId w:val="30"/>
    <w:lvlOverride w:ilvl="0">
      <w:startOverride w:val="1"/>
    </w:lvlOverride>
  </w:num>
  <w:num w:numId="80">
    <w:abstractNumId w:val="30"/>
    <w:lvlOverride w:ilvl="0">
      <w:startOverride w:val="1"/>
    </w:lvlOverride>
  </w:num>
  <w:num w:numId="81">
    <w:abstractNumId w:val="30"/>
    <w:lvlOverride w:ilvl="0">
      <w:startOverride w:val="1"/>
    </w:lvlOverride>
  </w:num>
  <w:num w:numId="82">
    <w:abstractNumId w:val="30"/>
    <w:lvlOverride w:ilvl="0">
      <w:startOverride w:val="1"/>
    </w:lvlOverride>
  </w:num>
  <w:num w:numId="83">
    <w:abstractNumId w:val="30"/>
    <w:lvlOverride w:ilvl="0">
      <w:startOverride w:val="1"/>
    </w:lvlOverride>
  </w:num>
  <w:num w:numId="84">
    <w:abstractNumId w:val="30"/>
    <w:lvlOverride w:ilvl="0">
      <w:startOverride w:val="1"/>
    </w:lvlOverride>
  </w:num>
  <w:num w:numId="85">
    <w:abstractNumId w:val="33"/>
  </w:num>
  <w:num w:numId="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3"/>
  </w:num>
  <w:num w:numId="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num>
  <w:num w:numId="90">
    <w:abstractNumId w:val="23"/>
  </w:num>
  <w:num w:numId="91">
    <w:abstractNumId w:val="8"/>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characterSpacingControl w:val="doNotCompress"/>
  <w:hdrShapeDefaults>
    <o:shapedefaults v:ext="edit" spidmax="2051">
      <v:textbox inset="5.85pt,.7pt,5.85pt,.7pt"/>
    </o:shapedefaults>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8FD"/>
    <w:rsid w:val="0000014D"/>
    <w:rsid w:val="0000016C"/>
    <w:rsid w:val="000001B5"/>
    <w:rsid w:val="00000248"/>
    <w:rsid w:val="000002F7"/>
    <w:rsid w:val="0000036C"/>
    <w:rsid w:val="000008CB"/>
    <w:rsid w:val="00000CD9"/>
    <w:rsid w:val="00000F75"/>
    <w:rsid w:val="00001101"/>
    <w:rsid w:val="000011E2"/>
    <w:rsid w:val="0000121E"/>
    <w:rsid w:val="000014F0"/>
    <w:rsid w:val="0000172A"/>
    <w:rsid w:val="000017EE"/>
    <w:rsid w:val="00001F06"/>
    <w:rsid w:val="00001F8F"/>
    <w:rsid w:val="00002014"/>
    <w:rsid w:val="000023E1"/>
    <w:rsid w:val="00002703"/>
    <w:rsid w:val="000029BE"/>
    <w:rsid w:val="00002A93"/>
    <w:rsid w:val="00002AE0"/>
    <w:rsid w:val="00002E55"/>
    <w:rsid w:val="00003069"/>
    <w:rsid w:val="000032F1"/>
    <w:rsid w:val="00003370"/>
    <w:rsid w:val="0000339E"/>
    <w:rsid w:val="000034FF"/>
    <w:rsid w:val="00003599"/>
    <w:rsid w:val="00003937"/>
    <w:rsid w:val="00003AE5"/>
    <w:rsid w:val="00003C55"/>
    <w:rsid w:val="00003CE5"/>
    <w:rsid w:val="000040FB"/>
    <w:rsid w:val="000044CE"/>
    <w:rsid w:val="00004500"/>
    <w:rsid w:val="0000465C"/>
    <w:rsid w:val="000046C4"/>
    <w:rsid w:val="00004D8F"/>
    <w:rsid w:val="00004F30"/>
    <w:rsid w:val="000053F4"/>
    <w:rsid w:val="000054A6"/>
    <w:rsid w:val="0000552D"/>
    <w:rsid w:val="0000585E"/>
    <w:rsid w:val="000058DC"/>
    <w:rsid w:val="00005B41"/>
    <w:rsid w:val="00005F1B"/>
    <w:rsid w:val="000060F8"/>
    <w:rsid w:val="0000628D"/>
    <w:rsid w:val="000064C4"/>
    <w:rsid w:val="0000656D"/>
    <w:rsid w:val="000069E4"/>
    <w:rsid w:val="00006D95"/>
    <w:rsid w:val="00007528"/>
    <w:rsid w:val="000076DF"/>
    <w:rsid w:val="000077F7"/>
    <w:rsid w:val="000079D8"/>
    <w:rsid w:val="00007CC4"/>
    <w:rsid w:val="00007D2D"/>
    <w:rsid w:val="00007DF3"/>
    <w:rsid w:val="00007F40"/>
    <w:rsid w:val="000100DE"/>
    <w:rsid w:val="00010690"/>
    <w:rsid w:val="000106D3"/>
    <w:rsid w:val="0001091E"/>
    <w:rsid w:val="00010C74"/>
    <w:rsid w:val="00011188"/>
    <w:rsid w:val="0001143C"/>
    <w:rsid w:val="0001150A"/>
    <w:rsid w:val="000118A3"/>
    <w:rsid w:val="0001190C"/>
    <w:rsid w:val="00011984"/>
    <w:rsid w:val="00011B7D"/>
    <w:rsid w:val="00011DA6"/>
    <w:rsid w:val="00011E2A"/>
    <w:rsid w:val="00011E80"/>
    <w:rsid w:val="00011EAA"/>
    <w:rsid w:val="00011F30"/>
    <w:rsid w:val="00012388"/>
    <w:rsid w:val="000125E3"/>
    <w:rsid w:val="000127E3"/>
    <w:rsid w:val="00012914"/>
    <w:rsid w:val="00012C85"/>
    <w:rsid w:val="00012D84"/>
    <w:rsid w:val="00012F42"/>
    <w:rsid w:val="000133A7"/>
    <w:rsid w:val="000134F8"/>
    <w:rsid w:val="0001385C"/>
    <w:rsid w:val="00013BD9"/>
    <w:rsid w:val="00013FDB"/>
    <w:rsid w:val="000142B6"/>
    <w:rsid w:val="000143CE"/>
    <w:rsid w:val="00014466"/>
    <w:rsid w:val="0001471D"/>
    <w:rsid w:val="00014895"/>
    <w:rsid w:val="0001490E"/>
    <w:rsid w:val="00014ADF"/>
    <w:rsid w:val="00014C17"/>
    <w:rsid w:val="00014F6D"/>
    <w:rsid w:val="00015082"/>
    <w:rsid w:val="000151CF"/>
    <w:rsid w:val="00015329"/>
    <w:rsid w:val="0001534A"/>
    <w:rsid w:val="00015459"/>
    <w:rsid w:val="0001587B"/>
    <w:rsid w:val="00015939"/>
    <w:rsid w:val="000159F9"/>
    <w:rsid w:val="00015C95"/>
    <w:rsid w:val="00015E92"/>
    <w:rsid w:val="0001663A"/>
    <w:rsid w:val="0001673E"/>
    <w:rsid w:val="0001678F"/>
    <w:rsid w:val="000167A4"/>
    <w:rsid w:val="00016DBD"/>
    <w:rsid w:val="00017133"/>
    <w:rsid w:val="000175CD"/>
    <w:rsid w:val="000175F6"/>
    <w:rsid w:val="000176D9"/>
    <w:rsid w:val="000179A9"/>
    <w:rsid w:val="00017A30"/>
    <w:rsid w:val="00017B94"/>
    <w:rsid w:val="00017BC8"/>
    <w:rsid w:val="00017BE0"/>
    <w:rsid w:val="00017C3A"/>
    <w:rsid w:val="00017C98"/>
    <w:rsid w:val="00017CEE"/>
    <w:rsid w:val="00017FAF"/>
    <w:rsid w:val="0002024D"/>
    <w:rsid w:val="00020349"/>
    <w:rsid w:val="0002053F"/>
    <w:rsid w:val="000207A9"/>
    <w:rsid w:val="00020810"/>
    <w:rsid w:val="00020953"/>
    <w:rsid w:val="00020965"/>
    <w:rsid w:val="00020982"/>
    <w:rsid w:val="00020B96"/>
    <w:rsid w:val="00020C54"/>
    <w:rsid w:val="00020FF8"/>
    <w:rsid w:val="00021257"/>
    <w:rsid w:val="00021348"/>
    <w:rsid w:val="00021477"/>
    <w:rsid w:val="0002160C"/>
    <w:rsid w:val="000218B9"/>
    <w:rsid w:val="000218CA"/>
    <w:rsid w:val="00021994"/>
    <w:rsid w:val="00021CD8"/>
    <w:rsid w:val="00021F1D"/>
    <w:rsid w:val="00021FAB"/>
    <w:rsid w:val="0002258F"/>
    <w:rsid w:val="00022621"/>
    <w:rsid w:val="0002266E"/>
    <w:rsid w:val="00022753"/>
    <w:rsid w:val="00022874"/>
    <w:rsid w:val="00022A2E"/>
    <w:rsid w:val="00022C16"/>
    <w:rsid w:val="00022C57"/>
    <w:rsid w:val="00022F9B"/>
    <w:rsid w:val="0002327F"/>
    <w:rsid w:val="000232A3"/>
    <w:rsid w:val="000234F4"/>
    <w:rsid w:val="0002350E"/>
    <w:rsid w:val="00023C58"/>
    <w:rsid w:val="00024312"/>
    <w:rsid w:val="0002444B"/>
    <w:rsid w:val="0002452C"/>
    <w:rsid w:val="00024593"/>
    <w:rsid w:val="00024B28"/>
    <w:rsid w:val="00024B6E"/>
    <w:rsid w:val="00024C15"/>
    <w:rsid w:val="00024C63"/>
    <w:rsid w:val="00024FB3"/>
    <w:rsid w:val="00025046"/>
    <w:rsid w:val="000260B6"/>
    <w:rsid w:val="000260E3"/>
    <w:rsid w:val="000263AD"/>
    <w:rsid w:val="0002645F"/>
    <w:rsid w:val="0002648A"/>
    <w:rsid w:val="0002648E"/>
    <w:rsid w:val="00026983"/>
    <w:rsid w:val="000269BF"/>
    <w:rsid w:val="00026CD4"/>
    <w:rsid w:val="00027249"/>
    <w:rsid w:val="00027259"/>
    <w:rsid w:val="000273EB"/>
    <w:rsid w:val="00027572"/>
    <w:rsid w:val="000275B4"/>
    <w:rsid w:val="00027871"/>
    <w:rsid w:val="00027D33"/>
    <w:rsid w:val="00027D9E"/>
    <w:rsid w:val="00027DB4"/>
    <w:rsid w:val="00027F46"/>
    <w:rsid w:val="00027FC4"/>
    <w:rsid w:val="00027FD6"/>
    <w:rsid w:val="000300E5"/>
    <w:rsid w:val="000301BE"/>
    <w:rsid w:val="00030200"/>
    <w:rsid w:val="00030291"/>
    <w:rsid w:val="000302AB"/>
    <w:rsid w:val="00030482"/>
    <w:rsid w:val="000304F7"/>
    <w:rsid w:val="00030503"/>
    <w:rsid w:val="000308B8"/>
    <w:rsid w:val="00030A76"/>
    <w:rsid w:val="00030AC5"/>
    <w:rsid w:val="00030C6A"/>
    <w:rsid w:val="00030C96"/>
    <w:rsid w:val="00030E1C"/>
    <w:rsid w:val="00031284"/>
    <w:rsid w:val="000312BC"/>
    <w:rsid w:val="000312C6"/>
    <w:rsid w:val="00031405"/>
    <w:rsid w:val="00031703"/>
    <w:rsid w:val="0003178E"/>
    <w:rsid w:val="0003190D"/>
    <w:rsid w:val="00031B56"/>
    <w:rsid w:val="00031C1D"/>
    <w:rsid w:val="00032297"/>
    <w:rsid w:val="0003229A"/>
    <w:rsid w:val="000322CA"/>
    <w:rsid w:val="000324A0"/>
    <w:rsid w:val="0003285B"/>
    <w:rsid w:val="00032868"/>
    <w:rsid w:val="00032B6F"/>
    <w:rsid w:val="00032BDA"/>
    <w:rsid w:val="00032D5C"/>
    <w:rsid w:val="0003339C"/>
    <w:rsid w:val="00033631"/>
    <w:rsid w:val="0003365D"/>
    <w:rsid w:val="00033869"/>
    <w:rsid w:val="00033CFD"/>
    <w:rsid w:val="0003478B"/>
    <w:rsid w:val="00034893"/>
    <w:rsid w:val="0003495D"/>
    <w:rsid w:val="00034A1F"/>
    <w:rsid w:val="00034CBB"/>
    <w:rsid w:val="000350F5"/>
    <w:rsid w:val="00035440"/>
    <w:rsid w:val="00035709"/>
    <w:rsid w:val="000357DC"/>
    <w:rsid w:val="00035820"/>
    <w:rsid w:val="000359F2"/>
    <w:rsid w:val="00035A27"/>
    <w:rsid w:val="00035B7F"/>
    <w:rsid w:val="00035B91"/>
    <w:rsid w:val="00036116"/>
    <w:rsid w:val="000367F3"/>
    <w:rsid w:val="00036C18"/>
    <w:rsid w:val="00036E00"/>
    <w:rsid w:val="00036F49"/>
    <w:rsid w:val="000373CF"/>
    <w:rsid w:val="000379AF"/>
    <w:rsid w:val="00037D1D"/>
    <w:rsid w:val="00037D92"/>
    <w:rsid w:val="0003A806"/>
    <w:rsid w:val="00040293"/>
    <w:rsid w:val="00040604"/>
    <w:rsid w:val="00040652"/>
    <w:rsid w:val="00040B4B"/>
    <w:rsid w:val="00040C14"/>
    <w:rsid w:val="00040E05"/>
    <w:rsid w:val="00040F7E"/>
    <w:rsid w:val="0004115B"/>
    <w:rsid w:val="0004153C"/>
    <w:rsid w:val="0004161C"/>
    <w:rsid w:val="00041711"/>
    <w:rsid w:val="00041883"/>
    <w:rsid w:val="00041DCB"/>
    <w:rsid w:val="00041E05"/>
    <w:rsid w:val="00042544"/>
    <w:rsid w:val="000425CE"/>
    <w:rsid w:val="000425EE"/>
    <w:rsid w:val="00042AA7"/>
    <w:rsid w:val="00042BA0"/>
    <w:rsid w:val="00042EC4"/>
    <w:rsid w:val="00042FEF"/>
    <w:rsid w:val="00043014"/>
    <w:rsid w:val="000430AF"/>
    <w:rsid w:val="000431BC"/>
    <w:rsid w:val="00043359"/>
    <w:rsid w:val="000433A2"/>
    <w:rsid w:val="000434F7"/>
    <w:rsid w:val="00043699"/>
    <w:rsid w:val="00043B16"/>
    <w:rsid w:val="00043B6C"/>
    <w:rsid w:val="00043BEA"/>
    <w:rsid w:val="00043CCF"/>
    <w:rsid w:val="00043D7C"/>
    <w:rsid w:val="00043EEC"/>
    <w:rsid w:val="00044232"/>
    <w:rsid w:val="000442E7"/>
    <w:rsid w:val="000442EF"/>
    <w:rsid w:val="000444AF"/>
    <w:rsid w:val="000445D9"/>
    <w:rsid w:val="00044683"/>
    <w:rsid w:val="0004491B"/>
    <w:rsid w:val="00044AA6"/>
    <w:rsid w:val="00044AFA"/>
    <w:rsid w:val="00044D36"/>
    <w:rsid w:val="00044FF0"/>
    <w:rsid w:val="00044FF5"/>
    <w:rsid w:val="00045038"/>
    <w:rsid w:val="000450A3"/>
    <w:rsid w:val="00045764"/>
    <w:rsid w:val="0004589A"/>
    <w:rsid w:val="000464EF"/>
    <w:rsid w:val="00046568"/>
    <w:rsid w:val="0004659F"/>
    <w:rsid w:val="000467CA"/>
    <w:rsid w:val="0004681C"/>
    <w:rsid w:val="00046969"/>
    <w:rsid w:val="00046B8F"/>
    <w:rsid w:val="000471A3"/>
    <w:rsid w:val="000472A6"/>
    <w:rsid w:val="00047305"/>
    <w:rsid w:val="000473B5"/>
    <w:rsid w:val="00047410"/>
    <w:rsid w:val="000475DD"/>
    <w:rsid w:val="00047752"/>
    <w:rsid w:val="0004785C"/>
    <w:rsid w:val="00047BA3"/>
    <w:rsid w:val="00047D64"/>
    <w:rsid w:val="00047F17"/>
    <w:rsid w:val="00047FC7"/>
    <w:rsid w:val="000501B6"/>
    <w:rsid w:val="00050236"/>
    <w:rsid w:val="000504AE"/>
    <w:rsid w:val="000506A8"/>
    <w:rsid w:val="000507D2"/>
    <w:rsid w:val="000507DF"/>
    <w:rsid w:val="00050D06"/>
    <w:rsid w:val="00050D0D"/>
    <w:rsid w:val="00051296"/>
    <w:rsid w:val="00051353"/>
    <w:rsid w:val="00051497"/>
    <w:rsid w:val="00051578"/>
    <w:rsid w:val="000515EE"/>
    <w:rsid w:val="00051791"/>
    <w:rsid w:val="000518EF"/>
    <w:rsid w:val="00051A5C"/>
    <w:rsid w:val="00051D89"/>
    <w:rsid w:val="000521B3"/>
    <w:rsid w:val="00052274"/>
    <w:rsid w:val="000526D9"/>
    <w:rsid w:val="00052704"/>
    <w:rsid w:val="000529B6"/>
    <w:rsid w:val="00052A0B"/>
    <w:rsid w:val="00052A40"/>
    <w:rsid w:val="00052DA2"/>
    <w:rsid w:val="0005319D"/>
    <w:rsid w:val="00053699"/>
    <w:rsid w:val="000538DB"/>
    <w:rsid w:val="000539B8"/>
    <w:rsid w:val="00053BBD"/>
    <w:rsid w:val="00053DCF"/>
    <w:rsid w:val="00053E4D"/>
    <w:rsid w:val="00053E58"/>
    <w:rsid w:val="00054033"/>
    <w:rsid w:val="00054133"/>
    <w:rsid w:val="000543F9"/>
    <w:rsid w:val="00054577"/>
    <w:rsid w:val="000545EC"/>
    <w:rsid w:val="0005484B"/>
    <w:rsid w:val="000548D4"/>
    <w:rsid w:val="00054958"/>
    <w:rsid w:val="00054A5A"/>
    <w:rsid w:val="00054D2E"/>
    <w:rsid w:val="00054DB1"/>
    <w:rsid w:val="000552B1"/>
    <w:rsid w:val="0005541A"/>
    <w:rsid w:val="0005546F"/>
    <w:rsid w:val="00055744"/>
    <w:rsid w:val="000557AB"/>
    <w:rsid w:val="00056017"/>
    <w:rsid w:val="00056371"/>
    <w:rsid w:val="000564F6"/>
    <w:rsid w:val="0005657F"/>
    <w:rsid w:val="00056A73"/>
    <w:rsid w:val="00056BAF"/>
    <w:rsid w:val="00056BE8"/>
    <w:rsid w:val="00056D3E"/>
    <w:rsid w:val="00056FA4"/>
    <w:rsid w:val="00056FAB"/>
    <w:rsid w:val="0005722D"/>
    <w:rsid w:val="000575DF"/>
    <w:rsid w:val="00057861"/>
    <w:rsid w:val="0005794D"/>
    <w:rsid w:val="00057A12"/>
    <w:rsid w:val="00057B69"/>
    <w:rsid w:val="00057BA4"/>
    <w:rsid w:val="00057BE0"/>
    <w:rsid w:val="00057C09"/>
    <w:rsid w:val="00057E6B"/>
    <w:rsid w:val="0005A92B"/>
    <w:rsid w:val="0005BC12"/>
    <w:rsid w:val="000601C4"/>
    <w:rsid w:val="000603E3"/>
    <w:rsid w:val="00060550"/>
    <w:rsid w:val="00060642"/>
    <w:rsid w:val="00060C4A"/>
    <w:rsid w:val="00061172"/>
    <w:rsid w:val="000614ED"/>
    <w:rsid w:val="000618EE"/>
    <w:rsid w:val="00061B4A"/>
    <w:rsid w:val="00062187"/>
    <w:rsid w:val="000623A2"/>
    <w:rsid w:val="000623D0"/>
    <w:rsid w:val="000623EF"/>
    <w:rsid w:val="00062599"/>
    <w:rsid w:val="000625C8"/>
    <w:rsid w:val="00062C3B"/>
    <w:rsid w:val="00062CC0"/>
    <w:rsid w:val="00062EAA"/>
    <w:rsid w:val="00063502"/>
    <w:rsid w:val="000638C8"/>
    <w:rsid w:val="00063A09"/>
    <w:rsid w:val="00063B1D"/>
    <w:rsid w:val="00063C0C"/>
    <w:rsid w:val="00063D06"/>
    <w:rsid w:val="00063DB4"/>
    <w:rsid w:val="00063F93"/>
    <w:rsid w:val="00064641"/>
    <w:rsid w:val="000646EC"/>
    <w:rsid w:val="0006471D"/>
    <w:rsid w:val="00064F1D"/>
    <w:rsid w:val="000655FF"/>
    <w:rsid w:val="0006563F"/>
    <w:rsid w:val="0006565E"/>
    <w:rsid w:val="000657D0"/>
    <w:rsid w:val="000657ED"/>
    <w:rsid w:val="0006585A"/>
    <w:rsid w:val="00065915"/>
    <w:rsid w:val="00065933"/>
    <w:rsid w:val="00065AC3"/>
    <w:rsid w:val="00065B0E"/>
    <w:rsid w:val="00065BF3"/>
    <w:rsid w:val="00065CD3"/>
    <w:rsid w:val="00065CE5"/>
    <w:rsid w:val="000660B3"/>
    <w:rsid w:val="000661CC"/>
    <w:rsid w:val="00066328"/>
    <w:rsid w:val="00066487"/>
    <w:rsid w:val="00066943"/>
    <w:rsid w:val="00066A7E"/>
    <w:rsid w:val="00067051"/>
    <w:rsid w:val="00067320"/>
    <w:rsid w:val="000676AB"/>
    <w:rsid w:val="000677AA"/>
    <w:rsid w:val="00067873"/>
    <w:rsid w:val="00067E17"/>
    <w:rsid w:val="00067EF6"/>
    <w:rsid w:val="00067EF7"/>
    <w:rsid w:val="00067F02"/>
    <w:rsid w:val="00070057"/>
    <w:rsid w:val="0007010A"/>
    <w:rsid w:val="000705DC"/>
    <w:rsid w:val="00070711"/>
    <w:rsid w:val="00070B83"/>
    <w:rsid w:val="00070CD0"/>
    <w:rsid w:val="00070EDB"/>
    <w:rsid w:val="00070F7C"/>
    <w:rsid w:val="0007104D"/>
    <w:rsid w:val="00071290"/>
    <w:rsid w:val="000713B0"/>
    <w:rsid w:val="000713B2"/>
    <w:rsid w:val="000715F7"/>
    <w:rsid w:val="000716FB"/>
    <w:rsid w:val="0007191B"/>
    <w:rsid w:val="00071950"/>
    <w:rsid w:val="00071D2C"/>
    <w:rsid w:val="00071DA9"/>
    <w:rsid w:val="00071EF8"/>
    <w:rsid w:val="00071FB6"/>
    <w:rsid w:val="00072243"/>
    <w:rsid w:val="000722AE"/>
    <w:rsid w:val="000723AA"/>
    <w:rsid w:val="0007242D"/>
    <w:rsid w:val="0007289A"/>
    <w:rsid w:val="00072ACC"/>
    <w:rsid w:val="00072D5C"/>
    <w:rsid w:val="0007316D"/>
    <w:rsid w:val="00073222"/>
    <w:rsid w:val="000732D7"/>
    <w:rsid w:val="000732E8"/>
    <w:rsid w:val="00073813"/>
    <w:rsid w:val="0007385A"/>
    <w:rsid w:val="0007397D"/>
    <w:rsid w:val="00073B90"/>
    <w:rsid w:val="00074102"/>
    <w:rsid w:val="0007420A"/>
    <w:rsid w:val="0007435A"/>
    <w:rsid w:val="000743DC"/>
    <w:rsid w:val="000746AF"/>
    <w:rsid w:val="00074B53"/>
    <w:rsid w:val="00074C24"/>
    <w:rsid w:val="00074C45"/>
    <w:rsid w:val="00074D32"/>
    <w:rsid w:val="00074D61"/>
    <w:rsid w:val="0007517C"/>
    <w:rsid w:val="0007562C"/>
    <w:rsid w:val="00075F5E"/>
    <w:rsid w:val="0007658C"/>
    <w:rsid w:val="00076608"/>
    <w:rsid w:val="000768E6"/>
    <w:rsid w:val="000768FA"/>
    <w:rsid w:val="00076BD0"/>
    <w:rsid w:val="00076EB1"/>
    <w:rsid w:val="00077475"/>
    <w:rsid w:val="000778CC"/>
    <w:rsid w:val="000779B7"/>
    <w:rsid w:val="00077B3A"/>
    <w:rsid w:val="00077B54"/>
    <w:rsid w:val="00077BAE"/>
    <w:rsid w:val="00077BC6"/>
    <w:rsid w:val="0007FF21"/>
    <w:rsid w:val="000800FB"/>
    <w:rsid w:val="0008061E"/>
    <w:rsid w:val="000806D1"/>
    <w:rsid w:val="00080D39"/>
    <w:rsid w:val="00080EB8"/>
    <w:rsid w:val="00080FF5"/>
    <w:rsid w:val="00081304"/>
    <w:rsid w:val="000814D3"/>
    <w:rsid w:val="000818DD"/>
    <w:rsid w:val="00081ACC"/>
    <w:rsid w:val="00081B20"/>
    <w:rsid w:val="00082499"/>
    <w:rsid w:val="0008255D"/>
    <w:rsid w:val="00082762"/>
    <w:rsid w:val="00082883"/>
    <w:rsid w:val="00082935"/>
    <w:rsid w:val="00082B8B"/>
    <w:rsid w:val="00082C1A"/>
    <w:rsid w:val="00082C64"/>
    <w:rsid w:val="00082D1A"/>
    <w:rsid w:val="00083018"/>
    <w:rsid w:val="00083053"/>
    <w:rsid w:val="0008320C"/>
    <w:rsid w:val="000833E4"/>
    <w:rsid w:val="000834C6"/>
    <w:rsid w:val="000835B9"/>
    <w:rsid w:val="00083A12"/>
    <w:rsid w:val="00083A82"/>
    <w:rsid w:val="00083EB2"/>
    <w:rsid w:val="00083FB5"/>
    <w:rsid w:val="000843A4"/>
    <w:rsid w:val="0008446C"/>
    <w:rsid w:val="00084668"/>
    <w:rsid w:val="000847A5"/>
    <w:rsid w:val="000848D3"/>
    <w:rsid w:val="00084AF0"/>
    <w:rsid w:val="00084BE2"/>
    <w:rsid w:val="00084DD6"/>
    <w:rsid w:val="00085194"/>
    <w:rsid w:val="00085532"/>
    <w:rsid w:val="000855E4"/>
    <w:rsid w:val="0008594B"/>
    <w:rsid w:val="00085A25"/>
    <w:rsid w:val="00085ED6"/>
    <w:rsid w:val="00085F42"/>
    <w:rsid w:val="0008662D"/>
    <w:rsid w:val="00086663"/>
    <w:rsid w:val="000866AF"/>
    <w:rsid w:val="00086826"/>
    <w:rsid w:val="00086A1D"/>
    <w:rsid w:val="00086C3C"/>
    <w:rsid w:val="000872EE"/>
    <w:rsid w:val="00087371"/>
    <w:rsid w:val="00087620"/>
    <w:rsid w:val="000876A5"/>
    <w:rsid w:val="0008773B"/>
    <w:rsid w:val="00087851"/>
    <w:rsid w:val="00087B78"/>
    <w:rsid w:val="00087FC0"/>
    <w:rsid w:val="0008D4A1"/>
    <w:rsid w:val="00090170"/>
    <w:rsid w:val="0009029F"/>
    <w:rsid w:val="0009035C"/>
    <w:rsid w:val="000906E0"/>
    <w:rsid w:val="0009082F"/>
    <w:rsid w:val="000910BB"/>
    <w:rsid w:val="0009128B"/>
    <w:rsid w:val="000912C8"/>
    <w:rsid w:val="00091379"/>
    <w:rsid w:val="00091554"/>
    <w:rsid w:val="000915A2"/>
    <w:rsid w:val="00091789"/>
    <w:rsid w:val="000918CE"/>
    <w:rsid w:val="00091A1F"/>
    <w:rsid w:val="00091A66"/>
    <w:rsid w:val="00091AD7"/>
    <w:rsid w:val="00091B20"/>
    <w:rsid w:val="00091CDA"/>
    <w:rsid w:val="00091F0B"/>
    <w:rsid w:val="000920CB"/>
    <w:rsid w:val="00092292"/>
    <w:rsid w:val="0009240D"/>
    <w:rsid w:val="00092501"/>
    <w:rsid w:val="000927F9"/>
    <w:rsid w:val="0009289C"/>
    <w:rsid w:val="00092BDF"/>
    <w:rsid w:val="00092C58"/>
    <w:rsid w:val="000938C1"/>
    <w:rsid w:val="00093959"/>
    <w:rsid w:val="0009399E"/>
    <w:rsid w:val="00093A31"/>
    <w:rsid w:val="00094020"/>
    <w:rsid w:val="00094031"/>
    <w:rsid w:val="0009406A"/>
    <w:rsid w:val="000943C9"/>
    <w:rsid w:val="0009446A"/>
    <w:rsid w:val="000946D9"/>
    <w:rsid w:val="00094DED"/>
    <w:rsid w:val="00094E73"/>
    <w:rsid w:val="0009509B"/>
    <w:rsid w:val="00095167"/>
    <w:rsid w:val="00095251"/>
    <w:rsid w:val="0009528D"/>
    <w:rsid w:val="00095923"/>
    <w:rsid w:val="00095CE8"/>
    <w:rsid w:val="00095E50"/>
    <w:rsid w:val="0009615C"/>
    <w:rsid w:val="000962F2"/>
    <w:rsid w:val="000969DD"/>
    <w:rsid w:val="000969F9"/>
    <w:rsid w:val="00096B57"/>
    <w:rsid w:val="00096BAF"/>
    <w:rsid w:val="00096D05"/>
    <w:rsid w:val="00096D11"/>
    <w:rsid w:val="00096D1E"/>
    <w:rsid w:val="00096DD8"/>
    <w:rsid w:val="000971D7"/>
    <w:rsid w:val="000973A4"/>
    <w:rsid w:val="00097E26"/>
    <w:rsid w:val="00098C33"/>
    <w:rsid w:val="000A00DE"/>
    <w:rsid w:val="000A036C"/>
    <w:rsid w:val="000A0887"/>
    <w:rsid w:val="000A088B"/>
    <w:rsid w:val="000A09D1"/>
    <w:rsid w:val="000A0C17"/>
    <w:rsid w:val="000A0E17"/>
    <w:rsid w:val="000A0E45"/>
    <w:rsid w:val="000A0EBF"/>
    <w:rsid w:val="000A1071"/>
    <w:rsid w:val="000A12B1"/>
    <w:rsid w:val="000A1635"/>
    <w:rsid w:val="000A16C1"/>
    <w:rsid w:val="000A16F7"/>
    <w:rsid w:val="000A1957"/>
    <w:rsid w:val="000A1B81"/>
    <w:rsid w:val="000A1E4C"/>
    <w:rsid w:val="000A1F07"/>
    <w:rsid w:val="000A1FB6"/>
    <w:rsid w:val="000A209D"/>
    <w:rsid w:val="000A2111"/>
    <w:rsid w:val="000A21F9"/>
    <w:rsid w:val="000A22CD"/>
    <w:rsid w:val="000A23C8"/>
    <w:rsid w:val="000A2524"/>
    <w:rsid w:val="000A2667"/>
    <w:rsid w:val="000A28B4"/>
    <w:rsid w:val="000A2CCE"/>
    <w:rsid w:val="000A2D8A"/>
    <w:rsid w:val="000A2DB6"/>
    <w:rsid w:val="000A2DDC"/>
    <w:rsid w:val="000A2F19"/>
    <w:rsid w:val="000A31AC"/>
    <w:rsid w:val="000A388D"/>
    <w:rsid w:val="000A39FD"/>
    <w:rsid w:val="000A3BF2"/>
    <w:rsid w:val="000A3C58"/>
    <w:rsid w:val="000A3D36"/>
    <w:rsid w:val="000A3DF5"/>
    <w:rsid w:val="000A3E9F"/>
    <w:rsid w:val="000A3FB1"/>
    <w:rsid w:val="000A41FF"/>
    <w:rsid w:val="000A43EB"/>
    <w:rsid w:val="000A43F3"/>
    <w:rsid w:val="000A44D3"/>
    <w:rsid w:val="000A4668"/>
    <w:rsid w:val="000A47E5"/>
    <w:rsid w:val="000A484C"/>
    <w:rsid w:val="000A4CC8"/>
    <w:rsid w:val="000A4F80"/>
    <w:rsid w:val="000A502C"/>
    <w:rsid w:val="000A510F"/>
    <w:rsid w:val="000A5146"/>
    <w:rsid w:val="000A5255"/>
    <w:rsid w:val="000A55D5"/>
    <w:rsid w:val="000A563F"/>
    <w:rsid w:val="000A587A"/>
    <w:rsid w:val="000A5CAB"/>
    <w:rsid w:val="000A625E"/>
    <w:rsid w:val="000A6344"/>
    <w:rsid w:val="000A6442"/>
    <w:rsid w:val="000A64AB"/>
    <w:rsid w:val="000A65E2"/>
    <w:rsid w:val="000A65FE"/>
    <w:rsid w:val="000A6662"/>
    <w:rsid w:val="000A68A0"/>
    <w:rsid w:val="000A6B1F"/>
    <w:rsid w:val="000A6DAA"/>
    <w:rsid w:val="000A6FF8"/>
    <w:rsid w:val="000A7765"/>
    <w:rsid w:val="000A7785"/>
    <w:rsid w:val="000A77FE"/>
    <w:rsid w:val="000A780F"/>
    <w:rsid w:val="000A7981"/>
    <w:rsid w:val="000A798A"/>
    <w:rsid w:val="000A7C00"/>
    <w:rsid w:val="000A7C42"/>
    <w:rsid w:val="000A7CEA"/>
    <w:rsid w:val="000A7D80"/>
    <w:rsid w:val="000AE3D1"/>
    <w:rsid w:val="000B0005"/>
    <w:rsid w:val="000B019A"/>
    <w:rsid w:val="000B06F0"/>
    <w:rsid w:val="000B098F"/>
    <w:rsid w:val="000B0A1D"/>
    <w:rsid w:val="000B0C18"/>
    <w:rsid w:val="000B0D35"/>
    <w:rsid w:val="000B0E58"/>
    <w:rsid w:val="000B0E84"/>
    <w:rsid w:val="000B0F28"/>
    <w:rsid w:val="000B105D"/>
    <w:rsid w:val="000B10E8"/>
    <w:rsid w:val="000B1104"/>
    <w:rsid w:val="000B1419"/>
    <w:rsid w:val="000B1507"/>
    <w:rsid w:val="000B15B8"/>
    <w:rsid w:val="000B1692"/>
    <w:rsid w:val="000B1BA7"/>
    <w:rsid w:val="000B1E4E"/>
    <w:rsid w:val="000B1FF0"/>
    <w:rsid w:val="000B21C0"/>
    <w:rsid w:val="000B2201"/>
    <w:rsid w:val="000B2412"/>
    <w:rsid w:val="000B2479"/>
    <w:rsid w:val="000B25B3"/>
    <w:rsid w:val="000B25F8"/>
    <w:rsid w:val="000B2883"/>
    <w:rsid w:val="000B2915"/>
    <w:rsid w:val="000B2E1F"/>
    <w:rsid w:val="000B2E25"/>
    <w:rsid w:val="000B2F68"/>
    <w:rsid w:val="000B30AF"/>
    <w:rsid w:val="000B3225"/>
    <w:rsid w:val="000B3484"/>
    <w:rsid w:val="000B36A5"/>
    <w:rsid w:val="000B3C36"/>
    <w:rsid w:val="000B3D15"/>
    <w:rsid w:val="000B3DC3"/>
    <w:rsid w:val="000B4010"/>
    <w:rsid w:val="000B42BB"/>
    <w:rsid w:val="000B42CC"/>
    <w:rsid w:val="000B42F7"/>
    <w:rsid w:val="000B43AB"/>
    <w:rsid w:val="000B441D"/>
    <w:rsid w:val="000B4441"/>
    <w:rsid w:val="000B4849"/>
    <w:rsid w:val="000B49EF"/>
    <w:rsid w:val="000B4A69"/>
    <w:rsid w:val="000B4B62"/>
    <w:rsid w:val="000B4BC7"/>
    <w:rsid w:val="000B4FFF"/>
    <w:rsid w:val="000B5534"/>
    <w:rsid w:val="000B57BC"/>
    <w:rsid w:val="000B5930"/>
    <w:rsid w:val="000B5A46"/>
    <w:rsid w:val="000B5A74"/>
    <w:rsid w:val="000B5E47"/>
    <w:rsid w:val="000B5E51"/>
    <w:rsid w:val="000B6125"/>
    <w:rsid w:val="000B61D7"/>
    <w:rsid w:val="000B650C"/>
    <w:rsid w:val="000B67C5"/>
    <w:rsid w:val="000B6A04"/>
    <w:rsid w:val="000B6B30"/>
    <w:rsid w:val="000B6D44"/>
    <w:rsid w:val="000B6D5A"/>
    <w:rsid w:val="000B7046"/>
    <w:rsid w:val="000B704F"/>
    <w:rsid w:val="000B7DCD"/>
    <w:rsid w:val="000C012E"/>
    <w:rsid w:val="000C028B"/>
    <w:rsid w:val="000C031A"/>
    <w:rsid w:val="000C0328"/>
    <w:rsid w:val="000C04E0"/>
    <w:rsid w:val="000C053F"/>
    <w:rsid w:val="000C05D7"/>
    <w:rsid w:val="000C0619"/>
    <w:rsid w:val="000C06A6"/>
    <w:rsid w:val="000C0775"/>
    <w:rsid w:val="000C0812"/>
    <w:rsid w:val="000C0AD7"/>
    <w:rsid w:val="000C0B12"/>
    <w:rsid w:val="000C0F7A"/>
    <w:rsid w:val="000C10F1"/>
    <w:rsid w:val="000C12E9"/>
    <w:rsid w:val="000C1362"/>
    <w:rsid w:val="000C137E"/>
    <w:rsid w:val="000C14FB"/>
    <w:rsid w:val="000C1621"/>
    <w:rsid w:val="000C171D"/>
    <w:rsid w:val="000C1AC6"/>
    <w:rsid w:val="000C23F9"/>
    <w:rsid w:val="000C2450"/>
    <w:rsid w:val="000C26EC"/>
    <w:rsid w:val="000C2813"/>
    <w:rsid w:val="000C2B7C"/>
    <w:rsid w:val="000C2D19"/>
    <w:rsid w:val="000C2D28"/>
    <w:rsid w:val="000C2E8C"/>
    <w:rsid w:val="000C2ECD"/>
    <w:rsid w:val="000C3174"/>
    <w:rsid w:val="000C3205"/>
    <w:rsid w:val="000C3263"/>
    <w:rsid w:val="000C3524"/>
    <w:rsid w:val="000C3A0C"/>
    <w:rsid w:val="000C3AA1"/>
    <w:rsid w:val="000C3B24"/>
    <w:rsid w:val="000C3F62"/>
    <w:rsid w:val="000C4093"/>
    <w:rsid w:val="000C4299"/>
    <w:rsid w:val="000C42CF"/>
    <w:rsid w:val="000C432F"/>
    <w:rsid w:val="000C4339"/>
    <w:rsid w:val="000C43A3"/>
    <w:rsid w:val="000C452C"/>
    <w:rsid w:val="000C4547"/>
    <w:rsid w:val="000C4594"/>
    <w:rsid w:val="000C48C4"/>
    <w:rsid w:val="000C4C54"/>
    <w:rsid w:val="000C4C74"/>
    <w:rsid w:val="000C4D42"/>
    <w:rsid w:val="000C50EC"/>
    <w:rsid w:val="000C525A"/>
    <w:rsid w:val="000C5CFD"/>
    <w:rsid w:val="000C5E26"/>
    <w:rsid w:val="000C61B5"/>
    <w:rsid w:val="000C61C6"/>
    <w:rsid w:val="000C6275"/>
    <w:rsid w:val="000C63C2"/>
    <w:rsid w:val="000C649B"/>
    <w:rsid w:val="000C6A9B"/>
    <w:rsid w:val="000C6D56"/>
    <w:rsid w:val="000C6D60"/>
    <w:rsid w:val="000C6E6D"/>
    <w:rsid w:val="000C6F07"/>
    <w:rsid w:val="000C7190"/>
    <w:rsid w:val="000C7284"/>
    <w:rsid w:val="000C74CE"/>
    <w:rsid w:val="000C74FD"/>
    <w:rsid w:val="000C75C1"/>
    <w:rsid w:val="000C7651"/>
    <w:rsid w:val="000C7AE9"/>
    <w:rsid w:val="000C7D23"/>
    <w:rsid w:val="000D004D"/>
    <w:rsid w:val="000D01A4"/>
    <w:rsid w:val="000D01CA"/>
    <w:rsid w:val="000D05DC"/>
    <w:rsid w:val="000D0A38"/>
    <w:rsid w:val="000D0D7D"/>
    <w:rsid w:val="000D0E57"/>
    <w:rsid w:val="000D13D2"/>
    <w:rsid w:val="000D177F"/>
    <w:rsid w:val="000D1892"/>
    <w:rsid w:val="000D18CA"/>
    <w:rsid w:val="000D1A24"/>
    <w:rsid w:val="000D1B41"/>
    <w:rsid w:val="000D1B59"/>
    <w:rsid w:val="000D1E08"/>
    <w:rsid w:val="000D1E0C"/>
    <w:rsid w:val="000D1E49"/>
    <w:rsid w:val="000D1E75"/>
    <w:rsid w:val="000D1EB1"/>
    <w:rsid w:val="000D1F7C"/>
    <w:rsid w:val="000D1F84"/>
    <w:rsid w:val="000D212A"/>
    <w:rsid w:val="000D24B1"/>
    <w:rsid w:val="000D2A81"/>
    <w:rsid w:val="000D2AF7"/>
    <w:rsid w:val="000D2C9E"/>
    <w:rsid w:val="000D2E6A"/>
    <w:rsid w:val="000D3010"/>
    <w:rsid w:val="000D3058"/>
    <w:rsid w:val="000D30F8"/>
    <w:rsid w:val="000D32B8"/>
    <w:rsid w:val="000D344D"/>
    <w:rsid w:val="000D36E1"/>
    <w:rsid w:val="000D39C9"/>
    <w:rsid w:val="000D3A81"/>
    <w:rsid w:val="000D3A8E"/>
    <w:rsid w:val="000D3B16"/>
    <w:rsid w:val="000D3B9D"/>
    <w:rsid w:val="000D3CE4"/>
    <w:rsid w:val="000D3D28"/>
    <w:rsid w:val="000D3EAB"/>
    <w:rsid w:val="000D3F09"/>
    <w:rsid w:val="000D49D0"/>
    <w:rsid w:val="000D4CAB"/>
    <w:rsid w:val="000D4D19"/>
    <w:rsid w:val="000D4E0B"/>
    <w:rsid w:val="000D4E79"/>
    <w:rsid w:val="000D4FD2"/>
    <w:rsid w:val="000D4FDE"/>
    <w:rsid w:val="000D51C8"/>
    <w:rsid w:val="000D568C"/>
    <w:rsid w:val="000D58BF"/>
    <w:rsid w:val="000D5946"/>
    <w:rsid w:val="000D5B3E"/>
    <w:rsid w:val="000D5D41"/>
    <w:rsid w:val="000D5E1F"/>
    <w:rsid w:val="000D60E1"/>
    <w:rsid w:val="000D6142"/>
    <w:rsid w:val="000D61B2"/>
    <w:rsid w:val="000D62E1"/>
    <w:rsid w:val="000D6799"/>
    <w:rsid w:val="000D688B"/>
    <w:rsid w:val="000D6C28"/>
    <w:rsid w:val="000D6CAC"/>
    <w:rsid w:val="000D6DAE"/>
    <w:rsid w:val="000D72F2"/>
    <w:rsid w:val="000D73D8"/>
    <w:rsid w:val="000D76AB"/>
    <w:rsid w:val="000D7962"/>
    <w:rsid w:val="000D7E94"/>
    <w:rsid w:val="000E0152"/>
    <w:rsid w:val="000E03C1"/>
    <w:rsid w:val="000E063F"/>
    <w:rsid w:val="000E0749"/>
    <w:rsid w:val="000E09EA"/>
    <w:rsid w:val="000E0A09"/>
    <w:rsid w:val="000E0ACA"/>
    <w:rsid w:val="000E0D9C"/>
    <w:rsid w:val="000E0DC9"/>
    <w:rsid w:val="000E0EB2"/>
    <w:rsid w:val="000E113F"/>
    <w:rsid w:val="000E1322"/>
    <w:rsid w:val="000E1448"/>
    <w:rsid w:val="000E1533"/>
    <w:rsid w:val="000E181E"/>
    <w:rsid w:val="000E19AD"/>
    <w:rsid w:val="000E1AB8"/>
    <w:rsid w:val="000E212D"/>
    <w:rsid w:val="000E2226"/>
    <w:rsid w:val="000E28F0"/>
    <w:rsid w:val="000E2A22"/>
    <w:rsid w:val="000E2BCD"/>
    <w:rsid w:val="000E2CAD"/>
    <w:rsid w:val="000E2E5B"/>
    <w:rsid w:val="000E2F55"/>
    <w:rsid w:val="000E30DF"/>
    <w:rsid w:val="000E3550"/>
    <w:rsid w:val="000E35B7"/>
    <w:rsid w:val="000E365E"/>
    <w:rsid w:val="000E38D4"/>
    <w:rsid w:val="000E3A20"/>
    <w:rsid w:val="000E3BFC"/>
    <w:rsid w:val="000E3C50"/>
    <w:rsid w:val="000E3D7B"/>
    <w:rsid w:val="000E40AD"/>
    <w:rsid w:val="000E47FC"/>
    <w:rsid w:val="000E4AD5"/>
    <w:rsid w:val="000E4D0F"/>
    <w:rsid w:val="000E5213"/>
    <w:rsid w:val="000E52B0"/>
    <w:rsid w:val="000E53B3"/>
    <w:rsid w:val="000E541C"/>
    <w:rsid w:val="000E547E"/>
    <w:rsid w:val="000E54CA"/>
    <w:rsid w:val="000E55CD"/>
    <w:rsid w:val="000E5AC3"/>
    <w:rsid w:val="000E6154"/>
    <w:rsid w:val="000E65F2"/>
    <w:rsid w:val="000E668F"/>
    <w:rsid w:val="000E66E6"/>
    <w:rsid w:val="000E66FB"/>
    <w:rsid w:val="000E68A3"/>
    <w:rsid w:val="000E68C3"/>
    <w:rsid w:val="000E6A62"/>
    <w:rsid w:val="000E6AC5"/>
    <w:rsid w:val="000E6E68"/>
    <w:rsid w:val="000E6FD6"/>
    <w:rsid w:val="000E712F"/>
    <w:rsid w:val="000E75C7"/>
    <w:rsid w:val="000E7993"/>
    <w:rsid w:val="000E7A40"/>
    <w:rsid w:val="000E7D57"/>
    <w:rsid w:val="000E7F69"/>
    <w:rsid w:val="000F026C"/>
    <w:rsid w:val="000F02F8"/>
    <w:rsid w:val="000F0742"/>
    <w:rsid w:val="000F0803"/>
    <w:rsid w:val="000F0879"/>
    <w:rsid w:val="000F0B3B"/>
    <w:rsid w:val="000F0D31"/>
    <w:rsid w:val="000F0F1C"/>
    <w:rsid w:val="000F1048"/>
    <w:rsid w:val="000F10F2"/>
    <w:rsid w:val="000F1565"/>
    <w:rsid w:val="000F1FF1"/>
    <w:rsid w:val="000F2063"/>
    <w:rsid w:val="000F206D"/>
    <w:rsid w:val="000F212A"/>
    <w:rsid w:val="000F21D1"/>
    <w:rsid w:val="000F23CB"/>
    <w:rsid w:val="000F2461"/>
    <w:rsid w:val="000F253C"/>
    <w:rsid w:val="000F25A0"/>
    <w:rsid w:val="000F25B7"/>
    <w:rsid w:val="000F26B2"/>
    <w:rsid w:val="000F2AFD"/>
    <w:rsid w:val="000F2B02"/>
    <w:rsid w:val="000F2BEE"/>
    <w:rsid w:val="000F3232"/>
    <w:rsid w:val="000F3324"/>
    <w:rsid w:val="000F3342"/>
    <w:rsid w:val="000F35EB"/>
    <w:rsid w:val="000F3641"/>
    <w:rsid w:val="000F37AE"/>
    <w:rsid w:val="000F397A"/>
    <w:rsid w:val="000F39E3"/>
    <w:rsid w:val="000F3AB4"/>
    <w:rsid w:val="000F3B32"/>
    <w:rsid w:val="000F3D06"/>
    <w:rsid w:val="000F3D98"/>
    <w:rsid w:val="000F3FB4"/>
    <w:rsid w:val="000F41D6"/>
    <w:rsid w:val="000F42B2"/>
    <w:rsid w:val="000F4518"/>
    <w:rsid w:val="000F4EA4"/>
    <w:rsid w:val="000F5393"/>
    <w:rsid w:val="000F582C"/>
    <w:rsid w:val="000F59C0"/>
    <w:rsid w:val="000F5A4D"/>
    <w:rsid w:val="000F5BA6"/>
    <w:rsid w:val="000F5E77"/>
    <w:rsid w:val="000F6486"/>
    <w:rsid w:val="000F658B"/>
    <w:rsid w:val="000F65CA"/>
    <w:rsid w:val="000F6653"/>
    <w:rsid w:val="000F6715"/>
    <w:rsid w:val="000F67D3"/>
    <w:rsid w:val="000F68A8"/>
    <w:rsid w:val="000F7078"/>
    <w:rsid w:val="000F714D"/>
    <w:rsid w:val="000F76CA"/>
    <w:rsid w:val="000F7A21"/>
    <w:rsid w:val="000F7A69"/>
    <w:rsid w:val="000F7B56"/>
    <w:rsid w:val="000F7D1C"/>
    <w:rsid w:val="000F7DBA"/>
    <w:rsid w:val="000FA260"/>
    <w:rsid w:val="001006CB"/>
    <w:rsid w:val="00100787"/>
    <w:rsid w:val="001008A9"/>
    <w:rsid w:val="001013D0"/>
    <w:rsid w:val="001017E9"/>
    <w:rsid w:val="00101BAC"/>
    <w:rsid w:val="001022AD"/>
    <w:rsid w:val="00102480"/>
    <w:rsid w:val="001026EF"/>
    <w:rsid w:val="0010286E"/>
    <w:rsid w:val="00102C0B"/>
    <w:rsid w:val="00102C2D"/>
    <w:rsid w:val="00102E6B"/>
    <w:rsid w:val="00102F86"/>
    <w:rsid w:val="0010320A"/>
    <w:rsid w:val="00103255"/>
    <w:rsid w:val="00103430"/>
    <w:rsid w:val="00103940"/>
    <w:rsid w:val="00103A9D"/>
    <w:rsid w:val="00103AA7"/>
    <w:rsid w:val="00103C1B"/>
    <w:rsid w:val="00103F99"/>
    <w:rsid w:val="001041CE"/>
    <w:rsid w:val="001041DA"/>
    <w:rsid w:val="0010422B"/>
    <w:rsid w:val="001042C7"/>
    <w:rsid w:val="00104739"/>
    <w:rsid w:val="00104C48"/>
    <w:rsid w:val="00104CB4"/>
    <w:rsid w:val="00104FA6"/>
    <w:rsid w:val="00104FF9"/>
    <w:rsid w:val="0010514B"/>
    <w:rsid w:val="00105333"/>
    <w:rsid w:val="001055D3"/>
    <w:rsid w:val="0010564E"/>
    <w:rsid w:val="001057A2"/>
    <w:rsid w:val="00105B96"/>
    <w:rsid w:val="00105C1C"/>
    <w:rsid w:val="00105C4D"/>
    <w:rsid w:val="00105C74"/>
    <w:rsid w:val="00105F15"/>
    <w:rsid w:val="001060B6"/>
    <w:rsid w:val="0010615C"/>
    <w:rsid w:val="001062C5"/>
    <w:rsid w:val="001066CE"/>
    <w:rsid w:val="0010678B"/>
    <w:rsid w:val="001067E4"/>
    <w:rsid w:val="001068D6"/>
    <w:rsid w:val="00106C4B"/>
    <w:rsid w:val="00106C84"/>
    <w:rsid w:val="0010739A"/>
    <w:rsid w:val="0010752E"/>
    <w:rsid w:val="001075C4"/>
    <w:rsid w:val="001076E5"/>
    <w:rsid w:val="00107D33"/>
    <w:rsid w:val="001102A3"/>
    <w:rsid w:val="0011032E"/>
    <w:rsid w:val="001103E0"/>
    <w:rsid w:val="00110659"/>
    <w:rsid w:val="00110681"/>
    <w:rsid w:val="001106F3"/>
    <w:rsid w:val="00110836"/>
    <w:rsid w:val="00111431"/>
    <w:rsid w:val="00111711"/>
    <w:rsid w:val="00111757"/>
    <w:rsid w:val="00111EF4"/>
    <w:rsid w:val="00112011"/>
    <w:rsid w:val="001122C0"/>
    <w:rsid w:val="00112612"/>
    <w:rsid w:val="00112789"/>
    <w:rsid w:val="001127A8"/>
    <w:rsid w:val="001127FE"/>
    <w:rsid w:val="00112F29"/>
    <w:rsid w:val="0011322B"/>
    <w:rsid w:val="00113280"/>
    <w:rsid w:val="00113318"/>
    <w:rsid w:val="001133EC"/>
    <w:rsid w:val="0011378D"/>
    <w:rsid w:val="0011385A"/>
    <w:rsid w:val="00113A42"/>
    <w:rsid w:val="00113A50"/>
    <w:rsid w:val="00113B93"/>
    <w:rsid w:val="00113E3E"/>
    <w:rsid w:val="00113F33"/>
    <w:rsid w:val="001145B2"/>
    <w:rsid w:val="00114772"/>
    <w:rsid w:val="00114B03"/>
    <w:rsid w:val="00114C1D"/>
    <w:rsid w:val="00114FA2"/>
    <w:rsid w:val="00115170"/>
    <w:rsid w:val="0011533C"/>
    <w:rsid w:val="001156B6"/>
    <w:rsid w:val="00115704"/>
    <w:rsid w:val="00115A48"/>
    <w:rsid w:val="00115AC0"/>
    <w:rsid w:val="00115B71"/>
    <w:rsid w:val="00115B7C"/>
    <w:rsid w:val="00115DD0"/>
    <w:rsid w:val="00115E42"/>
    <w:rsid w:val="00115E58"/>
    <w:rsid w:val="00115ED7"/>
    <w:rsid w:val="00115FDB"/>
    <w:rsid w:val="00116036"/>
    <w:rsid w:val="00116409"/>
    <w:rsid w:val="00116552"/>
    <w:rsid w:val="00116586"/>
    <w:rsid w:val="0011677F"/>
    <w:rsid w:val="00116BC3"/>
    <w:rsid w:val="00116BEF"/>
    <w:rsid w:val="00116D01"/>
    <w:rsid w:val="00117090"/>
    <w:rsid w:val="001173B0"/>
    <w:rsid w:val="001173B1"/>
    <w:rsid w:val="001176DD"/>
    <w:rsid w:val="001179EA"/>
    <w:rsid w:val="00117D8D"/>
    <w:rsid w:val="00117E7D"/>
    <w:rsid w:val="00117ECD"/>
    <w:rsid w:val="0012001E"/>
    <w:rsid w:val="001201D4"/>
    <w:rsid w:val="0012035D"/>
    <w:rsid w:val="00120465"/>
    <w:rsid w:val="0012054A"/>
    <w:rsid w:val="00120791"/>
    <w:rsid w:val="00120B35"/>
    <w:rsid w:val="00120BA5"/>
    <w:rsid w:val="00120C4B"/>
    <w:rsid w:val="00120F3A"/>
    <w:rsid w:val="001210C7"/>
    <w:rsid w:val="001212C8"/>
    <w:rsid w:val="0012153B"/>
    <w:rsid w:val="001215B6"/>
    <w:rsid w:val="00121C06"/>
    <w:rsid w:val="00122020"/>
    <w:rsid w:val="0012205F"/>
    <w:rsid w:val="001222CE"/>
    <w:rsid w:val="001223EE"/>
    <w:rsid w:val="00122547"/>
    <w:rsid w:val="0012291D"/>
    <w:rsid w:val="00122B1E"/>
    <w:rsid w:val="00122F59"/>
    <w:rsid w:val="00123341"/>
    <w:rsid w:val="001233B1"/>
    <w:rsid w:val="00123A91"/>
    <w:rsid w:val="00123CE5"/>
    <w:rsid w:val="00123D21"/>
    <w:rsid w:val="00123E2E"/>
    <w:rsid w:val="00124183"/>
    <w:rsid w:val="001248ED"/>
    <w:rsid w:val="00124909"/>
    <w:rsid w:val="00124A26"/>
    <w:rsid w:val="00124E48"/>
    <w:rsid w:val="0012522B"/>
    <w:rsid w:val="00125825"/>
    <w:rsid w:val="001258AA"/>
    <w:rsid w:val="00125BB8"/>
    <w:rsid w:val="00125ED0"/>
    <w:rsid w:val="0012635B"/>
    <w:rsid w:val="0012678C"/>
    <w:rsid w:val="001267F1"/>
    <w:rsid w:val="00126AF2"/>
    <w:rsid w:val="00126B8B"/>
    <w:rsid w:val="00126BF2"/>
    <w:rsid w:val="00126C98"/>
    <w:rsid w:val="00126CC7"/>
    <w:rsid w:val="00126D51"/>
    <w:rsid w:val="00126D6E"/>
    <w:rsid w:val="00126E64"/>
    <w:rsid w:val="00126F02"/>
    <w:rsid w:val="00127082"/>
    <w:rsid w:val="00127953"/>
    <w:rsid w:val="00127BAA"/>
    <w:rsid w:val="00127D01"/>
    <w:rsid w:val="00127F4F"/>
    <w:rsid w:val="00130488"/>
    <w:rsid w:val="001304AA"/>
    <w:rsid w:val="001311AE"/>
    <w:rsid w:val="001311F6"/>
    <w:rsid w:val="00131369"/>
    <w:rsid w:val="00131512"/>
    <w:rsid w:val="001318CF"/>
    <w:rsid w:val="001319A3"/>
    <w:rsid w:val="00131AC0"/>
    <w:rsid w:val="00131BC7"/>
    <w:rsid w:val="00131DC9"/>
    <w:rsid w:val="00131E65"/>
    <w:rsid w:val="0013201B"/>
    <w:rsid w:val="00132312"/>
    <w:rsid w:val="00132781"/>
    <w:rsid w:val="00132808"/>
    <w:rsid w:val="001329D9"/>
    <w:rsid w:val="00132B62"/>
    <w:rsid w:val="00132D24"/>
    <w:rsid w:val="00132DB4"/>
    <w:rsid w:val="00132DE0"/>
    <w:rsid w:val="00132FE1"/>
    <w:rsid w:val="001330BA"/>
    <w:rsid w:val="00133439"/>
    <w:rsid w:val="001336A5"/>
    <w:rsid w:val="00133719"/>
    <w:rsid w:val="001337CA"/>
    <w:rsid w:val="00133844"/>
    <w:rsid w:val="00133895"/>
    <w:rsid w:val="001338F3"/>
    <w:rsid w:val="00133A21"/>
    <w:rsid w:val="00133A22"/>
    <w:rsid w:val="00133A68"/>
    <w:rsid w:val="00133C1B"/>
    <w:rsid w:val="00133DD7"/>
    <w:rsid w:val="00133E74"/>
    <w:rsid w:val="0013406A"/>
    <w:rsid w:val="001341B4"/>
    <w:rsid w:val="00134647"/>
    <w:rsid w:val="001347A3"/>
    <w:rsid w:val="0013488B"/>
    <w:rsid w:val="00134A8D"/>
    <w:rsid w:val="00134D81"/>
    <w:rsid w:val="00135010"/>
    <w:rsid w:val="00135145"/>
    <w:rsid w:val="00135164"/>
    <w:rsid w:val="001352A4"/>
    <w:rsid w:val="0013538A"/>
    <w:rsid w:val="00135501"/>
    <w:rsid w:val="0013557D"/>
    <w:rsid w:val="00135696"/>
    <w:rsid w:val="00135776"/>
    <w:rsid w:val="001357C2"/>
    <w:rsid w:val="0013594E"/>
    <w:rsid w:val="00135B3F"/>
    <w:rsid w:val="00135E71"/>
    <w:rsid w:val="00135FB7"/>
    <w:rsid w:val="00135FF6"/>
    <w:rsid w:val="00136088"/>
    <w:rsid w:val="001361C1"/>
    <w:rsid w:val="00136214"/>
    <w:rsid w:val="001363F0"/>
    <w:rsid w:val="00136472"/>
    <w:rsid w:val="001368A8"/>
    <w:rsid w:val="00136B92"/>
    <w:rsid w:val="00136DFF"/>
    <w:rsid w:val="00136E0C"/>
    <w:rsid w:val="001372DE"/>
    <w:rsid w:val="00137478"/>
    <w:rsid w:val="0013753B"/>
    <w:rsid w:val="001376DB"/>
    <w:rsid w:val="00137BEE"/>
    <w:rsid w:val="00137DC2"/>
    <w:rsid w:val="00137DF8"/>
    <w:rsid w:val="00137E49"/>
    <w:rsid w:val="00137EF0"/>
    <w:rsid w:val="001400C8"/>
    <w:rsid w:val="001401C4"/>
    <w:rsid w:val="0014059A"/>
    <w:rsid w:val="0014070D"/>
    <w:rsid w:val="00140758"/>
    <w:rsid w:val="0014078C"/>
    <w:rsid w:val="00140905"/>
    <w:rsid w:val="00140F06"/>
    <w:rsid w:val="00141047"/>
    <w:rsid w:val="001411DE"/>
    <w:rsid w:val="00141208"/>
    <w:rsid w:val="001413D6"/>
    <w:rsid w:val="001415DC"/>
    <w:rsid w:val="001418F0"/>
    <w:rsid w:val="00141935"/>
    <w:rsid w:val="00141A3F"/>
    <w:rsid w:val="00141D5C"/>
    <w:rsid w:val="00141DBF"/>
    <w:rsid w:val="00141E9D"/>
    <w:rsid w:val="001421D9"/>
    <w:rsid w:val="001422B6"/>
    <w:rsid w:val="00142315"/>
    <w:rsid w:val="001425BB"/>
    <w:rsid w:val="001428C4"/>
    <w:rsid w:val="00142C6F"/>
    <w:rsid w:val="00142F53"/>
    <w:rsid w:val="0014338B"/>
    <w:rsid w:val="00143439"/>
    <w:rsid w:val="0014350A"/>
    <w:rsid w:val="00143649"/>
    <w:rsid w:val="00143699"/>
    <w:rsid w:val="00143771"/>
    <w:rsid w:val="001437C0"/>
    <w:rsid w:val="00143A20"/>
    <w:rsid w:val="00143C8D"/>
    <w:rsid w:val="001440AB"/>
    <w:rsid w:val="001440BD"/>
    <w:rsid w:val="00144220"/>
    <w:rsid w:val="00144382"/>
    <w:rsid w:val="00144E93"/>
    <w:rsid w:val="00144F7B"/>
    <w:rsid w:val="0014512C"/>
    <w:rsid w:val="00145561"/>
    <w:rsid w:val="001455F4"/>
    <w:rsid w:val="001457EB"/>
    <w:rsid w:val="0014587D"/>
    <w:rsid w:val="00145B36"/>
    <w:rsid w:val="0014654F"/>
    <w:rsid w:val="0014656E"/>
    <w:rsid w:val="00146885"/>
    <w:rsid w:val="00146DE3"/>
    <w:rsid w:val="00146E08"/>
    <w:rsid w:val="00146E6A"/>
    <w:rsid w:val="0014707A"/>
    <w:rsid w:val="0014722E"/>
    <w:rsid w:val="0014737C"/>
    <w:rsid w:val="00147795"/>
    <w:rsid w:val="00147A3D"/>
    <w:rsid w:val="00147AE9"/>
    <w:rsid w:val="00147B89"/>
    <w:rsid w:val="00147DB7"/>
    <w:rsid w:val="0014CC13"/>
    <w:rsid w:val="0015009D"/>
    <w:rsid w:val="001500F6"/>
    <w:rsid w:val="00150752"/>
    <w:rsid w:val="001508D6"/>
    <w:rsid w:val="00150A53"/>
    <w:rsid w:val="00150FF2"/>
    <w:rsid w:val="001512FE"/>
    <w:rsid w:val="00151895"/>
    <w:rsid w:val="00151AC4"/>
    <w:rsid w:val="00151E18"/>
    <w:rsid w:val="00151F65"/>
    <w:rsid w:val="00151FB0"/>
    <w:rsid w:val="00152105"/>
    <w:rsid w:val="00152296"/>
    <w:rsid w:val="00152375"/>
    <w:rsid w:val="00152472"/>
    <w:rsid w:val="001525B2"/>
    <w:rsid w:val="001528E8"/>
    <w:rsid w:val="00152ADF"/>
    <w:rsid w:val="00152CD2"/>
    <w:rsid w:val="00152FA2"/>
    <w:rsid w:val="001530C8"/>
    <w:rsid w:val="001530F2"/>
    <w:rsid w:val="001533BA"/>
    <w:rsid w:val="0015340E"/>
    <w:rsid w:val="0015384F"/>
    <w:rsid w:val="00153A3C"/>
    <w:rsid w:val="00153C30"/>
    <w:rsid w:val="00153CD7"/>
    <w:rsid w:val="001541FF"/>
    <w:rsid w:val="00154243"/>
    <w:rsid w:val="001543DD"/>
    <w:rsid w:val="001546B3"/>
    <w:rsid w:val="00154AE0"/>
    <w:rsid w:val="00154B2C"/>
    <w:rsid w:val="00154CE5"/>
    <w:rsid w:val="00154DB5"/>
    <w:rsid w:val="00154E1D"/>
    <w:rsid w:val="001550B3"/>
    <w:rsid w:val="001550CD"/>
    <w:rsid w:val="0015548B"/>
    <w:rsid w:val="00155719"/>
    <w:rsid w:val="0015575B"/>
    <w:rsid w:val="00155CC1"/>
    <w:rsid w:val="00156658"/>
    <w:rsid w:val="00156771"/>
    <w:rsid w:val="00156BF3"/>
    <w:rsid w:val="00156C10"/>
    <w:rsid w:val="00156DCF"/>
    <w:rsid w:val="00156F0D"/>
    <w:rsid w:val="00157031"/>
    <w:rsid w:val="001570BA"/>
    <w:rsid w:val="001570BB"/>
    <w:rsid w:val="001574DA"/>
    <w:rsid w:val="001576A9"/>
    <w:rsid w:val="001576DC"/>
    <w:rsid w:val="001579FE"/>
    <w:rsid w:val="00157A52"/>
    <w:rsid w:val="00157B0F"/>
    <w:rsid w:val="00157D82"/>
    <w:rsid w:val="00157E2C"/>
    <w:rsid w:val="00157E91"/>
    <w:rsid w:val="0016034A"/>
    <w:rsid w:val="00160461"/>
    <w:rsid w:val="00160665"/>
    <w:rsid w:val="0016074F"/>
    <w:rsid w:val="00160959"/>
    <w:rsid w:val="00160994"/>
    <w:rsid w:val="00160B15"/>
    <w:rsid w:val="00160B25"/>
    <w:rsid w:val="00160B63"/>
    <w:rsid w:val="00160B90"/>
    <w:rsid w:val="00160C65"/>
    <w:rsid w:val="00160C89"/>
    <w:rsid w:val="00160CB4"/>
    <w:rsid w:val="001611FF"/>
    <w:rsid w:val="0016122C"/>
    <w:rsid w:val="0016154E"/>
    <w:rsid w:val="00161720"/>
    <w:rsid w:val="00161876"/>
    <w:rsid w:val="00161A15"/>
    <w:rsid w:val="00161F0B"/>
    <w:rsid w:val="0016214A"/>
    <w:rsid w:val="001625C5"/>
    <w:rsid w:val="001625EE"/>
    <w:rsid w:val="00162776"/>
    <w:rsid w:val="001629BE"/>
    <w:rsid w:val="00162D64"/>
    <w:rsid w:val="00162D8D"/>
    <w:rsid w:val="00162DF7"/>
    <w:rsid w:val="00162F4F"/>
    <w:rsid w:val="00163116"/>
    <w:rsid w:val="0016322C"/>
    <w:rsid w:val="001634B0"/>
    <w:rsid w:val="0016379D"/>
    <w:rsid w:val="00163B4C"/>
    <w:rsid w:val="001640E4"/>
    <w:rsid w:val="0016418B"/>
    <w:rsid w:val="0016426F"/>
    <w:rsid w:val="00164363"/>
    <w:rsid w:val="001643FC"/>
    <w:rsid w:val="00164439"/>
    <w:rsid w:val="0016469F"/>
    <w:rsid w:val="00164708"/>
    <w:rsid w:val="001652E4"/>
    <w:rsid w:val="00165548"/>
    <w:rsid w:val="0016562B"/>
    <w:rsid w:val="00165679"/>
    <w:rsid w:val="0016599A"/>
    <w:rsid w:val="00165B11"/>
    <w:rsid w:val="00165B5D"/>
    <w:rsid w:val="00165C34"/>
    <w:rsid w:val="00165FB9"/>
    <w:rsid w:val="001660A8"/>
    <w:rsid w:val="001663FC"/>
    <w:rsid w:val="001666EE"/>
    <w:rsid w:val="001668EC"/>
    <w:rsid w:val="00166933"/>
    <w:rsid w:val="00166B02"/>
    <w:rsid w:val="00166C86"/>
    <w:rsid w:val="00167150"/>
    <w:rsid w:val="00167985"/>
    <w:rsid w:val="00167B33"/>
    <w:rsid w:val="00167C20"/>
    <w:rsid w:val="00167FF0"/>
    <w:rsid w:val="001700DE"/>
    <w:rsid w:val="001700F3"/>
    <w:rsid w:val="00170157"/>
    <w:rsid w:val="00170751"/>
    <w:rsid w:val="00170CAE"/>
    <w:rsid w:val="00170D68"/>
    <w:rsid w:val="00170E5C"/>
    <w:rsid w:val="00170EA0"/>
    <w:rsid w:val="00170EDD"/>
    <w:rsid w:val="00170FBA"/>
    <w:rsid w:val="001714E8"/>
    <w:rsid w:val="0017174E"/>
    <w:rsid w:val="00171B55"/>
    <w:rsid w:val="00171C6B"/>
    <w:rsid w:val="00171EBC"/>
    <w:rsid w:val="0017232E"/>
    <w:rsid w:val="001724A8"/>
    <w:rsid w:val="0017290B"/>
    <w:rsid w:val="00172B59"/>
    <w:rsid w:val="00172D3B"/>
    <w:rsid w:val="00172F38"/>
    <w:rsid w:val="0017320F"/>
    <w:rsid w:val="00173686"/>
    <w:rsid w:val="0017381A"/>
    <w:rsid w:val="00173875"/>
    <w:rsid w:val="00173AFF"/>
    <w:rsid w:val="00173B71"/>
    <w:rsid w:val="001740AD"/>
    <w:rsid w:val="0017426E"/>
    <w:rsid w:val="00174B46"/>
    <w:rsid w:val="00175037"/>
    <w:rsid w:val="00175473"/>
    <w:rsid w:val="00175482"/>
    <w:rsid w:val="00175562"/>
    <w:rsid w:val="0017567B"/>
    <w:rsid w:val="0017574B"/>
    <w:rsid w:val="00175E54"/>
    <w:rsid w:val="00175F4F"/>
    <w:rsid w:val="0017603F"/>
    <w:rsid w:val="001761D8"/>
    <w:rsid w:val="00176495"/>
    <w:rsid w:val="001764EF"/>
    <w:rsid w:val="0017657E"/>
    <w:rsid w:val="001765AF"/>
    <w:rsid w:val="001765B4"/>
    <w:rsid w:val="0017722E"/>
    <w:rsid w:val="001773FB"/>
    <w:rsid w:val="001775C9"/>
    <w:rsid w:val="00177D5A"/>
    <w:rsid w:val="00177DAE"/>
    <w:rsid w:val="0017B616"/>
    <w:rsid w:val="0018017A"/>
    <w:rsid w:val="00180579"/>
    <w:rsid w:val="001806F9"/>
    <w:rsid w:val="001808E8"/>
    <w:rsid w:val="00180917"/>
    <w:rsid w:val="00180A55"/>
    <w:rsid w:val="00181386"/>
    <w:rsid w:val="001813DE"/>
    <w:rsid w:val="00181A24"/>
    <w:rsid w:val="00181A4A"/>
    <w:rsid w:val="00181BB6"/>
    <w:rsid w:val="00181BE5"/>
    <w:rsid w:val="00181EDD"/>
    <w:rsid w:val="00182128"/>
    <w:rsid w:val="001821E2"/>
    <w:rsid w:val="0018221A"/>
    <w:rsid w:val="0018229C"/>
    <w:rsid w:val="001822DE"/>
    <w:rsid w:val="00182436"/>
    <w:rsid w:val="00182622"/>
    <w:rsid w:val="001828C3"/>
    <w:rsid w:val="00182BE2"/>
    <w:rsid w:val="00183038"/>
    <w:rsid w:val="00183066"/>
    <w:rsid w:val="001830CD"/>
    <w:rsid w:val="00183145"/>
    <w:rsid w:val="00183303"/>
    <w:rsid w:val="00183384"/>
    <w:rsid w:val="0018357A"/>
    <w:rsid w:val="00183625"/>
    <w:rsid w:val="00183993"/>
    <w:rsid w:val="00183A99"/>
    <w:rsid w:val="00183E5A"/>
    <w:rsid w:val="00183F93"/>
    <w:rsid w:val="001843A7"/>
    <w:rsid w:val="001849F1"/>
    <w:rsid w:val="00184B0E"/>
    <w:rsid w:val="00184C13"/>
    <w:rsid w:val="00184D3F"/>
    <w:rsid w:val="00184D55"/>
    <w:rsid w:val="001852C0"/>
    <w:rsid w:val="00185A22"/>
    <w:rsid w:val="00186047"/>
    <w:rsid w:val="00186227"/>
    <w:rsid w:val="001862C4"/>
    <w:rsid w:val="0018661A"/>
    <w:rsid w:val="0018685C"/>
    <w:rsid w:val="00186922"/>
    <w:rsid w:val="00186932"/>
    <w:rsid w:val="00186B67"/>
    <w:rsid w:val="00186DB4"/>
    <w:rsid w:val="00186EB2"/>
    <w:rsid w:val="00186ECD"/>
    <w:rsid w:val="001871B9"/>
    <w:rsid w:val="001872CC"/>
    <w:rsid w:val="001873AB"/>
    <w:rsid w:val="00187439"/>
    <w:rsid w:val="0018782C"/>
    <w:rsid w:val="00187D4B"/>
    <w:rsid w:val="00187D7C"/>
    <w:rsid w:val="00187DD4"/>
    <w:rsid w:val="00187E86"/>
    <w:rsid w:val="00187F8D"/>
    <w:rsid w:val="00190086"/>
    <w:rsid w:val="001904EA"/>
    <w:rsid w:val="0019096D"/>
    <w:rsid w:val="001909AB"/>
    <w:rsid w:val="00190A49"/>
    <w:rsid w:val="00190AB2"/>
    <w:rsid w:val="00190C93"/>
    <w:rsid w:val="00190C9B"/>
    <w:rsid w:val="00190D13"/>
    <w:rsid w:val="00190D31"/>
    <w:rsid w:val="00190FC4"/>
    <w:rsid w:val="001910E4"/>
    <w:rsid w:val="0019125C"/>
    <w:rsid w:val="001914BD"/>
    <w:rsid w:val="00191680"/>
    <w:rsid w:val="0019185A"/>
    <w:rsid w:val="00191A6E"/>
    <w:rsid w:val="00191C59"/>
    <w:rsid w:val="00191C72"/>
    <w:rsid w:val="00191CF1"/>
    <w:rsid w:val="00191E3C"/>
    <w:rsid w:val="00191F07"/>
    <w:rsid w:val="00191F0E"/>
    <w:rsid w:val="00191F74"/>
    <w:rsid w:val="00191F77"/>
    <w:rsid w:val="00191FD7"/>
    <w:rsid w:val="001920BA"/>
    <w:rsid w:val="00192339"/>
    <w:rsid w:val="00192442"/>
    <w:rsid w:val="001924AE"/>
    <w:rsid w:val="00192658"/>
    <w:rsid w:val="00192C8F"/>
    <w:rsid w:val="00192CEC"/>
    <w:rsid w:val="00193261"/>
    <w:rsid w:val="0019333E"/>
    <w:rsid w:val="00193348"/>
    <w:rsid w:val="001936C5"/>
    <w:rsid w:val="001936DA"/>
    <w:rsid w:val="00193743"/>
    <w:rsid w:val="001939EB"/>
    <w:rsid w:val="00193B1C"/>
    <w:rsid w:val="00193BEC"/>
    <w:rsid w:val="00193D2C"/>
    <w:rsid w:val="001940B6"/>
    <w:rsid w:val="00194107"/>
    <w:rsid w:val="001942AE"/>
    <w:rsid w:val="001942CA"/>
    <w:rsid w:val="00194409"/>
    <w:rsid w:val="00194591"/>
    <w:rsid w:val="001947E7"/>
    <w:rsid w:val="00194911"/>
    <w:rsid w:val="00194B10"/>
    <w:rsid w:val="00194BA1"/>
    <w:rsid w:val="00194C0E"/>
    <w:rsid w:val="00194E10"/>
    <w:rsid w:val="00195115"/>
    <w:rsid w:val="00195255"/>
    <w:rsid w:val="001952AF"/>
    <w:rsid w:val="00195431"/>
    <w:rsid w:val="00195444"/>
    <w:rsid w:val="00195911"/>
    <w:rsid w:val="00195A8D"/>
    <w:rsid w:val="00195C8E"/>
    <w:rsid w:val="00195D7C"/>
    <w:rsid w:val="00196066"/>
    <w:rsid w:val="00196257"/>
    <w:rsid w:val="00196294"/>
    <w:rsid w:val="0019651C"/>
    <w:rsid w:val="00196544"/>
    <w:rsid w:val="001965CC"/>
    <w:rsid w:val="001966EA"/>
    <w:rsid w:val="0019695D"/>
    <w:rsid w:val="00196A70"/>
    <w:rsid w:val="00196AA2"/>
    <w:rsid w:val="00196AB5"/>
    <w:rsid w:val="00196D16"/>
    <w:rsid w:val="00196E44"/>
    <w:rsid w:val="0019710E"/>
    <w:rsid w:val="0019767A"/>
    <w:rsid w:val="00197924"/>
    <w:rsid w:val="0019795F"/>
    <w:rsid w:val="001979AB"/>
    <w:rsid w:val="00197A46"/>
    <w:rsid w:val="00197D22"/>
    <w:rsid w:val="00197D81"/>
    <w:rsid w:val="00197FD8"/>
    <w:rsid w:val="001A00C5"/>
    <w:rsid w:val="001A01FE"/>
    <w:rsid w:val="001A0AB1"/>
    <w:rsid w:val="001A0D1D"/>
    <w:rsid w:val="001A0DA4"/>
    <w:rsid w:val="001A10A9"/>
    <w:rsid w:val="001A1198"/>
    <w:rsid w:val="001A1903"/>
    <w:rsid w:val="001A1940"/>
    <w:rsid w:val="001A19CC"/>
    <w:rsid w:val="001A1D00"/>
    <w:rsid w:val="001A1D4F"/>
    <w:rsid w:val="001A2107"/>
    <w:rsid w:val="001A237D"/>
    <w:rsid w:val="001A2411"/>
    <w:rsid w:val="001A25A7"/>
    <w:rsid w:val="001A25E2"/>
    <w:rsid w:val="001A26E1"/>
    <w:rsid w:val="001A294B"/>
    <w:rsid w:val="001A2D91"/>
    <w:rsid w:val="001A2E41"/>
    <w:rsid w:val="001A2FAB"/>
    <w:rsid w:val="001A2FCC"/>
    <w:rsid w:val="001A33EC"/>
    <w:rsid w:val="001A36E9"/>
    <w:rsid w:val="001A3A8E"/>
    <w:rsid w:val="001A3CDA"/>
    <w:rsid w:val="001A3D33"/>
    <w:rsid w:val="001A3D7A"/>
    <w:rsid w:val="001A3FC5"/>
    <w:rsid w:val="001A404A"/>
    <w:rsid w:val="001A411A"/>
    <w:rsid w:val="001A4296"/>
    <w:rsid w:val="001A4998"/>
    <w:rsid w:val="001A49C7"/>
    <w:rsid w:val="001A4D96"/>
    <w:rsid w:val="001A4F5D"/>
    <w:rsid w:val="001A51C3"/>
    <w:rsid w:val="001A52F2"/>
    <w:rsid w:val="001A5523"/>
    <w:rsid w:val="001A5565"/>
    <w:rsid w:val="001A558F"/>
    <w:rsid w:val="001A583A"/>
    <w:rsid w:val="001A5F6E"/>
    <w:rsid w:val="001A602E"/>
    <w:rsid w:val="001A61BA"/>
    <w:rsid w:val="001A61F0"/>
    <w:rsid w:val="001A67E0"/>
    <w:rsid w:val="001A68A0"/>
    <w:rsid w:val="001A6927"/>
    <w:rsid w:val="001A6B71"/>
    <w:rsid w:val="001A6C83"/>
    <w:rsid w:val="001A6CDD"/>
    <w:rsid w:val="001A76EF"/>
    <w:rsid w:val="001A782C"/>
    <w:rsid w:val="001A7CD8"/>
    <w:rsid w:val="001A7F76"/>
    <w:rsid w:val="001A7F95"/>
    <w:rsid w:val="001B0067"/>
    <w:rsid w:val="001B0172"/>
    <w:rsid w:val="001B01FC"/>
    <w:rsid w:val="001B0409"/>
    <w:rsid w:val="001B0481"/>
    <w:rsid w:val="001B05F1"/>
    <w:rsid w:val="001B06A7"/>
    <w:rsid w:val="001B06B7"/>
    <w:rsid w:val="001B08C5"/>
    <w:rsid w:val="001B0B40"/>
    <w:rsid w:val="001B0B90"/>
    <w:rsid w:val="001B0F73"/>
    <w:rsid w:val="001B0F95"/>
    <w:rsid w:val="001B1320"/>
    <w:rsid w:val="001B13F1"/>
    <w:rsid w:val="001B1688"/>
    <w:rsid w:val="001B1B45"/>
    <w:rsid w:val="001B1DA1"/>
    <w:rsid w:val="001B1EB7"/>
    <w:rsid w:val="001B1F19"/>
    <w:rsid w:val="001B204A"/>
    <w:rsid w:val="001B2102"/>
    <w:rsid w:val="001B216B"/>
    <w:rsid w:val="001B21F1"/>
    <w:rsid w:val="001B2228"/>
    <w:rsid w:val="001B253B"/>
    <w:rsid w:val="001B2A96"/>
    <w:rsid w:val="001B2C21"/>
    <w:rsid w:val="001B2C50"/>
    <w:rsid w:val="001B30C4"/>
    <w:rsid w:val="001B312D"/>
    <w:rsid w:val="001B332B"/>
    <w:rsid w:val="001B3818"/>
    <w:rsid w:val="001B3CE0"/>
    <w:rsid w:val="001B3EDB"/>
    <w:rsid w:val="001B3F2A"/>
    <w:rsid w:val="001B41C4"/>
    <w:rsid w:val="001B4239"/>
    <w:rsid w:val="001B4349"/>
    <w:rsid w:val="001B4378"/>
    <w:rsid w:val="001B43B9"/>
    <w:rsid w:val="001B4596"/>
    <w:rsid w:val="001B4767"/>
    <w:rsid w:val="001B4840"/>
    <w:rsid w:val="001B4874"/>
    <w:rsid w:val="001B4A16"/>
    <w:rsid w:val="001B4A85"/>
    <w:rsid w:val="001B4B6B"/>
    <w:rsid w:val="001B52E9"/>
    <w:rsid w:val="001B54C5"/>
    <w:rsid w:val="001B5CA7"/>
    <w:rsid w:val="001B5D26"/>
    <w:rsid w:val="001B5D71"/>
    <w:rsid w:val="001B5F33"/>
    <w:rsid w:val="001B695B"/>
    <w:rsid w:val="001B6A8C"/>
    <w:rsid w:val="001B6D54"/>
    <w:rsid w:val="001B7297"/>
    <w:rsid w:val="001B77D6"/>
    <w:rsid w:val="001B78E9"/>
    <w:rsid w:val="001B7FE1"/>
    <w:rsid w:val="001C0039"/>
    <w:rsid w:val="001C0274"/>
    <w:rsid w:val="001C031F"/>
    <w:rsid w:val="001C044F"/>
    <w:rsid w:val="001C0B3C"/>
    <w:rsid w:val="001C0C65"/>
    <w:rsid w:val="001C0F1A"/>
    <w:rsid w:val="001C1155"/>
    <w:rsid w:val="001C123B"/>
    <w:rsid w:val="001C18F9"/>
    <w:rsid w:val="001C19DB"/>
    <w:rsid w:val="001C1C42"/>
    <w:rsid w:val="001C1D30"/>
    <w:rsid w:val="001C1FD4"/>
    <w:rsid w:val="001C20B0"/>
    <w:rsid w:val="001C236A"/>
    <w:rsid w:val="001C24CA"/>
    <w:rsid w:val="001C27A9"/>
    <w:rsid w:val="001C27DE"/>
    <w:rsid w:val="001C2822"/>
    <w:rsid w:val="001C2999"/>
    <w:rsid w:val="001C2A4E"/>
    <w:rsid w:val="001C2BC4"/>
    <w:rsid w:val="001C2F39"/>
    <w:rsid w:val="001C2F4E"/>
    <w:rsid w:val="001C2F62"/>
    <w:rsid w:val="001C3418"/>
    <w:rsid w:val="001C34AB"/>
    <w:rsid w:val="001C3559"/>
    <w:rsid w:val="001C375F"/>
    <w:rsid w:val="001C3E44"/>
    <w:rsid w:val="001C3FD6"/>
    <w:rsid w:val="001C4161"/>
    <w:rsid w:val="001C434D"/>
    <w:rsid w:val="001C435B"/>
    <w:rsid w:val="001C43FC"/>
    <w:rsid w:val="001C440F"/>
    <w:rsid w:val="001C48A4"/>
    <w:rsid w:val="001C49A7"/>
    <w:rsid w:val="001C4A12"/>
    <w:rsid w:val="001C4A3F"/>
    <w:rsid w:val="001C4D2A"/>
    <w:rsid w:val="001C4DB3"/>
    <w:rsid w:val="001C505E"/>
    <w:rsid w:val="001C5195"/>
    <w:rsid w:val="001C546D"/>
    <w:rsid w:val="001C5BDF"/>
    <w:rsid w:val="001C5C1E"/>
    <w:rsid w:val="001C5CDD"/>
    <w:rsid w:val="001C5D0F"/>
    <w:rsid w:val="001C5E25"/>
    <w:rsid w:val="001C5E37"/>
    <w:rsid w:val="001C6043"/>
    <w:rsid w:val="001C6187"/>
    <w:rsid w:val="001C62E9"/>
    <w:rsid w:val="001C6F61"/>
    <w:rsid w:val="001C7546"/>
    <w:rsid w:val="001C754A"/>
    <w:rsid w:val="001C77B3"/>
    <w:rsid w:val="001C77E4"/>
    <w:rsid w:val="001C7805"/>
    <w:rsid w:val="001C7838"/>
    <w:rsid w:val="001C7923"/>
    <w:rsid w:val="001C7BA5"/>
    <w:rsid w:val="001C7D74"/>
    <w:rsid w:val="001C7D7B"/>
    <w:rsid w:val="001D001F"/>
    <w:rsid w:val="001D02B4"/>
    <w:rsid w:val="001D04ED"/>
    <w:rsid w:val="001D05C4"/>
    <w:rsid w:val="001D0843"/>
    <w:rsid w:val="001D09A6"/>
    <w:rsid w:val="001D09E7"/>
    <w:rsid w:val="001D0D8E"/>
    <w:rsid w:val="001D0D92"/>
    <w:rsid w:val="001D1633"/>
    <w:rsid w:val="001D1706"/>
    <w:rsid w:val="001D1A02"/>
    <w:rsid w:val="001D1C1B"/>
    <w:rsid w:val="001D1CA1"/>
    <w:rsid w:val="001D1F9C"/>
    <w:rsid w:val="001D20CF"/>
    <w:rsid w:val="001D246E"/>
    <w:rsid w:val="001D2553"/>
    <w:rsid w:val="001D3288"/>
    <w:rsid w:val="001D3291"/>
    <w:rsid w:val="001D3596"/>
    <w:rsid w:val="001D3882"/>
    <w:rsid w:val="001D3AA6"/>
    <w:rsid w:val="001D3EF9"/>
    <w:rsid w:val="001D3F84"/>
    <w:rsid w:val="001D411E"/>
    <w:rsid w:val="001D426F"/>
    <w:rsid w:val="001D430C"/>
    <w:rsid w:val="001D44C0"/>
    <w:rsid w:val="001D4655"/>
    <w:rsid w:val="001D4A16"/>
    <w:rsid w:val="001D4A82"/>
    <w:rsid w:val="001D4C43"/>
    <w:rsid w:val="001D4E14"/>
    <w:rsid w:val="001D4E26"/>
    <w:rsid w:val="001D5026"/>
    <w:rsid w:val="001D51A9"/>
    <w:rsid w:val="001D55F3"/>
    <w:rsid w:val="001D58C7"/>
    <w:rsid w:val="001D5D65"/>
    <w:rsid w:val="001D5D8F"/>
    <w:rsid w:val="001D5E3E"/>
    <w:rsid w:val="001D5EE8"/>
    <w:rsid w:val="001D5FD6"/>
    <w:rsid w:val="001D6518"/>
    <w:rsid w:val="001D65FE"/>
    <w:rsid w:val="001D6A32"/>
    <w:rsid w:val="001D6A88"/>
    <w:rsid w:val="001D7277"/>
    <w:rsid w:val="001D743D"/>
    <w:rsid w:val="001D7554"/>
    <w:rsid w:val="001D7962"/>
    <w:rsid w:val="001D7A69"/>
    <w:rsid w:val="001D7BFA"/>
    <w:rsid w:val="001D7EEA"/>
    <w:rsid w:val="001D7F1A"/>
    <w:rsid w:val="001D7FF5"/>
    <w:rsid w:val="001E00C2"/>
    <w:rsid w:val="001E0304"/>
    <w:rsid w:val="001E047E"/>
    <w:rsid w:val="001E0621"/>
    <w:rsid w:val="001E07C7"/>
    <w:rsid w:val="001E0803"/>
    <w:rsid w:val="001E08AA"/>
    <w:rsid w:val="001E09A7"/>
    <w:rsid w:val="001E0D93"/>
    <w:rsid w:val="001E10C4"/>
    <w:rsid w:val="001E1297"/>
    <w:rsid w:val="001E133C"/>
    <w:rsid w:val="001E156B"/>
    <w:rsid w:val="001E15A4"/>
    <w:rsid w:val="001E16FB"/>
    <w:rsid w:val="001E1A39"/>
    <w:rsid w:val="001E1A91"/>
    <w:rsid w:val="001E1F63"/>
    <w:rsid w:val="001E1F9D"/>
    <w:rsid w:val="001E245F"/>
    <w:rsid w:val="001E27F4"/>
    <w:rsid w:val="001E2A20"/>
    <w:rsid w:val="001E2E44"/>
    <w:rsid w:val="001E2FA8"/>
    <w:rsid w:val="001E3129"/>
    <w:rsid w:val="001E33D8"/>
    <w:rsid w:val="001E3444"/>
    <w:rsid w:val="001E36B8"/>
    <w:rsid w:val="001E377C"/>
    <w:rsid w:val="001E38DA"/>
    <w:rsid w:val="001E3985"/>
    <w:rsid w:val="001E3D5A"/>
    <w:rsid w:val="001E426C"/>
    <w:rsid w:val="001E42F6"/>
    <w:rsid w:val="001E438D"/>
    <w:rsid w:val="001E489B"/>
    <w:rsid w:val="001E4928"/>
    <w:rsid w:val="001E4A80"/>
    <w:rsid w:val="001E4BC0"/>
    <w:rsid w:val="001E4CE8"/>
    <w:rsid w:val="001E50F7"/>
    <w:rsid w:val="001E510E"/>
    <w:rsid w:val="001E5550"/>
    <w:rsid w:val="001E5958"/>
    <w:rsid w:val="001E5A45"/>
    <w:rsid w:val="001E5D7A"/>
    <w:rsid w:val="001E6100"/>
    <w:rsid w:val="001E6289"/>
    <w:rsid w:val="001E65FB"/>
    <w:rsid w:val="001E6AC6"/>
    <w:rsid w:val="001E6B7C"/>
    <w:rsid w:val="001E6EF7"/>
    <w:rsid w:val="001E6F19"/>
    <w:rsid w:val="001E773A"/>
    <w:rsid w:val="001E7826"/>
    <w:rsid w:val="001E78FB"/>
    <w:rsid w:val="001E792F"/>
    <w:rsid w:val="001E7A82"/>
    <w:rsid w:val="001E7B23"/>
    <w:rsid w:val="001E7C2A"/>
    <w:rsid w:val="001E7CB9"/>
    <w:rsid w:val="001E7D25"/>
    <w:rsid w:val="001E7E47"/>
    <w:rsid w:val="001E7E49"/>
    <w:rsid w:val="001F0014"/>
    <w:rsid w:val="001F01CE"/>
    <w:rsid w:val="001F01FD"/>
    <w:rsid w:val="001F0202"/>
    <w:rsid w:val="001F027F"/>
    <w:rsid w:val="001F02C8"/>
    <w:rsid w:val="001F0328"/>
    <w:rsid w:val="001F0667"/>
    <w:rsid w:val="001F0AA9"/>
    <w:rsid w:val="001F0CD7"/>
    <w:rsid w:val="001F11DC"/>
    <w:rsid w:val="001F143F"/>
    <w:rsid w:val="001F1440"/>
    <w:rsid w:val="001F170F"/>
    <w:rsid w:val="001F1911"/>
    <w:rsid w:val="001F1A6B"/>
    <w:rsid w:val="001F1CA4"/>
    <w:rsid w:val="001F1F8C"/>
    <w:rsid w:val="001F20DD"/>
    <w:rsid w:val="001F2313"/>
    <w:rsid w:val="001F2438"/>
    <w:rsid w:val="001F273F"/>
    <w:rsid w:val="001F27BB"/>
    <w:rsid w:val="001F28B6"/>
    <w:rsid w:val="001F298A"/>
    <w:rsid w:val="001F2A0B"/>
    <w:rsid w:val="001F2E23"/>
    <w:rsid w:val="001F2E29"/>
    <w:rsid w:val="001F2FB0"/>
    <w:rsid w:val="001F2FFB"/>
    <w:rsid w:val="001F30C8"/>
    <w:rsid w:val="001F3553"/>
    <w:rsid w:val="001F361C"/>
    <w:rsid w:val="001F38EA"/>
    <w:rsid w:val="001F3D5D"/>
    <w:rsid w:val="001F3EAA"/>
    <w:rsid w:val="001F42B1"/>
    <w:rsid w:val="001F42DA"/>
    <w:rsid w:val="001F437A"/>
    <w:rsid w:val="001F4405"/>
    <w:rsid w:val="001F4513"/>
    <w:rsid w:val="001F456F"/>
    <w:rsid w:val="001F45E3"/>
    <w:rsid w:val="001F4968"/>
    <w:rsid w:val="001F496C"/>
    <w:rsid w:val="001F49C4"/>
    <w:rsid w:val="001F53CC"/>
    <w:rsid w:val="001F555C"/>
    <w:rsid w:val="001F5752"/>
    <w:rsid w:val="001F5B53"/>
    <w:rsid w:val="001F5B80"/>
    <w:rsid w:val="001F5E4E"/>
    <w:rsid w:val="001F6067"/>
    <w:rsid w:val="001F62BA"/>
    <w:rsid w:val="001F6534"/>
    <w:rsid w:val="001F6570"/>
    <w:rsid w:val="001F65D4"/>
    <w:rsid w:val="001F665C"/>
    <w:rsid w:val="001F678D"/>
    <w:rsid w:val="001F6971"/>
    <w:rsid w:val="001F6C65"/>
    <w:rsid w:val="001F70FB"/>
    <w:rsid w:val="001F7607"/>
    <w:rsid w:val="001F7974"/>
    <w:rsid w:val="001F79A7"/>
    <w:rsid w:val="001F7C42"/>
    <w:rsid w:val="001F7E73"/>
    <w:rsid w:val="001F7FC1"/>
    <w:rsid w:val="00200001"/>
    <w:rsid w:val="002000E4"/>
    <w:rsid w:val="0020025D"/>
    <w:rsid w:val="002003A3"/>
    <w:rsid w:val="00200597"/>
    <w:rsid w:val="0020067F"/>
    <w:rsid w:val="002008BC"/>
    <w:rsid w:val="00200A86"/>
    <w:rsid w:val="00200B53"/>
    <w:rsid w:val="00200B6F"/>
    <w:rsid w:val="00200C97"/>
    <w:rsid w:val="00201127"/>
    <w:rsid w:val="0020124A"/>
    <w:rsid w:val="002015C8"/>
    <w:rsid w:val="00201876"/>
    <w:rsid w:val="002019CF"/>
    <w:rsid w:val="00201A87"/>
    <w:rsid w:val="00201B43"/>
    <w:rsid w:val="00201E30"/>
    <w:rsid w:val="00202503"/>
    <w:rsid w:val="00202611"/>
    <w:rsid w:val="0020264E"/>
    <w:rsid w:val="002027F7"/>
    <w:rsid w:val="00202949"/>
    <w:rsid w:val="00202C38"/>
    <w:rsid w:val="00202E5C"/>
    <w:rsid w:val="0020311F"/>
    <w:rsid w:val="00203379"/>
    <w:rsid w:val="00203AB4"/>
    <w:rsid w:val="00203C08"/>
    <w:rsid w:val="00203E4A"/>
    <w:rsid w:val="00203FDC"/>
    <w:rsid w:val="00204136"/>
    <w:rsid w:val="00204217"/>
    <w:rsid w:val="002046A8"/>
    <w:rsid w:val="002048E9"/>
    <w:rsid w:val="00204B53"/>
    <w:rsid w:val="00204D5F"/>
    <w:rsid w:val="00204F0E"/>
    <w:rsid w:val="00204FE6"/>
    <w:rsid w:val="00205388"/>
    <w:rsid w:val="002054A6"/>
    <w:rsid w:val="002057D3"/>
    <w:rsid w:val="00205E4E"/>
    <w:rsid w:val="00205F80"/>
    <w:rsid w:val="0020615F"/>
    <w:rsid w:val="00206386"/>
    <w:rsid w:val="002063EA"/>
    <w:rsid w:val="002066B0"/>
    <w:rsid w:val="00206745"/>
    <w:rsid w:val="00206948"/>
    <w:rsid w:val="00206B63"/>
    <w:rsid w:val="00206CBB"/>
    <w:rsid w:val="00206D58"/>
    <w:rsid w:val="00206DBD"/>
    <w:rsid w:val="00206EE9"/>
    <w:rsid w:val="00206EEF"/>
    <w:rsid w:val="00206F0B"/>
    <w:rsid w:val="00206F86"/>
    <w:rsid w:val="00206FC7"/>
    <w:rsid w:val="00207032"/>
    <w:rsid w:val="00207186"/>
    <w:rsid w:val="0020725D"/>
    <w:rsid w:val="002076A1"/>
    <w:rsid w:val="002077F6"/>
    <w:rsid w:val="002078CD"/>
    <w:rsid w:val="00207C33"/>
    <w:rsid w:val="00207D5C"/>
    <w:rsid w:val="00207E3A"/>
    <w:rsid w:val="002100CC"/>
    <w:rsid w:val="0021080C"/>
    <w:rsid w:val="00210A88"/>
    <w:rsid w:val="00210AAA"/>
    <w:rsid w:val="002112AF"/>
    <w:rsid w:val="0021148E"/>
    <w:rsid w:val="0021161B"/>
    <w:rsid w:val="002118C0"/>
    <w:rsid w:val="002119E2"/>
    <w:rsid w:val="00211A0E"/>
    <w:rsid w:val="00211B18"/>
    <w:rsid w:val="00211F52"/>
    <w:rsid w:val="00212151"/>
    <w:rsid w:val="00212266"/>
    <w:rsid w:val="00212379"/>
    <w:rsid w:val="00212537"/>
    <w:rsid w:val="00212712"/>
    <w:rsid w:val="00212899"/>
    <w:rsid w:val="00212DBB"/>
    <w:rsid w:val="00212F21"/>
    <w:rsid w:val="0021310D"/>
    <w:rsid w:val="00213132"/>
    <w:rsid w:val="00213605"/>
    <w:rsid w:val="002136A8"/>
    <w:rsid w:val="00213726"/>
    <w:rsid w:val="00213BFD"/>
    <w:rsid w:val="00213DE4"/>
    <w:rsid w:val="00213DF4"/>
    <w:rsid w:val="00213FD9"/>
    <w:rsid w:val="00214027"/>
    <w:rsid w:val="002140C1"/>
    <w:rsid w:val="002140C2"/>
    <w:rsid w:val="00214252"/>
    <w:rsid w:val="002142F2"/>
    <w:rsid w:val="002145E1"/>
    <w:rsid w:val="00214813"/>
    <w:rsid w:val="00214A41"/>
    <w:rsid w:val="00214DCC"/>
    <w:rsid w:val="00214FE1"/>
    <w:rsid w:val="002150B0"/>
    <w:rsid w:val="00215C9E"/>
    <w:rsid w:val="00215D44"/>
    <w:rsid w:val="00215E7D"/>
    <w:rsid w:val="00215F84"/>
    <w:rsid w:val="00215F8A"/>
    <w:rsid w:val="00215FD3"/>
    <w:rsid w:val="002163AA"/>
    <w:rsid w:val="002166B9"/>
    <w:rsid w:val="0021691F"/>
    <w:rsid w:val="00216B86"/>
    <w:rsid w:val="00216C44"/>
    <w:rsid w:val="00216D56"/>
    <w:rsid w:val="00216F08"/>
    <w:rsid w:val="0021705B"/>
    <w:rsid w:val="0021754B"/>
    <w:rsid w:val="0021766A"/>
    <w:rsid w:val="00217B9E"/>
    <w:rsid w:val="00217CBE"/>
    <w:rsid w:val="00217F4F"/>
    <w:rsid w:val="00217FC2"/>
    <w:rsid w:val="00220545"/>
    <w:rsid w:val="00220B44"/>
    <w:rsid w:val="00220C86"/>
    <w:rsid w:val="00220CF8"/>
    <w:rsid w:val="00220EF6"/>
    <w:rsid w:val="0022110C"/>
    <w:rsid w:val="002214D8"/>
    <w:rsid w:val="0022152D"/>
    <w:rsid w:val="0022165D"/>
    <w:rsid w:val="0022186F"/>
    <w:rsid w:val="00221A63"/>
    <w:rsid w:val="0022209C"/>
    <w:rsid w:val="00222452"/>
    <w:rsid w:val="002224C8"/>
    <w:rsid w:val="00222772"/>
    <w:rsid w:val="002228E0"/>
    <w:rsid w:val="00222DA6"/>
    <w:rsid w:val="00222EAF"/>
    <w:rsid w:val="00222FC4"/>
    <w:rsid w:val="00223193"/>
    <w:rsid w:val="0022380B"/>
    <w:rsid w:val="00223B40"/>
    <w:rsid w:val="00223BF3"/>
    <w:rsid w:val="00223C0B"/>
    <w:rsid w:val="00223E19"/>
    <w:rsid w:val="0022423A"/>
    <w:rsid w:val="00224AD9"/>
    <w:rsid w:val="00224BC4"/>
    <w:rsid w:val="00224CF3"/>
    <w:rsid w:val="00224E21"/>
    <w:rsid w:val="00224EC7"/>
    <w:rsid w:val="00225290"/>
    <w:rsid w:val="0022540E"/>
    <w:rsid w:val="00225607"/>
    <w:rsid w:val="002256E0"/>
    <w:rsid w:val="0022574E"/>
    <w:rsid w:val="00225931"/>
    <w:rsid w:val="00225E64"/>
    <w:rsid w:val="00225F55"/>
    <w:rsid w:val="002263AC"/>
    <w:rsid w:val="002263C9"/>
    <w:rsid w:val="0022656D"/>
    <w:rsid w:val="0022664D"/>
    <w:rsid w:val="00226893"/>
    <w:rsid w:val="0022697C"/>
    <w:rsid w:val="00226BAF"/>
    <w:rsid w:val="00226E5C"/>
    <w:rsid w:val="00227305"/>
    <w:rsid w:val="0022747E"/>
    <w:rsid w:val="00227602"/>
    <w:rsid w:val="00227AAD"/>
    <w:rsid w:val="00227D11"/>
    <w:rsid w:val="00227E68"/>
    <w:rsid w:val="00227EE0"/>
    <w:rsid w:val="0023035D"/>
    <w:rsid w:val="0023043F"/>
    <w:rsid w:val="00230853"/>
    <w:rsid w:val="0023092D"/>
    <w:rsid w:val="00230947"/>
    <w:rsid w:val="00230BB8"/>
    <w:rsid w:val="00230C7D"/>
    <w:rsid w:val="00231087"/>
    <w:rsid w:val="00231109"/>
    <w:rsid w:val="002311DB"/>
    <w:rsid w:val="0023165F"/>
    <w:rsid w:val="00231725"/>
    <w:rsid w:val="00231B5B"/>
    <w:rsid w:val="00231DEE"/>
    <w:rsid w:val="0023207B"/>
    <w:rsid w:val="00232136"/>
    <w:rsid w:val="0023215A"/>
    <w:rsid w:val="00232521"/>
    <w:rsid w:val="00232700"/>
    <w:rsid w:val="00232FAE"/>
    <w:rsid w:val="00233052"/>
    <w:rsid w:val="002332BE"/>
    <w:rsid w:val="0023362D"/>
    <w:rsid w:val="00233B0F"/>
    <w:rsid w:val="00233F25"/>
    <w:rsid w:val="00233F64"/>
    <w:rsid w:val="0023409E"/>
    <w:rsid w:val="002345D2"/>
    <w:rsid w:val="00234BCB"/>
    <w:rsid w:val="00234C7D"/>
    <w:rsid w:val="00234D4D"/>
    <w:rsid w:val="00234D90"/>
    <w:rsid w:val="00235088"/>
    <w:rsid w:val="0023512E"/>
    <w:rsid w:val="002359DC"/>
    <w:rsid w:val="00235A00"/>
    <w:rsid w:val="00235C12"/>
    <w:rsid w:val="00235DD8"/>
    <w:rsid w:val="0023613A"/>
    <w:rsid w:val="00236222"/>
    <w:rsid w:val="00236595"/>
    <w:rsid w:val="0023682B"/>
    <w:rsid w:val="00236C8C"/>
    <w:rsid w:val="00236D35"/>
    <w:rsid w:val="00236E0E"/>
    <w:rsid w:val="0023727E"/>
    <w:rsid w:val="002372DE"/>
    <w:rsid w:val="00237C81"/>
    <w:rsid w:val="00237D9D"/>
    <w:rsid w:val="002402E2"/>
    <w:rsid w:val="0024030D"/>
    <w:rsid w:val="0024047D"/>
    <w:rsid w:val="002406DC"/>
    <w:rsid w:val="002407BA"/>
    <w:rsid w:val="0024081F"/>
    <w:rsid w:val="002408AF"/>
    <w:rsid w:val="00240907"/>
    <w:rsid w:val="00240925"/>
    <w:rsid w:val="002409CF"/>
    <w:rsid w:val="00240A93"/>
    <w:rsid w:val="00241111"/>
    <w:rsid w:val="00241230"/>
    <w:rsid w:val="002414B2"/>
    <w:rsid w:val="002418FD"/>
    <w:rsid w:val="002419B1"/>
    <w:rsid w:val="00241FF3"/>
    <w:rsid w:val="0024213B"/>
    <w:rsid w:val="00242263"/>
    <w:rsid w:val="0024235C"/>
    <w:rsid w:val="002423B9"/>
    <w:rsid w:val="00242447"/>
    <w:rsid w:val="0024255E"/>
    <w:rsid w:val="00242659"/>
    <w:rsid w:val="0024275B"/>
    <w:rsid w:val="002428B2"/>
    <w:rsid w:val="002429FB"/>
    <w:rsid w:val="00242CCB"/>
    <w:rsid w:val="00242D0C"/>
    <w:rsid w:val="00242DB2"/>
    <w:rsid w:val="00242DFF"/>
    <w:rsid w:val="00243090"/>
    <w:rsid w:val="00243438"/>
    <w:rsid w:val="00243540"/>
    <w:rsid w:val="00243822"/>
    <w:rsid w:val="00243D2A"/>
    <w:rsid w:val="00244844"/>
    <w:rsid w:val="00244A26"/>
    <w:rsid w:val="00244B5E"/>
    <w:rsid w:val="00244B88"/>
    <w:rsid w:val="00244EFC"/>
    <w:rsid w:val="00244F19"/>
    <w:rsid w:val="002450A4"/>
    <w:rsid w:val="00245146"/>
    <w:rsid w:val="00245272"/>
    <w:rsid w:val="00245598"/>
    <w:rsid w:val="002457CF"/>
    <w:rsid w:val="0024587A"/>
    <w:rsid w:val="00245B11"/>
    <w:rsid w:val="00245B4C"/>
    <w:rsid w:val="00245C9F"/>
    <w:rsid w:val="00245CBB"/>
    <w:rsid w:val="00245D79"/>
    <w:rsid w:val="00246107"/>
    <w:rsid w:val="002462C3"/>
    <w:rsid w:val="002462F9"/>
    <w:rsid w:val="0024631B"/>
    <w:rsid w:val="002467EF"/>
    <w:rsid w:val="002468CD"/>
    <w:rsid w:val="00246994"/>
    <w:rsid w:val="002469FD"/>
    <w:rsid w:val="00246B8D"/>
    <w:rsid w:val="00246B91"/>
    <w:rsid w:val="002471C9"/>
    <w:rsid w:val="00247297"/>
    <w:rsid w:val="0024731F"/>
    <w:rsid w:val="00247517"/>
    <w:rsid w:val="00247557"/>
    <w:rsid w:val="002478F6"/>
    <w:rsid w:val="00247B0D"/>
    <w:rsid w:val="00247C6A"/>
    <w:rsid w:val="00247D48"/>
    <w:rsid w:val="00247E20"/>
    <w:rsid w:val="00247FD8"/>
    <w:rsid w:val="0025000D"/>
    <w:rsid w:val="002501C3"/>
    <w:rsid w:val="002502C4"/>
    <w:rsid w:val="00250601"/>
    <w:rsid w:val="00250E14"/>
    <w:rsid w:val="00250E47"/>
    <w:rsid w:val="0025141A"/>
    <w:rsid w:val="002516AF"/>
    <w:rsid w:val="0025188C"/>
    <w:rsid w:val="002518C0"/>
    <w:rsid w:val="002519CD"/>
    <w:rsid w:val="00251A67"/>
    <w:rsid w:val="00251BBF"/>
    <w:rsid w:val="00251BC1"/>
    <w:rsid w:val="00251CF5"/>
    <w:rsid w:val="00251D19"/>
    <w:rsid w:val="00251EC7"/>
    <w:rsid w:val="00252353"/>
    <w:rsid w:val="002524D3"/>
    <w:rsid w:val="0025262D"/>
    <w:rsid w:val="002526E7"/>
    <w:rsid w:val="00252AEA"/>
    <w:rsid w:val="00252CB9"/>
    <w:rsid w:val="00252F15"/>
    <w:rsid w:val="002534EE"/>
    <w:rsid w:val="00253584"/>
    <w:rsid w:val="002535EB"/>
    <w:rsid w:val="002536F5"/>
    <w:rsid w:val="00253AD4"/>
    <w:rsid w:val="00253AFE"/>
    <w:rsid w:val="00253D70"/>
    <w:rsid w:val="00254155"/>
    <w:rsid w:val="00254160"/>
    <w:rsid w:val="002544C5"/>
    <w:rsid w:val="0025459C"/>
    <w:rsid w:val="002548DB"/>
    <w:rsid w:val="00254F82"/>
    <w:rsid w:val="00255031"/>
    <w:rsid w:val="002557B9"/>
    <w:rsid w:val="00255AE8"/>
    <w:rsid w:val="00255CD2"/>
    <w:rsid w:val="00256088"/>
    <w:rsid w:val="002560DB"/>
    <w:rsid w:val="002562F8"/>
    <w:rsid w:val="0025631A"/>
    <w:rsid w:val="0025631D"/>
    <w:rsid w:val="002563BD"/>
    <w:rsid w:val="00256778"/>
    <w:rsid w:val="002568FF"/>
    <w:rsid w:val="00256CDA"/>
    <w:rsid w:val="00256CE3"/>
    <w:rsid w:val="00256E3C"/>
    <w:rsid w:val="00256F64"/>
    <w:rsid w:val="0025718D"/>
    <w:rsid w:val="00257523"/>
    <w:rsid w:val="00257793"/>
    <w:rsid w:val="0025786C"/>
    <w:rsid w:val="00257894"/>
    <w:rsid w:val="002578C6"/>
    <w:rsid w:val="002578D5"/>
    <w:rsid w:val="00257DE8"/>
    <w:rsid w:val="0025E963"/>
    <w:rsid w:val="002601C0"/>
    <w:rsid w:val="00260205"/>
    <w:rsid w:val="002604D0"/>
    <w:rsid w:val="00260C51"/>
    <w:rsid w:val="002612B3"/>
    <w:rsid w:val="0026134C"/>
    <w:rsid w:val="00261428"/>
    <w:rsid w:val="002616E8"/>
    <w:rsid w:val="00261FCE"/>
    <w:rsid w:val="00262FC5"/>
    <w:rsid w:val="00263179"/>
    <w:rsid w:val="0026341C"/>
    <w:rsid w:val="0026366A"/>
    <w:rsid w:val="0026378B"/>
    <w:rsid w:val="00263AA7"/>
    <w:rsid w:val="002640F2"/>
    <w:rsid w:val="0026450E"/>
    <w:rsid w:val="002645B3"/>
    <w:rsid w:val="0026462E"/>
    <w:rsid w:val="00264801"/>
    <w:rsid w:val="002648F0"/>
    <w:rsid w:val="00264BEF"/>
    <w:rsid w:val="00264DD0"/>
    <w:rsid w:val="00264E61"/>
    <w:rsid w:val="002657BF"/>
    <w:rsid w:val="002658EB"/>
    <w:rsid w:val="00265B66"/>
    <w:rsid w:val="00265D06"/>
    <w:rsid w:val="00265DC6"/>
    <w:rsid w:val="00265F8B"/>
    <w:rsid w:val="00266045"/>
    <w:rsid w:val="00266303"/>
    <w:rsid w:val="00266607"/>
    <w:rsid w:val="002667D5"/>
    <w:rsid w:val="00266AE7"/>
    <w:rsid w:val="00266B3A"/>
    <w:rsid w:val="00266B8B"/>
    <w:rsid w:val="00266DE7"/>
    <w:rsid w:val="00266EBF"/>
    <w:rsid w:val="002674E3"/>
    <w:rsid w:val="00267822"/>
    <w:rsid w:val="002678C2"/>
    <w:rsid w:val="00267D76"/>
    <w:rsid w:val="00267DC2"/>
    <w:rsid w:val="0027038C"/>
    <w:rsid w:val="002704A4"/>
    <w:rsid w:val="002706CD"/>
    <w:rsid w:val="0027078E"/>
    <w:rsid w:val="00270A16"/>
    <w:rsid w:val="00271074"/>
    <w:rsid w:val="00271675"/>
    <w:rsid w:val="00271680"/>
    <w:rsid w:val="00271790"/>
    <w:rsid w:val="00271A2B"/>
    <w:rsid w:val="00271B04"/>
    <w:rsid w:val="00271B78"/>
    <w:rsid w:val="00271CEB"/>
    <w:rsid w:val="00271D37"/>
    <w:rsid w:val="00271D5A"/>
    <w:rsid w:val="00271F79"/>
    <w:rsid w:val="00272106"/>
    <w:rsid w:val="002721E5"/>
    <w:rsid w:val="002722A2"/>
    <w:rsid w:val="002724F3"/>
    <w:rsid w:val="00272D22"/>
    <w:rsid w:val="00272D52"/>
    <w:rsid w:val="00272D9A"/>
    <w:rsid w:val="00273139"/>
    <w:rsid w:val="002731CA"/>
    <w:rsid w:val="002732DA"/>
    <w:rsid w:val="002733D4"/>
    <w:rsid w:val="00273469"/>
    <w:rsid w:val="002737AD"/>
    <w:rsid w:val="00273A97"/>
    <w:rsid w:val="00273BFF"/>
    <w:rsid w:val="00273C48"/>
    <w:rsid w:val="0027461A"/>
    <w:rsid w:val="00274658"/>
    <w:rsid w:val="00274760"/>
    <w:rsid w:val="002747A8"/>
    <w:rsid w:val="0027488B"/>
    <w:rsid w:val="002748F4"/>
    <w:rsid w:val="0027495E"/>
    <w:rsid w:val="0027498A"/>
    <w:rsid w:val="00274A31"/>
    <w:rsid w:val="00274D7B"/>
    <w:rsid w:val="00275029"/>
    <w:rsid w:val="00275375"/>
    <w:rsid w:val="00275390"/>
    <w:rsid w:val="002753DB"/>
    <w:rsid w:val="00275604"/>
    <w:rsid w:val="00275645"/>
    <w:rsid w:val="002756A6"/>
    <w:rsid w:val="00275B3E"/>
    <w:rsid w:val="00276060"/>
    <w:rsid w:val="002762F9"/>
    <w:rsid w:val="002763A6"/>
    <w:rsid w:val="00276639"/>
    <w:rsid w:val="00276878"/>
    <w:rsid w:val="00276917"/>
    <w:rsid w:val="00276ABE"/>
    <w:rsid w:val="00276E98"/>
    <w:rsid w:val="0027712C"/>
    <w:rsid w:val="00277337"/>
    <w:rsid w:val="0027748C"/>
    <w:rsid w:val="002775BB"/>
    <w:rsid w:val="002775E7"/>
    <w:rsid w:val="002776DB"/>
    <w:rsid w:val="00277888"/>
    <w:rsid w:val="00277986"/>
    <w:rsid w:val="00277BEE"/>
    <w:rsid w:val="00277D90"/>
    <w:rsid w:val="00280596"/>
    <w:rsid w:val="00280773"/>
    <w:rsid w:val="002807BA"/>
    <w:rsid w:val="0028096F"/>
    <w:rsid w:val="00280A07"/>
    <w:rsid w:val="00280E63"/>
    <w:rsid w:val="0028137B"/>
    <w:rsid w:val="002813B7"/>
    <w:rsid w:val="0028170D"/>
    <w:rsid w:val="0028183E"/>
    <w:rsid w:val="00281A7A"/>
    <w:rsid w:val="00281B65"/>
    <w:rsid w:val="00281B86"/>
    <w:rsid w:val="00281E75"/>
    <w:rsid w:val="00282080"/>
    <w:rsid w:val="0028210A"/>
    <w:rsid w:val="0028213A"/>
    <w:rsid w:val="002821CD"/>
    <w:rsid w:val="002822C1"/>
    <w:rsid w:val="00282A8E"/>
    <w:rsid w:val="00282B6B"/>
    <w:rsid w:val="00282B7E"/>
    <w:rsid w:val="00282D4D"/>
    <w:rsid w:val="00282E23"/>
    <w:rsid w:val="00282E8E"/>
    <w:rsid w:val="00282EAB"/>
    <w:rsid w:val="00283052"/>
    <w:rsid w:val="00283071"/>
    <w:rsid w:val="00283155"/>
    <w:rsid w:val="0028324F"/>
    <w:rsid w:val="002832F1"/>
    <w:rsid w:val="00283641"/>
    <w:rsid w:val="00283748"/>
    <w:rsid w:val="002838B0"/>
    <w:rsid w:val="00283A43"/>
    <w:rsid w:val="00283D09"/>
    <w:rsid w:val="0028459A"/>
    <w:rsid w:val="002848AE"/>
    <w:rsid w:val="0028493D"/>
    <w:rsid w:val="00284981"/>
    <w:rsid w:val="00284F1E"/>
    <w:rsid w:val="0028525C"/>
    <w:rsid w:val="002856D5"/>
    <w:rsid w:val="00285714"/>
    <w:rsid w:val="0028577C"/>
    <w:rsid w:val="002859D2"/>
    <w:rsid w:val="00285ABC"/>
    <w:rsid w:val="0028616F"/>
    <w:rsid w:val="00286198"/>
    <w:rsid w:val="0028622C"/>
    <w:rsid w:val="00286499"/>
    <w:rsid w:val="0028660B"/>
    <w:rsid w:val="002866C0"/>
    <w:rsid w:val="00286A29"/>
    <w:rsid w:val="00286D78"/>
    <w:rsid w:val="00286EE2"/>
    <w:rsid w:val="0028751F"/>
    <w:rsid w:val="00287647"/>
    <w:rsid w:val="0028771D"/>
    <w:rsid w:val="00287B25"/>
    <w:rsid w:val="00287BA2"/>
    <w:rsid w:val="00287C69"/>
    <w:rsid w:val="00287CFD"/>
    <w:rsid w:val="00287D2C"/>
    <w:rsid w:val="00287D3D"/>
    <w:rsid w:val="0029014F"/>
    <w:rsid w:val="00290315"/>
    <w:rsid w:val="002903D9"/>
    <w:rsid w:val="00290761"/>
    <w:rsid w:val="00290B90"/>
    <w:rsid w:val="00290F5F"/>
    <w:rsid w:val="00291057"/>
    <w:rsid w:val="00291175"/>
    <w:rsid w:val="002911C3"/>
    <w:rsid w:val="00291881"/>
    <w:rsid w:val="00291B34"/>
    <w:rsid w:val="00291BE4"/>
    <w:rsid w:val="00291DDB"/>
    <w:rsid w:val="00291FC1"/>
    <w:rsid w:val="00292022"/>
    <w:rsid w:val="002921D6"/>
    <w:rsid w:val="00292219"/>
    <w:rsid w:val="00292762"/>
    <w:rsid w:val="0029297B"/>
    <w:rsid w:val="00292AA5"/>
    <w:rsid w:val="00292B53"/>
    <w:rsid w:val="00292DAC"/>
    <w:rsid w:val="00292DB1"/>
    <w:rsid w:val="00292FF4"/>
    <w:rsid w:val="002930C1"/>
    <w:rsid w:val="002933A6"/>
    <w:rsid w:val="002933FA"/>
    <w:rsid w:val="0029349C"/>
    <w:rsid w:val="0029382C"/>
    <w:rsid w:val="002938A3"/>
    <w:rsid w:val="002938B2"/>
    <w:rsid w:val="00293AA1"/>
    <w:rsid w:val="00293AF0"/>
    <w:rsid w:val="00293B7C"/>
    <w:rsid w:val="00293ED1"/>
    <w:rsid w:val="00294242"/>
    <w:rsid w:val="00294331"/>
    <w:rsid w:val="002943BA"/>
    <w:rsid w:val="002943F1"/>
    <w:rsid w:val="00294855"/>
    <w:rsid w:val="0029515E"/>
    <w:rsid w:val="002952BC"/>
    <w:rsid w:val="0029530F"/>
    <w:rsid w:val="00295A3D"/>
    <w:rsid w:val="00295C2D"/>
    <w:rsid w:val="00295C45"/>
    <w:rsid w:val="00295D2E"/>
    <w:rsid w:val="00295D59"/>
    <w:rsid w:val="00295E93"/>
    <w:rsid w:val="00295EB8"/>
    <w:rsid w:val="0029606A"/>
    <w:rsid w:val="002960C3"/>
    <w:rsid w:val="002961BC"/>
    <w:rsid w:val="0029666C"/>
    <w:rsid w:val="0029681C"/>
    <w:rsid w:val="00296896"/>
    <w:rsid w:val="002968D9"/>
    <w:rsid w:val="002968EF"/>
    <w:rsid w:val="00296BCE"/>
    <w:rsid w:val="00296D65"/>
    <w:rsid w:val="00297327"/>
    <w:rsid w:val="00297979"/>
    <w:rsid w:val="00297AA3"/>
    <w:rsid w:val="00297D1A"/>
    <w:rsid w:val="00297DCF"/>
    <w:rsid w:val="00297EA1"/>
    <w:rsid w:val="00298E89"/>
    <w:rsid w:val="002A0053"/>
    <w:rsid w:val="002A0083"/>
    <w:rsid w:val="002A01DD"/>
    <w:rsid w:val="002A0486"/>
    <w:rsid w:val="002A0863"/>
    <w:rsid w:val="002A0A15"/>
    <w:rsid w:val="002A0AEC"/>
    <w:rsid w:val="002A0C16"/>
    <w:rsid w:val="002A0DE3"/>
    <w:rsid w:val="002A0E9E"/>
    <w:rsid w:val="002A1021"/>
    <w:rsid w:val="002A11B2"/>
    <w:rsid w:val="002A1275"/>
    <w:rsid w:val="002A1333"/>
    <w:rsid w:val="002A1407"/>
    <w:rsid w:val="002A1802"/>
    <w:rsid w:val="002A19B0"/>
    <w:rsid w:val="002A1B25"/>
    <w:rsid w:val="002A1DE7"/>
    <w:rsid w:val="002A20C8"/>
    <w:rsid w:val="002A230E"/>
    <w:rsid w:val="002A2737"/>
    <w:rsid w:val="002A27F6"/>
    <w:rsid w:val="002A2862"/>
    <w:rsid w:val="002A29BA"/>
    <w:rsid w:val="002A2E42"/>
    <w:rsid w:val="002A2FCF"/>
    <w:rsid w:val="002A33FC"/>
    <w:rsid w:val="002A3556"/>
    <w:rsid w:val="002A35A8"/>
    <w:rsid w:val="002A3756"/>
    <w:rsid w:val="002A3773"/>
    <w:rsid w:val="002A38E9"/>
    <w:rsid w:val="002A3921"/>
    <w:rsid w:val="002A3D25"/>
    <w:rsid w:val="002A3DF2"/>
    <w:rsid w:val="002A3E2C"/>
    <w:rsid w:val="002A3E98"/>
    <w:rsid w:val="002A412D"/>
    <w:rsid w:val="002A4276"/>
    <w:rsid w:val="002A4649"/>
    <w:rsid w:val="002A4841"/>
    <w:rsid w:val="002A4A20"/>
    <w:rsid w:val="002A4AF9"/>
    <w:rsid w:val="002A4CD6"/>
    <w:rsid w:val="002A4D1D"/>
    <w:rsid w:val="002A4F9E"/>
    <w:rsid w:val="002A5207"/>
    <w:rsid w:val="002A5258"/>
    <w:rsid w:val="002A5410"/>
    <w:rsid w:val="002A5472"/>
    <w:rsid w:val="002A55FA"/>
    <w:rsid w:val="002A584D"/>
    <w:rsid w:val="002A59EA"/>
    <w:rsid w:val="002A5CCA"/>
    <w:rsid w:val="002A5FDD"/>
    <w:rsid w:val="002A610F"/>
    <w:rsid w:val="002A62B6"/>
    <w:rsid w:val="002A633E"/>
    <w:rsid w:val="002A641E"/>
    <w:rsid w:val="002A64E4"/>
    <w:rsid w:val="002A66BD"/>
    <w:rsid w:val="002A678B"/>
    <w:rsid w:val="002A69F8"/>
    <w:rsid w:val="002A6D6A"/>
    <w:rsid w:val="002A73FD"/>
    <w:rsid w:val="002A7459"/>
    <w:rsid w:val="002A7461"/>
    <w:rsid w:val="002A755B"/>
    <w:rsid w:val="002A7A19"/>
    <w:rsid w:val="002A7C8A"/>
    <w:rsid w:val="002AC3E6"/>
    <w:rsid w:val="002B011F"/>
    <w:rsid w:val="002B019D"/>
    <w:rsid w:val="002B0430"/>
    <w:rsid w:val="002B05A1"/>
    <w:rsid w:val="002B0740"/>
    <w:rsid w:val="002B0784"/>
    <w:rsid w:val="002B0A45"/>
    <w:rsid w:val="002B14A1"/>
    <w:rsid w:val="002B1570"/>
    <w:rsid w:val="002B179B"/>
    <w:rsid w:val="002B1D22"/>
    <w:rsid w:val="002B1EA1"/>
    <w:rsid w:val="002B2116"/>
    <w:rsid w:val="002B23C0"/>
    <w:rsid w:val="002B24AF"/>
    <w:rsid w:val="002B252A"/>
    <w:rsid w:val="002B2632"/>
    <w:rsid w:val="002B286D"/>
    <w:rsid w:val="002B2B1B"/>
    <w:rsid w:val="002B2D95"/>
    <w:rsid w:val="002B2F2C"/>
    <w:rsid w:val="002B3169"/>
    <w:rsid w:val="002B31F1"/>
    <w:rsid w:val="002B35B0"/>
    <w:rsid w:val="002B374E"/>
    <w:rsid w:val="002B3DC8"/>
    <w:rsid w:val="002B3F8C"/>
    <w:rsid w:val="002B4241"/>
    <w:rsid w:val="002B4437"/>
    <w:rsid w:val="002B4492"/>
    <w:rsid w:val="002B44D7"/>
    <w:rsid w:val="002B4599"/>
    <w:rsid w:val="002B4601"/>
    <w:rsid w:val="002B4639"/>
    <w:rsid w:val="002B4A1E"/>
    <w:rsid w:val="002B4D06"/>
    <w:rsid w:val="002B4F35"/>
    <w:rsid w:val="002B4F4E"/>
    <w:rsid w:val="002B4FA0"/>
    <w:rsid w:val="002B520D"/>
    <w:rsid w:val="002B5493"/>
    <w:rsid w:val="002B5749"/>
    <w:rsid w:val="002B5877"/>
    <w:rsid w:val="002B5918"/>
    <w:rsid w:val="002B59EA"/>
    <w:rsid w:val="002B5A45"/>
    <w:rsid w:val="002B5BE7"/>
    <w:rsid w:val="002B5D56"/>
    <w:rsid w:val="002B5DA3"/>
    <w:rsid w:val="002B5EF7"/>
    <w:rsid w:val="002B6204"/>
    <w:rsid w:val="002B6260"/>
    <w:rsid w:val="002B6533"/>
    <w:rsid w:val="002B685A"/>
    <w:rsid w:val="002B6C7E"/>
    <w:rsid w:val="002B6F3B"/>
    <w:rsid w:val="002B6F70"/>
    <w:rsid w:val="002B71DB"/>
    <w:rsid w:val="002B7212"/>
    <w:rsid w:val="002B7354"/>
    <w:rsid w:val="002B7461"/>
    <w:rsid w:val="002B754A"/>
    <w:rsid w:val="002B75EC"/>
    <w:rsid w:val="002B7688"/>
    <w:rsid w:val="002B76DD"/>
    <w:rsid w:val="002B79BE"/>
    <w:rsid w:val="002B7A01"/>
    <w:rsid w:val="002B7B08"/>
    <w:rsid w:val="002B7CBF"/>
    <w:rsid w:val="002B7D63"/>
    <w:rsid w:val="002B7F41"/>
    <w:rsid w:val="002B7F53"/>
    <w:rsid w:val="002BEF04"/>
    <w:rsid w:val="002C01F4"/>
    <w:rsid w:val="002C0448"/>
    <w:rsid w:val="002C0621"/>
    <w:rsid w:val="002C06C7"/>
    <w:rsid w:val="002C085F"/>
    <w:rsid w:val="002C0B73"/>
    <w:rsid w:val="002C0D04"/>
    <w:rsid w:val="002C0D6A"/>
    <w:rsid w:val="002C0DBC"/>
    <w:rsid w:val="002C0E1C"/>
    <w:rsid w:val="002C0FCE"/>
    <w:rsid w:val="002C100D"/>
    <w:rsid w:val="002C119D"/>
    <w:rsid w:val="002C11EF"/>
    <w:rsid w:val="002C1446"/>
    <w:rsid w:val="002C152B"/>
    <w:rsid w:val="002C1A92"/>
    <w:rsid w:val="002C1C07"/>
    <w:rsid w:val="002C1C83"/>
    <w:rsid w:val="002C20D1"/>
    <w:rsid w:val="002C2835"/>
    <w:rsid w:val="002C2B4F"/>
    <w:rsid w:val="002C2BED"/>
    <w:rsid w:val="002C2DDE"/>
    <w:rsid w:val="002C2F58"/>
    <w:rsid w:val="002C2F61"/>
    <w:rsid w:val="002C30FE"/>
    <w:rsid w:val="002C31FC"/>
    <w:rsid w:val="002C32D8"/>
    <w:rsid w:val="002C345B"/>
    <w:rsid w:val="002C35DC"/>
    <w:rsid w:val="002C381B"/>
    <w:rsid w:val="002C38A1"/>
    <w:rsid w:val="002C397E"/>
    <w:rsid w:val="002C3AAA"/>
    <w:rsid w:val="002C3BEB"/>
    <w:rsid w:val="002C3DDC"/>
    <w:rsid w:val="002C3FAB"/>
    <w:rsid w:val="002C42A2"/>
    <w:rsid w:val="002C4378"/>
    <w:rsid w:val="002C44CD"/>
    <w:rsid w:val="002C46C8"/>
    <w:rsid w:val="002C4888"/>
    <w:rsid w:val="002C492C"/>
    <w:rsid w:val="002C4E1A"/>
    <w:rsid w:val="002C4E95"/>
    <w:rsid w:val="002C514B"/>
    <w:rsid w:val="002C51C6"/>
    <w:rsid w:val="002C5220"/>
    <w:rsid w:val="002C55DD"/>
    <w:rsid w:val="002C5A21"/>
    <w:rsid w:val="002C5A80"/>
    <w:rsid w:val="002C5AC6"/>
    <w:rsid w:val="002C5B38"/>
    <w:rsid w:val="002C5D84"/>
    <w:rsid w:val="002C5F61"/>
    <w:rsid w:val="002C63BC"/>
    <w:rsid w:val="002C701D"/>
    <w:rsid w:val="002C736B"/>
    <w:rsid w:val="002C76C0"/>
    <w:rsid w:val="002C783C"/>
    <w:rsid w:val="002C7BE7"/>
    <w:rsid w:val="002C7E0B"/>
    <w:rsid w:val="002D0203"/>
    <w:rsid w:val="002D05B4"/>
    <w:rsid w:val="002D0CBE"/>
    <w:rsid w:val="002D0D3C"/>
    <w:rsid w:val="002D0EB9"/>
    <w:rsid w:val="002D106A"/>
    <w:rsid w:val="002D14AE"/>
    <w:rsid w:val="002D17EB"/>
    <w:rsid w:val="002D1867"/>
    <w:rsid w:val="002D18C8"/>
    <w:rsid w:val="002D1A2F"/>
    <w:rsid w:val="002D1E6B"/>
    <w:rsid w:val="002D244B"/>
    <w:rsid w:val="002D2673"/>
    <w:rsid w:val="002D272E"/>
    <w:rsid w:val="002D2830"/>
    <w:rsid w:val="002D2BAB"/>
    <w:rsid w:val="002D2BEC"/>
    <w:rsid w:val="002D2BF9"/>
    <w:rsid w:val="002D2FF3"/>
    <w:rsid w:val="002D308B"/>
    <w:rsid w:val="002D30C2"/>
    <w:rsid w:val="002D3136"/>
    <w:rsid w:val="002D34CA"/>
    <w:rsid w:val="002D35FE"/>
    <w:rsid w:val="002D373E"/>
    <w:rsid w:val="002D3828"/>
    <w:rsid w:val="002D3C4A"/>
    <w:rsid w:val="002D3CD0"/>
    <w:rsid w:val="002D3DA4"/>
    <w:rsid w:val="002D3F04"/>
    <w:rsid w:val="002D405C"/>
    <w:rsid w:val="002D4134"/>
    <w:rsid w:val="002D4514"/>
    <w:rsid w:val="002D4823"/>
    <w:rsid w:val="002D491C"/>
    <w:rsid w:val="002D4B8A"/>
    <w:rsid w:val="002D4D8B"/>
    <w:rsid w:val="002D4DE8"/>
    <w:rsid w:val="002D4E1A"/>
    <w:rsid w:val="002D4F6B"/>
    <w:rsid w:val="002D4FA4"/>
    <w:rsid w:val="002D501A"/>
    <w:rsid w:val="002D50E3"/>
    <w:rsid w:val="002D551C"/>
    <w:rsid w:val="002D56AE"/>
    <w:rsid w:val="002D581B"/>
    <w:rsid w:val="002D598D"/>
    <w:rsid w:val="002D5E29"/>
    <w:rsid w:val="002D5E58"/>
    <w:rsid w:val="002D5EA3"/>
    <w:rsid w:val="002D6323"/>
    <w:rsid w:val="002D63AC"/>
    <w:rsid w:val="002D6843"/>
    <w:rsid w:val="002D6861"/>
    <w:rsid w:val="002D6885"/>
    <w:rsid w:val="002D69F7"/>
    <w:rsid w:val="002D6A22"/>
    <w:rsid w:val="002D71B3"/>
    <w:rsid w:val="002D71DA"/>
    <w:rsid w:val="002D74DE"/>
    <w:rsid w:val="002D7600"/>
    <w:rsid w:val="002D766E"/>
    <w:rsid w:val="002D7D03"/>
    <w:rsid w:val="002D7E4C"/>
    <w:rsid w:val="002D7EE2"/>
    <w:rsid w:val="002D7FFC"/>
    <w:rsid w:val="002D8763"/>
    <w:rsid w:val="002E00BD"/>
    <w:rsid w:val="002E05DE"/>
    <w:rsid w:val="002E0C99"/>
    <w:rsid w:val="002E0FA9"/>
    <w:rsid w:val="002E1374"/>
    <w:rsid w:val="002E1549"/>
    <w:rsid w:val="002E17E1"/>
    <w:rsid w:val="002E1AC1"/>
    <w:rsid w:val="002E23E5"/>
    <w:rsid w:val="002E24DC"/>
    <w:rsid w:val="002E2558"/>
    <w:rsid w:val="002E2649"/>
    <w:rsid w:val="002E2928"/>
    <w:rsid w:val="002E2940"/>
    <w:rsid w:val="002E2BFA"/>
    <w:rsid w:val="002E2D74"/>
    <w:rsid w:val="002E2D7D"/>
    <w:rsid w:val="002E2DAE"/>
    <w:rsid w:val="002E2DDC"/>
    <w:rsid w:val="002E2FB5"/>
    <w:rsid w:val="002E33B0"/>
    <w:rsid w:val="002E3651"/>
    <w:rsid w:val="002E3702"/>
    <w:rsid w:val="002E3854"/>
    <w:rsid w:val="002E38C9"/>
    <w:rsid w:val="002E4008"/>
    <w:rsid w:val="002E40F6"/>
    <w:rsid w:val="002E40FF"/>
    <w:rsid w:val="002E419A"/>
    <w:rsid w:val="002E42A4"/>
    <w:rsid w:val="002E486A"/>
    <w:rsid w:val="002E4894"/>
    <w:rsid w:val="002E48BD"/>
    <w:rsid w:val="002E49DC"/>
    <w:rsid w:val="002E4A93"/>
    <w:rsid w:val="002E4B6F"/>
    <w:rsid w:val="002E4B8D"/>
    <w:rsid w:val="002E4E3D"/>
    <w:rsid w:val="002E4F1F"/>
    <w:rsid w:val="002E5345"/>
    <w:rsid w:val="002E57E3"/>
    <w:rsid w:val="002E58B2"/>
    <w:rsid w:val="002E5BB6"/>
    <w:rsid w:val="002E5E31"/>
    <w:rsid w:val="002E5EA7"/>
    <w:rsid w:val="002E60A9"/>
    <w:rsid w:val="002E62B5"/>
    <w:rsid w:val="002E638C"/>
    <w:rsid w:val="002E64B6"/>
    <w:rsid w:val="002E65F3"/>
    <w:rsid w:val="002E6747"/>
    <w:rsid w:val="002E677C"/>
    <w:rsid w:val="002E6D0B"/>
    <w:rsid w:val="002E6E5F"/>
    <w:rsid w:val="002E72FC"/>
    <w:rsid w:val="002E7351"/>
    <w:rsid w:val="002E7609"/>
    <w:rsid w:val="002E764F"/>
    <w:rsid w:val="002E7687"/>
    <w:rsid w:val="002E7699"/>
    <w:rsid w:val="002E7781"/>
    <w:rsid w:val="002E796C"/>
    <w:rsid w:val="002E7AEA"/>
    <w:rsid w:val="002F00A3"/>
    <w:rsid w:val="002F0485"/>
    <w:rsid w:val="002F08D1"/>
    <w:rsid w:val="002F0B5E"/>
    <w:rsid w:val="002F0B89"/>
    <w:rsid w:val="002F0BE9"/>
    <w:rsid w:val="002F0C09"/>
    <w:rsid w:val="002F0F76"/>
    <w:rsid w:val="002F1367"/>
    <w:rsid w:val="002F13A4"/>
    <w:rsid w:val="002F1562"/>
    <w:rsid w:val="002F15C7"/>
    <w:rsid w:val="002F1EE4"/>
    <w:rsid w:val="002F2194"/>
    <w:rsid w:val="002F23BC"/>
    <w:rsid w:val="002F25E9"/>
    <w:rsid w:val="002F2605"/>
    <w:rsid w:val="002F261D"/>
    <w:rsid w:val="002F2BDA"/>
    <w:rsid w:val="002F2EEC"/>
    <w:rsid w:val="002F2F42"/>
    <w:rsid w:val="002F30BF"/>
    <w:rsid w:val="002F3364"/>
    <w:rsid w:val="002F34B0"/>
    <w:rsid w:val="002F353A"/>
    <w:rsid w:val="002F36AC"/>
    <w:rsid w:val="002F3832"/>
    <w:rsid w:val="002F3A52"/>
    <w:rsid w:val="002F3B6B"/>
    <w:rsid w:val="002F3BC2"/>
    <w:rsid w:val="002F3CAA"/>
    <w:rsid w:val="002F3D32"/>
    <w:rsid w:val="002F433F"/>
    <w:rsid w:val="002F45B5"/>
    <w:rsid w:val="002F46AE"/>
    <w:rsid w:val="002F47E4"/>
    <w:rsid w:val="002F4912"/>
    <w:rsid w:val="002F49D3"/>
    <w:rsid w:val="002F4F27"/>
    <w:rsid w:val="002F4F7B"/>
    <w:rsid w:val="002F4FE0"/>
    <w:rsid w:val="002F5209"/>
    <w:rsid w:val="002F5235"/>
    <w:rsid w:val="002F52D9"/>
    <w:rsid w:val="002F52E7"/>
    <w:rsid w:val="002F56D3"/>
    <w:rsid w:val="002F5824"/>
    <w:rsid w:val="002F5A80"/>
    <w:rsid w:val="002F5A9C"/>
    <w:rsid w:val="002F5B29"/>
    <w:rsid w:val="002F5C32"/>
    <w:rsid w:val="002F5DA1"/>
    <w:rsid w:val="002F5EEE"/>
    <w:rsid w:val="002F5FD5"/>
    <w:rsid w:val="002F6289"/>
    <w:rsid w:val="002F6413"/>
    <w:rsid w:val="002F65A5"/>
    <w:rsid w:val="002F68CD"/>
    <w:rsid w:val="002F6942"/>
    <w:rsid w:val="002F69E2"/>
    <w:rsid w:val="002F6ADF"/>
    <w:rsid w:val="002F6E1C"/>
    <w:rsid w:val="002F7364"/>
    <w:rsid w:val="002F73BE"/>
    <w:rsid w:val="002F7649"/>
    <w:rsid w:val="002F76E5"/>
    <w:rsid w:val="002FCB14"/>
    <w:rsid w:val="00300205"/>
    <w:rsid w:val="00300280"/>
    <w:rsid w:val="0030031F"/>
    <w:rsid w:val="0030043A"/>
    <w:rsid w:val="0030078C"/>
    <w:rsid w:val="00300836"/>
    <w:rsid w:val="00300AC4"/>
    <w:rsid w:val="00300B15"/>
    <w:rsid w:val="00300B53"/>
    <w:rsid w:val="00300DDB"/>
    <w:rsid w:val="0030108A"/>
    <w:rsid w:val="003012D5"/>
    <w:rsid w:val="003013EB"/>
    <w:rsid w:val="0030171A"/>
    <w:rsid w:val="00301892"/>
    <w:rsid w:val="00301BBB"/>
    <w:rsid w:val="00302059"/>
    <w:rsid w:val="003020F3"/>
    <w:rsid w:val="00302194"/>
    <w:rsid w:val="003022E7"/>
    <w:rsid w:val="0030231B"/>
    <w:rsid w:val="00302660"/>
    <w:rsid w:val="00302912"/>
    <w:rsid w:val="003029B6"/>
    <w:rsid w:val="00302B20"/>
    <w:rsid w:val="00302B2A"/>
    <w:rsid w:val="003030CA"/>
    <w:rsid w:val="00303327"/>
    <w:rsid w:val="0030358D"/>
    <w:rsid w:val="0030362A"/>
    <w:rsid w:val="00303848"/>
    <w:rsid w:val="00303AAD"/>
    <w:rsid w:val="00303CCE"/>
    <w:rsid w:val="00303D01"/>
    <w:rsid w:val="00303D2C"/>
    <w:rsid w:val="00303F61"/>
    <w:rsid w:val="00304029"/>
    <w:rsid w:val="00304060"/>
    <w:rsid w:val="003041C0"/>
    <w:rsid w:val="003041CA"/>
    <w:rsid w:val="003043E3"/>
    <w:rsid w:val="0030450F"/>
    <w:rsid w:val="003046A2"/>
    <w:rsid w:val="0030478C"/>
    <w:rsid w:val="00304852"/>
    <w:rsid w:val="00304DC3"/>
    <w:rsid w:val="00304ED5"/>
    <w:rsid w:val="00304EEA"/>
    <w:rsid w:val="00304F0C"/>
    <w:rsid w:val="00304FAE"/>
    <w:rsid w:val="0030518B"/>
    <w:rsid w:val="003052C5"/>
    <w:rsid w:val="003053F5"/>
    <w:rsid w:val="0030576A"/>
    <w:rsid w:val="00305BE9"/>
    <w:rsid w:val="00305F7D"/>
    <w:rsid w:val="003061D7"/>
    <w:rsid w:val="00306266"/>
    <w:rsid w:val="003063A3"/>
    <w:rsid w:val="00306824"/>
    <w:rsid w:val="00306F4F"/>
    <w:rsid w:val="00306FE9"/>
    <w:rsid w:val="00307109"/>
    <w:rsid w:val="00307775"/>
    <w:rsid w:val="00310B60"/>
    <w:rsid w:val="00310C63"/>
    <w:rsid w:val="00310D45"/>
    <w:rsid w:val="00310EF6"/>
    <w:rsid w:val="00310F49"/>
    <w:rsid w:val="00310F90"/>
    <w:rsid w:val="00310FEB"/>
    <w:rsid w:val="00311007"/>
    <w:rsid w:val="003111A6"/>
    <w:rsid w:val="0031159D"/>
    <w:rsid w:val="003118AB"/>
    <w:rsid w:val="0031192A"/>
    <w:rsid w:val="003119D2"/>
    <w:rsid w:val="00311AA9"/>
    <w:rsid w:val="00311D25"/>
    <w:rsid w:val="00311E74"/>
    <w:rsid w:val="00312192"/>
    <w:rsid w:val="003125C5"/>
    <w:rsid w:val="0031272A"/>
    <w:rsid w:val="00312C09"/>
    <w:rsid w:val="0031318B"/>
    <w:rsid w:val="0031328C"/>
    <w:rsid w:val="003135F1"/>
    <w:rsid w:val="00313792"/>
    <w:rsid w:val="00313B89"/>
    <w:rsid w:val="00313C9F"/>
    <w:rsid w:val="003140B8"/>
    <w:rsid w:val="0031435C"/>
    <w:rsid w:val="0031435F"/>
    <w:rsid w:val="003143B3"/>
    <w:rsid w:val="003147E8"/>
    <w:rsid w:val="00314943"/>
    <w:rsid w:val="00314A10"/>
    <w:rsid w:val="00314B45"/>
    <w:rsid w:val="00314BFF"/>
    <w:rsid w:val="003152D5"/>
    <w:rsid w:val="0031535B"/>
    <w:rsid w:val="00315364"/>
    <w:rsid w:val="003153D0"/>
    <w:rsid w:val="00315838"/>
    <w:rsid w:val="003158BC"/>
    <w:rsid w:val="00315C61"/>
    <w:rsid w:val="00315CF5"/>
    <w:rsid w:val="00315D66"/>
    <w:rsid w:val="00315DF0"/>
    <w:rsid w:val="00315F9A"/>
    <w:rsid w:val="00315FE0"/>
    <w:rsid w:val="003160A0"/>
    <w:rsid w:val="00316212"/>
    <w:rsid w:val="00316B0E"/>
    <w:rsid w:val="00316BBE"/>
    <w:rsid w:val="00316D10"/>
    <w:rsid w:val="00316EC5"/>
    <w:rsid w:val="00317179"/>
    <w:rsid w:val="003173BB"/>
    <w:rsid w:val="00317502"/>
    <w:rsid w:val="00317550"/>
    <w:rsid w:val="003177B5"/>
    <w:rsid w:val="003177BE"/>
    <w:rsid w:val="00317884"/>
    <w:rsid w:val="00317972"/>
    <w:rsid w:val="00317B68"/>
    <w:rsid w:val="00317F45"/>
    <w:rsid w:val="0031ECC9"/>
    <w:rsid w:val="0031F314"/>
    <w:rsid w:val="0032035C"/>
    <w:rsid w:val="0032054C"/>
    <w:rsid w:val="0032070E"/>
    <w:rsid w:val="00320AA9"/>
    <w:rsid w:val="00320B50"/>
    <w:rsid w:val="00320BFE"/>
    <w:rsid w:val="00320C3C"/>
    <w:rsid w:val="00320DA6"/>
    <w:rsid w:val="00320E67"/>
    <w:rsid w:val="00320EF2"/>
    <w:rsid w:val="0032100C"/>
    <w:rsid w:val="003210B9"/>
    <w:rsid w:val="003210F6"/>
    <w:rsid w:val="00321145"/>
    <w:rsid w:val="0032147D"/>
    <w:rsid w:val="00321505"/>
    <w:rsid w:val="00321678"/>
    <w:rsid w:val="003217AD"/>
    <w:rsid w:val="00321869"/>
    <w:rsid w:val="0032186E"/>
    <w:rsid w:val="00322137"/>
    <w:rsid w:val="00322447"/>
    <w:rsid w:val="0032244D"/>
    <w:rsid w:val="003224E8"/>
    <w:rsid w:val="00322561"/>
    <w:rsid w:val="0032288F"/>
    <w:rsid w:val="00322B3A"/>
    <w:rsid w:val="00322E28"/>
    <w:rsid w:val="00322E9B"/>
    <w:rsid w:val="0032312A"/>
    <w:rsid w:val="003236AE"/>
    <w:rsid w:val="0032383F"/>
    <w:rsid w:val="003238E0"/>
    <w:rsid w:val="00323AC6"/>
    <w:rsid w:val="00324065"/>
    <w:rsid w:val="003241C0"/>
    <w:rsid w:val="00324703"/>
    <w:rsid w:val="003249C9"/>
    <w:rsid w:val="00324D95"/>
    <w:rsid w:val="00324F18"/>
    <w:rsid w:val="00324FAF"/>
    <w:rsid w:val="003250A1"/>
    <w:rsid w:val="003251CE"/>
    <w:rsid w:val="00325264"/>
    <w:rsid w:val="003255C5"/>
    <w:rsid w:val="003256B0"/>
    <w:rsid w:val="003257FB"/>
    <w:rsid w:val="00325A11"/>
    <w:rsid w:val="00325BBA"/>
    <w:rsid w:val="00325D24"/>
    <w:rsid w:val="00326152"/>
    <w:rsid w:val="00326594"/>
    <w:rsid w:val="0032682B"/>
    <w:rsid w:val="00326890"/>
    <w:rsid w:val="00326A44"/>
    <w:rsid w:val="00326B34"/>
    <w:rsid w:val="00326BF4"/>
    <w:rsid w:val="00326C00"/>
    <w:rsid w:val="00326D4E"/>
    <w:rsid w:val="00326F4C"/>
    <w:rsid w:val="00326F6A"/>
    <w:rsid w:val="003270A3"/>
    <w:rsid w:val="00327414"/>
    <w:rsid w:val="00327591"/>
    <w:rsid w:val="003276E5"/>
    <w:rsid w:val="003276F6"/>
    <w:rsid w:val="00327722"/>
    <w:rsid w:val="0032782A"/>
    <w:rsid w:val="003298E6"/>
    <w:rsid w:val="00330068"/>
    <w:rsid w:val="0033014F"/>
    <w:rsid w:val="0033019F"/>
    <w:rsid w:val="003302CC"/>
    <w:rsid w:val="00330443"/>
    <w:rsid w:val="003304C2"/>
    <w:rsid w:val="003306EA"/>
    <w:rsid w:val="00330DED"/>
    <w:rsid w:val="00331256"/>
    <w:rsid w:val="003315AA"/>
    <w:rsid w:val="003318DB"/>
    <w:rsid w:val="00331B10"/>
    <w:rsid w:val="00331B89"/>
    <w:rsid w:val="00331CAB"/>
    <w:rsid w:val="00331DA3"/>
    <w:rsid w:val="00332111"/>
    <w:rsid w:val="003326DA"/>
    <w:rsid w:val="00332740"/>
    <w:rsid w:val="0033282B"/>
    <w:rsid w:val="00332AF5"/>
    <w:rsid w:val="00332B6B"/>
    <w:rsid w:val="00332DC4"/>
    <w:rsid w:val="00332F52"/>
    <w:rsid w:val="0033306B"/>
    <w:rsid w:val="00333167"/>
    <w:rsid w:val="00333915"/>
    <w:rsid w:val="00333A0E"/>
    <w:rsid w:val="00333BBC"/>
    <w:rsid w:val="00333D15"/>
    <w:rsid w:val="00333EDF"/>
    <w:rsid w:val="003340D1"/>
    <w:rsid w:val="00334116"/>
    <w:rsid w:val="0033427D"/>
    <w:rsid w:val="00334336"/>
    <w:rsid w:val="00334364"/>
    <w:rsid w:val="00334383"/>
    <w:rsid w:val="003345CE"/>
    <w:rsid w:val="003348A7"/>
    <w:rsid w:val="003348B8"/>
    <w:rsid w:val="003349FB"/>
    <w:rsid w:val="00334CAF"/>
    <w:rsid w:val="00334DFB"/>
    <w:rsid w:val="0033532B"/>
    <w:rsid w:val="0033557B"/>
    <w:rsid w:val="00335A9B"/>
    <w:rsid w:val="00335AE6"/>
    <w:rsid w:val="00335B17"/>
    <w:rsid w:val="00335DEF"/>
    <w:rsid w:val="00335F4C"/>
    <w:rsid w:val="003360CD"/>
    <w:rsid w:val="0033644E"/>
    <w:rsid w:val="003365A4"/>
    <w:rsid w:val="00336720"/>
    <w:rsid w:val="00336748"/>
    <w:rsid w:val="00336FE1"/>
    <w:rsid w:val="00337017"/>
    <w:rsid w:val="003372ED"/>
    <w:rsid w:val="0033746E"/>
    <w:rsid w:val="00337686"/>
    <w:rsid w:val="003376BA"/>
    <w:rsid w:val="00337F7E"/>
    <w:rsid w:val="003401E3"/>
    <w:rsid w:val="003402CC"/>
    <w:rsid w:val="0034031C"/>
    <w:rsid w:val="003407B5"/>
    <w:rsid w:val="00340832"/>
    <w:rsid w:val="00341083"/>
    <w:rsid w:val="003412FF"/>
    <w:rsid w:val="003413DF"/>
    <w:rsid w:val="003413E5"/>
    <w:rsid w:val="0034166D"/>
    <w:rsid w:val="0034175E"/>
    <w:rsid w:val="00341D09"/>
    <w:rsid w:val="00341D92"/>
    <w:rsid w:val="00341F1C"/>
    <w:rsid w:val="00341F6D"/>
    <w:rsid w:val="0034204C"/>
    <w:rsid w:val="00342511"/>
    <w:rsid w:val="0034252C"/>
    <w:rsid w:val="00342948"/>
    <w:rsid w:val="00342A19"/>
    <w:rsid w:val="00342A25"/>
    <w:rsid w:val="00342B6A"/>
    <w:rsid w:val="0034300F"/>
    <w:rsid w:val="00343050"/>
    <w:rsid w:val="003431EA"/>
    <w:rsid w:val="0034366B"/>
    <w:rsid w:val="00343A51"/>
    <w:rsid w:val="00343AF0"/>
    <w:rsid w:val="00343DB4"/>
    <w:rsid w:val="00344075"/>
    <w:rsid w:val="003440E6"/>
    <w:rsid w:val="003445A1"/>
    <w:rsid w:val="00344626"/>
    <w:rsid w:val="00344745"/>
    <w:rsid w:val="00344D2F"/>
    <w:rsid w:val="00345046"/>
    <w:rsid w:val="00345322"/>
    <w:rsid w:val="0034533E"/>
    <w:rsid w:val="003453DA"/>
    <w:rsid w:val="0034547F"/>
    <w:rsid w:val="00345771"/>
    <w:rsid w:val="00345851"/>
    <w:rsid w:val="0034590B"/>
    <w:rsid w:val="00345A01"/>
    <w:rsid w:val="00345CEE"/>
    <w:rsid w:val="00345D38"/>
    <w:rsid w:val="00345D57"/>
    <w:rsid w:val="00346129"/>
    <w:rsid w:val="00346258"/>
    <w:rsid w:val="003462C1"/>
    <w:rsid w:val="003463CB"/>
    <w:rsid w:val="00346404"/>
    <w:rsid w:val="0034644B"/>
    <w:rsid w:val="0034650E"/>
    <w:rsid w:val="003465DB"/>
    <w:rsid w:val="00346A54"/>
    <w:rsid w:val="00346B62"/>
    <w:rsid w:val="00346C06"/>
    <w:rsid w:val="00346CA4"/>
    <w:rsid w:val="00346E4E"/>
    <w:rsid w:val="00346E97"/>
    <w:rsid w:val="00347007"/>
    <w:rsid w:val="00347055"/>
    <w:rsid w:val="00347134"/>
    <w:rsid w:val="00347146"/>
    <w:rsid w:val="003472CE"/>
    <w:rsid w:val="003473AB"/>
    <w:rsid w:val="003473F2"/>
    <w:rsid w:val="0034765E"/>
    <w:rsid w:val="00347660"/>
    <w:rsid w:val="00347742"/>
    <w:rsid w:val="0034777E"/>
    <w:rsid w:val="0034788A"/>
    <w:rsid w:val="003478AD"/>
    <w:rsid w:val="003479DF"/>
    <w:rsid w:val="00347B73"/>
    <w:rsid w:val="00347C0A"/>
    <w:rsid w:val="00347C5F"/>
    <w:rsid w:val="00347E67"/>
    <w:rsid w:val="0035026C"/>
    <w:rsid w:val="003503FC"/>
    <w:rsid w:val="00350629"/>
    <w:rsid w:val="00350768"/>
    <w:rsid w:val="003508EC"/>
    <w:rsid w:val="00350919"/>
    <w:rsid w:val="00350B49"/>
    <w:rsid w:val="00351287"/>
    <w:rsid w:val="00351307"/>
    <w:rsid w:val="0035145B"/>
    <w:rsid w:val="00351469"/>
    <w:rsid w:val="00351523"/>
    <w:rsid w:val="003515AE"/>
    <w:rsid w:val="00351C42"/>
    <w:rsid w:val="00351C88"/>
    <w:rsid w:val="00351DB6"/>
    <w:rsid w:val="003520EF"/>
    <w:rsid w:val="003520F5"/>
    <w:rsid w:val="003521F0"/>
    <w:rsid w:val="0035235D"/>
    <w:rsid w:val="003524F3"/>
    <w:rsid w:val="003525B3"/>
    <w:rsid w:val="003525D4"/>
    <w:rsid w:val="003528C1"/>
    <w:rsid w:val="00352DF9"/>
    <w:rsid w:val="00352FDB"/>
    <w:rsid w:val="003537BA"/>
    <w:rsid w:val="003539AE"/>
    <w:rsid w:val="00353B6E"/>
    <w:rsid w:val="00353C9B"/>
    <w:rsid w:val="0035400D"/>
    <w:rsid w:val="00354573"/>
    <w:rsid w:val="00354651"/>
    <w:rsid w:val="00354822"/>
    <w:rsid w:val="00354835"/>
    <w:rsid w:val="00354AD2"/>
    <w:rsid w:val="00354F9F"/>
    <w:rsid w:val="003552B5"/>
    <w:rsid w:val="0035534B"/>
    <w:rsid w:val="00355653"/>
    <w:rsid w:val="0035566C"/>
    <w:rsid w:val="003556DE"/>
    <w:rsid w:val="00355876"/>
    <w:rsid w:val="00355880"/>
    <w:rsid w:val="00355884"/>
    <w:rsid w:val="00355952"/>
    <w:rsid w:val="00355A91"/>
    <w:rsid w:val="00355ACE"/>
    <w:rsid w:val="00355B4C"/>
    <w:rsid w:val="00355DAC"/>
    <w:rsid w:val="00356010"/>
    <w:rsid w:val="003561FB"/>
    <w:rsid w:val="003562C0"/>
    <w:rsid w:val="0035649A"/>
    <w:rsid w:val="00356508"/>
    <w:rsid w:val="003567FF"/>
    <w:rsid w:val="00356886"/>
    <w:rsid w:val="00356A11"/>
    <w:rsid w:val="00356CEA"/>
    <w:rsid w:val="0035716B"/>
    <w:rsid w:val="0035730C"/>
    <w:rsid w:val="00357550"/>
    <w:rsid w:val="003576C7"/>
    <w:rsid w:val="00357711"/>
    <w:rsid w:val="00357DB6"/>
    <w:rsid w:val="00357DF0"/>
    <w:rsid w:val="00357F59"/>
    <w:rsid w:val="00357F97"/>
    <w:rsid w:val="00360298"/>
    <w:rsid w:val="00360308"/>
    <w:rsid w:val="0036032B"/>
    <w:rsid w:val="003603E9"/>
    <w:rsid w:val="0036063D"/>
    <w:rsid w:val="00360669"/>
    <w:rsid w:val="00360C84"/>
    <w:rsid w:val="00360D1D"/>
    <w:rsid w:val="00360E0E"/>
    <w:rsid w:val="003610A8"/>
    <w:rsid w:val="003613C0"/>
    <w:rsid w:val="003615A7"/>
    <w:rsid w:val="00361697"/>
    <w:rsid w:val="003619A5"/>
    <w:rsid w:val="00361C9F"/>
    <w:rsid w:val="00361D76"/>
    <w:rsid w:val="00361EE4"/>
    <w:rsid w:val="00361FA9"/>
    <w:rsid w:val="00362475"/>
    <w:rsid w:val="00362618"/>
    <w:rsid w:val="003628CB"/>
    <w:rsid w:val="00362C10"/>
    <w:rsid w:val="00362D62"/>
    <w:rsid w:val="00362E74"/>
    <w:rsid w:val="00362FC6"/>
    <w:rsid w:val="00363449"/>
    <w:rsid w:val="00363631"/>
    <w:rsid w:val="00363727"/>
    <w:rsid w:val="0036379D"/>
    <w:rsid w:val="00363B28"/>
    <w:rsid w:val="00363C2A"/>
    <w:rsid w:val="0036447C"/>
    <w:rsid w:val="00364613"/>
    <w:rsid w:val="00364776"/>
    <w:rsid w:val="0036482B"/>
    <w:rsid w:val="00364CDA"/>
    <w:rsid w:val="00364CFD"/>
    <w:rsid w:val="00364E38"/>
    <w:rsid w:val="00364E5D"/>
    <w:rsid w:val="00365249"/>
    <w:rsid w:val="003652A7"/>
    <w:rsid w:val="003652FB"/>
    <w:rsid w:val="003654C8"/>
    <w:rsid w:val="0036588C"/>
    <w:rsid w:val="00365BF6"/>
    <w:rsid w:val="00365D61"/>
    <w:rsid w:val="0036636B"/>
    <w:rsid w:val="003664A6"/>
    <w:rsid w:val="00366563"/>
    <w:rsid w:val="003665F9"/>
    <w:rsid w:val="00366694"/>
    <w:rsid w:val="003666A4"/>
    <w:rsid w:val="00366715"/>
    <w:rsid w:val="0036678F"/>
    <w:rsid w:val="003668BB"/>
    <w:rsid w:val="00366C7C"/>
    <w:rsid w:val="00367161"/>
    <w:rsid w:val="003673C4"/>
    <w:rsid w:val="0036765E"/>
    <w:rsid w:val="00367C3F"/>
    <w:rsid w:val="00367F4A"/>
    <w:rsid w:val="0037005C"/>
    <w:rsid w:val="003700D3"/>
    <w:rsid w:val="00370257"/>
    <w:rsid w:val="003705C9"/>
    <w:rsid w:val="00370944"/>
    <w:rsid w:val="00370B61"/>
    <w:rsid w:val="00370CAB"/>
    <w:rsid w:val="00370CF1"/>
    <w:rsid w:val="00370D8D"/>
    <w:rsid w:val="00370EA4"/>
    <w:rsid w:val="00370F03"/>
    <w:rsid w:val="00370FD1"/>
    <w:rsid w:val="0037113B"/>
    <w:rsid w:val="0037130F"/>
    <w:rsid w:val="0037146D"/>
    <w:rsid w:val="00371506"/>
    <w:rsid w:val="00371916"/>
    <w:rsid w:val="00371920"/>
    <w:rsid w:val="00371AC8"/>
    <w:rsid w:val="003720B3"/>
    <w:rsid w:val="003722B4"/>
    <w:rsid w:val="003723D5"/>
    <w:rsid w:val="0037249F"/>
    <w:rsid w:val="0037291A"/>
    <w:rsid w:val="003729DB"/>
    <w:rsid w:val="00372A34"/>
    <w:rsid w:val="00372AE9"/>
    <w:rsid w:val="00372E1A"/>
    <w:rsid w:val="00372F14"/>
    <w:rsid w:val="00372F67"/>
    <w:rsid w:val="00372FA1"/>
    <w:rsid w:val="003735BD"/>
    <w:rsid w:val="00373995"/>
    <w:rsid w:val="00373A1B"/>
    <w:rsid w:val="00373B83"/>
    <w:rsid w:val="00374095"/>
    <w:rsid w:val="00374327"/>
    <w:rsid w:val="00374451"/>
    <w:rsid w:val="00374495"/>
    <w:rsid w:val="00374752"/>
    <w:rsid w:val="00374776"/>
    <w:rsid w:val="003747C1"/>
    <w:rsid w:val="0037484F"/>
    <w:rsid w:val="0037486E"/>
    <w:rsid w:val="0037492F"/>
    <w:rsid w:val="0037494F"/>
    <w:rsid w:val="00374AE2"/>
    <w:rsid w:val="00374B3C"/>
    <w:rsid w:val="00374B7D"/>
    <w:rsid w:val="00374B9D"/>
    <w:rsid w:val="00374E07"/>
    <w:rsid w:val="00374E59"/>
    <w:rsid w:val="00374F81"/>
    <w:rsid w:val="0037547D"/>
    <w:rsid w:val="003756B1"/>
    <w:rsid w:val="003756FA"/>
    <w:rsid w:val="00376458"/>
    <w:rsid w:val="003765C6"/>
    <w:rsid w:val="00376724"/>
    <w:rsid w:val="00376B6C"/>
    <w:rsid w:val="00376BB4"/>
    <w:rsid w:val="00376BF3"/>
    <w:rsid w:val="00376D28"/>
    <w:rsid w:val="00376D9F"/>
    <w:rsid w:val="00376F8E"/>
    <w:rsid w:val="003771EF"/>
    <w:rsid w:val="003774CC"/>
    <w:rsid w:val="003776A7"/>
    <w:rsid w:val="003778F6"/>
    <w:rsid w:val="00377968"/>
    <w:rsid w:val="00377B42"/>
    <w:rsid w:val="00377BEF"/>
    <w:rsid w:val="00377C1E"/>
    <w:rsid w:val="00377D1D"/>
    <w:rsid w:val="00377D81"/>
    <w:rsid w:val="00377DD5"/>
    <w:rsid w:val="00377F1D"/>
    <w:rsid w:val="00377FBF"/>
    <w:rsid w:val="003808A5"/>
    <w:rsid w:val="00380CBC"/>
    <w:rsid w:val="00380FF9"/>
    <w:rsid w:val="0038114E"/>
    <w:rsid w:val="0038130A"/>
    <w:rsid w:val="0038133F"/>
    <w:rsid w:val="003813BA"/>
    <w:rsid w:val="00381405"/>
    <w:rsid w:val="003814AF"/>
    <w:rsid w:val="0038151A"/>
    <w:rsid w:val="00381777"/>
    <w:rsid w:val="00381857"/>
    <w:rsid w:val="00381E10"/>
    <w:rsid w:val="0038222C"/>
    <w:rsid w:val="0038237D"/>
    <w:rsid w:val="003823E4"/>
    <w:rsid w:val="003824C7"/>
    <w:rsid w:val="003829BD"/>
    <w:rsid w:val="003829C9"/>
    <w:rsid w:val="00382D87"/>
    <w:rsid w:val="0038318B"/>
    <w:rsid w:val="003832FE"/>
    <w:rsid w:val="00383764"/>
    <w:rsid w:val="00383789"/>
    <w:rsid w:val="003837EC"/>
    <w:rsid w:val="00383D70"/>
    <w:rsid w:val="00383DAB"/>
    <w:rsid w:val="00383F1F"/>
    <w:rsid w:val="00383F87"/>
    <w:rsid w:val="00384373"/>
    <w:rsid w:val="00384A4B"/>
    <w:rsid w:val="00384B25"/>
    <w:rsid w:val="00385213"/>
    <w:rsid w:val="00385426"/>
    <w:rsid w:val="003854B2"/>
    <w:rsid w:val="003855C0"/>
    <w:rsid w:val="00385737"/>
    <w:rsid w:val="00385BB1"/>
    <w:rsid w:val="00385C35"/>
    <w:rsid w:val="00385D46"/>
    <w:rsid w:val="00385EEB"/>
    <w:rsid w:val="00386112"/>
    <w:rsid w:val="00386128"/>
    <w:rsid w:val="0038615A"/>
    <w:rsid w:val="003861CA"/>
    <w:rsid w:val="0038666D"/>
    <w:rsid w:val="003867E0"/>
    <w:rsid w:val="003869A2"/>
    <w:rsid w:val="00386B37"/>
    <w:rsid w:val="00386B96"/>
    <w:rsid w:val="0038737F"/>
    <w:rsid w:val="00387A35"/>
    <w:rsid w:val="00387A38"/>
    <w:rsid w:val="00387C92"/>
    <w:rsid w:val="00390163"/>
    <w:rsid w:val="00390333"/>
    <w:rsid w:val="003903C8"/>
    <w:rsid w:val="003903CD"/>
    <w:rsid w:val="003907DC"/>
    <w:rsid w:val="0039086D"/>
    <w:rsid w:val="00390AFE"/>
    <w:rsid w:val="00390B5F"/>
    <w:rsid w:val="00390B81"/>
    <w:rsid w:val="00390D11"/>
    <w:rsid w:val="00390E29"/>
    <w:rsid w:val="00390E55"/>
    <w:rsid w:val="00390EA0"/>
    <w:rsid w:val="00390EB7"/>
    <w:rsid w:val="003910D4"/>
    <w:rsid w:val="00391149"/>
    <w:rsid w:val="003915E3"/>
    <w:rsid w:val="00391A86"/>
    <w:rsid w:val="00391AD0"/>
    <w:rsid w:val="00391B10"/>
    <w:rsid w:val="00391B47"/>
    <w:rsid w:val="00391B4D"/>
    <w:rsid w:val="00391F28"/>
    <w:rsid w:val="00391FD2"/>
    <w:rsid w:val="0039215D"/>
    <w:rsid w:val="0039217A"/>
    <w:rsid w:val="00392192"/>
    <w:rsid w:val="00392652"/>
    <w:rsid w:val="0039273A"/>
    <w:rsid w:val="0039291F"/>
    <w:rsid w:val="0039292A"/>
    <w:rsid w:val="00392A15"/>
    <w:rsid w:val="00392AB1"/>
    <w:rsid w:val="00392B1C"/>
    <w:rsid w:val="00392C5A"/>
    <w:rsid w:val="00392D50"/>
    <w:rsid w:val="0039309A"/>
    <w:rsid w:val="00393316"/>
    <w:rsid w:val="003935AF"/>
    <w:rsid w:val="003935F9"/>
    <w:rsid w:val="0039363E"/>
    <w:rsid w:val="003936DA"/>
    <w:rsid w:val="00393C81"/>
    <w:rsid w:val="00393DAC"/>
    <w:rsid w:val="00393E09"/>
    <w:rsid w:val="00393E5D"/>
    <w:rsid w:val="00393ECF"/>
    <w:rsid w:val="00393F6C"/>
    <w:rsid w:val="00394016"/>
    <w:rsid w:val="00394070"/>
    <w:rsid w:val="00394590"/>
    <w:rsid w:val="00394686"/>
    <w:rsid w:val="003946AC"/>
    <w:rsid w:val="0039470F"/>
    <w:rsid w:val="003947A5"/>
    <w:rsid w:val="00394A04"/>
    <w:rsid w:val="00394AEE"/>
    <w:rsid w:val="00394E79"/>
    <w:rsid w:val="00394F84"/>
    <w:rsid w:val="003951E6"/>
    <w:rsid w:val="00395362"/>
    <w:rsid w:val="003953A2"/>
    <w:rsid w:val="00395492"/>
    <w:rsid w:val="003957EA"/>
    <w:rsid w:val="00395A38"/>
    <w:rsid w:val="00396188"/>
    <w:rsid w:val="003961C2"/>
    <w:rsid w:val="003961EB"/>
    <w:rsid w:val="003962A1"/>
    <w:rsid w:val="003967F9"/>
    <w:rsid w:val="00396817"/>
    <w:rsid w:val="00396826"/>
    <w:rsid w:val="00396878"/>
    <w:rsid w:val="00396B7F"/>
    <w:rsid w:val="00396EA8"/>
    <w:rsid w:val="00397076"/>
    <w:rsid w:val="0039725E"/>
    <w:rsid w:val="00397490"/>
    <w:rsid w:val="00397502"/>
    <w:rsid w:val="0039762B"/>
    <w:rsid w:val="00397C91"/>
    <w:rsid w:val="00397D66"/>
    <w:rsid w:val="00397E56"/>
    <w:rsid w:val="00397FEE"/>
    <w:rsid w:val="003A05FA"/>
    <w:rsid w:val="003A0758"/>
    <w:rsid w:val="003A08C1"/>
    <w:rsid w:val="003A0BFF"/>
    <w:rsid w:val="003A0E0B"/>
    <w:rsid w:val="003A0F0F"/>
    <w:rsid w:val="003A0F44"/>
    <w:rsid w:val="003A12D2"/>
    <w:rsid w:val="003A170D"/>
    <w:rsid w:val="003A1D76"/>
    <w:rsid w:val="003A2060"/>
    <w:rsid w:val="003A2118"/>
    <w:rsid w:val="003A27E2"/>
    <w:rsid w:val="003A2878"/>
    <w:rsid w:val="003A2D40"/>
    <w:rsid w:val="003A30D9"/>
    <w:rsid w:val="003A3410"/>
    <w:rsid w:val="003A348F"/>
    <w:rsid w:val="003A35EA"/>
    <w:rsid w:val="003A3B15"/>
    <w:rsid w:val="003A4119"/>
    <w:rsid w:val="003A4421"/>
    <w:rsid w:val="003A4593"/>
    <w:rsid w:val="003A45FC"/>
    <w:rsid w:val="003A4764"/>
    <w:rsid w:val="003A4A7E"/>
    <w:rsid w:val="003A5351"/>
    <w:rsid w:val="003A54CD"/>
    <w:rsid w:val="003A5A5C"/>
    <w:rsid w:val="003A5BB8"/>
    <w:rsid w:val="003A5E2B"/>
    <w:rsid w:val="003A5E6D"/>
    <w:rsid w:val="003A5FEE"/>
    <w:rsid w:val="003A61F8"/>
    <w:rsid w:val="003A628D"/>
    <w:rsid w:val="003A629A"/>
    <w:rsid w:val="003A640A"/>
    <w:rsid w:val="003A6573"/>
    <w:rsid w:val="003A6589"/>
    <w:rsid w:val="003A6689"/>
    <w:rsid w:val="003A6852"/>
    <w:rsid w:val="003A6BBC"/>
    <w:rsid w:val="003A6C25"/>
    <w:rsid w:val="003A6D65"/>
    <w:rsid w:val="003A702E"/>
    <w:rsid w:val="003A7147"/>
    <w:rsid w:val="003A7424"/>
    <w:rsid w:val="003A74B9"/>
    <w:rsid w:val="003A7678"/>
    <w:rsid w:val="003A7A01"/>
    <w:rsid w:val="003B0199"/>
    <w:rsid w:val="003B01E2"/>
    <w:rsid w:val="003B02A6"/>
    <w:rsid w:val="003B02DC"/>
    <w:rsid w:val="003B02F9"/>
    <w:rsid w:val="003B030E"/>
    <w:rsid w:val="003B03BF"/>
    <w:rsid w:val="003B0988"/>
    <w:rsid w:val="003B0F6F"/>
    <w:rsid w:val="003B0FD8"/>
    <w:rsid w:val="003B11D5"/>
    <w:rsid w:val="003B1215"/>
    <w:rsid w:val="003B14C6"/>
    <w:rsid w:val="003B1549"/>
    <w:rsid w:val="003B161A"/>
    <w:rsid w:val="003B1647"/>
    <w:rsid w:val="003B167A"/>
    <w:rsid w:val="003B17CA"/>
    <w:rsid w:val="003B1B07"/>
    <w:rsid w:val="003B1FE0"/>
    <w:rsid w:val="003B2084"/>
    <w:rsid w:val="003B2465"/>
    <w:rsid w:val="003B24C7"/>
    <w:rsid w:val="003B29C1"/>
    <w:rsid w:val="003B2BC7"/>
    <w:rsid w:val="003B2CD7"/>
    <w:rsid w:val="003B2E00"/>
    <w:rsid w:val="003B2F17"/>
    <w:rsid w:val="003B30BC"/>
    <w:rsid w:val="003B3252"/>
    <w:rsid w:val="003B328E"/>
    <w:rsid w:val="003B382B"/>
    <w:rsid w:val="003B3957"/>
    <w:rsid w:val="003B395E"/>
    <w:rsid w:val="003B3AEE"/>
    <w:rsid w:val="003B3CAD"/>
    <w:rsid w:val="003B3D1E"/>
    <w:rsid w:val="003B3DAD"/>
    <w:rsid w:val="003B3EAC"/>
    <w:rsid w:val="003B3F97"/>
    <w:rsid w:val="003B4ADC"/>
    <w:rsid w:val="003B4C42"/>
    <w:rsid w:val="003B53A4"/>
    <w:rsid w:val="003B54AB"/>
    <w:rsid w:val="003B54C2"/>
    <w:rsid w:val="003B562C"/>
    <w:rsid w:val="003B5926"/>
    <w:rsid w:val="003B5ACA"/>
    <w:rsid w:val="003B5B09"/>
    <w:rsid w:val="003B5CF6"/>
    <w:rsid w:val="003B5E6C"/>
    <w:rsid w:val="003B63A3"/>
    <w:rsid w:val="003B6452"/>
    <w:rsid w:val="003B6481"/>
    <w:rsid w:val="003B64E0"/>
    <w:rsid w:val="003B654B"/>
    <w:rsid w:val="003B6620"/>
    <w:rsid w:val="003B6819"/>
    <w:rsid w:val="003B6B71"/>
    <w:rsid w:val="003B6DCD"/>
    <w:rsid w:val="003B7027"/>
    <w:rsid w:val="003B7071"/>
    <w:rsid w:val="003B7094"/>
    <w:rsid w:val="003B70CD"/>
    <w:rsid w:val="003B7257"/>
    <w:rsid w:val="003B76E0"/>
    <w:rsid w:val="003B780A"/>
    <w:rsid w:val="003B799E"/>
    <w:rsid w:val="003B79B8"/>
    <w:rsid w:val="003B7D35"/>
    <w:rsid w:val="003C0114"/>
    <w:rsid w:val="003C039F"/>
    <w:rsid w:val="003C0561"/>
    <w:rsid w:val="003C05A7"/>
    <w:rsid w:val="003C07B4"/>
    <w:rsid w:val="003C09C8"/>
    <w:rsid w:val="003C0AF6"/>
    <w:rsid w:val="003C0C7B"/>
    <w:rsid w:val="003C0F2E"/>
    <w:rsid w:val="003C110E"/>
    <w:rsid w:val="003C116A"/>
    <w:rsid w:val="003C116D"/>
    <w:rsid w:val="003C125E"/>
    <w:rsid w:val="003C1298"/>
    <w:rsid w:val="003C13A2"/>
    <w:rsid w:val="003C157C"/>
    <w:rsid w:val="003C16AE"/>
    <w:rsid w:val="003C174D"/>
    <w:rsid w:val="003C1863"/>
    <w:rsid w:val="003C19D1"/>
    <w:rsid w:val="003C1D86"/>
    <w:rsid w:val="003C1F67"/>
    <w:rsid w:val="003C245B"/>
    <w:rsid w:val="003C2589"/>
    <w:rsid w:val="003C2629"/>
    <w:rsid w:val="003C28DF"/>
    <w:rsid w:val="003C2C4A"/>
    <w:rsid w:val="003C2CFD"/>
    <w:rsid w:val="003C30B4"/>
    <w:rsid w:val="003C31FE"/>
    <w:rsid w:val="003C325C"/>
    <w:rsid w:val="003C32E7"/>
    <w:rsid w:val="003C3429"/>
    <w:rsid w:val="003C3432"/>
    <w:rsid w:val="003C34B1"/>
    <w:rsid w:val="003C362A"/>
    <w:rsid w:val="003C37B8"/>
    <w:rsid w:val="003C37EF"/>
    <w:rsid w:val="003C3904"/>
    <w:rsid w:val="003C3F78"/>
    <w:rsid w:val="003C4020"/>
    <w:rsid w:val="003C40CB"/>
    <w:rsid w:val="003C41A1"/>
    <w:rsid w:val="003C4274"/>
    <w:rsid w:val="003C42A3"/>
    <w:rsid w:val="003C4496"/>
    <w:rsid w:val="003C458B"/>
    <w:rsid w:val="003C4C03"/>
    <w:rsid w:val="003C4ED4"/>
    <w:rsid w:val="003C5975"/>
    <w:rsid w:val="003C5A3C"/>
    <w:rsid w:val="003C5ABD"/>
    <w:rsid w:val="003C5B72"/>
    <w:rsid w:val="003C5C10"/>
    <w:rsid w:val="003C5E24"/>
    <w:rsid w:val="003C632C"/>
    <w:rsid w:val="003C6373"/>
    <w:rsid w:val="003C6391"/>
    <w:rsid w:val="003C65B5"/>
    <w:rsid w:val="003C65F7"/>
    <w:rsid w:val="003C671D"/>
    <w:rsid w:val="003C689A"/>
    <w:rsid w:val="003C692B"/>
    <w:rsid w:val="003C6AA4"/>
    <w:rsid w:val="003C6AF1"/>
    <w:rsid w:val="003C6B3B"/>
    <w:rsid w:val="003C6B44"/>
    <w:rsid w:val="003C6C3E"/>
    <w:rsid w:val="003C6D34"/>
    <w:rsid w:val="003C6D5D"/>
    <w:rsid w:val="003C6DD4"/>
    <w:rsid w:val="003C6F24"/>
    <w:rsid w:val="003C6F33"/>
    <w:rsid w:val="003C7033"/>
    <w:rsid w:val="003C704E"/>
    <w:rsid w:val="003C7098"/>
    <w:rsid w:val="003C7390"/>
    <w:rsid w:val="003C74F1"/>
    <w:rsid w:val="003C769B"/>
    <w:rsid w:val="003C7D34"/>
    <w:rsid w:val="003C7FF8"/>
    <w:rsid w:val="003D0077"/>
    <w:rsid w:val="003D007C"/>
    <w:rsid w:val="003D0431"/>
    <w:rsid w:val="003D0616"/>
    <w:rsid w:val="003D06BD"/>
    <w:rsid w:val="003D07A7"/>
    <w:rsid w:val="003D08BD"/>
    <w:rsid w:val="003D099D"/>
    <w:rsid w:val="003D0A89"/>
    <w:rsid w:val="003D0C21"/>
    <w:rsid w:val="003D0FFA"/>
    <w:rsid w:val="003D1177"/>
    <w:rsid w:val="003D11E4"/>
    <w:rsid w:val="003D1650"/>
    <w:rsid w:val="003D1A4A"/>
    <w:rsid w:val="003D1F95"/>
    <w:rsid w:val="003D25F6"/>
    <w:rsid w:val="003D266C"/>
    <w:rsid w:val="003D27BE"/>
    <w:rsid w:val="003D28E7"/>
    <w:rsid w:val="003D2E89"/>
    <w:rsid w:val="003D3208"/>
    <w:rsid w:val="003D32B0"/>
    <w:rsid w:val="003D3347"/>
    <w:rsid w:val="003D33DB"/>
    <w:rsid w:val="003D34CC"/>
    <w:rsid w:val="003D3553"/>
    <w:rsid w:val="003D39AE"/>
    <w:rsid w:val="003D3A3A"/>
    <w:rsid w:val="003D402B"/>
    <w:rsid w:val="003D41A2"/>
    <w:rsid w:val="003D49BE"/>
    <w:rsid w:val="003D4A0A"/>
    <w:rsid w:val="003D4B51"/>
    <w:rsid w:val="003D4B87"/>
    <w:rsid w:val="003D4E75"/>
    <w:rsid w:val="003D4FF1"/>
    <w:rsid w:val="003D5080"/>
    <w:rsid w:val="003D514F"/>
    <w:rsid w:val="003D55A1"/>
    <w:rsid w:val="003D56AD"/>
    <w:rsid w:val="003D594D"/>
    <w:rsid w:val="003D5C2B"/>
    <w:rsid w:val="003D5C88"/>
    <w:rsid w:val="003D5E94"/>
    <w:rsid w:val="003D5EFD"/>
    <w:rsid w:val="003D606F"/>
    <w:rsid w:val="003D62D7"/>
    <w:rsid w:val="003D6489"/>
    <w:rsid w:val="003D6524"/>
    <w:rsid w:val="003D65AD"/>
    <w:rsid w:val="003D7597"/>
    <w:rsid w:val="003D7C17"/>
    <w:rsid w:val="003D7C86"/>
    <w:rsid w:val="003D7E53"/>
    <w:rsid w:val="003D7EA5"/>
    <w:rsid w:val="003D7EF9"/>
    <w:rsid w:val="003D7EFE"/>
    <w:rsid w:val="003E0150"/>
    <w:rsid w:val="003E05BD"/>
    <w:rsid w:val="003E08BA"/>
    <w:rsid w:val="003E0AF2"/>
    <w:rsid w:val="003E1169"/>
    <w:rsid w:val="003E1438"/>
    <w:rsid w:val="003E16C4"/>
    <w:rsid w:val="003E1B27"/>
    <w:rsid w:val="003E1DA6"/>
    <w:rsid w:val="003E1FAD"/>
    <w:rsid w:val="003E21DC"/>
    <w:rsid w:val="003E2251"/>
    <w:rsid w:val="003E255C"/>
    <w:rsid w:val="003E2564"/>
    <w:rsid w:val="003E2A12"/>
    <w:rsid w:val="003E2AD2"/>
    <w:rsid w:val="003E2E6F"/>
    <w:rsid w:val="003E3040"/>
    <w:rsid w:val="003E3156"/>
    <w:rsid w:val="003E32E7"/>
    <w:rsid w:val="003E3330"/>
    <w:rsid w:val="003E3375"/>
    <w:rsid w:val="003E33E5"/>
    <w:rsid w:val="003E340F"/>
    <w:rsid w:val="003E3639"/>
    <w:rsid w:val="003E37BB"/>
    <w:rsid w:val="003E3802"/>
    <w:rsid w:val="003E38F5"/>
    <w:rsid w:val="003E3A2F"/>
    <w:rsid w:val="003E3DB8"/>
    <w:rsid w:val="003E3F62"/>
    <w:rsid w:val="003E4224"/>
    <w:rsid w:val="003E4239"/>
    <w:rsid w:val="003E4245"/>
    <w:rsid w:val="003E430F"/>
    <w:rsid w:val="003E4353"/>
    <w:rsid w:val="003E4565"/>
    <w:rsid w:val="003E4666"/>
    <w:rsid w:val="003E46CB"/>
    <w:rsid w:val="003E4A61"/>
    <w:rsid w:val="003E4D1B"/>
    <w:rsid w:val="003E4D71"/>
    <w:rsid w:val="003E4E71"/>
    <w:rsid w:val="003E50A4"/>
    <w:rsid w:val="003E50FF"/>
    <w:rsid w:val="003E5429"/>
    <w:rsid w:val="003E5759"/>
    <w:rsid w:val="003E578E"/>
    <w:rsid w:val="003E5ABE"/>
    <w:rsid w:val="003E6099"/>
    <w:rsid w:val="003E6C88"/>
    <w:rsid w:val="003E6CCB"/>
    <w:rsid w:val="003E6E57"/>
    <w:rsid w:val="003E6ECF"/>
    <w:rsid w:val="003E6FC3"/>
    <w:rsid w:val="003E7353"/>
    <w:rsid w:val="003E7584"/>
    <w:rsid w:val="003E7598"/>
    <w:rsid w:val="003E77AE"/>
    <w:rsid w:val="003E7E25"/>
    <w:rsid w:val="003E7EB2"/>
    <w:rsid w:val="003F024F"/>
    <w:rsid w:val="003F0536"/>
    <w:rsid w:val="003F0878"/>
    <w:rsid w:val="003F0C8C"/>
    <w:rsid w:val="003F0D40"/>
    <w:rsid w:val="003F0DA6"/>
    <w:rsid w:val="003F104D"/>
    <w:rsid w:val="003F108E"/>
    <w:rsid w:val="003F1192"/>
    <w:rsid w:val="003F166D"/>
    <w:rsid w:val="003F1B1E"/>
    <w:rsid w:val="003F1B30"/>
    <w:rsid w:val="003F2078"/>
    <w:rsid w:val="003F2155"/>
    <w:rsid w:val="003F2229"/>
    <w:rsid w:val="003F231F"/>
    <w:rsid w:val="003F234D"/>
    <w:rsid w:val="003F259F"/>
    <w:rsid w:val="003F25D2"/>
    <w:rsid w:val="003F2CE4"/>
    <w:rsid w:val="003F2E0D"/>
    <w:rsid w:val="003F31F1"/>
    <w:rsid w:val="003F32F5"/>
    <w:rsid w:val="003F367B"/>
    <w:rsid w:val="003F3FD4"/>
    <w:rsid w:val="003F41D5"/>
    <w:rsid w:val="003F42B1"/>
    <w:rsid w:val="003F4427"/>
    <w:rsid w:val="003F45C0"/>
    <w:rsid w:val="003F4D4C"/>
    <w:rsid w:val="003F4D4E"/>
    <w:rsid w:val="003F52C3"/>
    <w:rsid w:val="003F5856"/>
    <w:rsid w:val="003F5F8F"/>
    <w:rsid w:val="003F5FA0"/>
    <w:rsid w:val="003F5FED"/>
    <w:rsid w:val="003F60EB"/>
    <w:rsid w:val="003F6138"/>
    <w:rsid w:val="003F61C4"/>
    <w:rsid w:val="003F620B"/>
    <w:rsid w:val="003F641C"/>
    <w:rsid w:val="003F65AF"/>
    <w:rsid w:val="003F6601"/>
    <w:rsid w:val="003F6772"/>
    <w:rsid w:val="003F6BD6"/>
    <w:rsid w:val="003F6F41"/>
    <w:rsid w:val="003F6FCC"/>
    <w:rsid w:val="003F7221"/>
    <w:rsid w:val="003F7275"/>
    <w:rsid w:val="003F731A"/>
    <w:rsid w:val="003F7369"/>
    <w:rsid w:val="003F73C6"/>
    <w:rsid w:val="003F79F6"/>
    <w:rsid w:val="003F7A48"/>
    <w:rsid w:val="003F7A6E"/>
    <w:rsid w:val="003F7E79"/>
    <w:rsid w:val="003F7EC5"/>
    <w:rsid w:val="003FBA63"/>
    <w:rsid w:val="004001D3"/>
    <w:rsid w:val="00400235"/>
    <w:rsid w:val="0040026F"/>
    <w:rsid w:val="004002C1"/>
    <w:rsid w:val="004002F0"/>
    <w:rsid w:val="0040051A"/>
    <w:rsid w:val="00400559"/>
    <w:rsid w:val="0040058D"/>
    <w:rsid w:val="004007D5"/>
    <w:rsid w:val="0040085C"/>
    <w:rsid w:val="00400987"/>
    <w:rsid w:val="00400EB3"/>
    <w:rsid w:val="00401059"/>
    <w:rsid w:val="0040108E"/>
    <w:rsid w:val="004011BD"/>
    <w:rsid w:val="0040148C"/>
    <w:rsid w:val="00401665"/>
    <w:rsid w:val="0040168E"/>
    <w:rsid w:val="004018B6"/>
    <w:rsid w:val="00401A5C"/>
    <w:rsid w:val="00401B6A"/>
    <w:rsid w:val="00401BB1"/>
    <w:rsid w:val="00402088"/>
    <w:rsid w:val="0040222E"/>
    <w:rsid w:val="004025B1"/>
    <w:rsid w:val="004027F8"/>
    <w:rsid w:val="00402EEF"/>
    <w:rsid w:val="00403460"/>
    <w:rsid w:val="004035A3"/>
    <w:rsid w:val="004038B6"/>
    <w:rsid w:val="004044BD"/>
    <w:rsid w:val="00404A8B"/>
    <w:rsid w:val="00404C0A"/>
    <w:rsid w:val="00404C41"/>
    <w:rsid w:val="004051DA"/>
    <w:rsid w:val="00405343"/>
    <w:rsid w:val="0040569A"/>
    <w:rsid w:val="00405899"/>
    <w:rsid w:val="00405A17"/>
    <w:rsid w:val="00405B25"/>
    <w:rsid w:val="00405B86"/>
    <w:rsid w:val="00405D85"/>
    <w:rsid w:val="00405E26"/>
    <w:rsid w:val="00405E3B"/>
    <w:rsid w:val="00406092"/>
    <w:rsid w:val="00406486"/>
    <w:rsid w:val="00406621"/>
    <w:rsid w:val="004067AD"/>
    <w:rsid w:val="00406BE6"/>
    <w:rsid w:val="00406EC9"/>
    <w:rsid w:val="00406F3B"/>
    <w:rsid w:val="00407203"/>
    <w:rsid w:val="00407510"/>
    <w:rsid w:val="004078F4"/>
    <w:rsid w:val="00407D29"/>
    <w:rsid w:val="00407F81"/>
    <w:rsid w:val="00410200"/>
    <w:rsid w:val="00410374"/>
    <w:rsid w:val="004104A7"/>
    <w:rsid w:val="004106E5"/>
    <w:rsid w:val="00410747"/>
    <w:rsid w:val="00410AAF"/>
    <w:rsid w:val="00410EB1"/>
    <w:rsid w:val="004112AA"/>
    <w:rsid w:val="004113DE"/>
    <w:rsid w:val="00411527"/>
    <w:rsid w:val="00411605"/>
    <w:rsid w:val="00411669"/>
    <w:rsid w:val="00411702"/>
    <w:rsid w:val="00411915"/>
    <w:rsid w:val="00411C61"/>
    <w:rsid w:val="00411D4F"/>
    <w:rsid w:val="00411DB0"/>
    <w:rsid w:val="0041230B"/>
    <w:rsid w:val="004123D3"/>
    <w:rsid w:val="004125CD"/>
    <w:rsid w:val="00412E46"/>
    <w:rsid w:val="00412FD4"/>
    <w:rsid w:val="004130A9"/>
    <w:rsid w:val="00413128"/>
    <w:rsid w:val="0041362E"/>
    <w:rsid w:val="00413630"/>
    <w:rsid w:val="00413726"/>
    <w:rsid w:val="0041377B"/>
    <w:rsid w:val="0041394B"/>
    <w:rsid w:val="00413AAF"/>
    <w:rsid w:val="00413EF3"/>
    <w:rsid w:val="00413F13"/>
    <w:rsid w:val="00414040"/>
    <w:rsid w:val="004140BE"/>
    <w:rsid w:val="00414277"/>
    <w:rsid w:val="004145E3"/>
    <w:rsid w:val="004146BB"/>
    <w:rsid w:val="004147D4"/>
    <w:rsid w:val="00414872"/>
    <w:rsid w:val="00414CD4"/>
    <w:rsid w:val="00414FE4"/>
    <w:rsid w:val="00415066"/>
    <w:rsid w:val="004150E7"/>
    <w:rsid w:val="00415613"/>
    <w:rsid w:val="00415CC8"/>
    <w:rsid w:val="00415E82"/>
    <w:rsid w:val="00416022"/>
    <w:rsid w:val="00416090"/>
    <w:rsid w:val="00416360"/>
    <w:rsid w:val="00416434"/>
    <w:rsid w:val="00416920"/>
    <w:rsid w:val="00416D66"/>
    <w:rsid w:val="00416E62"/>
    <w:rsid w:val="004170D4"/>
    <w:rsid w:val="00417284"/>
    <w:rsid w:val="00417676"/>
    <w:rsid w:val="00417703"/>
    <w:rsid w:val="0041778C"/>
    <w:rsid w:val="004178E1"/>
    <w:rsid w:val="00417D6B"/>
    <w:rsid w:val="0041AAAB"/>
    <w:rsid w:val="0042041D"/>
    <w:rsid w:val="004204A9"/>
    <w:rsid w:val="0042060A"/>
    <w:rsid w:val="0042078E"/>
    <w:rsid w:val="004209CE"/>
    <w:rsid w:val="00420A9A"/>
    <w:rsid w:val="00420DDE"/>
    <w:rsid w:val="00420F0E"/>
    <w:rsid w:val="004211C2"/>
    <w:rsid w:val="00421414"/>
    <w:rsid w:val="00421425"/>
    <w:rsid w:val="0042146E"/>
    <w:rsid w:val="00421581"/>
    <w:rsid w:val="0042193E"/>
    <w:rsid w:val="00421D2D"/>
    <w:rsid w:val="00421EFD"/>
    <w:rsid w:val="00421F3E"/>
    <w:rsid w:val="00422253"/>
    <w:rsid w:val="00422350"/>
    <w:rsid w:val="00422670"/>
    <w:rsid w:val="0042292E"/>
    <w:rsid w:val="004229DD"/>
    <w:rsid w:val="00422A22"/>
    <w:rsid w:val="00422A62"/>
    <w:rsid w:val="00422B4A"/>
    <w:rsid w:val="00422BBF"/>
    <w:rsid w:val="00422CC6"/>
    <w:rsid w:val="00422CC9"/>
    <w:rsid w:val="00422FFF"/>
    <w:rsid w:val="00423072"/>
    <w:rsid w:val="00423104"/>
    <w:rsid w:val="00423438"/>
    <w:rsid w:val="004234F5"/>
    <w:rsid w:val="00423597"/>
    <w:rsid w:val="00423644"/>
    <w:rsid w:val="00423823"/>
    <w:rsid w:val="004239B7"/>
    <w:rsid w:val="00423A2D"/>
    <w:rsid w:val="00423C2D"/>
    <w:rsid w:val="00423CFA"/>
    <w:rsid w:val="00423E36"/>
    <w:rsid w:val="00423EF8"/>
    <w:rsid w:val="00423FE1"/>
    <w:rsid w:val="00424081"/>
    <w:rsid w:val="004244CD"/>
    <w:rsid w:val="0042491D"/>
    <w:rsid w:val="00424B1F"/>
    <w:rsid w:val="00425033"/>
    <w:rsid w:val="00425300"/>
    <w:rsid w:val="0042534E"/>
    <w:rsid w:val="004255A1"/>
    <w:rsid w:val="004256AD"/>
    <w:rsid w:val="00426670"/>
    <w:rsid w:val="004267E6"/>
    <w:rsid w:val="00426D12"/>
    <w:rsid w:val="00426D7A"/>
    <w:rsid w:val="004276F7"/>
    <w:rsid w:val="0042783E"/>
    <w:rsid w:val="00427A75"/>
    <w:rsid w:val="00427CF7"/>
    <w:rsid w:val="0043008F"/>
    <w:rsid w:val="0043009D"/>
    <w:rsid w:val="004303CB"/>
    <w:rsid w:val="0043051F"/>
    <w:rsid w:val="0043052E"/>
    <w:rsid w:val="00430694"/>
    <w:rsid w:val="00430780"/>
    <w:rsid w:val="00430A5E"/>
    <w:rsid w:val="00430B59"/>
    <w:rsid w:val="00430B6A"/>
    <w:rsid w:val="00430D50"/>
    <w:rsid w:val="00430D62"/>
    <w:rsid w:val="00430DF1"/>
    <w:rsid w:val="00430E47"/>
    <w:rsid w:val="00430F49"/>
    <w:rsid w:val="0043106C"/>
    <w:rsid w:val="0043126D"/>
    <w:rsid w:val="0043132D"/>
    <w:rsid w:val="0043139C"/>
    <w:rsid w:val="00431685"/>
    <w:rsid w:val="004316F9"/>
    <w:rsid w:val="00431868"/>
    <w:rsid w:val="004319C9"/>
    <w:rsid w:val="00431A3A"/>
    <w:rsid w:val="00431B6C"/>
    <w:rsid w:val="00431D77"/>
    <w:rsid w:val="00431D7D"/>
    <w:rsid w:val="00431DD9"/>
    <w:rsid w:val="00432268"/>
    <w:rsid w:val="004326F3"/>
    <w:rsid w:val="00432C0A"/>
    <w:rsid w:val="004334BD"/>
    <w:rsid w:val="0043350F"/>
    <w:rsid w:val="00433528"/>
    <w:rsid w:val="00433577"/>
    <w:rsid w:val="00433784"/>
    <w:rsid w:val="004337B4"/>
    <w:rsid w:val="00433B90"/>
    <w:rsid w:val="00433DC0"/>
    <w:rsid w:val="00433DE8"/>
    <w:rsid w:val="00433FE6"/>
    <w:rsid w:val="004340D9"/>
    <w:rsid w:val="00434644"/>
    <w:rsid w:val="004349DD"/>
    <w:rsid w:val="00434C73"/>
    <w:rsid w:val="00434C9C"/>
    <w:rsid w:val="00434FC0"/>
    <w:rsid w:val="0043507D"/>
    <w:rsid w:val="004351A2"/>
    <w:rsid w:val="004351A4"/>
    <w:rsid w:val="004353A4"/>
    <w:rsid w:val="00435567"/>
    <w:rsid w:val="00435631"/>
    <w:rsid w:val="0043564E"/>
    <w:rsid w:val="00436225"/>
    <w:rsid w:val="00436529"/>
    <w:rsid w:val="004365A8"/>
    <w:rsid w:val="0043661F"/>
    <w:rsid w:val="00436C60"/>
    <w:rsid w:val="00436DA7"/>
    <w:rsid w:val="00436DEF"/>
    <w:rsid w:val="00436E22"/>
    <w:rsid w:val="00436E6C"/>
    <w:rsid w:val="00436E97"/>
    <w:rsid w:val="004378BC"/>
    <w:rsid w:val="00437C95"/>
    <w:rsid w:val="00437D0C"/>
    <w:rsid w:val="00437E62"/>
    <w:rsid w:val="00440151"/>
    <w:rsid w:val="004402AF"/>
    <w:rsid w:val="00440691"/>
    <w:rsid w:val="004406BD"/>
    <w:rsid w:val="00440AB1"/>
    <w:rsid w:val="004412B6"/>
    <w:rsid w:val="00441415"/>
    <w:rsid w:val="00441471"/>
    <w:rsid w:val="00441806"/>
    <w:rsid w:val="0044198F"/>
    <w:rsid w:val="00441AEA"/>
    <w:rsid w:val="00441B6A"/>
    <w:rsid w:val="00441F30"/>
    <w:rsid w:val="00441FEE"/>
    <w:rsid w:val="0044247B"/>
    <w:rsid w:val="00442515"/>
    <w:rsid w:val="00442C32"/>
    <w:rsid w:val="00442CB4"/>
    <w:rsid w:val="00442DD9"/>
    <w:rsid w:val="004431AA"/>
    <w:rsid w:val="004433DB"/>
    <w:rsid w:val="00443544"/>
    <w:rsid w:val="0044360C"/>
    <w:rsid w:val="0044366A"/>
    <w:rsid w:val="00443C5F"/>
    <w:rsid w:val="00443D38"/>
    <w:rsid w:val="00443D44"/>
    <w:rsid w:val="00443E1F"/>
    <w:rsid w:val="00444014"/>
    <w:rsid w:val="0044454C"/>
    <w:rsid w:val="0044458E"/>
    <w:rsid w:val="004445FB"/>
    <w:rsid w:val="00444648"/>
    <w:rsid w:val="00444686"/>
    <w:rsid w:val="0044476D"/>
    <w:rsid w:val="00444A2A"/>
    <w:rsid w:val="00444A7C"/>
    <w:rsid w:val="00444B3F"/>
    <w:rsid w:val="00444C43"/>
    <w:rsid w:val="0044504F"/>
    <w:rsid w:val="004451CB"/>
    <w:rsid w:val="00445211"/>
    <w:rsid w:val="00445227"/>
    <w:rsid w:val="00445455"/>
    <w:rsid w:val="004458CC"/>
    <w:rsid w:val="0044591A"/>
    <w:rsid w:val="00445BB2"/>
    <w:rsid w:val="00445D35"/>
    <w:rsid w:val="00445DE5"/>
    <w:rsid w:val="0044604C"/>
    <w:rsid w:val="00446073"/>
    <w:rsid w:val="00446602"/>
    <w:rsid w:val="004466B3"/>
    <w:rsid w:val="004466DB"/>
    <w:rsid w:val="004466DF"/>
    <w:rsid w:val="0044677C"/>
    <w:rsid w:val="00446909"/>
    <w:rsid w:val="004469B4"/>
    <w:rsid w:val="00446C33"/>
    <w:rsid w:val="00447510"/>
    <w:rsid w:val="00447758"/>
    <w:rsid w:val="00447C4A"/>
    <w:rsid w:val="00447C67"/>
    <w:rsid w:val="00447E8D"/>
    <w:rsid w:val="00447ED7"/>
    <w:rsid w:val="00447EEC"/>
    <w:rsid w:val="00450146"/>
    <w:rsid w:val="0045016F"/>
    <w:rsid w:val="0045039F"/>
    <w:rsid w:val="004505A0"/>
    <w:rsid w:val="0045074F"/>
    <w:rsid w:val="00450774"/>
    <w:rsid w:val="00450AB7"/>
    <w:rsid w:val="00450B57"/>
    <w:rsid w:val="00450C8C"/>
    <w:rsid w:val="00450E4D"/>
    <w:rsid w:val="00450EB9"/>
    <w:rsid w:val="004511E3"/>
    <w:rsid w:val="00451326"/>
    <w:rsid w:val="00451331"/>
    <w:rsid w:val="004516FD"/>
    <w:rsid w:val="00451716"/>
    <w:rsid w:val="00451788"/>
    <w:rsid w:val="0045180D"/>
    <w:rsid w:val="00451EDE"/>
    <w:rsid w:val="00451FBD"/>
    <w:rsid w:val="004520DA"/>
    <w:rsid w:val="00452298"/>
    <w:rsid w:val="004525B2"/>
    <w:rsid w:val="00452653"/>
    <w:rsid w:val="0045283F"/>
    <w:rsid w:val="00452BE6"/>
    <w:rsid w:val="00452C3A"/>
    <w:rsid w:val="00453212"/>
    <w:rsid w:val="0045357D"/>
    <w:rsid w:val="0045390B"/>
    <w:rsid w:val="00453C34"/>
    <w:rsid w:val="00453F4B"/>
    <w:rsid w:val="0045406E"/>
    <w:rsid w:val="0045465B"/>
    <w:rsid w:val="0045469A"/>
    <w:rsid w:val="00454708"/>
    <w:rsid w:val="004549A4"/>
    <w:rsid w:val="00454BDB"/>
    <w:rsid w:val="00454E96"/>
    <w:rsid w:val="00455001"/>
    <w:rsid w:val="00455127"/>
    <w:rsid w:val="00455158"/>
    <w:rsid w:val="004551A8"/>
    <w:rsid w:val="00455535"/>
    <w:rsid w:val="0045558A"/>
    <w:rsid w:val="004555D6"/>
    <w:rsid w:val="00455780"/>
    <w:rsid w:val="004557F0"/>
    <w:rsid w:val="0045587C"/>
    <w:rsid w:val="004569E8"/>
    <w:rsid w:val="00456D52"/>
    <w:rsid w:val="004572EA"/>
    <w:rsid w:val="004577E4"/>
    <w:rsid w:val="0045792A"/>
    <w:rsid w:val="00457C5A"/>
    <w:rsid w:val="00458199"/>
    <w:rsid w:val="004605A5"/>
    <w:rsid w:val="00460777"/>
    <w:rsid w:val="00460835"/>
    <w:rsid w:val="00460A94"/>
    <w:rsid w:val="00460AC2"/>
    <w:rsid w:val="00460BF1"/>
    <w:rsid w:val="00460F18"/>
    <w:rsid w:val="00461670"/>
    <w:rsid w:val="00461716"/>
    <w:rsid w:val="00461753"/>
    <w:rsid w:val="00461A3D"/>
    <w:rsid w:val="00461DE0"/>
    <w:rsid w:val="0046216A"/>
    <w:rsid w:val="00462371"/>
    <w:rsid w:val="004623DF"/>
    <w:rsid w:val="0046294C"/>
    <w:rsid w:val="00462A39"/>
    <w:rsid w:val="00462C24"/>
    <w:rsid w:val="00462C8D"/>
    <w:rsid w:val="004630C1"/>
    <w:rsid w:val="004635E0"/>
    <w:rsid w:val="00463728"/>
    <w:rsid w:val="004639AF"/>
    <w:rsid w:val="00463A4C"/>
    <w:rsid w:val="00463B4F"/>
    <w:rsid w:val="00463F35"/>
    <w:rsid w:val="004640C3"/>
    <w:rsid w:val="00464263"/>
    <w:rsid w:val="004643B2"/>
    <w:rsid w:val="004647BD"/>
    <w:rsid w:val="004648BB"/>
    <w:rsid w:val="00464A50"/>
    <w:rsid w:val="00464A93"/>
    <w:rsid w:val="00464AA6"/>
    <w:rsid w:val="00464C4D"/>
    <w:rsid w:val="00464F2D"/>
    <w:rsid w:val="004652D7"/>
    <w:rsid w:val="00465895"/>
    <w:rsid w:val="00465A38"/>
    <w:rsid w:val="00465A9B"/>
    <w:rsid w:val="00465ADD"/>
    <w:rsid w:val="00465B3F"/>
    <w:rsid w:val="00465C12"/>
    <w:rsid w:val="00465C89"/>
    <w:rsid w:val="00465F96"/>
    <w:rsid w:val="00466220"/>
    <w:rsid w:val="00466468"/>
    <w:rsid w:val="004664C5"/>
    <w:rsid w:val="00466543"/>
    <w:rsid w:val="004668A1"/>
    <w:rsid w:val="00466916"/>
    <w:rsid w:val="00466CB2"/>
    <w:rsid w:val="00466FF3"/>
    <w:rsid w:val="004670D9"/>
    <w:rsid w:val="004672FA"/>
    <w:rsid w:val="004673C2"/>
    <w:rsid w:val="00467796"/>
    <w:rsid w:val="004679B5"/>
    <w:rsid w:val="00467B19"/>
    <w:rsid w:val="00467D3F"/>
    <w:rsid w:val="0046EBEB"/>
    <w:rsid w:val="0047027D"/>
    <w:rsid w:val="004704DE"/>
    <w:rsid w:val="004705DB"/>
    <w:rsid w:val="004707DB"/>
    <w:rsid w:val="00470E29"/>
    <w:rsid w:val="00470F59"/>
    <w:rsid w:val="00470F64"/>
    <w:rsid w:val="00471036"/>
    <w:rsid w:val="004711D4"/>
    <w:rsid w:val="00471398"/>
    <w:rsid w:val="00471656"/>
    <w:rsid w:val="004716DA"/>
    <w:rsid w:val="00471725"/>
    <w:rsid w:val="0047179A"/>
    <w:rsid w:val="00471A92"/>
    <w:rsid w:val="00471D78"/>
    <w:rsid w:val="00471E43"/>
    <w:rsid w:val="00471E9E"/>
    <w:rsid w:val="00472065"/>
    <w:rsid w:val="00472093"/>
    <w:rsid w:val="00472A5C"/>
    <w:rsid w:val="00472B3D"/>
    <w:rsid w:val="00472DF9"/>
    <w:rsid w:val="00472E7A"/>
    <w:rsid w:val="00472F2E"/>
    <w:rsid w:val="00472FB3"/>
    <w:rsid w:val="004730C3"/>
    <w:rsid w:val="00473341"/>
    <w:rsid w:val="00473468"/>
    <w:rsid w:val="004734B2"/>
    <w:rsid w:val="004734C8"/>
    <w:rsid w:val="0047354C"/>
    <w:rsid w:val="004739EF"/>
    <w:rsid w:val="00473C8F"/>
    <w:rsid w:val="00473F65"/>
    <w:rsid w:val="0047403A"/>
    <w:rsid w:val="00474086"/>
    <w:rsid w:val="00474607"/>
    <w:rsid w:val="00474CBE"/>
    <w:rsid w:val="00474E9F"/>
    <w:rsid w:val="00474FA3"/>
    <w:rsid w:val="004751B5"/>
    <w:rsid w:val="0047520A"/>
    <w:rsid w:val="00475533"/>
    <w:rsid w:val="0047578C"/>
    <w:rsid w:val="004759CA"/>
    <w:rsid w:val="00475AC8"/>
    <w:rsid w:val="00475E8D"/>
    <w:rsid w:val="004760AF"/>
    <w:rsid w:val="004763F1"/>
    <w:rsid w:val="00476688"/>
    <w:rsid w:val="00476740"/>
    <w:rsid w:val="004768F4"/>
    <w:rsid w:val="00476A24"/>
    <w:rsid w:val="00476BFA"/>
    <w:rsid w:val="00476D80"/>
    <w:rsid w:val="004770C9"/>
    <w:rsid w:val="004775D0"/>
    <w:rsid w:val="004777DC"/>
    <w:rsid w:val="0047787D"/>
    <w:rsid w:val="004778A7"/>
    <w:rsid w:val="00477B6D"/>
    <w:rsid w:val="00477B8D"/>
    <w:rsid w:val="00480151"/>
    <w:rsid w:val="00480A73"/>
    <w:rsid w:val="00480C09"/>
    <w:rsid w:val="00480C29"/>
    <w:rsid w:val="00480C40"/>
    <w:rsid w:val="00480D47"/>
    <w:rsid w:val="00480E4E"/>
    <w:rsid w:val="00481E52"/>
    <w:rsid w:val="004822EB"/>
    <w:rsid w:val="0048255F"/>
    <w:rsid w:val="00482B34"/>
    <w:rsid w:val="00482BBB"/>
    <w:rsid w:val="00482D9A"/>
    <w:rsid w:val="00482F37"/>
    <w:rsid w:val="00483039"/>
    <w:rsid w:val="00483472"/>
    <w:rsid w:val="00483494"/>
    <w:rsid w:val="00483542"/>
    <w:rsid w:val="00483848"/>
    <w:rsid w:val="00483907"/>
    <w:rsid w:val="00483A7A"/>
    <w:rsid w:val="00483B5C"/>
    <w:rsid w:val="00483CD3"/>
    <w:rsid w:val="00483D8A"/>
    <w:rsid w:val="00483FA4"/>
    <w:rsid w:val="004840FB"/>
    <w:rsid w:val="004842D2"/>
    <w:rsid w:val="004843EC"/>
    <w:rsid w:val="004845E6"/>
    <w:rsid w:val="00484A26"/>
    <w:rsid w:val="00484ACD"/>
    <w:rsid w:val="00484D65"/>
    <w:rsid w:val="00484F9A"/>
    <w:rsid w:val="00485353"/>
    <w:rsid w:val="0048588A"/>
    <w:rsid w:val="00485AB7"/>
    <w:rsid w:val="00485E77"/>
    <w:rsid w:val="0048612A"/>
    <w:rsid w:val="0048634F"/>
    <w:rsid w:val="004863B2"/>
    <w:rsid w:val="0048670E"/>
    <w:rsid w:val="004867FB"/>
    <w:rsid w:val="004868C4"/>
    <w:rsid w:val="00486AE9"/>
    <w:rsid w:val="00486D8C"/>
    <w:rsid w:val="004870B9"/>
    <w:rsid w:val="004870CC"/>
    <w:rsid w:val="00487398"/>
    <w:rsid w:val="004873A0"/>
    <w:rsid w:val="004874BE"/>
    <w:rsid w:val="004875DA"/>
    <w:rsid w:val="00487B54"/>
    <w:rsid w:val="00487B63"/>
    <w:rsid w:val="00487E30"/>
    <w:rsid w:val="00490031"/>
    <w:rsid w:val="00490054"/>
    <w:rsid w:val="004900A7"/>
    <w:rsid w:val="00490260"/>
    <w:rsid w:val="00490416"/>
    <w:rsid w:val="00490540"/>
    <w:rsid w:val="004905C4"/>
    <w:rsid w:val="00490843"/>
    <w:rsid w:val="004908AB"/>
    <w:rsid w:val="0049091A"/>
    <w:rsid w:val="00490958"/>
    <w:rsid w:val="00490D22"/>
    <w:rsid w:val="004910FF"/>
    <w:rsid w:val="004913ED"/>
    <w:rsid w:val="0049149A"/>
    <w:rsid w:val="004914B2"/>
    <w:rsid w:val="004916DC"/>
    <w:rsid w:val="00491B50"/>
    <w:rsid w:val="00491C1F"/>
    <w:rsid w:val="00491D7F"/>
    <w:rsid w:val="00492133"/>
    <w:rsid w:val="004927D4"/>
    <w:rsid w:val="0049281E"/>
    <w:rsid w:val="00492A94"/>
    <w:rsid w:val="0049321D"/>
    <w:rsid w:val="004932D1"/>
    <w:rsid w:val="0049391F"/>
    <w:rsid w:val="00493A64"/>
    <w:rsid w:val="00493BAF"/>
    <w:rsid w:val="00493E63"/>
    <w:rsid w:val="00493EC4"/>
    <w:rsid w:val="00493EF3"/>
    <w:rsid w:val="00493F47"/>
    <w:rsid w:val="00493FAE"/>
    <w:rsid w:val="0049409A"/>
    <w:rsid w:val="004940E2"/>
    <w:rsid w:val="00494527"/>
    <w:rsid w:val="004945DD"/>
    <w:rsid w:val="00494614"/>
    <w:rsid w:val="00494ACB"/>
    <w:rsid w:val="00494B98"/>
    <w:rsid w:val="00494E71"/>
    <w:rsid w:val="00495329"/>
    <w:rsid w:val="00495441"/>
    <w:rsid w:val="0049554A"/>
    <w:rsid w:val="004956EA"/>
    <w:rsid w:val="0049589F"/>
    <w:rsid w:val="00495B72"/>
    <w:rsid w:val="00495EE6"/>
    <w:rsid w:val="004964FD"/>
    <w:rsid w:val="0049657A"/>
    <w:rsid w:val="00496775"/>
    <w:rsid w:val="0049677E"/>
    <w:rsid w:val="00496B70"/>
    <w:rsid w:val="00496D26"/>
    <w:rsid w:val="0049701D"/>
    <w:rsid w:val="00497022"/>
    <w:rsid w:val="0049766A"/>
    <w:rsid w:val="00497805"/>
    <w:rsid w:val="00497A2F"/>
    <w:rsid w:val="00497C5B"/>
    <w:rsid w:val="00497E20"/>
    <w:rsid w:val="00499463"/>
    <w:rsid w:val="0049F6C7"/>
    <w:rsid w:val="004A03FE"/>
    <w:rsid w:val="004A05CC"/>
    <w:rsid w:val="004A06AA"/>
    <w:rsid w:val="004A0DE5"/>
    <w:rsid w:val="004A1132"/>
    <w:rsid w:val="004A11F9"/>
    <w:rsid w:val="004A14B9"/>
    <w:rsid w:val="004A1FF5"/>
    <w:rsid w:val="004A20E6"/>
    <w:rsid w:val="004A249B"/>
    <w:rsid w:val="004A2A05"/>
    <w:rsid w:val="004A2DF1"/>
    <w:rsid w:val="004A2ECB"/>
    <w:rsid w:val="004A2F9A"/>
    <w:rsid w:val="004A32C6"/>
    <w:rsid w:val="004A345A"/>
    <w:rsid w:val="004A3640"/>
    <w:rsid w:val="004A38E9"/>
    <w:rsid w:val="004A393C"/>
    <w:rsid w:val="004A3AC7"/>
    <w:rsid w:val="004A3B4B"/>
    <w:rsid w:val="004A3E64"/>
    <w:rsid w:val="004A40E5"/>
    <w:rsid w:val="004A4138"/>
    <w:rsid w:val="004A46D3"/>
    <w:rsid w:val="004A4A16"/>
    <w:rsid w:val="004A4BD1"/>
    <w:rsid w:val="004A4D52"/>
    <w:rsid w:val="004A500A"/>
    <w:rsid w:val="004A521B"/>
    <w:rsid w:val="004A54FE"/>
    <w:rsid w:val="004A579D"/>
    <w:rsid w:val="004A57D1"/>
    <w:rsid w:val="004A582F"/>
    <w:rsid w:val="004A587C"/>
    <w:rsid w:val="004A58D5"/>
    <w:rsid w:val="004A5D9E"/>
    <w:rsid w:val="004A609F"/>
    <w:rsid w:val="004A6277"/>
    <w:rsid w:val="004A63C8"/>
    <w:rsid w:val="004A654A"/>
    <w:rsid w:val="004A65D0"/>
    <w:rsid w:val="004A68E8"/>
    <w:rsid w:val="004A6AEC"/>
    <w:rsid w:val="004A7143"/>
    <w:rsid w:val="004A7166"/>
    <w:rsid w:val="004A72FF"/>
    <w:rsid w:val="004A737E"/>
    <w:rsid w:val="004A76D7"/>
    <w:rsid w:val="004A770A"/>
    <w:rsid w:val="004A7BE3"/>
    <w:rsid w:val="004A7C4C"/>
    <w:rsid w:val="004A7CC3"/>
    <w:rsid w:val="004A7D79"/>
    <w:rsid w:val="004A7E72"/>
    <w:rsid w:val="004A7F7F"/>
    <w:rsid w:val="004B0589"/>
    <w:rsid w:val="004B0677"/>
    <w:rsid w:val="004B0E6A"/>
    <w:rsid w:val="004B0FFA"/>
    <w:rsid w:val="004B1008"/>
    <w:rsid w:val="004B105E"/>
    <w:rsid w:val="004B1139"/>
    <w:rsid w:val="004B1164"/>
    <w:rsid w:val="004B12E3"/>
    <w:rsid w:val="004B1383"/>
    <w:rsid w:val="004B14E1"/>
    <w:rsid w:val="004B15CA"/>
    <w:rsid w:val="004B1745"/>
    <w:rsid w:val="004B18F4"/>
    <w:rsid w:val="004B1E2D"/>
    <w:rsid w:val="004B1E58"/>
    <w:rsid w:val="004B2309"/>
    <w:rsid w:val="004B266E"/>
    <w:rsid w:val="004B282B"/>
    <w:rsid w:val="004B2A9E"/>
    <w:rsid w:val="004B2AB9"/>
    <w:rsid w:val="004B2B2F"/>
    <w:rsid w:val="004B2CF6"/>
    <w:rsid w:val="004B2D46"/>
    <w:rsid w:val="004B2D72"/>
    <w:rsid w:val="004B2E19"/>
    <w:rsid w:val="004B3112"/>
    <w:rsid w:val="004B3521"/>
    <w:rsid w:val="004B37DE"/>
    <w:rsid w:val="004B3E79"/>
    <w:rsid w:val="004B4024"/>
    <w:rsid w:val="004B417A"/>
    <w:rsid w:val="004B4205"/>
    <w:rsid w:val="004B42E6"/>
    <w:rsid w:val="004B440F"/>
    <w:rsid w:val="004B44A5"/>
    <w:rsid w:val="004B47E8"/>
    <w:rsid w:val="004B4E66"/>
    <w:rsid w:val="004B4F76"/>
    <w:rsid w:val="004B521E"/>
    <w:rsid w:val="004B5399"/>
    <w:rsid w:val="004B5450"/>
    <w:rsid w:val="004B54FB"/>
    <w:rsid w:val="004B55B1"/>
    <w:rsid w:val="004B55D9"/>
    <w:rsid w:val="004B56AD"/>
    <w:rsid w:val="004B5801"/>
    <w:rsid w:val="004B5BEF"/>
    <w:rsid w:val="004B6277"/>
    <w:rsid w:val="004B6291"/>
    <w:rsid w:val="004B62EA"/>
    <w:rsid w:val="004B63FC"/>
    <w:rsid w:val="004B656E"/>
    <w:rsid w:val="004B696D"/>
    <w:rsid w:val="004B69D4"/>
    <w:rsid w:val="004B6CE8"/>
    <w:rsid w:val="004B6D01"/>
    <w:rsid w:val="004B6D1B"/>
    <w:rsid w:val="004B6E6F"/>
    <w:rsid w:val="004B6E7F"/>
    <w:rsid w:val="004B70DD"/>
    <w:rsid w:val="004B7189"/>
    <w:rsid w:val="004B793C"/>
    <w:rsid w:val="004B7989"/>
    <w:rsid w:val="004B7BA7"/>
    <w:rsid w:val="004C003E"/>
    <w:rsid w:val="004C022C"/>
    <w:rsid w:val="004C031C"/>
    <w:rsid w:val="004C0524"/>
    <w:rsid w:val="004C072B"/>
    <w:rsid w:val="004C0A2C"/>
    <w:rsid w:val="004C0B63"/>
    <w:rsid w:val="004C0CC7"/>
    <w:rsid w:val="004C0DA5"/>
    <w:rsid w:val="004C0F43"/>
    <w:rsid w:val="004C1686"/>
    <w:rsid w:val="004C1763"/>
    <w:rsid w:val="004C17A4"/>
    <w:rsid w:val="004C18D5"/>
    <w:rsid w:val="004C18F7"/>
    <w:rsid w:val="004C1921"/>
    <w:rsid w:val="004C1B59"/>
    <w:rsid w:val="004C1D2D"/>
    <w:rsid w:val="004C2205"/>
    <w:rsid w:val="004C234A"/>
    <w:rsid w:val="004C241B"/>
    <w:rsid w:val="004C24A8"/>
    <w:rsid w:val="004C25C8"/>
    <w:rsid w:val="004C2628"/>
    <w:rsid w:val="004C278B"/>
    <w:rsid w:val="004C28AB"/>
    <w:rsid w:val="004C2A43"/>
    <w:rsid w:val="004C2B0C"/>
    <w:rsid w:val="004C2BD2"/>
    <w:rsid w:val="004C2C15"/>
    <w:rsid w:val="004C2D0E"/>
    <w:rsid w:val="004C32A4"/>
    <w:rsid w:val="004C34E8"/>
    <w:rsid w:val="004C37FD"/>
    <w:rsid w:val="004C3F4B"/>
    <w:rsid w:val="004C3F52"/>
    <w:rsid w:val="004C3FBC"/>
    <w:rsid w:val="004C4005"/>
    <w:rsid w:val="004C4364"/>
    <w:rsid w:val="004C4467"/>
    <w:rsid w:val="004C4A9F"/>
    <w:rsid w:val="004C4B91"/>
    <w:rsid w:val="004C4C6B"/>
    <w:rsid w:val="004C4D59"/>
    <w:rsid w:val="004C4EC2"/>
    <w:rsid w:val="004C4F14"/>
    <w:rsid w:val="004C4FD4"/>
    <w:rsid w:val="004C507E"/>
    <w:rsid w:val="004C53E5"/>
    <w:rsid w:val="004C56A9"/>
    <w:rsid w:val="004C587E"/>
    <w:rsid w:val="004C599F"/>
    <w:rsid w:val="004C5C50"/>
    <w:rsid w:val="004C5C85"/>
    <w:rsid w:val="004C61C2"/>
    <w:rsid w:val="004C640C"/>
    <w:rsid w:val="004C66BD"/>
    <w:rsid w:val="004C6735"/>
    <w:rsid w:val="004C6ACE"/>
    <w:rsid w:val="004C6DC8"/>
    <w:rsid w:val="004C71E3"/>
    <w:rsid w:val="004C71F2"/>
    <w:rsid w:val="004C7278"/>
    <w:rsid w:val="004C7520"/>
    <w:rsid w:val="004C7587"/>
    <w:rsid w:val="004C766E"/>
    <w:rsid w:val="004C767F"/>
    <w:rsid w:val="004C7750"/>
    <w:rsid w:val="004C7DEA"/>
    <w:rsid w:val="004C7E9B"/>
    <w:rsid w:val="004D0047"/>
    <w:rsid w:val="004D01FE"/>
    <w:rsid w:val="004D03A0"/>
    <w:rsid w:val="004D065C"/>
    <w:rsid w:val="004D0787"/>
    <w:rsid w:val="004D0DA7"/>
    <w:rsid w:val="004D0FB7"/>
    <w:rsid w:val="004D10FD"/>
    <w:rsid w:val="004D121D"/>
    <w:rsid w:val="004D1654"/>
    <w:rsid w:val="004D186A"/>
    <w:rsid w:val="004D1B4C"/>
    <w:rsid w:val="004D1E00"/>
    <w:rsid w:val="004D2113"/>
    <w:rsid w:val="004D2138"/>
    <w:rsid w:val="004D2574"/>
    <w:rsid w:val="004D2A2C"/>
    <w:rsid w:val="004D2C3F"/>
    <w:rsid w:val="004D2D10"/>
    <w:rsid w:val="004D3203"/>
    <w:rsid w:val="004D3402"/>
    <w:rsid w:val="004D344C"/>
    <w:rsid w:val="004D346C"/>
    <w:rsid w:val="004D35A8"/>
    <w:rsid w:val="004D35AD"/>
    <w:rsid w:val="004D3758"/>
    <w:rsid w:val="004D38BB"/>
    <w:rsid w:val="004D3A18"/>
    <w:rsid w:val="004D3B01"/>
    <w:rsid w:val="004D3C9B"/>
    <w:rsid w:val="004D416B"/>
    <w:rsid w:val="004D42B6"/>
    <w:rsid w:val="004D44EE"/>
    <w:rsid w:val="004D45D0"/>
    <w:rsid w:val="004D4757"/>
    <w:rsid w:val="004D4935"/>
    <w:rsid w:val="004D4977"/>
    <w:rsid w:val="004D4F06"/>
    <w:rsid w:val="004D4F15"/>
    <w:rsid w:val="004D4FEC"/>
    <w:rsid w:val="004D4FF7"/>
    <w:rsid w:val="004D5162"/>
    <w:rsid w:val="004D51B4"/>
    <w:rsid w:val="004D54D2"/>
    <w:rsid w:val="004D5B51"/>
    <w:rsid w:val="004D5C0A"/>
    <w:rsid w:val="004D5C68"/>
    <w:rsid w:val="004D5FDC"/>
    <w:rsid w:val="004D5FEB"/>
    <w:rsid w:val="004D6966"/>
    <w:rsid w:val="004D6D5E"/>
    <w:rsid w:val="004D7456"/>
    <w:rsid w:val="004D75A1"/>
    <w:rsid w:val="004D7AC1"/>
    <w:rsid w:val="004D7AC6"/>
    <w:rsid w:val="004D7BEE"/>
    <w:rsid w:val="004D7C21"/>
    <w:rsid w:val="004D7EA0"/>
    <w:rsid w:val="004E0284"/>
    <w:rsid w:val="004E06B4"/>
    <w:rsid w:val="004E06FB"/>
    <w:rsid w:val="004E0722"/>
    <w:rsid w:val="004E0737"/>
    <w:rsid w:val="004E07BC"/>
    <w:rsid w:val="004E0941"/>
    <w:rsid w:val="004E0B29"/>
    <w:rsid w:val="004E0BDA"/>
    <w:rsid w:val="004E0CAF"/>
    <w:rsid w:val="004E0D77"/>
    <w:rsid w:val="004E0E5F"/>
    <w:rsid w:val="004E0E88"/>
    <w:rsid w:val="004E1885"/>
    <w:rsid w:val="004E1C16"/>
    <w:rsid w:val="004E1CAB"/>
    <w:rsid w:val="004E1D2E"/>
    <w:rsid w:val="004E20F3"/>
    <w:rsid w:val="004E20FE"/>
    <w:rsid w:val="004E222F"/>
    <w:rsid w:val="004E2324"/>
    <w:rsid w:val="004E23BD"/>
    <w:rsid w:val="004E270D"/>
    <w:rsid w:val="004E274F"/>
    <w:rsid w:val="004E27BD"/>
    <w:rsid w:val="004E286D"/>
    <w:rsid w:val="004E2F2D"/>
    <w:rsid w:val="004E306C"/>
    <w:rsid w:val="004E3143"/>
    <w:rsid w:val="004E3433"/>
    <w:rsid w:val="004E3715"/>
    <w:rsid w:val="004E372D"/>
    <w:rsid w:val="004E38AF"/>
    <w:rsid w:val="004E3ABC"/>
    <w:rsid w:val="004E3FD2"/>
    <w:rsid w:val="004E422D"/>
    <w:rsid w:val="004E44D2"/>
    <w:rsid w:val="004E4903"/>
    <w:rsid w:val="004E4A1D"/>
    <w:rsid w:val="004E4CA2"/>
    <w:rsid w:val="004E4DAD"/>
    <w:rsid w:val="004E4E08"/>
    <w:rsid w:val="004E4EC7"/>
    <w:rsid w:val="004E5089"/>
    <w:rsid w:val="004E54B6"/>
    <w:rsid w:val="004E5508"/>
    <w:rsid w:val="004E565C"/>
    <w:rsid w:val="004E58B4"/>
    <w:rsid w:val="004E5B63"/>
    <w:rsid w:val="004E5D20"/>
    <w:rsid w:val="004E5FA6"/>
    <w:rsid w:val="004E6459"/>
    <w:rsid w:val="004E646D"/>
    <w:rsid w:val="004E665B"/>
    <w:rsid w:val="004E6888"/>
    <w:rsid w:val="004E688D"/>
    <w:rsid w:val="004E68AD"/>
    <w:rsid w:val="004E6AF0"/>
    <w:rsid w:val="004E6EBC"/>
    <w:rsid w:val="004E6F15"/>
    <w:rsid w:val="004E72BC"/>
    <w:rsid w:val="004E733A"/>
    <w:rsid w:val="004E74A0"/>
    <w:rsid w:val="004E7558"/>
    <w:rsid w:val="004E7829"/>
    <w:rsid w:val="004E7BE0"/>
    <w:rsid w:val="004E7D5F"/>
    <w:rsid w:val="004F0185"/>
    <w:rsid w:val="004F02CA"/>
    <w:rsid w:val="004F03CB"/>
    <w:rsid w:val="004F03F2"/>
    <w:rsid w:val="004F05D9"/>
    <w:rsid w:val="004F0613"/>
    <w:rsid w:val="004F0A1C"/>
    <w:rsid w:val="004F0CEB"/>
    <w:rsid w:val="004F0E27"/>
    <w:rsid w:val="004F1098"/>
    <w:rsid w:val="004F10F6"/>
    <w:rsid w:val="004F141B"/>
    <w:rsid w:val="004F1550"/>
    <w:rsid w:val="004F15FC"/>
    <w:rsid w:val="004F1810"/>
    <w:rsid w:val="004F1CBE"/>
    <w:rsid w:val="004F1E55"/>
    <w:rsid w:val="004F203D"/>
    <w:rsid w:val="004F2379"/>
    <w:rsid w:val="004F277C"/>
    <w:rsid w:val="004F2F66"/>
    <w:rsid w:val="004F319D"/>
    <w:rsid w:val="004F3208"/>
    <w:rsid w:val="004F3834"/>
    <w:rsid w:val="004F3A51"/>
    <w:rsid w:val="004F3C1D"/>
    <w:rsid w:val="004F3CE9"/>
    <w:rsid w:val="004F3D40"/>
    <w:rsid w:val="004F4029"/>
    <w:rsid w:val="004F4050"/>
    <w:rsid w:val="004F416A"/>
    <w:rsid w:val="004F4180"/>
    <w:rsid w:val="004F4338"/>
    <w:rsid w:val="004F4413"/>
    <w:rsid w:val="004F45F9"/>
    <w:rsid w:val="004F4616"/>
    <w:rsid w:val="004F46DB"/>
    <w:rsid w:val="004F4838"/>
    <w:rsid w:val="004F4854"/>
    <w:rsid w:val="004F48ED"/>
    <w:rsid w:val="004F4DAC"/>
    <w:rsid w:val="004F52DE"/>
    <w:rsid w:val="004F531C"/>
    <w:rsid w:val="004F586C"/>
    <w:rsid w:val="004F5AF5"/>
    <w:rsid w:val="004F5D83"/>
    <w:rsid w:val="004F5EA5"/>
    <w:rsid w:val="004F6277"/>
    <w:rsid w:val="004F63BF"/>
    <w:rsid w:val="004F63DB"/>
    <w:rsid w:val="004F64A1"/>
    <w:rsid w:val="004F67A1"/>
    <w:rsid w:val="004F67E4"/>
    <w:rsid w:val="004F68B2"/>
    <w:rsid w:val="004F6991"/>
    <w:rsid w:val="004F6A0C"/>
    <w:rsid w:val="004F6A50"/>
    <w:rsid w:val="004F6D3C"/>
    <w:rsid w:val="004F6E54"/>
    <w:rsid w:val="004F6E9F"/>
    <w:rsid w:val="004F6F60"/>
    <w:rsid w:val="004F6FA8"/>
    <w:rsid w:val="004F7073"/>
    <w:rsid w:val="004F71BF"/>
    <w:rsid w:val="004F7853"/>
    <w:rsid w:val="004F788F"/>
    <w:rsid w:val="004F7C42"/>
    <w:rsid w:val="004F7DC7"/>
    <w:rsid w:val="004F7EF1"/>
    <w:rsid w:val="0050003C"/>
    <w:rsid w:val="00500332"/>
    <w:rsid w:val="005003A5"/>
    <w:rsid w:val="005004A4"/>
    <w:rsid w:val="00500ADC"/>
    <w:rsid w:val="005011FA"/>
    <w:rsid w:val="005012CE"/>
    <w:rsid w:val="00501307"/>
    <w:rsid w:val="00501360"/>
    <w:rsid w:val="005016A5"/>
    <w:rsid w:val="00501F22"/>
    <w:rsid w:val="005020A8"/>
    <w:rsid w:val="00502233"/>
    <w:rsid w:val="005022C3"/>
    <w:rsid w:val="0050244E"/>
    <w:rsid w:val="005024A1"/>
    <w:rsid w:val="00502649"/>
    <w:rsid w:val="00502659"/>
    <w:rsid w:val="0050273A"/>
    <w:rsid w:val="005028B2"/>
    <w:rsid w:val="005029DC"/>
    <w:rsid w:val="00502BCD"/>
    <w:rsid w:val="00502ECE"/>
    <w:rsid w:val="00503265"/>
    <w:rsid w:val="0050342A"/>
    <w:rsid w:val="005034AC"/>
    <w:rsid w:val="0050385A"/>
    <w:rsid w:val="005039F8"/>
    <w:rsid w:val="00503A36"/>
    <w:rsid w:val="00503CD3"/>
    <w:rsid w:val="00503D22"/>
    <w:rsid w:val="00503DD0"/>
    <w:rsid w:val="00503E28"/>
    <w:rsid w:val="005041F4"/>
    <w:rsid w:val="00504310"/>
    <w:rsid w:val="005044F7"/>
    <w:rsid w:val="005044F9"/>
    <w:rsid w:val="00504861"/>
    <w:rsid w:val="005048C7"/>
    <w:rsid w:val="00504956"/>
    <w:rsid w:val="00504AD8"/>
    <w:rsid w:val="00504AED"/>
    <w:rsid w:val="00504BA3"/>
    <w:rsid w:val="00504E7F"/>
    <w:rsid w:val="00504E8C"/>
    <w:rsid w:val="00504EDF"/>
    <w:rsid w:val="00505176"/>
    <w:rsid w:val="00505486"/>
    <w:rsid w:val="00505594"/>
    <w:rsid w:val="0050584D"/>
    <w:rsid w:val="00505C47"/>
    <w:rsid w:val="00505D26"/>
    <w:rsid w:val="00505E05"/>
    <w:rsid w:val="00505E65"/>
    <w:rsid w:val="0050639E"/>
    <w:rsid w:val="0050659B"/>
    <w:rsid w:val="00506670"/>
    <w:rsid w:val="00506BB4"/>
    <w:rsid w:val="005070D9"/>
    <w:rsid w:val="00507147"/>
    <w:rsid w:val="00507380"/>
    <w:rsid w:val="00507942"/>
    <w:rsid w:val="00507F82"/>
    <w:rsid w:val="005100E7"/>
    <w:rsid w:val="00510311"/>
    <w:rsid w:val="0051037B"/>
    <w:rsid w:val="0051038C"/>
    <w:rsid w:val="0051091F"/>
    <w:rsid w:val="00510983"/>
    <w:rsid w:val="00510EC9"/>
    <w:rsid w:val="00511075"/>
    <w:rsid w:val="00511163"/>
    <w:rsid w:val="00511521"/>
    <w:rsid w:val="00511580"/>
    <w:rsid w:val="005117B7"/>
    <w:rsid w:val="00511990"/>
    <w:rsid w:val="005119B1"/>
    <w:rsid w:val="00511D54"/>
    <w:rsid w:val="00511E9D"/>
    <w:rsid w:val="00511F6C"/>
    <w:rsid w:val="00511F9F"/>
    <w:rsid w:val="00512326"/>
    <w:rsid w:val="005124FE"/>
    <w:rsid w:val="00512994"/>
    <w:rsid w:val="00512B17"/>
    <w:rsid w:val="0051301A"/>
    <w:rsid w:val="005133DC"/>
    <w:rsid w:val="00513452"/>
    <w:rsid w:val="00513519"/>
    <w:rsid w:val="005136E1"/>
    <w:rsid w:val="005138E5"/>
    <w:rsid w:val="00513FB1"/>
    <w:rsid w:val="00513FF8"/>
    <w:rsid w:val="00514186"/>
    <w:rsid w:val="0051464B"/>
    <w:rsid w:val="00514C6E"/>
    <w:rsid w:val="00514C72"/>
    <w:rsid w:val="00514E04"/>
    <w:rsid w:val="00514E73"/>
    <w:rsid w:val="00514F78"/>
    <w:rsid w:val="00514FF6"/>
    <w:rsid w:val="00515165"/>
    <w:rsid w:val="0051526C"/>
    <w:rsid w:val="00515371"/>
    <w:rsid w:val="005154D8"/>
    <w:rsid w:val="005156B6"/>
    <w:rsid w:val="00515759"/>
    <w:rsid w:val="00515B29"/>
    <w:rsid w:val="00515D1D"/>
    <w:rsid w:val="00515DE7"/>
    <w:rsid w:val="00515EC0"/>
    <w:rsid w:val="00516167"/>
    <w:rsid w:val="005163CF"/>
    <w:rsid w:val="00516419"/>
    <w:rsid w:val="0051659E"/>
    <w:rsid w:val="005166A0"/>
    <w:rsid w:val="00516899"/>
    <w:rsid w:val="00516B9F"/>
    <w:rsid w:val="00516C78"/>
    <w:rsid w:val="00517063"/>
    <w:rsid w:val="0051707B"/>
    <w:rsid w:val="005170EA"/>
    <w:rsid w:val="00517175"/>
    <w:rsid w:val="005171FF"/>
    <w:rsid w:val="00517327"/>
    <w:rsid w:val="0051749C"/>
    <w:rsid w:val="0051757A"/>
    <w:rsid w:val="005175D5"/>
    <w:rsid w:val="0051775E"/>
    <w:rsid w:val="005178A8"/>
    <w:rsid w:val="005179AA"/>
    <w:rsid w:val="00517CEB"/>
    <w:rsid w:val="00517E9C"/>
    <w:rsid w:val="00517FB1"/>
    <w:rsid w:val="0051F184"/>
    <w:rsid w:val="005201A8"/>
    <w:rsid w:val="0052031C"/>
    <w:rsid w:val="00520B7B"/>
    <w:rsid w:val="00520F17"/>
    <w:rsid w:val="00521376"/>
    <w:rsid w:val="00521564"/>
    <w:rsid w:val="0052166D"/>
    <w:rsid w:val="0052193B"/>
    <w:rsid w:val="005219CC"/>
    <w:rsid w:val="00521BBC"/>
    <w:rsid w:val="00521BCC"/>
    <w:rsid w:val="00521DD1"/>
    <w:rsid w:val="00521DEA"/>
    <w:rsid w:val="00522060"/>
    <w:rsid w:val="0052243F"/>
    <w:rsid w:val="00522CDA"/>
    <w:rsid w:val="00522DBF"/>
    <w:rsid w:val="00522E65"/>
    <w:rsid w:val="00522FCE"/>
    <w:rsid w:val="00523119"/>
    <w:rsid w:val="0052343F"/>
    <w:rsid w:val="0052346A"/>
    <w:rsid w:val="00523814"/>
    <w:rsid w:val="005239FF"/>
    <w:rsid w:val="00523A42"/>
    <w:rsid w:val="00523D56"/>
    <w:rsid w:val="00523FE4"/>
    <w:rsid w:val="00524076"/>
    <w:rsid w:val="00524386"/>
    <w:rsid w:val="00524880"/>
    <w:rsid w:val="00524BB5"/>
    <w:rsid w:val="00524C2A"/>
    <w:rsid w:val="00524E30"/>
    <w:rsid w:val="00524F91"/>
    <w:rsid w:val="00525015"/>
    <w:rsid w:val="00525495"/>
    <w:rsid w:val="005255C8"/>
    <w:rsid w:val="005259E3"/>
    <w:rsid w:val="00525B25"/>
    <w:rsid w:val="00525B77"/>
    <w:rsid w:val="00525D38"/>
    <w:rsid w:val="00525E70"/>
    <w:rsid w:val="00525E7F"/>
    <w:rsid w:val="00525EFE"/>
    <w:rsid w:val="00525F55"/>
    <w:rsid w:val="005261C6"/>
    <w:rsid w:val="005267E7"/>
    <w:rsid w:val="005268AE"/>
    <w:rsid w:val="00526914"/>
    <w:rsid w:val="00527568"/>
    <w:rsid w:val="0052761B"/>
    <w:rsid w:val="005277E0"/>
    <w:rsid w:val="00527EFD"/>
    <w:rsid w:val="005301FF"/>
    <w:rsid w:val="00530252"/>
    <w:rsid w:val="005302A0"/>
    <w:rsid w:val="005303DC"/>
    <w:rsid w:val="0053073A"/>
    <w:rsid w:val="00530B94"/>
    <w:rsid w:val="00530BBF"/>
    <w:rsid w:val="00530FD3"/>
    <w:rsid w:val="005310AD"/>
    <w:rsid w:val="0053134A"/>
    <w:rsid w:val="00531848"/>
    <w:rsid w:val="00531A6C"/>
    <w:rsid w:val="00531B66"/>
    <w:rsid w:val="00531C5D"/>
    <w:rsid w:val="00531EE0"/>
    <w:rsid w:val="00531FC7"/>
    <w:rsid w:val="0053211F"/>
    <w:rsid w:val="00532336"/>
    <w:rsid w:val="005323B5"/>
    <w:rsid w:val="0053245C"/>
    <w:rsid w:val="0053264C"/>
    <w:rsid w:val="00532750"/>
    <w:rsid w:val="00532821"/>
    <w:rsid w:val="00532839"/>
    <w:rsid w:val="005329D3"/>
    <w:rsid w:val="00532A59"/>
    <w:rsid w:val="00532BD4"/>
    <w:rsid w:val="00532FCD"/>
    <w:rsid w:val="00533020"/>
    <w:rsid w:val="005331B8"/>
    <w:rsid w:val="0053336F"/>
    <w:rsid w:val="00533444"/>
    <w:rsid w:val="005335E8"/>
    <w:rsid w:val="00533652"/>
    <w:rsid w:val="00533858"/>
    <w:rsid w:val="005339DF"/>
    <w:rsid w:val="00533CD2"/>
    <w:rsid w:val="005343CE"/>
    <w:rsid w:val="00534839"/>
    <w:rsid w:val="00534BEA"/>
    <w:rsid w:val="0053501C"/>
    <w:rsid w:val="00535087"/>
    <w:rsid w:val="005350AD"/>
    <w:rsid w:val="005355D2"/>
    <w:rsid w:val="005355ED"/>
    <w:rsid w:val="0053576F"/>
    <w:rsid w:val="005357C7"/>
    <w:rsid w:val="0053580B"/>
    <w:rsid w:val="005359C7"/>
    <w:rsid w:val="00535BDC"/>
    <w:rsid w:val="00535D00"/>
    <w:rsid w:val="005362F0"/>
    <w:rsid w:val="0053641D"/>
    <w:rsid w:val="00536574"/>
    <w:rsid w:val="005368BF"/>
    <w:rsid w:val="00536A7A"/>
    <w:rsid w:val="00536ABB"/>
    <w:rsid w:val="00536D6A"/>
    <w:rsid w:val="00536F14"/>
    <w:rsid w:val="00536F9D"/>
    <w:rsid w:val="00537226"/>
    <w:rsid w:val="00537404"/>
    <w:rsid w:val="00537664"/>
    <w:rsid w:val="005376A9"/>
    <w:rsid w:val="00537CA8"/>
    <w:rsid w:val="00537E2B"/>
    <w:rsid w:val="00537E48"/>
    <w:rsid w:val="0053BC99"/>
    <w:rsid w:val="00540027"/>
    <w:rsid w:val="005400E7"/>
    <w:rsid w:val="005402A7"/>
    <w:rsid w:val="00540312"/>
    <w:rsid w:val="00540342"/>
    <w:rsid w:val="0054034B"/>
    <w:rsid w:val="0054046C"/>
    <w:rsid w:val="005404A0"/>
    <w:rsid w:val="0054060D"/>
    <w:rsid w:val="0054061A"/>
    <w:rsid w:val="0054090E"/>
    <w:rsid w:val="00540964"/>
    <w:rsid w:val="00540975"/>
    <w:rsid w:val="005409D5"/>
    <w:rsid w:val="00541293"/>
    <w:rsid w:val="005415C7"/>
    <w:rsid w:val="0054168D"/>
    <w:rsid w:val="00541C07"/>
    <w:rsid w:val="00541CAD"/>
    <w:rsid w:val="00541ECF"/>
    <w:rsid w:val="0054211A"/>
    <w:rsid w:val="00542168"/>
    <w:rsid w:val="00542794"/>
    <w:rsid w:val="00542D4A"/>
    <w:rsid w:val="00543047"/>
    <w:rsid w:val="00543151"/>
    <w:rsid w:val="005432BB"/>
    <w:rsid w:val="005433FD"/>
    <w:rsid w:val="00543442"/>
    <w:rsid w:val="0054363D"/>
    <w:rsid w:val="0054373A"/>
    <w:rsid w:val="005437D4"/>
    <w:rsid w:val="00543E2D"/>
    <w:rsid w:val="00543ED8"/>
    <w:rsid w:val="00543F80"/>
    <w:rsid w:val="00544261"/>
    <w:rsid w:val="00544262"/>
    <w:rsid w:val="005442F9"/>
    <w:rsid w:val="0054438D"/>
    <w:rsid w:val="00544AB3"/>
    <w:rsid w:val="00544EEF"/>
    <w:rsid w:val="00544F3A"/>
    <w:rsid w:val="00544F43"/>
    <w:rsid w:val="00545055"/>
    <w:rsid w:val="005452C6"/>
    <w:rsid w:val="00545337"/>
    <w:rsid w:val="0054572C"/>
    <w:rsid w:val="005458B6"/>
    <w:rsid w:val="005459E6"/>
    <w:rsid w:val="00545A1B"/>
    <w:rsid w:val="00545CA9"/>
    <w:rsid w:val="00545EAD"/>
    <w:rsid w:val="0054601F"/>
    <w:rsid w:val="0054613F"/>
    <w:rsid w:val="005463F1"/>
    <w:rsid w:val="005463F8"/>
    <w:rsid w:val="00546439"/>
    <w:rsid w:val="005464D8"/>
    <w:rsid w:val="00546800"/>
    <w:rsid w:val="00546A71"/>
    <w:rsid w:val="00546B88"/>
    <w:rsid w:val="00546BF4"/>
    <w:rsid w:val="00546CE0"/>
    <w:rsid w:val="00546DEE"/>
    <w:rsid w:val="0054711C"/>
    <w:rsid w:val="00547677"/>
    <w:rsid w:val="00547A7B"/>
    <w:rsid w:val="00547ED6"/>
    <w:rsid w:val="005503F6"/>
    <w:rsid w:val="0055047B"/>
    <w:rsid w:val="005505CF"/>
    <w:rsid w:val="0055060F"/>
    <w:rsid w:val="00550614"/>
    <w:rsid w:val="005507A8"/>
    <w:rsid w:val="00550866"/>
    <w:rsid w:val="005509DE"/>
    <w:rsid w:val="00550A1B"/>
    <w:rsid w:val="00550C11"/>
    <w:rsid w:val="00550D23"/>
    <w:rsid w:val="00550FFB"/>
    <w:rsid w:val="005514F5"/>
    <w:rsid w:val="00551797"/>
    <w:rsid w:val="00551B8F"/>
    <w:rsid w:val="00552270"/>
    <w:rsid w:val="0055227E"/>
    <w:rsid w:val="00552343"/>
    <w:rsid w:val="00552356"/>
    <w:rsid w:val="00552395"/>
    <w:rsid w:val="005523D4"/>
    <w:rsid w:val="005524F9"/>
    <w:rsid w:val="00552556"/>
    <w:rsid w:val="00552562"/>
    <w:rsid w:val="0055257A"/>
    <w:rsid w:val="00552691"/>
    <w:rsid w:val="00552831"/>
    <w:rsid w:val="005528BE"/>
    <w:rsid w:val="00552973"/>
    <w:rsid w:val="00552D52"/>
    <w:rsid w:val="00552EFD"/>
    <w:rsid w:val="0055311B"/>
    <w:rsid w:val="00553364"/>
    <w:rsid w:val="00553446"/>
    <w:rsid w:val="0055362D"/>
    <w:rsid w:val="0055368D"/>
    <w:rsid w:val="005538CD"/>
    <w:rsid w:val="00553B82"/>
    <w:rsid w:val="00553D2C"/>
    <w:rsid w:val="00553E2F"/>
    <w:rsid w:val="00554051"/>
    <w:rsid w:val="005540E9"/>
    <w:rsid w:val="005542DB"/>
    <w:rsid w:val="0055433E"/>
    <w:rsid w:val="00554410"/>
    <w:rsid w:val="0055471C"/>
    <w:rsid w:val="0055486D"/>
    <w:rsid w:val="00554A52"/>
    <w:rsid w:val="00554C45"/>
    <w:rsid w:val="00554CBF"/>
    <w:rsid w:val="00554F8D"/>
    <w:rsid w:val="00555020"/>
    <w:rsid w:val="005552E2"/>
    <w:rsid w:val="00555381"/>
    <w:rsid w:val="0055557B"/>
    <w:rsid w:val="00555599"/>
    <w:rsid w:val="005558C8"/>
    <w:rsid w:val="00555AF5"/>
    <w:rsid w:val="00555CF3"/>
    <w:rsid w:val="00556145"/>
    <w:rsid w:val="0055638B"/>
    <w:rsid w:val="0055685A"/>
    <w:rsid w:val="00556967"/>
    <w:rsid w:val="00556A99"/>
    <w:rsid w:val="00556B0B"/>
    <w:rsid w:val="00556B84"/>
    <w:rsid w:val="005570E0"/>
    <w:rsid w:val="005572D0"/>
    <w:rsid w:val="005574CA"/>
    <w:rsid w:val="00557700"/>
    <w:rsid w:val="0055792C"/>
    <w:rsid w:val="00557A64"/>
    <w:rsid w:val="00557A7A"/>
    <w:rsid w:val="0056045B"/>
    <w:rsid w:val="0056074D"/>
    <w:rsid w:val="0056085D"/>
    <w:rsid w:val="00560A08"/>
    <w:rsid w:val="00560A0C"/>
    <w:rsid w:val="00560CF9"/>
    <w:rsid w:val="00560D81"/>
    <w:rsid w:val="00560E0F"/>
    <w:rsid w:val="00560EF8"/>
    <w:rsid w:val="00560F56"/>
    <w:rsid w:val="005610D8"/>
    <w:rsid w:val="005612CC"/>
    <w:rsid w:val="00561394"/>
    <w:rsid w:val="00561503"/>
    <w:rsid w:val="005615F6"/>
    <w:rsid w:val="005616B2"/>
    <w:rsid w:val="00561A77"/>
    <w:rsid w:val="00561D07"/>
    <w:rsid w:val="00561F49"/>
    <w:rsid w:val="00562100"/>
    <w:rsid w:val="00562394"/>
    <w:rsid w:val="0056239E"/>
    <w:rsid w:val="00562545"/>
    <w:rsid w:val="00562597"/>
    <w:rsid w:val="0056345D"/>
    <w:rsid w:val="00563621"/>
    <w:rsid w:val="00563A87"/>
    <w:rsid w:val="00563BAC"/>
    <w:rsid w:val="00563E8B"/>
    <w:rsid w:val="00564127"/>
    <w:rsid w:val="00564369"/>
    <w:rsid w:val="00564407"/>
    <w:rsid w:val="005646EC"/>
    <w:rsid w:val="00564836"/>
    <w:rsid w:val="00564A89"/>
    <w:rsid w:val="00564AB1"/>
    <w:rsid w:val="00564C1D"/>
    <w:rsid w:val="00564D80"/>
    <w:rsid w:val="00564E0D"/>
    <w:rsid w:val="00564E40"/>
    <w:rsid w:val="00564E85"/>
    <w:rsid w:val="00564FA0"/>
    <w:rsid w:val="005652E2"/>
    <w:rsid w:val="005654F7"/>
    <w:rsid w:val="00565BD6"/>
    <w:rsid w:val="00565BFD"/>
    <w:rsid w:val="00565D9B"/>
    <w:rsid w:val="00565ED5"/>
    <w:rsid w:val="00565FB7"/>
    <w:rsid w:val="005662AF"/>
    <w:rsid w:val="005664DB"/>
    <w:rsid w:val="005665CE"/>
    <w:rsid w:val="005666D1"/>
    <w:rsid w:val="005669B4"/>
    <w:rsid w:val="00566BC6"/>
    <w:rsid w:val="00566F80"/>
    <w:rsid w:val="00566FDB"/>
    <w:rsid w:val="00567079"/>
    <w:rsid w:val="0056725D"/>
    <w:rsid w:val="00567332"/>
    <w:rsid w:val="0056749D"/>
    <w:rsid w:val="0056779E"/>
    <w:rsid w:val="005677BA"/>
    <w:rsid w:val="00567916"/>
    <w:rsid w:val="00567C88"/>
    <w:rsid w:val="00570097"/>
    <w:rsid w:val="005700AB"/>
    <w:rsid w:val="00570175"/>
    <w:rsid w:val="0057017C"/>
    <w:rsid w:val="0057022B"/>
    <w:rsid w:val="005703D5"/>
    <w:rsid w:val="005705C4"/>
    <w:rsid w:val="00570888"/>
    <w:rsid w:val="00570A58"/>
    <w:rsid w:val="00570E4A"/>
    <w:rsid w:val="00570F9F"/>
    <w:rsid w:val="00571314"/>
    <w:rsid w:val="005713EE"/>
    <w:rsid w:val="0057144D"/>
    <w:rsid w:val="00571548"/>
    <w:rsid w:val="00571754"/>
    <w:rsid w:val="00571896"/>
    <w:rsid w:val="00571B3E"/>
    <w:rsid w:val="00571BE1"/>
    <w:rsid w:val="00571BF4"/>
    <w:rsid w:val="00571C07"/>
    <w:rsid w:val="00571D9F"/>
    <w:rsid w:val="00571F9A"/>
    <w:rsid w:val="0057203B"/>
    <w:rsid w:val="00572105"/>
    <w:rsid w:val="0057224B"/>
    <w:rsid w:val="00572389"/>
    <w:rsid w:val="005724F0"/>
    <w:rsid w:val="00572500"/>
    <w:rsid w:val="00573133"/>
    <w:rsid w:val="005731BB"/>
    <w:rsid w:val="0057337A"/>
    <w:rsid w:val="00573448"/>
    <w:rsid w:val="005739B5"/>
    <w:rsid w:val="00573A95"/>
    <w:rsid w:val="00573AE5"/>
    <w:rsid w:val="00573C78"/>
    <w:rsid w:val="00573E4D"/>
    <w:rsid w:val="00573FD7"/>
    <w:rsid w:val="00573FF8"/>
    <w:rsid w:val="00573FFD"/>
    <w:rsid w:val="0057410F"/>
    <w:rsid w:val="005741D4"/>
    <w:rsid w:val="005741F6"/>
    <w:rsid w:val="0057451A"/>
    <w:rsid w:val="0057463E"/>
    <w:rsid w:val="00574A58"/>
    <w:rsid w:val="00574E61"/>
    <w:rsid w:val="00575056"/>
    <w:rsid w:val="005750BA"/>
    <w:rsid w:val="005750DB"/>
    <w:rsid w:val="0057527F"/>
    <w:rsid w:val="005757C7"/>
    <w:rsid w:val="005758A2"/>
    <w:rsid w:val="0057599A"/>
    <w:rsid w:val="00575A1F"/>
    <w:rsid w:val="00575B6C"/>
    <w:rsid w:val="00575BFB"/>
    <w:rsid w:val="00576052"/>
    <w:rsid w:val="00576164"/>
    <w:rsid w:val="0057617F"/>
    <w:rsid w:val="0057621F"/>
    <w:rsid w:val="00576470"/>
    <w:rsid w:val="0057657F"/>
    <w:rsid w:val="005766BA"/>
    <w:rsid w:val="005767A2"/>
    <w:rsid w:val="0057686B"/>
    <w:rsid w:val="005769A4"/>
    <w:rsid w:val="00576C41"/>
    <w:rsid w:val="00576CF4"/>
    <w:rsid w:val="00576D6D"/>
    <w:rsid w:val="00576DC1"/>
    <w:rsid w:val="00576E23"/>
    <w:rsid w:val="005771D8"/>
    <w:rsid w:val="0057739C"/>
    <w:rsid w:val="00577432"/>
    <w:rsid w:val="00577539"/>
    <w:rsid w:val="0057755D"/>
    <w:rsid w:val="00577732"/>
    <w:rsid w:val="00577825"/>
    <w:rsid w:val="00577BCA"/>
    <w:rsid w:val="00577DE3"/>
    <w:rsid w:val="005794E5"/>
    <w:rsid w:val="005800DE"/>
    <w:rsid w:val="00580416"/>
    <w:rsid w:val="00580630"/>
    <w:rsid w:val="0058077B"/>
    <w:rsid w:val="005807AF"/>
    <w:rsid w:val="005807BE"/>
    <w:rsid w:val="00580808"/>
    <w:rsid w:val="00580D41"/>
    <w:rsid w:val="00581030"/>
    <w:rsid w:val="005814C2"/>
    <w:rsid w:val="00581609"/>
    <w:rsid w:val="0058170A"/>
    <w:rsid w:val="00581B39"/>
    <w:rsid w:val="00581BEA"/>
    <w:rsid w:val="00581C61"/>
    <w:rsid w:val="00581F71"/>
    <w:rsid w:val="005820D8"/>
    <w:rsid w:val="00582212"/>
    <w:rsid w:val="00582240"/>
    <w:rsid w:val="005823CF"/>
    <w:rsid w:val="005823F0"/>
    <w:rsid w:val="00582467"/>
    <w:rsid w:val="005825B3"/>
    <w:rsid w:val="00582A8B"/>
    <w:rsid w:val="00582D1F"/>
    <w:rsid w:val="00582E16"/>
    <w:rsid w:val="00583627"/>
    <w:rsid w:val="005839B2"/>
    <w:rsid w:val="00583CF4"/>
    <w:rsid w:val="00583D04"/>
    <w:rsid w:val="00583D20"/>
    <w:rsid w:val="00583EBA"/>
    <w:rsid w:val="005840BC"/>
    <w:rsid w:val="005841C7"/>
    <w:rsid w:val="005845B0"/>
    <w:rsid w:val="00584619"/>
    <w:rsid w:val="0058490B"/>
    <w:rsid w:val="00584ACA"/>
    <w:rsid w:val="00584B6F"/>
    <w:rsid w:val="00584DAA"/>
    <w:rsid w:val="0058549D"/>
    <w:rsid w:val="00585780"/>
    <w:rsid w:val="005857DD"/>
    <w:rsid w:val="00585940"/>
    <w:rsid w:val="00585ADD"/>
    <w:rsid w:val="00585CE8"/>
    <w:rsid w:val="00585D37"/>
    <w:rsid w:val="00585E4B"/>
    <w:rsid w:val="00586082"/>
    <w:rsid w:val="005863FC"/>
    <w:rsid w:val="0058660E"/>
    <w:rsid w:val="00586827"/>
    <w:rsid w:val="00586A31"/>
    <w:rsid w:val="00586A42"/>
    <w:rsid w:val="00586AE0"/>
    <w:rsid w:val="00586C7C"/>
    <w:rsid w:val="00586E98"/>
    <w:rsid w:val="00586FEA"/>
    <w:rsid w:val="005871E5"/>
    <w:rsid w:val="00587321"/>
    <w:rsid w:val="005874BF"/>
    <w:rsid w:val="005878C5"/>
    <w:rsid w:val="00587AD1"/>
    <w:rsid w:val="00587C3C"/>
    <w:rsid w:val="00587CEA"/>
    <w:rsid w:val="005902E7"/>
    <w:rsid w:val="00590320"/>
    <w:rsid w:val="0059061C"/>
    <w:rsid w:val="005906CC"/>
    <w:rsid w:val="005908DB"/>
    <w:rsid w:val="00590ADE"/>
    <w:rsid w:val="0059121B"/>
    <w:rsid w:val="00591532"/>
    <w:rsid w:val="00591827"/>
    <w:rsid w:val="005918B6"/>
    <w:rsid w:val="00591993"/>
    <w:rsid w:val="005919D3"/>
    <w:rsid w:val="00591A8F"/>
    <w:rsid w:val="00591AFD"/>
    <w:rsid w:val="00591B4C"/>
    <w:rsid w:val="00591D95"/>
    <w:rsid w:val="00591ECF"/>
    <w:rsid w:val="005921C5"/>
    <w:rsid w:val="005923C7"/>
    <w:rsid w:val="0059271C"/>
    <w:rsid w:val="00592A28"/>
    <w:rsid w:val="00592B80"/>
    <w:rsid w:val="00592E3E"/>
    <w:rsid w:val="00592F58"/>
    <w:rsid w:val="00592FF7"/>
    <w:rsid w:val="005931C1"/>
    <w:rsid w:val="005932E6"/>
    <w:rsid w:val="00593699"/>
    <w:rsid w:val="00594CCC"/>
    <w:rsid w:val="00594D8B"/>
    <w:rsid w:val="00594F41"/>
    <w:rsid w:val="00595175"/>
    <w:rsid w:val="005951E5"/>
    <w:rsid w:val="0059527A"/>
    <w:rsid w:val="0059527D"/>
    <w:rsid w:val="005955FF"/>
    <w:rsid w:val="005957FD"/>
    <w:rsid w:val="00595920"/>
    <w:rsid w:val="00595AAC"/>
    <w:rsid w:val="00595C09"/>
    <w:rsid w:val="00596031"/>
    <w:rsid w:val="005960AF"/>
    <w:rsid w:val="005960DB"/>
    <w:rsid w:val="00596219"/>
    <w:rsid w:val="00596DEE"/>
    <w:rsid w:val="0059720F"/>
    <w:rsid w:val="00597243"/>
    <w:rsid w:val="00597310"/>
    <w:rsid w:val="00597419"/>
    <w:rsid w:val="00597443"/>
    <w:rsid w:val="005975DA"/>
    <w:rsid w:val="0059785D"/>
    <w:rsid w:val="005979EB"/>
    <w:rsid w:val="00597C12"/>
    <w:rsid w:val="00597D22"/>
    <w:rsid w:val="00597D48"/>
    <w:rsid w:val="00597DC9"/>
    <w:rsid w:val="005A01E4"/>
    <w:rsid w:val="005A02D3"/>
    <w:rsid w:val="005A03A2"/>
    <w:rsid w:val="005A0539"/>
    <w:rsid w:val="005A06F9"/>
    <w:rsid w:val="005A080B"/>
    <w:rsid w:val="005A09D8"/>
    <w:rsid w:val="005A09DC"/>
    <w:rsid w:val="005A0A1F"/>
    <w:rsid w:val="005A0B83"/>
    <w:rsid w:val="005A0D47"/>
    <w:rsid w:val="005A0D63"/>
    <w:rsid w:val="005A0EE3"/>
    <w:rsid w:val="005A0F32"/>
    <w:rsid w:val="005A11E8"/>
    <w:rsid w:val="005A1587"/>
    <w:rsid w:val="005A1B11"/>
    <w:rsid w:val="005A20AB"/>
    <w:rsid w:val="005A20C6"/>
    <w:rsid w:val="005A20F5"/>
    <w:rsid w:val="005A22A3"/>
    <w:rsid w:val="005A243D"/>
    <w:rsid w:val="005A26CC"/>
    <w:rsid w:val="005A28EC"/>
    <w:rsid w:val="005A299C"/>
    <w:rsid w:val="005A301B"/>
    <w:rsid w:val="005A30F3"/>
    <w:rsid w:val="005A32B1"/>
    <w:rsid w:val="005A32F5"/>
    <w:rsid w:val="005A349E"/>
    <w:rsid w:val="005A37CA"/>
    <w:rsid w:val="005A3915"/>
    <w:rsid w:val="005A3B18"/>
    <w:rsid w:val="005A3B30"/>
    <w:rsid w:val="005A3D55"/>
    <w:rsid w:val="005A3D83"/>
    <w:rsid w:val="005A3DEB"/>
    <w:rsid w:val="005A4049"/>
    <w:rsid w:val="005A4079"/>
    <w:rsid w:val="005A428A"/>
    <w:rsid w:val="005A4A43"/>
    <w:rsid w:val="005A4B22"/>
    <w:rsid w:val="005A4D06"/>
    <w:rsid w:val="005A551D"/>
    <w:rsid w:val="005A5533"/>
    <w:rsid w:val="005A56E2"/>
    <w:rsid w:val="005A578D"/>
    <w:rsid w:val="005A58DA"/>
    <w:rsid w:val="005A5ED8"/>
    <w:rsid w:val="005A636C"/>
    <w:rsid w:val="005A696D"/>
    <w:rsid w:val="005A6987"/>
    <w:rsid w:val="005A6B3E"/>
    <w:rsid w:val="005A6D11"/>
    <w:rsid w:val="005A71EB"/>
    <w:rsid w:val="005A7619"/>
    <w:rsid w:val="005A7863"/>
    <w:rsid w:val="005A7A5C"/>
    <w:rsid w:val="005A7C5C"/>
    <w:rsid w:val="005A7FA3"/>
    <w:rsid w:val="005B03B3"/>
    <w:rsid w:val="005B04E8"/>
    <w:rsid w:val="005B0616"/>
    <w:rsid w:val="005B0625"/>
    <w:rsid w:val="005B066F"/>
    <w:rsid w:val="005B06EB"/>
    <w:rsid w:val="005B0967"/>
    <w:rsid w:val="005B0A88"/>
    <w:rsid w:val="005B0A8F"/>
    <w:rsid w:val="005B0ABF"/>
    <w:rsid w:val="005B0B4C"/>
    <w:rsid w:val="005B151D"/>
    <w:rsid w:val="005B1724"/>
    <w:rsid w:val="005B179E"/>
    <w:rsid w:val="005B1916"/>
    <w:rsid w:val="005B1D32"/>
    <w:rsid w:val="005B239A"/>
    <w:rsid w:val="005B275D"/>
    <w:rsid w:val="005B2CAB"/>
    <w:rsid w:val="005B2EBC"/>
    <w:rsid w:val="005B2FCF"/>
    <w:rsid w:val="005B33ED"/>
    <w:rsid w:val="005B36F8"/>
    <w:rsid w:val="005B39C7"/>
    <w:rsid w:val="005B3BA2"/>
    <w:rsid w:val="005B3D30"/>
    <w:rsid w:val="005B3ECF"/>
    <w:rsid w:val="005B43E3"/>
    <w:rsid w:val="005B45B2"/>
    <w:rsid w:val="005B45F1"/>
    <w:rsid w:val="005B4730"/>
    <w:rsid w:val="005B47B6"/>
    <w:rsid w:val="005B47F3"/>
    <w:rsid w:val="005B4E1A"/>
    <w:rsid w:val="005B4F61"/>
    <w:rsid w:val="005B5179"/>
    <w:rsid w:val="005B5303"/>
    <w:rsid w:val="005B53E4"/>
    <w:rsid w:val="005B562D"/>
    <w:rsid w:val="005B5763"/>
    <w:rsid w:val="005B57A3"/>
    <w:rsid w:val="005B588A"/>
    <w:rsid w:val="005B58CF"/>
    <w:rsid w:val="005B5A85"/>
    <w:rsid w:val="005B5D39"/>
    <w:rsid w:val="005B613C"/>
    <w:rsid w:val="005B61F6"/>
    <w:rsid w:val="005B662E"/>
    <w:rsid w:val="005B6684"/>
    <w:rsid w:val="005B6731"/>
    <w:rsid w:val="005B6759"/>
    <w:rsid w:val="005B6A9A"/>
    <w:rsid w:val="005B6C02"/>
    <w:rsid w:val="005B6D37"/>
    <w:rsid w:val="005B6DF4"/>
    <w:rsid w:val="005B6F4B"/>
    <w:rsid w:val="005B6FD3"/>
    <w:rsid w:val="005B7043"/>
    <w:rsid w:val="005B70B0"/>
    <w:rsid w:val="005B711C"/>
    <w:rsid w:val="005B7403"/>
    <w:rsid w:val="005B7911"/>
    <w:rsid w:val="005B7A95"/>
    <w:rsid w:val="005B7C20"/>
    <w:rsid w:val="005B7D70"/>
    <w:rsid w:val="005B7F06"/>
    <w:rsid w:val="005C0153"/>
    <w:rsid w:val="005C04BE"/>
    <w:rsid w:val="005C055B"/>
    <w:rsid w:val="005C0587"/>
    <w:rsid w:val="005C089A"/>
    <w:rsid w:val="005C0BF1"/>
    <w:rsid w:val="005C0CB4"/>
    <w:rsid w:val="005C0DA4"/>
    <w:rsid w:val="005C0DEE"/>
    <w:rsid w:val="005C108B"/>
    <w:rsid w:val="005C10A3"/>
    <w:rsid w:val="005C121B"/>
    <w:rsid w:val="005C164B"/>
    <w:rsid w:val="005C1774"/>
    <w:rsid w:val="005C179E"/>
    <w:rsid w:val="005C1866"/>
    <w:rsid w:val="005C1E51"/>
    <w:rsid w:val="005C2102"/>
    <w:rsid w:val="005C211D"/>
    <w:rsid w:val="005C22AD"/>
    <w:rsid w:val="005C26DF"/>
    <w:rsid w:val="005C2876"/>
    <w:rsid w:val="005C2A8F"/>
    <w:rsid w:val="005C2E0B"/>
    <w:rsid w:val="005C326C"/>
    <w:rsid w:val="005C3460"/>
    <w:rsid w:val="005C3513"/>
    <w:rsid w:val="005C359C"/>
    <w:rsid w:val="005C366E"/>
    <w:rsid w:val="005C3854"/>
    <w:rsid w:val="005C38FB"/>
    <w:rsid w:val="005C3938"/>
    <w:rsid w:val="005C39C0"/>
    <w:rsid w:val="005C3A94"/>
    <w:rsid w:val="005C3C85"/>
    <w:rsid w:val="005C3EAB"/>
    <w:rsid w:val="005C3F86"/>
    <w:rsid w:val="005C4590"/>
    <w:rsid w:val="005C45BD"/>
    <w:rsid w:val="005C46FD"/>
    <w:rsid w:val="005C4B01"/>
    <w:rsid w:val="005C4BEA"/>
    <w:rsid w:val="005C4D5F"/>
    <w:rsid w:val="005C4DAB"/>
    <w:rsid w:val="005C4E74"/>
    <w:rsid w:val="005C4F38"/>
    <w:rsid w:val="005C53DD"/>
    <w:rsid w:val="005C5555"/>
    <w:rsid w:val="005C5598"/>
    <w:rsid w:val="005C5645"/>
    <w:rsid w:val="005C586D"/>
    <w:rsid w:val="005C5914"/>
    <w:rsid w:val="005C5958"/>
    <w:rsid w:val="005C5A24"/>
    <w:rsid w:val="005C5A88"/>
    <w:rsid w:val="005C5DEF"/>
    <w:rsid w:val="005C5E07"/>
    <w:rsid w:val="005C5EAA"/>
    <w:rsid w:val="005C5EE8"/>
    <w:rsid w:val="005C5F47"/>
    <w:rsid w:val="005C6344"/>
    <w:rsid w:val="005C6881"/>
    <w:rsid w:val="005C68E4"/>
    <w:rsid w:val="005C6BA7"/>
    <w:rsid w:val="005C6C28"/>
    <w:rsid w:val="005C6C47"/>
    <w:rsid w:val="005C6D5C"/>
    <w:rsid w:val="005C70BA"/>
    <w:rsid w:val="005C71B3"/>
    <w:rsid w:val="005C726E"/>
    <w:rsid w:val="005C7327"/>
    <w:rsid w:val="005C7343"/>
    <w:rsid w:val="005C74BC"/>
    <w:rsid w:val="005C74DB"/>
    <w:rsid w:val="005C768B"/>
    <w:rsid w:val="005C7701"/>
    <w:rsid w:val="005C7812"/>
    <w:rsid w:val="005C7E11"/>
    <w:rsid w:val="005C7ED6"/>
    <w:rsid w:val="005CB151"/>
    <w:rsid w:val="005D0075"/>
    <w:rsid w:val="005D024C"/>
    <w:rsid w:val="005D02F4"/>
    <w:rsid w:val="005D063B"/>
    <w:rsid w:val="005D0662"/>
    <w:rsid w:val="005D0860"/>
    <w:rsid w:val="005D0D59"/>
    <w:rsid w:val="005D0F62"/>
    <w:rsid w:val="005D187D"/>
    <w:rsid w:val="005D1943"/>
    <w:rsid w:val="005D25CC"/>
    <w:rsid w:val="005D26F0"/>
    <w:rsid w:val="005D2735"/>
    <w:rsid w:val="005D2F2B"/>
    <w:rsid w:val="005D2F46"/>
    <w:rsid w:val="005D2F84"/>
    <w:rsid w:val="005D34EB"/>
    <w:rsid w:val="005D35EE"/>
    <w:rsid w:val="005D368E"/>
    <w:rsid w:val="005D3910"/>
    <w:rsid w:val="005D3B30"/>
    <w:rsid w:val="005D3C61"/>
    <w:rsid w:val="005D3CF4"/>
    <w:rsid w:val="005D3DAF"/>
    <w:rsid w:val="005D3EDE"/>
    <w:rsid w:val="005D418D"/>
    <w:rsid w:val="005D425F"/>
    <w:rsid w:val="005D43FF"/>
    <w:rsid w:val="005D4A33"/>
    <w:rsid w:val="005D4E09"/>
    <w:rsid w:val="005D5231"/>
    <w:rsid w:val="005D523D"/>
    <w:rsid w:val="005D5A0B"/>
    <w:rsid w:val="005D5BB7"/>
    <w:rsid w:val="005D5CE5"/>
    <w:rsid w:val="005D5E07"/>
    <w:rsid w:val="005D61A2"/>
    <w:rsid w:val="005D6628"/>
    <w:rsid w:val="005D68B4"/>
    <w:rsid w:val="005D68FD"/>
    <w:rsid w:val="005D6BF0"/>
    <w:rsid w:val="005D6DB8"/>
    <w:rsid w:val="005D6E32"/>
    <w:rsid w:val="005D6F71"/>
    <w:rsid w:val="005D7172"/>
    <w:rsid w:val="005D7303"/>
    <w:rsid w:val="005D7B59"/>
    <w:rsid w:val="005D7F78"/>
    <w:rsid w:val="005DFCAA"/>
    <w:rsid w:val="005E00AE"/>
    <w:rsid w:val="005E07D2"/>
    <w:rsid w:val="005E0816"/>
    <w:rsid w:val="005E084B"/>
    <w:rsid w:val="005E08A7"/>
    <w:rsid w:val="005E0968"/>
    <w:rsid w:val="005E0AF3"/>
    <w:rsid w:val="005E0CF0"/>
    <w:rsid w:val="005E0D33"/>
    <w:rsid w:val="005E0EED"/>
    <w:rsid w:val="005E12C7"/>
    <w:rsid w:val="005E158C"/>
    <w:rsid w:val="005E1593"/>
    <w:rsid w:val="005E1B65"/>
    <w:rsid w:val="005E1B86"/>
    <w:rsid w:val="005E1BC5"/>
    <w:rsid w:val="005E1C01"/>
    <w:rsid w:val="005E1DEE"/>
    <w:rsid w:val="005E1F1D"/>
    <w:rsid w:val="005E209B"/>
    <w:rsid w:val="005E21F2"/>
    <w:rsid w:val="005E244F"/>
    <w:rsid w:val="005E25F3"/>
    <w:rsid w:val="005E27B6"/>
    <w:rsid w:val="005E2D36"/>
    <w:rsid w:val="005E2F5F"/>
    <w:rsid w:val="005E35CA"/>
    <w:rsid w:val="005E363E"/>
    <w:rsid w:val="005E36AA"/>
    <w:rsid w:val="005E3724"/>
    <w:rsid w:val="005E379D"/>
    <w:rsid w:val="005E3859"/>
    <w:rsid w:val="005E3972"/>
    <w:rsid w:val="005E39D4"/>
    <w:rsid w:val="005E3E9E"/>
    <w:rsid w:val="005E3F0C"/>
    <w:rsid w:val="005E3FF1"/>
    <w:rsid w:val="005E402B"/>
    <w:rsid w:val="005E4131"/>
    <w:rsid w:val="005E41D7"/>
    <w:rsid w:val="005E41F1"/>
    <w:rsid w:val="005E420F"/>
    <w:rsid w:val="005E458B"/>
    <w:rsid w:val="005E4A9E"/>
    <w:rsid w:val="005E4B94"/>
    <w:rsid w:val="005E4F72"/>
    <w:rsid w:val="005E5039"/>
    <w:rsid w:val="005E5044"/>
    <w:rsid w:val="005E512D"/>
    <w:rsid w:val="005E5187"/>
    <w:rsid w:val="005E5489"/>
    <w:rsid w:val="005E5865"/>
    <w:rsid w:val="005E5A13"/>
    <w:rsid w:val="005E5C1A"/>
    <w:rsid w:val="005E5D87"/>
    <w:rsid w:val="005E628F"/>
    <w:rsid w:val="005E633F"/>
    <w:rsid w:val="005E6672"/>
    <w:rsid w:val="005E670F"/>
    <w:rsid w:val="005E6A45"/>
    <w:rsid w:val="005E6D24"/>
    <w:rsid w:val="005E6E24"/>
    <w:rsid w:val="005E70EA"/>
    <w:rsid w:val="005E75AC"/>
    <w:rsid w:val="005E76AE"/>
    <w:rsid w:val="005E7787"/>
    <w:rsid w:val="005E98B5"/>
    <w:rsid w:val="005F05E0"/>
    <w:rsid w:val="005F06BF"/>
    <w:rsid w:val="005F0779"/>
    <w:rsid w:val="005F084E"/>
    <w:rsid w:val="005F0A15"/>
    <w:rsid w:val="005F0BDA"/>
    <w:rsid w:val="005F0DAF"/>
    <w:rsid w:val="005F0EBF"/>
    <w:rsid w:val="005F1386"/>
    <w:rsid w:val="005F16D4"/>
    <w:rsid w:val="005F17AE"/>
    <w:rsid w:val="005F193D"/>
    <w:rsid w:val="005F1F93"/>
    <w:rsid w:val="005F20B3"/>
    <w:rsid w:val="005F20DD"/>
    <w:rsid w:val="005F229D"/>
    <w:rsid w:val="005F2310"/>
    <w:rsid w:val="005F2482"/>
    <w:rsid w:val="005F24F5"/>
    <w:rsid w:val="005F272A"/>
    <w:rsid w:val="005F27C5"/>
    <w:rsid w:val="005F2A10"/>
    <w:rsid w:val="005F2C2A"/>
    <w:rsid w:val="005F2CE8"/>
    <w:rsid w:val="005F2E7C"/>
    <w:rsid w:val="005F2E84"/>
    <w:rsid w:val="005F2EDA"/>
    <w:rsid w:val="005F30DF"/>
    <w:rsid w:val="005F322E"/>
    <w:rsid w:val="005F32B9"/>
    <w:rsid w:val="005F380C"/>
    <w:rsid w:val="005F3B46"/>
    <w:rsid w:val="005F3C5C"/>
    <w:rsid w:val="005F3D61"/>
    <w:rsid w:val="005F3DE6"/>
    <w:rsid w:val="005F3E57"/>
    <w:rsid w:val="005F3FF7"/>
    <w:rsid w:val="005F4333"/>
    <w:rsid w:val="005F447E"/>
    <w:rsid w:val="005F450A"/>
    <w:rsid w:val="005F45E8"/>
    <w:rsid w:val="005F472F"/>
    <w:rsid w:val="005F48CA"/>
    <w:rsid w:val="005F508D"/>
    <w:rsid w:val="005F53DE"/>
    <w:rsid w:val="005F54C7"/>
    <w:rsid w:val="005F5558"/>
    <w:rsid w:val="005F56A8"/>
    <w:rsid w:val="005F572B"/>
    <w:rsid w:val="005F5A06"/>
    <w:rsid w:val="005F5FA5"/>
    <w:rsid w:val="005F60E9"/>
    <w:rsid w:val="005F616E"/>
    <w:rsid w:val="005F6204"/>
    <w:rsid w:val="005F6391"/>
    <w:rsid w:val="005F6436"/>
    <w:rsid w:val="005F6465"/>
    <w:rsid w:val="005F6487"/>
    <w:rsid w:val="005F64EA"/>
    <w:rsid w:val="005F66F7"/>
    <w:rsid w:val="005F6737"/>
    <w:rsid w:val="005F6829"/>
    <w:rsid w:val="005F6A0F"/>
    <w:rsid w:val="005F6CAF"/>
    <w:rsid w:val="005F6EE0"/>
    <w:rsid w:val="005F7477"/>
    <w:rsid w:val="005F7959"/>
    <w:rsid w:val="005F7A9B"/>
    <w:rsid w:val="005F7AF5"/>
    <w:rsid w:val="005F7B42"/>
    <w:rsid w:val="00600027"/>
    <w:rsid w:val="00600200"/>
    <w:rsid w:val="006004CF"/>
    <w:rsid w:val="00600608"/>
    <w:rsid w:val="00600973"/>
    <w:rsid w:val="00600A31"/>
    <w:rsid w:val="00600AAE"/>
    <w:rsid w:val="00600B38"/>
    <w:rsid w:val="00600C29"/>
    <w:rsid w:val="00601240"/>
    <w:rsid w:val="006013EA"/>
    <w:rsid w:val="00601407"/>
    <w:rsid w:val="006016CC"/>
    <w:rsid w:val="00601C51"/>
    <w:rsid w:val="00601F3C"/>
    <w:rsid w:val="00601FCE"/>
    <w:rsid w:val="00601FF0"/>
    <w:rsid w:val="00602271"/>
    <w:rsid w:val="006022FE"/>
    <w:rsid w:val="00602367"/>
    <w:rsid w:val="00602507"/>
    <w:rsid w:val="0060278C"/>
    <w:rsid w:val="0060284A"/>
    <w:rsid w:val="00602910"/>
    <w:rsid w:val="00602A96"/>
    <w:rsid w:val="00602B1D"/>
    <w:rsid w:val="00602EB7"/>
    <w:rsid w:val="00602F28"/>
    <w:rsid w:val="006032FC"/>
    <w:rsid w:val="006033D1"/>
    <w:rsid w:val="00603465"/>
    <w:rsid w:val="0060350E"/>
    <w:rsid w:val="00603778"/>
    <w:rsid w:val="00603A73"/>
    <w:rsid w:val="00603AF8"/>
    <w:rsid w:val="00603DE5"/>
    <w:rsid w:val="00603FC8"/>
    <w:rsid w:val="00604120"/>
    <w:rsid w:val="0060457D"/>
    <w:rsid w:val="0060484F"/>
    <w:rsid w:val="00604A0A"/>
    <w:rsid w:val="00604B3D"/>
    <w:rsid w:val="00604BC1"/>
    <w:rsid w:val="00604CB9"/>
    <w:rsid w:val="00604D58"/>
    <w:rsid w:val="00604DCF"/>
    <w:rsid w:val="00604EFF"/>
    <w:rsid w:val="00605112"/>
    <w:rsid w:val="006051C3"/>
    <w:rsid w:val="006057FF"/>
    <w:rsid w:val="00605C24"/>
    <w:rsid w:val="00605CBE"/>
    <w:rsid w:val="00605DB0"/>
    <w:rsid w:val="00605ECC"/>
    <w:rsid w:val="00605FB4"/>
    <w:rsid w:val="00606A0A"/>
    <w:rsid w:val="00606BA9"/>
    <w:rsid w:val="00606E36"/>
    <w:rsid w:val="00606FA7"/>
    <w:rsid w:val="006074A8"/>
    <w:rsid w:val="0060795A"/>
    <w:rsid w:val="00607AF4"/>
    <w:rsid w:val="0061012A"/>
    <w:rsid w:val="00610470"/>
    <w:rsid w:val="0061051C"/>
    <w:rsid w:val="006105C3"/>
    <w:rsid w:val="00610727"/>
    <w:rsid w:val="0061079E"/>
    <w:rsid w:val="006107B4"/>
    <w:rsid w:val="00610891"/>
    <w:rsid w:val="006109E1"/>
    <w:rsid w:val="00611417"/>
    <w:rsid w:val="006115D9"/>
    <w:rsid w:val="006119BF"/>
    <w:rsid w:val="006119F1"/>
    <w:rsid w:val="00611B45"/>
    <w:rsid w:val="00611DE7"/>
    <w:rsid w:val="006120E8"/>
    <w:rsid w:val="00612215"/>
    <w:rsid w:val="006125D3"/>
    <w:rsid w:val="00612621"/>
    <w:rsid w:val="0061271A"/>
    <w:rsid w:val="006127E0"/>
    <w:rsid w:val="00612897"/>
    <w:rsid w:val="006128F8"/>
    <w:rsid w:val="00612A32"/>
    <w:rsid w:val="00612C5C"/>
    <w:rsid w:val="00612CDE"/>
    <w:rsid w:val="00612D38"/>
    <w:rsid w:val="00612D40"/>
    <w:rsid w:val="00612F03"/>
    <w:rsid w:val="00612F0C"/>
    <w:rsid w:val="00613123"/>
    <w:rsid w:val="0061319D"/>
    <w:rsid w:val="0061320C"/>
    <w:rsid w:val="006132C7"/>
    <w:rsid w:val="006132FB"/>
    <w:rsid w:val="00613457"/>
    <w:rsid w:val="006135A8"/>
    <w:rsid w:val="006136D9"/>
    <w:rsid w:val="00613A2F"/>
    <w:rsid w:val="00613AF8"/>
    <w:rsid w:val="00613C35"/>
    <w:rsid w:val="00614609"/>
    <w:rsid w:val="00614663"/>
    <w:rsid w:val="00614CAE"/>
    <w:rsid w:val="00614F2D"/>
    <w:rsid w:val="0061508E"/>
    <w:rsid w:val="0061551D"/>
    <w:rsid w:val="006156D9"/>
    <w:rsid w:val="006158A2"/>
    <w:rsid w:val="00615CD2"/>
    <w:rsid w:val="0061626F"/>
    <w:rsid w:val="0061641E"/>
    <w:rsid w:val="00616626"/>
    <w:rsid w:val="006166EA"/>
    <w:rsid w:val="00616F5E"/>
    <w:rsid w:val="00616FCF"/>
    <w:rsid w:val="00617018"/>
    <w:rsid w:val="006171A3"/>
    <w:rsid w:val="00617447"/>
    <w:rsid w:val="006175B9"/>
    <w:rsid w:val="0061786B"/>
    <w:rsid w:val="006178BA"/>
    <w:rsid w:val="00617BEE"/>
    <w:rsid w:val="00617CCB"/>
    <w:rsid w:val="006201E2"/>
    <w:rsid w:val="00620626"/>
    <w:rsid w:val="0062068F"/>
    <w:rsid w:val="00620830"/>
    <w:rsid w:val="006209FD"/>
    <w:rsid w:val="00620B5B"/>
    <w:rsid w:val="00620C6D"/>
    <w:rsid w:val="00620D91"/>
    <w:rsid w:val="00620EB6"/>
    <w:rsid w:val="00620EF5"/>
    <w:rsid w:val="00621005"/>
    <w:rsid w:val="00621092"/>
    <w:rsid w:val="006213BA"/>
    <w:rsid w:val="006215F0"/>
    <w:rsid w:val="006217B5"/>
    <w:rsid w:val="00621B03"/>
    <w:rsid w:val="00621E1F"/>
    <w:rsid w:val="00621E29"/>
    <w:rsid w:val="006223F7"/>
    <w:rsid w:val="00622448"/>
    <w:rsid w:val="0062273A"/>
    <w:rsid w:val="0062292D"/>
    <w:rsid w:val="00622E34"/>
    <w:rsid w:val="00622FB4"/>
    <w:rsid w:val="006230FA"/>
    <w:rsid w:val="00623277"/>
    <w:rsid w:val="006232E8"/>
    <w:rsid w:val="006234E4"/>
    <w:rsid w:val="006237C1"/>
    <w:rsid w:val="00623969"/>
    <w:rsid w:val="00623ABB"/>
    <w:rsid w:val="00623B81"/>
    <w:rsid w:val="00623CBF"/>
    <w:rsid w:val="00623D50"/>
    <w:rsid w:val="00624274"/>
    <w:rsid w:val="006242FC"/>
    <w:rsid w:val="00624389"/>
    <w:rsid w:val="006245B3"/>
    <w:rsid w:val="00624610"/>
    <w:rsid w:val="0062482E"/>
    <w:rsid w:val="006249A8"/>
    <w:rsid w:val="006249DA"/>
    <w:rsid w:val="006249F9"/>
    <w:rsid w:val="00624B5C"/>
    <w:rsid w:val="00624C33"/>
    <w:rsid w:val="00624D76"/>
    <w:rsid w:val="00624EA7"/>
    <w:rsid w:val="00624ED4"/>
    <w:rsid w:val="00624F7C"/>
    <w:rsid w:val="00624FD3"/>
    <w:rsid w:val="006251D2"/>
    <w:rsid w:val="0062536A"/>
    <w:rsid w:val="006254B9"/>
    <w:rsid w:val="00625686"/>
    <w:rsid w:val="00625736"/>
    <w:rsid w:val="00625A8D"/>
    <w:rsid w:val="00625C1D"/>
    <w:rsid w:val="00625EF1"/>
    <w:rsid w:val="0062609E"/>
    <w:rsid w:val="00626376"/>
    <w:rsid w:val="0062637F"/>
    <w:rsid w:val="006269BB"/>
    <w:rsid w:val="00626ABE"/>
    <w:rsid w:val="006273DB"/>
    <w:rsid w:val="00627B55"/>
    <w:rsid w:val="00627C6E"/>
    <w:rsid w:val="00627CF8"/>
    <w:rsid w:val="00627D2D"/>
    <w:rsid w:val="00627D64"/>
    <w:rsid w:val="0063014E"/>
    <w:rsid w:val="00630179"/>
    <w:rsid w:val="0063021E"/>
    <w:rsid w:val="006302B7"/>
    <w:rsid w:val="00630650"/>
    <w:rsid w:val="00630967"/>
    <w:rsid w:val="00630A0A"/>
    <w:rsid w:val="00630AA3"/>
    <w:rsid w:val="00630AEE"/>
    <w:rsid w:val="0063112A"/>
    <w:rsid w:val="00631185"/>
    <w:rsid w:val="00631326"/>
    <w:rsid w:val="00631362"/>
    <w:rsid w:val="006313D2"/>
    <w:rsid w:val="00631A96"/>
    <w:rsid w:val="00631E1B"/>
    <w:rsid w:val="006324F7"/>
    <w:rsid w:val="00632619"/>
    <w:rsid w:val="006327D8"/>
    <w:rsid w:val="00632B97"/>
    <w:rsid w:val="00632F35"/>
    <w:rsid w:val="00633041"/>
    <w:rsid w:val="006332F1"/>
    <w:rsid w:val="0063335F"/>
    <w:rsid w:val="006335E4"/>
    <w:rsid w:val="00633AAF"/>
    <w:rsid w:val="00633F70"/>
    <w:rsid w:val="0063448D"/>
    <w:rsid w:val="00634507"/>
    <w:rsid w:val="006346D1"/>
    <w:rsid w:val="0063479A"/>
    <w:rsid w:val="00634812"/>
    <w:rsid w:val="00634B3B"/>
    <w:rsid w:val="00634FDC"/>
    <w:rsid w:val="00635235"/>
    <w:rsid w:val="006356A4"/>
    <w:rsid w:val="0063570A"/>
    <w:rsid w:val="0063588A"/>
    <w:rsid w:val="00635A38"/>
    <w:rsid w:val="00635AEC"/>
    <w:rsid w:val="00635D62"/>
    <w:rsid w:val="00635D76"/>
    <w:rsid w:val="006360EE"/>
    <w:rsid w:val="00636579"/>
    <w:rsid w:val="00636773"/>
    <w:rsid w:val="00636883"/>
    <w:rsid w:val="006368AF"/>
    <w:rsid w:val="00636BCF"/>
    <w:rsid w:val="00637181"/>
    <w:rsid w:val="00637428"/>
    <w:rsid w:val="006374F7"/>
    <w:rsid w:val="00637531"/>
    <w:rsid w:val="00637535"/>
    <w:rsid w:val="00637623"/>
    <w:rsid w:val="00637959"/>
    <w:rsid w:val="00637A00"/>
    <w:rsid w:val="00637B8A"/>
    <w:rsid w:val="00637DE4"/>
    <w:rsid w:val="0063E296"/>
    <w:rsid w:val="006401CF"/>
    <w:rsid w:val="00640646"/>
    <w:rsid w:val="00640730"/>
    <w:rsid w:val="00640845"/>
    <w:rsid w:val="006408FB"/>
    <w:rsid w:val="006409AB"/>
    <w:rsid w:val="00640B04"/>
    <w:rsid w:val="00641012"/>
    <w:rsid w:val="006411BC"/>
    <w:rsid w:val="006412F9"/>
    <w:rsid w:val="006415CD"/>
    <w:rsid w:val="006416F7"/>
    <w:rsid w:val="00641743"/>
    <w:rsid w:val="006418DE"/>
    <w:rsid w:val="00641A3D"/>
    <w:rsid w:val="00641E80"/>
    <w:rsid w:val="00641E8A"/>
    <w:rsid w:val="00641ED9"/>
    <w:rsid w:val="00642162"/>
    <w:rsid w:val="0064225B"/>
    <w:rsid w:val="0064231C"/>
    <w:rsid w:val="00642451"/>
    <w:rsid w:val="006424D0"/>
    <w:rsid w:val="00642B0E"/>
    <w:rsid w:val="00643083"/>
    <w:rsid w:val="006430AF"/>
    <w:rsid w:val="006430DD"/>
    <w:rsid w:val="00643167"/>
    <w:rsid w:val="006435CA"/>
    <w:rsid w:val="006437F8"/>
    <w:rsid w:val="0064388D"/>
    <w:rsid w:val="00643F5B"/>
    <w:rsid w:val="00643F98"/>
    <w:rsid w:val="006440A7"/>
    <w:rsid w:val="00644374"/>
    <w:rsid w:val="006444D9"/>
    <w:rsid w:val="00644610"/>
    <w:rsid w:val="00644788"/>
    <w:rsid w:val="00644896"/>
    <w:rsid w:val="00644A47"/>
    <w:rsid w:val="00644A6F"/>
    <w:rsid w:val="00644AA5"/>
    <w:rsid w:val="00644B69"/>
    <w:rsid w:val="00644B76"/>
    <w:rsid w:val="00644E39"/>
    <w:rsid w:val="00644E84"/>
    <w:rsid w:val="00645005"/>
    <w:rsid w:val="0064572B"/>
    <w:rsid w:val="00645779"/>
    <w:rsid w:val="00645980"/>
    <w:rsid w:val="00645B43"/>
    <w:rsid w:val="00645CD7"/>
    <w:rsid w:val="00645D41"/>
    <w:rsid w:val="00645E6B"/>
    <w:rsid w:val="00645FC3"/>
    <w:rsid w:val="00645FDC"/>
    <w:rsid w:val="0064601D"/>
    <w:rsid w:val="006460E1"/>
    <w:rsid w:val="0064632B"/>
    <w:rsid w:val="006463D3"/>
    <w:rsid w:val="00646567"/>
    <w:rsid w:val="006465BE"/>
    <w:rsid w:val="006465E6"/>
    <w:rsid w:val="006468BE"/>
    <w:rsid w:val="00646A5A"/>
    <w:rsid w:val="00646C02"/>
    <w:rsid w:val="00646CA1"/>
    <w:rsid w:val="00646E18"/>
    <w:rsid w:val="00646EE6"/>
    <w:rsid w:val="0064751C"/>
    <w:rsid w:val="00647535"/>
    <w:rsid w:val="006476E7"/>
    <w:rsid w:val="006476F6"/>
    <w:rsid w:val="00647882"/>
    <w:rsid w:val="00647B42"/>
    <w:rsid w:val="00647B7F"/>
    <w:rsid w:val="00647BC9"/>
    <w:rsid w:val="00647C0C"/>
    <w:rsid w:val="00647CF6"/>
    <w:rsid w:val="00647DB9"/>
    <w:rsid w:val="00647FD7"/>
    <w:rsid w:val="0064961D"/>
    <w:rsid w:val="006502C1"/>
    <w:rsid w:val="006506FD"/>
    <w:rsid w:val="00650924"/>
    <w:rsid w:val="00650A6F"/>
    <w:rsid w:val="00650BDB"/>
    <w:rsid w:val="00650D34"/>
    <w:rsid w:val="00650FC3"/>
    <w:rsid w:val="006512F7"/>
    <w:rsid w:val="006513EA"/>
    <w:rsid w:val="00651806"/>
    <w:rsid w:val="0065194D"/>
    <w:rsid w:val="00651B92"/>
    <w:rsid w:val="00651FE1"/>
    <w:rsid w:val="00652087"/>
    <w:rsid w:val="0065214F"/>
    <w:rsid w:val="006522EC"/>
    <w:rsid w:val="006523CA"/>
    <w:rsid w:val="00652674"/>
    <w:rsid w:val="00652981"/>
    <w:rsid w:val="00652E16"/>
    <w:rsid w:val="0065306B"/>
    <w:rsid w:val="00653144"/>
    <w:rsid w:val="00653156"/>
    <w:rsid w:val="006531EB"/>
    <w:rsid w:val="006532C2"/>
    <w:rsid w:val="006534A7"/>
    <w:rsid w:val="006534D0"/>
    <w:rsid w:val="0065365B"/>
    <w:rsid w:val="00653772"/>
    <w:rsid w:val="00653C08"/>
    <w:rsid w:val="00653E2E"/>
    <w:rsid w:val="00653EF8"/>
    <w:rsid w:val="0065442F"/>
    <w:rsid w:val="0065473A"/>
    <w:rsid w:val="00654918"/>
    <w:rsid w:val="00654986"/>
    <w:rsid w:val="00655202"/>
    <w:rsid w:val="006552B8"/>
    <w:rsid w:val="0065534C"/>
    <w:rsid w:val="0065564C"/>
    <w:rsid w:val="00655854"/>
    <w:rsid w:val="00655A04"/>
    <w:rsid w:val="00655C36"/>
    <w:rsid w:val="00655CC5"/>
    <w:rsid w:val="00655FD9"/>
    <w:rsid w:val="006560B0"/>
    <w:rsid w:val="00656109"/>
    <w:rsid w:val="0065630A"/>
    <w:rsid w:val="00656366"/>
    <w:rsid w:val="006565EE"/>
    <w:rsid w:val="00656716"/>
    <w:rsid w:val="006568D0"/>
    <w:rsid w:val="0065692D"/>
    <w:rsid w:val="00656AEA"/>
    <w:rsid w:val="00656C66"/>
    <w:rsid w:val="00656D51"/>
    <w:rsid w:val="00656D6F"/>
    <w:rsid w:val="00656EF8"/>
    <w:rsid w:val="006570D7"/>
    <w:rsid w:val="006571BE"/>
    <w:rsid w:val="0065726C"/>
    <w:rsid w:val="00657490"/>
    <w:rsid w:val="006576DE"/>
    <w:rsid w:val="00657AC2"/>
    <w:rsid w:val="00657B15"/>
    <w:rsid w:val="00657B8B"/>
    <w:rsid w:val="00657C48"/>
    <w:rsid w:val="00657E21"/>
    <w:rsid w:val="00657F81"/>
    <w:rsid w:val="0065A2AF"/>
    <w:rsid w:val="00660527"/>
    <w:rsid w:val="006605A6"/>
    <w:rsid w:val="006607A7"/>
    <w:rsid w:val="00660BEE"/>
    <w:rsid w:val="00660C32"/>
    <w:rsid w:val="00661416"/>
    <w:rsid w:val="006614D8"/>
    <w:rsid w:val="006614F1"/>
    <w:rsid w:val="00661994"/>
    <w:rsid w:val="00661CE8"/>
    <w:rsid w:val="00662026"/>
    <w:rsid w:val="006620B6"/>
    <w:rsid w:val="0066223D"/>
    <w:rsid w:val="00662483"/>
    <w:rsid w:val="00662AAD"/>
    <w:rsid w:val="00662D80"/>
    <w:rsid w:val="00662EC9"/>
    <w:rsid w:val="00663034"/>
    <w:rsid w:val="00663223"/>
    <w:rsid w:val="00663438"/>
    <w:rsid w:val="0066361D"/>
    <w:rsid w:val="0066367C"/>
    <w:rsid w:val="00663D7E"/>
    <w:rsid w:val="0066418D"/>
    <w:rsid w:val="00664390"/>
    <w:rsid w:val="00664468"/>
    <w:rsid w:val="0066451C"/>
    <w:rsid w:val="00664749"/>
    <w:rsid w:val="006648C2"/>
    <w:rsid w:val="00664932"/>
    <w:rsid w:val="00664B0C"/>
    <w:rsid w:val="00664BC8"/>
    <w:rsid w:val="00664E91"/>
    <w:rsid w:val="00664EF7"/>
    <w:rsid w:val="006651C3"/>
    <w:rsid w:val="0066549F"/>
    <w:rsid w:val="006654A4"/>
    <w:rsid w:val="00665670"/>
    <w:rsid w:val="00665941"/>
    <w:rsid w:val="00665DB3"/>
    <w:rsid w:val="006660EE"/>
    <w:rsid w:val="006665D9"/>
    <w:rsid w:val="0066676E"/>
    <w:rsid w:val="006668A2"/>
    <w:rsid w:val="006669DA"/>
    <w:rsid w:val="00666F54"/>
    <w:rsid w:val="0066715D"/>
    <w:rsid w:val="006672DD"/>
    <w:rsid w:val="006672F9"/>
    <w:rsid w:val="006674A3"/>
    <w:rsid w:val="00667558"/>
    <w:rsid w:val="006675BB"/>
    <w:rsid w:val="0066769F"/>
    <w:rsid w:val="0066796B"/>
    <w:rsid w:val="00667BCB"/>
    <w:rsid w:val="00667F53"/>
    <w:rsid w:val="00667F5F"/>
    <w:rsid w:val="0066CC8E"/>
    <w:rsid w:val="00670033"/>
    <w:rsid w:val="006700AB"/>
    <w:rsid w:val="0067034F"/>
    <w:rsid w:val="006704FF"/>
    <w:rsid w:val="00670660"/>
    <w:rsid w:val="00670933"/>
    <w:rsid w:val="00670AC6"/>
    <w:rsid w:val="00670B43"/>
    <w:rsid w:val="00670BFA"/>
    <w:rsid w:val="00670F77"/>
    <w:rsid w:val="006710C2"/>
    <w:rsid w:val="0067123E"/>
    <w:rsid w:val="006713C6"/>
    <w:rsid w:val="0067140E"/>
    <w:rsid w:val="0067175C"/>
    <w:rsid w:val="00671FFC"/>
    <w:rsid w:val="006724D8"/>
    <w:rsid w:val="0067252C"/>
    <w:rsid w:val="006728C2"/>
    <w:rsid w:val="00672A20"/>
    <w:rsid w:val="00672B35"/>
    <w:rsid w:val="00672B59"/>
    <w:rsid w:val="00672C15"/>
    <w:rsid w:val="00672F1A"/>
    <w:rsid w:val="00672F1C"/>
    <w:rsid w:val="006731DA"/>
    <w:rsid w:val="0067326D"/>
    <w:rsid w:val="0067327D"/>
    <w:rsid w:val="006733B6"/>
    <w:rsid w:val="006734CB"/>
    <w:rsid w:val="00673787"/>
    <w:rsid w:val="00673AEC"/>
    <w:rsid w:val="00673C08"/>
    <w:rsid w:val="00673E23"/>
    <w:rsid w:val="00673F7D"/>
    <w:rsid w:val="00673F9A"/>
    <w:rsid w:val="00674202"/>
    <w:rsid w:val="00674308"/>
    <w:rsid w:val="0067441E"/>
    <w:rsid w:val="0067444E"/>
    <w:rsid w:val="0067455D"/>
    <w:rsid w:val="00674798"/>
    <w:rsid w:val="00675007"/>
    <w:rsid w:val="006751DA"/>
    <w:rsid w:val="00675315"/>
    <w:rsid w:val="006753F8"/>
    <w:rsid w:val="0067588F"/>
    <w:rsid w:val="00675978"/>
    <w:rsid w:val="006759F2"/>
    <w:rsid w:val="00675BB4"/>
    <w:rsid w:val="00675C2D"/>
    <w:rsid w:val="00675FE8"/>
    <w:rsid w:val="00676029"/>
    <w:rsid w:val="006761FD"/>
    <w:rsid w:val="00676534"/>
    <w:rsid w:val="006765D4"/>
    <w:rsid w:val="0067690E"/>
    <w:rsid w:val="00676AB7"/>
    <w:rsid w:val="00676B27"/>
    <w:rsid w:val="00676BF2"/>
    <w:rsid w:val="00676EE9"/>
    <w:rsid w:val="00676F7A"/>
    <w:rsid w:val="00677050"/>
    <w:rsid w:val="006770BA"/>
    <w:rsid w:val="00677109"/>
    <w:rsid w:val="00677188"/>
    <w:rsid w:val="006774D0"/>
    <w:rsid w:val="00677531"/>
    <w:rsid w:val="00677762"/>
    <w:rsid w:val="0067777B"/>
    <w:rsid w:val="00677F68"/>
    <w:rsid w:val="00677F6D"/>
    <w:rsid w:val="00680077"/>
    <w:rsid w:val="0068021D"/>
    <w:rsid w:val="006802A1"/>
    <w:rsid w:val="006802F5"/>
    <w:rsid w:val="006804B0"/>
    <w:rsid w:val="006805C7"/>
    <w:rsid w:val="00680613"/>
    <w:rsid w:val="00680856"/>
    <w:rsid w:val="00680BE4"/>
    <w:rsid w:val="00680EF4"/>
    <w:rsid w:val="0068135A"/>
    <w:rsid w:val="0068144C"/>
    <w:rsid w:val="00681461"/>
    <w:rsid w:val="006818B8"/>
    <w:rsid w:val="006819B3"/>
    <w:rsid w:val="00681A26"/>
    <w:rsid w:val="00682070"/>
    <w:rsid w:val="006826F6"/>
    <w:rsid w:val="0068272C"/>
    <w:rsid w:val="00682825"/>
    <w:rsid w:val="00682960"/>
    <w:rsid w:val="00682DAC"/>
    <w:rsid w:val="006830D3"/>
    <w:rsid w:val="0068312B"/>
    <w:rsid w:val="006831E3"/>
    <w:rsid w:val="006833DC"/>
    <w:rsid w:val="00683722"/>
    <w:rsid w:val="006838A3"/>
    <w:rsid w:val="00683956"/>
    <w:rsid w:val="00683A26"/>
    <w:rsid w:val="00683B20"/>
    <w:rsid w:val="00683CDF"/>
    <w:rsid w:val="006840CC"/>
    <w:rsid w:val="006847E6"/>
    <w:rsid w:val="0068491E"/>
    <w:rsid w:val="00684DF4"/>
    <w:rsid w:val="00684F77"/>
    <w:rsid w:val="0068524A"/>
    <w:rsid w:val="00685338"/>
    <w:rsid w:val="006854FE"/>
    <w:rsid w:val="00685561"/>
    <w:rsid w:val="006855B2"/>
    <w:rsid w:val="006858BC"/>
    <w:rsid w:val="006859FD"/>
    <w:rsid w:val="00685A4C"/>
    <w:rsid w:val="00685B4E"/>
    <w:rsid w:val="00685D4E"/>
    <w:rsid w:val="006862FF"/>
    <w:rsid w:val="00686427"/>
    <w:rsid w:val="00686631"/>
    <w:rsid w:val="00686757"/>
    <w:rsid w:val="006868FC"/>
    <w:rsid w:val="00686A89"/>
    <w:rsid w:val="00686B83"/>
    <w:rsid w:val="00687042"/>
    <w:rsid w:val="00687412"/>
    <w:rsid w:val="0068745F"/>
    <w:rsid w:val="00687821"/>
    <w:rsid w:val="006878A1"/>
    <w:rsid w:val="00687A98"/>
    <w:rsid w:val="00687C9A"/>
    <w:rsid w:val="00687CB9"/>
    <w:rsid w:val="00687F6A"/>
    <w:rsid w:val="006906FB"/>
    <w:rsid w:val="006907E6"/>
    <w:rsid w:val="00690815"/>
    <w:rsid w:val="0069092C"/>
    <w:rsid w:val="006909A0"/>
    <w:rsid w:val="006909A2"/>
    <w:rsid w:val="00690BD7"/>
    <w:rsid w:val="00690C62"/>
    <w:rsid w:val="00690D26"/>
    <w:rsid w:val="00690D8B"/>
    <w:rsid w:val="00691096"/>
    <w:rsid w:val="0069116E"/>
    <w:rsid w:val="0069125B"/>
    <w:rsid w:val="006912A8"/>
    <w:rsid w:val="006913B5"/>
    <w:rsid w:val="00691763"/>
    <w:rsid w:val="006918AF"/>
    <w:rsid w:val="00691915"/>
    <w:rsid w:val="00691C97"/>
    <w:rsid w:val="00691EAC"/>
    <w:rsid w:val="0069268C"/>
    <w:rsid w:val="00692A90"/>
    <w:rsid w:val="00692B9F"/>
    <w:rsid w:val="00692F07"/>
    <w:rsid w:val="006934EF"/>
    <w:rsid w:val="006936B9"/>
    <w:rsid w:val="00693765"/>
    <w:rsid w:val="00693A3E"/>
    <w:rsid w:val="0069404D"/>
    <w:rsid w:val="006941A8"/>
    <w:rsid w:val="006941C8"/>
    <w:rsid w:val="0069452E"/>
    <w:rsid w:val="00694820"/>
    <w:rsid w:val="006948D6"/>
    <w:rsid w:val="00694B6B"/>
    <w:rsid w:val="006950C4"/>
    <w:rsid w:val="0069552D"/>
    <w:rsid w:val="00695746"/>
    <w:rsid w:val="00695C7E"/>
    <w:rsid w:val="00696276"/>
    <w:rsid w:val="006963AE"/>
    <w:rsid w:val="006965F0"/>
    <w:rsid w:val="00696680"/>
    <w:rsid w:val="0069669A"/>
    <w:rsid w:val="006966F2"/>
    <w:rsid w:val="006968E8"/>
    <w:rsid w:val="00696D27"/>
    <w:rsid w:val="00696D3D"/>
    <w:rsid w:val="00697954"/>
    <w:rsid w:val="00697CE5"/>
    <w:rsid w:val="00697D3D"/>
    <w:rsid w:val="006A05E1"/>
    <w:rsid w:val="006A0952"/>
    <w:rsid w:val="006A0C0C"/>
    <w:rsid w:val="006A0F6B"/>
    <w:rsid w:val="006A1049"/>
    <w:rsid w:val="006A10EF"/>
    <w:rsid w:val="006A1208"/>
    <w:rsid w:val="006A1409"/>
    <w:rsid w:val="006A16E4"/>
    <w:rsid w:val="006A16E8"/>
    <w:rsid w:val="006A19E2"/>
    <w:rsid w:val="006A1BC3"/>
    <w:rsid w:val="006A1DE2"/>
    <w:rsid w:val="006A1DE3"/>
    <w:rsid w:val="006A21B1"/>
    <w:rsid w:val="006A244B"/>
    <w:rsid w:val="006A24B9"/>
    <w:rsid w:val="006A26D4"/>
    <w:rsid w:val="006A26E2"/>
    <w:rsid w:val="006A2B47"/>
    <w:rsid w:val="006A2D9C"/>
    <w:rsid w:val="006A343D"/>
    <w:rsid w:val="006A39E6"/>
    <w:rsid w:val="006A3A9F"/>
    <w:rsid w:val="006A3C05"/>
    <w:rsid w:val="006A3D35"/>
    <w:rsid w:val="006A3F61"/>
    <w:rsid w:val="006A3F95"/>
    <w:rsid w:val="006A406F"/>
    <w:rsid w:val="006A4098"/>
    <w:rsid w:val="006A471D"/>
    <w:rsid w:val="006A48EB"/>
    <w:rsid w:val="006A4A91"/>
    <w:rsid w:val="006A4E88"/>
    <w:rsid w:val="006A5410"/>
    <w:rsid w:val="006A5492"/>
    <w:rsid w:val="006A5CD6"/>
    <w:rsid w:val="006A5E8C"/>
    <w:rsid w:val="006A5FFB"/>
    <w:rsid w:val="006A609B"/>
    <w:rsid w:val="006A62ED"/>
    <w:rsid w:val="006A632B"/>
    <w:rsid w:val="006A6571"/>
    <w:rsid w:val="006A6654"/>
    <w:rsid w:val="006A679A"/>
    <w:rsid w:val="006A679B"/>
    <w:rsid w:val="006A69CD"/>
    <w:rsid w:val="006A6C0D"/>
    <w:rsid w:val="006A6CCC"/>
    <w:rsid w:val="006A70BA"/>
    <w:rsid w:val="006A720E"/>
    <w:rsid w:val="006A74C1"/>
    <w:rsid w:val="006A7508"/>
    <w:rsid w:val="006A7753"/>
    <w:rsid w:val="006B027B"/>
    <w:rsid w:val="006B02E1"/>
    <w:rsid w:val="006B030F"/>
    <w:rsid w:val="006B059B"/>
    <w:rsid w:val="006B05B8"/>
    <w:rsid w:val="006B06F2"/>
    <w:rsid w:val="006B0714"/>
    <w:rsid w:val="006B08F9"/>
    <w:rsid w:val="006B0ABD"/>
    <w:rsid w:val="006B0C23"/>
    <w:rsid w:val="006B0DC0"/>
    <w:rsid w:val="006B0DC5"/>
    <w:rsid w:val="006B0E36"/>
    <w:rsid w:val="006B109C"/>
    <w:rsid w:val="006B12D8"/>
    <w:rsid w:val="006B1466"/>
    <w:rsid w:val="006B14F2"/>
    <w:rsid w:val="006B1648"/>
    <w:rsid w:val="006B1678"/>
    <w:rsid w:val="006B181E"/>
    <w:rsid w:val="006B1844"/>
    <w:rsid w:val="006B1A82"/>
    <w:rsid w:val="006B1C84"/>
    <w:rsid w:val="006B1EE3"/>
    <w:rsid w:val="006B23AF"/>
    <w:rsid w:val="006B23E2"/>
    <w:rsid w:val="006B2474"/>
    <w:rsid w:val="006B2695"/>
    <w:rsid w:val="006B2758"/>
    <w:rsid w:val="006B2BDA"/>
    <w:rsid w:val="006B2BEF"/>
    <w:rsid w:val="006B2DD4"/>
    <w:rsid w:val="006B2FD4"/>
    <w:rsid w:val="006B2FFC"/>
    <w:rsid w:val="006B309E"/>
    <w:rsid w:val="006B353F"/>
    <w:rsid w:val="006B35CF"/>
    <w:rsid w:val="006B3623"/>
    <w:rsid w:val="006B387B"/>
    <w:rsid w:val="006B3981"/>
    <w:rsid w:val="006B3E56"/>
    <w:rsid w:val="006B3EE9"/>
    <w:rsid w:val="006B3FCB"/>
    <w:rsid w:val="006B41F4"/>
    <w:rsid w:val="006B431F"/>
    <w:rsid w:val="006B44B1"/>
    <w:rsid w:val="006B45FC"/>
    <w:rsid w:val="006B4948"/>
    <w:rsid w:val="006B4AA9"/>
    <w:rsid w:val="006B4BC6"/>
    <w:rsid w:val="006B4F62"/>
    <w:rsid w:val="006B5187"/>
    <w:rsid w:val="006B55DF"/>
    <w:rsid w:val="006B56C2"/>
    <w:rsid w:val="006B57B1"/>
    <w:rsid w:val="006B5859"/>
    <w:rsid w:val="006B588F"/>
    <w:rsid w:val="006B5960"/>
    <w:rsid w:val="006B5B61"/>
    <w:rsid w:val="006B5D64"/>
    <w:rsid w:val="006B5FE8"/>
    <w:rsid w:val="006B6000"/>
    <w:rsid w:val="006B642A"/>
    <w:rsid w:val="006B6524"/>
    <w:rsid w:val="006B69B7"/>
    <w:rsid w:val="006B6BF4"/>
    <w:rsid w:val="006B6C7B"/>
    <w:rsid w:val="006B7A33"/>
    <w:rsid w:val="006B7AAC"/>
    <w:rsid w:val="006B7C42"/>
    <w:rsid w:val="006B7EE0"/>
    <w:rsid w:val="006B7F37"/>
    <w:rsid w:val="006B7FBB"/>
    <w:rsid w:val="006C014C"/>
    <w:rsid w:val="006C02A5"/>
    <w:rsid w:val="006C0369"/>
    <w:rsid w:val="006C071B"/>
    <w:rsid w:val="006C0886"/>
    <w:rsid w:val="006C0B26"/>
    <w:rsid w:val="006C0CB4"/>
    <w:rsid w:val="006C0E2A"/>
    <w:rsid w:val="006C0EA7"/>
    <w:rsid w:val="006C10A3"/>
    <w:rsid w:val="006C162A"/>
    <w:rsid w:val="006C166A"/>
    <w:rsid w:val="006C1684"/>
    <w:rsid w:val="006C16AF"/>
    <w:rsid w:val="006C18D2"/>
    <w:rsid w:val="006C1CA1"/>
    <w:rsid w:val="006C1CA3"/>
    <w:rsid w:val="006C2407"/>
    <w:rsid w:val="006C2673"/>
    <w:rsid w:val="006C2931"/>
    <w:rsid w:val="006C2998"/>
    <w:rsid w:val="006C2A36"/>
    <w:rsid w:val="006C2AA8"/>
    <w:rsid w:val="006C2E64"/>
    <w:rsid w:val="006C315B"/>
    <w:rsid w:val="006C3864"/>
    <w:rsid w:val="006C3917"/>
    <w:rsid w:val="006C3943"/>
    <w:rsid w:val="006C3977"/>
    <w:rsid w:val="006C3B35"/>
    <w:rsid w:val="006C3D51"/>
    <w:rsid w:val="006C3DB7"/>
    <w:rsid w:val="006C3DDA"/>
    <w:rsid w:val="006C412C"/>
    <w:rsid w:val="006C422F"/>
    <w:rsid w:val="006C42CB"/>
    <w:rsid w:val="006C4319"/>
    <w:rsid w:val="006C441A"/>
    <w:rsid w:val="006C44B1"/>
    <w:rsid w:val="006C4780"/>
    <w:rsid w:val="006C491C"/>
    <w:rsid w:val="006C497D"/>
    <w:rsid w:val="006C49D6"/>
    <w:rsid w:val="006C4DB5"/>
    <w:rsid w:val="006C4F04"/>
    <w:rsid w:val="006C519F"/>
    <w:rsid w:val="006C5455"/>
    <w:rsid w:val="006C548E"/>
    <w:rsid w:val="006C5674"/>
    <w:rsid w:val="006C5687"/>
    <w:rsid w:val="006C59D7"/>
    <w:rsid w:val="006C59DB"/>
    <w:rsid w:val="006C5B19"/>
    <w:rsid w:val="006C5E66"/>
    <w:rsid w:val="006C5ECB"/>
    <w:rsid w:val="006C60AB"/>
    <w:rsid w:val="006C6378"/>
    <w:rsid w:val="006C64E2"/>
    <w:rsid w:val="006C66B9"/>
    <w:rsid w:val="006C6848"/>
    <w:rsid w:val="006C699B"/>
    <w:rsid w:val="006C6C93"/>
    <w:rsid w:val="006C6D2F"/>
    <w:rsid w:val="006C6EF5"/>
    <w:rsid w:val="006C7155"/>
    <w:rsid w:val="006C7217"/>
    <w:rsid w:val="006C72D1"/>
    <w:rsid w:val="006C7375"/>
    <w:rsid w:val="006C7539"/>
    <w:rsid w:val="006C7A92"/>
    <w:rsid w:val="006C7CB3"/>
    <w:rsid w:val="006C7E0E"/>
    <w:rsid w:val="006D0276"/>
    <w:rsid w:val="006D04B1"/>
    <w:rsid w:val="006D07EB"/>
    <w:rsid w:val="006D0A10"/>
    <w:rsid w:val="006D0A2E"/>
    <w:rsid w:val="006D0DC8"/>
    <w:rsid w:val="006D0FFA"/>
    <w:rsid w:val="006D129F"/>
    <w:rsid w:val="006D16CE"/>
    <w:rsid w:val="006D1930"/>
    <w:rsid w:val="006D19C7"/>
    <w:rsid w:val="006D1D9A"/>
    <w:rsid w:val="006D1E6E"/>
    <w:rsid w:val="006D208D"/>
    <w:rsid w:val="006D217A"/>
    <w:rsid w:val="006D22AE"/>
    <w:rsid w:val="006D22F2"/>
    <w:rsid w:val="006D2510"/>
    <w:rsid w:val="006D2735"/>
    <w:rsid w:val="006D2A88"/>
    <w:rsid w:val="006D2A95"/>
    <w:rsid w:val="006D2BBD"/>
    <w:rsid w:val="006D2F78"/>
    <w:rsid w:val="006D332C"/>
    <w:rsid w:val="006D363C"/>
    <w:rsid w:val="006D368D"/>
    <w:rsid w:val="006D386C"/>
    <w:rsid w:val="006D4058"/>
    <w:rsid w:val="006D47C2"/>
    <w:rsid w:val="006D4876"/>
    <w:rsid w:val="006D4A46"/>
    <w:rsid w:val="006D4BC9"/>
    <w:rsid w:val="006D4BD3"/>
    <w:rsid w:val="006D4C1C"/>
    <w:rsid w:val="006D4DC8"/>
    <w:rsid w:val="006D4F6D"/>
    <w:rsid w:val="006D4FB7"/>
    <w:rsid w:val="006D501C"/>
    <w:rsid w:val="006D538E"/>
    <w:rsid w:val="006D577D"/>
    <w:rsid w:val="006D58DC"/>
    <w:rsid w:val="006D59C3"/>
    <w:rsid w:val="006D5A11"/>
    <w:rsid w:val="006D5A23"/>
    <w:rsid w:val="006D5AD8"/>
    <w:rsid w:val="006D5C91"/>
    <w:rsid w:val="006D5EC0"/>
    <w:rsid w:val="006D65E6"/>
    <w:rsid w:val="006D6E9A"/>
    <w:rsid w:val="006D6ED6"/>
    <w:rsid w:val="006D6F83"/>
    <w:rsid w:val="006D7168"/>
    <w:rsid w:val="006D71BA"/>
    <w:rsid w:val="006D71C3"/>
    <w:rsid w:val="006D72DA"/>
    <w:rsid w:val="006D731B"/>
    <w:rsid w:val="006D7547"/>
    <w:rsid w:val="006D764A"/>
    <w:rsid w:val="006D776A"/>
    <w:rsid w:val="006D779A"/>
    <w:rsid w:val="006D77CD"/>
    <w:rsid w:val="006D78BF"/>
    <w:rsid w:val="006D7BC1"/>
    <w:rsid w:val="006D7C7A"/>
    <w:rsid w:val="006D7CD7"/>
    <w:rsid w:val="006D7FD1"/>
    <w:rsid w:val="006E0506"/>
    <w:rsid w:val="006E0709"/>
    <w:rsid w:val="006E0A75"/>
    <w:rsid w:val="006E0B16"/>
    <w:rsid w:val="006E0B2C"/>
    <w:rsid w:val="006E12DC"/>
    <w:rsid w:val="006E12F8"/>
    <w:rsid w:val="006E16F7"/>
    <w:rsid w:val="006E1790"/>
    <w:rsid w:val="006E1B36"/>
    <w:rsid w:val="006E23E9"/>
    <w:rsid w:val="006E2636"/>
    <w:rsid w:val="006E2751"/>
    <w:rsid w:val="006E28CC"/>
    <w:rsid w:val="006E2E3C"/>
    <w:rsid w:val="006E32D2"/>
    <w:rsid w:val="006E3364"/>
    <w:rsid w:val="006E33AE"/>
    <w:rsid w:val="006E38A1"/>
    <w:rsid w:val="006E3953"/>
    <w:rsid w:val="006E39A5"/>
    <w:rsid w:val="006E39AF"/>
    <w:rsid w:val="006E429C"/>
    <w:rsid w:val="006E42EF"/>
    <w:rsid w:val="006E4607"/>
    <w:rsid w:val="006E46BE"/>
    <w:rsid w:val="006E4E9A"/>
    <w:rsid w:val="006E4F40"/>
    <w:rsid w:val="006E546B"/>
    <w:rsid w:val="006E563B"/>
    <w:rsid w:val="006E57CE"/>
    <w:rsid w:val="006E58DA"/>
    <w:rsid w:val="006E59EA"/>
    <w:rsid w:val="006E5DA1"/>
    <w:rsid w:val="006E6081"/>
    <w:rsid w:val="006E616C"/>
    <w:rsid w:val="006E631F"/>
    <w:rsid w:val="006E6460"/>
    <w:rsid w:val="006E66A5"/>
    <w:rsid w:val="006E6C26"/>
    <w:rsid w:val="006E6F9A"/>
    <w:rsid w:val="006E74B6"/>
    <w:rsid w:val="006E770C"/>
    <w:rsid w:val="006E7839"/>
    <w:rsid w:val="006E7A09"/>
    <w:rsid w:val="006E7B05"/>
    <w:rsid w:val="006E7FAF"/>
    <w:rsid w:val="006F0271"/>
    <w:rsid w:val="006F0543"/>
    <w:rsid w:val="006F0A36"/>
    <w:rsid w:val="006F0A3B"/>
    <w:rsid w:val="006F0CEB"/>
    <w:rsid w:val="006F0CF7"/>
    <w:rsid w:val="006F0EDF"/>
    <w:rsid w:val="006F1011"/>
    <w:rsid w:val="006F117E"/>
    <w:rsid w:val="006F1191"/>
    <w:rsid w:val="006F122B"/>
    <w:rsid w:val="006F1CE1"/>
    <w:rsid w:val="006F20C1"/>
    <w:rsid w:val="006F2182"/>
    <w:rsid w:val="006F21CB"/>
    <w:rsid w:val="006F2569"/>
    <w:rsid w:val="006F261E"/>
    <w:rsid w:val="006F2649"/>
    <w:rsid w:val="006F2853"/>
    <w:rsid w:val="006F2F4E"/>
    <w:rsid w:val="006F2F59"/>
    <w:rsid w:val="006F2F6D"/>
    <w:rsid w:val="006F3160"/>
    <w:rsid w:val="006F31FD"/>
    <w:rsid w:val="006F32BC"/>
    <w:rsid w:val="006F35BB"/>
    <w:rsid w:val="006F382F"/>
    <w:rsid w:val="006F3BB1"/>
    <w:rsid w:val="006F3C37"/>
    <w:rsid w:val="006F3F8F"/>
    <w:rsid w:val="006F420B"/>
    <w:rsid w:val="006F45EC"/>
    <w:rsid w:val="006F4B24"/>
    <w:rsid w:val="006F4B84"/>
    <w:rsid w:val="006F4C67"/>
    <w:rsid w:val="006F4D8F"/>
    <w:rsid w:val="006F4EFC"/>
    <w:rsid w:val="006F51E6"/>
    <w:rsid w:val="006F5301"/>
    <w:rsid w:val="006F5375"/>
    <w:rsid w:val="006F5410"/>
    <w:rsid w:val="006F54A5"/>
    <w:rsid w:val="006F5622"/>
    <w:rsid w:val="006F567B"/>
    <w:rsid w:val="006F586A"/>
    <w:rsid w:val="006F5960"/>
    <w:rsid w:val="006F5FBA"/>
    <w:rsid w:val="006F5FC9"/>
    <w:rsid w:val="006F6311"/>
    <w:rsid w:val="006F6655"/>
    <w:rsid w:val="006F6704"/>
    <w:rsid w:val="006F6749"/>
    <w:rsid w:val="006F6794"/>
    <w:rsid w:val="006F6C4C"/>
    <w:rsid w:val="006F6F8E"/>
    <w:rsid w:val="006F70AB"/>
    <w:rsid w:val="006F7501"/>
    <w:rsid w:val="006F7818"/>
    <w:rsid w:val="006F7896"/>
    <w:rsid w:val="006F79EB"/>
    <w:rsid w:val="006F7A93"/>
    <w:rsid w:val="006F7C8E"/>
    <w:rsid w:val="006F7CDC"/>
    <w:rsid w:val="00700097"/>
    <w:rsid w:val="007002DD"/>
    <w:rsid w:val="007003D6"/>
    <w:rsid w:val="00700598"/>
    <w:rsid w:val="00700989"/>
    <w:rsid w:val="00700AA6"/>
    <w:rsid w:val="00700AB0"/>
    <w:rsid w:val="00700FEF"/>
    <w:rsid w:val="007011F4"/>
    <w:rsid w:val="00701223"/>
    <w:rsid w:val="007012CC"/>
    <w:rsid w:val="00701694"/>
    <w:rsid w:val="00701722"/>
    <w:rsid w:val="00701D69"/>
    <w:rsid w:val="00701F5C"/>
    <w:rsid w:val="00701F9D"/>
    <w:rsid w:val="00701FF9"/>
    <w:rsid w:val="007020DE"/>
    <w:rsid w:val="0070258A"/>
    <w:rsid w:val="00702685"/>
    <w:rsid w:val="007027DC"/>
    <w:rsid w:val="007027E8"/>
    <w:rsid w:val="007027F0"/>
    <w:rsid w:val="007029B3"/>
    <w:rsid w:val="00702CB9"/>
    <w:rsid w:val="00702F47"/>
    <w:rsid w:val="0070307E"/>
    <w:rsid w:val="00703080"/>
    <w:rsid w:val="0070346A"/>
    <w:rsid w:val="007036CE"/>
    <w:rsid w:val="00703814"/>
    <w:rsid w:val="00703CEE"/>
    <w:rsid w:val="00703EF6"/>
    <w:rsid w:val="00704445"/>
    <w:rsid w:val="00704AE7"/>
    <w:rsid w:val="00704B9A"/>
    <w:rsid w:val="00704E2C"/>
    <w:rsid w:val="00704EC0"/>
    <w:rsid w:val="00705052"/>
    <w:rsid w:val="007052F1"/>
    <w:rsid w:val="00705372"/>
    <w:rsid w:val="00705562"/>
    <w:rsid w:val="007056B2"/>
    <w:rsid w:val="00705A5C"/>
    <w:rsid w:val="00705B6D"/>
    <w:rsid w:val="00705C90"/>
    <w:rsid w:val="00705C95"/>
    <w:rsid w:val="00705D3A"/>
    <w:rsid w:val="00705EE3"/>
    <w:rsid w:val="00706051"/>
    <w:rsid w:val="007065E3"/>
    <w:rsid w:val="007066DE"/>
    <w:rsid w:val="007068A2"/>
    <w:rsid w:val="00706B29"/>
    <w:rsid w:val="00706DC2"/>
    <w:rsid w:val="00706E57"/>
    <w:rsid w:val="00707019"/>
    <w:rsid w:val="007072D8"/>
    <w:rsid w:val="00707509"/>
    <w:rsid w:val="00707751"/>
    <w:rsid w:val="00707804"/>
    <w:rsid w:val="00707852"/>
    <w:rsid w:val="00707981"/>
    <w:rsid w:val="00707ABB"/>
    <w:rsid w:val="00707DCA"/>
    <w:rsid w:val="00707EBB"/>
    <w:rsid w:val="00707EFA"/>
    <w:rsid w:val="0071008B"/>
    <w:rsid w:val="00710201"/>
    <w:rsid w:val="007102BE"/>
    <w:rsid w:val="0071071F"/>
    <w:rsid w:val="00710ABB"/>
    <w:rsid w:val="00710B5F"/>
    <w:rsid w:val="00710C1B"/>
    <w:rsid w:val="00710CC5"/>
    <w:rsid w:val="00710CF3"/>
    <w:rsid w:val="00710FCB"/>
    <w:rsid w:val="00711179"/>
    <w:rsid w:val="00711498"/>
    <w:rsid w:val="00711804"/>
    <w:rsid w:val="007119C5"/>
    <w:rsid w:val="00711ACF"/>
    <w:rsid w:val="00711B2C"/>
    <w:rsid w:val="00711C0D"/>
    <w:rsid w:val="00711C39"/>
    <w:rsid w:val="00711D57"/>
    <w:rsid w:val="00711E3F"/>
    <w:rsid w:val="00712050"/>
    <w:rsid w:val="007121DA"/>
    <w:rsid w:val="00712383"/>
    <w:rsid w:val="007124AD"/>
    <w:rsid w:val="0071297C"/>
    <w:rsid w:val="007133C5"/>
    <w:rsid w:val="007133D9"/>
    <w:rsid w:val="007135CF"/>
    <w:rsid w:val="00713809"/>
    <w:rsid w:val="00713A36"/>
    <w:rsid w:val="00713EFF"/>
    <w:rsid w:val="00713F00"/>
    <w:rsid w:val="00713FF1"/>
    <w:rsid w:val="00714546"/>
    <w:rsid w:val="0071462E"/>
    <w:rsid w:val="00714656"/>
    <w:rsid w:val="0071470E"/>
    <w:rsid w:val="00714BF7"/>
    <w:rsid w:val="00714E3C"/>
    <w:rsid w:val="00714F34"/>
    <w:rsid w:val="007150DF"/>
    <w:rsid w:val="00715112"/>
    <w:rsid w:val="007151DA"/>
    <w:rsid w:val="0071539E"/>
    <w:rsid w:val="00715495"/>
    <w:rsid w:val="007155B8"/>
    <w:rsid w:val="007155BA"/>
    <w:rsid w:val="00715629"/>
    <w:rsid w:val="00715805"/>
    <w:rsid w:val="007158A2"/>
    <w:rsid w:val="00715A4C"/>
    <w:rsid w:val="00715B46"/>
    <w:rsid w:val="00715BED"/>
    <w:rsid w:val="00715C3E"/>
    <w:rsid w:val="00715DD2"/>
    <w:rsid w:val="00715EEB"/>
    <w:rsid w:val="00715F0C"/>
    <w:rsid w:val="0071605E"/>
    <w:rsid w:val="00716186"/>
    <w:rsid w:val="0071620D"/>
    <w:rsid w:val="00716213"/>
    <w:rsid w:val="007162A4"/>
    <w:rsid w:val="0071643E"/>
    <w:rsid w:val="00716579"/>
    <w:rsid w:val="0071682A"/>
    <w:rsid w:val="00716914"/>
    <w:rsid w:val="00716973"/>
    <w:rsid w:val="00716C21"/>
    <w:rsid w:val="00716D64"/>
    <w:rsid w:val="00716E29"/>
    <w:rsid w:val="00716E44"/>
    <w:rsid w:val="00717158"/>
    <w:rsid w:val="007172DF"/>
    <w:rsid w:val="007175A0"/>
    <w:rsid w:val="0071760A"/>
    <w:rsid w:val="00717679"/>
    <w:rsid w:val="00717951"/>
    <w:rsid w:val="00717B4E"/>
    <w:rsid w:val="00717BE7"/>
    <w:rsid w:val="00717C12"/>
    <w:rsid w:val="00717D89"/>
    <w:rsid w:val="00720109"/>
    <w:rsid w:val="00720118"/>
    <w:rsid w:val="00720382"/>
    <w:rsid w:val="0072047C"/>
    <w:rsid w:val="00720484"/>
    <w:rsid w:val="00720697"/>
    <w:rsid w:val="00720822"/>
    <w:rsid w:val="00720B71"/>
    <w:rsid w:val="00720C6F"/>
    <w:rsid w:val="00720CC1"/>
    <w:rsid w:val="00720F46"/>
    <w:rsid w:val="00720F77"/>
    <w:rsid w:val="00721122"/>
    <w:rsid w:val="00721282"/>
    <w:rsid w:val="0072170F"/>
    <w:rsid w:val="007217F9"/>
    <w:rsid w:val="0072183E"/>
    <w:rsid w:val="0072195C"/>
    <w:rsid w:val="00721A48"/>
    <w:rsid w:val="00721B1A"/>
    <w:rsid w:val="00721E3A"/>
    <w:rsid w:val="00721E3F"/>
    <w:rsid w:val="00721F8F"/>
    <w:rsid w:val="007228D1"/>
    <w:rsid w:val="00722977"/>
    <w:rsid w:val="00722AEB"/>
    <w:rsid w:val="00722D91"/>
    <w:rsid w:val="00722EE6"/>
    <w:rsid w:val="007230D8"/>
    <w:rsid w:val="0072363E"/>
    <w:rsid w:val="0072387F"/>
    <w:rsid w:val="007239B9"/>
    <w:rsid w:val="00723A54"/>
    <w:rsid w:val="00723FE2"/>
    <w:rsid w:val="007240DA"/>
    <w:rsid w:val="00724334"/>
    <w:rsid w:val="007245F3"/>
    <w:rsid w:val="007247D3"/>
    <w:rsid w:val="007248C1"/>
    <w:rsid w:val="00724B30"/>
    <w:rsid w:val="00724BD1"/>
    <w:rsid w:val="00724EB1"/>
    <w:rsid w:val="00725125"/>
    <w:rsid w:val="007251DD"/>
    <w:rsid w:val="00725480"/>
    <w:rsid w:val="00725514"/>
    <w:rsid w:val="007255FD"/>
    <w:rsid w:val="00725808"/>
    <w:rsid w:val="00725AB3"/>
    <w:rsid w:val="00725ADF"/>
    <w:rsid w:val="00725CBB"/>
    <w:rsid w:val="00725D88"/>
    <w:rsid w:val="007261D9"/>
    <w:rsid w:val="007261F1"/>
    <w:rsid w:val="00726312"/>
    <w:rsid w:val="00726591"/>
    <w:rsid w:val="00726675"/>
    <w:rsid w:val="00726A22"/>
    <w:rsid w:val="00726EDF"/>
    <w:rsid w:val="007271BA"/>
    <w:rsid w:val="00727200"/>
    <w:rsid w:val="00727235"/>
    <w:rsid w:val="007275AC"/>
    <w:rsid w:val="00727986"/>
    <w:rsid w:val="00727F57"/>
    <w:rsid w:val="007302B0"/>
    <w:rsid w:val="00730499"/>
    <w:rsid w:val="00730628"/>
    <w:rsid w:val="007306EA"/>
    <w:rsid w:val="0073139A"/>
    <w:rsid w:val="00731613"/>
    <w:rsid w:val="00731BA7"/>
    <w:rsid w:val="00731CDD"/>
    <w:rsid w:val="00731EF2"/>
    <w:rsid w:val="00732051"/>
    <w:rsid w:val="007322B9"/>
    <w:rsid w:val="00732431"/>
    <w:rsid w:val="007324A2"/>
    <w:rsid w:val="007324E0"/>
    <w:rsid w:val="007328BF"/>
    <w:rsid w:val="007328C0"/>
    <w:rsid w:val="007328DE"/>
    <w:rsid w:val="00732943"/>
    <w:rsid w:val="00732E10"/>
    <w:rsid w:val="00733191"/>
    <w:rsid w:val="007334C7"/>
    <w:rsid w:val="00733565"/>
    <w:rsid w:val="00733670"/>
    <w:rsid w:val="00733CDF"/>
    <w:rsid w:val="0073406A"/>
    <w:rsid w:val="00734097"/>
    <w:rsid w:val="0073409C"/>
    <w:rsid w:val="00734238"/>
    <w:rsid w:val="0073448E"/>
    <w:rsid w:val="007348D9"/>
    <w:rsid w:val="00734C07"/>
    <w:rsid w:val="00734E00"/>
    <w:rsid w:val="00734E57"/>
    <w:rsid w:val="00734E92"/>
    <w:rsid w:val="00734E9D"/>
    <w:rsid w:val="0073529D"/>
    <w:rsid w:val="00735834"/>
    <w:rsid w:val="00735927"/>
    <w:rsid w:val="00735BBE"/>
    <w:rsid w:val="00735CE6"/>
    <w:rsid w:val="00735FA9"/>
    <w:rsid w:val="00736052"/>
    <w:rsid w:val="007360D9"/>
    <w:rsid w:val="00736559"/>
    <w:rsid w:val="00736669"/>
    <w:rsid w:val="007369C5"/>
    <w:rsid w:val="00736EA9"/>
    <w:rsid w:val="00736F93"/>
    <w:rsid w:val="00736F94"/>
    <w:rsid w:val="00736FFF"/>
    <w:rsid w:val="00737918"/>
    <w:rsid w:val="007379EF"/>
    <w:rsid w:val="00737C4E"/>
    <w:rsid w:val="00737CC5"/>
    <w:rsid w:val="00737CF0"/>
    <w:rsid w:val="00737DB5"/>
    <w:rsid w:val="00737DFC"/>
    <w:rsid w:val="00737E80"/>
    <w:rsid w:val="00740002"/>
    <w:rsid w:val="007401AB"/>
    <w:rsid w:val="007403E6"/>
    <w:rsid w:val="007406E6"/>
    <w:rsid w:val="00740786"/>
    <w:rsid w:val="00740BF8"/>
    <w:rsid w:val="00740BF9"/>
    <w:rsid w:val="00740D85"/>
    <w:rsid w:val="00740E91"/>
    <w:rsid w:val="007410E2"/>
    <w:rsid w:val="007413DF"/>
    <w:rsid w:val="007414FF"/>
    <w:rsid w:val="0074160F"/>
    <w:rsid w:val="00741940"/>
    <w:rsid w:val="00741D36"/>
    <w:rsid w:val="00741EED"/>
    <w:rsid w:val="00742011"/>
    <w:rsid w:val="007420FC"/>
    <w:rsid w:val="0074234E"/>
    <w:rsid w:val="0074255D"/>
    <w:rsid w:val="007425DA"/>
    <w:rsid w:val="0074261D"/>
    <w:rsid w:val="00742706"/>
    <w:rsid w:val="0074273E"/>
    <w:rsid w:val="00742784"/>
    <w:rsid w:val="007428CD"/>
    <w:rsid w:val="00742BB7"/>
    <w:rsid w:val="00743235"/>
    <w:rsid w:val="0074331C"/>
    <w:rsid w:val="00743403"/>
    <w:rsid w:val="007434BA"/>
    <w:rsid w:val="00743901"/>
    <w:rsid w:val="00743EAA"/>
    <w:rsid w:val="0074409B"/>
    <w:rsid w:val="0074491F"/>
    <w:rsid w:val="00744F16"/>
    <w:rsid w:val="00745037"/>
    <w:rsid w:val="0074508D"/>
    <w:rsid w:val="0074527C"/>
    <w:rsid w:val="0074550A"/>
    <w:rsid w:val="0074561F"/>
    <w:rsid w:val="007456A9"/>
    <w:rsid w:val="00745827"/>
    <w:rsid w:val="007458D1"/>
    <w:rsid w:val="007459E3"/>
    <w:rsid w:val="00745C42"/>
    <w:rsid w:val="00745C4D"/>
    <w:rsid w:val="00745C62"/>
    <w:rsid w:val="00745CA3"/>
    <w:rsid w:val="00745D06"/>
    <w:rsid w:val="00745E82"/>
    <w:rsid w:val="00745EAE"/>
    <w:rsid w:val="00745F5B"/>
    <w:rsid w:val="00746005"/>
    <w:rsid w:val="0074609B"/>
    <w:rsid w:val="00746435"/>
    <w:rsid w:val="00746478"/>
    <w:rsid w:val="007468FB"/>
    <w:rsid w:val="00746940"/>
    <w:rsid w:val="00746AC0"/>
    <w:rsid w:val="00746B16"/>
    <w:rsid w:val="007471F6"/>
    <w:rsid w:val="00747293"/>
    <w:rsid w:val="00747373"/>
    <w:rsid w:val="00747482"/>
    <w:rsid w:val="007475E5"/>
    <w:rsid w:val="00747653"/>
    <w:rsid w:val="00747935"/>
    <w:rsid w:val="007479A5"/>
    <w:rsid w:val="00747A86"/>
    <w:rsid w:val="00747B6B"/>
    <w:rsid w:val="007493A5"/>
    <w:rsid w:val="0074BA9A"/>
    <w:rsid w:val="00750156"/>
    <w:rsid w:val="00750167"/>
    <w:rsid w:val="0075076A"/>
    <w:rsid w:val="00750967"/>
    <w:rsid w:val="0075098C"/>
    <w:rsid w:val="007509C2"/>
    <w:rsid w:val="00750BBE"/>
    <w:rsid w:val="00750E1A"/>
    <w:rsid w:val="00750EA2"/>
    <w:rsid w:val="00750F21"/>
    <w:rsid w:val="00750F8F"/>
    <w:rsid w:val="00750FA8"/>
    <w:rsid w:val="0075115E"/>
    <w:rsid w:val="00751225"/>
    <w:rsid w:val="007512F4"/>
    <w:rsid w:val="00751646"/>
    <w:rsid w:val="0075181B"/>
    <w:rsid w:val="00751A56"/>
    <w:rsid w:val="00751A5A"/>
    <w:rsid w:val="00751AB7"/>
    <w:rsid w:val="00751C22"/>
    <w:rsid w:val="00751D65"/>
    <w:rsid w:val="00751DEB"/>
    <w:rsid w:val="00752564"/>
    <w:rsid w:val="0075256E"/>
    <w:rsid w:val="007525A2"/>
    <w:rsid w:val="007525DF"/>
    <w:rsid w:val="00752685"/>
    <w:rsid w:val="0075293B"/>
    <w:rsid w:val="00752A97"/>
    <w:rsid w:val="00752BE1"/>
    <w:rsid w:val="007535F4"/>
    <w:rsid w:val="00753BD4"/>
    <w:rsid w:val="00753C6F"/>
    <w:rsid w:val="00753CDA"/>
    <w:rsid w:val="00753F4A"/>
    <w:rsid w:val="007540E4"/>
    <w:rsid w:val="00754331"/>
    <w:rsid w:val="0075467D"/>
    <w:rsid w:val="00754AA3"/>
    <w:rsid w:val="00754E74"/>
    <w:rsid w:val="00755056"/>
    <w:rsid w:val="00755105"/>
    <w:rsid w:val="007552ED"/>
    <w:rsid w:val="00755368"/>
    <w:rsid w:val="00755602"/>
    <w:rsid w:val="007559A8"/>
    <w:rsid w:val="00755B3B"/>
    <w:rsid w:val="00755C10"/>
    <w:rsid w:val="00755D98"/>
    <w:rsid w:val="00755FF3"/>
    <w:rsid w:val="00756295"/>
    <w:rsid w:val="00756651"/>
    <w:rsid w:val="00756708"/>
    <w:rsid w:val="007567B7"/>
    <w:rsid w:val="00756DE6"/>
    <w:rsid w:val="00757468"/>
    <w:rsid w:val="0075752D"/>
    <w:rsid w:val="007576CB"/>
    <w:rsid w:val="00757D4B"/>
    <w:rsid w:val="00757E93"/>
    <w:rsid w:val="00757F11"/>
    <w:rsid w:val="00757FA5"/>
    <w:rsid w:val="00757FF3"/>
    <w:rsid w:val="00760333"/>
    <w:rsid w:val="00760340"/>
    <w:rsid w:val="00760521"/>
    <w:rsid w:val="007606C2"/>
    <w:rsid w:val="00760789"/>
    <w:rsid w:val="00760891"/>
    <w:rsid w:val="007608A0"/>
    <w:rsid w:val="007608FD"/>
    <w:rsid w:val="007609B8"/>
    <w:rsid w:val="00760ADF"/>
    <w:rsid w:val="00760AFC"/>
    <w:rsid w:val="00760C1E"/>
    <w:rsid w:val="00760CF9"/>
    <w:rsid w:val="00760D41"/>
    <w:rsid w:val="007610E2"/>
    <w:rsid w:val="0076130D"/>
    <w:rsid w:val="007613DD"/>
    <w:rsid w:val="007614FA"/>
    <w:rsid w:val="00761710"/>
    <w:rsid w:val="00761810"/>
    <w:rsid w:val="00761A42"/>
    <w:rsid w:val="00761B08"/>
    <w:rsid w:val="00761B2C"/>
    <w:rsid w:val="00761BBA"/>
    <w:rsid w:val="00761D4B"/>
    <w:rsid w:val="00761DED"/>
    <w:rsid w:val="007623BB"/>
    <w:rsid w:val="007626AF"/>
    <w:rsid w:val="00762905"/>
    <w:rsid w:val="00762972"/>
    <w:rsid w:val="007629FD"/>
    <w:rsid w:val="00762A8E"/>
    <w:rsid w:val="00762C89"/>
    <w:rsid w:val="00762DB2"/>
    <w:rsid w:val="007630A0"/>
    <w:rsid w:val="0076314A"/>
    <w:rsid w:val="0076314E"/>
    <w:rsid w:val="007631EC"/>
    <w:rsid w:val="007632E0"/>
    <w:rsid w:val="007633AA"/>
    <w:rsid w:val="007639BD"/>
    <w:rsid w:val="00763A54"/>
    <w:rsid w:val="00763AFD"/>
    <w:rsid w:val="00763B32"/>
    <w:rsid w:val="00763E00"/>
    <w:rsid w:val="00763E0E"/>
    <w:rsid w:val="00763E25"/>
    <w:rsid w:val="0076433B"/>
    <w:rsid w:val="00764853"/>
    <w:rsid w:val="007648FC"/>
    <w:rsid w:val="0076495E"/>
    <w:rsid w:val="00764A73"/>
    <w:rsid w:val="00764D54"/>
    <w:rsid w:val="00764FAB"/>
    <w:rsid w:val="007651C3"/>
    <w:rsid w:val="007655BD"/>
    <w:rsid w:val="00765AF6"/>
    <w:rsid w:val="00765C39"/>
    <w:rsid w:val="00765C85"/>
    <w:rsid w:val="00765DF4"/>
    <w:rsid w:val="00765E32"/>
    <w:rsid w:val="0076616F"/>
    <w:rsid w:val="007661F0"/>
    <w:rsid w:val="00766398"/>
    <w:rsid w:val="007669D8"/>
    <w:rsid w:val="00766A1C"/>
    <w:rsid w:val="00766B04"/>
    <w:rsid w:val="00766C0B"/>
    <w:rsid w:val="00766E07"/>
    <w:rsid w:val="00766F28"/>
    <w:rsid w:val="00767086"/>
    <w:rsid w:val="007670CA"/>
    <w:rsid w:val="00767313"/>
    <w:rsid w:val="00767675"/>
    <w:rsid w:val="00767BB8"/>
    <w:rsid w:val="00767E41"/>
    <w:rsid w:val="00767E44"/>
    <w:rsid w:val="00767EDC"/>
    <w:rsid w:val="00767F94"/>
    <w:rsid w:val="007700CF"/>
    <w:rsid w:val="00770630"/>
    <w:rsid w:val="007709A2"/>
    <w:rsid w:val="00770BBC"/>
    <w:rsid w:val="00770BEB"/>
    <w:rsid w:val="00770CC9"/>
    <w:rsid w:val="00770CF9"/>
    <w:rsid w:val="00771558"/>
    <w:rsid w:val="00771783"/>
    <w:rsid w:val="0077196C"/>
    <w:rsid w:val="00771995"/>
    <w:rsid w:val="00771A1D"/>
    <w:rsid w:val="00771AB9"/>
    <w:rsid w:val="00772060"/>
    <w:rsid w:val="007726E2"/>
    <w:rsid w:val="00772721"/>
    <w:rsid w:val="0077276F"/>
    <w:rsid w:val="00772997"/>
    <w:rsid w:val="00772A87"/>
    <w:rsid w:val="00772BCE"/>
    <w:rsid w:val="00772BF9"/>
    <w:rsid w:val="00772CE1"/>
    <w:rsid w:val="00772CF8"/>
    <w:rsid w:val="00773197"/>
    <w:rsid w:val="00773692"/>
    <w:rsid w:val="00773786"/>
    <w:rsid w:val="007739DE"/>
    <w:rsid w:val="00773AD5"/>
    <w:rsid w:val="00773C75"/>
    <w:rsid w:val="00773E84"/>
    <w:rsid w:val="00773F9B"/>
    <w:rsid w:val="00774006"/>
    <w:rsid w:val="0077405F"/>
    <w:rsid w:val="00774356"/>
    <w:rsid w:val="007744A3"/>
    <w:rsid w:val="007745C8"/>
    <w:rsid w:val="00774653"/>
    <w:rsid w:val="00774679"/>
    <w:rsid w:val="007746C5"/>
    <w:rsid w:val="0077482C"/>
    <w:rsid w:val="00774891"/>
    <w:rsid w:val="00774A17"/>
    <w:rsid w:val="00774B01"/>
    <w:rsid w:val="00774CED"/>
    <w:rsid w:val="00774CEF"/>
    <w:rsid w:val="0077514D"/>
    <w:rsid w:val="007751A3"/>
    <w:rsid w:val="0077521C"/>
    <w:rsid w:val="0077532E"/>
    <w:rsid w:val="00775338"/>
    <w:rsid w:val="0077543A"/>
    <w:rsid w:val="00775753"/>
    <w:rsid w:val="00775988"/>
    <w:rsid w:val="00775A58"/>
    <w:rsid w:val="00775C5B"/>
    <w:rsid w:val="00775DB5"/>
    <w:rsid w:val="00775DD5"/>
    <w:rsid w:val="00775FD2"/>
    <w:rsid w:val="0077600B"/>
    <w:rsid w:val="0077600D"/>
    <w:rsid w:val="007763CA"/>
    <w:rsid w:val="0077683E"/>
    <w:rsid w:val="007768C2"/>
    <w:rsid w:val="00776A46"/>
    <w:rsid w:val="00776DB4"/>
    <w:rsid w:val="00776E88"/>
    <w:rsid w:val="00776F13"/>
    <w:rsid w:val="00776FCB"/>
    <w:rsid w:val="0077712B"/>
    <w:rsid w:val="00777181"/>
    <w:rsid w:val="0077723B"/>
    <w:rsid w:val="00777375"/>
    <w:rsid w:val="00777455"/>
    <w:rsid w:val="0077750E"/>
    <w:rsid w:val="007778FB"/>
    <w:rsid w:val="00777D37"/>
    <w:rsid w:val="00780115"/>
    <w:rsid w:val="0078044C"/>
    <w:rsid w:val="00780485"/>
    <w:rsid w:val="007804B7"/>
    <w:rsid w:val="00780B95"/>
    <w:rsid w:val="00780C9E"/>
    <w:rsid w:val="0078136F"/>
    <w:rsid w:val="00781733"/>
    <w:rsid w:val="00781865"/>
    <w:rsid w:val="0078198E"/>
    <w:rsid w:val="00781A78"/>
    <w:rsid w:val="00781D48"/>
    <w:rsid w:val="00781E4A"/>
    <w:rsid w:val="00781FD6"/>
    <w:rsid w:val="007820EC"/>
    <w:rsid w:val="0078223C"/>
    <w:rsid w:val="0078229C"/>
    <w:rsid w:val="0078236C"/>
    <w:rsid w:val="0078255D"/>
    <w:rsid w:val="0078255F"/>
    <w:rsid w:val="007827B0"/>
    <w:rsid w:val="00782861"/>
    <w:rsid w:val="00782993"/>
    <w:rsid w:val="007829DE"/>
    <w:rsid w:val="00782C6A"/>
    <w:rsid w:val="00782C7D"/>
    <w:rsid w:val="00782F1B"/>
    <w:rsid w:val="00783012"/>
    <w:rsid w:val="0078317F"/>
    <w:rsid w:val="00783223"/>
    <w:rsid w:val="00783265"/>
    <w:rsid w:val="0078333B"/>
    <w:rsid w:val="007833CC"/>
    <w:rsid w:val="00783577"/>
    <w:rsid w:val="00783803"/>
    <w:rsid w:val="0078383C"/>
    <w:rsid w:val="00783850"/>
    <w:rsid w:val="007838B9"/>
    <w:rsid w:val="007844A5"/>
    <w:rsid w:val="00784718"/>
    <w:rsid w:val="00784AF4"/>
    <w:rsid w:val="00784CAF"/>
    <w:rsid w:val="00784D23"/>
    <w:rsid w:val="00784D2C"/>
    <w:rsid w:val="00784E56"/>
    <w:rsid w:val="00784E5A"/>
    <w:rsid w:val="00784F6E"/>
    <w:rsid w:val="00785221"/>
    <w:rsid w:val="00785320"/>
    <w:rsid w:val="0078558E"/>
    <w:rsid w:val="007856BD"/>
    <w:rsid w:val="00785B78"/>
    <w:rsid w:val="00785EBB"/>
    <w:rsid w:val="00785FDF"/>
    <w:rsid w:val="0078601D"/>
    <w:rsid w:val="007861E7"/>
    <w:rsid w:val="00786207"/>
    <w:rsid w:val="0078654C"/>
    <w:rsid w:val="00786876"/>
    <w:rsid w:val="007868FE"/>
    <w:rsid w:val="00786A82"/>
    <w:rsid w:val="00786B73"/>
    <w:rsid w:val="00786FD9"/>
    <w:rsid w:val="007870ED"/>
    <w:rsid w:val="00787138"/>
    <w:rsid w:val="007871A1"/>
    <w:rsid w:val="007874C8"/>
    <w:rsid w:val="00787666"/>
    <w:rsid w:val="0078772C"/>
    <w:rsid w:val="007877BB"/>
    <w:rsid w:val="00787A55"/>
    <w:rsid w:val="00787B6B"/>
    <w:rsid w:val="00787CE3"/>
    <w:rsid w:val="00787E19"/>
    <w:rsid w:val="00787ECD"/>
    <w:rsid w:val="007900A9"/>
    <w:rsid w:val="00790317"/>
    <w:rsid w:val="00790578"/>
    <w:rsid w:val="007906E1"/>
    <w:rsid w:val="00790759"/>
    <w:rsid w:val="00790AD6"/>
    <w:rsid w:val="00790C27"/>
    <w:rsid w:val="00790D9B"/>
    <w:rsid w:val="00790F31"/>
    <w:rsid w:val="007911A4"/>
    <w:rsid w:val="007911F2"/>
    <w:rsid w:val="007915C4"/>
    <w:rsid w:val="0079181A"/>
    <w:rsid w:val="00791C79"/>
    <w:rsid w:val="00791CF6"/>
    <w:rsid w:val="00791ED5"/>
    <w:rsid w:val="0079205E"/>
    <w:rsid w:val="0079215C"/>
    <w:rsid w:val="00792316"/>
    <w:rsid w:val="00792419"/>
    <w:rsid w:val="0079243F"/>
    <w:rsid w:val="0079248B"/>
    <w:rsid w:val="007925CB"/>
    <w:rsid w:val="00792646"/>
    <w:rsid w:val="007926A6"/>
    <w:rsid w:val="0079301D"/>
    <w:rsid w:val="007931C3"/>
    <w:rsid w:val="00793333"/>
    <w:rsid w:val="0079344E"/>
    <w:rsid w:val="007937B1"/>
    <w:rsid w:val="00793A74"/>
    <w:rsid w:val="00793C49"/>
    <w:rsid w:val="007942C4"/>
    <w:rsid w:val="0079430D"/>
    <w:rsid w:val="007943E2"/>
    <w:rsid w:val="0079455B"/>
    <w:rsid w:val="007946A6"/>
    <w:rsid w:val="007947DC"/>
    <w:rsid w:val="007947FE"/>
    <w:rsid w:val="0079498D"/>
    <w:rsid w:val="00794D9B"/>
    <w:rsid w:val="007951E1"/>
    <w:rsid w:val="007953CA"/>
    <w:rsid w:val="00795530"/>
    <w:rsid w:val="007955B9"/>
    <w:rsid w:val="00795AC2"/>
    <w:rsid w:val="00795CFD"/>
    <w:rsid w:val="007961BC"/>
    <w:rsid w:val="00796468"/>
    <w:rsid w:val="007966EC"/>
    <w:rsid w:val="00796A02"/>
    <w:rsid w:val="00796DF6"/>
    <w:rsid w:val="00796E45"/>
    <w:rsid w:val="00797B5E"/>
    <w:rsid w:val="00797CA9"/>
    <w:rsid w:val="00797E9B"/>
    <w:rsid w:val="007A0345"/>
    <w:rsid w:val="007A062A"/>
    <w:rsid w:val="007A09A3"/>
    <w:rsid w:val="007A0BE8"/>
    <w:rsid w:val="007A0C5C"/>
    <w:rsid w:val="007A0E0F"/>
    <w:rsid w:val="007A0E1E"/>
    <w:rsid w:val="007A0F63"/>
    <w:rsid w:val="007A10ED"/>
    <w:rsid w:val="007A1239"/>
    <w:rsid w:val="007A1637"/>
    <w:rsid w:val="007A1701"/>
    <w:rsid w:val="007A1A39"/>
    <w:rsid w:val="007A1A52"/>
    <w:rsid w:val="007A1AEE"/>
    <w:rsid w:val="007A1BAD"/>
    <w:rsid w:val="007A1D56"/>
    <w:rsid w:val="007A20C8"/>
    <w:rsid w:val="007A26A5"/>
    <w:rsid w:val="007A26F7"/>
    <w:rsid w:val="007A2A09"/>
    <w:rsid w:val="007A2C8A"/>
    <w:rsid w:val="007A2D15"/>
    <w:rsid w:val="007A2E82"/>
    <w:rsid w:val="007A2F00"/>
    <w:rsid w:val="007A31A3"/>
    <w:rsid w:val="007A359D"/>
    <w:rsid w:val="007A3617"/>
    <w:rsid w:val="007A3A0F"/>
    <w:rsid w:val="007A3B16"/>
    <w:rsid w:val="007A3B28"/>
    <w:rsid w:val="007A42E7"/>
    <w:rsid w:val="007A4329"/>
    <w:rsid w:val="007A452A"/>
    <w:rsid w:val="007A45ED"/>
    <w:rsid w:val="007A488E"/>
    <w:rsid w:val="007A48A6"/>
    <w:rsid w:val="007A4B51"/>
    <w:rsid w:val="007A4C66"/>
    <w:rsid w:val="007A4CBB"/>
    <w:rsid w:val="007A4D27"/>
    <w:rsid w:val="007A5231"/>
    <w:rsid w:val="007A5237"/>
    <w:rsid w:val="007A56B3"/>
    <w:rsid w:val="007A57E6"/>
    <w:rsid w:val="007A5817"/>
    <w:rsid w:val="007A5859"/>
    <w:rsid w:val="007A5A7F"/>
    <w:rsid w:val="007A5ADA"/>
    <w:rsid w:val="007A5D52"/>
    <w:rsid w:val="007A5DE9"/>
    <w:rsid w:val="007A5F4F"/>
    <w:rsid w:val="007A601F"/>
    <w:rsid w:val="007A617C"/>
    <w:rsid w:val="007A6684"/>
    <w:rsid w:val="007A6970"/>
    <w:rsid w:val="007A6D07"/>
    <w:rsid w:val="007A6E2C"/>
    <w:rsid w:val="007A7125"/>
    <w:rsid w:val="007A72BD"/>
    <w:rsid w:val="007A734C"/>
    <w:rsid w:val="007A7462"/>
    <w:rsid w:val="007A7B4A"/>
    <w:rsid w:val="007A7B95"/>
    <w:rsid w:val="007A7C05"/>
    <w:rsid w:val="007A7D22"/>
    <w:rsid w:val="007A7DFE"/>
    <w:rsid w:val="007A7E5D"/>
    <w:rsid w:val="007A7F62"/>
    <w:rsid w:val="007B00D5"/>
    <w:rsid w:val="007B0403"/>
    <w:rsid w:val="007B0408"/>
    <w:rsid w:val="007B04CD"/>
    <w:rsid w:val="007B0591"/>
    <w:rsid w:val="007B080A"/>
    <w:rsid w:val="007B0A59"/>
    <w:rsid w:val="007B0C92"/>
    <w:rsid w:val="007B0F76"/>
    <w:rsid w:val="007B10E0"/>
    <w:rsid w:val="007B1687"/>
    <w:rsid w:val="007B1700"/>
    <w:rsid w:val="007B17DF"/>
    <w:rsid w:val="007B19E5"/>
    <w:rsid w:val="007B2426"/>
    <w:rsid w:val="007B2E14"/>
    <w:rsid w:val="007B3185"/>
    <w:rsid w:val="007B341B"/>
    <w:rsid w:val="007B34C5"/>
    <w:rsid w:val="007B36C2"/>
    <w:rsid w:val="007B394D"/>
    <w:rsid w:val="007B3BB0"/>
    <w:rsid w:val="007B3C1B"/>
    <w:rsid w:val="007B3D2E"/>
    <w:rsid w:val="007B3F07"/>
    <w:rsid w:val="007B40DF"/>
    <w:rsid w:val="007B40E9"/>
    <w:rsid w:val="007B4368"/>
    <w:rsid w:val="007B4376"/>
    <w:rsid w:val="007B440E"/>
    <w:rsid w:val="007B4FCE"/>
    <w:rsid w:val="007B50C8"/>
    <w:rsid w:val="007B51E3"/>
    <w:rsid w:val="007B5268"/>
    <w:rsid w:val="007B56B2"/>
    <w:rsid w:val="007B5713"/>
    <w:rsid w:val="007B5884"/>
    <w:rsid w:val="007B5912"/>
    <w:rsid w:val="007B5AFD"/>
    <w:rsid w:val="007B5C2D"/>
    <w:rsid w:val="007B5C64"/>
    <w:rsid w:val="007B5F41"/>
    <w:rsid w:val="007B6093"/>
    <w:rsid w:val="007B63D3"/>
    <w:rsid w:val="007B6456"/>
    <w:rsid w:val="007B6496"/>
    <w:rsid w:val="007B64D0"/>
    <w:rsid w:val="007B6582"/>
    <w:rsid w:val="007B6591"/>
    <w:rsid w:val="007B69CE"/>
    <w:rsid w:val="007B6BB9"/>
    <w:rsid w:val="007B6C75"/>
    <w:rsid w:val="007B6F3A"/>
    <w:rsid w:val="007B722F"/>
    <w:rsid w:val="007B7402"/>
    <w:rsid w:val="007B7451"/>
    <w:rsid w:val="007B75AE"/>
    <w:rsid w:val="007B766E"/>
    <w:rsid w:val="007B7AD0"/>
    <w:rsid w:val="007B7AEA"/>
    <w:rsid w:val="007BECD2"/>
    <w:rsid w:val="007BFD0A"/>
    <w:rsid w:val="007C0062"/>
    <w:rsid w:val="007C025D"/>
    <w:rsid w:val="007C0265"/>
    <w:rsid w:val="007C0391"/>
    <w:rsid w:val="007C03ED"/>
    <w:rsid w:val="007C0476"/>
    <w:rsid w:val="007C04FA"/>
    <w:rsid w:val="007C0517"/>
    <w:rsid w:val="007C056E"/>
    <w:rsid w:val="007C082F"/>
    <w:rsid w:val="007C0D46"/>
    <w:rsid w:val="007C0EE6"/>
    <w:rsid w:val="007C0FAF"/>
    <w:rsid w:val="007C1303"/>
    <w:rsid w:val="007C13FD"/>
    <w:rsid w:val="007C142C"/>
    <w:rsid w:val="007C18E7"/>
    <w:rsid w:val="007C1C2D"/>
    <w:rsid w:val="007C1CF7"/>
    <w:rsid w:val="007C2105"/>
    <w:rsid w:val="007C24D1"/>
    <w:rsid w:val="007C254D"/>
    <w:rsid w:val="007C28F3"/>
    <w:rsid w:val="007C2A30"/>
    <w:rsid w:val="007C2B8D"/>
    <w:rsid w:val="007C2C83"/>
    <w:rsid w:val="007C2DE7"/>
    <w:rsid w:val="007C308D"/>
    <w:rsid w:val="007C3152"/>
    <w:rsid w:val="007C3156"/>
    <w:rsid w:val="007C3535"/>
    <w:rsid w:val="007C35F3"/>
    <w:rsid w:val="007C360E"/>
    <w:rsid w:val="007C3620"/>
    <w:rsid w:val="007C37A0"/>
    <w:rsid w:val="007C39CD"/>
    <w:rsid w:val="007C3CA1"/>
    <w:rsid w:val="007C3E3C"/>
    <w:rsid w:val="007C4061"/>
    <w:rsid w:val="007C40EF"/>
    <w:rsid w:val="007C419D"/>
    <w:rsid w:val="007C44B1"/>
    <w:rsid w:val="007C4590"/>
    <w:rsid w:val="007C475F"/>
    <w:rsid w:val="007C4B1C"/>
    <w:rsid w:val="007C4C41"/>
    <w:rsid w:val="007C50DA"/>
    <w:rsid w:val="007C5251"/>
    <w:rsid w:val="007C5332"/>
    <w:rsid w:val="007C5367"/>
    <w:rsid w:val="007C54B8"/>
    <w:rsid w:val="007C5546"/>
    <w:rsid w:val="007C5AD5"/>
    <w:rsid w:val="007C5BFD"/>
    <w:rsid w:val="007C61F3"/>
    <w:rsid w:val="007C632F"/>
    <w:rsid w:val="007C6357"/>
    <w:rsid w:val="007C64A2"/>
    <w:rsid w:val="007C67E9"/>
    <w:rsid w:val="007C6A65"/>
    <w:rsid w:val="007C6CFE"/>
    <w:rsid w:val="007C6E67"/>
    <w:rsid w:val="007C6F9D"/>
    <w:rsid w:val="007C706D"/>
    <w:rsid w:val="007C729C"/>
    <w:rsid w:val="007C72DC"/>
    <w:rsid w:val="007C73D1"/>
    <w:rsid w:val="007C7427"/>
    <w:rsid w:val="007C74D0"/>
    <w:rsid w:val="007C770C"/>
    <w:rsid w:val="007C7A71"/>
    <w:rsid w:val="007C7BE8"/>
    <w:rsid w:val="007C7E5F"/>
    <w:rsid w:val="007CBDAD"/>
    <w:rsid w:val="007D0466"/>
    <w:rsid w:val="007D0CAE"/>
    <w:rsid w:val="007D0D9A"/>
    <w:rsid w:val="007D1001"/>
    <w:rsid w:val="007D139E"/>
    <w:rsid w:val="007D1A43"/>
    <w:rsid w:val="007D1ABC"/>
    <w:rsid w:val="007D1BA8"/>
    <w:rsid w:val="007D1BC7"/>
    <w:rsid w:val="007D1C88"/>
    <w:rsid w:val="007D1CBD"/>
    <w:rsid w:val="007D21EC"/>
    <w:rsid w:val="007D24ED"/>
    <w:rsid w:val="007D2758"/>
    <w:rsid w:val="007D2932"/>
    <w:rsid w:val="007D2C47"/>
    <w:rsid w:val="007D2E26"/>
    <w:rsid w:val="007D345D"/>
    <w:rsid w:val="007D351E"/>
    <w:rsid w:val="007D37E1"/>
    <w:rsid w:val="007D3820"/>
    <w:rsid w:val="007D384A"/>
    <w:rsid w:val="007D3A6E"/>
    <w:rsid w:val="007D3C62"/>
    <w:rsid w:val="007D3D43"/>
    <w:rsid w:val="007D3EE0"/>
    <w:rsid w:val="007D3EF9"/>
    <w:rsid w:val="007D3F6E"/>
    <w:rsid w:val="007D40B5"/>
    <w:rsid w:val="007D40EC"/>
    <w:rsid w:val="007D4267"/>
    <w:rsid w:val="007D42C7"/>
    <w:rsid w:val="007D437A"/>
    <w:rsid w:val="007D448B"/>
    <w:rsid w:val="007D44E9"/>
    <w:rsid w:val="007D498A"/>
    <w:rsid w:val="007D4AF4"/>
    <w:rsid w:val="007D4BF3"/>
    <w:rsid w:val="007D4E4B"/>
    <w:rsid w:val="007D4EF2"/>
    <w:rsid w:val="007D5542"/>
    <w:rsid w:val="007D55BA"/>
    <w:rsid w:val="007D581D"/>
    <w:rsid w:val="007D58ED"/>
    <w:rsid w:val="007D5A18"/>
    <w:rsid w:val="007D5B0F"/>
    <w:rsid w:val="007D5B64"/>
    <w:rsid w:val="007D60FA"/>
    <w:rsid w:val="007D62D4"/>
    <w:rsid w:val="007D631B"/>
    <w:rsid w:val="007D6394"/>
    <w:rsid w:val="007D65A8"/>
    <w:rsid w:val="007D6C37"/>
    <w:rsid w:val="007D6E05"/>
    <w:rsid w:val="007D724E"/>
    <w:rsid w:val="007D73EE"/>
    <w:rsid w:val="007D746F"/>
    <w:rsid w:val="007D7534"/>
    <w:rsid w:val="007D75B9"/>
    <w:rsid w:val="007D75C1"/>
    <w:rsid w:val="007D7610"/>
    <w:rsid w:val="007D765B"/>
    <w:rsid w:val="007D77B5"/>
    <w:rsid w:val="007D7915"/>
    <w:rsid w:val="007D7C2D"/>
    <w:rsid w:val="007D7D30"/>
    <w:rsid w:val="007D7D32"/>
    <w:rsid w:val="007D7DCA"/>
    <w:rsid w:val="007D7F4B"/>
    <w:rsid w:val="007D7F51"/>
    <w:rsid w:val="007E0073"/>
    <w:rsid w:val="007E039A"/>
    <w:rsid w:val="007E0435"/>
    <w:rsid w:val="007E0634"/>
    <w:rsid w:val="007E0775"/>
    <w:rsid w:val="007E0791"/>
    <w:rsid w:val="007E0E51"/>
    <w:rsid w:val="007E0E9E"/>
    <w:rsid w:val="007E0F05"/>
    <w:rsid w:val="007E0F24"/>
    <w:rsid w:val="007E12B4"/>
    <w:rsid w:val="007E13A9"/>
    <w:rsid w:val="007E142E"/>
    <w:rsid w:val="007E170C"/>
    <w:rsid w:val="007E172C"/>
    <w:rsid w:val="007E1963"/>
    <w:rsid w:val="007E19C2"/>
    <w:rsid w:val="007E1B30"/>
    <w:rsid w:val="007E20A6"/>
    <w:rsid w:val="007E227E"/>
    <w:rsid w:val="007E2A35"/>
    <w:rsid w:val="007E2EA4"/>
    <w:rsid w:val="007E354B"/>
    <w:rsid w:val="007E3564"/>
    <w:rsid w:val="007E3585"/>
    <w:rsid w:val="007E365B"/>
    <w:rsid w:val="007E3A17"/>
    <w:rsid w:val="007E3B2A"/>
    <w:rsid w:val="007E3CEF"/>
    <w:rsid w:val="007E41B1"/>
    <w:rsid w:val="007E4435"/>
    <w:rsid w:val="007E444A"/>
    <w:rsid w:val="007E46D4"/>
    <w:rsid w:val="007E4A06"/>
    <w:rsid w:val="007E4A0B"/>
    <w:rsid w:val="007E4C7D"/>
    <w:rsid w:val="007E4E2F"/>
    <w:rsid w:val="007E514B"/>
    <w:rsid w:val="007E525F"/>
    <w:rsid w:val="007E531B"/>
    <w:rsid w:val="007E5468"/>
    <w:rsid w:val="007E54AB"/>
    <w:rsid w:val="007E576D"/>
    <w:rsid w:val="007E57C7"/>
    <w:rsid w:val="007E5874"/>
    <w:rsid w:val="007E58A8"/>
    <w:rsid w:val="007E5958"/>
    <w:rsid w:val="007E5C85"/>
    <w:rsid w:val="007E5FDC"/>
    <w:rsid w:val="007E63E7"/>
    <w:rsid w:val="007E6556"/>
    <w:rsid w:val="007E6597"/>
    <w:rsid w:val="007E67DF"/>
    <w:rsid w:val="007E692E"/>
    <w:rsid w:val="007E6E16"/>
    <w:rsid w:val="007E6FFC"/>
    <w:rsid w:val="007E7037"/>
    <w:rsid w:val="007E778D"/>
    <w:rsid w:val="007E7EFF"/>
    <w:rsid w:val="007EC068"/>
    <w:rsid w:val="007F01E6"/>
    <w:rsid w:val="007F01E8"/>
    <w:rsid w:val="007F0235"/>
    <w:rsid w:val="007F02CC"/>
    <w:rsid w:val="007F04D5"/>
    <w:rsid w:val="007F0783"/>
    <w:rsid w:val="007F07D5"/>
    <w:rsid w:val="007F0ABF"/>
    <w:rsid w:val="007F0E68"/>
    <w:rsid w:val="007F0F47"/>
    <w:rsid w:val="007F0F77"/>
    <w:rsid w:val="007F1067"/>
    <w:rsid w:val="007F10E6"/>
    <w:rsid w:val="007F1424"/>
    <w:rsid w:val="007F15B3"/>
    <w:rsid w:val="007F1857"/>
    <w:rsid w:val="007F1A27"/>
    <w:rsid w:val="007F1E05"/>
    <w:rsid w:val="007F1E0D"/>
    <w:rsid w:val="007F1FE3"/>
    <w:rsid w:val="007F2091"/>
    <w:rsid w:val="007F244D"/>
    <w:rsid w:val="007F25E8"/>
    <w:rsid w:val="007F25F1"/>
    <w:rsid w:val="007F2641"/>
    <w:rsid w:val="007F27E8"/>
    <w:rsid w:val="007F2B6B"/>
    <w:rsid w:val="007F2F38"/>
    <w:rsid w:val="007F3089"/>
    <w:rsid w:val="007F32F5"/>
    <w:rsid w:val="007F36C6"/>
    <w:rsid w:val="007F371B"/>
    <w:rsid w:val="007F3826"/>
    <w:rsid w:val="007F3DF4"/>
    <w:rsid w:val="007F3E76"/>
    <w:rsid w:val="007F3F1B"/>
    <w:rsid w:val="007F4185"/>
    <w:rsid w:val="007F46C8"/>
    <w:rsid w:val="007F472D"/>
    <w:rsid w:val="007F47D8"/>
    <w:rsid w:val="007F4904"/>
    <w:rsid w:val="007F49F7"/>
    <w:rsid w:val="007F4A6D"/>
    <w:rsid w:val="007F4C97"/>
    <w:rsid w:val="007F4D7C"/>
    <w:rsid w:val="007F4DB5"/>
    <w:rsid w:val="007F536B"/>
    <w:rsid w:val="007F581D"/>
    <w:rsid w:val="007F58E9"/>
    <w:rsid w:val="007F5985"/>
    <w:rsid w:val="007F5A3D"/>
    <w:rsid w:val="007F5C3B"/>
    <w:rsid w:val="007F5D07"/>
    <w:rsid w:val="007F5DA4"/>
    <w:rsid w:val="007F5F6A"/>
    <w:rsid w:val="007F64BA"/>
    <w:rsid w:val="007F64BF"/>
    <w:rsid w:val="007F7120"/>
    <w:rsid w:val="007F730F"/>
    <w:rsid w:val="007F77EB"/>
    <w:rsid w:val="007F7BCF"/>
    <w:rsid w:val="007F7C9F"/>
    <w:rsid w:val="007F7D05"/>
    <w:rsid w:val="007F7E59"/>
    <w:rsid w:val="007F7F35"/>
    <w:rsid w:val="0080013C"/>
    <w:rsid w:val="0080017A"/>
    <w:rsid w:val="00800279"/>
    <w:rsid w:val="00800282"/>
    <w:rsid w:val="008004F8"/>
    <w:rsid w:val="00800B84"/>
    <w:rsid w:val="00800BB1"/>
    <w:rsid w:val="00800BD4"/>
    <w:rsid w:val="00800C33"/>
    <w:rsid w:val="00800C89"/>
    <w:rsid w:val="00800F2E"/>
    <w:rsid w:val="00801057"/>
    <w:rsid w:val="00801237"/>
    <w:rsid w:val="0080168B"/>
    <w:rsid w:val="0080170D"/>
    <w:rsid w:val="00801B07"/>
    <w:rsid w:val="00801F7B"/>
    <w:rsid w:val="008020F8"/>
    <w:rsid w:val="00802360"/>
    <w:rsid w:val="0080242C"/>
    <w:rsid w:val="00802594"/>
    <w:rsid w:val="00802602"/>
    <w:rsid w:val="00802798"/>
    <w:rsid w:val="008027C5"/>
    <w:rsid w:val="008028CF"/>
    <w:rsid w:val="00802BC7"/>
    <w:rsid w:val="00802CDE"/>
    <w:rsid w:val="0080356C"/>
    <w:rsid w:val="008036A7"/>
    <w:rsid w:val="008038A0"/>
    <w:rsid w:val="00803D03"/>
    <w:rsid w:val="00803DD4"/>
    <w:rsid w:val="00803F0C"/>
    <w:rsid w:val="00803FF4"/>
    <w:rsid w:val="0080406F"/>
    <w:rsid w:val="00804125"/>
    <w:rsid w:val="008041DB"/>
    <w:rsid w:val="0080438F"/>
    <w:rsid w:val="008043C2"/>
    <w:rsid w:val="00804427"/>
    <w:rsid w:val="00804476"/>
    <w:rsid w:val="008044C5"/>
    <w:rsid w:val="0080485E"/>
    <w:rsid w:val="00804C5E"/>
    <w:rsid w:val="00804CAF"/>
    <w:rsid w:val="008053DE"/>
    <w:rsid w:val="00805663"/>
    <w:rsid w:val="0080577A"/>
    <w:rsid w:val="0080591D"/>
    <w:rsid w:val="00805952"/>
    <w:rsid w:val="00805B00"/>
    <w:rsid w:val="00805BB7"/>
    <w:rsid w:val="00805CE2"/>
    <w:rsid w:val="00805E5B"/>
    <w:rsid w:val="00805E92"/>
    <w:rsid w:val="0080623A"/>
    <w:rsid w:val="00806413"/>
    <w:rsid w:val="00806506"/>
    <w:rsid w:val="0080668A"/>
    <w:rsid w:val="008067B2"/>
    <w:rsid w:val="00806962"/>
    <w:rsid w:val="00806A5F"/>
    <w:rsid w:val="00806D39"/>
    <w:rsid w:val="00806E19"/>
    <w:rsid w:val="0080709D"/>
    <w:rsid w:val="008072F7"/>
    <w:rsid w:val="008075E9"/>
    <w:rsid w:val="00807A4A"/>
    <w:rsid w:val="00807AB9"/>
    <w:rsid w:val="00807CDF"/>
    <w:rsid w:val="00807D75"/>
    <w:rsid w:val="00807E95"/>
    <w:rsid w:val="0080A865"/>
    <w:rsid w:val="0080AAE5"/>
    <w:rsid w:val="008100E5"/>
    <w:rsid w:val="0081018A"/>
    <w:rsid w:val="008103FE"/>
    <w:rsid w:val="00810518"/>
    <w:rsid w:val="008111A5"/>
    <w:rsid w:val="008112DE"/>
    <w:rsid w:val="008113BA"/>
    <w:rsid w:val="00811543"/>
    <w:rsid w:val="0081165F"/>
    <w:rsid w:val="0081184F"/>
    <w:rsid w:val="00811A61"/>
    <w:rsid w:val="00811CF2"/>
    <w:rsid w:val="00811D58"/>
    <w:rsid w:val="00811D79"/>
    <w:rsid w:val="00811F7A"/>
    <w:rsid w:val="008127BD"/>
    <w:rsid w:val="00813200"/>
    <w:rsid w:val="008133EB"/>
    <w:rsid w:val="00813425"/>
    <w:rsid w:val="00813A7B"/>
    <w:rsid w:val="00813B4C"/>
    <w:rsid w:val="00813D33"/>
    <w:rsid w:val="00813D86"/>
    <w:rsid w:val="00813F3D"/>
    <w:rsid w:val="00814079"/>
    <w:rsid w:val="00814178"/>
    <w:rsid w:val="008144BC"/>
    <w:rsid w:val="008144F7"/>
    <w:rsid w:val="00814510"/>
    <w:rsid w:val="008146E6"/>
    <w:rsid w:val="008146EE"/>
    <w:rsid w:val="00814855"/>
    <w:rsid w:val="00814B7A"/>
    <w:rsid w:val="00814C74"/>
    <w:rsid w:val="00814C7D"/>
    <w:rsid w:val="00814DAE"/>
    <w:rsid w:val="00814F49"/>
    <w:rsid w:val="008151A5"/>
    <w:rsid w:val="00815203"/>
    <w:rsid w:val="008152A4"/>
    <w:rsid w:val="0081530F"/>
    <w:rsid w:val="008154A3"/>
    <w:rsid w:val="008154CD"/>
    <w:rsid w:val="00815C20"/>
    <w:rsid w:val="00815C9B"/>
    <w:rsid w:val="00815F73"/>
    <w:rsid w:val="008161F1"/>
    <w:rsid w:val="00816268"/>
    <w:rsid w:val="0081636D"/>
    <w:rsid w:val="008164EA"/>
    <w:rsid w:val="0081677C"/>
    <w:rsid w:val="00816931"/>
    <w:rsid w:val="00816B42"/>
    <w:rsid w:val="00816E50"/>
    <w:rsid w:val="00816F4F"/>
    <w:rsid w:val="008170ED"/>
    <w:rsid w:val="008171A1"/>
    <w:rsid w:val="0081746A"/>
    <w:rsid w:val="00817635"/>
    <w:rsid w:val="008177EC"/>
    <w:rsid w:val="008179E9"/>
    <w:rsid w:val="00817EAA"/>
    <w:rsid w:val="00817EB4"/>
    <w:rsid w:val="008201D9"/>
    <w:rsid w:val="008206B9"/>
    <w:rsid w:val="00820D19"/>
    <w:rsid w:val="00820E83"/>
    <w:rsid w:val="00820EBC"/>
    <w:rsid w:val="00821453"/>
    <w:rsid w:val="00821500"/>
    <w:rsid w:val="0082192A"/>
    <w:rsid w:val="008223C2"/>
    <w:rsid w:val="0082245E"/>
    <w:rsid w:val="008224FE"/>
    <w:rsid w:val="00822799"/>
    <w:rsid w:val="00822860"/>
    <w:rsid w:val="008228B5"/>
    <w:rsid w:val="008229D7"/>
    <w:rsid w:val="00822BD2"/>
    <w:rsid w:val="00823106"/>
    <w:rsid w:val="00823595"/>
    <w:rsid w:val="00823937"/>
    <w:rsid w:val="00823949"/>
    <w:rsid w:val="00823BFC"/>
    <w:rsid w:val="00823DAA"/>
    <w:rsid w:val="00823FE2"/>
    <w:rsid w:val="00824032"/>
    <w:rsid w:val="00824143"/>
    <w:rsid w:val="008241E5"/>
    <w:rsid w:val="008242A2"/>
    <w:rsid w:val="008242A4"/>
    <w:rsid w:val="00824525"/>
    <w:rsid w:val="008245F4"/>
    <w:rsid w:val="008247EB"/>
    <w:rsid w:val="0082489F"/>
    <w:rsid w:val="0082493D"/>
    <w:rsid w:val="008249F2"/>
    <w:rsid w:val="00824A82"/>
    <w:rsid w:val="00824C73"/>
    <w:rsid w:val="00824CC5"/>
    <w:rsid w:val="00824CFB"/>
    <w:rsid w:val="0082506B"/>
    <w:rsid w:val="00825362"/>
    <w:rsid w:val="008253C6"/>
    <w:rsid w:val="00825600"/>
    <w:rsid w:val="008259EA"/>
    <w:rsid w:val="00825D3C"/>
    <w:rsid w:val="00825DA7"/>
    <w:rsid w:val="0082608F"/>
    <w:rsid w:val="00826197"/>
    <w:rsid w:val="008264DA"/>
    <w:rsid w:val="00826797"/>
    <w:rsid w:val="00826B2C"/>
    <w:rsid w:val="00826C70"/>
    <w:rsid w:val="00826EC1"/>
    <w:rsid w:val="00826F76"/>
    <w:rsid w:val="008275BD"/>
    <w:rsid w:val="008276BA"/>
    <w:rsid w:val="008277B4"/>
    <w:rsid w:val="008277EB"/>
    <w:rsid w:val="00827828"/>
    <w:rsid w:val="008279A3"/>
    <w:rsid w:val="00827A66"/>
    <w:rsid w:val="00827B8C"/>
    <w:rsid w:val="00827C56"/>
    <w:rsid w:val="00827F79"/>
    <w:rsid w:val="00828C25"/>
    <w:rsid w:val="008301BA"/>
    <w:rsid w:val="008301D3"/>
    <w:rsid w:val="00830514"/>
    <w:rsid w:val="0083058E"/>
    <w:rsid w:val="008305B9"/>
    <w:rsid w:val="008308AD"/>
    <w:rsid w:val="00830927"/>
    <w:rsid w:val="008309F1"/>
    <w:rsid w:val="00830CB2"/>
    <w:rsid w:val="00830FBA"/>
    <w:rsid w:val="00830FC5"/>
    <w:rsid w:val="0083117A"/>
    <w:rsid w:val="008312D5"/>
    <w:rsid w:val="0083133A"/>
    <w:rsid w:val="00831374"/>
    <w:rsid w:val="0083184B"/>
    <w:rsid w:val="00831D23"/>
    <w:rsid w:val="00831EE6"/>
    <w:rsid w:val="00831F08"/>
    <w:rsid w:val="00831F84"/>
    <w:rsid w:val="00831FA3"/>
    <w:rsid w:val="00831FE6"/>
    <w:rsid w:val="008320D3"/>
    <w:rsid w:val="00832151"/>
    <w:rsid w:val="00832380"/>
    <w:rsid w:val="00832669"/>
    <w:rsid w:val="008326E6"/>
    <w:rsid w:val="00832743"/>
    <w:rsid w:val="008328C6"/>
    <w:rsid w:val="00832B28"/>
    <w:rsid w:val="00833226"/>
    <w:rsid w:val="00833266"/>
    <w:rsid w:val="008333BB"/>
    <w:rsid w:val="008334BC"/>
    <w:rsid w:val="00833692"/>
    <w:rsid w:val="0083377D"/>
    <w:rsid w:val="008337E9"/>
    <w:rsid w:val="00833844"/>
    <w:rsid w:val="00833CBF"/>
    <w:rsid w:val="00833CC0"/>
    <w:rsid w:val="00833EE2"/>
    <w:rsid w:val="00833FD5"/>
    <w:rsid w:val="00834060"/>
    <w:rsid w:val="008344D0"/>
    <w:rsid w:val="00834553"/>
    <w:rsid w:val="008345CB"/>
    <w:rsid w:val="008346AA"/>
    <w:rsid w:val="00834976"/>
    <w:rsid w:val="00834A01"/>
    <w:rsid w:val="00834B0A"/>
    <w:rsid w:val="00834C42"/>
    <w:rsid w:val="00834D2B"/>
    <w:rsid w:val="00834EAA"/>
    <w:rsid w:val="00834F77"/>
    <w:rsid w:val="00835123"/>
    <w:rsid w:val="008351C3"/>
    <w:rsid w:val="0083529F"/>
    <w:rsid w:val="008352C0"/>
    <w:rsid w:val="00835619"/>
    <w:rsid w:val="00835A5B"/>
    <w:rsid w:val="00835CBB"/>
    <w:rsid w:val="00835F96"/>
    <w:rsid w:val="0083608E"/>
    <w:rsid w:val="00836499"/>
    <w:rsid w:val="008364BB"/>
    <w:rsid w:val="00836570"/>
    <w:rsid w:val="00836B67"/>
    <w:rsid w:val="00837044"/>
    <w:rsid w:val="00837161"/>
    <w:rsid w:val="008373B9"/>
    <w:rsid w:val="00837803"/>
    <w:rsid w:val="00837B18"/>
    <w:rsid w:val="00837B68"/>
    <w:rsid w:val="00837BFE"/>
    <w:rsid w:val="00837D13"/>
    <w:rsid w:val="00837DBB"/>
    <w:rsid w:val="00837DDB"/>
    <w:rsid w:val="00837F9A"/>
    <w:rsid w:val="0084042B"/>
    <w:rsid w:val="00840A13"/>
    <w:rsid w:val="00840B26"/>
    <w:rsid w:val="00840D73"/>
    <w:rsid w:val="00840DE3"/>
    <w:rsid w:val="00840E9B"/>
    <w:rsid w:val="00840EBA"/>
    <w:rsid w:val="00840F87"/>
    <w:rsid w:val="008413A4"/>
    <w:rsid w:val="00841429"/>
    <w:rsid w:val="00841CDD"/>
    <w:rsid w:val="00841D2D"/>
    <w:rsid w:val="00841DB4"/>
    <w:rsid w:val="00841E57"/>
    <w:rsid w:val="00842554"/>
    <w:rsid w:val="00842563"/>
    <w:rsid w:val="008426F3"/>
    <w:rsid w:val="00842897"/>
    <w:rsid w:val="008429BC"/>
    <w:rsid w:val="00842AEF"/>
    <w:rsid w:val="00842DD7"/>
    <w:rsid w:val="00842ECF"/>
    <w:rsid w:val="00842ED5"/>
    <w:rsid w:val="00842F54"/>
    <w:rsid w:val="00843482"/>
    <w:rsid w:val="00843E50"/>
    <w:rsid w:val="00843EF4"/>
    <w:rsid w:val="008440E7"/>
    <w:rsid w:val="00844135"/>
    <w:rsid w:val="008441E7"/>
    <w:rsid w:val="0084460F"/>
    <w:rsid w:val="00844A55"/>
    <w:rsid w:val="00844D4E"/>
    <w:rsid w:val="00844FA1"/>
    <w:rsid w:val="008450C8"/>
    <w:rsid w:val="0084513B"/>
    <w:rsid w:val="008451ED"/>
    <w:rsid w:val="00845328"/>
    <w:rsid w:val="00845492"/>
    <w:rsid w:val="00845583"/>
    <w:rsid w:val="0084572F"/>
    <w:rsid w:val="00845873"/>
    <w:rsid w:val="00845D3D"/>
    <w:rsid w:val="00845E26"/>
    <w:rsid w:val="00845E44"/>
    <w:rsid w:val="00845F32"/>
    <w:rsid w:val="008462B1"/>
    <w:rsid w:val="008463BA"/>
    <w:rsid w:val="00846510"/>
    <w:rsid w:val="0084656B"/>
    <w:rsid w:val="008468EA"/>
    <w:rsid w:val="00846C29"/>
    <w:rsid w:val="008470C4"/>
    <w:rsid w:val="0084729B"/>
    <w:rsid w:val="0084753D"/>
    <w:rsid w:val="00847BE0"/>
    <w:rsid w:val="00847F9B"/>
    <w:rsid w:val="008502F0"/>
    <w:rsid w:val="008503C8"/>
    <w:rsid w:val="0085060F"/>
    <w:rsid w:val="008508D9"/>
    <w:rsid w:val="00850BB3"/>
    <w:rsid w:val="008516DD"/>
    <w:rsid w:val="0085172A"/>
    <w:rsid w:val="00851738"/>
    <w:rsid w:val="00851838"/>
    <w:rsid w:val="0085198A"/>
    <w:rsid w:val="00851C97"/>
    <w:rsid w:val="00851D25"/>
    <w:rsid w:val="00851D33"/>
    <w:rsid w:val="00851D9F"/>
    <w:rsid w:val="00851F36"/>
    <w:rsid w:val="00851F48"/>
    <w:rsid w:val="008520C3"/>
    <w:rsid w:val="0085237A"/>
    <w:rsid w:val="008526FA"/>
    <w:rsid w:val="008527F0"/>
    <w:rsid w:val="0085283B"/>
    <w:rsid w:val="0085287D"/>
    <w:rsid w:val="00852A06"/>
    <w:rsid w:val="00852BB5"/>
    <w:rsid w:val="00852C44"/>
    <w:rsid w:val="00852CE8"/>
    <w:rsid w:val="00853111"/>
    <w:rsid w:val="0085353B"/>
    <w:rsid w:val="00853857"/>
    <w:rsid w:val="00853A5F"/>
    <w:rsid w:val="00853C0C"/>
    <w:rsid w:val="00853CCC"/>
    <w:rsid w:val="00853F98"/>
    <w:rsid w:val="00853FF3"/>
    <w:rsid w:val="00854396"/>
    <w:rsid w:val="008543FD"/>
    <w:rsid w:val="008545A7"/>
    <w:rsid w:val="00854672"/>
    <w:rsid w:val="008546E1"/>
    <w:rsid w:val="00854704"/>
    <w:rsid w:val="00854815"/>
    <w:rsid w:val="00854B56"/>
    <w:rsid w:val="00854BC1"/>
    <w:rsid w:val="00854DB8"/>
    <w:rsid w:val="00855097"/>
    <w:rsid w:val="00855195"/>
    <w:rsid w:val="00855C32"/>
    <w:rsid w:val="00855CB9"/>
    <w:rsid w:val="00855CC6"/>
    <w:rsid w:val="008565C9"/>
    <w:rsid w:val="0085671D"/>
    <w:rsid w:val="00856864"/>
    <w:rsid w:val="00856A69"/>
    <w:rsid w:val="00856A98"/>
    <w:rsid w:val="00856AFB"/>
    <w:rsid w:val="00856D3B"/>
    <w:rsid w:val="00856F01"/>
    <w:rsid w:val="00857009"/>
    <w:rsid w:val="0085714B"/>
    <w:rsid w:val="0085734F"/>
    <w:rsid w:val="0085764F"/>
    <w:rsid w:val="00857681"/>
    <w:rsid w:val="00857774"/>
    <w:rsid w:val="008579FB"/>
    <w:rsid w:val="00857A06"/>
    <w:rsid w:val="00857A14"/>
    <w:rsid w:val="00857A52"/>
    <w:rsid w:val="00857AB3"/>
    <w:rsid w:val="00857FAA"/>
    <w:rsid w:val="00857FC0"/>
    <w:rsid w:val="0086019B"/>
    <w:rsid w:val="0086028C"/>
    <w:rsid w:val="008602FA"/>
    <w:rsid w:val="00860333"/>
    <w:rsid w:val="0086036A"/>
    <w:rsid w:val="0086050E"/>
    <w:rsid w:val="00860627"/>
    <w:rsid w:val="0086068E"/>
    <w:rsid w:val="0086093F"/>
    <w:rsid w:val="008609CE"/>
    <w:rsid w:val="00860B7B"/>
    <w:rsid w:val="00860B93"/>
    <w:rsid w:val="00860E04"/>
    <w:rsid w:val="00860FE7"/>
    <w:rsid w:val="008610F3"/>
    <w:rsid w:val="0086118F"/>
    <w:rsid w:val="008611AD"/>
    <w:rsid w:val="00861200"/>
    <w:rsid w:val="00861286"/>
    <w:rsid w:val="0086148E"/>
    <w:rsid w:val="008615B4"/>
    <w:rsid w:val="008616A9"/>
    <w:rsid w:val="008620BA"/>
    <w:rsid w:val="00862161"/>
    <w:rsid w:val="00862511"/>
    <w:rsid w:val="00862F63"/>
    <w:rsid w:val="0086347A"/>
    <w:rsid w:val="008634A8"/>
    <w:rsid w:val="0086350A"/>
    <w:rsid w:val="00863611"/>
    <w:rsid w:val="00863738"/>
    <w:rsid w:val="00863A7B"/>
    <w:rsid w:val="00863AC4"/>
    <w:rsid w:val="00863C77"/>
    <w:rsid w:val="00863CA0"/>
    <w:rsid w:val="00864289"/>
    <w:rsid w:val="00864597"/>
    <w:rsid w:val="00864756"/>
    <w:rsid w:val="00864926"/>
    <w:rsid w:val="00864AA4"/>
    <w:rsid w:val="00864B9D"/>
    <w:rsid w:val="00864EF5"/>
    <w:rsid w:val="00865093"/>
    <w:rsid w:val="008652D5"/>
    <w:rsid w:val="00865553"/>
    <w:rsid w:val="00865692"/>
    <w:rsid w:val="008658C4"/>
    <w:rsid w:val="0086597F"/>
    <w:rsid w:val="00865A7C"/>
    <w:rsid w:val="00865B22"/>
    <w:rsid w:val="00865B4D"/>
    <w:rsid w:val="00865C32"/>
    <w:rsid w:val="00865D8C"/>
    <w:rsid w:val="00866046"/>
    <w:rsid w:val="0086623C"/>
    <w:rsid w:val="00866362"/>
    <w:rsid w:val="008663CE"/>
    <w:rsid w:val="00866A8E"/>
    <w:rsid w:val="00866A9E"/>
    <w:rsid w:val="00866BE7"/>
    <w:rsid w:val="00866EE0"/>
    <w:rsid w:val="008672F2"/>
    <w:rsid w:val="008675EA"/>
    <w:rsid w:val="0086760F"/>
    <w:rsid w:val="00867828"/>
    <w:rsid w:val="00867B00"/>
    <w:rsid w:val="0087011D"/>
    <w:rsid w:val="0087014B"/>
    <w:rsid w:val="00870305"/>
    <w:rsid w:val="008704BB"/>
    <w:rsid w:val="008705B3"/>
    <w:rsid w:val="00870886"/>
    <w:rsid w:val="00870B94"/>
    <w:rsid w:val="00870D69"/>
    <w:rsid w:val="00870D6B"/>
    <w:rsid w:val="00870E0D"/>
    <w:rsid w:val="00871388"/>
    <w:rsid w:val="008716DF"/>
    <w:rsid w:val="008716FA"/>
    <w:rsid w:val="008718A3"/>
    <w:rsid w:val="00871988"/>
    <w:rsid w:val="008719F3"/>
    <w:rsid w:val="00871A8C"/>
    <w:rsid w:val="00871AF7"/>
    <w:rsid w:val="00871B87"/>
    <w:rsid w:val="00871DB9"/>
    <w:rsid w:val="008720EB"/>
    <w:rsid w:val="0087213E"/>
    <w:rsid w:val="00872172"/>
    <w:rsid w:val="008723A8"/>
    <w:rsid w:val="00872404"/>
    <w:rsid w:val="00872544"/>
    <w:rsid w:val="008726F7"/>
    <w:rsid w:val="00872839"/>
    <w:rsid w:val="008728AD"/>
    <w:rsid w:val="008729DB"/>
    <w:rsid w:val="00872B39"/>
    <w:rsid w:val="00872CE6"/>
    <w:rsid w:val="00872D4D"/>
    <w:rsid w:val="00872D95"/>
    <w:rsid w:val="008731A8"/>
    <w:rsid w:val="00873475"/>
    <w:rsid w:val="0087371C"/>
    <w:rsid w:val="00873D15"/>
    <w:rsid w:val="00873F78"/>
    <w:rsid w:val="0087418C"/>
    <w:rsid w:val="008742BB"/>
    <w:rsid w:val="00874429"/>
    <w:rsid w:val="0087467D"/>
    <w:rsid w:val="00874785"/>
    <w:rsid w:val="00874833"/>
    <w:rsid w:val="0087485D"/>
    <w:rsid w:val="0087487A"/>
    <w:rsid w:val="00874B48"/>
    <w:rsid w:val="00874B8A"/>
    <w:rsid w:val="00874CBE"/>
    <w:rsid w:val="00874CD5"/>
    <w:rsid w:val="00874D14"/>
    <w:rsid w:val="00874FB8"/>
    <w:rsid w:val="00874FE7"/>
    <w:rsid w:val="0087570A"/>
    <w:rsid w:val="00875991"/>
    <w:rsid w:val="008759BC"/>
    <w:rsid w:val="00875B60"/>
    <w:rsid w:val="00875B8F"/>
    <w:rsid w:val="00875BC8"/>
    <w:rsid w:val="00875C95"/>
    <w:rsid w:val="00875CCD"/>
    <w:rsid w:val="008761ED"/>
    <w:rsid w:val="008762B2"/>
    <w:rsid w:val="008764EB"/>
    <w:rsid w:val="00876C1D"/>
    <w:rsid w:val="00876CC2"/>
    <w:rsid w:val="008773E5"/>
    <w:rsid w:val="00877464"/>
    <w:rsid w:val="008775DB"/>
    <w:rsid w:val="008776E8"/>
    <w:rsid w:val="00877CDE"/>
    <w:rsid w:val="00877D8D"/>
    <w:rsid w:val="008785B8"/>
    <w:rsid w:val="008800EF"/>
    <w:rsid w:val="00880184"/>
    <w:rsid w:val="008802F6"/>
    <w:rsid w:val="0088036E"/>
    <w:rsid w:val="00880511"/>
    <w:rsid w:val="00880836"/>
    <w:rsid w:val="00880C4A"/>
    <w:rsid w:val="00880D06"/>
    <w:rsid w:val="00880E21"/>
    <w:rsid w:val="00880EC0"/>
    <w:rsid w:val="00880F4C"/>
    <w:rsid w:val="008810E6"/>
    <w:rsid w:val="008812EE"/>
    <w:rsid w:val="008814FB"/>
    <w:rsid w:val="00881583"/>
    <w:rsid w:val="00881601"/>
    <w:rsid w:val="0088188E"/>
    <w:rsid w:val="008818E7"/>
    <w:rsid w:val="008818F6"/>
    <w:rsid w:val="00881BE2"/>
    <w:rsid w:val="00881CE4"/>
    <w:rsid w:val="00881DED"/>
    <w:rsid w:val="00881F3E"/>
    <w:rsid w:val="00881F89"/>
    <w:rsid w:val="0088202F"/>
    <w:rsid w:val="00882071"/>
    <w:rsid w:val="008824BE"/>
    <w:rsid w:val="008828EE"/>
    <w:rsid w:val="00882ACD"/>
    <w:rsid w:val="00882D73"/>
    <w:rsid w:val="00882DC3"/>
    <w:rsid w:val="00882F8C"/>
    <w:rsid w:val="008836BD"/>
    <w:rsid w:val="008837E4"/>
    <w:rsid w:val="00883A88"/>
    <w:rsid w:val="00884436"/>
    <w:rsid w:val="0088461A"/>
    <w:rsid w:val="0088471D"/>
    <w:rsid w:val="00884B7A"/>
    <w:rsid w:val="00884C3D"/>
    <w:rsid w:val="00884D8D"/>
    <w:rsid w:val="00884DFF"/>
    <w:rsid w:val="008850EE"/>
    <w:rsid w:val="008851BE"/>
    <w:rsid w:val="00885291"/>
    <w:rsid w:val="00885419"/>
    <w:rsid w:val="00885431"/>
    <w:rsid w:val="00885500"/>
    <w:rsid w:val="00885A3D"/>
    <w:rsid w:val="00885B1F"/>
    <w:rsid w:val="00885F5C"/>
    <w:rsid w:val="00886006"/>
    <w:rsid w:val="0088608B"/>
    <w:rsid w:val="008860B1"/>
    <w:rsid w:val="008861F1"/>
    <w:rsid w:val="008865BD"/>
    <w:rsid w:val="008867C6"/>
    <w:rsid w:val="0088712A"/>
    <w:rsid w:val="008879F3"/>
    <w:rsid w:val="00887BC1"/>
    <w:rsid w:val="00887F4E"/>
    <w:rsid w:val="008901EB"/>
    <w:rsid w:val="008906FD"/>
    <w:rsid w:val="008907EC"/>
    <w:rsid w:val="0089081F"/>
    <w:rsid w:val="008908E5"/>
    <w:rsid w:val="00890A56"/>
    <w:rsid w:val="00890C64"/>
    <w:rsid w:val="00890E63"/>
    <w:rsid w:val="0089100E"/>
    <w:rsid w:val="0089101F"/>
    <w:rsid w:val="00891236"/>
    <w:rsid w:val="00891467"/>
    <w:rsid w:val="008917FD"/>
    <w:rsid w:val="00891A40"/>
    <w:rsid w:val="00891A6A"/>
    <w:rsid w:val="00891CD2"/>
    <w:rsid w:val="008927E0"/>
    <w:rsid w:val="00892901"/>
    <w:rsid w:val="0089292E"/>
    <w:rsid w:val="0089299F"/>
    <w:rsid w:val="008929AA"/>
    <w:rsid w:val="008929C7"/>
    <w:rsid w:val="00892AA6"/>
    <w:rsid w:val="00892D5D"/>
    <w:rsid w:val="00892F93"/>
    <w:rsid w:val="008934BD"/>
    <w:rsid w:val="008935A3"/>
    <w:rsid w:val="0089367E"/>
    <w:rsid w:val="0089369E"/>
    <w:rsid w:val="00893A27"/>
    <w:rsid w:val="00893B09"/>
    <w:rsid w:val="00893B76"/>
    <w:rsid w:val="00893BD1"/>
    <w:rsid w:val="00893C24"/>
    <w:rsid w:val="00893C51"/>
    <w:rsid w:val="00893D5F"/>
    <w:rsid w:val="00893DA4"/>
    <w:rsid w:val="00893F79"/>
    <w:rsid w:val="00893FF2"/>
    <w:rsid w:val="00894299"/>
    <w:rsid w:val="0089431A"/>
    <w:rsid w:val="00894388"/>
    <w:rsid w:val="00894541"/>
    <w:rsid w:val="0089498E"/>
    <w:rsid w:val="008949EB"/>
    <w:rsid w:val="00894A49"/>
    <w:rsid w:val="00894B52"/>
    <w:rsid w:val="00894BB5"/>
    <w:rsid w:val="00894F7F"/>
    <w:rsid w:val="00895377"/>
    <w:rsid w:val="008953C8"/>
    <w:rsid w:val="00895410"/>
    <w:rsid w:val="00895456"/>
    <w:rsid w:val="008954BE"/>
    <w:rsid w:val="00895961"/>
    <w:rsid w:val="00895BB8"/>
    <w:rsid w:val="00896205"/>
    <w:rsid w:val="0089627B"/>
    <w:rsid w:val="008962D1"/>
    <w:rsid w:val="00896373"/>
    <w:rsid w:val="00896666"/>
    <w:rsid w:val="008966A7"/>
    <w:rsid w:val="008967A3"/>
    <w:rsid w:val="00896E9E"/>
    <w:rsid w:val="00896EA7"/>
    <w:rsid w:val="00897207"/>
    <w:rsid w:val="0089752C"/>
    <w:rsid w:val="00897DFA"/>
    <w:rsid w:val="00897E10"/>
    <w:rsid w:val="00897FC0"/>
    <w:rsid w:val="008A0211"/>
    <w:rsid w:val="008A02DC"/>
    <w:rsid w:val="008A04BC"/>
    <w:rsid w:val="008A06AD"/>
    <w:rsid w:val="008A074B"/>
    <w:rsid w:val="008A111E"/>
    <w:rsid w:val="008A1843"/>
    <w:rsid w:val="008A1869"/>
    <w:rsid w:val="008A1FBF"/>
    <w:rsid w:val="008A2B19"/>
    <w:rsid w:val="008A2B9B"/>
    <w:rsid w:val="008A2C22"/>
    <w:rsid w:val="008A2E63"/>
    <w:rsid w:val="008A3439"/>
    <w:rsid w:val="008A3982"/>
    <w:rsid w:val="008A398A"/>
    <w:rsid w:val="008A3B9F"/>
    <w:rsid w:val="008A3C6C"/>
    <w:rsid w:val="008A43FF"/>
    <w:rsid w:val="008A468A"/>
    <w:rsid w:val="008A4B92"/>
    <w:rsid w:val="008A4EC0"/>
    <w:rsid w:val="008A4FAE"/>
    <w:rsid w:val="008A4FC7"/>
    <w:rsid w:val="008A4FED"/>
    <w:rsid w:val="008A5340"/>
    <w:rsid w:val="008A555E"/>
    <w:rsid w:val="008A57EB"/>
    <w:rsid w:val="008A595B"/>
    <w:rsid w:val="008A5D29"/>
    <w:rsid w:val="008A5D2E"/>
    <w:rsid w:val="008A5D88"/>
    <w:rsid w:val="008A60C3"/>
    <w:rsid w:val="008A65A2"/>
    <w:rsid w:val="008A673A"/>
    <w:rsid w:val="008A67E4"/>
    <w:rsid w:val="008A72B7"/>
    <w:rsid w:val="008A7A80"/>
    <w:rsid w:val="008A7B59"/>
    <w:rsid w:val="008A7C12"/>
    <w:rsid w:val="008A7E1C"/>
    <w:rsid w:val="008A7E69"/>
    <w:rsid w:val="008A7EBF"/>
    <w:rsid w:val="008A7EC8"/>
    <w:rsid w:val="008A7ED5"/>
    <w:rsid w:val="008AA9E7"/>
    <w:rsid w:val="008ABD91"/>
    <w:rsid w:val="008B034C"/>
    <w:rsid w:val="008B04CE"/>
    <w:rsid w:val="008B0799"/>
    <w:rsid w:val="008B09B6"/>
    <w:rsid w:val="008B0D81"/>
    <w:rsid w:val="008B0F0B"/>
    <w:rsid w:val="008B15C2"/>
    <w:rsid w:val="008B167D"/>
    <w:rsid w:val="008B1829"/>
    <w:rsid w:val="008B194E"/>
    <w:rsid w:val="008B2112"/>
    <w:rsid w:val="008B2306"/>
    <w:rsid w:val="008B251D"/>
    <w:rsid w:val="008B2676"/>
    <w:rsid w:val="008B28EE"/>
    <w:rsid w:val="008B2CCC"/>
    <w:rsid w:val="008B2D25"/>
    <w:rsid w:val="008B2FF6"/>
    <w:rsid w:val="008B3158"/>
    <w:rsid w:val="008B3580"/>
    <w:rsid w:val="008B35A1"/>
    <w:rsid w:val="008B3844"/>
    <w:rsid w:val="008B38C9"/>
    <w:rsid w:val="008B38CF"/>
    <w:rsid w:val="008B3A19"/>
    <w:rsid w:val="008B3A72"/>
    <w:rsid w:val="008B3B84"/>
    <w:rsid w:val="008B412A"/>
    <w:rsid w:val="008B4238"/>
    <w:rsid w:val="008B4326"/>
    <w:rsid w:val="008B4761"/>
    <w:rsid w:val="008B47CA"/>
    <w:rsid w:val="008B4C9F"/>
    <w:rsid w:val="008B4DC9"/>
    <w:rsid w:val="008B4F14"/>
    <w:rsid w:val="008B5C6F"/>
    <w:rsid w:val="008B5D95"/>
    <w:rsid w:val="008B622C"/>
    <w:rsid w:val="008B64AF"/>
    <w:rsid w:val="008B65CF"/>
    <w:rsid w:val="008B6A8F"/>
    <w:rsid w:val="008B6BBD"/>
    <w:rsid w:val="008B6D0A"/>
    <w:rsid w:val="008B6FB0"/>
    <w:rsid w:val="008B70DB"/>
    <w:rsid w:val="008B74FC"/>
    <w:rsid w:val="008B74FF"/>
    <w:rsid w:val="008B77F9"/>
    <w:rsid w:val="008B780E"/>
    <w:rsid w:val="008B7838"/>
    <w:rsid w:val="008B7863"/>
    <w:rsid w:val="008B787B"/>
    <w:rsid w:val="008B79E3"/>
    <w:rsid w:val="008B7C99"/>
    <w:rsid w:val="008B7E32"/>
    <w:rsid w:val="008C01E9"/>
    <w:rsid w:val="008C0281"/>
    <w:rsid w:val="008C029B"/>
    <w:rsid w:val="008C037A"/>
    <w:rsid w:val="008C053A"/>
    <w:rsid w:val="008C07BF"/>
    <w:rsid w:val="008C0C8E"/>
    <w:rsid w:val="008C0E03"/>
    <w:rsid w:val="008C1266"/>
    <w:rsid w:val="008C12D2"/>
    <w:rsid w:val="008C1387"/>
    <w:rsid w:val="008C18F4"/>
    <w:rsid w:val="008C1955"/>
    <w:rsid w:val="008C1986"/>
    <w:rsid w:val="008C1BDB"/>
    <w:rsid w:val="008C1BFA"/>
    <w:rsid w:val="008C1C8D"/>
    <w:rsid w:val="008C1C8E"/>
    <w:rsid w:val="008C2417"/>
    <w:rsid w:val="008C2465"/>
    <w:rsid w:val="008C26B8"/>
    <w:rsid w:val="008C2794"/>
    <w:rsid w:val="008C2978"/>
    <w:rsid w:val="008C2A3E"/>
    <w:rsid w:val="008C2B1B"/>
    <w:rsid w:val="008C2BFB"/>
    <w:rsid w:val="008C2D69"/>
    <w:rsid w:val="008C2D6E"/>
    <w:rsid w:val="008C2E3A"/>
    <w:rsid w:val="008C3160"/>
    <w:rsid w:val="008C3248"/>
    <w:rsid w:val="008C3629"/>
    <w:rsid w:val="008C3688"/>
    <w:rsid w:val="008C38E3"/>
    <w:rsid w:val="008C3918"/>
    <w:rsid w:val="008C395E"/>
    <w:rsid w:val="008C3BDA"/>
    <w:rsid w:val="008C4023"/>
    <w:rsid w:val="008C44D1"/>
    <w:rsid w:val="008C4758"/>
    <w:rsid w:val="008C49BA"/>
    <w:rsid w:val="008C4B78"/>
    <w:rsid w:val="008C4D18"/>
    <w:rsid w:val="008C4F37"/>
    <w:rsid w:val="008C517E"/>
    <w:rsid w:val="008C54B4"/>
    <w:rsid w:val="008C576C"/>
    <w:rsid w:val="008C5789"/>
    <w:rsid w:val="008C586C"/>
    <w:rsid w:val="008C5AFD"/>
    <w:rsid w:val="008C5B9C"/>
    <w:rsid w:val="008C5BC0"/>
    <w:rsid w:val="008C5E96"/>
    <w:rsid w:val="008C5F9A"/>
    <w:rsid w:val="008C6218"/>
    <w:rsid w:val="008C628B"/>
    <w:rsid w:val="008C62BD"/>
    <w:rsid w:val="008C6521"/>
    <w:rsid w:val="008C6568"/>
    <w:rsid w:val="008C656B"/>
    <w:rsid w:val="008C6C90"/>
    <w:rsid w:val="008C6C96"/>
    <w:rsid w:val="008C6F65"/>
    <w:rsid w:val="008C6F77"/>
    <w:rsid w:val="008C70AA"/>
    <w:rsid w:val="008C75F7"/>
    <w:rsid w:val="008C766D"/>
    <w:rsid w:val="008C7A10"/>
    <w:rsid w:val="008C7A39"/>
    <w:rsid w:val="008C7C8E"/>
    <w:rsid w:val="008C7CCF"/>
    <w:rsid w:val="008C7DC7"/>
    <w:rsid w:val="008D02A3"/>
    <w:rsid w:val="008D04C8"/>
    <w:rsid w:val="008D06F4"/>
    <w:rsid w:val="008D0927"/>
    <w:rsid w:val="008D0B14"/>
    <w:rsid w:val="008D0BE8"/>
    <w:rsid w:val="008D0C50"/>
    <w:rsid w:val="008D0FA4"/>
    <w:rsid w:val="008D10A6"/>
    <w:rsid w:val="008D1168"/>
    <w:rsid w:val="008D121E"/>
    <w:rsid w:val="008D1263"/>
    <w:rsid w:val="008D15BC"/>
    <w:rsid w:val="008D16A7"/>
    <w:rsid w:val="008D17B1"/>
    <w:rsid w:val="008D1928"/>
    <w:rsid w:val="008D193E"/>
    <w:rsid w:val="008D197E"/>
    <w:rsid w:val="008D1BEE"/>
    <w:rsid w:val="008D1CA5"/>
    <w:rsid w:val="008D1CF7"/>
    <w:rsid w:val="008D1CF8"/>
    <w:rsid w:val="008D1E19"/>
    <w:rsid w:val="008D1F95"/>
    <w:rsid w:val="008D1FDF"/>
    <w:rsid w:val="008D212A"/>
    <w:rsid w:val="008D21C1"/>
    <w:rsid w:val="008D230C"/>
    <w:rsid w:val="008D2579"/>
    <w:rsid w:val="008D25C1"/>
    <w:rsid w:val="008D27DB"/>
    <w:rsid w:val="008D29AE"/>
    <w:rsid w:val="008D2AFA"/>
    <w:rsid w:val="008D2B4A"/>
    <w:rsid w:val="008D2B8E"/>
    <w:rsid w:val="008D2C8F"/>
    <w:rsid w:val="008D2DC2"/>
    <w:rsid w:val="008D3025"/>
    <w:rsid w:val="008D3085"/>
    <w:rsid w:val="008D331C"/>
    <w:rsid w:val="008D375B"/>
    <w:rsid w:val="008D37DA"/>
    <w:rsid w:val="008D3A26"/>
    <w:rsid w:val="008D3AD7"/>
    <w:rsid w:val="008D3B89"/>
    <w:rsid w:val="008D3D47"/>
    <w:rsid w:val="008D3E7C"/>
    <w:rsid w:val="008D3ECF"/>
    <w:rsid w:val="008D3F80"/>
    <w:rsid w:val="008D4036"/>
    <w:rsid w:val="008D4146"/>
    <w:rsid w:val="008D4609"/>
    <w:rsid w:val="008D4AC9"/>
    <w:rsid w:val="008D4C3E"/>
    <w:rsid w:val="008D4FB2"/>
    <w:rsid w:val="008D52DF"/>
    <w:rsid w:val="008D5CA3"/>
    <w:rsid w:val="008D5E1A"/>
    <w:rsid w:val="008D627F"/>
    <w:rsid w:val="008D6354"/>
    <w:rsid w:val="008D659D"/>
    <w:rsid w:val="008D6A29"/>
    <w:rsid w:val="008D6A3B"/>
    <w:rsid w:val="008D6B75"/>
    <w:rsid w:val="008D6BAD"/>
    <w:rsid w:val="008D6D49"/>
    <w:rsid w:val="008D6F0A"/>
    <w:rsid w:val="008D7950"/>
    <w:rsid w:val="008D7A42"/>
    <w:rsid w:val="008D7B17"/>
    <w:rsid w:val="008D7C09"/>
    <w:rsid w:val="008D7EC5"/>
    <w:rsid w:val="008DBB37"/>
    <w:rsid w:val="008E0446"/>
    <w:rsid w:val="008E0730"/>
    <w:rsid w:val="008E07E8"/>
    <w:rsid w:val="008E08A8"/>
    <w:rsid w:val="008E08F3"/>
    <w:rsid w:val="008E0AF5"/>
    <w:rsid w:val="008E0D77"/>
    <w:rsid w:val="008E1136"/>
    <w:rsid w:val="008E1638"/>
    <w:rsid w:val="008E1683"/>
    <w:rsid w:val="008E176F"/>
    <w:rsid w:val="008E1866"/>
    <w:rsid w:val="008E1CE1"/>
    <w:rsid w:val="008E1D5F"/>
    <w:rsid w:val="008E1F29"/>
    <w:rsid w:val="008E20AF"/>
    <w:rsid w:val="008E21D2"/>
    <w:rsid w:val="008E2422"/>
    <w:rsid w:val="008E25A8"/>
    <w:rsid w:val="008E2A4B"/>
    <w:rsid w:val="008E2DB3"/>
    <w:rsid w:val="008E2F08"/>
    <w:rsid w:val="008E2F3E"/>
    <w:rsid w:val="008E2F60"/>
    <w:rsid w:val="008E32E2"/>
    <w:rsid w:val="008E3360"/>
    <w:rsid w:val="008E37FB"/>
    <w:rsid w:val="008E4009"/>
    <w:rsid w:val="008E4470"/>
    <w:rsid w:val="008E4544"/>
    <w:rsid w:val="008E4777"/>
    <w:rsid w:val="008E47EA"/>
    <w:rsid w:val="008E48D0"/>
    <w:rsid w:val="008E4965"/>
    <w:rsid w:val="008E58D2"/>
    <w:rsid w:val="008E5D8F"/>
    <w:rsid w:val="008E5E2F"/>
    <w:rsid w:val="008E6227"/>
    <w:rsid w:val="008E62A7"/>
    <w:rsid w:val="008E64AB"/>
    <w:rsid w:val="008E6706"/>
    <w:rsid w:val="008E679C"/>
    <w:rsid w:val="008E699F"/>
    <w:rsid w:val="008E6A83"/>
    <w:rsid w:val="008E6B6C"/>
    <w:rsid w:val="008E6BE9"/>
    <w:rsid w:val="008E6F76"/>
    <w:rsid w:val="008E709E"/>
    <w:rsid w:val="008E7125"/>
    <w:rsid w:val="008E71BC"/>
    <w:rsid w:val="008E7421"/>
    <w:rsid w:val="008E75A9"/>
    <w:rsid w:val="008E7C07"/>
    <w:rsid w:val="008E7D31"/>
    <w:rsid w:val="008F0048"/>
    <w:rsid w:val="008F00D2"/>
    <w:rsid w:val="008F01AD"/>
    <w:rsid w:val="008F0232"/>
    <w:rsid w:val="008F058A"/>
    <w:rsid w:val="008F07D9"/>
    <w:rsid w:val="008F0816"/>
    <w:rsid w:val="008F0857"/>
    <w:rsid w:val="008F0897"/>
    <w:rsid w:val="008F0B50"/>
    <w:rsid w:val="008F0E50"/>
    <w:rsid w:val="008F0F1B"/>
    <w:rsid w:val="008F0FBC"/>
    <w:rsid w:val="008F142B"/>
    <w:rsid w:val="008F15B5"/>
    <w:rsid w:val="008F166E"/>
    <w:rsid w:val="008F178B"/>
    <w:rsid w:val="008F194F"/>
    <w:rsid w:val="008F1CB4"/>
    <w:rsid w:val="008F1D3F"/>
    <w:rsid w:val="008F2155"/>
    <w:rsid w:val="008F22DD"/>
    <w:rsid w:val="008F23E9"/>
    <w:rsid w:val="008F2869"/>
    <w:rsid w:val="008F28C5"/>
    <w:rsid w:val="008F2ACE"/>
    <w:rsid w:val="008F2EEA"/>
    <w:rsid w:val="008F32BA"/>
    <w:rsid w:val="008F3400"/>
    <w:rsid w:val="008F3586"/>
    <w:rsid w:val="008F35DE"/>
    <w:rsid w:val="008F35E9"/>
    <w:rsid w:val="008F373B"/>
    <w:rsid w:val="008F37F8"/>
    <w:rsid w:val="008F3A42"/>
    <w:rsid w:val="008F3CDD"/>
    <w:rsid w:val="008F3DCE"/>
    <w:rsid w:val="008F3DEF"/>
    <w:rsid w:val="008F3FCA"/>
    <w:rsid w:val="008F42D4"/>
    <w:rsid w:val="008F44AC"/>
    <w:rsid w:val="008F44BD"/>
    <w:rsid w:val="008F45AE"/>
    <w:rsid w:val="008F461F"/>
    <w:rsid w:val="008F46FB"/>
    <w:rsid w:val="008F4768"/>
    <w:rsid w:val="008F48E4"/>
    <w:rsid w:val="008F4A4D"/>
    <w:rsid w:val="008F4AC7"/>
    <w:rsid w:val="008F4B11"/>
    <w:rsid w:val="008F4F0E"/>
    <w:rsid w:val="008F522C"/>
    <w:rsid w:val="008F53FA"/>
    <w:rsid w:val="008F547D"/>
    <w:rsid w:val="008F55C6"/>
    <w:rsid w:val="008F5B98"/>
    <w:rsid w:val="008F5C68"/>
    <w:rsid w:val="008F5EB4"/>
    <w:rsid w:val="008F5FA7"/>
    <w:rsid w:val="008F62E3"/>
    <w:rsid w:val="008F63FE"/>
    <w:rsid w:val="008F64F6"/>
    <w:rsid w:val="008F6915"/>
    <w:rsid w:val="008F6940"/>
    <w:rsid w:val="008F69F3"/>
    <w:rsid w:val="008F6BD6"/>
    <w:rsid w:val="008F6FA8"/>
    <w:rsid w:val="008F7491"/>
    <w:rsid w:val="008F761A"/>
    <w:rsid w:val="008F7B2B"/>
    <w:rsid w:val="008F7B6F"/>
    <w:rsid w:val="008F7CF5"/>
    <w:rsid w:val="008FEA1A"/>
    <w:rsid w:val="0090008E"/>
    <w:rsid w:val="00900292"/>
    <w:rsid w:val="009002D8"/>
    <w:rsid w:val="009003A6"/>
    <w:rsid w:val="009004DA"/>
    <w:rsid w:val="00900514"/>
    <w:rsid w:val="00900651"/>
    <w:rsid w:val="00900A82"/>
    <w:rsid w:val="00900BF9"/>
    <w:rsid w:val="00900C59"/>
    <w:rsid w:val="00900EA5"/>
    <w:rsid w:val="00900F87"/>
    <w:rsid w:val="009013E9"/>
    <w:rsid w:val="00901408"/>
    <w:rsid w:val="00901C83"/>
    <w:rsid w:val="0090215B"/>
    <w:rsid w:val="00902196"/>
    <w:rsid w:val="00902525"/>
    <w:rsid w:val="009026F8"/>
    <w:rsid w:val="00902BE8"/>
    <w:rsid w:val="00902D4A"/>
    <w:rsid w:val="00902D57"/>
    <w:rsid w:val="00902EB3"/>
    <w:rsid w:val="00902F5A"/>
    <w:rsid w:val="009032FE"/>
    <w:rsid w:val="00903327"/>
    <w:rsid w:val="00903447"/>
    <w:rsid w:val="009034D8"/>
    <w:rsid w:val="009035D6"/>
    <w:rsid w:val="009038B9"/>
    <w:rsid w:val="009038F3"/>
    <w:rsid w:val="00903AAA"/>
    <w:rsid w:val="00903B94"/>
    <w:rsid w:val="00903C2D"/>
    <w:rsid w:val="00903CB4"/>
    <w:rsid w:val="00903DE7"/>
    <w:rsid w:val="009041B5"/>
    <w:rsid w:val="00904307"/>
    <w:rsid w:val="00904390"/>
    <w:rsid w:val="00904574"/>
    <w:rsid w:val="009045C1"/>
    <w:rsid w:val="009046F4"/>
    <w:rsid w:val="00904727"/>
    <w:rsid w:val="009049D5"/>
    <w:rsid w:val="00904AE2"/>
    <w:rsid w:val="00904C41"/>
    <w:rsid w:val="00904F20"/>
    <w:rsid w:val="0090506F"/>
    <w:rsid w:val="00905139"/>
    <w:rsid w:val="00905243"/>
    <w:rsid w:val="009054A2"/>
    <w:rsid w:val="009057A6"/>
    <w:rsid w:val="00905808"/>
    <w:rsid w:val="0090595E"/>
    <w:rsid w:val="009059B7"/>
    <w:rsid w:val="00905AC7"/>
    <w:rsid w:val="00905BA7"/>
    <w:rsid w:val="00905CC8"/>
    <w:rsid w:val="00905F06"/>
    <w:rsid w:val="009067DF"/>
    <w:rsid w:val="00906F87"/>
    <w:rsid w:val="00906FCD"/>
    <w:rsid w:val="00907576"/>
    <w:rsid w:val="00907923"/>
    <w:rsid w:val="00907AEB"/>
    <w:rsid w:val="00907BB5"/>
    <w:rsid w:val="00907CFB"/>
    <w:rsid w:val="00907D4E"/>
    <w:rsid w:val="00907E8E"/>
    <w:rsid w:val="0090C8A3"/>
    <w:rsid w:val="0091017F"/>
    <w:rsid w:val="009101B4"/>
    <w:rsid w:val="00910446"/>
    <w:rsid w:val="0091051D"/>
    <w:rsid w:val="00910568"/>
    <w:rsid w:val="009107A9"/>
    <w:rsid w:val="00910A5B"/>
    <w:rsid w:val="00910CA6"/>
    <w:rsid w:val="00910D2C"/>
    <w:rsid w:val="00910D3D"/>
    <w:rsid w:val="00910D4B"/>
    <w:rsid w:val="009110ED"/>
    <w:rsid w:val="00911276"/>
    <w:rsid w:val="00911431"/>
    <w:rsid w:val="009118AF"/>
    <w:rsid w:val="00911931"/>
    <w:rsid w:val="0091196A"/>
    <w:rsid w:val="00911C65"/>
    <w:rsid w:val="00911F2D"/>
    <w:rsid w:val="009121C4"/>
    <w:rsid w:val="009121F4"/>
    <w:rsid w:val="009123C0"/>
    <w:rsid w:val="00912576"/>
    <w:rsid w:val="009126D6"/>
    <w:rsid w:val="00912848"/>
    <w:rsid w:val="00912E03"/>
    <w:rsid w:val="00912EE4"/>
    <w:rsid w:val="00912FA6"/>
    <w:rsid w:val="0091300E"/>
    <w:rsid w:val="00913047"/>
    <w:rsid w:val="0091334A"/>
    <w:rsid w:val="00913668"/>
    <w:rsid w:val="009138EC"/>
    <w:rsid w:val="00913954"/>
    <w:rsid w:val="00913AC1"/>
    <w:rsid w:val="00913D4B"/>
    <w:rsid w:val="00913FDE"/>
    <w:rsid w:val="009144D9"/>
    <w:rsid w:val="009144E6"/>
    <w:rsid w:val="0091451C"/>
    <w:rsid w:val="00914600"/>
    <w:rsid w:val="00914750"/>
    <w:rsid w:val="00914C64"/>
    <w:rsid w:val="00914D7F"/>
    <w:rsid w:val="00914EC2"/>
    <w:rsid w:val="00914F86"/>
    <w:rsid w:val="00914FA5"/>
    <w:rsid w:val="009152A0"/>
    <w:rsid w:val="009154FE"/>
    <w:rsid w:val="0091557D"/>
    <w:rsid w:val="00915EF5"/>
    <w:rsid w:val="00916206"/>
    <w:rsid w:val="0091620B"/>
    <w:rsid w:val="00916274"/>
    <w:rsid w:val="009164D7"/>
    <w:rsid w:val="0091654F"/>
    <w:rsid w:val="0091663C"/>
    <w:rsid w:val="0091690A"/>
    <w:rsid w:val="00916A99"/>
    <w:rsid w:val="00916B0F"/>
    <w:rsid w:val="00916BA4"/>
    <w:rsid w:val="00916C97"/>
    <w:rsid w:val="00916CBD"/>
    <w:rsid w:val="00916CCC"/>
    <w:rsid w:val="00916DB3"/>
    <w:rsid w:val="0091718C"/>
    <w:rsid w:val="0091722A"/>
    <w:rsid w:val="00917C5C"/>
    <w:rsid w:val="009201F4"/>
    <w:rsid w:val="00920262"/>
    <w:rsid w:val="00920650"/>
    <w:rsid w:val="009207A0"/>
    <w:rsid w:val="0092087B"/>
    <w:rsid w:val="009208F1"/>
    <w:rsid w:val="00921091"/>
    <w:rsid w:val="00921312"/>
    <w:rsid w:val="0092154E"/>
    <w:rsid w:val="00921A80"/>
    <w:rsid w:val="00921B76"/>
    <w:rsid w:val="00921C50"/>
    <w:rsid w:val="00921E0C"/>
    <w:rsid w:val="00922004"/>
    <w:rsid w:val="009220B7"/>
    <w:rsid w:val="009221BC"/>
    <w:rsid w:val="00922271"/>
    <w:rsid w:val="0092229D"/>
    <w:rsid w:val="00922404"/>
    <w:rsid w:val="0092240B"/>
    <w:rsid w:val="00922652"/>
    <w:rsid w:val="00922714"/>
    <w:rsid w:val="0092287A"/>
    <w:rsid w:val="00922A84"/>
    <w:rsid w:val="00922CC0"/>
    <w:rsid w:val="00922E01"/>
    <w:rsid w:val="00922E3C"/>
    <w:rsid w:val="00923219"/>
    <w:rsid w:val="00923271"/>
    <w:rsid w:val="0092366D"/>
    <w:rsid w:val="00923B46"/>
    <w:rsid w:val="00923C56"/>
    <w:rsid w:val="00923CDB"/>
    <w:rsid w:val="00923EC4"/>
    <w:rsid w:val="00923EFB"/>
    <w:rsid w:val="00923F49"/>
    <w:rsid w:val="00924097"/>
    <w:rsid w:val="009242C9"/>
    <w:rsid w:val="0092434C"/>
    <w:rsid w:val="009246D6"/>
    <w:rsid w:val="00924848"/>
    <w:rsid w:val="009248F4"/>
    <w:rsid w:val="009249B0"/>
    <w:rsid w:val="00924B50"/>
    <w:rsid w:val="00924CDA"/>
    <w:rsid w:val="00924E11"/>
    <w:rsid w:val="00924F23"/>
    <w:rsid w:val="00924FEA"/>
    <w:rsid w:val="009252E5"/>
    <w:rsid w:val="009253BD"/>
    <w:rsid w:val="009253CF"/>
    <w:rsid w:val="00925A63"/>
    <w:rsid w:val="00925FFF"/>
    <w:rsid w:val="009262C4"/>
    <w:rsid w:val="0092633A"/>
    <w:rsid w:val="00926520"/>
    <w:rsid w:val="009265C0"/>
    <w:rsid w:val="00926952"/>
    <w:rsid w:val="00926E75"/>
    <w:rsid w:val="009270B8"/>
    <w:rsid w:val="00927243"/>
    <w:rsid w:val="0092736A"/>
    <w:rsid w:val="00927380"/>
    <w:rsid w:val="00927433"/>
    <w:rsid w:val="00927557"/>
    <w:rsid w:val="00927641"/>
    <w:rsid w:val="009276E9"/>
    <w:rsid w:val="0092771F"/>
    <w:rsid w:val="00927A71"/>
    <w:rsid w:val="00927E94"/>
    <w:rsid w:val="009302F8"/>
    <w:rsid w:val="009304CD"/>
    <w:rsid w:val="009304DF"/>
    <w:rsid w:val="0093053E"/>
    <w:rsid w:val="00930B68"/>
    <w:rsid w:val="00930C91"/>
    <w:rsid w:val="00930DBC"/>
    <w:rsid w:val="00930DED"/>
    <w:rsid w:val="00930EDF"/>
    <w:rsid w:val="00931141"/>
    <w:rsid w:val="009312AF"/>
    <w:rsid w:val="00931343"/>
    <w:rsid w:val="0093135D"/>
    <w:rsid w:val="0093137F"/>
    <w:rsid w:val="009313FE"/>
    <w:rsid w:val="0093201A"/>
    <w:rsid w:val="009320F4"/>
    <w:rsid w:val="009322C6"/>
    <w:rsid w:val="00932332"/>
    <w:rsid w:val="0093244A"/>
    <w:rsid w:val="009325B3"/>
    <w:rsid w:val="009325D9"/>
    <w:rsid w:val="009326C0"/>
    <w:rsid w:val="009326EF"/>
    <w:rsid w:val="009327C4"/>
    <w:rsid w:val="00932836"/>
    <w:rsid w:val="00932E30"/>
    <w:rsid w:val="00932EF4"/>
    <w:rsid w:val="00933001"/>
    <w:rsid w:val="00933095"/>
    <w:rsid w:val="00933334"/>
    <w:rsid w:val="00933447"/>
    <w:rsid w:val="00933494"/>
    <w:rsid w:val="00933582"/>
    <w:rsid w:val="009335A6"/>
    <w:rsid w:val="00933775"/>
    <w:rsid w:val="00933C5B"/>
    <w:rsid w:val="009340A0"/>
    <w:rsid w:val="009340BE"/>
    <w:rsid w:val="00934501"/>
    <w:rsid w:val="009345EA"/>
    <w:rsid w:val="009347F7"/>
    <w:rsid w:val="00934870"/>
    <w:rsid w:val="00934907"/>
    <w:rsid w:val="00934967"/>
    <w:rsid w:val="00934A03"/>
    <w:rsid w:val="00934BCE"/>
    <w:rsid w:val="00934C35"/>
    <w:rsid w:val="00934E42"/>
    <w:rsid w:val="00934F86"/>
    <w:rsid w:val="0093525A"/>
    <w:rsid w:val="00935340"/>
    <w:rsid w:val="009355A6"/>
    <w:rsid w:val="00935714"/>
    <w:rsid w:val="00935747"/>
    <w:rsid w:val="0093576E"/>
    <w:rsid w:val="0093592E"/>
    <w:rsid w:val="009359EE"/>
    <w:rsid w:val="00935AD7"/>
    <w:rsid w:val="00935DF4"/>
    <w:rsid w:val="00935F69"/>
    <w:rsid w:val="009360DD"/>
    <w:rsid w:val="009361C0"/>
    <w:rsid w:val="00936676"/>
    <w:rsid w:val="00936773"/>
    <w:rsid w:val="00936776"/>
    <w:rsid w:val="00936C31"/>
    <w:rsid w:val="00936C9D"/>
    <w:rsid w:val="00936CA8"/>
    <w:rsid w:val="00936D91"/>
    <w:rsid w:val="00936EE5"/>
    <w:rsid w:val="00936F2B"/>
    <w:rsid w:val="00936FA5"/>
    <w:rsid w:val="00937340"/>
    <w:rsid w:val="00937B26"/>
    <w:rsid w:val="00937DD8"/>
    <w:rsid w:val="00937E79"/>
    <w:rsid w:val="00940144"/>
    <w:rsid w:val="009402DC"/>
    <w:rsid w:val="009405DD"/>
    <w:rsid w:val="00940B3C"/>
    <w:rsid w:val="00940B6E"/>
    <w:rsid w:val="00940EB4"/>
    <w:rsid w:val="009410D1"/>
    <w:rsid w:val="009413F5"/>
    <w:rsid w:val="00941547"/>
    <w:rsid w:val="009416D5"/>
    <w:rsid w:val="00941946"/>
    <w:rsid w:val="00941B01"/>
    <w:rsid w:val="00941D01"/>
    <w:rsid w:val="0094278A"/>
    <w:rsid w:val="00942886"/>
    <w:rsid w:val="009429A2"/>
    <w:rsid w:val="00942B00"/>
    <w:rsid w:val="00942D92"/>
    <w:rsid w:val="009433A1"/>
    <w:rsid w:val="00943443"/>
    <w:rsid w:val="00943490"/>
    <w:rsid w:val="009435A8"/>
    <w:rsid w:val="00943636"/>
    <w:rsid w:val="00943971"/>
    <w:rsid w:val="00943DB9"/>
    <w:rsid w:val="00943E69"/>
    <w:rsid w:val="00943F4F"/>
    <w:rsid w:val="00943F6C"/>
    <w:rsid w:val="009442A5"/>
    <w:rsid w:val="009442B1"/>
    <w:rsid w:val="00944452"/>
    <w:rsid w:val="00944465"/>
    <w:rsid w:val="009446CF"/>
    <w:rsid w:val="00944DAF"/>
    <w:rsid w:val="00944F0A"/>
    <w:rsid w:val="00944F7F"/>
    <w:rsid w:val="00944FFC"/>
    <w:rsid w:val="00945032"/>
    <w:rsid w:val="00945212"/>
    <w:rsid w:val="009457EE"/>
    <w:rsid w:val="00945A42"/>
    <w:rsid w:val="00945AF7"/>
    <w:rsid w:val="00945D65"/>
    <w:rsid w:val="0094639A"/>
    <w:rsid w:val="0094648C"/>
    <w:rsid w:val="009467CD"/>
    <w:rsid w:val="00946800"/>
    <w:rsid w:val="00946903"/>
    <w:rsid w:val="009469CA"/>
    <w:rsid w:val="00946B4F"/>
    <w:rsid w:val="00946BD8"/>
    <w:rsid w:val="00946D88"/>
    <w:rsid w:val="00947057"/>
    <w:rsid w:val="009473C2"/>
    <w:rsid w:val="009476C9"/>
    <w:rsid w:val="00947718"/>
    <w:rsid w:val="00947AC4"/>
    <w:rsid w:val="00947EC8"/>
    <w:rsid w:val="0094943F"/>
    <w:rsid w:val="0094E506"/>
    <w:rsid w:val="009503C7"/>
    <w:rsid w:val="00950529"/>
    <w:rsid w:val="009505B4"/>
    <w:rsid w:val="00950850"/>
    <w:rsid w:val="009508A8"/>
    <w:rsid w:val="00950A9D"/>
    <w:rsid w:val="00950B9E"/>
    <w:rsid w:val="00950DBC"/>
    <w:rsid w:val="00950FB3"/>
    <w:rsid w:val="009510AF"/>
    <w:rsid w:val="00951284"/>
    <w:rsid w:val="0095132F"/>
    <w:rsid w:val="00951366"/>
    <w:rsid w:val="0095151A"/>
    <w:rsid w:val="0095171E"/>
    <w:rsid w:val="00951742"/>
    <w:rsid w:val="009518AD"/>
    <w:rsid w:val="00951E3E"/>
    <w:rsid w:val="00951F18"/>
    <w:rsid w:val="00951F6B"/>
    <w:rsid w:val="00952195"/>
    <w:rsid w:val="009522B9"/>
    <w:rsid w:val="009522D9"/>
    <w:rsid w:val="00952481"/>
    <w:rsid w:val="009524D2"/>
    <w:rsid w:val="009526F3"/>
    <w:rsid w:val="00952751"/>
    <w:rsid w:val="009528BF"/>
    <w:rsid w:val="00952ACD"/>
    <w:rsid w:val="00952B1B"/>
    <w:rsid w:val="00952BF7"/>
    <w:rsid w:val="00953243"/>
    <w:rsid w:val="009532C9"/>
    <w:rsid w:val="0095373B"/>
    <w:rsid w:val="00953A9A"/>
    <w:rsid w:val="00953EC1"/>
    <w:rsid w:val="00954185"/>
    <w:rsid w:val="0095425D"/>
    <w:rsid w:val="009544E5"/>
    <w:rsid w:val="009546B6"/>
    <w:rsid w:val="0095498A"/>
    <w:rsid w:val="00954C54"/>
    <w:rsid w:val="009551D5"/>
    <w:rsid w:val="009552EF"/>
    <w:rsid w:val="0095550E"/>
    <w:rsid w:val="009556D2"/>
    <w:rsid w:val="00955DBE"/>
    <w:rsid w:val="00955FFB"/>
    <w:rsid w:val="009561DC"/>
    <w:rsid w:val="00956436"/>
    <w:rsid w:val="009564F2"/>
    <w:rsid w:val="009566E7"/>
    <w:rsid w:val="0095687A"/>
    <w:rsid w:val="009571AF"/>
    <w:rsid w:val="009572B9"/>
    <w:rsid w:val="009576A8"/>
    <w:rsid w:val="00957B2C"/>
    <w:rsid w:val="00957C24"/>
    <w:rsid w:val="009603B1"/>
    <w:rsid w:val="009603EF"/>
    <w:rsid w:val="0096041B"/>
    <w:rsid w:val="00960E18"/>
    <w:rsid w:val="00960E41"/>
    <w:rsid w:val="00960F1C"/>
    <w:rsid w:val="009610A9"/>
    <w:rsid w:val="0096112F"/>
    <w:rsid w:val="00961462"/>
    <w:rsid w:val="00961530"/>
    <w:rsid w:val="00961816"/>
    <w:rsid w:val="00961AAB"/>
    <w:rsid w:val="00961BBA"/>
    <w:rsid w:val="00961EC1"/>
    <w:rsid w:val="009622FB"/>
    <w:rsid w:val="00962813"/>
    <w:rsid w:val="00962817"/>
    <w:rsid w:val="009629C8"/>
    <w:rsid w:val="00962E08"/>
    <w:rsid w:val="00962F02"/>
    <w:rsid w:val="0096341C"/>
    <w:rsid w:val="009635CB"/>
    <w:rsid w:val="00963B62"/>
    <w:rsid w:val="00963C0A"/>
    <w:rsid w:val="00963CE8"/>
    <w:rsid w:val="00963FA6"/>
    <w:rsid w:val="0096400D"/>
    <w:rsid w:val="00964036"/>
    <w:rsid w:val="00964091"/>
    <w:rsid w:val="009640E9"/>
    <w:rsid w:val="009640EE"/>
    <w:rsid w:val="00964289"/>
    <w:rsid w:val="00964362"/>
    <w:rsid w:val="009645ED"/>
    <w:rsid w:val="009645F2"/>
    <w:rsid w:val="0096461A"/>
    <w:rsid w:val="00964D59"/>
    <w:rsid w:val="00965175"/>
    <w:rsid w:val="00965184"/>
    <w:rsid w:val="0096538A"/>
    <w:rsid w:val="009653D1"/>
    <w:rsid w:val="00965561"/>
    <w:rsid w:val="009655A7"/>
    <w:rsid w:val="009655F7"/>
    <w:rsid w:val="009662EE"/>
    <w:rsid w:val="009663BE"/>
    <w:rsid w:val="00966426"/>
    <w:rsid w:val="00966522"/>
    <w:rsid w:val="00966631"/>
    <w:rsid w:val="0096663F"/>
    <w:rsid w:val="00966812"/>
    <w:rsid w:val="00966813"/>
    <w:rsid w:val="00966B0B"/>
    <w:rsid w:val="00966C2C"/>
    <w:rsid w:val="00966C53"/>
    <w:rsid w:val="00966D7C"/>
    <w:rsid w:val="009671D5"/>
    <w:rsid w:val="00967233"/>
    <w:rsid w:val="009674E1"/>
    <w:rsid w:val="009675BE"/>
    <w:rsid w:val="009675D3"/>
    <w:rsid w:val="00967ABF"/>
    <w:rsid w:val="00967F1D"/>
    <w:rsid w:val="0096C264"/>
    <w:rsid w:val="00970002"/>
    <w:rsid w:val="00970069"/>
    <w:rsid w:val="00970070"/>
    <w:rsid w:val="00970091"/>
    <w:rsid w:val="00970464"/>
    <w:rsid w:val="00970682"/>
    <w:rsid w:val="009706B9"/>
    <w:rsid w:val="0097084B"/>
    <w:rsid w:val="009708DD"/>
    <w:rsid w:val="00970D30"/>
    <w:rsid w:val="00970E1E"/>
    <w:rsid w:val="00970FAE"/>
    <w:rsid w:val="00971068"/>
    <w:rsid w:val="009710C6"/>
    <w:rsid w:val="00971339"/>
    <w:rsid w:val="00971398"/>
    <w:rsid w:val="00971816"/>
    <w:rsid w:val="0097193E"/>
    <w:rsid w:val="0097194C"/>
    <w:rsid w:val="0097195C"/>
    <w:rsid w:val="0097225F"/>
    <w:rsid w:val="00972717"/>
    <w:rsid w:val="00972970"/>
    <w:rsid w:val="009729FA"/>
    <w:rsid w:val="00972EF4"/>
    <w:rsid w:val="00973390"/>
    <w:rsid w:val="00973545"/>
    <w:rsid w:val="009738DA"/>
    <w:rsid w:val="00973A7A"/>
    <w:rsid w:val="00973DEF"/>
    <w:rsid w:val="00973F32"/>
    <w:rsid w:val="009741B0"/>
    <w:rsid w:val="00974382"/>
    <w:rsid w:val="00974599"/>
    <w:rsid w:val="00974606"/>
    <w:rsid w:val="0097463B"/>
    <w:rsid w:val="0097494F"/>
    <w:rsid w:val="00974A06"/>
    <w:rsid w:val="00974D1E"/>
    <w:rsid w:val="00974D98"/>
    <w:rsid w:val="00974EBA"/>
    <w:rsid w:val="0097568D"/>
    <w:rsid w:val="00975896"/>
    <w:rsid w:val="00975C9D"/>
    <w:rsid w:val="00975DCD"/>
    <w:rsid w:val="00975F0D"/>
    <w:rsid w:val="00975F23"/>
    <w:rsid w:val="00975F90"/>
    <w:rsid w:val="00975FD2"/>
    <w:rsid w:val="00976186"/>
    <w:rsid w:val="0097624B"/>
    <w:rsid w:val="0097631B"/>
    <w:rsid w:val="00976577"/>
    <w:rsid w:val="009766FB"/>
    <w:rsid w:val="00976814"/>
    <w:rsid w:val="0097698E"/>
    <w:rsid w:val="00976B49"/>
    <w:rsid w:val="00976B7E"/>
    <w:rsid w:val="00976D9F"/>
    <w:rsid w:val="00976E08"/>
    <w:rsid w:val="009773E8"/>
    <w:rsid w:val="00977ADE"/>
    <w:rsid w:val="00977B2F"/>
    <w:rsid w:val="00977B5D"/>
    <w:rsid w:val="00980197"/>
    <w:rsid w:val="009801B2"/>
    <w:rsid w:val="0098020E"/>
    <w:rsid w:val="00980447"/>
    <w:rsid w:val="00980589"/>
    <w:rsid w:val="009805F3"/>
    <w:rsid w:val="00980886"/>
    <w:rsid w:val="0098088C"/>
    <w:rsid w:val="009808EE"/>
    <w:rsid w:val="00980967"/>
    <w:rsid w:val="00980B41"/>
    <w:rsid w:val="00980EF9"/>
    <w:rsid w:val="0098106C"/>
    <w:rsid w:val="009810BC"/>
    <w:rsid w:val="00981265"/>
    <w:rsid w:val="0098131B"/>
    <w:rsid w:val="00981369"/>
    <w:rsid w:val="009814E9"/>
    <w:rsid w:val="00981540"/>
    <w:rsid w:val="00981541"/>
    <w:rsid w:val="0098157B"/>
    <w:rsid w:val="0098160A"/>
    <w:rsid w:val="009816EA"/>
    <w:rsid w:val="00981718"/>
    <w:rsid w:val="0098187F"/>
    <w:rsid w:val="00981962"/>
    <w:rsid w:val="00981A50"/>
    <w:rsid w:val="00981A52"/>
    <w:rsid w:val="00981A5D"/>
    <w:rsid w:val="00981B96"/>
    <w:rsid w:val="00981BB7"/>
    <w:rsid w:val="00981C1D"/>
    <w:rsid w:val="00981CA1"/>
    <w:rsid w:val="00981D13"/>
    <w:rsid w:val="009821D5"/>
    <w:rsid w:val="00982318"/>
    <w:rsid w:val="00982674"/>
    <w:rsid w:val="009827FA"/>
    <w:rsid w:val="00982F3A"/>
    <w:rsid w:val="00982F5E"/>
    <w:rsid w:val="00982F65"/>
    <w:rsid w:val="00982FCA"/>
    <w:rsid w:val="00982FDA"/>
    <w:rsid w:val="0098362E"/>
    <w:rsid w:val="00983A46"/>
    <w:rsid w:val="00983D43"/>
    <w:rsid w:val="00983D62"/>
    <w:rsid w:val="00983E30"/>
    <w:rsid w:val="00983FE1"/>
    <w:rsid w:val="009840F3"/>
    <w:rsid w:val="009841B7"/>
    <w:rsid w:val="009846FE"/>
    <w:rsid w:val="00984721"/>
    <w:rsid w:val="00984C08"/>
    <w:rsid w:val="00984C44"/>
    <w:rsid w:val="00984D02"/>
    <w:rsid w:val="009850E0"/>
    <w:rsid w:val="0098513D"/>
    <w:rsid w:val="0098531C"/>
    <w:rsid w:val="009853C1"/>
    <w:rsid w:val="00985F4F"/>
    <w:rsid w:val="009861D6"/>
    <w:rsid w:val="009865CB"/>
    <w:rsid w:val="00986749"/>
    <w:rsid w:val="00986962"/>
    <w:rsid w:val="009869C1"/>
    <w:rsid w:val="00986A35"/>
    <w:rsid w:val="00986A43"/>
    <w:rsid w:val="00986B33"/>
    <w:rsid w:val="00986F3A"/>
    <w:rsid w:val="009871E2"/>
    <w:rsid w:val="009871E4"/>
    <w:rsid w:val="009872AB"/>
    <w:rsid w:val="00987319"/>
    <w:rsid w:val="0098785A"/>
    <w:rsid w:val="00987C96"/>
    <w:rsid w:val="00987F9B"/>
    <w:rsid w:val="0098A4C6"/>
    <w:rsid w:val="0099023B"/>
    <w:rsid w:val="009902C6"/>
    <w:rsid w:val="009904C4"/>
    <w:rsid w:val="009906B2"/>
    <w:rsid w:val="009906BC"/>
    <w:rsid w:val="009907CA"/>
    <w:rsid w:val="0099099C"/>
    <w:rsid w:val="00990C8F"/>
    <w:rsid w:val="00991022"/>
    <w:rsid w:val="00991188"/>
    <w:rsid w:val="009911B4"/>
    <w:rsid w:val="009911C9"/>
    <w:rsid w:val="009917B6"/>
    <w:rsid w:val="00992031"/>
    <w:rsid w:val="0099203A"/>
    <w:rsid w:val="009920BE"/>
    <w:rsid w:val="00992286"/>
    <w:rsid w:val="0099239E"/>
    <w:rsid w:val="009924E0"/>
    <w:rsid w:val="009925C2"/>
    <w:rsid w:val="0099282A"/>
    <w:rsid w:val="0099299A"/>
    <w:rsid w:val="00992B93"/>
    <w:rsid w:val="00992C1A"/>
    <w:rsid w:val="00992CD3"/>
    <w:rsid w:val="009931E1"/>
    <w:rsid w:val="00993302"/>
    <w:rsid w:val="009933DF"/>
    <w:rsid w:val="00993543"/>
    <w:rsid w:val="00993A78"/>
    <w:rsid w:val="00993B14"/>
    <w:rsid w:val="00993FF1"/>
    <w:rsid w:val="009940D3"/>
    <w:rsid w:val="009941B4"/>
    <w:rsid w:val="00994298"/>
    <w:rsid w:val="0099432E"/>
    <w:rsid w:val="009944C8"/>
    <w:rsid w:val="009947C7"/>
    <w:rsid w:val="00994812"/>
    <w:rsid w:val="00994846"/>
    <w:rsid w:val="009949EB"/>
    <w:rsid w:val="00994C81"/>
    <w:rsid w:val="00994E72"/>
    <w:rsid w:val="009950BD"/>
    <w:rsid w:val="00995293"/>
    <w:rsid w:val="00995432"/>
    <w:rsid w:val="00995459"/>
    <w:rsid w:val="009957F5"/>
    <w:rsid w:val="00995CDD"/>
    <w:rsid w:val="00995D44"/>
    <w:rsid w:val="00995DBD"/>
    <w:rsid w:val="00995ED8"/>
    <w:rsid w:val="00995F66"/>
    <w:rsid w:val="00995F94"/>
    <w:rsid w:val="009960A0"/>
    <w:rsid w:val="0099629C"/>
    <w:rsid w:val="00996612"/>
    <w:rsid w:val="00997172"/>
    <w:rsid w:val="009974D2"/>
    <w:rsid w:val="00997825"/>
    <w:rsid w:val="00997B0E"/>
    <w:rsid w:val="00997CDE"/>
    <w:rsid w:val="00997DB8"/>
    <w:rsid w:val="00997DCB"/>
    <w:rsid w:val="00997DE2"/>
    <w:rsid w:val="00997F64"/>
    <w:rsid w:val="0099968C"/>
    <w:rsid w:val="009A0307"/>
    <w:rsid w:val="009A0350"/>
    <w:rsid w:val="009A04E6"/>
    <w:rsid w:val="009A0513"/>
    <w:rsid w:val="009A08D5"/>
    <w:rsid w:val="009A0A05"/>
    <w:rsid w:val="009A0A58"/>
    <w:rsid w:val="009A0B15"/>
    <w:rsid w:val="009A0DC9"/>
    <w:rsid w:val="009A0DFA"/>
    <w:rsid w:val="009A1659"/>
    <w:rsid w:val="009A1CE3"/>
    <w:rsid w:val="009A1F41"/>
    <w:rsid w:val="009A222F"/>
    <w:rsid w:val="009A2296"/>
    <w:rsid w:val="009A22FD"/>
    <w:rsid w:val="009A25D4"/>
    <w:rsid w:val="009A2611"/>
    <w:rsid w:val="009A27E0"/>
    <w:rsid w:val="009A27EE"/>
    <w:rsid w:val="009A2A18"/>
    <w:rsid w:val="009A2D41"/>
    <w:rsid w:val="009A2F0F"/>
    <w:rsid w:val="009A2FFC"/>
    <w:rsid w:val="009A34F7"/>
    <w:rsid w:val="009A3816"/>
    <w:rsid w:val="009A3AFF"/>
    <w:rsid w:val="009A3CF6"/>
    <w:rsid w:val="009A3F6F"/>
    <w:rsid w:val="009A423E"/>
    <w:rsid w:val="009A42F1"/>
    <w:rsid w:val="009A4563"/>
    <w:rsid w:val="009A4690"/>
    <w:rsid w:val="009A46F6"/>
    <w:rsid w:val="009A4775"/>
    <w:rsid w:val="009A4B57"/>
    <w:rsid w:val="009A4C02"/>
    <w:rsid w:val="009A4C1C"/>
    <w:rsid w:val="009A51B1"/>
    <w:rsid w:val="009A544B"/>
    <w:rsid w:val="009A5471"/>
    <w:rsid w:val="009A59D7"/>
    <w:rsid w:val="009A5F2A"/>
    <w:rsid w:val="009A600D"/>
    <w:rsid w:val="009A6141"/>
    <w:rsid w:val="009A6262"/>
    <w:rsid w:val="009A6591"/>
    <w:rsid w:val="009A65D4"/>
    <w:rsid w:val="009A66F6"/>
    <w:rsid w:val="009A67F0"/>
    <w:rsid w:val="009A688C"/>
    <w:rsid w:val="009A6892"/>
    <w:rsid w:val="009A6D80"/>
    <w:rsid w:val="009A6E47"/>
    <w:rsid w:val="009A6E7D"/>
    <w:rsid w:val="009A6EC3"/>
    <w:rsid w:val="009A6F53"/>
    <w:rsid w:val="009A6FC5"/>
    <w:rsid w:val="009A70F7"/>
    <w:rsid w:val="009A71F6"/>
    <w:rsid w:val="009A77AC"/>
    <w:rsid w:val="009A7839"/>
    <w:rsid w:val="009A7B83"/>
    <w:rsid w:val="009A7BA6"/>
    <w:rsid w:val="009A7BDC"/>
    <w:rsid w:val="009A7E0E"/>
    <w:rsid w:val="009B011E"/>
    <w:rsid w:val="009B0152"/>
    <w:rsid w:val="009B04F0"/>
    <w:rsid w:val="009B053B"/>
    <w:rsid w:val="009B058D"/>
    <w:rsid w:val="009B07A1"/>
    <w:rsid w:val="009B0AFC"/>
    <w:rsid w:val="009B0F0C"/>
    <w:rsid w:val="009B10AE"/>
    <w:rsid w:val="009B14B1"/>
    <w:rsid w:val="009B1557"/>
    <w:rsid w:val="009B16A8"/>
    <w:rsid w:val="009B1BA2"/>
    <w:rsid w:val="009B1FF0"/>
    <w:rsid w:val="009B212F"/>
    <w:rsid w:val="009B21CB"/>
    <w:rsid w:val="009B2593"/>
    <w:rsid w:val="009B27DC"/>
    <w:rsid w:val="009B28AB"/>
    <w:rsid w:val="009B2BF7"/>
    <w:rsid w:val="009B2C74"/>
    <w:rsid w:val="009B2E42"/>
    <w:rsid w:val="009B308A"/>
    <w:rsid w:val="009B3112"/>
    <w:rsid w:val="009B355F"/>
    <w:rsid w:val="009B364B"/>
    <w:rsid w:val="009B3EFD"/>
    <w:rsid w:val="009B4030"/>
    <w:rsid w:val="009B43FB"/>
    <w:rsid w:val="009B471C"/>
    <w:rsid w:val="009B48A5"/>
    <w:rsid w:val="009B4C13"/>
    <w:rsid w:val="009B4EFA"/>
    <w:rsid w:val="009B4FF4"/>
    <w:rsid w:val="009B524E"/>
    <w:rsid w:val="009B5538"/>
    <w:rsid w:val="009B5566"/>
    <w:rsid w:val="009B55A4"/>
    <w:rsid w:val="009B5631"/>
    <w:rsid w:val="009B567D"/>
    <w:rsid w:val="009B59AE"/>
    <w:rsid w:val="009B5BB9"/>
    <w:rsid w:val="009B6095"/>
    <w:rsid w:val="009B624D"/>
    <w:rsid w:val="009B633C"/>
    <w:rsid w:val="009B642F"/>
    <w:rsid w:val="009B64B4"/>
    <w:rsid w:val="009B69EA"/>
    <w:rsid w:val="009B6B3C"/>
    <w:rsid w:val="009B6CC8"/>
    <w:rsid w:val="009B6D77"/>
    <w:rsid w:val="009B7533"/>
    <w:rsid w:val="009B75E8"/>
    <w:rsid w:val="009B77FE"/>
    <w:rsid w:val="009B785A"/>
    <w:rsid w:val="009B7DF3"/>
    <w:rsid w:val="009B7F10"/>
    <w:rsid w:val="009C0132"/>
    <w:rsid w:val="009C06EC"/>
    <w:rsid w:val="009C0931"/>
    <w:rsid w:val="009C0B55"/>
    <w:rsid w:val="009C0C62"/>
    <w:rsid w:val="009C0E25"/>
    <w:rsid w:val="009C1094"/>
    <w:rsid w:val="009C110B"/>
    <w:rsid w:val="009C112E"/>
    <w:rsid w:val="009C16B2"/>
    <w:rsid w:val="009C16EB"/>
    <w:rsid w:val="009C1A02"/>
    <w:rsid w:val="009C1A0E"/>
    <w:rsid w:val="009C1E96"/>
    <w:rsid w:val="009C2041"/>
    <w:rsid w:val="009C2066"/>
    <w:rsid w:val="009C226D"/>
    <w:rsid w:val="009C25A0"/>
    <w:rsid w:val="009C26C4"/>
    <w:rsid w:val="009C26F8"/>
    <w:rsid w:val="009C2A6C"/>
    <w:rsid w:val="009C2AC0"/>
    <w:rsid w:val="009C2C04"/>
    <w:rsid w:val="009C3647"/>
    <w:rsid w:val="009C36C1"/>
    <w:rsid w:val="009C3704"/>
    <w:rsid w:val="009C370C"/>
    <w:rsid w:val="009C3907"/>
    <w:rsid w:val="009C3B79"/>
    <w:rsid w:val="009C3D85"/>
    <w:rsid w:val="009C3DE7"/>
    <w:rsid w:val="009C43E4"/>
    <w:rsid w:val="009C54DA"/>
    <w:rsid w:val="009C573F"/>
    <w:rsid w:val="009C5790"/>
    <w:rsid w:val="009C57BF"/>
    <w:rsid w:val="009C5A5F"/>
    <w:rsid w:val="009C5BE3"/>
    <w:rsid w:val="009C5D33"/>
    <w:rsid w:val="009C5DB7"/>
    <w:rsid w:val="009C5E0F"/>
    <w:rsid w:val="009C5FF5"/>
    <w:rsid w:val="009C656A"/>
    <w:rsid w:val="009C67A9"/>
    <w:rsid w:val="009C6829"/>
    <w:rsid w:val="009C687F"/>
    <w:rsid w:val="009C6B89"/>
    <w:rsid w:val="009C6D9D"/>
    <w:rsid w:val="009C6E8B"/>
    <w:rsid w:val="009C6EDA"/>
    <w:rsid w:val="009C7451"/>
    <w:rsid w:val="009C74E3"/>
    <w:rsid w:val="009C769E"/>
    <w:rsid w:val="009C77CA"/>
    <w:rsid w:val="009C78A2"/>
    <w:rsid w:val="009C7BE6"/>
    <w:rsid w:val="009C7C55"/>
    <w:rsid w:val="009C7CB3"/>
    <w:rsid w:val="009C7D9F"/>
    <w:rsid w:val="009D0176"/>
    <w:rsid w:val="009D01DF"/>
    <w:rsid w:val="009D049A"/>
    <w:rsid w:val="009D0730"/>
    <w:rsid w:val="009D1044"/>
    <w:rsid w:val="009D1075"/>
    <w:rsid w:val="009D109B"/>
    <w:rsid w:val="009D1552"/>
    <w:rsid w:val="009D163B"/>
    <w:rsid w:val="009D175B"/>
    <w:rsid w:val="009D18ED"/>
    <w:rsid w:val="009D1C26"/>
    <w:rsid w:val="009D1D9B"/>
    <w:rsid w:val="009D1E19"/>
    <w:rsid w:val="009D1E43"/>
    <w:rsid w:val="009D1E73"/>
    <w:rsid w:val="009D2348"/>
    <w:rsid w:val="009D24C5"/>
    <w:rsid w:val="009D256E"/>
    <w:rsid w:val="009D2C79"/>
    <w:rsid w:val="009D2DF3"/>
    <w:rsid w:val="009D3156"/>
    <w:rsid w:val="009D32E8"/>
    <w:rsid w:val="009D3BCA"/>
    <w:rsid w:val="009D3DBD"/>
    <w:rsid w:val="009D3FB7"/>
    <w:rsid w:val="009D4042"/>
    <w:rsid w:val="009D43B0"/>
    <w:rsid w:val="009D44FD"/>
    <w:rsid w:val="009D4930"/>
    <w:rsid w:val="009D49A6"/>
    <w:rsid w:val="009D4A49"/>
    <w:rsid w:val="009D4FCF"/>
    <w:rsid w:val="009D507B"/>
    <w:rsid w:val="009D5205"/>
    <w:rsid w:val="009D557A"/>
    <w:rsid w:val="009D55CE"/>
    <w:rsid w:val="009D5897"/>
    <w:rsid w:val="009D58D2"/>
    <w:rsid w:val="009D5BEE"/>
    <w:rsid w:val="009D5F74"/>
    <w:rsid w:val="009D6468"/>
    <w:rsid w:val="009D6503"/>
    <w:rsid w:val="009D6512"/>
    <w:rsid w:val="009D6656"/>
    <w:rsid w:val="009D6E58"/>
    <w:rsid w:val="009D6EFB"/>
    <w:rsid w:val="009D74AC"/>
    <w:rsid w:val="009D76BC"/>
    <w:rsid w:val="009D78FC"/>
    <w:rsid w:val="009D7932"/>
    <w:rsid w:val="009D7A2B"/>
    <w:rsid w:val="009D7CCC"/>
    <w:rsid w:val="009DBECB"/>
    <w:rsid w:val="009E0055"/>
    <w:rsid w:val="009E0498"/>
    <w:rsid w:val="009E056D"/>
    <w:rsid w:val="009E05AD"/>
    <w:rsid w:val="009E06E5"/>
    <w:rsid w:val="009E0BA8"/>
    <w:rsid w:val="009E0C3E"/>
    <w:rsid w:val="009E10EF"/>
    <w:rsid w:val="009E157D"/>
    <w:rsid w:val="009E189C"/>
    <w:rsid w:val="009E1C34"/>
    <w:rsid w:val="009E1ED4"/>
    <w:rsid w:val="009E1FBB"/>
    <w:rsid w:val="009E20C5"/>
    <w:rsid w:val="009E211B"/>
    <w:rsid w:val="009E2194"/>
    <w:rsid w:val="009E21F5"/>
    <w:rsid w:val="009E220E"/>
    <w:rsid w:val="009E2296"/>
    <w:rsid w:val="009E22F2"/>
    <w:rsid w:val="009E23DB"/>
    <w:rsid w:val="009E259A"/>
    <w:rsid w:val="009E2802"/>
    <w:rsid w:val="009E282F"/>
    <w:rsid w:val="009E283B"/>
    <w:rsid w:val="009E291C"/>
    <w:rsid w:val="009E2D59"/>
    <w:rsid w:val="009E32E0"/>
    <w:rsid w:val="009E34FA"/>
    <w:rsid w:val="009E374E"/>
    <w:rsid w:val="009E397C"/>
    <w:rsid w:val="009E3B91"/>
    <w:rsid w:val="009E3BBB"/>
    <w:rsid w:val="009E3CFC"/>
    <w:rsid w:val="009E3DBD"/>
    <w:rsid w:val="009E3EED"/>
    <w:rsid w:val="009E3F38"/>
    <w:rsid w:val="009E4344"/>
    <w:rsid w:val="009E438E"/>
    <w:rsid w:val="009E44E1"/>
    <w:rsid w:val="009E46D3"/>
    <w:rsid w:val="009E471E"/>
    <w:rsid w:val="009E4911"/>
    <w:rsid w:val="009E4979"/>
    <w:rsid w:val="009E4AC1"/>
    <w:rsid w:val="009E4BAB"/>
    <w:rsid w:val="009E4D08"/>
    <w:rsid w:val="009E4D40"/>
    <w:rsid w:val="009E4ED8"/>
    <w:rsid w:val="009E504B"/>
    <w:rsid w:val="009E522A"/>
    <w:rsid w:val="009E54AE"/>
    <w:rsid w:val="009E5553"/>
    <w:rsid w:val="009E58A7"/>
    <w:rsid w:val="009E59AF"/>
    <w:rsid w:val="009E5A2A"/>
    <w:rsid w:val="009E5C38"/>
    <w:rsid w:val="009E5EF6"/>
    <w:rsid w:val="009E5F10"/>
    <w:rsid w:val="009E5FDE"/>
    <w:rsid w:val="009E61E5"/>
    <w:rsid w:val="009E61F2"/>
    <w:rsid w:val="009E6358"/>
    <w:rsid w:val="009E6545"/>
    <w:rsid w:val="009E674F"/>
    <w:rsid w:val="009E68E0"/>
    <w:rsid w:val="009E6A27"/>
    <w:rsid w:val="009E71EA"/>
    <w:rsid w:val="009E7311"/>
    <w:rsid w:val="009E74C7"/>
    <w:rsid w:val="009E754E"/>
    <w:rsid w:val="009E76F9"/>
    <w:rsid w:val="009E7905"/>
    <w:rsid w:val="009E7A14"/>
    <w:rsid w:val="009E7EE6"/>
    <w:rsid w:val="009F006F"/>
    <w:rsid w:val="009F0509"/>
    <w:rsid w:val="009F079E"/>
    <w:rsid w:val="009F07C1"/>
    <w:rsid w:val="009F0A71"/>
    <w:rsid w:val="009F0C4C"/>
    <w:rsid w:val="009F124B"/>
    <w:rsid w:val="009F125B"/>
    <w:rsid w:val="009F1644"/>
    <w:rsid w:val="009F1691"/>
    <w:rsid w:val="009F1A6E"/>
    <w:rsid w:val="009F1BFC"/>
    <w:rsid w:val="009F1BFF"/>
    <w:rsid w:val="009F1E1B"/>
    <w:rsid w:val="009F1E38"/>
    <w:rsid w:val="009F1FD8"/>
    <w:rsid w:val="009F20F3"/>
    <w:rsid w:val="009F219D"/>
    <w:rsid w:val="009F24F2"/>
    <w:rsid w:val="009F25CF"/>
    <w:rsid w:val="009F27C3"/>
    <w:rsid w:val="009F2919"/>
    <w:rsid w:val="009F2C08"/>
    <w:rsid w:val="009F3184"/>
    <w:rsid w:val="009F3621"/>
    <w:rsid w:val="009F3653"/>
    <w:rsid w:val="009F3F2B"/>
    <w:rsid w:val="009F3F5D"/>
    <w:rsid w:val="009F3FEC"/>
    <w:rsid w:val="009F400F"/>
    <w:rsid w:val="009F406B"/>
    <w:rsid w:val="009F41B9"/>
    <w:rsid w:val="009F42D5"/>
    <w:rsid w:val="009F4346"/>
    <w:rsid w:val="009F44BC"/>
    <w:rsid w:val="009F4604"/>
    <w:rsid w:val="009F468A"/>
    <w:rsid w:val="009F46A1"/>
    <w:rsid w:val="009F47D0"/>
    <w:rsid w:val="009F4832"/>
    <w:rsid w:val="009F48EB"/>
    <w:rsid w:val="009F4910"/>
    <w:rsid w:val="009F4976"/>
    <w:rsid w:val="009F49B7"/>
    <w:rsid w:val="009F4A1A"/>
    <w:rsid w:val="009F4BA0"/>
    <w:rsid w:val="009F5001"/>
    <w:rsid w:val="009F50FE"/>
    <w:rsid w:val="009F51C8"/>
    <w:rsid w:val="009F5267"/>
    <w:rsid w:val="009F561D"/>
    <w:rsid w:val="009F56C5"/>
    <w:rsid w:val="009F5A86"/>
    <w:rsid w:val="009F5EB6"/>
    <w:rsid w:val="009F5F25"/>
    <w:rsid w:val="009F602E"/>
    <w:rsid w:val="009F6049"/>
    <w:rsid w:val="009F6062"/>
    <w:rsid w:val="009F6242"/>
    <w:rsid w:val="009F632B"/>
    <w:rsid w:val="009F640B"/>
    <w:rsid w:val="009F64C7"/>
    <w:rsid w:val="009F67F6"/>
    <w:rsid w:val="009F772E"/>
    <w:rsid w:val="009F77E2"/>
    <w:rsid w:val="009F78AA"/>
    <w:rsid w:val="009F7925"/>
    <w:rsid w:val="009F79A3"/>
    <w:rsid w:val="009F7B3E"/>
    <w:rsid w:val="009F7B4B"/>
    <w:rsid w:val="009F7F1E"/>
    <w:rsid w:val="009F7FFC"/>
    <w:rsid w:val="00A005A0"/>
    <w:rsid w:val="00A007C6"/>
    <w:rsid w:val="00A007C9"/>
    <w:rsid w:val="00A009A2"/>
    <w:rsid w:val="00A00D46"/>
    <w:rsid w:val="00A00FB5"/>
    <w:rsid w:val="00A01002"/>
    <w:rsid w:val="00A013E1"/>
    <w:rsid w:val="00A014D9"/>
    <w:rsid w:val="00A014FD"/>
    <w:rsid w:val="00A016EB"/>
    <w:rsid w:val="00A01D76"/>
    <w:rsid w:val="00A01F3B"/>
    <w:rsid w:val="00A0207D"/>
    <w:rsid w:val="00A02207"/>
    <w:rsid w:val="00A0266E"/>
    <w:rsid w:val="00A028E4"/>
    <w:rsid w:val="00A029DA"/>
    <w:rsid w:val="00A02C9D"/>
    <w:rsid w:val="00A02CA6"/>
    <w:rsid w:val="00A02CF5"/>
    <w:rsid w:val="00A0302E"/>
    <w:rsid w:val="00A03149"/>
    <w:rsid w:val="00A0318C"/>
    <w:rsid w:val="00A031F6"/>
    <w:rsid w:val="00A03643"/>
    <w:rsid w:val="00A0370E"/>
    <w:rsid w:val="00A03E3C"/>
    <w:rsid w:val="00A03F71"/>
    <w:rsid w:val="00A04021"/>
    <w:rsid w:val="00A04456"/>
    <w:rsid w:val="00A045A6"/>
    <w:rsid w:val="00A04688"/>
    <w:rsid w:val="00A048EB"/>
    <w:rsid w:val="00A04B9F"/>
    <w:rsid w:val="00A04C24"/>
    <w:rsid w:val="00A04F51"/>
    <w:rsid w:val="00A050AF"/>
    <w:rsid w:val="00A05100"/>
    <w:rsid w:val="00A05149"/>
    <w:rsid w:val="00A0519F"/>
    <w:rsid w:val="00A051DD"/>
    <w:rsid w:val="00A05233"/>
    <w:rsid w:val="00A0527B"/>
    <w:rsid w:val="00A053AF"/>
    <w:rsid w:val="00A054FF"/>
    <w:rsid w:val="00A0583B"/>
    <w:rsid w:val="00A05C69"/>
    <w:rsid w:val="00A05E27"/>
    <w:rsid w:val="00A05F66"/>
    <w:rsid w:val="00A05F81"/>
    <w:rsid w:val="00A0609D"/>
    <w:rsid w:val="00A062B3"/>
    <w:rsid w:val="00A066D1"/>
    <w:rsid w:val="00A067AF"/>
    <w:rsid w:val="00A06887"/>
    <w:rsid w:val="00A06997"/>
    <w:rsid w:val="00A06C7B"/>
    <w:rsid w:val="00A06D90"/>
    <w:rsid w:val="00A06DE0"/>
    <w:rsid w:val="00A07419"/>
    <w:rsid w:val="00A07736"/>
    <w:rsid w:val="00A07878"/>
    <w:rsid w:val="00A078E0"/>
    <w:rsid w:val="00A079C9"/>
    <w:rsid w:val="00A07A9B"/>
    <w:rsid w:val="00A07AAD"/>
    <w:rsid w:val="00A07D67"/>
    <w:rsid w:val="00A07DAB"/>
    <w:rsid w:val="00A07EFA"/>
    <w:rsid w:val="00A104A1"/>
    <w:rsid w:val="00A10537"/>
    <w:rsid w:val="00A1054A"/>
    <w:rsid w:val="00A1065B"/>
    <w:rsid w:val="00A1066F"/>
    <w:rsid w:val="00A109AC"/>
    <w:rsid w:val="00A109B6"/>
    <w:rsid w:val="00A10A3E"/>
    <w:rsid w:val="00A10BE7"/>
    <w:rsid w:val="00A10C28"/>
    <w:rsid w:val="00A10CCA"/>
    <w:rsid w:val="00A10D9F"/>
    <w:rsid w:val="00A1161D"/>
    <w:rsid w:val="00A11647"/>
    <w:rsid w:val="00A11EC7"/>
    <w:rsid w:val="00A11FF4"/>
    <w:rsid w:val="00A12168"/>
    <w:rsid w:val="00A121EC"/>
    <w:rsid w:val="00A12335"/>
    <w:rsid w:val="00A1264C"/>
    <w:rsid w:val="00A12685"/>
    <w:rsid w:val="00A12CA1"/>
    <w:rsid w:val="00A12E9A"/>
    <w:rsid w:val="00A130BD"/>
    <w:rsid w:val="00A133B5"/>
    <w:rsid w:val="00A134C6"/>
    <w:rsid w:val="00A134F1"/>
    <w:rsid w:val="00A13510"/>
    <w:rsid w:val="00A13A29"/>
    <w:rsid w:val="00A13AAC"/>
    <w:rsid w:val="00A13B08"/>
    <w:rsid w:val="00A13DFB"/>
    <w:rsid w:val="00A13F48"/>
    <w:rsid w:val="00A14085"/>
    <w:rsid w:val="00A14251"/>
    <w:rsid w:val="00A14260"/>
    <w:rsid w:val="00A142EB"/>
    <w:rsid w:val="00A146DC"/>
    <w:rsid w:val="00A14812"/>
    <w:rsid w:val="00A14A59"/>
    <w:rsid w:val="00A14AD9"/>
    <w:rsid w:val="00A14AE3"/>
    <w:rsid w:val="00A14B5C"/>
    <w:rsid w:val="00A14B63"/>
    <w:rsid w:val="00A14E1D"/>
    <w:rsid w:val="00A15462"/>
    <w:rsid w:val="00A1605F"/>
    <w:rsid w:val="00A161D1"/>
    <w:rsid w:val="00A16258"/>
    <w:rsid w:val="00A1637F"/>
    <w:rsid w:val="00A16D99"/>
    <w:rsid w:val="00A16E07"/>
    <w:rsid w:val="00A1722D"/>
    <w:rsid w:val="00A17967"/>
    <w:rsid w:val="00A17BCA"/>
    <w:rsid w:val="00A17E48"/>
    <w:rsid w:val="00A20002"/>
    <w:rsid w:val="00A2011D"/>
    <w:rsid w:val="00A202C8"/>
    <w:rsid w:val="00A20335"/>
    <w:rsid w:val="00A2039B"/>
    <w:rsid w:val="00A2079D"/>
    <w:rsid w:val="00A20FDA"/>
    <w:rsid w:val="00A216ED"/>
    <w:rsid w:val="00A21724"/>
    <w:rsid w:val="00A218CB"/>
    <w:rsid w:val="00A219D1"/>
    <w:rsid w:val="00A21A51"/>
    <w:rsid w:val="00A21B6D"/>
    <w:rsid w:val="00A21C84"/>
    <w:rsid w:val="00A21FBF"/>
    <w:rsid w:val="00A21FD5"/>
    <w:rsid w:val="00A2258E"/>
    <w:rsid w:val="00A2271F"/>
    <w:rsid w:val="00A22754"/>
    <w:rsid w:val="00A227CC"/>
    <w:rsid w:val="00A22B3E"/>
    <w:rsid w:val="00A232F5"/>
    <w:rsid w:val="00A23561"/>
    <w:rsid w:val="00A2381F"/>
    <w:rsid w:val="00A23AA5"/>
    <w:rsid w:val="00A23E37"/>
    <w:rsid w:val="00A23ECD"/>
    <w:rsid w:val="00A23FE4"/>
    <w:rsid w:val="00A24057"/>
    <w:rsid w:val="00A24077"/>
    <w:rsid w:val="00A241F9"/>
    <w:rsid w:val="00A24383"/>
    <w:rsid w:val="00A24469"/>
    <w:rsid w:val="00A244B6"/>
    <w:rsid w:val="00A24546"/>
    <w:rsid w:val="00A246AB"/>
    <w:rsid w:val="00A24B62"/>
    <w:rsid w:val="00A24D62"/>
    <w:rsid w:val="00A24F0F"/>
    <w:rsid w:val="00A24FEA"/>
    <w:rsid w:val="00A25072"/>
    <w:rsid w:val="00A254A9"/>
    <w:rsid w:val="00A258B5"/>
    <w:rsid w:val="00A25A3E"/>
    <w:rsid w:val="00A26043"/>
    <w:rsid w:val="00A2613D"/>
    <w:rsid w:val="00A26151"/>
    <w:rsid w:val="00A26191"/>
    <w:rsid w:val="00A261FD"/>
    <w:rsid w:val="00A2624B"/>
    <w:rsid w:val="00A262B8"/>
    <w:rsid w:val="00A26354"/>
    <w:rsid w:val="00A26519"/>
    <w:rsid w:val="00A26641"/>
    <w:rsid w:val="00A266D0"/>
    <w:rsid w:val="00A2686A"/>
    <w:rsid w:val="00A26AD8"/>
    <w:rsid w:val="00A26C3F"/>
    <w:rsid w:val="00A26F54"/>
    <w:rsid w:val="00A272F0"/>
    <w:rsid w:val="00A27332"/>
    <w:rsid w:val="00A2742B"/>
    <w:rsid w:val="00A27636"/>
    <w:rsid w:val="00A278BC"/>
    <w:rsid w:val="00A27BC6"/>
    <w:rsid w:val="00A301E3"/>
    <w:rsid w:val="00A302B6"/>
    <w:rsid w:val="00A30438"/>
    <w:rsid w:val="00A30A4D"/>
    <w:rsid w:val="00A30C05"/>
    <w:rsid w:val="00A30C3C"/>
    <w:rsid w:val="00A30D30"/>
    <w:rsid w:val="00A30F81"/>
    <w:rsid w:val="00A30FE9"/>
    <w:rsid w:val="00A310F6"/>
    <w:rsid w:val="00A31324"/>
    <w:rsid w:val="00A31345"/>
    <w:rsid w:val="00A31528"/>
    <w:rsid w:val="00A3175E"/>
    <w:rsid w:val="00A318F5"/>
    <w:rsid w:val="00A3198B"/>
    <w:rsid w:val="00A319D3"/>
    <w:rsid w:val="00A31B43"/>
    <w:rsid w:val="00A31BAD"/>
    <w:rsid w:val="00A31FC0"/>
    <w:rsid w:val="00A322A3"/>
    <w:rsid w:val="00A323E6"/>
    <w:rsid w:val="00A32405"/>
    <w:rsid w:val="00A32947"/>
    <w:rsid w:val="00A32A00"/>
    <w:rsid w:val="00A32A95"/>
    <w:rsid w:val="00A32C26"/>
    <w:rsid w:val="00A33217"/>
    <w:rsid w:val="00A3333B"/>
    <w:rsid w:val="00A334AE"/>
    <w:rsid w:val="00A33816"/>
    <w:rsid w:val="00A33EBD"/>
    <w:rsid w:val="00A33EF7"/>
    <w:rsid w:val="00A33FBD"/>
    <w:rsid w:val="00A340EB"/>
    <w:rsid w:val="00A340EE"/>
    <w:rsid w:val="00A341F9"/>
    <w:rsid w:val="00A34438"/>
    <w:rsid w:val="00A346C7"/>
    <w:rsid w:val="00A346D2"/>
    <w:rsid w:val="00A349AF"/>
    <w:rsid w:val="00A34D86"/>
    <w:rsid w:val="00A34DF4"/>
    <w:rsid w:val="00A34E9F"/>
    <w:rsid w:val="00A35175"/>
    <w:rsid w:val="00A35625"/>
    <w:rsid w:val="00A35683"/>
    <w:rsid w:val="00A35714"/>
    <w:rsid w:val="00A3586D"/>
    <w:rsid w:val="00A358FC"/>
    <w:rsid w:val="00A3591C"/>
    <w:rsid w:val="00A35FBC"/>
    <w:rsid w:val="00A36138"/>
    <w:rsid w:val="00A3619B"/>
    <w:rsid w:val="00A3627B"/>
    <w:rsid w:val="00A362A4"/>
    <w:rsid w:val="00A3643B"/>
    <w:rsid w:val="00A36726"/>
    <w:rsid w:val="00A36AF9"/>
    <w:rsid w:val="00A36BA2"/>
    <w:rsid w:val="00A36EF7"/>
    <w:rsid w:val="00A37032"/>
    <w:rsid w:val="00A375C5"/>
    <w:rsid w:val="00A3776F"/>
    <w:rsid w:val="00A37779"/>
    <w:rsid w:val="00A377B0"/>
    <w:rsid w:val="00A37A01"/>
    <w:rsid w:val="00A37B41"/>
    <w:rsid w:val="00A37C02"/>
    <w:rsid w:val="00A37F60"/>
    <w:rsid w:val="00A37F69"/>
    <w:rsid w:val="00A4003D"/>
    <w:rsid w:val="00A40084"/>
    <w:rsid w:val="00A400AB"/>
    <w:rsid w:val="00A40454"/>
    <w:rsid w:val="00A40615"/>
    <w:rsid w:val="00A406E4"/>
    <w:rsid w:val="00A408BF"/>
    <w:rsid w:val="00A40917"/>
    <w:rsid w:val="00A40AB3"/>
    <w:rsid w:val="00A40B30"/>
    <w:rsid w:val="00A40D50"/>
    <w:rsid w:val="00A40E62"/>
    <w:rsid w:val="00A41082"/>
    <w:rsid w:val="00A410A5"/>
    <w:rsid w:val="00A416E7"/>
    <w:rsid w:val="00A41931"/>
    <w:rsid w:val="00A41F33"/>
    <w:rsid w:val="00A4206A"/>
    <w:rsid w:val="00A42339"/>
    <w:rsid w:val="00A42524"/>
    <w:rsid w:val="00A426BD"/>
    <w:rsid w:val="00A427CA"/>
    <w:rsid w:val="00A429FC"/>
    <w:rsid w:val="00A42BF8"/>
    <w:rsid w:val="00A42C09"/>
    <w:rsid w:val="00A430DC"/>
    <w:rsid w:val="00A433AA"/>
    <w:rsid w:val="00A43464"/>
    <w:rsid w:val="00A4346C"/>
    <w:rsid w:val="00A43548"/>
    <w:rsid w:val="00A43654"/>
    <w:rsid w:val="00A43770"/>
    <w:rsid w:val="00A43808"/>
    <w:rsid w:val="00A439A6"/>
    <w:rsid w:val="00A44016"/>
    <w:rsid w:val="00A441BB"/>
    <w:rsid w:val="00A443DA"/>
    <w:rsid w:val="00A44616"/>
    <w:rsid w:val="00A44A35"/>
    <w:rsid w:val="00A44E2E"/>
    <w:rsid w:val="00A4548E"/>
    <w:rsid w:val="00A457B3"/>
    <w:rsid w:val="00A457F1"/>
    <w:rsid w:val="00A45C89"/>
    <w:rsid w:val="00A45CE0"/>
    <w:rsid w:val="00A46130"/>
    <w:rsid w:val="00A46345"/>
    <w:rsid w:val="00A4639F"/>
    <w:rsid w:val="00A46D9E"/>
    <w:rsid w:val="00A46E58"/>
    <w:rsid w:val="00A46E5F"/>
    <w:rsid w:val="00A46F73"/>
    <w:rsid w:val="00A47478"/>
    <w:rsid w:val="00A47801"/>
    <w:rsid w:val="00A47889"/>
    <w:rsid w:val="00A505D6"/>
    <w:rsid w:val="00A50610"/>
    <w:rsid w:val="00A50638"/>
    <w:rsid w:val="00A50779"/>
    <w:rsid w:val="00A507B5"/>
    <w:rsid w:val="00A509D7"/>
    <w:rsid w:val="00A50A09"/>
    <w:rsid w:val="00A50A98"/>
    <w:rsid w:val="00A50CB2"/>
    <w:rsid w:val="00A50DBE"/>
    <w:rsid w:val="00A50EFF"/>
    <w:rsid w:val="00A510E4"/>
    <w:rsid w:val="00A51122"/>
    <w:rsid w:val="00A51148"/>
    <w:rsid w:val="00A514BF"/>
    <w:rsid w:val="00A51A32"/>
    <w:rsid w:val="00A51A61"/>
    <w:rsid w:val="00A51BCA"/>
    <w:rsid w:val="00A51DE0"/>
    <w:rsid w:val="00A51EE0"/>
    <w:rsid w:val="00A52198"/>
    <w:rsid w:val="00A5222C"/>
    <w:rsid w:val="00A52665"/>
    <w:rsid w:val="00A5278B"/>
    <w:rsid w:val="00A527A6"/>
    <w:rsid w:val="00A52802"/>
    <w:rsid w:val="00A529B0"/>
    <w:rsid w:val="00A52BAA"/>
    <w:rsid w:val="00A52DDA"/>
    <w:rsid w:val="00A52E91"/>
    <w:rsid w:val="00A52EC0"/>
    <w:rsid w:val="00A52F62"/>
    <w:rsid w:val="00A52F6E"/>
    <w:rsid w:val="00A52FE9"/>
    <w:rsid w:val="00A5330F"/>
    <w:rsid w:val="00A534B1"/>
    <w:rsid w:val="00A53602"/>
    <w:rsid w:val="00A53BB6"/>
    <w:rsid w:val="00A53CF5"/>
    <w:rsid w:val="00A53FC8"/>
    <w:rsid w:val="00A54181"/>
    <w:rsid w:val="00A54727"/>
    <w:rsid w:val="00A54C1A"/>
    <w:rsid w:val="00A54C72"/>
    <w:rsid w:val="00A54D93"/>
    <w:rsid w:val="00A55200"/>
    <w:rsid w:val="00A55295"/>
    <w:rsid w:val="00A55613"/>
    <w:rsid w:val="00A55655"/>
    <w:rsid w:val="00A55872"/>
    <w:rsid w:val="00A558B7"/>
    <w:rsid w:val="00A55B46"/>
    <w:rsid w:val="00A55E9B"/>
    <w:rsid w:val="00A55FCA"/>
    <w:rsid w:val="00A560FC"/>
    <w:rsid w:val="00A56199"/>
    <w:rsid w:val="00A56495"/>
    <w:rsid w:val="00A56C41"/>
    <w:rsid w:val="00A56F76"/>
    <w:rsid w:val="00A57183"/>
    <w:rsid w:val="00A572A7"/>
    <w:rsid w:val="00A5737E"/>
    <w:rsid w:val="00A57B3A"/>
    <w:rsid w:val="00A57CBF"/>
    <w:rsid w:val="00A57CDA"/>
    <w:rsid w:val="00A57D3C"/>
    <w:rsid w:val="00A57F85"/>
    <w:rsid w:val="00A5B033"/>
    <w:rsid w:val="00A5F247"/>
    <w:rsid w:val="00A6040B"/>
    <w:rsid w:val="00A608C6"/>
    <w:rsid w:val="00A608D2"/>
    <w:rsid w:val="00A608F1"/>
    <w:rsid w:val="00A60B10"/>
    <w:rsid w:val="00A6101A"/>
    <w:rsid w:val="00A61312"/>
    <w:rsid w:val="00A614AA"/>
    <w:rsid w:val="00A6178E"/>
    <w:rsid w:val="00A61901"/>
    <w:rsid w:val="00A61DFC"/>
    <w:rsid w:val="00A61F55"/>
    <w:rsid w:val="00A61F74"/>
    <w:rsid w:val="00A61FE6"/>
    <w:rsid w:val="00A621A4"/>
    <w:rsid w:val="00A62274"/>
    <w:rsid w:val="00A6245B"/>
    <w:rsid w:val="00A62654"/>
    <w:rsid w:val="00A628E1"/>
    <w:rsid w:val="00A6292F"/>
    <w:rsid w:val="00A62AE8"/>
    <w:rsid w:val="00A62DBF"/>
    <w:rsid w:val="00A62E99"/>
    <w:rsid w:val="00A62F2F"/>
    <w:rsid w:val="00A632A6"/>
    <w:rsid w:val="00A63402"/>
    <w:rsid w:val="00A635CE"/>
    <w:rsid w:val="00A635E2"/>
    <w:rsid w:val="00A635F4"/>
    <w:rsid w:val="00A6368B"/>
    <w:rsid w:val="00A636FA"/>
    <w:rsid w:val="00A63765"/>
    <w:rsid w:val="00A63A01"/>
    <w:rsid w:val="00A63DDC"/>
    <w:rsid w:val="00A63FDF"/>
    <w:rsid w:val="00A64059"/>
    <w:rsid w:val="00A64268"/>
    <w:rsid w:val="00A64450"/>
    <w:rsid w:val="00A644BA"/>
    <w:rsid w:val="00A64CCB"/>
    <w:rsid w:val="00A64DC2"/>
    <w:rsid w:val="00A64E0D"/>
    <w:rsid w:val="00A64E43"/>
    <w:rsid w:val="00A64F0A"/>
    <w:rsid w:val="00A650AB"/>
    <w:rsid w:val="00A6511E"/>
    <w:rsid w:val="00A65284"/>
    <w:rsid w:val="00A65455"/>
    <w:rsid w:val="00A6561E"/>
    <w:rsid w:val="00A657B3"/>
    <w:rsid w:val="00A65820"/>
    <w:rsid w:val="00A65889"/>
    <w:rsid w:val="00A65996"/>
    <w:rsid w:val="00A65AAC"/>
    <w:rsid w:val="00A66009"/>
    <w:rsid w:val="00A66290"/>
    <w:rsid w:val="00A662CD"/>
    <w:rsid w:val="00A6632F"/>
    <w:rsid w:val="00A66397"/>
    <w:rsid w:val="00A66637"/>
    <w:rsid w:val="00A6684E"/>
    <w:rsid w:val="00A66AB3"/>
    <w:rsid w:val="00A66D30"/>
    <w:rsid w:val="00A66D31"/>
    <w:rsid w:val="00A66FF2"/>
    <w:rsid w:val="00A671E1"/>
    <w:rsid w:val="00A672A7"/>
    <w:rsid w:val="00A67396"/>
    <w:rsid w:val="00A6747D"/>
    <w:rsid w:val="00A674F5"/>
    <w:rsid w:val="00A67621"/>
    <w:rsid w:val="00A67640"/>
    <w:rsid w:val="00A67679"/>
    <w:rsid w:val="00A67684"/>
    <w:rsid w:val="00A676B6"/>
    <w:rsid w:val="00A67A7E"/>
    <w:rsid w:val="00A67E63"/>
    <w:rsid w:val="00A67F2A"/>
    <w:rsid w:val="00A67F6D"/>
    <w:rsid w:val="00A700E0"/>
    <w:rsid w:val="00A700ED"/>
    <w:rsid w:val="00A703DA"/>
    <w:rsid w:val="00A70409"/>
    <w:rsid w:val="00A70413"/>
    <w:rsid w:val="00A70551"/>
    <w:rsid w:val="00A706E9"/>
    <w:rsid w:val="00A70CD8"/>
    <w:rsid w:val="00A70DFE"/>
    <w:rsid w:val="00A70F70"/>
    <w:rsid w:val="00A710AF"/>
    <w:rsid w:val="00A711CE"/>
    <w:rsid w:val="00A71215"/>
    <w:rsid w:val="00A71475"/>
    <w:rsid w:val="00A71675"/>
    <w:rsid w:val="00A71BD8"/>
    <w:rsid w:val="00A72569"/>
    <w:rsid w:val="00A725D9"/>
    <w:rsid w:val="00A72638"/>
    <w:rsid w:val="00A72A70"/>
    <w:rsid w:val="00A72AB0"/>
    <w:rsid w:val="00A72C05"/>
    <w:rsid w:val="00A72DA5"/>
    <w:rsid w:val="00A72DE1"/>
    <w:rsid w:val="00A72E4F"/>
    <w:rsid w:val="00A73097"/>
    <w:rsid w:val="00A732A2"/>
    <w:rsid w:val="00A73437"/>
    <w:rsid w:val="00A7343D"/>
    <w:rsid w:val="00A739D8"/>
    <w:rsid w:val="00A73A40"/>
    <w:rsid w:val="00A73A44"/>
    <w:rsid w:val="00A73A8D"/>
    <w:rsid w:val="00A73EAF"/>
    <w:rsid w:val="00A73F4D"/>
    <w:rsid w:val="00A74053"/>
    <w:rsid w:val="00A741AB"/>
    <w:rsid w:val="00A747CD"/>
    <w:rsid w:val="00A749E1"/>
    <w:rsid w:val="00A749EA"/>
    <w:rsid w:val="00A74F54"/>
    <w:rsid w:val="00A7509A"/>
    <w:rsid w:val="00A75383"/>
    <w:rsid w:val="00A75576"/>
    <w:rsid w:val="00A7575A"/>
    <w:rsid w:val="00A758FD"/>
    <w:rsid w:val="00A75A24"/>
    <w:rsid w:val="00A75C32"/>
    <w:rsid w:val="00A75CF6"/>
    <w:rsid w:val="00A75E13"/>
    <w:rsid w:val="00A76254"/>
    <w:rsid w:val="00A7657D"/>
    <w:rsid w:val="00A76685"/>
    <w:rsid w:val="00A771EB"/>
    <w:rsid w:val="00A772A6"/>
    <w:rsid w:val="00A772C6"/>
    <w:rsid w:val="00A7737A"/>
    <w:rsid w:val="00A77478"/>
    <w:rsid w:val="00A775EF"/>
    <w:rsid w:val="00A77A93"/>
    <w:rsid w:val="00A77C7A"/>
    <w:rsid w:val="00A77E0C"/>
    <w:rsid w:val="00A800B8"/>
    <w:rsid w:val="00A8018E"/>
    <w:rsid w:val="00A8025A"/>
    <w:rsid w:val="00A8039A"/>
    <w:rsid w:val="00A8060F"/>
    <w:rsid w:val="00A8072D"/>
    <w:rsid w:val="00A80735"/>
    <w:rsid w:val="00A807A2"/>
    <w:rsid w:val="00A80F41"/>
    <w:rsid w:val="00A80FC9"/>
    <w:rsid w:val="00A8128B"/>
    <w:rsid w:val="00A8163F"/>
    <w:rsid w:val="00A8175C"/>
    <w:rsid w:val="00A8184A"/>
    <w:rsid w:val="00A81A43"/>
    <w:rsid w:val="00A81BC5"/>
    <w:rsid w:val="00A81D5E"/>
    <w:rsid w:val="00A81F68"/>
    <w:rsid w:val="00A821D6"/>
    <w:rsid w:val="00A821D9"/>
    <w:rsid w:val="00A82848"/>
    <w:rsid w:val="00A82B16"/>
    <w:rsid w:val="00A82F62"/>
    <w:rsid w:val="00A830BF"/>
    <w:rsid w:val="00A834BC"/>
    <w:rsid w:val="00A834F9"/>
    <w:rsid w:val="00A836C6"/>
    <w:rsid w:val="00A83826"/>
    <w:rsid w:val="00A838B2"/>
    <w:rsid w:val="00A83907"/>
    <w:rsid w:val="00A83B8D"/>
    <w:rsid w:val="00A83C18"/>
    <w:rsid w:val="00A841E9"/>
    <w:rsid w:val="00A84348"/>
    <w:rsid w:val="00A84918"/>
    <w:rsid w:val="00A8499A"/>
    <w:rsid w:val="00A84ADC"/>
    <w:rsid w:val="00A84BB3"/>
    <w:rsid w:val="00A84C0D"/>
    <w:rsid w:val="00A84C86"/>
    <w:rsid w:val="00A84CFC"/>
    <w:rsid w:val="00A84D99"/>
    <w:rsid w:val="00A84DBA"/>
    <w:rsid w:val="00A84EE2"/>
    <w:rsid w:val="00A84EE8"/>
    <w:rsid w:val="00A851AC"/>
    <w:rsid w:val="00A851DB"/>
    <w:rsid w:val="00A85271"/>
    <w:rsid w:val="00A854EB"/>
    <w:rsid w:val="00A8567A"/>
    <w:rsid w:val="00A859B1"/>
    <w:rsid w:val="00A85A37"/>
    <w:rsid w:val="00A85B73"/>
    <w:rsid w:val="00A85FF1"/>
    <w:rsid w:val="00A860C1"/>
    <w:rsid w:val="00A861EB"/>
    <w:rsid w:val="00A86349"/>
    <w:rsid w:val="00A8641C"/>
    <w:rsid w:val="00A86946"/>
    <w:rsid w:val="00A86AFD"/>
    <w:rsid w:val="00A86E10"/>
    <w:rsid w:val="00A8709E"/>
    <w:rsid w:val="00A87492"/>
    <w:rsid w:val="00A87565"/>
    <w:rsid w:val="00A8781D"/>
    <w:rsid w:val="00A878F8"/>
    <w:rsid w:val="00A87BE4"/>
    <w:rsid w:val="00A87EAB"/>
    <w:rsid w:val="00A9076E"/>
    <w:rsid w:val="00A90AF5"/>
    <w:rsid w:val="00A90CEC"/>
    <w:rsid w:val="00A90DB9"/>
    <w:rsid w:val="00A90FE0"/>
    <w:rsid w:val="00A911E4"/>
    <w:rsid w:val="00A912BE"/>
    <w:rsid w:val="00A91374"/>
    <w:rsid w:val="00A91395"/>
    <w:rsid w:val="00A913E7"/>
    <w:rsid w:val="00A91D36"/>
    <w:rsid w:val="00A91F9F"/>
    <w:rsid w:val="00A920F6"/>
    <w:rsid w:val="00A9211C"/>
    <w:rsid w:val="00A92196"/>
    <w:rsid w:val="00A9220C"/>
    <w:rsid w:val="00A9242D"/>
    <w:rsid w:val="00A924B3"/>
    <w:rsid w:val="00A924DF"/>
    <w:rsid w:val="00A929B4"/>
    <w:rsid w:val="00A92E10"/>
    <w:rsid w:val="00A92EB1"/>
    <w:rsid w:val="00A92F0C"/>
    <w:rsid w:val="00A92F2F"/>
    <w:rsid w:val="00A93346"/>
    <w:rsid w:val="00A9346A"/>
    <w:rsid w:val="00A934D9"/>
    <w:rsid w:val="00A934EE"/>
    <w:rsid w:val="00A93569"/>
    <w:rsid w:val="00A9356F"/>
    <w:rsid w:val="00A935FC"/>
    <w:rsid w:val="00A93797"/>
    <w:rsid w:val="00A93BBF"/>
    <w:rsid w:val="00A93E23"/>
    <w:rsid w:val="00A941DD"/>
    <w:rsid w:val="00A94361"/>
    <w:rsid w:val="00A9436C"/>
    <w:rsid w:val="00A94396"/>
    <w:rsid w:val="00A943C1"/>
    <w:rsid w:val="00A94417"/>
    <w:rsid w:val="00A944A9"/>
    <w:rsid w:val="00A944B3"/>
    <w:rsid w:val="00A9471F"/>
    <w:rsid w:val="00A94D45"/>
    <w:rsid w:val="00A94DAC"/>
    <w:rsid w:val="00A94F35"/>
    <w:rsid w:val="00A94F8D"/>
    <w:rsid w:val="00A9510E"/>
    <w:rsid w:val="00A9523E"/>
    <w:rsid w:val="00A9598A"/>
    <w:rsid w:val="00A95D2C"/>
    <w:rsid w:val="00A95E6D"/>
    <w:rsid w:val="00A95F71"/>
    <w:rsid w:val="00A96537"/>
    <w:rsid w:val="00A96612"/>
    <w:rsid w:val="00A968D0"/>
    <w:rsid w:val="00A96A40"/>
    <w:rsid w:val="00A96EC0"/>
    <w:rsid w:val="00A9707B"/>
    <w:rsid w:val="00A97264"/>
    <w:rsid w:val="00A9756A"/>
    <w:rsid w:val="00A979B2"/>
    <w:rsid w:val="00A979D6"/>
    <w:rsid w:val="00A979FB"/>
    <w:rsid w:val="00A97C0D"/>
    <w:rsid w:val="00AA0147"/>
    <w:rsid w:val="00AA01B2"/>
    <w:rsid w:val="00AA01B8"/>
    <w:rsid w:val="00AA0217"/>
    <w:rsid w:val="00AA02D7"/>
    <w:rsid w:val="00AA0395"/>
    <w:rsid w:val="00AA03AD"/>
    <w:rsid w:val="00AA041A"/>
    <w:rsid w:val="00AA04F1"/>
    <w:rsid w:val="00AA0559"/>
    <w:rsid w:val="00AA0623"/>
    <w:rsid w:val="00AA0799"/>
    <w:rsid w:val="00AA09B2"/>
    <w:rsid w:val="00AA0A58"/>
    <w:rsid w:val="00AA0B3D"/>
    <w:rsid w:val="00AA0DA7"/>
    <w:rsid w:val="00AA10D6"/>
    <w:rsid w:val="00AA157A"/>
    <w:rsid w:val="00AA15A0"/>
    <w:rsid w:val="00AA15B6"/>
    <w:rsid w:val="00AA15D3"/>
    <w:rsid w:val="00AA1781"/>
    <w:rsid w:val="00AA1866"/>
    <w:rsid w:val="00AA186F"/>
    <w:rsid w:val="00AA191E"/>
    <w:rsid w:val="00AA1960"/>
    <w:rsid w:val="00AA1977"/>
    <w:rsid w:val="00AA1A16"/>
    <w:rsid w:val="00AA1A49"/>
    <w:rsid w:val="00AA1B50"/>
    <w:rsid w:val="00AA2841"/>
    <w:rsid w:val="00AA28AE"/>
    <w:rsid w:val="00AA28B4"/>
    <w:rsid w:val="00AA2F67"/>
    <w:rsid w:val="00AA30DA"/>
    <w:rsid w:val="00AA314F"/>
    <w:rsid w:val="00AA378B"/>
    <w:rsid w:val="00AA3858"/>
    <w:rsid w:val="00AA4409"/>
    <w:rsid w:val="00AA454C"/>
    <w:rsid w:val="00AA48D0"/>
    <w:rsid w:val="00AA4B16"/>
    <w:rsid w:val="00AA4DBC"/>
    <w:rsid w:val="00AA5051"/>
    <w:rsid w:val="00AA5780"/>
    <w:rsid w:val="00AA5799"/>
    <w:rsid w:val="00AA5B0B"/>
    <w:rsid w:val="00AA5C1B"/>
    <w:rsid w:val="00AA6C2D"/>
    <w:rsid w:val="00AA6C51"/>
    <w:rsid w:val="00AA70F8"/>
    <w:rsid w:val="00AA7380"/>
    <w:rsid w:val="00AA742B"/>
    <w:rsid w:val="00AA7C94"/>
    <w:rsid w:val="00AAAE08"/>
    <w:rsid w:val="00AB01B0"/>
    <w:rsid w:val="00AB0670"/>
    <w:rsid w:val="00AB0869"/>
    <w:rsid w:val="00AB0C3E"/>
    <w:rsid w:val="00AB0DB8"/>
    <w:rsid w:val="00AB0F90"/>
    <w:rsid w:val="00AB135A"/>
    <w:rsid w:val="00AB1489"/>
    <w:rsid w:val="00AB16BC"/>
    <w:rsid w:val="00AB16CF"/>
    <w:rsid w:val="00AB1865"/>
    <w:rsid w:val="00AB1B15"/>
    <w:rsid w:val="00AB1B3A"/>
    <w:rsid w:val="00AB1CF0"/>
    <w:rsid w:val="00AB21EC"/>
    <w:rsid w:val="00AB2310"/>
    <w:rsid w:val="00AB24A2"/>
    <w:rsid w:val="00AB25E0"/>
    <w:rsid w:val="00AB2B05"/>
    <w:rsid w:val="00AB2B68"/>
    <w:rsid w:val="00AB2B89"/>
    <w:rsid w:val="00AB2DD3"/>
    <w:rsid w:val="00AB3086"/>
    <w:rsid w:val="00AB31EF"/>
    <w:rsid w:val="00AB37B8"/>
    <w:rsid w:val="00AB37BC"/>
    <w:rsid w:val="00AB3D64"/>
    <w:rsid w:val="00AB3DC1"/>
    <w:rsid w:val="00AB3F87"/>
    <w:rsid w:val="00AB4021"/>
    <w:rsid w:val="00AB47E2"/>
    <w:rsid w:val="00AB4EDA"/>
    <w:rsid w:val="00AB4F3E"/>
    <w:rsid w:val="00AB5CAD"/>
    <w:rsid w:val="00AB5FCE"/>
    <w:rsid w:val="00AB609B"/>
    <w:rsid w:val="00AB6658"/>
    <w:rsid w:val="00AB68D6"/>
    <w:rsid w:val="00AB6AD3"/>
    <w:rsid w:val="00AB6AFE"/>
    <w:rsid w:val="00AB6BE6"/>
    <w:rsid w:val="00AB6D21"/>
    <w:rsid w:val="00AB70C7"/>
    <w:rsid w:val="00AB72BC"/>
    <w:rsid w:val="00AB73D0"/>
    <w:rsid w:val="00AB764A"/>
    <w:rsid w:val="00AB7CEB"/>
    <w:rsid w:val="00AC0015"/>
    <w:rsid w:val="00AC01BC"/>
    <w:rsid w:val="00AC032E"/>
    <w:rsid w:val="00AC03DE"/>
    <w:rsid w:val="00AC0416"/>
    <w:rsid w:val="00AC0B4D"/>
    <w:rsid w:val="00AC0DFF"/>
    <w:rsid w:val="00AC1078"/>
    <w:rsid w:val="00AC1309"/>
    <w:rsid w:val="00AC16FC"/>
    <w:rsid w:val="00AC177F"/>
    <w:rsid w:val="00AC18CC"/>
    <w:rsid w:val="00AC19F1"/>
    <w:rsid w:val="00AC1ADE"/>
    <w:rsid w:val="00AC1F76"/>
    <w:rsid w:val="00AC1FD7"/>
    <w:rsid w:val="00AC25D6"/>
    <w:rsid w:val="00AC27FA"/>
    <w:rsid w:val="00AC28B6"/>
    <w:rsid w:val="00AC2958"/>
    <w:rsid w:val="00AC2A14"/>
    <w:rsid w:val="00AC2A20"/>
    <w:rsid w:val="00AC2B92"/>
    <w:rsid w:val="00AC2E35"/>
    <w:rsid w:val="00AC328A"/>
    <w:rsid w:val="00AC3358"/>
    <w:rsid w:val="00AC33C1"/>
    <w:rsid w:val="00AC346B"/>
    <w:rsid w:val="00AC3662"/>
    <w:rsid w:val="00AC370C"/>
    <w:rsid w:val="00AC3C20"/>
    <w:rsid w:val="00AC3C25"/>
    <w:rsid w:val="00AC4042"/>
    <w:rsid w:val="00AC406D"/>
    <w:rsid w:val="00AC4445"/>
    <w:rsid w:val="00AC46ED"/>
    <w:rsid w:val="00AC4705"/>
    <w:rsid w:val="00AC4741"/>
    <w:rsid w:val="00AC47DE"/>
    <w:rsid w:val="00AC48A4"/>
    <w:rsid w:val="00AC4F21"/>
    <w:rsid w:val="00AC4F47"/>
    <w:rsid w:val="00AC51A7"/>
    <w:rsid w:val="00AC522E"/>
    <w:rsid w:val="00AC5245"/>
    <w:rsid w:val="00AC540C"/>
    <w:rsid w:val="00AC54CB"/>
    <w:rsid w:val="00AC55D1"/>
    <w:rsid w:val="00AC55E6"/>
    <w:rsid w:val="00AC5A0B"/>
    <w:rsid w:val="00AC5BFB"/>
    <w:rsid w:val="00AC6190"/>
    <w:rsid w:val="00AC645F"/>
    <w:rsid w:val="00AC64E1"/>
    <w:rsid w:val="00AC65FB"/>
    <w:rsid w:val="00AC6888"/>
    <w:rsid w:val="00AC690B"/>
    <w:rsid w:val="00AC6B51"/>
    <w:rsid w:val="00AC70CB"/>
    <w:rsid w:val="00AC7271"/>
    <w:rsid w:val="00AC746A"/>
    <w:rsid w:val="00AC76A8"/>
    <w:rsid w:val="00AC76F4"/>
    <w:rsid w:val="00AC7A54"/>
    <w:rsid w:val="00AC7BFF"/>
    <w:rsid w:val="00AC7C10"/>
    <w:rsid w:val="00AC7D52"/>
    <w:rsid w:val="00ACD9CA"/>
    <w:rsid w:val="00AD0204"/>
    <w:rsid w:val="00AD0285"/>
    <w:rsid w:val="00AD035F"/>
    <w:rsid w:val="00AD0668"/>
    <w:rsid w:val="00AD06D5"/>
    <w:rsid w:val="00AD0834"/>
    <w:rsid w:val="00AD09E7"/>
    <w:rsid w:val="00AD0B89"/>
    <w:rsid w:val="00AD0E59"/>
    <w:rsid w:val="00AD1203"/>
    <w:rsid w:val="00AD1274"/>
    <w:rsid w:val="00AD1361"/>
    <w:rsid w:val="00AD138F"/>
    <w:rsid w:val="00AD1793"/>
    <w:rsid w:val="00AD17A2"/>
    <w:rsid w:val="00AD1A37"/>
    <w:rsid w:val="00AD1A46"/>
    <w:rsid w:val="00AD1B79"/>
    <w:rsid w:val="00AD1D5D"/>
    <w:rsid w:val="00AD1E8B"/>
    <w:rsid w:val="00AD1E8E"/>
    <w:rsid w:val="00AD2131"/>
    <w:rsid w:val="00AD213B"/>
    <w:rsid w:val="00AD23D4"/>
    <w:rsid w:val="00AD2478"/>
    <w:rsid w:val="00AD255A"/>
    <w:rsid w:val="00AD2672"/>
    <w:rsid w:val="00AD26C1"/>
    <w:rsid w:val="00AD29E0"/>
    <w:rsid w:val="00AD2B44"/>
    <w:rsid w:val="00AD2DC1"/>
    <w:rsid w:val="00AD2F92"/>
    <w:rsid w:val="00AD31E3"/>
    <w:rsid w:val="00AD3398"/>
    <w:rsid w:val="00AD3405"/>
    <w:rsid w:val="00AD3751"/>
    <w:rsid w:val="00AD3843"/>
    <w:rsid w:val="00AD3895"/>
    <w:rsid w:val="00AD3A3D"/>
    <w:rsid w:val="00AD3C19"/>
    <w:rsid w:val="00AD3E6E"/>
    <w:rsid w:val="00AD41C2"/>
    <w:rsid w:val="00AD4447"/>
    <w:rsid w:val="00AD47A3"/>
    <w:rsid w:val="00AD4AB5"/>
    <w:rsid w:val="00AD4BC7"/>
    <w:rsid w:val="00AD4EFF"/>
    <w:rsid w:val="00AD50DA"/>
    <w:rsid w:val="00AD5114"/>
    <w:rsid w:val="00AD51D8"/>
    <w:rsid w:val="00AD5210"/>
    <w:rsid w:val="00AD5280"/>
    <w:rsid w:val="00AD54D7"/>
    <w:rsid w:val="00AD56CD"/>
    <w:rsid w:val="00AD58BE"/>
    <w:rsid w:val="00AD5929"/>
    <w:rsid w:val="00AD5933"/>
    <w:rsid w:val="00AD59C6"/>
    <w:rsid w:val="00AD5ACA"/>
    <w:rsid w:val="00AD5B0D"/>
    <w:rsid w:val="00AD5B93"/>
    <w:rsid w:val="00AD5ED7"/>
    <w:rsid w:val="00AD6252"/>
    <w:rsid w:val="00AD6270"/>
    <w:rsid w:val="00AD659C"/>
    <w:rsid w:val="00AD65B8"/>
    <w:rsid w:val="00AD6765"/>
    <w:rsid w:val="00AD679A"/>
    <w:rsid w:val="00AD6812"/>
    <w:rsid w:val="00AD6BB0"/>
    <w:rsid w:val="00AD6CC8"/>
    <w:rsid w:val="00AD6F56"/>
    <w:rsid w:val="00AD7421"/>
    <w:rsid w:val="00AD74A5"/>
    <w:rsid w:val="00AD7771"/>
    <w:rsid w:val="00AD7CB9"/>
    <w:rsid w:val="00AD7D66"/>
    <w:rsid w:val="00AD7D6F"/>
    <w:rsid w:val="00AD7F30"/>
    <w:rsid w:val="00AD7FCA"/>
    <w:rsid w:val="00AE00EE"/>
    <w:rsid w:val="00AE0118"/>
    <w:rsid w:val="00AE05BC"/>
    <w:rsid w:val="00AE0714"/>
    <w:rsid w:val="00AE0873"/>
    <w:rsid w:val="00AE0A01"/>
    <w:rsid w:val="00AE0A16"/>
    <w:rsid w:val="00AE0A63"/>
    <w:rsid w:val="00AE0FC1"/>
    <w:rsid w:val="00AE11ED"/>
    <w:rsid w:val="00AE1520"/>
    <w:rsid w:val="00AE1526"/>
    <w:rsid w:val="00AE16E4"/>
    <w:rsid w:val="00AE185C"/>
    <w:rsid w:val="00AE1C76"/>
    <w:rsid w:val="00AE1E5D"/>
    <w:rsid w:val="00AE25FB"/>
    <w:rsid w:val="00AE2889"/>
    <w:rsid w:val="00AE2AB6"/>
    <w:rsid w:val="00AE2CBC"/>
    <w:rsid w:val="00AE2D46"/>
    <w:rsid w:val="00AE2E09"/>
    <w:rsid w:val="00AE2F2A"/>
    <w:rsid w:val="00AE309E"/>
    <w:rsid w:val="00AE318F"/>
    <w:rsid w:val="00AE3507"/>
    <w:rsid w:val="00AE3811"/>
    <w:rsid w:val="00AE3907"/>
    <w:rsid w:val="00AE3B2E"/>
    <w:rsid w:val="00AE3BAE"/>
    <w:rsid w:val="00AE3C10"/>
    <w:rsid w:val="00AE3E46"/>
    <w:rsid w:val="00AE4B29"/>
    <w:rsid w:val="00AE4CC1"/>
    <w:rsid w:val="00AE4E03"/>
    <w:rsid w:val="00AE4EE5"/>
    <w:rsid w:val="00AE4FE2"/>
    <w:rsid w:val="00AE50B2"/>
    <w:rsid w:val="00AE5237"/>
    <w:rsid w:val="00AE5255"/>
    <w:rsid w:val="00AE5385"/>
    <w:rsid w:val="00AE5475"/>
    <w:rsid w:val="00AE5796"/>
    <w:rsid w:val="00AE5984"/>
    <w:rsid w:val="00AE5BC3"/>
    <w:rsid w:val="00AE604C"/>
    <w:rsid w:val="00AE60D1"/>
    <w:rsid w:val="00AE6524"/>
    <w:rsid w:val="00AE6559"/>
    <w:rsid w:val="00AE6782"/>
    <w:rsid w:val="00AE67FB"/>
    <w:rsid w:val="00AE696F"/>
    <w:rsid w:val="00AE6D2F"/>
    <w:rsid w:val="00AE7223"/>
    <w:rsid w:val="00AE764F"/>
    <w:rsid w:val="00AE777D"/>
    <w:rsid w:val="00AE7C03"/>
    <w:rsid w:val="00AE8B04"/>
    <w:rsid w:val="00AF0482"/>
    <w:rsid w:val="00AF0700"/>
    <w:rsid w:val="00AF0974"/>
    <w:rsid w:val="00AF0A26"/>
    <w:rsid w:val="00AF0AF6"/>
    <w:rsid w:val="00AF0C4F"/>
    <w:rsid w:val="00AF0F78"/>
    <w:rsid w:val="00AF0FD5"/>
    <w:rsid w:val="00AF1030"/>
    <w:rsid w:val="00AF11FA"/>
    <w:rsid w:val="00AF13BC"/>
    <w:rsid w:val="00AF14CC"/>
    <w:rsid w:val="00AF1567"/>
    <w:rsid w:val="00AF18A3"/>
    <w:rsid w:val="00AF19C7"/>
    <w:rsid w:val="00AF1C34"/>
    <w:rsid w:val="00AF1C5D"/>
    <w:rsid w:val="00AF1CB2"/>
    <w:rsid w:val="00AF1CFC"/>
    <w:rsid w:val="00AF226F"/>
    <w:rsid w:val="00AF22CB"/>
    <w:rsid w:val="00AF2B1E"/>
    <w:rsid w:val="00AF2DC9"/>
    <w:rsid w:val="00AF2EDC"/>
    <w:rsid w:val="00AF3410"/>
    <w:rsid w:val="00AF363E"/>
    <w:rsid w:val="00AF38B6"/>
    <w:rsid w:val="00AF38E7"/>
    <w:rsid w:val="00AF3967"/>
    <w:rsid w:val="00AF3E5E"/>
    <w:rsid w:val="00AF3F2C"/>
    <w:rsid w:val="00AF3F89"/>
    <w:rsid w:val="00AF4488"/>
    <w:rsid w:val="00AF455F"/>
    <w:rsid w:val="00AF493E"/>
    <w:rsid w:val="00AF49BB"/>
    <w:rsid w:val="00AF4A97"/>
    <w:rsid w:val="00AF4B91"/>
    <w:rsid w:val="00AF4E0E"/>
    <w:rsid w:val="00AF5552"/>
    <w:rsid w:val="00AF5591"/>
    <w:rsid w:val="00AF5792"/>
    <w:rsid w:val="00AF5847"/>
    <w:rsid w:val="00AF58C4"/>
    <w:rsid w:val="00AF59DA"/>
    <w:rsid w:val="00AF5C7A"/>
    <w:rsid w:val="00AF5FA5"/>
    <w:rsid w:val="00AF606D"/>
    <w:rsid w:val="00AF6177"/>
    <w:rsid w:val="00AF6305"/>
    <w:rsid w:val="00AF6539"/>
    <w:rsid w:val="00AF6675"/>
    <w:rsid w:val="00AF6746"/>
    <w:rsid w:val="00AF6944"/>
    <w:rsid w:val="00AF70E4"/>
    <w:rsid w:val="00AF72C2"/>
    <w:rsid w:val="00AF73E7"/>
    <w:rsid w:val="00AF74D4"/>
    <w:rsid w:val="00AF7734"/>
    <w:rsid w:val="00AF78B0"/>
    <w:rsid w:val="00AF7AA8"/>
    <w:rsid w:val="00AF7EC9"/>
    <w:rsid w:val="00AF7F50"/>
    <w:rsid w:val="00B000BE"/>
    <w:rsid w:val="00B0050C"/>
    <w:rsid w:val="00B005A2"/>
    <w:rsid w:val="00B00774"/>
    <w:rsid w:val="00B00852"/>
    <w:rsid w:val="00B00D30"/>
    <w:rsid w:val="00B00D9C"/>
    <w:rsid w:val="00B00E08"/>
    <w:rsid w:val="00B00EAA"/>
    <w:rsid w:val="00B0117B"/>
    <w:rsid w:val="00B013FF"/>
    <w:rsid w:val="00B014DD"/>
    <w:rsid w:val="00B01635"/>
    <w:rsid w:val="00B019B9"/>
    <w:rsid w:val="00B01A08"/>
    <w:rsid w:val="00B0226A"/>
    <w:rsid w:val="00B02436"/>
    <w:rsid w:val="00B02AB7"/>
    <w:rsid w:val="00B02CF9"/>
    <w:rsid w:val="00B02EB7"/>
    <w:rsid w:val="00B0318B"/>
    <w:rsid w:val="00B0347F"/>
    <w:rsid w:val="00B03BD8"/>
    <w:rsid w:val="00B03EC2"/>
    <w:rsid w:val="00B04361"/>
    <w:rsid w:val="00B0446F"/>
    <w:rsid w:val="00B044DB"/>
    <w:rsid w:val="00B0466A"/>
    <w:rsid w:val="00B04801"/>
    <w:rsid w:val="00B0483F"/>
    <w:rsid w:val="00B049BC"/>
    <w:rsid w:val="00B04A98"/>
    <w:rsid w:val="00B04B2C"/>
    <w:rsid w:val="00B04B8C"/>
    <w:rsid w:val="00B04D00"/>
    <w:rsid w:val="00B04D85"/>
    <w:rsid w:val="00B04DC2"/>
    <w:rsid w:val="00B04F31"/>
    <w:rsid w:val="00B04F40"/>
    <w:rsid w:val="00B04FFC"/>
    <w:rsid w:val="00B0502C"/>
    <w:rsid w:val="00B051B1"/>
    <w:rsid w:val="00B052A4"/>
    <w:rsid w:val="00B052C1"/>
    <w:rsid w:val="00B05305"/>
    <w:rsid w:val="00B055B0"/>
    <w:rsid w:val="00B057C8"/>
    <w:rsid w:val="00B05859"/>
    <w:rsid w:val="00B05BC2"/>
    <w:rsid w:val="00B05E2E"/>
    <w:rsid w:val="00B06042"/>
    <w:rsid w:val="00B0619E"/>
    <w:rsid w:val="00B061D1"/>
    <w:rsid w:val="00B065D7"/>
    <w:rsid w:val="00B06706"/>
    <w:rsid w:val="00B0670E"/>
    <w:rsid w:val="00B06830"/>
    <w:rsid w:val="00B06850"/>
    <w:rsid w:val="00B06B21"/>
    <w:rsid w:val="00B0704D"/>
    <w:rsid w:val="00B070FD"/>
    <w:rsid w:val="00B0716F"/>
    <w:rsid w:val="00B073B1"/>
    <w:rsid w:val="00B07656"/>
    <w:rsid w:val="00B07AAE"/>
    <w:rsid w:val="00B07BAE"/>
    <w:rsid w:val="00B07F19"/>
    <w:rsid w:val="00B104DE"/>
    <w:rsid w:val="00B10AE6"/>
    <w:rsid w:val="00B10C2B"/>
    <w:rsid w:val="00B10C60"/>
    <w:rsid w:val="00B111AB"/>
    <w:rsid w:val="00B11336"/>
    <w:rsid w:val="00B11726"/>
    <w:rsid w:val="00B118AB"/>
    <w:rsid w:val="00B11A5F"/>
    <w:rsid w:val="00B11C2E"/>
    <w:rsid w:val="00B11CE6"/>
    <w:rsid w:val="00B11ED7"/>
    <w:rsid w:val="00B11F63"/>
    <w:rsid w:val="00B11FE9"/>
    <w:rsid w:val="00B12026"/>
    <w:rsid w:val="00B1226E"/>
    <w:rsid w:val="00B122A9"/>
    <w:rsid w:val="00B1232A"/>
    <w:rsid w:val="00B123C4"/>
    <w:rsid w:val="00B123F1"/>
    <w:rsid w:val="00B126DC"/>
    <w:rsid w:val="00B12900"/>
    <w:rsid w:val="00B12B56"/>
    <w:rsid w:val="00B12DBC"/>
    <w:rsid w:val="00B12E17"/>
    <w:rsid w:val="00B12F85"/>
    <w:rsid w:val="00B13149"/>
    <w:rsid w:val="00B1343B"/>
    <w:rsid w:val="00B13581"/>
    <w:rsid w:val="00B13623"/>
    <w:rsid w:val="00B13A03"/>
    <w:rsid w:val="00B14563"/>
    <w:rsid w:val="00B14625"/>
    <w:rsid w:val="00B147C3"/>
    <w:rsid w:val="00B148D3"/>
    <w:rsid w:val="00B1492E"/>
    <w:rsid w:val="00B14BF3"/>
    <w:rsid w:val="00B14F53"/>
    <w:rsid w:val="00B153BD"/>
    <w:rsid w:val="00B1579F"/>
    <w:rsid w:val="00B158E8"/>
    <w:rsid w:val="00B15948"/>
    <w:rsid w:val="00B15952"/>
    <w:rsid w:val="00B15B2C"/>
    <w:rsid w:val="00B15CA7"/>
    <w:rsid w:val="00B15D9D"/>
    <w:rsid w:val="00B15E73"/>
    <w:rsid w:val="00B15F72"/>
    <w:rsid w:val="00B16051"/>
    <w:rsid w:val="00B16273"/>
    <w:rsid w:val="00B162B8"/>
    <w:rsid w:val="00B164AD"/>
    <w:rsid w:val="00B16932"/>
    <w:rsid w:val="00B1695C"/>
    <w:rsid w:val="00B169FB"/>
    <w:rsid w:val="00B16C06"/>
    <w:rsid w:val="00B16C14"/>
    <w:rsid w:val="00B16CAD"/>
    <w:rsid w:val="00B16E28"/>
    <w:rsid w:val="00B16E5C"/>
    <w:rsid w:val="00B16F8A"/>
    <w:rsid w:val="00B17768"/>
    <w:rsid w:val="00B178CF"/>
    <w:rsid w:val="00B1794A"/>
    <w:rsid w:val="00B17B7E"/>
    <w:rsid w:val="00B17BAF"/>
    <w:rsid w:val="00B17C00"/>
    <w:rsid w:val="00B17C2F"/>
    <w:rsid w:val="00B17E44"/>
    <w:rsid w:val="00B17F5A"/>
    <w:rsid w:val="00B201BE"/>
    <w:rsid w:val="00B20549"/>
    <w:rsid w:val="00B20B7C"/>
    <w:rsid w:val="00B20DC2"/>
    <w:rsid w:val="00B20F90"/>
    <w:rsid w:val="00B21290"/>
    <w:rsid w:val="00B21727"/>
    <w:rsid w:val="00B2187F"/>
    <w:rsid w:val="00B21C17"/>
    <w:rsid w:val="00B21E36"/>
    <w:rsid w:val="00B2236A"/>
    <w:rsid w:val="00B224F5"/>
    <w:rsid w:val="00B224F8"/>
    <w:rsid w:val="00B2252E"/>
    <w:rsid w:val="00B225C0"/>
    <w:rsid w:val="00B226AE"/>
    <w:rsid w:val="00B228F9"/>
    <w:rsid w:val="00B22B22"/>
    <w:rsid w:val="00B22E06"/>
    <w:rsid w:val="00B23103"/>
    <w:rsid w:val="00B23431"/>
    <w:rsid w:val="00B23470"/>
    <w:rsid w:val="00B2380B"/>
    <w:rsid w:val="00B239A1"/>
    <w:rsid w:val="00B23A86"/>
    <w:rsid w:val="00B23C73"/>
    <w:rsid w:val="00B23EA5"/>
    <w:rsid w:val="00B23F0D"/>
    <w:rsid w:val="00B2406D"/>
    <w:rsid w:val="00B240B0"/>
    <w:rsid w:val="00B24149"/>
    <w:rsid w:val="00B2425F"/>
    <w:rsid w:val="00B24260"/>
    <w:rsid w:val="00B247B8"/>
    <w:rsid w:val="00B24874"/>
    <w:rsid w:val="00B24D0F"/>
    <w:rsid w:val="00B24F35"/>
    <w:rsid w:val="00B25057"/>
    <w:rsid w:val="00B25104"/>
    <w:rsid w:val="00B253D0"/>
    <w:rsid w:val="00B25710"/>
    <w:rsid w:val="00B25808"/>
    <w:rsid w:val="00B25854"/>
    <w:rsid w:val="00B25905"/>
    <w:rsid w:val="00B259C9"/>
    <w:rsid w:val="00B25A87"/>
    <w:rsid w:val="00B25B04"/>
    <w:rsid w:val="00B25DC4"/>
    <w:rsid w:val="00B25F03"/>
    <w:rsid w:val="00B262E5"/>
    <w:rsid w:val="00B2643F"/>
    <w:rsid w:val="00B26561"/>
    <w:rsid w:val="00B269EA"/>
    <w:rsid w:val="00B26A42"/>
    <w:rsid w:val="00B27079"/>
    <w:rsid w:val="00B270B0"/>
    <w:rsid w:val="00B270F7"/>
    <w:rsid w:val="00B27533"/>
    <w:rsid w:val="00B275A4"/>
    <w:rsid w:val="00B278C8"/>
    <w:rsid w:val="00B27EE5"/>
    <w:rsid w:val="00B3002B"/>
    <w:rsid w:val="00B3006D"/>
    <w:rsid w:val="00B301EC"/>
    <w:rsid w:val="00B302E6"/>
    <w:rsid w:val="00B30374"/>
    <w:rsid w:val="00B303EB"/>
    <w:rsid w:val="00B30412"/>
    <w:rsid w:val="00B30767"/>
    <w:rsid w:val="00B307C0"/>
    <w:rsid w:val="00B307F4"/>
    <w:rsid w:val="00B30A39"/>
    <w:rsid w:val="00B30A90"/>
    <w:rsid w:val="00B30B2B"/>
    <w:rsid w:val="00B3101D"/>
    <w:rsid w:val="00B3133A"/>
    <w:rsid w:val="00B31490"/>
    <w:rsid w:val="00B31643"/>
    <w:rsid w:val="00B31656"/>
    <w:rsid w:val="00B321DA"/>
    <w:rsid w:val="00B32273"/>
    <w:rsid w:val="00B32279"/>
    <w:rsid w:val="00B3227D"/>
    <w:rsid w:val="00B325A0"/>
    <w:rsid w:val="00B3266D"/>
    <w:rsid w:val="00B32C3D"/>
    <w:rsid w:val="00B32C4C"/>
    <w:rsid w:val="00B330FB"/>
    <w:rsid w:val="00B33262"/>
    <w:rsid w:val="00B3351F"/>
    <w:rsid w:val="00B3352E"/>
    <w:rsid w:val="00B33749"/>
    <w:rsid w:val="00B33845"/>
    <w:rsid w:val="00B33919"/>
    <w:rsid w:val="00B33B08"/>
    <w:rsid w:val="00B33B7D"/>
    <w:rsid w:val="00B34167"/>
    <w:rsid w:val="00B342D2"/>
    <w:rsid w:val="00B3449A"/>
    <w:rsid w:val="00B34572"/>
    <w:rsid w:val="00B345A3"/>
    <w:rsid w:val="00B34DC5"/>
    <w:rsid w:val="00B34F98"/>
    <w:rsid w:val="00B3527F"/>
    <w:rsid w:val="00B3542B"/>
    <w:rsid w:val="00B355FA"/>
    <w:rsid w:val="00B357D1"/>
    <w:rsid w:val="00B357DB"/>
    <w:rsid w:val="00B358AE"/>
    <w:rsid w:val="00B35D48"/>
    <w:rsid w:val="00B3612F"/>
    <w:rsid w:val="00B362EA"/>
    <w:rsid w:val="00B366EE"/>
    <w:rsid w:val="00B36A3E"/>
    <w:rsid w:val="00B36B69"/>
    <w:rsid w:val="00B36F04"/>
    <w:rsid w:val="00B36F56"/>
    <w:rsid w:val="00B37013"/>
    <w:rsid w:val="00B370D1"/>
    <w:rsid w:val="00B37424"/>
    <w:rsid w:val="00B3782E"/>
    <w:rsid w:val="00B3783E"/>
    <w:rsid w:val="00B37840"/>
    <w:rsid w:val="00B379B6"/>
    <w:rsid w:val="00B37B14"/>
    <w:rsid w:val="00B37F9E"/>
    <w:rsid w:val="00B3ABA6"/>
    <w:rsid w:val="00B401BB"/>
    <w:rsid w:val="00B402AA"/>
    <w:rsid w:val="00B40779"/>
    <w:rsid w:val="00B40ACE"/>
    <w:rsid w:val="00B40B94"/>
    <w:rsid w:val="00B40CE2"/>
    <w:rsid w:val="00B40D5E"/>
    <w:rsid w:val="00B40ECD"/>
    <w:rsid w:val="00B40FFB"/>
    <w:rsid w:val="00B41571"/>
    <w:rsid w:val="00B415CB"/>
    <w:rsid w:val="00B41D5A"/>
    <w:rsid w:val="00B41FEB"/>
    <w:rsid w:val="00B42E74"/>
    <w:rsid w:val="00B434B2"/>
    <w:rsid w:val="00B4354F"/>
    <w:rsid w:val="00B436D2"/>
    <w:rsid w:val="00B437D0"/>
    <w:rsid w:val="00B4380A"/>
    <w:rsid w:val="00B438E9"/>
    <w:rsid w:val="00B43A54"/>
    <w:rsid w:val="00B43AD8"/>
    <w:rsid w:val="00B43BB6"/>
    <w:rsid w:val="00B43E39"/>
    <w:rsid w:val="00B444B1"/>
    <w:rsid w:val="00B44937"/>
    <w:rsid w:val="00B44AF3"/>
    <w:rsid w:val="00B44DF7"/>
    <w:rsid w:val="00B44EE6"/>
    <w:rsid w:val="00B44F16"/>
    <w:rsid w:val="00B452EA"/>
    <w:rsid w:val="00B453CD"/>
    <w:rsid w:val="00B45421"/>
    <w:rsid w:val="00B455B9"/>
    <w:rsid w:val="00B45CB8"/>
    <w:rsid w:val="00B45ED2"/>
    <w:rsid w:val="00B46105"/>
    <w:rsid w:val="00B4624A"/>
    <w:rsid w:val="00B46269"/>
    <w:rsid w:val="00B465D9"/>
    <w:rsid w:val="00B467C2"/>
    <w:rsid w:val="00B46874"/>
    <w:rsid w:val="00B468B9"/>
    <w:rsid w:val="00B4691C"/>
    <w:rsid w:val="00B46A5A"/>
    <w:rsid w:val="00B46AAA"/>
    <w:rsid w:val="00B46ACC"/>
    <w:rsid w:val="00B46D5F"/>
    <w:rsid w:val="00B4704D"/>
    <w:rsid w:val="00B47262"/>
    <w:rsid w:val="00B47272"/>
    <w:rsid w:val="00B4749D"/>
    <w:rsid w:val="00B477D6"/>
    <w:rsid w:val="00B4784F"/>
    <w:rsid w:val="00B47851"/>
    <w:rsid w:val="00B47B02"/>
    <w:rsid w:val="00B47B61"/>
    <w:rsid w:val="00B47D3C"/>
    <w:rsid w:val="00B47E90"/>
    <w:rsid w:val="00B47F7F"/>
    <w:rsid w:val="00B50094"/>
    <w:rsid w:val="00B50121"/>
    <w:rsid w:val="00B5035B"/>
    <w:rsid w:val="00B50532"/>
    <w:rsid w:val="00B5084B"/>
    <w:rsid w:val="00B50BDB"/>
    <w:rsid w:val="00B50C5B"/>
    <w:rsid w:val="00B50D84"/>
    <w:rsid w:val="00B512D4"/>
    <w:rsid w:val="00B51673"/>
    <w:rsid w:val="00B51765"/>
    <w:rsid w:val="00B5186C"/>
    <w:rsid w:val="00B51C11"/>
    <w:rsid w:val="00B51C22"/>
    <w:rsid w:val="00B51D20"/>
    <w:rsid w:val="00B51E10"/>
    <w:rsid w:val="00B520DC"/>
    <w:rsid w:val="00B52144"/>
    <w:rsid w:val="00B52322"/>
    <w:rsid w:val="00B52464"/>
    <w:rsid w:val="00B526FC"/>
    <w:rsid w:val="00B52AE0"/>
    <w:rsid w:val="00B52B1D"/>
    <w:rsid w:val="00B52DF2"/>
    <w:rsid w:val="00B5303A"/>
    <w:rsid w:val="00B53112"/>
    <w:rsid w:val="00B536BC"/>
    <w:rsid w:val="00B5379B"/>
    <w:rsid w:val="00B538D1"/>
    <w:rsid w:val="00B53961"/>
    <w:rsid w:val="00B53A1A"/>
    <w:rsid w:val="00B53BD5"/>
    <w:rsid w:val="00B53C42"/>
    <w:rsid w:val="00B5424B"/>
    <w:rsid w:val="00B546A1"/>
    <w:rsid w:val="00B54713"/>
    <w:rsid w:val="00B54796"/>
    <w:rsid w:val="00B54A7E"/>
    <w:rsid w:val="00B54B60"/>
    <w:rsid w:val="00B54BDB"/>
    <w:rsid w:val="00B55719"/>
    <w:rsid w:val="00B55906"/>
    <w:rsid w:val="00B5595C"/>
    <w:rsid w:val="00B55A96"/>
    <w:rsid w:val="00B55B9D"/>
    <w:rsid w:val="00B55C97"/>
    <w:rsid w:val="00B55D42"/>
    <w:rsid w:val="00B55D58"/>
    <w:rsid w:val="00B55F9C"/>
    <w:rsid w:val="00B56205"/>
    <w:rsid w:val="00B5648D"/>
    <w:rsid w:val="00B56512"/>
    <w:rsid w:val="00B566FD"/>
    <w:rsid w:val="00B570EF"/>
    <w:rsid w:val="00B572D2"/>
    <w:rsid w:val="00B574A9"/>
    <w:rsid w:val="00B57557"/>
    <w:rsid w:val="00B57672"/>
    <w:rsid w:val="00B57E9C"/>
    <w:rsid w:val="00B57FD0"/>
    <w:rsid w:val="00B60063"/>
    <w:rsid w:val="00B60150"/>
    <w:rsid w:val="00B60870"/>
    <w:rsid w:val="00B60B63"/>
    <w:rsid w:val="00B60CB4"/>
    <w:rsid w:val="00B610BC"/>
    <w:rsid w:val="00B611C9"/>
    <w:rsid w:val="00B611EA"/>
    <w:rsid w:val="00B6168E"/>
    <w:rsid w:val="00B619A4"/>
    <w:rsid w:val="00B619D4"/>
    <w:rsid w:val="00B61F44"/>
    <w:rsid w:val="00B620C0"/>
    <w:rsid w:val="00B62203"/>
    <w:rsid w:val="00B6243C"/>
    <w:rsid w:val="00B6279A"/>
    <w:rsid w:val="00B62AED"/>
    <w:rsid w:val="00B62C45"/>
    <w:rsid w:val="00B62E04"/>
    <w:rsid w:val="00B62EEC"/>
    <w:rsid w:val="00B630D5"/>
    <w:rsid w:val="00B637D5"/>
    <w:rsid w:val="00B638B1"/>
    <w:rsid w:val="00B639AC"/>
    <w:rsid w:val="00B63AD4"/>
    <w:rsid w:val="00B63CFA"/>
    <w:rsid w:val="00B63F94"/>
    <w:rsid w:val="00B640DC"/>
    <w:rsid w:val="00B641FA"/>
    <w:rsid w:val="00B64288"/>
    <w:rsid w:val="00B648D1"/>
    <w:rsid w:val="00B64A12"/>
    <w:rsid w:val="00B64B4B"/>
    <w:rsid w:val="00B651F8"/>
    <w:rsid w:val="00B652B4"/>
    <w:rsid w:val="00B6533B"/>
    <w:rsid w:val="00B65347"/>
    <w:rsid w:val="00B655F4"/>
    <w:rsid w:val="00B65697"/>
    <w:rsid w:val="00B6598F"/>
    <w:rsid w:val="00B65A07"/>
    <w:rsid w:val="00B65BFA"/>
    <w:rsid w:val="00B66008"/>
    <w:rsid w:val="00B66039"/>
    <w:rsid w:val="00B6618F"/>
    <w:rsid w:val="00B664BC"/>
    <w:rsid w:val="00B667C7"/>
    <w:rsid w:val="00B669EB"/>
    <w:rsid w:val="00B66A6C"/>
    <w:rsid w:val="00B67145"/>
    <w:rsid w:val="00B67384"/>
    <w:rsid w:val="00B67391"/>
    <w:rsid w:val="00B6756C"/>
    <w:rsid w:val="00B67A23"/>
    <w:rsid w:val="00B67E20"/>
    <w:rsid w:val="00B67EA5"/>
    <w:rsid w:val="00B70218"/>
    <w:rsid w:val="00B707C1"/>
    <w:rsid w:val="00B70940"/>
    <w:rsid w:val="00B70A22"/>
    <w:rsid w:val="00B70A2D"/>
    <w:rsid w:val="00B70C3C"/>
    <w:rsid w:val="00B71085"/>
    <w:rsid w:val="00B71103"/>
    <w:rsid w:val="00B71187"/>
    <w:rsid w:val="00B71553"/>
    <w:rsid w:val="00B71784"/>
    <w:rsid w:val="00B71A31"/>
    <w:rsid w:val="00B71B57"/>
    <w:rsid w:val="00B71CAD"/>
    <w:rsid w:val="00B722BF"/>
    <w:rsid w:val="00B725B4"/>
    <w:rsid w:val="00B728A6"/>
    <w:rsid w:val="00B72D34"/>
    <w:rsid w:val="00B72D47"/>
    <w:rsid w:val="00B72E24"/>
    <w:rsid w:val="00B72F34"/>
    <w:rsid w:val="00B72FD1"/>
    <w:rsid w:val="00B73303"/>
    <w:rsid w:val="00B7340C"/>
    <w:rsid w:val="00B7349C"/>
    <w:rsid w:val="00B736EF"/>
    <w:rsid w:val="00B73726"/>
    <w:rsid w:val="00B73A22"/>
    <w:rsid w:val="00B73A2B"/>
    <w:rsid w:val="00B73A7B"/>
    <w:rsid w:val="00B73B10"/>
    <w:rsid w:val="00B73D32"/>
    <w:rsid w:val="00B74401"/>
    <w:rsid w:val="00B744CD"/>
    <w:rsid w:val="00B74530"/>
    <w:rsid w:val="00B745E5"/>
    <w:rsid w:val="00B74870"/>
    <w:rsid w:val="00B74962"/>
    <w:rsid w:val="00B751BE"/>
    <w:rsid w:val="00B7523A"/>
    <w:rsid w:val="00B75427"/>
    <w:rsid w:val="00B75487"/>
    <w:rsid w:val="00B75675"/>
    <w:rsid w:val="00B75872"/>
    <w:rsid w:val="00B75C12"/>
    <w:rsid w:val="00B75C3E"/>
    <w:rsid w:val="00B75D90"/>
    <w:rsid w:val="00B76029"/>
    <w:rsid w:val="00B7618C"/>
    <w:rsid w:val="00B7629E"/>
    <w:rsid w:val="00B76352"/>
    <w:rsid w:val="00B763F0"/>
    <w:rsid w:val="00B76455"/>
    <w:rsid w:val="00B76678"/>
    <w:rsid w:val="00B76AF3"/>
    <w:rsid w:val="00B76CA5"/>
    <w:rsid w:val="00B771F1"/>
    <w:rsid w:val="00B7723A"/>
    <w:rsid w:val="00B773EB"/>
    <w:rsid w:val="00B775B7"/>
    <w:rsid w:val="00B77B15"/>
    <w:rsid w:val="00B77D23"/>
    <w:rsid w:val="00B77D43"/>
    <w:rsid w:val="00B802EA"/>
    <w:rsid w:val="00B8033F"/>
    <w:rsid w:val="00B8094E"/>
    <w:rsid w:val="00B809B7"/>
    <w:rsid w:val="00B809F0"/>
    <w:rsid w:val="00B80B7A"/>
    <w:rsid w:val="00B80D33"/>
    <w:rsid w:val="00B80D9C"/>
    <w:rsid w:val="00B80DA9"/>
    <w:rsid w:val="00B80EDD"/>
    <w:rsid w:val="00B80FD2"/>
    <w:rsid w:val="00B81105"/>
    <w:rsid w:val="00B811F3"/>
    <w:rsid w:val="00B8183C"/>
    <w:rsid w:val="00B8184C"/>
    <w:rsid w:val="00B81A52"/>
    <w:rsid w:val="00B81B6A"/>
    <w:rsid w:val="00B81D16"/>
    <w:rsid w:val="00B81DD5"/>
    <w:rsid w:val="00B81EC7"/>
    <w:rsid w:val="00B8203D"/>
    <w:rsid w:val="00B82184"/>
    <w:rsid w:val="00B82276"/>
    <w:rsid w:val="00B82464"/>
    <w:rsid w:val="00B82549"/>
    <w:rsid w:val="00B82670"/>
    <w:rsid w:val="00B828E6"/>
    <w:rsid w:val="00B830A6"/>
    <w:rsid w:val="00B833A1"/>
    <w:rsid w:val="00B83806"/>
    <w:rsid w:val="00B839CF"/>
    <w:rsid w:val="00B83A36"/>
    <w:rsid w:val="00B83A4C"/>
    <w:rsid w:val="00B83C0A"/>
    <w:rsid w:val="00B83C37"/>
    <w:rsid w:val="00B84285"/>
    <w:rsid w:val="00B848DC"/>
    <w:rsid w:val="00B84B14"/>
    <w:rsid w:val="00B84CD1"/>
    <w:rsid w:val="00B84F9D"/>
    <w:rsid w:val="00B85325"/>
    <w:rsid w:val="00B859E1"/>
    <w:rsid w:val="00B85A68"/>
    <w:rsid w:val="00B85A87"/>
    <w:rsid w:val="00B85BF0"/>
    <w:rsid w:val="00B8654D"/>
    <w:rsid w:val="00B868E3"/>
    <w:rsid w:val="00B86A1A"/>
    <w:rsid w:val="00B8769C"/>
    <w:rsid w:val="00B876FA"/>
    <w:rsid w:val="00B87758"/>
    <w:rsid w:val="00B878A3"/>
    <w:rsid w:val="00B87977"/>
    <w:rsid w:val="00B879D4"/>
    <w:rsid w:val="00B87F5C"/>
    <w:rsid w:val="00B9004E"/>
    <w:rsid w:val="00B90185"/>
    <w:rsid w:val="00B909E8"/>
    <w:rsid w:val="00B90B38"/>
    <w:rsid w:val="00B90D61"/>
    <w:rsid w:val="00B90F34"/>
    <w:rsid w:val="00B91154"/>
    <w:rsid w:val="00B9133D"/>
    <w:rsid w:val="00B91351"/>
    <w:rsid w:val="00B91448"/>
    <w:rsid w:val="00B9166C"/>
    <w:rsid w:val="00B91A54"/>
    <w:rsid w:val="00B91D00"/>
    <w:rsid w:val="00B91D6C"/>
    <w:rsid w:val="00B92172"/>
    <w:rsid w:val="00B9227C"/>
    <w:rsid w:val="00B92349"/>
    <w:rsid w:val="00B9234F"/>
    <w:rsid w:val="00B92696"/>
    <w:rsid w:val="00B92AE2"/>
    <w:rsid w:val="00B92CC8"/>
    <w:rsid w:val="00B92EE1"/>
    <w:rsid w:val="00B92FC2"/>
    <w:rsid w:val="00B93195"/>
    <w:rsid w:val="00B934C4"/>
    <w:rsid w:val="00B9385F"/>
    <w:rsid w:val="00B93DD8"/>
    <w:rsid w:val="00B93FE6"/>
    <w:rsid w:val="00B941F6"/>
    <w:rsid w:val="00B94304"/>
    <w:rsid w:val="00B9470A"/>
    <w:rsid w:val="00B947D5"/>
    <w:rsid w:val="00B94C4D"/>
    <w:rsid w:val="00B94CF0"/>
    <w:rsid w:val="00B94D70"/>
    <w:rsid w:val="00B94DBF"/>
    <w:rsid w:val="00B94F64"/>
    <w:rsid w:val="00B94FED"/>
    <w:rsid w:val="00B951B0"/>
    <w:rsid w:val="00B9533C"/>
    <w:rsid w:val="00B95D24"/>
    <w:rsid w:val="00B95EDA"/>
    <w:rsid w:val="00B95F6D"/>
    <w:rsid w:val="00B95FF1"/>
    <w:rsid w:val="00B961DE"/>
    <w:rsid w:val="00B962B8"/>
    <w:rsid w:val="00B9633A"/>
    <w:rsid w:val="00B968B8"/>
    <w:rsid w:val="00B96B69"/>
    <w:rsid w:val="00B96C3D"/>
    <w:rsid w:val="00B96CF6"/>
    <w:rsid w:val="00B96D32"/>
    <w:rsid w:val="00B96EDD"/>
    <w:rsid w:val="00B96FA0"/>
    <w:rsid w:val="00B971BF"/>
    <w:rsid w:val="00B97252"/>
    <w:rsid w:val="00B9727D"/>
    <w:rsid w:val="00B97605"/>
    <w:rsid w:val="00B97761"/>
    <w:rsid w:val="00B979F0"/>
    <w:rsid w:val="00B97AE8"/>
    <w:rsid w:val="00B97CD3"/>
    <w:rsid w:val="00B97D3D"/>
    <w:rsid w:val="00B97D91"/>
    <w:rsid w:val="00B97F63"/>
    <w:rsid w:val="00B9A878"/>
    <w:rsid w:val="00BA01B9"/>
    <w:rsid w:val="00BA0275"/>
    <w:rsid w:val="00BA037F"/>
    <w:rsid w:val="00BA05ED"/>
    <w:rsid w:val="00BA0707"/>
    <w:rsid w:val="00BA0799"/>
    <w:rsid w:val="00BA0927"/>
    <w:rsid w:val="00BA093F"/>
    <w:rsid w:val="00BA0A11"/>
    <w:rsid w:val="00BA0D8F"/>
    <w:rsid w:val="00BA1019"/>
    <w:rsid w:val="00BA104A"/>
    <w:rsid w:val="00BA13D7"/>
    <w:rsid w:val="00BA141C"/>
    <w:rsid w:val="00BA147F"/>
    <w:rsid w:val="00BA14B7"/>
    <w:rsid w:val="00BA16BC"/>
    <w:rsid w:val="00BA1721"/>
    <w:rsid w:val="00BA17FF"/>
    <w:rsid w:val="00BA18A0"/>
    <w:rsid w:val="00BA18CE"/>
    <w:rsid w:val="00BA1A1E"/>
    <w:rsid w:val="00BA1FB2"/>
    <w:rsid w:val="00BA2090"/>
    <w:rsid w:val="00BA214E"/>
    <w:rsid w:val="00BA224A"/>
    <w:rsid w:val="00BA2488"/>
    <w:rsid w:val="00BA2846"/>
    <w:rsid w:val="00BA2CBA"/>
    <w:rsid w:val="00BA2E32"/>
    <w:rsid w:val="00BA2E92"/>
    <w:rsid w:val="00BA3092"/>
    <w:rsid w:val="00BA327C"/>
    <w:rsid w:val="00BA34C7"/>
    <w:rsid w:val="00BA35BC"/>
    <w:rsid w:val="00BA38B1"/>
    <w:rsid w:val="00BA3D22"/>
    <w:rsid w:val="00BA3DFF"/>
    <w:rsid w:val="00BA3F12"/>
    <w:rsid w:val="00BA4097"/>
    <w:rsid w:val="00BA4201"/>
    <w:rsid w:val="00BA4418"/>
    <w:rsid w:val="00BA4462"/>
    <w:rsid w:val="00BA44DC"/>
    <w:rsid w:val="00BA45FF"/>
    <w:rsid w:val="00BA49C3"/>
    <w:rsid w:val="00BA4E05"/>
    <w:rsid w:val="00BA502C"/>
    <w:rsid w:val="00BA515C"/>
    <w:rsid w:val="00BA590E"/>
    <w:rsid w:val="00BA5941"/>
    <w:rsid w:val="00BA5AB6"/>
    <w:rsid w:val="00BA5B1F"/>
    <w:rsid w:val="00BA5C1C"/>
    <w:rsid w:val="00BA60F2"/>
    <w:rsid w:val="00BA65B2"/>
    <w:rsid w:val="00BA6866"/>
    <w:rsid w:val="00BA6A81"/>
    <w:rsid w:val="00BA6C07"/>
    <w:rsid w:val="00BA6C54"/>
    <w:rsid w:val="00BA6F79"/>
    <w:rsid w:val="00BA70A9"/>
    <w:rsid w:val="00BA71D2"/>
    <w:rsid w:val="00BA736B"/>
    <w:rsid w:val="00BA73C3"/>
    <w:rsid w:val="00BA73F9"/>
    <w:rsid w:val="00BA7705"/>
    <w:rsid w:val="00BA78A0"/>
    <w:rsid w:val="00BA79D4"/>
    <w:rsid w:val="00BA7E89"/>
    <w:rsid w:val="00BA7FE7"/>
    <w:rsid w:val="00BB008E"/>
    <w:rsid w:val="00BB0116"/>
    <w:rsid w:val="00BB01FA"/>
    <w:rsid w:val="00BB02DB"/>
    <w:rsid w:val="00BB034A"/>
    <w:rsid w:val="00BB0564"/>
    <w:rsid w:val="00BB0598"/>
    <w:rsid w:val="00BB072A"/>
    <w:rsid w:val="00BB0EEF"/>
    <w:rsid w:val="00BB12E8"/>
    <w:rsid w:val="00BB1407"/>
    <w:rsid w:val="00BB157A"/>
    <w:rsid w:val="00BB1701"/>
    <w:rsid w:val="00BB188E"/>
    <w:rsid w:val="00BB196B"/>
    <w:rsid w:val="00BB1971"/>
    <w:rsid w:val="00BB1D82"/>
    <w:rsid w:val="00BB1EDC"/>
    <w:rsid w:val="00BB20F2"/>
    <w:rsid w:val="00BB21C4"/>
    <w:rsid w:val="00BB2334"/>
    <w:rsid w:val="00BB245C"/>
    <w:rsid w:val="00BB257D"/>
    <w:rsid w:val="00BB26EA"/>
    <w:rsid w:val="00BB28CB"/>
    <w:rsid w:val="00BB28F7"/>
    <w:rsid w:val="00BB29E9"/>
    <w:rsid w:val="00BB2CEF"/>
    <w:rsid w:val="00BB2D5D"/>
    <w:rsid w:val="00BB2E03"/>
    <w:rsid w:val="00BB2E63"/>
    <w:rsid w:val="00BB2FAE"/>
    <w:rsid w:val="00BB326B"/>
    <w:rsid w:val="00BB32B2"/>
    <w:rsid w:val="00BB3363"/>
    <w:rsid w:val="00BB357F"/>
    <w:rsid w:val="00BB35D7"/>
    <w:rsid w:val="00BB361F"/>
    <w:rsid w:val="00BB37F6"/>
    <w:rsid w:val="00BB427D"/>
    <w:rsid w:val="00BB4629"/>
    <w:rsid w:val="00BB47BF"/>
    <w:rsid w:val="00BB48D1"/>
    <w:rsid w:val="00BB49AF"/>
    <w:rsid w:val="00BB4C2C"/>
    <w:rsid w:val="00BB4D0E"/>
    <w:rsid w:val="00BB4E3F"/>
    <w:rsid w:val="00BB506B"/>
    <w:rsid w:val="00BB50F9"/>
    <w:rsid w:val="00BB53C7"/>
    <w:rsid w:val="00BB54EB"/>
    <w:rsid w:val="00BB55B9"/>
    <w:rsid w:val="00BB5621"/>
    <w:rsid w:val="00BB582B"/>
    <w:rsid w:val="00BB5CE0"/>
    <w:rsid w:val="00BB5E47"/>
    <w:rsid w:val="00BB5F00"/>
    <w:rsid w:val="00BB6032"/>
    <w:rsid w:val="00BB6087"/>
    <w:rsid w:val="00BB6113"/>
    <w:rsid w:val="00BB611D"/>
    <w:rsid w:val="00BB612F"/>
    <w:rsid w:val="00BB628E"/>
    <w:rsid w:val="00BB66EA"/>
    <w:rsid w:val="00BB6AEE"/>
    <w:rsid w:val="00BB6DDD"/>
    <w:rsid w:val="00BB6EB9"/>
    <w:rsid w:val="00BB70B8"/>
    <w:rsid w:val="00BB7A60"/>
    <w:rsid w:val="00BB7B5F"/>
    <w:rsid w:val="00BB7BCF"/>
    <w:rsid w:val="00BBE2BC"/>
    <w:rsid w:val="00BC00FD"/>
    <w:rsid w:val="00BC0250"/>
    <w:rsid w:val="00BC02A0"/>
    <w:rsid w:val="00BC02AF"/>
    <w:rsid w:val="00BC03C9"/>
    <w:rsid w:val="00BC057B"/>
    <w:rsid w:val="00BC061D"/>
    <w:rsid w:val="00BC0780"/>
    <w:rsid w:val="00BC09D0"/>
    <w:rsid w:val="00BC0B9E"/>
    <w:rsid w:val="00BC0C6D"/>
    <w:rsid w:val="00BC100D"/>
    <w:rsid w:val="00BC14DA"/>
    <w:rsid w:val="00BC154C"/>
    <w:rsid w:val="00BC169E"/>
    <w:rsid w:val="00BC16E2"/>
    <w:rsid w:val="00BC187C"/>
    <w:rsid w:val="00BC1A62"/>
    <w:rsid w:val="00BC266B"/>
    <w:rsid w:val="00BC279A"/>
    <w:rsid w:val="00BC27FE"/>
    <w:rsid w:val="00BC2C2C"/>
    <w:rsid w:val="00BC2C33"/>
    <w:rsid w:val="00BC303B"/>
    <w:rsid w:val="00BC3060"/>
    <w:rsid w:val="00BC30FC"/>
    <w:rsid w:val="00BC3112"/>
    <w:rsid w:val="00BC338D"/>
    <w:rsid w:val="00BC33C7"/>
    <w:rsid w:val="00BC3761"/>
    <w:rsid w:val="00BC37EC"/>
    <w:rsid w:val="00BC3AE0"/>
    <w:rsid w:val="00BC3B36"/>
    <w:rsid w:val="00BC3C7D"/>
    <w:rsid w:val="00BC3D39"/>
    <w:rsid w:val="00BC4001"/>
    <w:rsid w:val="00BC41AA"/>
    <w:rsid w:val="00BC44A0"/>
    <w:rsid w:val="00BC44A9"/>
    <w:rsid w:val="00BC44DB"/>
    <w:rsid w:val="00BC4676"/>
    <w:rsid w:val="00BC4813"/>
    <w:rsid w:val="00BC4C1C"/>
    <w:rsid w:val="00BC4C2C"/>
    <w:rsid w:val="00BC4C6D"/>
    <w:rsid w:val="00BC4D69"/>
    <w:rsid w:val="00BC4EB9"/>
    <w:rsid w:val="00BC502A"/>
    <w:rsid w:val="00BC5361"/>
    <w:rsid w:val="00BC55E2"/>
    <w:rsid w:val="00BC56DE"/>
    <w:rsid w:val="00BC5B15"/>
    <w:rsid w:val="00BC5CBD"/>
    <w:rsid w:val="00BC60E8"/>
    <w:rsid w:val="00BC68FA"/>
    <w:rsid w:val="00BC6925"/>
    <w:rsid w:val="00BC6A1C"/>
    <w:rsid w:val="00BC6C8A"/>
    <w:rsid w:val="00BC6E04"/>
    <w:rsid w:val="00BC7581"/>
    <w:rsid w:val="00BC7A0A"/>
    <w:rsid w:val="00BC7FAF"/>
    <w:rsid w:val="00BCE3B0"/>
    <w:rsid w:val="00BCE90E"/>
    <w:rsid w:val="00BD0199"/>
    <w:rsid w:val="00BD0289"/>
    <w:rsid w:val="00BD03D9"/>
    <w:rsid w:val="00BD04D7"/>
    <w:rsid w:val="00BD058E"/>
    <w:rsid w:val="00BD079E"/>
    <w:rsid w:val="00BD0893"/>
    <w:rsid w:val="00BD09D4"/>
    <w:rsid w:val="00BD0D52"/>
    <w:rsid w:val="00BD0E31"/>
    <w:rsid w:val="00BD0F2C"/>
    <w:rsid w:val="00BD0FA1"/>
    <w:rsid w:val="00BD1132"/>
    <w:rsid w:val="00BD1416"/>
    <w:rsid w:val="00BD1804"/>
    <w:rsid w:val="00BD1817"/>
    <w:rsid w:val="00BD196D"/>
    <w:rsid w:val="00BD19F6"/>
    <w:rsid w:val="00BD1D82"/>
    <w:rsid w:val="00BD1E73"/>
    <w:rsid w:val="00BD1EC9"/>
    <w:rsid w:val="00BD1FBC"/>
    <w:rsid w:val="00BD216C"/>
    <w:rsid w:val="00BD21E4"/>
    <w:rsid w:val="00BD22F7"/>
    <w:rsid w:val="00BD277E"/>
    <w:rsid w:val="00BD28C8"/>
    <w:rsid w:val="00BD3363"/>
    <w:rsid w:val="00BD3380"/>
    <w:rsid w:val="00BD36E8"/>
    <w:rsid w:val="00BD38B6"/>
    <w:rsid w:val="00BD3B02"/>
    <w:rsid w:val="00BD3B27"/>
    <w:rsid w:val="00BD3FC9"/>
    <w:rsid w:val="00BD4177"/>
    <w:rsid w:val="00BD463A"/>
    <w:rsid w:val="00BD48AD"/>
    <w:rsid w:val="00BD497B"/>
    <w:rsid w:val="00BD4CC2"/>
    <w:rsid w:val="00BD4DDC"/>
    <w:rsid w:val="00BD50E1"/>
    <w:rsid w:val="00BD528C"/>
    <w:rsid w:val="00BD56A3"/>
    <w:rsid w:val="00BD56B8"/>
    <w:rsid w:val="00BD578B"/>
    <w:rsid w:val="00BD5962"/>
    <w:rsid w:val="00BD6097"/>
    <w:rsid w:val="00BD60D3"/>
    <w:rsid w:val="00BD6147"/>
    <w:rsid w:val="00BD63BA"/>
    <w:rsid w:val="00BD65F5"/>
    <w:rsid w:val="00BD66A9"/>
    <w:rsid w:val="00BD6A57"/>
    <w:rsid w:val="00BD6AD9"/>
    <w:rsid w:val="00BD6AFD"/>
    <w:rsid w:val="00BD6B71"/>
    <w:rsid w:val="00BD6BF3"/>
    <w:rsid w:val="00BD6C33"/>
    <w:rsid w:val="00BD6C3F"/>
    <w:rsid w:val="00BD6D6F"/>
    <w:rsid w:val="00BD6E1A"/>
    <w:rsid w:val="00BD6E50"/>
    <w:rsid w:val="00BD6F90"/>
    <w:rsid w:val="00BD6FFA"/>
    <w:rsid w:val="00BD7000"/>
    <w:rsid w:val="00BD72A0"/>
    <w:rsid w:val="00BD77B1"/>
    <w:rsid w:val="00BD77B2"/>
    <w:rsid w:val="00BD7954"/>
    <w:rsid w:val="00BD7A9F"/>
    <w:rsid w:val="00BD7AE8"/>
    <w:rsid w:val="00BD7C4F"/>
    <w:rsid w:val="00BD7C90"/>
    <w:rsid w:val="00BD7CC9"/>
    <w:rsid w:val="00BD7D67"/>
    <w:rsid w:val="00BD7DB1"/>
    <w:rsid w:val="00BD7FC0"/>
    <w:rsid w:val="00BD7FC1"/>
    <w:rsid w:val="00BE00D0"/>
    <w:rsid w:val="00BE01A8"/>
    <w:rsid w:val="00BE0441"/>
    <w:rsid w:val="00BE07BC"/>
    <w:rsid w:val="00BE0D18"/>
    <w:rsid w:val="00BE1075"/>
    <w:rsid w:val="00BE13AE"/>
    <w:rsid w:val="00BE178A"/>
    <w:rsid w:val="00BE1A08"/>
    <w:rsid w:val="00BE1A8C"/>
    <w:rsid w:val="00BE1C13"/>
    <w:rsid w:val="00BE1CCC"/>
    <w:rsid w:val="00BE1DAC"/>
    <w:rsid w:val="00BE1DBA"/>
    <w:rsid w:val="00BE1DFC"/>
    <w:rsid w:val="00BE290E"/>
    <w:rsid w:val="00BE30E4"/>
    <w:rsid w:val="00BE318E"/>
    <w:rsid w:val="00BE34F5"/>
    <w:rsid w:val="00BE3507"/>
    <w:rsid w:val="00BE3D99"/>
    <w:rsid w:val="00BE3F84"/>
    <w:rsid w:val="00BE40FF"/>
    <w:rsid w:val="00BE4A4F"/>
    <w:rsid w:val="00BE4B37"/>
    <w:rsid w:val="00BE514E"/>
    <w:rsid w:val="00BE5440"/>
    <w:rsid w:val="00BE56AA"/>
    <w:rsid w:val="00BE5786"/>
    <w:rsid w:val="00BE5865"/>
    <w:rsid w:val="00BE5925"/>
    <w:rsid w:val="00BE5CCC"/>
    <w:rsid w:val="00BE5F32"/>
    <w:rsid w:val="00BE6045"/>
    <w:rsid w:val="00BE60F8"/>
    <w:rsid w:val="00BE6128"/>
    <w:rsid w:val="00BE6153"/>
    <w:rsid w:val="00BE6643"/>
    <w:rsid w:val="00BE6722"/>
    <w:rsid w:val="00BE672F"/>
    <w:rsid w:val="00BE6760"/>
    <w:rsid w:val="00BE6818"/>
    <w:rsid w:val="00BE6A6A"/>
    <w:rsid w:val="00BE6D5C"/>
    <w:rsid w:val="00BE6DD1"/>
    <w:rsid w:val="00BE7206"/>
    <w:rsid w:val="00BE7295"/>
    <w:rsid w:val="00BE7494"/>
    <w:rsid w:val="00BE75CD"/>
    <w:rsid w:val="00BE7739"/>
    <w:rsid w:val="00BE77F9"/>
    <w:rsid w:val="00BE78FC"/>
    <w:rsid w:val="00BE7AE5"/>
    <w:rsid w:val="00BE7E59"/>
    <w:rsid w:val="00BF04B6"/>
    <w:rsid w:val="00BF0517"/>
    <w:rsid w:val="00BF0768"/>
    <w:rsid w:val="00BF08E9"/>
    <w:rsid w:val="00BF0971"/>
    <w:rsid w:val="00BF0BF6"/>
    <w:rsid w:val="00BF0CF2"/>
    <w:rsid w:val="00BF12B8"/>
    <w:rsid w:val="00BF135A"/>
    <w:rsid w:val="00BF153C"/>
    <w:rsid w:val="00BF18C1"/>
    <w:rsid w:val="00BF1A14"/>
    <w:rsid w:val="00BF1A73"/>
    <w:rsid w:val="00BF1CCB"/>
    <w:rsid w:val="00BF1D51"/>
    <w:rsid w:val="00BF1DC7"/>
    <w:rsid w:val="00BF1F18"/>
    <w:rsid w:val="00BF1F25"/>
    <w:rsid w:val="00BF1F62"/>
    <w:rsid w:val="00BF20CD"/>
    <w:rsid w:val="00BF211B"/>
    <w:rsid w:val="00BF21EF"/>
    <w:rsid w:val="00BF242E"/>
    <w:rsid w:val="00BF27B2"/>
    <w:rsid w:val="00BF298D"/>
    <w:rsid w:val="00BF2C03"/>
    <w:rsid w:val="00BF2CA0"/>
    <w:rsid w:val="00BF2CDE"/>
    <w:rsid w:val="00BF2D44"/>
    <w:rsid w:val="00BF2E81"/>
    <w:rsid w:val="00BF2ED3"/>
    <w:rsid w:val="00BF2F9A"/>
    <w:rsid w:val="00BF3141"/>
    <w:rsid w:val="00BF33F4"/>
    <w:rsid w:val="00BF3955"/>
    <w:rsid w:val="00BF3A32"/>
    <w:rsid w:val="00BF3A82"/>
    <w:rsid w:val="00BF3DE2"/>
    <w:rsid w:val="00BF3FA2"/>
    <w:rsid w:val="00BF3FC2"/>
    <w:rsid w:val="00BF41D0"/>
    <w:rsid w:val="00BF4233"/>
    <w:rsid w:val="00BF456A"/>
    <w:rsid w:val="00BF4812"/>
    <w:rsid w:val="00BF4815"/>
    <w:rsid w:val="00BF4894"/>
    <w:rsid w:val="00BF4BFA"/>
    <w:rsid w:val="00BF4C02"/>
    <w:rsid w:val="00BF5347"/>
    <w:rsid w:val="00BF5387"/>
    <w:rsid w:val="00BF5919"/>
    <w:rsid w:val="00BF593C"/>
    <w:rsid w:val="00BF5AA9"/>
    <w:rsid w:val="00BF5AF1"/>
    <w:rsid w:val="00BF5C5A"/>
    <w:rsid w:val="00BF5E4F"/>
    <w:rsid w:val="00BF6129"/>
    <w:rsid w:val="00BF646E"/>
    <w:rsid w:val="00BF6504"/>
    <w:rsid w:val="00BF65A2"/>
    <w:rsid w:val="00BF689D"/>
    <w:rsid w:val="00BF68AF"/>
    <w:rsid w:val="00BF6C11"/>
    <w:rsid w:val="00BF6EB6"/>
    <w:rsid w:val="00BF6FD3"/>
    <w:rsid w:val="00BF70B9"/>
    <w:rsid w:val="00BF722A"/>
    <w:rsid w:val="00BF72AE"/>
    <w:rsid w:val="00BF7327"/>
    <w:rsid w:val="00BF747C"/>
    <w:rsid w:val="00BF7498"/>
    <w:rsid w:val="00BF75D1"/>
    <w:rsid w:val="00BF77A4"/>
    <w:rsid w:val="00BF7920"/>
    <w:rsid w:val="00BF7A48"/>
    <w:rsid w:val="00BF7AC5"/>
    <w:rsid w:val="00C0004C"/>
    <w:rsid w:val="00C00137"/>
    <w:rsid w:val="00C0028D"/>
    <w:rsid w:val="00C0062F"/>
    <w:rsid w:val="00C011AF"/>
    <w:rsid w:val="00C011C9"/>
    <w:rsid w:val="00C01362"/>
    <w:rsid w:val="00C0153D"/>
    <w:rsid w:val="00C018F1"/>
    <w:rsid w:val="00C01A9C"/>
    <w:rsid w:val="00C01F3A"/>
    <w:rsid w:val="00C01F7E"/>
    <w:rsid w:val="00C0205F"/>
    <w:rsid w:val="00C020CB"/>
    <w:rsid w:val="00C0212A"/>
    <w:rsid w:val="00C02139"/>
    <w:rsid w:val="00C02163"/>
    <w:rsid w:val="00C024E0"/>
    <w:rsid w:val="00C027F8"/>
    <w:rsid w:val="00C028C5"/>
    <w:rsid w:val="00C02913"/>
    <w:rsid w:val="00C02EBE"/>
    <w:rsid w:val="00C030C5"/>
    <w:rsid w:val="00C030DE"/>
    <w:rsid w:val="00C030F4"/>
    <w:rsid w:val="00C0338D"/>
    <w:rsid w:val="00C03585"/>
    <w:rsid w:val="00C038E1"/>
    <w:rsid w:val="00C03998"/>
    <w:rsid w:val="00C03C4E"/>
    <w:rsid w:val="00C040CF"/>
    <w:rsid w:val="00C0415C"/>
    <w:rsid w:val="00C045F8"/>
    <w:rsid w:val="00C0491D"/>
    <w:rsid w:val="00C04CE6"/>
    <w:rsid w:val="00C04E58"/>
    <w:rsid w:val="00C05346"/>
    <w:rsid w:val="00C056A1"/>
    <w:rsid w:val="00C056BE"/>
    <w:rsid w:val="00C05772"/>
    <w:rsid w:val="00C0583D"/>
    <w:rsid w:val="00C05AB4"/>
    <w:rsid w:val="00C05ABE"/>
    <w:rsid w:val="00C05C2A"/>
    <w:rsid w:val="00C05C90"/>
    <w:rsid w:val="00C05E62"/>
    <w:rsid w:val="00C062A7"/>
    <w:rsid w:val="00C06AB7"/>
    <w:rsid w:val="00C06B8E"/>
    <w:rsid w:val="00C06C00"/>
    <w:rsid w:val="00C06F14"/>
    <w:rsid w:val="00C0740A"/>
    <w:rsid w:val="00C07543"/>
    <w:rsid w:val="00C076DB"/>
    <w:rsid w:val="00C076FD"/>
    <w:rsid w:val="00C07E1C"/>
    <w:rsid w:val="00C07F2D"/>
    <w:rsid w:val="00C1015C"/>
    <w:rsid w:val="00C10315"/>
    <w:rsid w:val="00C1047A"/>
    <w:rsid w:val="00C107AD"/>
    <w:rsid w:val="00C107EA"/>
    <w:rsid w:val="00C1088F"/>
    <w:rsid w:val="00C10F35"/>
    <w:rsid w:val="00C11127"/>
    <w:rsid w:val="00C11198"/>
    <w:rsid w:val="00C11343"/>
    <w:rsid w:val="00C1174F"/>
    <w:rsid w:val="00C11A3E"/>
    <w:rsid w:val="00C11C49"/>
    <w:rsid w:val="00C11CF8"/>
    <w:rsid w:val="00C11DF2"/>
    <w:rsid w:val="00C11DFA"/>
    <w:rsid w:val="00C11E9A"/>
    <w:rsid w:val="00C12073"/>
    <w:rsid w:val="00C1213E"/>
    <w:rsid w:val="00C122D7"/>
    <w:rsid w:val="00C12414"/>
    <w:rsid w:val="00C127EE"/>
    <w:rsid w:val="00C12BC4"/>
    <w:rsid w:val="00C12BD5"/>
    <w:rsid w:val="00C13012"/>
    <w:rsid w:val="00C1301B"/>
    <w:rsid w:val="00C13672"/>
    <w:rsid w:val="00C13836"/>
    <w:rsid w:val="00C13849"/>
    <w:rsid w:val="00C13ABB"/>
    <w:rsid w:val="00C13ACB"/>
    <w:rsid w:val="00C13C09"/>
    <w:rsid w:val="00C14260"/>
    <w:rsid w:val="00C14503"/>
    <w:rsid w:val="00C14556"/>
    <w:rsid w:val="00C146C3"/>
    <w:rsid w:val="00C14774"/>
    <w:rsid w:val="00C14901"/>
    <w:rsid w:val="00C14DAD"/>
    <w:rsid w:val="00C15126"/>
    <w:rsid w:val="00C151A0"/>
    <w:rsid w:val="00C152C6"/>
    <w:rsid w:val="00C15300"/>
    <w:rsid w:val="00C1530A"/>
    <w:rsid w:val="00C155F1"/>
    <w:rsid w:val="00C15620"/>
    <w:rsid w:val="00C157DC"/>
    <w:rsid w:val="00C158DB"/>
    <w:rsid w:val="00C159A1"/>
    <w:rsid w:val="00C15B55"/>
    <w:rsid w:val="00C15DF4"/>
    <w:rsid w:val="00C15E94"/>
    <w:rsid w:val="00C160A4"/>
    <w:rsid w:val="00C161E9"/>
    <w:rsid w:val="00C162A6"/>
    <w:rsid w:val="00C1636E"/>
    <w:rsid w:val="00C166ED"/>
    <w:rsid w:val="00C16766"/>
    <w:rsid w:val="00C167C0"/>
    <w:rsid w:val="00C16B54"/>
    <w:rsid w:val="00C16B96"/>
    <w:rsid w:val="00C16E7A"/>
    <w:rsid w:val="00C16EEB"/>
    <w:rsid w:val="00C17177"/>
    <w:rsid w:val="00C171DE"/>
    <w:rsid w:val="00C172A8"/>
    <w:rsid w:val="00C17592"/>
    <w:rsid w:val="00C177B9"/>
    <w:rsid w:val="00C1781D"/>
    <w:rsid w:val="00C17B58"/>
    <w:rsid w:val="00C17F3B"/>
    <w:rsid w:val="00C20132"/>
    <w:rsid w:val="00C20186"/>
    <w:rsid w:val="00C2037B"/>
    <w:rsid w:val="00C20548"/>
    <w:rsid w:val="00C207F2"/>
    <w:rsid w:val="00C20994"/>
    <w:rsid w:val="00C20A7B"/>
    <w:rsid w:val="00C20B0A"/>
    <w:rsid w:val="00C20BA8"/>
    <w:rsid w:val="00C20F82"/>
    <w:rsid w:val="00C211C6"/>
    <w:rsid w:val="00C212A5"/>
    <w:rsid w:val="00C21360"/>
    <w:rsid w:val="00C2139A"/>
    <w:rsid w:val="00C213A8"/>
    <w:rsid w:val="00C21527"/>
    <w:rsid w:val="00C21872"/>
    <w:rsid w:val="00C219B0"/>
    <w:rsid w:val="00C21A0B"/>
    <w:rsid w:val="00C21BF3"/>
    <w:rsid w:val="00C21CDD"/>
    <w:rsid w:val="00C22235"/>
    <w:rsid w:val="00C22386"/>
    <w:rsid w:val="00C22421"/>
    <w:rsid w:val="00C224EB"/>
    <w:rsid w:val="00C22523"/>
    <w:rsid w:val="00C226E0"/>
    <w:rsid w:val="00C229C0"/>
    <w:rsid w:val="00C22FCE"/>
    <w:rsid w:val="00C23093"/>
    <w:rsid w:val="00C234BE"/>
    <w:rsid w:val="00C237D4"/>
    <w:rsid w:val="00C23D54"/>
    <w:rsid w:val="00C24089"/>
    <w:rsid w:val="00C240AE"/>
    <w:rsid w:val="00C24254"/>
    <w:rsid w:val="00C2436C"/>
    <w:rsid w:val="00C24475"/>
    <w:rsid w:val="00C244BE"/>
    <w:rsid w:val="00C245F5"/>
    <w:rsid w:val="00C2488D"/>
    <w:rsid w:val="00C248BA"/>
    <w:rsid w:val="00C249EC"/>
    <w:rsid w:val="00C24AE8"/>
    <w:rsid w:val="00C24B24"/>
    <w:rsid w:val="00C24BA6"/>
    <w:rsid w:val="00C24BEB"/>
    <w:rsid w:val="00C24C85"/>
    <w:rsid w:val="00C24E32"/>
    <w:rsid w:val="00C25107"/>
    <w:rsid w:val="00C25108"/>
    <w:rsid w:val="00C2535F"/>
    <w:rsid w:val="00C25474"/>
    <w:rsid w:val="00C25613"/>
    <w:rsid w:val="00C2598A"/>
    <w:rsid w:val="00C259B5"/>
    <w:rsid w:val="00C25BB7"/>
    <w:rsid w:val="00C25E95"/>
    <w:rsid w:val="00C25FC2"/>
    <w:rsid w:val="00C263A6"/>
    <w:rsid w:val="00C2683A"/>
    <w:rsid w:val="00C26ABC"/>
    <w:rsid w:val="00C26DD6"/>
    <w:rsid w:val="00C2735D"/>
    <w:rsid w:val="00C274A2"/>
    <w:rsid w:val="00C274CE"/>
    <w:rsid w:val="00C2766A"/>
    <w:rsid w:val="00C277DF"/>
    <w:rsid w:val="00C27B2E"/>
    <w:rsid w:val="00C27C99"/>
    <w:rsid w:val="00C30259"/>
    <w:rsid w:val="00C302C8"/>
    <w:rsid w:val="00C3070D"/>
    <w:rsid w:val="00C3077D"/>
    <w:rsid w:val="00C30833"/>
    <w:rsid w:val="00C30A6D"/>
    <w:rsid w:val="00C30C0A"/>
    <w:rsid w:val="00C30E0A"/>
    <w:rsid w:val="00C30F78"/>
    <w:rsid w:val="00C30FCF"/>
    <w:rsid w:val="00C31014"/>
    <w:rsid w:val="00C3193D"/>
    <w:rsid w:val="00C31B37"/>
    <w:rsid w:val="00C31CBF"/>
    <w:rsid w:val="00C31F32"/>
    <w:rsid w:val="00C32420"/>
    <w:rsid w:val="00C32539"/>
    <w:rsid w:val="00C329BB"/>
    <w:rsid w:val="00C32AC8"/>
    <w:rsid w:val="00C32B73"/>
    <w:rsid w:val="00C32B84"/>
    <w:rsid w:val="00C331C3"/>
    <w:rsid w:val="00C33750"/>
    <w:rsid w:val="00C337D2"/>
    <w:rsid w:val="00C33C4C"/>
    <w:rsid w:val="00C33E10"/>
    <w:rsid w:val="00C33EFE"/>
    <w:rsid w:val="00C33F92"/>
    <w:rsid w:val="00C3418D"/>
    <w:rsid w:val="00C341F6"/>
    <w:rsid w:val="00C34408"/>
    <w:rsid w:val="00C34438"/>
    <w:rsid w:val="00C3452B"/>
    <w:rsid w:val="00C3458C"/>
    <w:rsid w:val="00C345F1"/>
    <w:rsid w:val="00C346A9"/>
    <w:rsid w:val="00C3470C"/>
    <w:rsid w:val="00C3492B"/>
    <w:rsid w:val="00C349AA"/>
    <w:rsid w:val="00C34B80"/>
    <w:rsid w:val="00C34BB5"/>
    <w:rsid w:val="00C34C28"/>
    <w:rsid w:val="00C34ED8"/>
    <w:rsid w:val="00C352AB"/>
    <w:rsid w:val="00C353F0"/>
    <w:rsid w:val="00C354A4"/>
    <w:rsid w:val="00C358E5"/>
    <w:rsid w:val="00C361AB"/>
    <w:rsid w:val="00C361FB"/>
    <w:rsid w:val="00C3630D"/>
    <w:rsid w:val="00C3686D"/>
    <w:rsid w:val="00C368AA"/>
    <w:rsid w:val="00C369F6"/>
    <w:rsid w:val="00C36C64"/>
    <w:rsid w:val="00C36D4B"/>
    <w:rsid w:val="00C3729A"/>
    <w:rsid w:val="00C3745E"/>
    <w:rsid w:val="00C3747C"/>
    <w:rsid w:val="00C37581"/>
    <w:rsid w:val="00C3776F"/>
    <w:rsid w:val="00C37978"/>
    <w:rsid w:val="00C3BB8A"/>
    <w:rsid w:val="00C4029A"/>
    <w:rsid w:val="00C4035B"/>
    <w:rsid w:val="00C403EC"/>
    <w:rsid w:val="00C404C4"/>
    <w:rsid w:val="00C406AD"/>
    <w:rsid w:val="00C409F7"/>
    <w:rsid w:val="00C40B18"/>
    <w:rsid w:val="00C40DBD"/>
    <w:rsid w:val="00C40F62"/>
    <w:rsid w:val="00C41187"/>
    <w:rsid w:val="00C413F0"/>
    <w:rsid w:val="00C4177D"/>
    <w:rsid w:val="00C417D7"/>
    <w:rsid w:val="00C417E2"/>
    <w:rsid w:val="00C41A1A"/>
    <w:rsid w:val="00C41ACA"/>
    <w:rsid w:val="00C41DB3"/>
    <w:rsid w:val="00C41DE9"/>
    <w:rsid w:val="00C420A5"/>
    <w:rsid w:val="00C42127"/>
    <w:rsid w:val="00C4227D"/>
    <w:rsid w:val="00C422E8"/>
    <w:rsid w:val="00C42531"/>
    <w:rsid w:val="00C42534"/>
    <w:rsid w:val="00C42801"/>
    <w:rsid w:val="00C42BD7"/>
    <w:rsid w:val="00C42E92"/>
    <w:rsid w:val="00C42FA6"/>
    <w:rsid w:val="00C432F3"/>
    <w:rsid w:val="00C433F0"/>
    <w:rsid w:val="00C43599"/>
    <w:rsid w:val="00C4366A"/>
    <w:rsid w:val="00C43852"/>
    <w:rsid w:val="00C439A8"/>
    <w:rsid w:val="00C43C29"/>
    <w:rsid w:val="00C441CA"/>
    <w:rsid w:val="00C4424D"/>
    <w:rsid w:val="00C4427E"/>
    <w:rsid w:val="00C444DC"/>
    <w:rsid w:val="00C445CA"/>
    <w:rsid w:val="00C446A2"/>
    <w:rsid w:val="00C44A6A"/>
    <w:rsid w:val="00C44B29"/>
    <w:rsid w:val="00C44CF8"/>
    <w:rsid w:val="00C44E72"/>
    <w:rsid w:val="00C45117"/>
    <w:rsid w:val="00C453BE"/>
    <w:rsid w:val="00C45426"/>
    <w:rsid w:val="00C45759"/>
    <w:rsid w:val="00C45802"/>
    <w:rsid w:val="00C4586B"/>
    <w:rsid w:val="00C45B4B"/>
    <w:rsid w:val="00C45BEB"/>
    <w:rsid w:val="00C45C1B"/>
    <w:rsid w:val="00C45CE1"/>
    <w:rsid w:val="00C45EC6"/>
    <w:rsid w:val="00C4613C"/>
    <w:rsid w:val="00C46180"/>
    <w:rsid w:val="00C4648F"/>
    <w:rsid w:val="00C465FD"/>
    <w:rsid w:val="00C46706"/>
    <w:rsid w:val="00C46721"/>
    <w:rsid w:val="00C468EC"/>
    <w:rsid w:val="00C46C10"/>
    <w:rsid w:val="00C46C69"/>
    <w:rsid w:val="00C46D02"/>
    <w:rsid w:val="00C46F77"/>
    <w:rsid w:val="00C470F2"/>
    <w:rsid w:val="00C470F8"/>
    <w:rsid w:val="00C471FA"/>
    <w:rsid w:val="00C4739B"/>
    <w:rsid w:val="00C4742F"/>
    <w:rsid w:val="00C47A14"/>
    <w:rsid w:val="00C47E9E"/>
    <w:rsid w:val="00C48E6B"/>
    <w:rsid w:val="00C5010C"/>
    <w:rsid w:val="00C501DF"/>
    <w:rsid w:val="00C50216"/>
    <w:rsid w:val="00C50643"/>
    <w:rsid w:val="00C508BD"/>
    <w:rsid w:val="00C509C6"/>
    <w:rsid w:val="00C50A02"/>
    <w:rsid w:val="00C50A4A"/>
    <w:rsid w:val="00C50BC5"/>
    <w:rsid w:val="00C50C57"/>
    <w:rsid w:val="00C50C87"/>
    <w:rsid w:val="00C50FFF"/>
    <w:rsid w:val="00C51291"/>
    <w:rsid w:val="00C51371"/>
    <w:rsid w:val="00C5167D"/>
    <w:rsid w:val="00C5192B"/>
    <w:rsid w:val="00C5196C"/>
    <w:rsid w:val="00C51C1B"/>
    <w:rsid w:val="00C51E9E"/>
    <w:rsid w:val="00C51F3C"/>
    <w:rsid w:val="00C5205E"/>
    <w:rsid w:val="00C524E7"/>
    <w:rsid w:val="00C528CA"/>
    <w:rsid w:val="00C528E7"/>
    <w:rsid w:val="00C5296D"/>
    <w:rsid w:val="00C52B0B"/>
    <w:rsid w:val="00C53071"/>
    <w:rsid w:val="00C53076"/>
    <w:rsid w:val="00C533BC"/>
    <w:rsid w:val="00C53725"/>
    <w:rsid w:val="00C53791"/>
    <w:rsid w:val="00C53E41"/>
    <w:rsid w:val="00C54042"/>
    <w:rsid w:val="00C54289"/>
    <w:rsid w:val="00C54862"/>
    <w:rsid w:val="00C54AE2"/>
    <w:rsid w:val="00C54E65"/>
    <w:rsid w:val="00C55286"/>
    <w:rsid w:val="00C554DB"/>
    <w:rsid w:val="00C556A5"/>
    <w:rsid w:val="00C55925"/>
    <w:rsid w:val="00C5595A"/>
    <w:rsid w:val="00C55CA1"/>
    <w:rsid w:val="00C55D82"/>
    <w:rsid w:val="00C55E25"/>
    <w:rsid w:val="00C55F98"/>
    <w:rsid w:val="00C55FF1"/>
    <w:rsid w:val="00C560F8"/>
    <w:rsid w:val="00C561DD"/>
    <w:rsid w:val="00C5628A"/>
    <w:rsid w:val="00C5629D"/>
    <w:rsid w:val="00C56633"/>
    <w:rsid w:val="00C56785"/>
    <w:rsid w:val="00C56909"/>
    <w:rsid w:val="00C56A74"/>
    <w:rsid w:val="00C56BCD"/>
    <w:rsid w:val="00C570B1"/>
    <w:rsid w:val="00C571D3"/>
    <w:rsid w:val="00C5729F"/>
    <w:rsid w:val="00C572F0"/>
    <w:rsid w:val="00C572F6"/>
    <w:rsid w:val="00C573C8"/>
    <w:rsid w:val="00C574E0"/>
    <w:rsid w:val="00C57568"/>
    <w:rsid w:val="00C575C6"/>
    <w:rsid w:val="00C578E3"/>
    <w:rsid w:val="00C57AA6"/>
    <w:rsid w:val="00C57B75"/>
    <w:rsid w:val="00C57E57"/>
    <w:rsid w:val="00C57F5B"/>
    <w:rsid w:val="00C603EF"/>
    <w:rsid w:val="00C605AE"/>
    <w:rsid w:val="00C605E8"/>
    <w:rsid w:val="00C60620"/>
    <w:rsid w:val="00C6089D"/>
    <w:rsid w:val="00C60D10"/>
    <w:rsid w:val="00C60ED0"/>
    <w:rsid w:val="00C60FBB"/>
    <w:rsid w:val="00C6102D"/>
    <w:rsid w:val="00C6107E"/>
    <w:rsid w:val="00C61110"/>
    <w:rsid w:val="00C6117E"/>
    <w:rsid w:val="00C61432"/>
    <w:rsid w:val="00C615BB"/>
    <w:rsid w:val="00C61A68"/>
    <w:rsid w:val="00C61B15"/>
    <w:rsid w:val="00C61C96"/>
    <w:rsid w:val="00C61CB7"/>
    <w:rsid w:val="00C61ECF"/>
    <w:rsid w:val="00C61F2B"/>
    <w:rsid w:val="00C61F2C"/>
    <w:rsid w:val="00C62336"/>
    <w:rsid w:val="00C626DE"/>
    <w:rsid w:val="00C62898"/>
    <w:rsid w:val="00C62E77"/>
    <w:rsid w:val="00C62F48"/>
    <w:rsid w:val="00C6310E"/>
    <w:rsid w:val="00C63188"/>
    <w:rsid w:val="00C63278"/>
    <w:rsid w:val="00C63593"/>
    <w:rsid w:val="00C63A39"/>
    <w:rsid w:val="00C63A4A"/>
    <w:rsid w:val="00C63B1F"/>
    <w:rsid w:val="00C63CFC"/>
    <w:rsid w:val="00C63E32"/>
    <w:rsid w:val="00C64041"/>
    <w:rsid w:val="00C64153"/>
    <w:rsid w:val="00C64229"/>
    <w:rsid w:val="00C64407"/>
    <w:rsid w:val="00C645AA"/>
    <w:rsid w:val="00C6470C"/>
    <w:rsid w:val="00C64C1D"/>
    <w:rsid w:val="00C64C70"/>
    <w:rsid w:val="00C64D57"/>
    <w:rsid w:val="00C650F0"/>
    <w:rsid w:val="00C6515B"/>
    <w:rsid w:val="00C65302"/>
    <w:rsid w:val="00C6543A"/>
    <w:rsid w:val="00C655EE"/>
    <w:rsid w:val="00C65A12"/>
    <w:rsid w:val="00C65D12"/>
    <w:rsid w:val="00C65D92"/>
    <w:rsid w:val="00C65DCB"/>
    <w:rsid w:val="00C65E29"/>
    <w:rsid w:val="00C65F13"/>
    <w:rsid w:val="00C66019"/>
    <w:rsid w:val="00C662C9"/>
    <w:rsid w:val="00C66519"/>
    <w:rsid w:val="00C66550"/>
    <w:rsid w:val="00C66837"/>
    <w:rsid w:val="00C66C6B"/>
    <w:rsid w:val="00C66C8F"/>
    <w:rsid w:val="00C66CF9"/>
    <w:rsid w:val="00C67021"/>
    <w:rsid w:val="00C675B7"/>
    <w:rsid w:val="00C678F0"/>
    <w:rsid w:val="00C679DF"/>
    <w:rsid w:val="00C67E0E"/>
    <w:rsid w:val="00C67EE6"/>
    <w:rsid w:val="00C70225"/>
    <w:rsid w:val="00C704AD"/>
    <w:rsid w:val="00C707AD"/>
    <w:rsid w:val="00C708F4"/>
    <w:rsid w:val="00C70B4A"/>
    <w:rsid w:val="00C71012"/>
    <w:rsid w:val="00C711A4"/>
    <w:rsid w:val="00C71284"/>
    <w:rsid w:val="00C713B6"/>
    <w:rsid w:val="00C71452"/>
    <w:rsid w:val="00C714B2"/>
    <w:rsid w:val="00C715F0"/>
    <w:rsid w:val="00C7185E"/>
    <w:rsid w:val="00C7186F"/>
    <w:rsid w:val="00C71A2B"/>
    <w:rsid w:val="00C71F00"/>
    <w:rsid w:val="00C71F22"/>
    <w:rsid w:val="00C71FB0"/>
    <w:rsid w:val="00C72318"/>
    <w:rsid w:val="00C724FC"/>
    <w:rsid w:val="00C726DF"/>
    <w:rsid w:val="00C728B7"/>
    <w:rsid w:val="00C72B94"/>
    <w:rsid w:val="00C72C2E"/>
    <w:rsid w:val="00C72C97"/>
    <w:rsid w:val="00C72E1E"/>
    <w:rsid w:val="00C72E40"/>
    <w:rsid w:val="00C73099"/>
    <w:rsid w:val="00C731F1"/>
    <w:rsid w:val="00C73CB5"/>
    <w:rsid w:val="00C73CD5"/>
    <w:rsid w:val="00C7405D"/>
    <w:rsid w:val="00C74210"/>
    <w:rsid w:val="00C74229"/>
    <w:rsid w:val="00C74417"/>
    <w:rsid w:val="00C74422"/>
    <w:rsid w:val="00C7469D"/>
    <w:rsid w:val="00C746D9"/>
    <w:rsid w:val="00C74A38"/>
    <w:rsid w:val="00C74AD2"/>
    <w:rsid w:val="00C74BED"/>
    <w:rsid w:val="00C74E26"/>
    <w:rsid w:val="00C74F27"/>
    <w:rsid w:val="00C74FA0"/>
    <w:rsid w:val="00C750FB"/>
    <w:rsid w:val="00C75206"/>
    <w:rsid w:val="00C753D4"/>
    <w:rsid w:val="00C7543A"/>
    <w:rsid w:val="00C7583E"/>
    <w:rsid w:val="00C758C2"/>
    <w:rsid w:val="00C75900"/>
    <w:rsid w:val="00C75A72"/>
    <w:rsid w:val="00C75B23"/>
    <w:rsid w:val="00C75C32"/>
    <w:rsid w:val="00C75CCF"/>
    <w:rsid w:val="00C75D79"/>
    <w:rsid w:val="00C75F90"/>
    <w:rsid w:val="00C762A0"/>
    <w:rsid w:val="00C7636D"/>
    <w:rsid w:val="00C764F1"/>
    <w:rsid w:val="00C765B2"/>
    <w:rsid w:val="00C7693A"/>
    <w:rsid w:val="00C76AC7"/>
    <w:rsid w:val="00C76E33"/>
    <w:rsid w:val="00C772FF"/>
    <w:rsid w:val="00C7776D"/>
    <w:rsid w:val="00C77927"/>
    <w:rsid w:val="00C77BE2"/>
    <w:rsid w:val="00C77CF4"/>
    <w:rsid w:val="00C7C276"/>
    <w:rsid w:val="00C802F3"/>
    <w:rsid w:val="00C80301"/>
    <w:rsid w:val="00C803C3"/>
    <w:rsid w:val="00C80621"/>
    <w:rsid w:val="00C8077C"/>
    <w:rsid w:val="00C80DFF"/>
    <w:rsid w:val="00C81064"/>
    <w:rsid w:val="00C81216"/>
    <w:rsid w:val="00C81287"/>
    <w:rsid w:val="00C81359"/>
    <w:rsid w:val="00C818E5"/>
    <w:rsid w:val="00C81904"/>
    <w:rsid w:val="00C81921"/>
    <w:rsid w:val="00C81940"/>
    <w:rsid w:val="00C81D8E"/>
    <w:rsid w:val="00C81DB6"/>
    <w:rsid w:val="00C81EE2"/>
    <w:rsid w:val="00C8239D"/>
    <w:rsid w:val="00C82479"/>
    <w:rsid w:val="00C825FA"/>
    <w:rsid w:val="00C8268A"/>
    <w:rsid w:val="00C82781"/>
    <w:rsid w:val="00C82C04"/>
    <w:rsid w:val="00C82E8C"/>
    <w:rsid w:val="00C83042"/>
    <w:rsid w:val="00C83065"/>
    <w:rsid w:val="00C832CD"/>
    <w:rsid w:val="00C8331D"/>
    <w:rsid w:val="00C834D2"/>
    <w:rsid w:val="00C83549"/>
    <w:rsid w:val="00C83664"/>
    <w:rsid w:val="00C83A6A"/>
    <w:rsid w:val="00C83AAE"/>
    <w:rsid w:val="00C846A5"/>
    <w:rsid w:val="00C847A9"/>
    <w:rsid w:val="00C84852"/>
    <w:rsid w:val="00C84898"/>
    <w:rsid w:val="00C84BA3"/>
    <w:rsid w:val="00C84CA0"/>
    <w:rsid w:val="00C8508F"/>
    <w:rsid w:val="00C854B8"/>
    <w:rsid w:val="00C85AE1"/>
    <w:rsid w:val="00C85B8E"/>
    <w:rsid w:val="00C8604F"/>
    <w:rsid w:val="00C863EF"/>
    <w:rsid w:val="00C865CC"/>
    <w:rsid w:val="00C8661D"/>
    <w:rsid w:val="00C867CA"/>
    <w:rsid w:val="00C868AC"/>
    <w:rsid w:val="00C86B68"/>
    <w:rsid w:val="00C86FB1"/>
    <w:rsid w:val="00C871C3"/>
    <w:rsid w:val="00C87348"/>
    <w:rsid w:val="00C87B4D"/>
    <w:rsid w:val="00C87D04"/>
    <w:rsid w:val="00C87D31"/>
    <w:rsid w:val="00C901D2"/>
    <w:rsid w:val="00C9070A"/>
    <w:rsid w:val="00C9073A"/>
    <w:rsid w:val="00C9089C"/>
    <w:rsid w:val="00C909AA"/>
    <w:rsid w:val="00C90E02"/>
    <w:rsid w:val="00C910C7"/>
    <w:rsid w:val="00C914CC"/>
    <w:rsid w:val="00C91579"/>
    <w:rsid w:val="00C91ADE"/>
    <w:rsid w:val="00C91B49"/>
    <w:rsid w:val="00C91C91"/>
    <w:rsid w:val="00C91DF7"/>
    <w:rsid w:val="00C92176"/>
    <w:rsid w:val="00C921EC"/>
    <w:rsid w:val="00C92212"/>
    <w:rsid w:val="00C92290"/>
    <w:rsid w:val="00C92461"/>
    <w:rsid w:val="00C924CF"/>
    <w:rsid w:val="00C926F5"/>
    <w:rsid w:val="00C9285C"/>
    <w:rsid w:val="00C9287A"/>
    <w:rsid w:val="00C92B05"/>
    <w:rsid w:val="00C92C5A"/>
    <w:rsid w:val="00C9329F"/>
    <w:rsid w:val="00C93321"/>
    <w:rsid w:val="00C93375"/>
    <w:rsid w:val="00C9347D"/>
    <w:rsid w:val="00C93B14"/>
    <w:rsid w:val="00C93CAA"/>
    <w:rsid w:val="00C93CE5"/>
    <w:rsid w:val="00C93D53"/>
    <w:rsid w:val="00C93FE5"/>
    <w:rsid w:val="00C940BE"/>
    <w:rsid w:val="00C941A8"/>
    <w:rsid w:val="00C94260"/>
    <w:rsid w:val="00C9441D"/>
    <w:rsid w:val="00C94A4C"/>
    <w:rsid w:val="00C94F84"/>
    <w:rsid w:val="00C951B9"/>
    <w:rsid w:val="00C9532D"/>
    <w:rsid w:val="00C95648"/>
    <w:rsid w:val="00C95677"/>
    <w:rsid w:val="00C95778"/>
    <w:rsid w:val="00C95AC9"/>
    <w:rsid w:val="00C95ACB"/>
    <w:rsid w:val="00C95BD9"/>
    <w:rsid w:val="00C9609A"/>
    <w:rsid w:val="00C9651D"/>
    <w:rsid w:val="00C96527"/>
    <w:rsid w:val="00C965C9"/>
    <w:rsid w:val="00C966C2"/>
    <w:rsid w:val="00C969B0"/>
    <w:rsid w:val="00C96BE9"/>
    <w:rsid w:val="00C96D37"/>
    <w:rsid w:val="00C96D55"/>
    <w:rsid w:val="00C96D5A"/>
    <w:rsid w:val="00C96F22"/>
    <w:rsid w:val="00C96F97"/>
    <w:rsid w:val="00C97113"/>
    <w:rsid w:val="00C975BF"/>
    <w:rsid w:val="00C975FF"/>
    <w:rsid w:val="00C97743"/>
    <w:rsid w:val="00C977BF"/>
    <w:rsid w:val="00C97840"/>
    <w:rsid w:val="00C978DE"/>
    <w:rsid w:val="00C97A19"/>
    <w:rsid w:val="00C97EA7"/>
    <w:rsid w:val="00C97FDD"/>
    <w:rsid w:val="00C97FEC"/>
    <w:rsid w:val="00CA004A"/>
    <w:rsid w:val="00CA0288"/>
    <w:rsid w:val="00CA0BC0"/>
    <w:rsid w:val="00CA0EE2"/>
    <w:rsid w:val="00CA112A"/>
    <w:rsid w:val="00CA1289"/>
    <w:rsid w:val="00CA12E0"/>
    <w:rsid w:val="00CA1321"/>
    <w:rsid w:val="00CA13DF"/>
    <w:rsid w:val="00CA15D0"/>
    <w:rsid w:val="00CA15D8"/>
    <w:rsid w:val="00CA1747"/>
    <w:rsid w:val="00CA18AD"/>
    <w:rsid w:val="00CA1936"/>
    <w:rsid w:val="00CA1A24"/>
    <w:rsid w:val="00CA1B68"/>
    <w:rsid w:val="00CA1CB6"/>
    <w:rsid w:val="00CA1D4E"/>
    <w:rsid w:val="00CA1F95"/>
    <w:rsid w:val="00CA233C"/>
    <w:rsid w:val="00CA28E8"/>
    <w:rsid w:val="00CA2DB8"/>
    <w:rsid w:val="00CA3211"/>
    <w:rsid w:val="00CA33B1"/>
    <w:rsid w:val="00CA340C"/>
    <w:rsid w:val="00CA357B"/>
    <w:rsid w:val="00CA35CD"/>
    <w:rsid w:val="00CA3772"/>
    <w:rsid w:val="00CA38C6"/>
    <w:rsid w:val="00CA3C6F"/>
    <w:rsid w:val="00CA3DE6"/>
    <w:rsid w:val="00CA3FC5"/>
    <w:rsid w:val="00CA4022"/>
    <w:rsid w:val="00CA403C"/>
    <w:rsid w:val="00CA4080"/>
    <w:rsid w:val="00CA41C3"/>
    <w:rsid w:val="00CA41F1"/>
    <w:rsid w:val="00CA4436"/>
    <w:rsid w:val="00CA4542"/>
    <w:rsid w:val="00CA4611"/>
    <w:rsid w:val="00CA46C9"/>
    <w:rsid w:val="00CA474A"/>
    <w:rsid w:val="00CA4870"/>
    <w:rsid w:val="00CA4C1E"/>
    <w:rsid w:val="00CA4CD8"/>
    <w:rsid w:val="00CA4D69"/>
    <w:rsid w:val="00CA4F60"/>
    <w:rsid w:val="00CA518A"/>
    <w:rsid w:val="00CA526B"/>
    <w:rsid w:val="00CA5396"/>
    <w:rsid w:val="00CA560D"/>
    <w:rsid w:val="00CA5720"/>
    <w:rsid w:val="00CA5921"/>
    <w:rsid w:val="00CA5C6B"/>
    <w:rsid w:val="00CA5CC4"/>
    <w:rsid w:val="00CA5D4F"/>
    <w:rsid w:val="00CA5DDA"/>
    <w:rsid w:val="00CA5DEE"/>
    <w:rsid w:val="00CA62D6"/>
    <w:rsid w:val="00CA6398"/>
    <w:rsid w:val="00CA645E"/>
    <w:rsid w:val="00CA6760"/>
    <w:rsid w:val="00CA6813"/>
    <w:rsid w:val="00CA69A9"/>
    <w:rsid w:val="00CA6A4C"/>
    <w:rsid w:val="00CA6D5E"/>
    <w:rsid w:val="00CA6E04"/>
    <w:rsid w:val="00CA6EE0"/>
    <w:rsid w:val="00CA6F30"/>
    <w:rsid w:val="00CA6F80"/>
    <w:rsid w:val="00CA70B6"/>
    <w:rsid w:val="00CA71B0"/>
    <w:rsid w:val="00CA730C"/>
    <w:rsid w:val="00CA73E2"/>
    <w:rsid w:val="00CA742F"/>
    <w:rsid w:val="00CA7466"/>
    <w:rsid w:val="00CA7481"/>
    <w:rsid w:val="00CA74EA"/>
    <w:rsid w:val="00CA75D0"/>
    <w:rsid w:val="00CA76E0"/>
    <w:rsid w:val="00CA77BE"/>
    <w:rsid w:val="00CA786F"/>
    <w:rsid w:val="00CA79B4"/>
    <w:rsid w:val="00CA7A97"/>
    <w:rsid w:val="00CA7AEC"/>
    <w:rsid w:val="00CA7C71"/>
    <w:rsid w:val="00CA7CA2"/>
    <w:rsid w:val="00CA7CB1"/>
    <w:rsid w:val="00CA7D09"/>
    <w:rsid w:val="00CA7F7D"/>
    <w:rsid w:val="00CB0370"/>
    <w:rsid w:val="00CB06B3"/>
    <w:rsid w:val="00CB0979"/>
    <w:rsid w:val="00CB0A82"/>
    <w:rsid w:val="00CB0ACE"/>
    <w:rsid w:val="00CB0C93"/>
    <w:rsid w:val="00CB0D35"/>
    <w:rsid w:val="00CB0F59"/>
    <w:rsid w:val="00CB119C"/>
    <w:rsid w:val="00CB1476"/>
    <w:rsid w:val="00CB1519"/>
    <w:rsid w:val="00CB1658"/>
    <w:rsid w:val="00CB1698"/>
    <w:rsid w:val="00CB1819"/>
    <w:rsid w:val="00CB1F72"/>
    <w:rsid w:val="00CB1F91"/>
    <w:rsid w:val="00CB21A0"/>
    <w:rsid w:val="00CB2B1C"/>
    <w:rsid w:val="00CB2E9E"/>
    <w:rsid w:val="00CB3354"/>
    <w:rsid w:val="00CB3B10"/>
    <w:rsid w:val="00CB3BA0"/>
    <w:rsid w:val="00CB3E2A"/>
    <w:rsid w:val="00CB40F2"/>
    <w:rsid w:val="00CB4152"/>
    <w:rsid w:val="00CB42C1"/>
    <w:rsid w:val="00CB42CE"/>
    <w:rsid w:val="00CB438C"/>
    <w:rsid w:val="00CB4524"/>
    <w:rsid w:val="00CB4571"/>
    <w:rsid w:val="00CB511D"/>
    <w:rsid w:val="00CB51FC"/>
    <w:rsid w:val="00CB53BA"/>
    <w:rsid w:val="00CB5493"/>
    <w:rsid w:val="00CB579E"/>
    <w:rsid w:val="00CB59D1"/>
    <w:rsid w:val="00CB6008"/>
    <w:rsid w:val="00CB6353"/>
    <w:rsid w:val="00CB6433"/>
    <w:rsid w:val="00CB6615"/>
    <w:rsid w:val="00CB66BC"/>
    <w:rsid w:val="00CB67F9"/>
    <w:rsid w:val="00CB691A"/>
    <w:rsid w:val="00CB6A3E"/>
    <w:rsid w:val="00CB6A57"/>
    <w:rsid w:val="00CB6BEE"/>
    <w:rsid w:val="00CB7058"/>
    <w:rsid w:val="00CB7108"/>
    <w:rsid w:val="00CB720C"/>
    <w:rsid w:val="00CB7396"/>
    <w:rsid w:val="00CB74E9"/>
    <w:rsid w:val="00CB7593"/>
    <w:rsid w:val="00CB7680"/>
    <w:rsid w:val="00CB780B"/>
    <w:rsid w:val="00CB7956"/>
    <w:rsid w:val="00CC0025"/>
    <w:rsid w:val="00CC008B"/>
    <w:rsid w:val="00CC00C8"/>
    <w:rsid w:val="00CC020B"/>
    <w:rsid w:val="00CC02C1"/>
    <w:rsid w:val="00CC0371"/>
    <w:rsid w:val="00CC0449"/>
    <w:rsid w:val="00CC079D"/>
    <w:rsid w:val="00CC092E"/>
    <w:rsid w:val="00CC09B6"/>
    <w:rsid w:val="00CC09FF"/>
    <w:rsid w:val="00CC0BC7"/>
    <w:rsid w:val="00CC0BE5"/>
    <w:rsid w:val="00CC0D40"/>
    <w:rsid w:val="00CC10F3"/>
    <w:rsid w:val="00CC1150"/>
    <w:rsid w:val="00CC12D8"/>
    <w:rsid w:val="00CC130F"/>
    <w:rsid w:val="00CC1A8F"/>
    <w:rsid w:val="00CC1B26"/>
    <w:rsid w:val="00CC1BA6"/>
    <w:rsid w:val="00CC1C5F"/>
    <w:rsid w:val="00CC1CF5"/>
    <w:rsid w:val="00CC1F9B"/>
    <w:rsid w:val="00CC20F3"/>
    <w:rsid w:val="00CC23A7"/>
    <w:rsid w:val="00CC23EF"/>
    <w:rsid w:val="00CC2406"/>
    <w:rsid w:val="00CC25EF"/>
    <w:rsid w:val="00CC26BB"/>
    <w:rsid w:val="00CC299A"/>
    <w:rsid w:val="00CC29BE"/>
    <w:rsid w:val="00CC2A5E"/>
    <w:rsid w:val="00CC2AEB"/>
    <w:rsid w:val="00CC2BC3"/>
    <w:rsid w:val="00CC2DAE"/>
    <w:rsid w:val="00CC2E77"/>
    <w:rsid w:val="00CC3240"/>
    <w:rsid w:val="00CC3437"/>
    <w:rsid w:val="00CC38FE"/>
    <w:rsid w:val="00CC39EF"/>
    <w:rsid w:val="00CC3ABE"/>
    <w:rsid w:val="00CC40A1"/>
    <w:rsid w:val="00CC4A43"/>
    <w:rsid w:val="00CC4A5D"/>
    <w:rsid w:val="00CC4AC0"/>
    <w:rsid w:val="00CC4E0C"/>
    <w:rsid w:val="00CC4ED1"/>
    <w:rsid w:val="00CC53EE"/>
    <w:rsid w:val="00CC5458"/>
    <w:rsid w:val="00CC5562"/>
    <w:rsid w:val="00CC58C1"/>
    <w:rsid w:val="00CC591C"/>
    <w:rsid w:val="00CC59E1"/>
    <w:rsid w:val="00CC5A10"/>
    <w:rsid w:val="00CC5D83"/>
    <w:rsid w:val="00CC5EFD"/>
    <w:rsid w:val="00CC602C"/>
    <w:rsid w:val="00CC62FA"/>
    <w:rsid w:val="00CC63C7"/>
    <w:rsid w:val="00CC6497"/>
    <w:rsid w:val="00CC69B9"/>
    <w:rsid w:val="00CC6A09"/>
    <w:rsid w:val="00CC6D93"/>
    <w:rsid w:val="00CC6E40"/>
    <w:rsid w:val="00CC6E5B"/>
    <w:rsid w:val="00CC6E63"/>
    <w:rsid w:val="00CC70A1"/>
    <w:rsid w:val="00CC722D"/>
    <w:rsid w:val="00CC775D"/>
    <w:rsid w:val="00CC785D"/>
    <w:rsid w:val="00CC7CB1"/>
    <w:rsid w:val="00CC7E73"/>
    <w:rsid w:val="00CC7FB9"/>
    <w:rsid w:val="00CC7FFE"/>
    <w:rsid w:val="00CD0080"/>
    <w:rsid w:val="00CD067E"/>
    <w:rsid w:val="00CD09F6"/>
    <w:rsid w:val="00CD0F09"/>
    <w:rsid w:val="00CD0F0F"/>
    <w:rsid w:val="00CD0FB6"/>
    <w:rsid w:val="00CD1131"/>
    <w:rsid w:val="00CD1233"/>
    <w:rsid w:val="00CD1434"/>
    <w:rsid w:val="00CD17EE"/>
    <w:rsid w:val="00CD1961"/>
    <w:rsid w:val="00CD1C77"/>
    <w:rsid w:val="00CD1CA0"/>
    <w:rsid w:val="00CD1ED9"/>
    <w:rsid w:val="00CD1FF6"/>
    <w:rsid w:val="00CD219F"/>
    <w:rsid w:val="00CD22D2"/>
    <w:rsid w:val="00CD2330"/>
    <w:rsid w:val="00CD2430"/>
    <w:rsid w:val="00CD2777"/>
    <w:rsid w:val="00CD2839"/>
    <w:rsid w:val="00CD2BA3"/>
    <w:rsid w:val="00CD2C82"/>
    <w:rsid w:val="00CD30CB"/>
    <w:rsid w:val="00CD3423"/>
    <w:rsid w:val="00CD35D5"/>
    <w:rsid w:val="00CD35D6"/>
    <w:rsid w:val="00CD36C5"/>
    <w:rsid w:val="00CD3895"/>
    <w:rsid w:val="00CD39BC"/>
    <w:rsid w:val="00CD3B9D"/>
    <w:rsid w:val="00CD3E02"/>
    <w:rsid w:val="00CD40BE"/>
    <w:rsid w:val="00CD411F"/>
    <w:rsid w:val="00CD4120"/>
    <w:rsid w:val="00CD48EB"/>
    <w:rsid w:val="00CD4A36"/>
    <w:rsid w:val="00CD4B74"/>
    <w:rsid w:val="00CD4D88"/>
    <w:rsid w:val="00CD4DFD"/>
    <w:rsid w:val="00CD4EA8"/>
    <w:rsid w:val="00CD5021"/>
    <w:rsid w:val="00CD52E6"/>
    <w:rsid w:val="00CD54AB"/>
    <w:rsid w:val="00CD5714"/>
    <w:rsid w:val="00CD5815"/>
    <w:rsid w:val="00CD586D"/>
    <w:rsid w:val="00CD5ABD"/>
    <w:rsid w:val="00CD5B69"/>
    <w:rsid w:val="00CD5B9F"/>
    <w:rsid w:val="00CD603F"/>
    <w:rsid w:val="00CD6552"/>
    <w:rsid w:val="00CD66DC"/>
    <w:rsid w:val="00CD672D"/>
    <w:rsid w:val="00CD6812"/>
    <w:rsid w:val="00CD6AD7"/>
    <w:rsid w:val="00CD6BC4"/>
    <w:rsid w:val="00CD6E11"/>
    <w:rsid w:val="00CD6E43"/>
    <w:rsid w:val="00CD72DA"/>
    <w:rsid w:val="00CD73E4"/>
    <w:rsid w:val="00CD743F"/>
    <w:rsid w:val="00CD77EB"/>
    <w:rsid w:val="00CD780D"/>
    <w:rsid w:val="00CD79A6"/>
    <w:rsid w:val="00CD79DF"/>
    <w:rsid w:val="00CD7BDD"/>
    <w:rsid w:val="00CD7DFC"/>
    <w:rsid w:val="00CE003C"/>
    <w:rsid w:val="00CE003E"/>
    <w:rsid w:val="00CE0295"/>
    <w:rsid w:val="00CE0396"/>
    <w:rsid w:val="00CE044A"/>
    <w:rsid w:val="00CE0649"/>
    <w:rsid w:val="00CE0861"/>
    <w:rsid w:val="00CE09E3"/>
    <w:rsid w:val="00CE09E9"/>
    <w:rsid w:val="00CE1108"/>
    <w:rsid w:val="00CE1283"/>
    <w:rsid w:val="00CE1552"/>
    <w:rsid w:val="00CE1A04"/>
    <w:rsid w:val="00CE1B81"/>
    <w:rsid w:val="00CE239D"/>
    <w:rsid w:val="00CE252A"/>
    <w:rsid w:val="00CE25F4"/>
    <w:rsid w:val="00CE27FF"/>
    <w:rsid w:val="00CE285D"/>
    <w:rsid w:val="00CE2952"/>
    <w:rsid w:val="00CE2D6C"/>
    <w:rsid w:val="00CE2D8D"/>
    <w:rsid w:val="00CE304A"/>
    <w:rsid w:val="00CE30CF"/>
    <w:rsid w:val="00CE30EB"/>
    <w:rsid w:val="00CE32C1"/>
    <w:rsid w:val="00CE336D"/>
    <w:rsid w:val="00CE33DC"/>
    <w:rsid w:val="00CE348E"/>
    <w:rsid w:val="00CE34E9"/>
    <w:rsid w:val="00CE3538"/>
    <w:rsid w:val="00CE3563"/>
    <w:rsid w:val="00CE35C0"/>
    <w:rsid w:val="00CE36F0"/>
    <w:rsid w:val="00CE3740"/>
    <w:rsid w:val="00CE3759"/>
    <w:rsid w:val="00CE388C"/>
    <w:rsid w:val="00CE3936"/>
    <w:rsid w:val="00CE3B8D"/>
    <w:rsid w:val="00CE3CE8"/>
    <w:rsid w:val="00CE3E05"/>
    <w:rsid w:val="00CE42CC"/>
    <w:rsid w:val="00CE45F7"/>
    <w:rsid w:val="00CE46B3"/>
    <w:rsid w:val="00CE4712"/>
    <w:rsid w:val="00CE473D"/>
    <w:rsid w:val="00CE488C"/>
    <w:rsid w:val="00CE48D2"/>
    <w:rsid w:val="00CE4D19"/>
    <w:rsid w:val="00CE4D8F"/>
    <w:rsid w:val="00CE4FBC"/>
    <w:rsid w:val="00CE512E"/>
    <w:rsid w:val="00CE5325"/>
    <w:rsid w:val="00CE58DC"/>
    <w:rsid w:val="00CE5CFA"/>
    <w:rsid w:val="00CE5EF7"/>
    <w:rsid w:val="00CE5F46"/>
    <w:rsid w:val="00CE60EC"/>
    <w:rsid w:val="00CE615F"/>
    <w:rsid w:val="00CE622C"/>
    <w:rsid w:val="00CE656C"/>
    <w:rsid w:val="00CE67AE"/>
    <w:rsid w:val="00CE6A31"/>
    <w:rsid w:val="00CE6D44"/>
    <w:rsid w:val="00CE6F35"/>
    <w:rsid w:val="00CE7061"/>
    <w:rsid w:val="00CE73FF"/>
    <w:rsid w:val="00CE75B4"/>
    <w:rsid w:val="00CE77F2"/>
    <w:rsid w:val="00CE77F4"/>
    <w:rsid w:val="00CE7B20"/>
    <w:rsid w:val="00CE7D1D"/>
    <w:rsid w:val="00CE7F1E"/>
    <w:rsid w:val="00CE7F39"/>
    <w:rsid w:val="00CF0030"/>
    <w:rsid w:val="00CF03EF"/>
    <w:rsid w:val="00CF0471"/>
    <w:rsid w:val="00CF05AB"/>
    <w:rsid w:val="00CF0A7A"/>
    <w:rsid w:val="00CF0A9B"/>
    <w:rsid w:val="00CF0C28"/>
    <w:rsid w:val="00CF1359"/>
    <w:rsid w:val="00CF1369"/>
    <w:rsid w:val="00CF16AB"/>
    <w:rsid w:val="00CF16B6"/>
    <w:rsid w:val="00CF1847"/>
    <w:rsid w:val="00CF19C0"/>
    <w:rsid w:val="00CF1A4A"/>
    <w:rsid w:val="00CF2035"/>
    <w:rsid w:val="00CF24B4"/>
    <w:rsid w:val="00CF27DA"/>
    <w:rsid w:val="00CF2820"/>
    <w:rsid w:val="00CF2920"/>
    <w:rsid w:val="00CF2AA8"/>
    <w:rsid w:val="00CF2AE0"/>
    <w:rsid w:val="00CF2B4F"/>
    <w:rsid w:val="00CF2DEC"/>
    <w:rsid w:val="00CF2E90"/>
    <w:rsid w:val="00CF2F91"/>
    <w:rsid w:val="00CF30D0"/>
    <w:rsid w:val="00CF33BA"/>
    <w:rsid w:val="00CF348C"/>
    <w:rsid w:val="00CF37FD"/>
    <w:rsid w:val="00CF3866"/>
    <w:rsid w:val="00CF3A1D"/>
    <w:rsid w:val="00CF40CB"/>
    <w:rsid w:val="00CF4108"/>
    <w:rsid w:val="00CF4C86"/>
    <w:rsid w:val="00CF4F1F"/>
    <w:rsid w:val="00CF50CB"/>
    <w:rsid w:val="00CF51C0"/>
    <w:rsid w:val="00CF558B"/>
    <w:rsid w:val="00CF565E"/>
    <w:rsid w:val="00CF59F1"/>
    <w:rsid w:val="00CF5C06"/>
    <w:rsid w:val="00CF5C97"/>
    <w:rsid w:val="00CF5D2C"/>
    <w:rsid w:val="00CF5DF1"/>
    <w:rsid w:val="00CF6237"/>
    <w:rsid w:val="00CF6264"/>
    <w:rsid w:val="00CF65DB"/>
    <w:rsid w:val="00CF6917"/>
    <w:rsid w:val="00CF69E5"/>
    <w:rsid w:val="00CF6A65"/>
    <w:rsid w:val="00CF6ECD"/>
    <w:rsid w:val="00CF6F49"/>
    <w:rsid w:val="00CF743D"/>
    <w:rsid w:val="00CF7625"/>
    <w:rsid w:val="00CF762E"/>
    <w:rsid w:val="00CF76C1"/>
    <w:rsid w:val="00CF7850"/>
    <w:rsid w:val="00CF7970"/>
    <w:rsid w:val="00CF7C26"/>
    <w:rsid w:val="00CF7E6C"/>
    <w:rsid w:val="00CF7FC7"/>
    <w:rsid w:val="00D00004"/>
    <w:rsid w:val="00D0002A"/>
    <w:rsid w:val="00D0005F"/>
    <w:rsid w:val="00D0009D"/>
    <w:rsid w:val="00D001E4"/>
    <w:rsid w:val="00D006EE"/>
    <w:rsid w:val="00D00A4C"/>
    <w:rsid w:val="00D00A6D"/>
    <w:rsid w:val="00D00E2C"/>
    <w:rsid w:val="00D00E43"/>
    <w:rsid w:val="00D010B0"/>
    <w:rsid w:val="00D01207"/>
    <w:rsid w:val="00D01285"/>
    <w:rsid w:val="00D0128D"/>
    <w:rsid w:val="00D0131E"/>
    <w:rsid w:val="00D013A3"/>
    <w:rsid w:val="00D014A7"/>
    <w:rsid w:val="00D016EF"/>
    <w:rsid w:val="00D01713"/>
    <w:rsid w:val="00D01847"/>
    <w:rsid w:val="00D01B87"/>
    <w:rsid w:val="00D01D34"/>
    <w:rsid w:val="00D01D54"/>
    <w:rsid w:val="00D01E7A"/>
    <w:rsid w:val="00D01EAB"/>
    <w:rsid w:val="00D01F42"/>
    <w:rsid w:val="00D02091"/>
    <w:rsid w:val="00D0215A"/>
    <w:rsid w:val="00D02406"/>
    <w:rsid w:val="00D02479"/>
    <w:rsid w:val="00D0255C"/>
    <w:rsid w:val="00D0275F"/>
    <w:rsid w:val="00D027B0"/>
    <w:rsid w:val="00D02858"/>
    <w:rsid w:val="00D02B7B"/>
    <w:rsid w:val="00D02C1B"/>
    <w:rsid w:val="00D02DB2"/>
    <w:rsid w:val="00D02DF1"/>
    <w:rsid w:val="00D0314E"/>
    <w:rsid w:val="00D033E2"/>
    <w:rsid w:val="00D03437"/>
    <w:rsid w:val="00D034AF"/>
    <w:rsid w:val="00D03786"/>
    <w:rsid w:val="00D03B24"/>
    <w:rsid w:val="00D03E55"/>
    <w:rsid w:val="00D03EDA"/>
    <w:rsid w:val="00D03F61"/>
    <w:rsid w:val="00D0443E"/>
    <w:rsid w:val="00D045AE"/>
    <w:rsid w:val="00D04743"/>
    <w:rsid w:val="00D04749"/>
    <w:rsid w:val="00D047C6"/>
    <w:rsid w:val="00D0486D"/>
    <w:rsid w:val="00D049DA"/>
    <w:rsid w:val="00D0555E"/>
    <w:rsid w:val="00D055BC"/>
    <w:rsid w:val="00D05AFE"/>
    <w:rsid w:val="00D05E76"/>
    <w:rsid w:val="00D06064"/>
    <w:rsid w:val="00D062F2"/>
    <w:rsid w:val="00D06464"/>
    <w:rsid w:val="00D06506"/>
    <w:rsid w:val="00D066D9"/>
    <w:rsid w:val="00D066F1"/>
    <w:rsid w:val="00D06709"/>
    <w:rsid w:val="00D067E8"/>
    <w:rsid w:val="00D06923"/>
    <w:rsid w:val="00D06962"/>
    <w:rsid w:val="00D069CE"/>
    <w:rsid w:val="00D06A0D"/>
    <w:rsid w:val="00D06CAC"/>
    <w:rsid w:val="00D06F11"/>
    <w:rsid w:val="00D07176"/>
    <w:rsid w:val="00D0727D"/>
    <w:rsid w:val="00D07328"/>
    <w:rsid w:val="00D07342"/>
    <w:rsid w:val="00D0755C"/>
    <w:rsid w:val="00D07808"/>
    <w:rsid w:val="00D07A25"/>
    <w:rsid w:val="00D07BCE"/>
    <w:rsid w:val="00D07E33"/>
    <w:rsid w:val="00D10002"/>
    <w:rsid w:val="00D1021B"/>
    <w:rsid w:val="00D10498"/>
    <w:rsid w:val="00D1054E"/>
    <w:rsid w:val="00D108B1"/>
    <w:rsid w:val="00D10B76"/>
    <w:rsid w:val="00D10BC5"/>
    <w:rsid w:val="00D10C7E"/>
    <w:rsid w:val="00D10E43"/>
    <w:rsid w:val="00D1105D"/>
    <w:rsid w:val="00D11157"/>
    <w:rsid w:val="00D1124A"/>
    <w:rsid w:val="00D11286"/>
    <w:rsid w:val="00D118F0"/>
    <w:rsid w:val="00D11A6F"/>
    <w:rsid w:val="00D11B1C"/>
    <w:rsid w:val="00D11C2A"/>
    <w:rsid w:val="00D11CCB"/>
    <w:rsid w:val="00D1206F"/>
    <w:rsid w:val="00D121C9"/>
    <w:rsid w:val="00D12378"/>
    <w:rsid w:val="00D12490"/>
    <w:rsid w:val="00D124E3"/>
    <w:rsid w:val="00D12943"/>
    <w:rsid w:val="00D12D61"/>
    <w:rsid w:val="00D12DAF"/>
    <w:rsid w:val="00D130F4"/>
    <w:rsid w:val="00D13170"/>
    <w:rsid w:val="00D13207"/>
    <w:rsid w:val="00D13410"/>
    <w:rsid w:val="00D1375D"/>
    <w:rsid w:val="00D13910"/>
    <w:rsid w:val="00D14203"/>
    <w:rsid w:val="00D142D3"/>
    <w:rsid w:val="00D1441B"/>
    <w:rsid w:val="00D1449B"/>
    <w:rsid w:val="00D14672"/>
    <w:rsid w:val="00D14856"/>
    <w:rsid w:val="00D149A1"/>
    <w:rsid w:val="00D14B51"/>
    <w:rsid w:val="00D14CC5"/>
    <w:rsid w:val="00D14DCD"/>
    <w:rsid w:val="00D15039"/>
    <w:rsid w:val="00D150D5"/>
    <w:rsid w:val="00D1517B"/>
    <w:rsid w:val="00D15342"/>
    <w:rsid w:val="00D1540E"/>
    <w:rsid w:val="00D15816"/>
    <w:rsid w:val="00D15971"/>
    <w:rsid w:val="00D159BF"/>
    <w:rsid w:val="00D1611C"/>
    <w:rsid w:val="00D1627B"/>
    <w:rsid w:val="00D162D9"/>
    <w:rsid w:val="00D166C5"/>
    <w:rsid w:val="00D16BFE"/>
    <w:rsid w:val="00D16CCB"/>
    <w:rsid w:val="00D16E49"/>
    <w:rsid w:val="00D173FA"/>
    <w:rsid w:val="00D1755B"/>
    <w:rsid w:val="00D17782"/>
    <w:rsid w:val="00D1788F"/>
    <w:rsid w:val="00D17BC2"/>
    <w:rsid w:val="00D17F99"/>
    <w:rsid w:val="00D200DA"/>
    <w:rsid w:val="00D2077D"/>
    <w:rsid w:val="00D20AA5"/>
    <w:rsid w:val="00D20AC6"/>
    <w:rsid w:val="00D20C7C"/>
    <w:rsid w:val="00D20ED3"/>
    <w:rsid w:val="00D20EF2"/>
    <w:rsid w:val="00D21098"/>
    <w:rsid w:val="00D2111A"/>
    <w:rsid w:val="00D2160F"/>
    <w:rsid w:val="00D2164A"/>
    <w:rsid w:val="00D219AA"/>
    <w:rsid w:val="00D21ADF"/>
    <w:rsid w:val="00D21E25"/>
    <w:rsid w:val="00D21FC4"/>
    <w:rsid w:val="00D2247E"/>
    <w:rsid w:val="00D22856"/>
    <w:rsid w:val="00D228A0"/>
    <w:rsid w:val="00D22AEB"/>
    <w:rsid w:val="00D22D1D"/>
    <w:rsid w:val="00D22EA9"/>
    <w:rsid w:val="00D2309E"/>
    <w:rsid w:val="00D23222"/>
    <w:rsid w:val="00D2360C"/>
    <w:rsid w:val="00D23676"/>
    <w:rsid w:val="00D23778"/>
    <w:rsid w:val="00D2378E"/>
    <w:rsid w:val="00D23903"/>
    <w:rsid w:val="00D23BD8"/>
    <w:rsid w:val="00D23E4F"/>
    <w:rsid w:val="00D24029"/>
    <w:rsid w:val="00D24076"/>
    <w:rsid w:val="00D2408A"/>
    <w:rsid w:val="00D24193"/>
    <w:rsid w:val="00D245C0"/>
    <w:rsid w:val="00D2479F"/>
    <w:rsid w:val="00D24A08"/>
    <w:rsid w:val="00D2553C"/>
    <w:rsid w:val="00D2560E"/>
    <w:rsid w:val="00D2568E"/>
    <w:rsid w:val="00D256C7"/>
    <w:rsid w:val="00D25866"/>
    <w:rsid w:val="00D25881"/>
    <w:rsid w:val="00D25882"/>
    <w:rsid w:val="00D25A56"/>
    <w:rsid w:val="00D25DDD"/>
    <w:rsid w:val="00D263A5"/>
    <w:rsid w:val="00D26417"/>
    <w:rsid w:val="00D26487"/>
    <w:rsid w:val="00D2663A"/>
    <w:rsid w:val="00D26EDB"/>
    <w:rsid w:val="00D2715A"/>
    <w:rsid w:val="00D27169"/>
    <w:rsid w:val="00D2717E"/>
    <w:rsid w:val="00D273B3"/>
    <w:rsid w:val="00D273E5"/>
    <w:rsid w:val="00D273E7"/>
    <w:rsid w:val="00D27908"/>
    <w:rsid w:val="00D27941"/>
    <w:rsid w:val="00D27CBB"/>
    <w:rsid w:val="00D27DFB"/>
    <w:rsid w:val="00D27F20"/>
    <w:rsid w:val="00D27F83"/>
    <w:rsid w:val="00D28E24"/>
    <w:rsid w:val="00D30053"/>
    <w:rsid w:val="00D30409"/>
    <w:rsid w:val="00D30BA1"/>
    <w:rsid w:val="00D30BCE"/>
    <w:rsid w:val="00D30CE4"/>
    <w:rsid w:val="00D30EA1"/>
    <w:rsid w:val="00D3116D"/>
    <w:rsid w:val="00D31414"/>
    <w:rsid w:val="00D31467"/>
    <w:rsid w:val="00D3153F"/>
    <w:rsid w:val="00D31639"/>
    <w:rsid w:val="00D31969"/>
    <w:rsid w:val="00D319B6"/>
    <w:rsid w:val="00D31B23"/>
    <w:rsid w:val="00D31D19"/>
    <w:rsid w:val="00D31D51"/>
    <w:rsid w:val="00D31E39"/>
    <w:rsid w:val="00D3213C"/>
    <w:rsid w:val="00D32260"/>
    <w:rsid w:val="00D322F6"/>
    <w:rsid w:val="00D32467"/>
    <w:rsid w:val="00D32F9A"/>
    <w:rsid w:val="00D330BF"/>
    <w:rsid w:val="00D333EE"/>
    <w:rsid w:val="00D3390F"/>
    <w:rsid w:val="00D33BB4"/>
    <w:rsid w:val="00D33E37"/>
    <w:rsid w:val="00D33F04"/>
    <w:rsid w:val="00D33FC3"/>
    <w:rsid w:val="00D34061"/>
    <w:rsid w:val="00D34257"/>
    <w:rsid w:val="00D34299"/>
    <w:rsid w:val="00D347F7"/>
    <w:rsid w:val="00D34D15"/>
    <w:rsid w:val="00D34D5F"/>
    <w:rsid w:val="00D34F1A"/>
    <w:rsid w:val="00D34F4E"/>
    <w:rsid w:val="00D34FDE"/>
    <w:rsid w:val="00D351FE"/>
    <w:rsid w:val="00D3547E"/>
    <w:rsid w:val="00D35720"/>
    <w:rsid w:val="00D35B5E"/>
    <w:rsid w:val="00D35E4B"/>
    <w:rsid w:val="00D360E7"/>
    <w:rsid w:val="00D36254"/>
    <w:rsid w:val="00D36358"/>
    <w:rsid w:val="00D36442"/>
    <w:rsid w:val="00D367FB"/>
    <w:rsid w:val="00D3686E"/>
    <w:rsid w:val="00D368F9"/>
    <w:rsid w:val="00D36B4B"/>
    <w:rsid w:val="00D36FF0"/>
    <w:rsid w:val="00D372FC"/>
    <w:rsid w:val="00D373F9"/>
    <w:rsid w:val="00D3782F"/>
    <w:rsid w:val="00D37881"/>
    <w:rsid w:val="00D37950"/>
    <w:rsid w:val="00D37ABC"/>
    <w:rsid w:val="00D37B14"/>
    <w:rsid w:val="00D37B44"/>
    <w:rsid w:val="00D37D64"/>
    <w:rsid w:val="00D37E62"/>
    <w:rsid w:val="00D37F1B"/>
    <w:rsid w:val="00D3C6CB"/>
    <w:rsid w:val="00D40108"/>
    <w:rsid w:val="00D4011C"/>
    <w:rsid w:val="00D40373"/>
    <w:rsid w:val="00D40795"/>
    <w:rsid w:val="00D407B6"/>
    <w:rsid w:val="00D40990"/>
    <w:rsid w:val="00D40AB2"/>
    <w:rsid w:val="00D40BDA"/>
    <w:rsid w:val="00D40E9A"/>
    <w:rsid w:val="00D410D7"/>
    <w:rsid w:val="00D414A5"/>
    <w:rsid w:val="00D421EA"/>
    <w:rsid w:val="00D422D9"/>
    <w:rsid w:val="00D424D0"/>
    <w:rsid w:val="00D425D0"/>
    <w:rsid w:val="00D426A2"/>
    <w:rsid w:val="00D42714"/>
    <w:rsid w:val="00D4277C"/>
    <w:rsid w:val="00D42792"/>
    <w:rsid w:val="00D429B5"/>
    <w:rsid w:val="00D42A35"/>
    <w:rsid w:val="00D42AC7"/>
    <w:rsid w:val="00D42D4A"/>
    <w:rsid w:val="00D42EF4"/>
    <w:rsid w:val="00D4310D"/>
    <w:rsid w:val="00D43227"/>
    <w:rsid w:val="00D43405"/>
    <w:rsid w:val="00D43415"/>
    <w:rsid w:val="00D4351D"/>
    <w:rsid w:val="00D435CB"/>
    <w:rsid w:val="00D43703"/>
    <w:rsid w:val="00D437A9"/>
    <w:rsid w:val="00D438B0"/>
    <w:rsid w:val="00D43941"/>
    <w:rsid w:val="00D43961"/>
    <w:rsid w:val="00D43A3A"/>
    <w:rsid w:val="00D43B46"/>
    <w:rsid w:val="00D43F10"/>
    <w:rsid w:val="00D44069"/>
    <w:rsid w:val="00D4440D"/>
    <w:rsid w:val="00D4443E"/>
    <w:rsid w:val="00D44721"/>
    <w:rsid w:val="00D44900"/>
    <w:rsid w:val="00D44ADC"/>
    <w:rsid w:val="00D4542C"/>
    <w:rsid w:val="00D45565"/>
    <w:rsid w:val="00D45917"/>
    <w:rsid w:val="00D45918"/>
    <w:rsid w:val="00D45B8C"/>
    <w:rsid w:val="00D45BC5"/>
    <w:rsid w:val="00D45CAD"/>
    <w:rsid w:val="00D45EC1"/>
    <w:rsid w:val="00D46057"/>
    <w:rsid w:val="00D460D5"/>
    <w:rsid w:val="00D46208"/>
    <w:rsid w:val="00D46232"/>
    <w:rsid w:val="00D462EA"/>
    <w:rsid w:val="00D4693F"/>
    <w:rsid w:val="00D46B17"/>
    <w:rsid w:val="00D46C5A"/>
    <w:rsid w:val="00D46DE3"/>
    <w:rsid w:val="00D47096"/>
    <w:rsid w:val="00D47399"/>
    <w:rsid w:val="00D473F1"/>
    <w:rsid w:val="00D47485"/>
    <w:rsid w:val="00D47675"/>
    <w:rsid w:val="00D47805"/>
    <w:rsid w:val="00D47BB7"/>
    <w:rsid w:val="00D47CF5"/>
    <w:rsid w:val="00D47DD6"/>
    <w:rsid w:val="00D5004F"/>
    <w:rsid w:val="00D500EF"/>
    <w:rsid w:val="00D502A0"/>
    <w:rsid w:val="00D505FB"/>
    <w:rsid w:val="00D50877"/>
    <w:rsid w:val="00D50960"/>
    <w:rsid w:val="00D50C96"/>
    <w:rsid w:val="00D50DD0"/>
    <w:rsid w:val="00D50EDE"/>
    <w:rsid w:val="00D50EF6"/>
    <w:rsid w:val="00D513F6"/>
    <w:rsid w:val="00D514C1"/>
    <w:rsid w:val="00D51678"/>
    <w:rsid w:val="00D51796"/>
    <w:rsid w:val="00D5183D"/>
    <w:rsid w:val="00D5198D"/>
    <w:rsid w:val="00D51D44"/>
    <w:rsid w:val="00D52186"/>
    <w:rsid w:val="00D52265"/>
    <w:rsid w:val="00D52539"/>
    <w:rsid w:val="00D52571"/>
    <w:rsid w:val="00D5259F"/>
    <w:rsid w:val="00D5297F"/>
    <w:rsid w:val="00D52A0D"/>
    <w:rsid w:val="00D52AEE"/>
    <w:rsid w:val="00D52AF9"/>
    <w:rsid w:val="00D52AFD"/>
    <w:rsid w:val="00D52D29"/>
    <w:rsid w:val="00D53218"/>
    <w:rsid w:val="00D532B8"/>
    <w:rsid w:val="00D53A0E"/>
    <w:rsid w:val="00D53A8E"/>
    <w:rsid w:val="00D54246"/>
    <w:rsid w:val="00D54440"/>
    <w:rsid w:val="00D545D4"/>
    <w:rsid w:val="00D5461B"/>
    <w:rsid w:val="00D54A61"/>
    <w:rsid w:val="00D54AE3"/>
    <w:rsid w:val="00D54C01"/>
    <w:rsid w:val="00D54CCB"/>
    <w:rsid w:val="00D54F99"/>
    <w:rsid w:val="00D558AE"/>
    <w:rsid w:val="00D55A6D"/>
    <w:rsid w:val="00D55B04"/>
    <w:rsid w:val="00D55D51"/>
    <w:rsid w:val="00D55DFE"/>
    <w:rsid w:val="00D55E7A"/>
    <w:rsid w:val="00D5602A"/>
    <w:rsid w:val="00D560D9"/>
    <w:rsid w:val="00D56126"/>
    <w:rsid w:val="00D56696"/>
    <w:rsid w:val="00D56BA4"/>
    <w:rsid w:val="00D56D64"/>
    <w:rsid w:val="00D56E77"/>
    <w:rsid w:val="00D56E81"/>
    <w:rsid w:val="00D56E8B"/>
    <w:rsid w:val="00D56EA1"/>
    <w:rsid w:val="00D57196"/>
    <w:rsid w:val="00D572C3"/>
    <w:rsid w:val="00D573A2"/>
    <w:rsid w:val="00D57586"/>
    <w:rsid w:val="00D57A3F"/>
    <w:rsid w:val="00D57C35"/>
    <w:rsid w:val="00D57E37"/>
    <w:rsid w:val="00D60053"/>
    <w:rsid w:val="00D600F2"/>
    <w:rsid w:val="00D6016A"/>
    <w:rsid w:val="00D60241"/>
    <w:rsid w:val="00D60290"/>
    <w:rsid w:val="00D602AC"/>
    <w:rsid w:val="00D602F5"/>
    <w:rsid w:val="00D6041A"/>
    <w:rsid w:val="00D604F5"/>
    <w:rsid w:val="00D605B6"/>
    <w:rsid w:val="00D605D2"/>
    <w:rsid w:val="00D6071B"/>
    <w:rsid w:val="00D60A2B"/>
    <w:rsid w:val="00D60AC8"/>
    <w:rsid w:val="00D60B9F"/>
    <w:rsid w:val="00D60CCA"/>
    <w:rsid w:val="00D60EA8"/>
    <w:rsid w:val="00D61020"/>
    <w:rsid w:val="00D610AE"/>
    <w:rsid w:val="00D613E0"/>
    <w:rsid w:val="00D61AF1"/>
    <w:rsid w:val="00D61B6E"/>
    <w:rsid w:val="00D61F89"/>
    <w:rsid w:val="00D61FBD"/>
    <w:rsid w:val="00D62067"/>
    <w:rsid w:val="00D620F9"/>
    <w:rsid w:val="00D621F4"/>
    <w:rsid w:val="00D62209"/>
    <w:rsid w:val="00D62396"/>
    <w:rsid w:val="00D623FF"/>
    <w:rsid w:val="00D62B12"/>
    <w:rsid w:val="00D62BE2"/>
    <w:rsid w:val="00D62D56"/>
    <w:rsid w:val="00D633D6"/>
    <w:rsid w:val="00D6340D"/>
    <w:rsid w:val="00D6353F"/>
    <w:rsid w:val="00D63553"/>
    <w:rsid w:val="00D6363A"/>
    <w:rsid w:val="00D63D4F"/>
    <w:rsid w:val="00D63DA1"/>
    <w:rsid w:val="00D640B3"/>
    <w:rsid w:val="00D641DE"/>
    <w:rsid w:val="00D64330"/>
    <w:rsid w:val="00D644D9"/>
    <w:rsid w:val="00D64524"/>
    <w:rsid w:val="00D645CF"/>
    <w:rsid w:val="00D64733"/>
    <w:rsid w:val="00D6475D"/>
    <w:rsid w:val="00D64783"/>
    <w:rsid w:val="00D6487D"/>
    <w:rsid w:val="00D64DDE"/>
    <w:rsid w:val="00D650B7"/>
    <w:rsid w:val="00D651FB"/>
    <w:rsid w:val="00D658E7"/>
    <w:rsid w:val="00D6593D"/>
    <w:rsid w:val="00D65B55"/>
    <w:rsid w:val="00D65E3C"/>
    <w:rsid w:val="00D65F70"/>
    <w:rsid w:val="00D6611B"/>
    <w:rsid w:val="00D66283"/>
    <w:rsid w:val="00D66301"/>
    <w:rsid w:val="00D6630A"/>
    <w:rsid w:val="00D664FD"/>
    <w:rsid w:val="00D66976"/>
    <w:rsid w:val="00D66A12"/>
    <w:rsid w:val="00D66A30"/>
    <w:rsid w:val="00D66D22"/>
    <w:rsid w:val="00D66E1A"/>
    <w:rsid w:val="00D66E81"/>
    <w:rsid w:val="00D66F03"/>
    <w:rsid w:val="00D670CF"/>
    <w:rsid w:val="00D6729E"/>
    <w:rsid w:val="00D67413"/>
    <w:rsid w:val="00D675D9"/>
    <w:rsid w:val="00D676AE"/>
    <w:rsid w:val="00D677F9"/>
    <w:rsid w:val="00D678CC"/>
    <w:rsid w:val="00D67D98"/>
    <w:rsid w:val="00D70081"/>
    <w:rsid w:val="00D7014A"/>
    <w:rsid w:val="00D70323"/>
    <w:rsid w:val="00D705BE"/>
    <w:rsid w:val="00D705D8"/>
    <w:rsid w:val="00D70C38"/>
    <w:rsid w:val="00D7123D"/>
    <w:rsid w:val="00D7150B"/>
    <w:rsid w:val="00D7161F"/>
    <w:rsid w:val="00D718BE"/>
    <w:rsid w:val="00D72237"/>
    <w:rsid w:val="00D723F9"/>
    <w:rsid w:val="00D7254C"/>
    <w:rsid w:val="00D7284E"/>
    <w:rsid w:val="00D72A7A"/>
    <w:rsid w:val="00D72CED"/>
    <w:rsid w:val="00D72E31"/>
    <w:rsid w:val="00D72E5F"/>
    <w:rsid w:val="00D7304D"/>
    <w:rsid w:val="00D730DF"/>
    <w:rsid w:val="00D734E1"/>
    <w:rsid w:val="00D7366F"/>
    <w:rsid w:val="00D73839"/>
    <w:rsid w:val="00D73874"/>
    <w:rsid w:val="00D739D0"/>
    <w:rsid w:val="00D73C7E"/>
    <w:rsid w:val="00D73D1D"/>
    <w:rsid w:val="00D7435C"/>
    <w:rsid w:val="00D746A4"/>
    <w:rsid w:val="00D747E5"/>
    <w:rsid w:val="00D74866"/>
    <w:rsid w:val="00D748EC"/>
    <w:rsid w:val="00D74958"/>
    <w:rsid w:val="00D74B53"/>
    <w:rsid w:val="00D74F8E"/>
    <w:rsid w:val="00D75558"/>
    <w:rsid w:val="00D759D5"/>
    <w:rsid w:val="00D759DB"/>
    <w:rsid w:val="00D75AAC"/>
    <w:rsid w:val="00D75AEC"/>
    <w:rsid w:val="00D75BA2"/>
    <w:rsid w:val="00D75BC0"/>
    <w:rsid w:val="00D7615B"/>
    <w:rsid w:val="00D76465"/>
    <w:rsid w:val="00D76751"/>
    <w:rsid w:val="00D76AB6"/>
    <w:rsid w:val="00D76CC5"/>
    <w:rsid w:val="00D76CCF"/>
    <w:rsid w:val="00D76EE4"/>
    <w:rsid w:val="00D76F9F"/>
    <w:rsid w:val="00D771EB"/>
    <w:rsid w:val="00D772A3"/>
    <w:rsid w:val="00D774B0"/>
    <w:rsid w:val="00D774B7"/>
    <w:rsid w:val="00D77544"/>
    <w:rsid w:val="00D77751"/>
    <w:rsid w:val="00D778FE"/>
    <w:rsid w:val="00D77C5F"/>
    <w:rsid w:val="00D77F76"/>
    <w:rsid w:val="00D77F7F"/>
    <w:rsid w:val="00D801A9"/>
    <w:rsid w:val="00D801F9"/>
    <w:rsid w:val="00D8034D"/>
    <w:rsid w:val="00D8063B"/>
    <w:rsid w:val="00D80843"/>
    <w:rsid w:val="00D809A4"/>
    <w:rsid w:val="00D80C75"/>
    <w:rsid w:val="00D80D61"/>
    <w:rsid w:val="00D80F7E"/>
    <w:rsid w:val="00D81035"/>
    <w:rsid w:val="00D816D9"/>
    <w:rsid w:val="00D81749"/>
    <w:rsid w:val="00D81806"/>
    <w:rsid w:val="00D8193E"/>
    <w:rsid w:val="00D81BFE"/>
    <w:rsid w:val="00D81C81"/>
    <w:rsid w:val="00D8234A"/>
    <w:rsid w:val="00D82656"/>
    <w:rsid w:val="00D82D7A"/>
    <w:rsid w:val="00D82DEE"/>
    <w:rsid w:val="00D82E0A"/>
    <w:rsid w:val="00D82E43"/>
    <w:rsid w:val="00D82FDD"/>
    <w:rsid w:val="00D82FFD"/>
    <w:rsid w:val="00D83133"/>
    <w:rsid w:val="00D83654"/>
    <w:rsid w:val="00D836B9"/>
    <w:rsid w:val="00D83754"/>
    <w:rsid w:val="00D837BE"/>
    <w:rsid w:val="00D8385E"/>
    <w:rsid w:val="00D83B75"/>
    <w:rsid w:val="00D83FEB"/>
    <w:rsid w:val="00D8491A"/>
    <w:rsid w:val="00D84B44"/>
    <w:rsid w:val="00D84C82"/>
    <w:rsid w:val="00D84D49"/>
    <w:rsid w:val="00D84DE2"/>
    <w:rsid w:val="00D85495"/>
    <w:rsid w:val="00D8558B"/>
    <w:rsid w:val="00D8578D"/>
    <w:rsid w:val="00D858D2"/>
    <w:rsid w:val="00D859DA"/>
    <w:rsid w:val="00D85A85"/>
    <w:rsid w:val="00D85CE9"/>
    <w:rsid w:val="00D85F42"/>
    <w:rsid w:val="00D861B7"/>
    <w:rsid w:val="00D86371"/>
    <w:rsid w:val="00D86477"/>
    <w:rsid w:val="00D867EF"/>
    <w:rsid w:val="00D86A1E"/>
    <w:rsid w:val="00D86B55"/>
    <w:rsid w:val="00D86C86"/>
    <w:rsid w:val="00D87074"/>
    <w:rsid w:val="00D8714E"/>
    <w:rsid w:val="00D872CD"/>
    <w:rsid w:val="00D8734E"/>
    <w:rsid w:val="00D8749F"/>
    <w:rsid w:val="00D876A3"/>
    <w:rsid w:val="00D8774D"/>
    <w:rsid w:val="00D879DF"/>
    <w:rsid w:val="00D87D25"/>
    <w:rsid w:val="00D87DCB"/>
    <w:rsid w:val="00D900E1"/>
    <w:rsid w:val="00D9010D"/>
    <w:rsid w:val="00D9032A"/>
    <w:rsid w:val="00D90808"/>
    <w:rsid w:val="00D90B5A"/>
    <w:rsid w:val="00D90BBE"/>
    <w:rsid w:val="00D90BFE"/>
    <w:rsid w:val="00D91040"/>
    <w:rsid w:val="00D9112C"/>
    <w:rsid w:val="00D913BE"/>
    <w:rsid w:val="00D9145D"/>
    <w:rsid w:val="00D91614"/>
    <w:rsid w:val="00D91672"/>
    <w:rsid w:val="00D9170D"/>
    <w:rsid w:val="00D9189E"/>
    <w:rsid w:val="00D91A6E"/>
    <w:rsid w:val="00D91B32"/>
    <w:rsid w:val="00D91C29"/>
    <w:rsid w:val="00D91C6B"/>
    <w:rsid w:val="00D91D4E"/>
    <w:rsid w:val="00D91D58"/>
    <w:rsid w:val="00D92349"/>
    <w:rsid w:val="00D92432"/>
    <w:rsid w:val="00D92557"/>
    <w:rsid w:val="00D925E8"/>
    <w:rsid w:val="00D926AD"/>
    <w:rsid w:val="00D926DC"/>
    <w:rsid w:val="00D92B17"/>
    <w:rsid w:val="00D92BB5"/>
    <w:rsid w:val="00D92CFA"/>
    <w:rsid w:val="00D931F5"/>
    <w:rsid w:val="00D93293"/>
    <w:rsid w:val="00D934BD"/>
    <w:rsid w:val="00D939B9"/>
    <w:rsid w:val="00D93A7C"/>
    <w:rsid w:val="00D93BC4"/>
    <w:rsid w:val="00D93D65"/>
    <w:rsid w:val="00D93FF1"/>
    <w:rsid w:val="00D93FFD"/>
    <w:rsid w:val="00D941A2"/>
    <w:rsid w:val="00D94381"/>
    <w:rsid w:val="00D9454D"/>
    <w:rsid w:val="00D94751"/>
    <w:rsid w:val="00D94839"/>
    <w:rsid w:val="00D9517D"/>
    <w:rsid w:val="00D9542E"/>
    <w:rsid w:val="00D9555A"/>
    <w:rsid w:val="00D95B42"/>
    <w:rsid w:val="00D95D96"/>
    <w:rsid w:val="00D95F02"/>
    <w:rsid w:val="00D960C1"/>
    <w:rsid w:val="00D96119"/>
    <w:rsid w:val="00D9652E"/>
    <w:rsid w:val="00D96B00"/>
    <w:rsid w:val="00D96BDD"/>
    <w:rsid w:val="00D9740E"/>
    <w:rsid w:val="00D97602"/>
    <w:rsid w:val="00D9761B"/>
    <w:rsid w:val="00D97675"/>
    <w:rsid w:val="00D97A07"/>
    <w:rsid w:val="00D97A2B"/>
    <w:rsid w:val="00D97B43"/>
    <w:rsid w:val="00D97B60"/>
    <w:rsid w:val="00D97CAB"/>
    <w:rsid w:val="00D97FAB"/>
    <w:rsid w:val="00DA01B7"/>
    <w:rsid w:val="00DA02DF"/>
    <w:rsid w:val="00DA0731"/>
    <w:rsid w:val="00DA08FB"/>
    <w:rsid w:val="00DA095E"/>
    <w:rsid w:val="00DA09FB"/>
    <w:rsid w:val="00DA0BA4"/>
    <w:rsid w:val="00DA0C8E"/>
    <w:rsid w:val="00DA0EC9"/>
    <w:rsid w:val="00DA0FE5"/>
    <w:rsid w:val="00DA1290"/>
    <w:rsid w:val="00DA13ED"/>
    <w:rsid w:val="00DA1806"/>
    <w:rsid w:val="00DA1A76"/>
    <w:rsid w:val="00DA2076"/>
    <w:rsid w:val="00DA255E"/>
    <w:rsid w:val="00DA28F9"/>
    <w:rsid w:val="00DA2922"/>
    <w:rsid w:val="00DA2991"/>
    <w:rsid w:val="00DA2B37"/>
    <w:rsid w:val="00DA2C23"/>
    <w:rsid w:val="00DA3152"/>
    <w:rsid w:val="00DA328C"/>
    <w:rsid w:val="00DA3838"/>
    <w:rsid w:val="00DA38A0"/>
    <w:rsid w:val="00DA3AC2"/>
    <w:rsid w:val="00DA3AC7"/>
    <w:rsid w:val="00DA3CB2"/>
    <w:rsid w:val="00DA3F31"/>
    <w:rsid w:val="00DA42B5"/>
    <w:rsid w:val="00DA45BC"/>
    <w:rsid w:val="00DA45E5"/>
    <w:rsid w:val="00DA47A8"/>
    <w:rsid w:val="00DA4916"/>
    <w:rsid w:val="00DA5123"/>
    <w:rsid w:val="00DA521E"/>
    <w:rsid w:val="00DA533C"/>
    <w:rsid w:val="00DA53E2"/>
    <w:rsid w:val="00DA558D"/>
    <w:rsid w:val="00DA56B4"/>
    <w:rsid w:val="00DA57F8"/>
    <w:rsid w:val="00DA58BA"/>
    <w:rsid w:val="00DA5B75"/>
    <w:rsid w:val="00DA5DE3"/>
    <w:rsid w:val="00DA5E95"/>
    <w:rsid w:val="00DA659A"/>
    <w:rsid w:val="00DA6987"/>
    <w:rsid w:val="00DA6B3F"/>
    <w:rsid w:val="00DA6D5D"/>
    <w:rsid w:val="00DA6DA8"/>
    <w:rsid w:val="00DA7326"/>
    <w:rsid w:val="00DA73C2"/>
    <w:rsid w:val="00DA7464"/>
    <w:rsid w:val="00DA761C"/>
    <w:rsid w:val="00DA79A1"/>
    <w:rsid w:val="00DA79DA"/>
    <w:rsid w:val="00DA7B3D"/>
    <w:rsid w:val="00DA7C19"/>
    <w:rsid w:val="00DA7C4D"/>
    <w:rsid w:val="00DA7E3B"/>
    <w:rsid w:val="00DA7E65"/>
    <w:rsid w:val="00DA7E80"/>
    <w:rsid w:val="00DA7EE5"/>
    <w:rsid w:val="00DA7F01"/>
    <w:rsid w:val="00DB0001"/>
    <w:rsid w:val="00DB039A"/>
    <w:rsid w:val="00DB03E1"/>
    <w:rsid w:val="00DB058C"/>
    <w:rsid w:val="00DB05C2"/>
    <w:rsid w:val="00DB08DA"/>
    <w:rsid w:val="00DB09FA"/>
    <w:rsid w:val="00DB0AA8"/>
    <w:rsid w:val="00DB0ACA"/>
    <w:rsid w:val="00DB0B5A"/>
    <w:rsid w:val="00DB0D0C"/>
    <w:rsid w:val="00DB1249"/>
    <w:rsid w:val="00DB12E7"/>
    <w:rsid w:val="00DB1323"/>
    <w:rsid w:val="00DB13FF"/>
    <w:rsid w:val="00DB1446"/>
    <w:rsid w:val="00DB164E"/>
    <w:rsid w:val="00DB17FF"/>
    <w:rsid w:val="00DB1CB1"/>
    <w:rsid w:val="00DB1CFA"/>
    <w:rsid w:val="00DB213E"/>
    <w:rsid w:val="00DB232A"/>
    <w:rsid w:val="00DB24BF"/>
    <w:rsid w:val="00DB24E3"/>
    <w:rsid w:val="00DB282C"/>
    <w:rsid w:val="00DB2BD3"/>
    <w:rsid w:val="00DB3015"/>
    <w:rsid w:val="00DB3066"/>
    <w:rsid w:val="00DB30D8"/>
    <w:rsid w:val="00DB3454"/>
    <w:rsid w:val="00DB3486"/>
    <w:rsid w:val="00DB359D"/>
    <w:rsid w:val="00DB36A7"/>
    <w:rsid w:val="00DB36C6"/>
    <w:rsid w:val="00DB36F2"/>
    <w:rsid w:val="00DB38FE"/>
    <w:rsid w:val="00DB42F4"/>
    <w:rsid w:val="00DB442F"/>
    <w:rsid w:val="00DB445F"/>
    <w:rsid w:val="00DB4526"/>
    <w:rsid w:val="00DB4738"/>
    <w:rsid w:val="00DB4BA7"/>
    <w:rsid w:val="00DB4BC0"/>
    <w:rsid w:val="00DB4C5B"/>
    <w:rsid w:val="00DB4D8C"/>
    <w:rsid w:val="00DB4E20"/>
    <w:rsid w:val="00DB4F38"/>
    <w:rsid w:val="00DB4F59"/>
    <w:rsid w:val="00DB506F"/>
    <w:rsid w:val="00DB5302"/>
    <w:rsid w:val="00DB5574"/>
    <w:rsid w:val="00DB5CE4"/>
    <w:rsid w:val="00DB5E7B"/>
    <w:rsid w:val="00DB6002"/>
    <w:rsid w:val="00DB66AE"/>
    <w:rsid w:val="00DB67C5"/>
    <w:rsid w:val="00DB6A0B"/>
    <w:rsid w:val="00DB6CF1"/>
    <w:rsid w:val="00DB6EB8"/>
    <w:rsid w:val="00DB706B"/>
    <w:rsid w:val="00DB71EA"/>
    <w:rsid w:val="00DB730B"/>
    <w:rsid w:val="00DB73A6"/>
    <w:rsid w:val="00DB7441"/>
    <w:rsid w:val="00DB7499"/>
    <w:rsid w:val="00DB76C7"/>
    <w:rsid w:val="00DB7F21"/>
    <w:rsid w:val="00DC008C"/>
    <w:rsid w:val="00DC0814"/>
    <w:rsid w:val="00DC0CA0"/>
    <w:rsid w:val="00DC0E7C"/>
    <w:rsid w:val="00DC1004"/>
    <w:rsid w:val="00DC1048"/>
    <w:rsid w:val="00DC109A"/>
    <w:rsid w:val="00DC1374"/>
    <w:rsid w:val="00DC1545"/>
    <w:rsid w:val="00DC1682"/>
    <w:rsid w:val="00DC1C49"/>
    <w:rsid w:val="00DC2060"/>
    <w:rsid w:val="00DC209A"/>
    <w:rsid w:val="00DC2455"/>
    <w:rsid w:val="00DC2704"/>
    <w:rsid w:val="00DC28AF"/>
    <w:rsid w:val="00DC2975"/>
    <w:rsid w:val="00DC2A15"/>
    <w:rsid w:val="00DC2A2F"/>
    <w:rsid w:val="00DC2F93"/>
    <w:rsid w:val="00DC3012"/>
    <w:rsid w:val="00DC31FB"/>
    <w:rsid w:val="00DC37C4"/>
    <w:rsid w:val="00DC3842"/>
    <w:rsid w:val="00DC3872"/>
    <w:rsid w:val="00DC3887"/>
    <w:rsid w:val="00DC3C8F"/>
    <w:rsid w:val="00DC3CAC"/>
    <w:rsid w:val="00DC3EFA"/>
    <w:rsid w:val="00DC403A"/>
    <w:rsid w:val="00DC4259"/>
    <w:rsid w:val="00DC46CB"/>
    <w:rsid w:val="00DC472D"/>
    <w:rsid w:val="00DC4793"/>
    <w:rsid w:val="00DC492B"/>
    <w:rsid w:val="00DC4ACF"/>
    <w:rsid w:val="00DC4B03"/>
    <w:rsid w:val="00DC4C34"/>
    <w:rsid w:val="00DC4C4B"/>
    <w:rsid w:val="00DC4CE8"/>
    <w:rsid w:val="00DC4DE7"/>
    <w:rsid w:val="00DC4E27"/>
    <w:rsid w:val="00DC4FC7"/>
    <w:rsid w:val="00DC51AA"/>
    <w:rsid w:val="00DC51B7"/>
    <w:rsid w:val="00DC5296"/>
    <w:rsid w:val="00DC5614"/>
    <w:rsid w:val="00DC56A5"/>
    <w:rsid w:val="00DC5788"/>
    <w:rsid w:val="00DC5803"/>
    <w:rsid w:val="00DC58AE"/>
    <w:rsid w:val="00DC60A4"/>
    <w:rsid w:val="00DC6645"/>
    <w:rsid w:val="00DC6943"/>
    <w:rsid w:val="00DC6A85"/>
    <w:rsid w:val="00DC6B65"/>
    <w:rsid w:val="00DC6B87"/>
    <w:rsid w:val="00DC77F8"/>
    <w:rsid w:val="00DC7A70"/>
    <w:rsid w:val="00DC7C93"/>
    <w:rsid w:val="00DD0067"/>
    <w:rsid w:val="00DD0151"/>
    <w:rsid w:val="00DD0360"/>
    <w:rsid w:val="00DD0566"/>
    <w:rsid w:val="00DD06ED"/>
    <w:rsid w:val="00DD0769"/>
    <w:rsid w:val="00DD0A4E"/>
    <w:rsid w:val="00DD0CB6"/>
    <w:rsid w:val="00DD161B"/>
    <w:rsid w:val="00DD1C4C"/>
    <w:rsid w:val="00DD2089"/>
    <w:rsid w:val="00DD2364"/>
    <w:rsid w:val="00DD2667"/>
    <w:rsid w:val="00DD27A6"/>
    <w:rsid w:val="00DD28F3"/>
    <w:rsid w:val="00DD2947"/>
    <w:rsid w:val="00DD2A44"/>
    <w:rsid w:val="00DD2E32"/>
    <w:rsid w:val="00DD2E71"/>
    <w:rsid w:val="00DD2E81"/>
    <w:rsid w:val="00DD2F61"/>
    <w:rsid w:val="00DD3281"/>
    <w:rsid w:val="00DD3707"/>
    <w:rsid w:val="00DD3715"/>
    <w:rsid w:val="00DD3965"/>
    <w:rsid w:val="00DD3BAA"/>
    <w:rsid w:val="00DD3CB2"/>
    <w:rsid w:val="00DD3D9C"/>
    <w:rsid w:val="00DD3E59"/>
    <w:rsid w:val="00DD4002"/>
    <w:rsid w:val="00DD429E"/>
    <w:rsid w:val="00DD4525"/>
    <w:rsid w:val="00DD47B4"/>
    <w:rsid w:val="00DD4814"/>
    <w:rsid w:val="00DD4835"/>
    <w:rsid w:val="00DD49EE"/>
    <w:rsid w:val="00DD4D72"/>
    <w:rsid w:val="00DD5031"/>
    <w:rsid w:val="00DD50D8"/>
    <w:rsid w:val="00DD5202"/>
    <w:rsid w:val="00DD52BE"/>
    <w:rsid w:val="00DD52DD"/>
    <w:rsid w:val="00DD534D"/>
    <w:rsid w:val="00DD5541"/>
    <w:rsid w:val="00DD5594"/>
    <w:rsid w:val="00DD57E4"/>
    <w:rsid w:val="00DD5B00"/>
    <w:rsid w:val="00DD5C48"/>
    <w:rsid w:val="00DD5ED8"/>
    <w:rsid w:val="00DD5EE8"/>
    <w:rsid w:val="00DD62CD"/>
    <w:rsid w:val="00DD6329"/>
    <w:rsid w:val="00DD6627"/>
    <w:rsid w:val="00DD6759"/>
    <w:rsid w:val="00DD6C59"/>
    <w:rsid w:val="00DD6CB5"/>
    <w:rsid w:val="00DD6D5C"/>
    <w:rsid w:val="00DD6EF7"/>
    <w:rsid w:val="00DD73F9"/>
    <w:rsid w:val="00DD74F5"/>
    <w:rsid w:val="00DD7560"/>
    <w:rsid w:val="00DD7591"/>
    <w:rsid w:val="00DD76E0"/>
    <w:rsid w:val="00DD79C9"/>
    <w:rsid w:val="00DD7A39"/>
    <w:rsid w:val="00DD7C3E"/>
    <w:rsid w:val="00DD7ED2"/>
    <w:rsid w:val="00DE024A"/>
    <w:rsid w:val="00DE077D"/>
    <w:rsid w:val="00DE09E9"/>
    <w:rsid w:val="00DE0BD1"/>
    <w:rsid w:val="00DE0C62"/>
    <w:rsid w:val="00DE0D38"/>
    <w:rsid w:val="00DE1152"/>
    <w:rsid w:val="00DE145F"/>
    <w:rsid w:val="00DE174D"/>
    <w:rsid w:val="00DE18F1"/>
    <w:rsid w:val="00DE1A4F"/>
    <w:rsid w:val="00DE1AD7"/>
    <w:rsid w:val="00DE1DFB"/>
    <w:rsid w:val="00DE20D3"/>
    <w:rsid w:val="00DE27A0"/>
    <w:rsid w:val="00DE29A7"/>
    <w:rsid w:val="00DE2B13"/>
    <w:rsid w:val="00DE2B1E"/>
    <w:rsid w:val="00DE2C8B"/>
    <w:rsid w:val="00DE2CCC"/>
    <w:rsid w:val="00DE2CE2"/>
    <w:rsid w:val="00DE2CFC"/>
    <w:rsid w:val="00DE30A8"/>
    <w:rsid w:val="00DE3269"/>
    <w:rsid w:val="00DE33E7"/>
    <w:rsid w:val="00DE390E"/>
    <w:rsid w:val="00DE395D"/>
    <w:rsid w:val="00DE3B10"/>
    <w:rsid w:val="00DE3E35"/>
    <w:rsid w:val="00DE4253"/>
    <w:rsid w:val="00DE446A"/>
    <w:rsid w:val="00DE453C"/>
    <w:rsid w:val="00DE4635"/>
    <w:rsid w:val="00DE484C"/>
    <w:rsid w:val="00DE4933"/>
    <w:rsid w:val="00DE495C"/>
    <w:rsid w:val="00DE4CE0"/>
    <w:rsid w:val="00DE4F52"/>
    <w:rsid w:val="00DE5068"/>
    <w:rsid w:val="00DE5095"/>
    <w:rsid w:val="00DE5249"/>
    <w:rsid w:val="00DE5438"/>
    <w:rsid w:val="00DE5706"/>
    <w:rsid w:val="00DE5724"/>
    <w:rsid w:val="00DE5876"/>
    <w:rsid w:val="00DE59E4"/>
    <w:rsid w:val="00DE5A29"/>
    <w:rsid w:val="00DE5A2A"/>
    <w:rsid w:val="00DE5C28"/>
    <w:rsid w:val="00DE61DC"/>
    <w:rsid w:val="00DE6337"/>
    <w:rsid w:val="00DE63E5"/>
    <w:rsid w:val="00DE6427"/>
    <w:rsid w:val="00DE6473"/>
    <w:rsid w:val="00DE64A8"/>
    <w:rsid w:val="00DE6560"/>
    <w:rsid w:val="00DE67DF"/>
    <w:rsid w:val="00DE6E15"/>
    <w:rsid w:val="00DE6E23"/>
    <w:rsid w:val="00DE71BA"/>
    <w:rsid w:val="00DE792E"/>
    <w:rsid w:val="00DE79C6"/>
    <w:rsid w:val="00DE79FE"/>
    <w:rsid w:val="00DE7A84"/>
    <w:rsid w:val="00DE7E82"/>
    <w:rsid w:val="00DE7F26"/>
    <w:rsid w:val="00DF0049"/>
    <w:rsid w:val="00DF0060"/>
    <w:rsid w:val="00DF00C2"/>
    <w:rsid w:val="00DF060C"/>
    <w:rsid w:val="00DF06CA"/>
    <w:rsid w:val="00DF0BFD"/>
    <w:rsid w:val="00DF0DAE"/>
    <w:rsid w:val="00DF1102"/>
    <w:rsid w:val="00DF12F3"/>
    <w:rsid w:val="00DF1430"/>
    <w:rsid w:val="00DF1510"/>
    <w:rsid w:val="00DF15C7"/>
    <w:rsid w:val="00DF17DE"/>
    <w:rsid w:val="00DF1A6E"/>
    <w:rsid w:val="00DF1A94"/>
    <w:rsid w:val="00DF1D7C"/>
    <w:rsid w:val="00DF1FA4"/>
    <w:rsid w:val="00DF20F2"/>
    <w:rsid w:val="00DF223A"/>
    <w:rsid w:val="00DF27F3"/>
    <w:rsid w:val="00DF2FE0"/>
    <w:rsid w:val="00DF30CE"/>
    <w:rsid w:val="00DF316E"/>
    <w:rsid w:val="00DF376F"/>
    <w:rsid w:val="00DF383B"/>
    <w:rsid w:val="00DF38D1"/>
    <w:rsid w:val="00DF3C0B"/>
    <w:rsid w:val="00DF3DC7"/>
    <w:rsid w:val="00DF3DFC"/>
    <w:rsid w:val="00DF404B"/>
    <w:rsid w:val="00DF40C7"/>
    <w:rsid w:val="00DF4371"/>
    <w:rsid w:val="00DF43D2"/>
    <w:rsid w:val="00DF4850"/>
    <w:rsid w:val="00DF4D29"/>
    <w:rsid w:val="00DF4E4A"/>
    <w:rsid w:val="00DF4F2F"/>
    <w:rsid w:val="00DF4F59"/>
    <w:rsid w:val="00DF51ED"/>
    <w:rsid w:val="00DF52BC"/>
    <w:rsid w:val="00DF5790"/>
    <w:rsid w:val="00DF59BF"/>
    <w:rsid w:val="00DF5C49"/>
    <w:rsid w:val="00DF5DFA"/>
    <w:rsid w:val="00DF5F95"/>
    <w:rsid w:val="00DF637C"/>
    <w:rsid w:val="00DF6444"/>
    <w:rsid w:val="00DF69A1"/>
    <w:rsid w:val="00DF6A38"/>
    <w:rsid w:val="00DF708E"/>
    <w:rsid w:val="00DF71D8"/>
    <w:rsid w:val="00DF73EC"/>
    <w:rsid w:val="00DF7835"/>
    <w:rsid w:val="00DF78A2"/>
    <w:rsid w:val="00DF78D9"/>
    <w:rsid w:val="00DF7B51"/>
    <w:rsid w:val="00DF7BC3"/>
    <w:rsid w:val="00DF7C1D"/>
    <w:rsid w:val="00DF7FB8"/>
    <w:rsid w:val="00E00082"/>
    <w:rsid w:val="00E00147"/>
    <w:rsid w:val="00E001C7"/>
    <w:rsid w:val="00E0022B"/>
    <w:rsid w:val="00E00263"/>
    <w:rsid w:val="00E002AD"/>
    <w:rsid w:val="00E00636"/>
    <w:rsid w:val="00E006C7"/>
    <w:rsid w:val="00E00791"/>
    <w:rsid w:val="00E0085C"/>
    <w:rsid w:val="00E00C9D"/>
    <w:rsid w:val="00E00DB3"/>
    <w:rsid w:val="00E00F78"/>
    <w:rsid w:val="00E0119E"/>
    <w:rsid w:val="00E012BF"/>
    <w:rsid w:val="00E0135E"/>
    <w:rsid w:val="00E01489"/>
    <w:rsid w:val="00E014DD"/>
    <w:rsid w:val="00E01803"/>
    <w:rsid w:val="00E018C1"/>
    <w:rsid w:val="00E01E83"/>
    <w:rsid w:val="00E02856"/>
    <w:rsid w:val="00E02B79"/>
    <w:rsid w:val="00E02BE5"/>
    <w:rsid w:val="00E02E18"/>
    <w:rsid w:val="00E02F94"/>
    <w:rsid w:val="00E03C5C"/>
    <w:rsid w:val="00E03D4A"/>
    <w:rsid w:val="00E03EE6"/>
    <w:rsid w:val="00E0422A"/>
    <w:rsid w:val="00E04288"/>
    <w:rsid w:val="00E043A4"/>
    <w:rsid w:val="00E0459B"/>
    <w:rsid w:val="00E0489C"/>
    <w:rsid w:val="00E0490C"/>
    <w:rsid w:val="00E049EC"/>
    <w:rsid w:val="00E049FB"/>
    <w:rsid w:val="00E04AD0"/>
    <w:rsid w:val="00E04B29"/>
    <w:rsid w:val="00E05215"/>
    <w:rsid w:val="00E05233"/>
    <w:rsid w:val="00E05401"/>
    <w:rsid w:val="00E0562E"/>
    <w:rsid w:val="00E057A1"/>
    <w:rsid w:val="00E05BB8"/>
    <w:rsid w:val="00E05D68"/>
    <w:rsid w:val="00E05EBD"/>
    <w:rsid w:val="00E05EC0"/>
    <w:rsid w:val="00E060BC"/>
    <w:rsid w:val="00E06280"/>
    <w:rsid w:val="00E06872"/>
    <w:rsid w:val="00E06A27"/>
    <w:rsid w:val="00E06A7C"/>
    <w:rsid w:val="00E06BA7"/>
    <w:rsid w:val="00E06E0E"/>
    <w:rsid w:val="00E07002"/>
    <w:rsid w:val="00E0701B"/>
    <w:rsid w:val="00E07208"/>
    <w:rsid w:val="00E07677"/>
    <w:rsid w:val="00E078BE"/>
    <w:rsid w:val="00E079ED"/>
    <w:rsid w:val="00E07FEE"/>
    <w:rsid w:val="00E10111"/>
    <w:rsid w:val="00E1026A"/>
    <w:rsid w:val="00E104D6"/>
    <w:rsid w:val="00E10517"/>
    <w:rsid w:val="00E108AB"/>
    <w:rsid w:val="00E10932"/>
    <w:rsid w:val="00E10A3F"/>
    <w:rsid w:val="00E10DD9"/>
    <w:rsid w:val="00E10F9E"/>
    <w:rsid w:val="00E11191"/>
    <w:rsid w:val="00E11471"/>
    <w:rsid w:val="00E114AF"/>
    <w:rsid w:val="00E115D7"/>
    <w:rsid w:val="00E1168F"/>
    <w:rsid w:val="00E11771"/>
    <w:rsid w:val="00E119E2"/>
    <w:rsid w:val="00E11A20"/>
    <w:rsid w:val="00E11CDB"/>
    <w:rsid w:val="00E12125"/>
    <w:rsid w:val="00E12143"/>
    <w:rsid w:val="00E12287"/>
    <w:rsid w:val="00E12354"/>
    <w:rsid w:val="00E1236F"/>
    <w:rsid w:val="00E1267D"/>
    <w:rsid w:val="00E1275D"/>
    <w:rsid w:val="00E12782"/>
    <w:rsid w:val="00E1291B"/>
    <w:rsid w:val="00E12960"/>
    <w:rsid w:val="00E12B03"/>
    <w:rsid w:val="00E12B08"/>
    <w:rsid w:val="00E12F14"/>
    <w:rsid w:val="00E132D5"/>
    <w:rsid w:val="00E1351C"/>
    <w:rsid w:val="00E139D1"/>
    <w:rsid w:val="00E13A7A"/>
    <w:rsid w:val="00E13E90"/>
    <w:rsid w:val="00E13F97"/>
    <w:rsid w:val="00E14074"/>
    <w:rsid w:val="00E14809"/>
    <w:rsid w:val="00E14CF2"/>
    <w:rsid w:val="00E14EC2"/>
    <w:rsid w:val="00E14ED4"/>
    <w:rsid w:val="00E15684"/>
    <w:rsid w:val="00E158EC"/>
    <w:rsid w:val="00E15933"/>
    <w:rsid w:val="00E15A59"/>
    <w:rsid w:val="00E15F8C"/>
    <w:rsid w:val="00E16292"/>
    <w:rsid w:val="00E162E8"/>
    <w:rsid w:val="00E16300"/>
    <w:rsid w:val="00E16628"/>
    <w:rsid w:val="00E16664"/>
    <w:rsid w:val="00E166E3"/>
    <w:rsid w:val="00E16779"/>
    <w:rsid w:val="00E1677C"/>
    <w:rsid w:val="00E167CF"/>
    <w:rsid w:val="00E16B56"/>
    <w:rsid w:val="00E16F09"/>
    <w:rsid w:val="00E1713B"/>
    <w:rsid w:val="00E172D4"/>
    <w:rsid w:val="00E173FE"/>
    <w:rsid w:val="00E17412"/>
    <w:rsid w:val="00E17882"/>
    <w:rsid w:val="00E17C96"/>
    <w:rsid w:val="00E17D2B"/>
    <w:rsid w:val="00E17D65"/>
    <w:rsid w:val="00E17D92"/>
    <w:rsid w:val="00E1F756"/>
    <w:rsid w:val="00E2008C"/>
    <w:rsid w:val="00E200AE"/>
    <w:rsid w:val="00E20403"/>
    <w:rsid w:val="00E20552"/>
    <w:rsid w:val="00E2091E"/>
    <w:rsid w:val="00E20966"/>
    <w:rsid w:val="00E20A2F"/>
    <w:rsid w:val="00E20C44"/>
    <w:rsid w:val="00E20CFD"/>
    <w:rsid w:val="00E20CFF"/>
    <w:rsid w:val="00E20DCE"/>
    <w:rsid w:val="00E20EBA"/>
    <w:rsid w:val="00E21240"/>
    <w:rsid w:val="00E2139C"/>
    <w:rsid w:val="00E215FA"/>
    <w:rsid w:val="00E2174D"/>
    <w:rsid w:val="00E21938"/>
    <w:rsid w:val="00E21C84"/>
    <w:rsid w:val="00E21DCB"/>
    <w:rsid w:val="00E21FF2"/>
    <w:rsid w:val="00E2205E"/>
    <w:rsid w:val="00E22353"/>
    <w:rsid w:val="00E22635"/>
    <w:rsid w:val="00E2263B"/>
    <w:rsid w:val="00E22694"/>
    <w:rsid w:val="00E2281D"/>
    <w:rsid w:val="00E2291B"/>
    <w:rsid w:val="00E22D3B"/>
    <w:rsid w:val="00E22FB4"/>
    <w:rsid w:val="00E236E3"/>
    <w:rsid w:val="00E239A1"/>
    <w:rsid w:val="00E239B4"/>
    <w:rsid w:val="00E239DB"/>
    <w:rsid w:val="00E23A8B"/>
    <w:rsid w:val="00E23EDE"/>
    <w:rsid w:val="00E24076"/>
    <w:rsid w:val="00E242DE"/>
    <w:rsid w:val="00E2470A"/>
    <w:rsid w:val="00E24AA9"/>
    <w:rsid w:val="00E24BBD"/>
    <w:rsid w:val="00E24CA8"/>
    <w:rsid w:val="00E24CD5"/>
    <w:rsid w:val="00E25071"/>
    <w:rsid w:val="00E2523C"/>
    <w:rsid w:val="00E25380"/>
    <w:rsid w:val="00E25416"/>
    <w:rsid w:val="00E257A4"/>
    <w:rsid w:val="00E257D9"/>
    <w:rsid w:val="00E258A0"/>
    <w:rsid w:val="00E258F9"/>
    <w:rsid w:val="00E259AC"/>
    <w:rsid w:val="00E25AD1"/>
    <w:rsid w:val="00E25C8E"/>
    <w:rsid w:val="00E25D54"/>
    <w:rsid w:val="00E26775"/>
    <w:rsid w:val="00E26DDC"/>
    <w:rsid w:val="00E2712B"/>
    <w:rsid w:val="00E2729C"/>
    <w:rsid w:val="00E274A2"/>
    <w:rsid w:val="00E27577"/>
    <w:rsid w:val="00E27606"/>
    <w:rsid w:val="00E27932"/>
    <w:rsid w:val="00E27AF1"/>
    <w:rsid w:val="00E27C87"/>
    <w:rsid w:val="00E27D7B"/>
    <w:rsid w:val="00E2929F"/>
    <w:rsid w:val="00E2BD96"/>
    <w:rsid w:val="00E300C8"/>
    <w:rsid w:val="00E30151"/>
    <w:rsid w:val="00E30174"/>
    <w:rsid w:val="00E3028E"/>
    <w:rsid w:val="00E304E5"/>
    <w:rsid w:val="00E304FF"/>
    <w:rsid w:val="00E30913"/>
    <w:rsid w:val="00E30C3A"/>
    <w:rsid w:val="00E30D2C"/>
    <w:rsid w:val="00E30ECC"/>
    <w:rsid w:val="00E31344"/>
    <w:rsid w:val="00E315F3"/>
    <w:rsid w:val="00E31B35"/>
    <w:rsid w:val="00E31CEF"/>
    <w:rsid w:val="00E3213A"/>
    <w:rsid w:val="00E32375"/>
    <w:rsid w:val="00E32530"/>
    <w:rsid w:val="00E3299F"/>
    <w:rsid w:val="00E32D13"/>
    <w:rsid w:val="00E32D6B"/>
    <w:rsid w:val="00E32E5D"/>
    <w:rsid w:val="00E33039"/>
    <w:rsid w:val="00E33239"/>
    <w:rsid w:val="00E333D5"/>
    <w:rsid w:val="00E333E2"/>
    <w:rsid w:val="00E33578"/>
    <w:rsid w:val="00E335C4"/>
    <w:rsid w:val="00E33644"/>
    <w:rsid w:val="00E337EB"/>
    <w:rsid w:val="00E3387C"/>
    <w:rsid w:val="00E3395B"/>
    <w:rsid w:val="00E33A4A"/>
    <w:rsid w:val="00E33C8D"/>
    <w:rsid w:val="00E33DE7"/>
    <w:rsid w:val="00E34092"/>
    <w:rsid w:val="00E34214"/>
    <w:rsid w:val="00E344BD"/>
    <w:rsid w:val="00E34597"/>
    <w:rsid w:val="00E345A4"/>
    <w:rsid w:val="00E348D9"/>
    <w:rsid w:val="00E34A98"/>
    <w:rsid w:val="00E34CA2"/>
    <w:rsid w:val="00E35105"/>
    <w:rsid w:val="00E353B8"/>
    <w:rsid w:val="00E355D5"/>
    <w:rsid w:val="00E35665"/>
    <w:rsid w:val="00E356F9"/>
    <w:rsid w:val="00E35B76"/>
    <w:rsid w:val="00E35C59"/>
    <w:rsid w:val="00E35D35"/>
    <w:rsid w:val="00E35E04"/>
    <w:rsid w:val="00E36941"/>
    <w:rsid w:val="00E36CBE"/>
    <w:rsid w:val="00E36CD8"/>
    <w:rsid w:val="00E36EAD"/>
    <w:rsid w:val="00E36EC3"/>
    <w:rsid w:val="00E36EE3"/>
    <w:rsid w:val="00E36F35"/>
    <w:rsid w:val="00E37003"/>
    <w:rsid w:val="00E37132"/>
    <w:rsid w:val="00E3734E"/>
    <w:rsid w:val="00E37383"/>
    <w:rsid w:val="00E37802"/>
    <w:rsid w:val="00E37998"/>
    <w:rsid w:val="00E37B0D"/>
    <w:rsid w:val="00E37C62"/>
    <w:rsid w:val="00E37E1E"/>
    <w:rsid w:val="00E37F4E"/>
    <w:rsid w:val="00E3C09B"/>
    <w:rsid w:val="00E3DF1F"/>
    <w:rsid w:val="00E4000C"/>
    <w:rsid w:val="00E400B1"/>
    <w:rsid w:val="00E40134"/>
    <w:rsid w:val="00E40202"/>
    <w:rsid w:val="00E404B8"/>
    <w:rsid w:val="00E40653"/>
    <w:rsid w:val="00E406C2"/>
    <w:rsid w:val="00E40870"/>
    <w:rsid w:val="00E40B58"/>
    <w:rsid w:val="00E40D3F"/>
    <w:rsid w:val="00E40EFA"/>
    <w:rsid w:val="00E41155"/>
    <w:rsid w:val="00E413B5"/>
    <w:rsid w:val="00E414D9"/>
    <w:rsid w:val="00E4164C"/>
    <w:rsid w:val="00E417AE"/>
    <w:rsid w:val="00E41E5C"/>
    <w:rsid w:val="00E41F6C"/>
    <w:rsid w:val="00E4226A"/>
    <w:rsid w:val="00E4243E"/>
    <w:rsid w:val="00E42DE2"/>
    <w:rsid w:val="00E42DF7"/>
    <w:rsid w:val="00E42EE0"/>
    <w:rsid w:val="00E42EEA"/>
    <w:rsid w:val="00E42F12"/>
    <w:rsid w:val="00E430F3"/>
    <w:rsid w:val="00E433EF"/>
    <w:rsid w:val="00E4345D"/>
    <w:rsid w:val="00E434DD"/>
    <w:rsid w:val="00E4387E"/>
    <w:rsid w:val="00E43A15"/>
    <w:rsid w:val="00E43BB5"/>
    <w:rsid w:val="00E43D0C"/>
    <w:rsid w:val="00E43F07"/>
    <w:rsid w:val="00E4405D"/>
    <w:rsid w:val="00E442E8"/>
    <w:rsid w:val="00E4437C"/>
    <w:rsid w:val="00E4437F"/>
    <w:rsid w:val="00E4440A"/>
    <w:rsid w:val="00E44452"/>
    <w:rsid w:val="00E448EE"/>
    <w:rsid w:val="00E44941"/>
    <w:rsid w:val="00E44B35"/>
    <w:rsid w:val="00E44B79"/>
    <w:rsid w:val="00E44D84"/>
    <w:rsid w:val="00E452D6"/>
    <w:rsid w:val="00E4572B"/>
    <w:rsid w:val="00E457D3"/>
    <w:rsid w:val="00E45828"/>
    <w:rsid w:val="00E45AF4"/>
    <w:rsid w:val="00E45C47"/>
    <w:rsid w:val="00E45E41"/>
    <w:rsid w:val="00E45F3A"/>
    <w:rsid w:val="00E46028"/>
    <w:rsid w:val="00E46045"/>
    <w:rsid w:val="00E46220"/>
    <w:rsid w:val="00E46283"/>
    <w:rsid w:val="00E46313"/>
    <w:rsid w:val="00E46684"/>
    <w:rsid w:val="00E46A9A"/>
    <w:rsid w:val="00E46BDD"/>
    <w:rsid w:val="00E47607"/>
    <w:rsid w:val="00E47B9D"/>
    <w:rsid w:val="00E47FFA"/>
    <w:rsid w:val="00E4F129"/>
    <w:rsid w:val="00E50080"/>
    <w:rsid w:val="00E5009C"/>
    <w:rsid w:val="00E502F3"/>
    <w:rsid w:val="00E5038E"/>
    <w:rsid w:val="00E50396"/>
    <w:rsid w:val="00E50547"/>
    <w:rsid w:val="00E5070D"/>
    <w:rsid w:val="00E508B2"/>
    <w:rsid w:val="00E5099A"/>
    <w:rsid w:val="00E50F4B"/>
    <w:rsid w:val="00E510C8"/>
    <w:rsid w:val="00E511EB"/>
    <w:rsid w:val="00E51769"/>
    <w:rsid w:val="00E5187C"/>
    <w:rsid w:val="00E5199A"/>
    <w:rsid w:val="00E51C2F"/>
    <w:rsid w:val="00E51E28"/>
    <w:rsid w:val="00E5250A"/>
    <w:rsid w:val="00E52532"/>
    <w:rsid w:val="00E5254F"/>
    <w:rsid w:val="00E525E4"/>
    <w:rsid w:val="00E52607"/>
    <w:rsid w:val="00E529EC"/>
    <w:rsid w:val="00E52BE2"/>
    <w:rsid w:val="00E53059"/>
    <w:rsid w:val="00E5321B"/>
    <w:rsid w:val="00E5343C"/>
    <w:rsid w:val="00E534E2"/>
    <w:rsid w:val="00E53903"/>
    <w:rsid w:val="00E53C65"/>
    <w:rsid w:val="00E53CB5"/>
    <w:rsid w:val="00E53D9A"/>
    <w:rsid w:val="00E53F39"/>
    <w:rsid w:val="00E540CC"/>
    <w:rsid w:val="00E540F5"/>
    <w:rsid w:val="00E54128"/>
    <w:rsid w:val="00E54181"/>
    <w:rsid w:val="00E543C7"/>
    <w:rsid w:val="00E5443C"/>
    <w:rsid w:val="00E546D4"/>
    <w:rsid w:val="00E547B4"/>
    <w:rsid w:val="00E5480F"/>
    <w:rsid w:val="00E5489B"/>
    <w:rsid w:val="00E54BBC"/>
    <w:rsid w:val="00E54E48"/>
    <w:rsid w:val="00E54E74"/>
    <w:rsid w:val="00E552A8"/>
    <w:rsid w:val="00E55A48"/>
    <w:rsid w:val="00E55E1D"/>
    <w:rsid w:val="00E55EF0"/>
    <w:rsid w:val="00E55F6E"/>
    <w:rsid w:val="00E56015"/>
    <w:rsid w:val="00E565DD"/>
    <w:rsid w:val="00E56ACC"/>
    <w:rsid w:val="00E56AD2"/>
    <w:rsid w:val="00E56BA5"/>
    <w:rsid w:val="00E56BD7"/>
    <w:rsid w:val="00E56CE3"/>
    <w:rsid w:val="00E56DE2"/>
    <w:rsid w:val="00E56E0A"/>
    <w:rsid w:val="00E56F03"/>
    <w:rsid w:val="00E56F13"/>
    <w:rsid w:val="00E57149"/>
    <w:rsid w:val="00E57457"/>
    <w:rsid w:val="00E575C3"/>
    <w:rsid w:val="00E57630"/>
    <w:rsid w:val="00E5788C"/>
    <w:rsid w:val="00E579CD"/>
    <w:rsid w:val="00E601FA"/>
    <w:rsid w:val="00E603B9"/>
    <w:rsid w:val="00E605AB"/>
    <w:rsid w:val="00E6092F"/>
    <w:rsid w:val="00E60A9C"/>
    <w:rsid w:val="00E60B37"/>
    <w:rsid w:val="00E60BD2"/>
    <w:rsid w:val="00E60C50"/>
    <w:rsid w:val="00E60D8F"/>
    <w:rsid w:val="00E60EEC"/>
    <w:rsid w:val="00E60F87"/>
    <w:rsid w:val="00E6117D"/>
    <w:rsid w:val="00E61219"/>
    <w:rsid w:val="00E61AB9"/>
    <w:rsid w:val="00E61AF0"/>
    <w:rsid w:val="00E61B14"/>
    <w:rsid w:val="00E61F84"/>
    <w:rsid w:val="00E61FB8"/>
    <w:rsid w:val="00E620A0"/>
    <w:rsid w:val="00E620AF"/>
    <w:rsid w:val="00E622B8"/>
    <w:rsid w:val="00E623CF"/>
    <w:rsid w:val="00E6247C"/>
    <w:rsid w:val="00E626DA"/>
    <w:rsid w:val="00E62801"/>
    <w:rsid w:val="00E62952"/>
    <w:rsid w:val="00E62F45"/>
    <w:rsid w:val="00E6310A"/>
    <w:rsid w:val="00E63379"/>
    <w:rsid w:val="00E6392B"/>
    <w:rsid w:val="00E63A8E"/>
    <w:rsid w:val="00E63D35"/>
    <w:rsid w:val="00E63FDC"/>
    <w:rsid w:val="00E63FEB"/>
    <w:rsid w:val="00E6428B"/>
    <w:rsid w:val="00E642B4"/>
    <w:rsid w:val="00E6439E"/>
    <w:rsid w:val="00E6488F"/>
    <w:rsid w:val="00E64959"/>
    <w:rsid w:val="00E64C0F"/>
    <w:rsid w:val="00E64C34"/>
    <w:rsid w:val="00E64E09"/>
    <w:rsid w:val="00E65DF1"/>
    <w:rsid w:val="00E65E19"/>
    <w:rsid w:val="00E66247"/>
    <w:rsid w:val="00E664BB"/>
    <w:rsid w:val="00E66764"/>
    <w:rsid w:val="00E6678A"/>
    <w:rsid w:val="00E669B5"/>
    <w:rsid w:val="00E66A22"/>
    <w:rsid w:val="00E671B3"/>
    <w:rsid w:val="00E672A0"/>
    <w:rsid w:val="00E67318"/>
    <w:rsid w:val="00E673CB"/>
    <w:rsid w:val="00E6761B"/>
    <w:rsid w:val="00E676AF"/>
    <w:rsid w:val="00E67E8E"/>
    <w:rsid w:val="00E67F19"/>
    <w:rsid w:val="00E70297"/>
    <w:rsid w:val="00E704A3"/>
    <w:rsid w:val="00E70684"/>
    <w:rsid w:val="00E70838"/>
    <w:rsid w:val="00E70A53"/>
    <w:rsid w:val="00E70AC9"/>
    <w:rsid w:val="00E70D35"/>
    <w:rsid w:val="00E70D74"/>
    <w:rsid w:val="00E70FE9"/>
    <w:rsid w:val="00E7107D"/>
    <w:rsid w:val="00E71097"/>
    <w:rsid w:val="00E71205"/>
    <w:rsid w:val="00E713DD"/>
    <w:rsid w:val="00E715B1"/>
    <w:rsid w:val="00E716E6"/>
    <w:rsid w:val="00E7184C"/>
    <w:rsid w:val="00E718EE"/>
    <w:rsid w:val="00E71A8D"/>
    <w:rsid w:val="00E71AA5"/>
    <w:rsid w:val="00E71D4C"/>
    <w:rsid w:val="00E71E41"/>
    <w:rsid w:val="00E71ED3"/>
    <w:rsid w:val="00E71FDB"/>
    <w:rsid w:val="00E7225B"/>
    <w:rsid w:val="00E72340"/>
    <w:rsid w:val="00E7252C"/>
    <w:rsid w:val="00E72CDB"/>
    <w:rsid w:val="00E72F6A"/>
    <w:rsid w:val="00E72FBC"/>
    <w:rsid w:val="00E73066"/>
    <w:rsid w:val="00E730F5"/>
    <w:rsid w:val="00E737D3"/>
    <w:rsid w:val="00E73891"/>
    <w:rsid w:val="00E738B5"/>
    <w:rsid w:val="00E73937"/>
    <w:rsid w:val="00E73941"/>
    <w:rsid w:val="00E73AD0"/>
    <w:rsid w:val="00E73B32"/>
    <w:rsid w:val="00E73D84"/>
    <w:rsid w:val="00E73EE4"/>
    <w:rsid w:val="00E74082"/>
    <w:rsid w:val="00E740EE"/>
    <w:rsid w:val="00E74106"/>
    <w:rsid w:val="00E7413F"/>
    <w:rsid w:val="00E7462D"/>
    <w:rsid w:val="00E748CA"/>
    <w:rsid w:val="00E74C38"/>
    <w:rsid w:val="00E74D27"/>
    <w:rsid w:val="00E74D48"/>
    <w:rsid w:val="00E74D98"/>
    <w:rsid w:val="00E74EF6"/>
    <w:rsid w:val="00E7514F"/>
    <w:rsid w:val="00E7533D"/>
    <w:rsid w:val="00E755D6"/>
    <w:rsid w:val="00E756DB"/>
    <w:rsid w:val="00E75A0A"/>
    <w:rsid w:val="00E75D87"/>
    <w:rsid w:val="00E75EFA"/>
    <w:rsid w:val="00E764E0"/>
    <w:rsid w:val="00E7669A"/>
    <w:rsid w:val="00E76787"/>
    <w:rsid w:val="00E76B30"/>
    <w:rsid w:val="00E76D0A"/>
    <w:rsid w:val="00E773A5"/>
    <w:rsid w:val="00E775A5"/>
    <w:rsid w:val="00E77CA3"/>
    <w:rsid w:val="00E77FBD"/>
    <w:rsid w:val="00E788AC"/>
    <w:rsid w:val="00E8016B"/>
    <w:rsid w:val="00E8019E"/>
    <w:rsid w:val="00E803A4"/>
    <w:rsid w:val="00E80478"/>
    <w:rsid w:val="00E8056D"/>
    <w:rsid w:val="00E806F4"/>
    <w:rsid w:val="00E8077A"/>
    <w:rsid w:val="00E80CED"/>
    <w:rsid w:val="00E80FB5"/>
    <w:rsid w:val="00E811CF"/>
    <w:rsid w:val="00E811F8"/>
    <w:rsid w:val="00E81300"/>
    <w:rsid w:val="00E816F2"/>
    <w:rsid w:val="00E816FC"/>
    <w:rsid w:val="00E81EF6"/>
    <w:rsid w:val="00E81FE1"/>
    <w:rsid w:val="00E821AF"/>
    <w:rsid w:val="00E82204"/>
    <w:rsid w:val="00E82373"/>
    <w:rsid w:val="00E8274E"/>
    <w:rsid w:val="00E82F72"/>
    <w:rsid w:val="00E83055"/>
    <w:rsid w:val="00E83076"/>
    <w:rsid w:val="00E83179"/>
    <w:rsid w:val="00E834B1"/>
    <w:rsid w:val="00E836C3"/>
    <w:rsid w:val="00E83D8C"/>
    <w:rsid w:val="00E841E6"/>
    <w:rsid w:val="00E84398"/>
    <w:rsid w:val="00E847C6"/>
    <w:rsid w:val="00E84840"/>
    <w:rsid w:val="00E84C6B"/>
    <w:rsid w:val="00E84C7C"/>
    <w:rsid w:val="00E84E42"/>
    <w:rsid w:val="00E84ECA"/>
    <w:rsid w:val="00E84FFC"/>
    <w:rsid w:val="00E85049"/>
    <w:rsid w:val="00E85114"/>
    <w:rsid w:val="00E851AA"/>
    <w:rsid w:val="00E851E6"/>
    <w:rsid w:val="00E857EA"/>
    <w:rsid w:val="00E85874"/>
    <w:rsid w:val="00E85C99"/>
    <w:rsid w:val="00E85D26"/>
    <w:rsid w:val="00E85D62"/>
    <w:rsid w:val="00E85DC2"/>
    <w:rsid w:val="00E85F00"/>
    <w:rsid w:val="00E86088"/>
    <w:rsid w:val="00E86296"/>
    <w:rsid w:val="00E86329"/>
    <w:rsid w:val="00E8632F"/>
    <w:rsid w:val="00E86447"/>
    <w:rsid w:val="00E864CF"/>
    <w:rsid w:val="00E86509"/>
    <w:rsid w:val="00E8682C"/>
    <w:rsid w:val="00E86B37"/>
    <w:rsid w:val="00E87030"/>
    <w:rsid w:val="00E870E7"/>
    <w:rsid w:val="00E87143"/>
    <w:rsid w:val="00E87171"/>
    <w:rsid w:val="00E87185"/>
    <w:rsid w:val="00E871C9"/>
    <w:rsid w:val="00E87271"/>
    <w:rsid w:val="00E87273"/>
    <w:rsid w:val="00E87330"/>
    <w:rsid w:val="00E8781D"/>
    <w:rsid w:val="00E8787B"/>
    <w:rsid w:val="00E87EF9"/>
    <w:rsid w:val="00E87F41"/>
    <w:rsid w:val="00E87FB3"/>
    <w:rsid w:val="00E906E5"/>
    <w:rsid w:val="00E90946"/>
    <w:rsid w:val="00E909A3"/>
    <w:rsid w:val="00E90B81"/>
    <w:rsid w:val="00E90DFD"/>
    <w:rsid w:val="00E912A1"/>
    <w:rsid w:val="00E9141F"/>
    <w:rsid w:val="00E914A2"/>
    <w:rsid w:val="00E914E8"/>
    <w:rsid w:val="00E91864"/>
    <w:rsid w:val="00E91B02"/>
    <w:rsid w:val="00E91C1C"/>
    <w:rsid w:val="00E91C36"/>
    <w:rsid w:val="00E91CFB"/>
    <w:rsid w:val="00E91D46"/>
    <w:rsid w:val="00E92092"/>
    <w:rsid w:val="00E92385"/>
    <w:rsid w:val="00E9260C"/>
    <w:rsid w:val="00E928B7"/>
    <w:rsid w:val="00E92BB6"/>
    <w:rsid w:val="00E92CDB"/>
    <w:rsid w:val="00E92DBE"/>
    <w:rsid w:val="00E92FC6"/>
    <w:rsid w:val="00E931C8"/>
    <w:rsid w:val="00E9326D"/>
    <w:rsid w:val="00E932D9"/>
    <w:rsid w:val="00E933E8"/>
    <w:rsid w:val="00E93565"/>
    <w:rsid w:val="00E935B9"/>
    <w:rsid w:val="00E937E3"/>
    <w:rsid w:val="00E9398E"/>
    <w:rsid w:val="00E93A9C"/>
    <w:rsid w:val="00E93B81"/>
    <w:rsid w:val="00E93CD4"/>
    <w:rsid w:val="00E93D14"/>
    <w:rsid w:val="00E93DC9"/>
    <w:rsid w:val="00E9433A"/>
    <w:rsid w:val="00E945AF"/>
    <w:rsid w:val="00E94755"/>
    <w:rsid w:val="00E94B2F"/>
    <w:rsid w:val="00E94CB3"/>
    <w:rsid w:val="00E94CE4"/>
    <w:rsid w:val="00E94DD9"/>
    <w:rsid w:val="00E94F37"/>
    <w:rsid w:val="00E94FCD"/>
    <w:rsid w:val="00E951E2"/>
    <w:rsid w:val="00E9533D"/>
    <w:rsid w:val="00E95572"/>
    <w:rsid w:val="00E9596B"/>
    <w:rsid w:val="00E95FA2"/>
    <w:rsid w:val="00E963EC"/>
    <w:rsid w:val="00E96732"/>
    <w:rsid w:val="00E96792"/>
    <w:rsid w:val="00E96BC9"/>
    <w:rsid w:val="00E96EFB"/>
    <w:rsid w:val="00E96FAE"/>
    <w:rsid w:val="00E971AE"/>
    <w:rsid w:val="00E972C5"/>
    <w:rsid w:val="00E972F9"/>
    <w:rsid w:val="00E97323"/>
    <w:rsid w:val="00E974C4"/>
    <w:rsid w:val="00E97AE7"/>
    <w:rsid w:val="00E97B77"/>
    <w:rsid w:val="00EA0117"/>
    <w:rsid w:val="00EA029B"/>
    <w:rsid w:val="00EA0796"/>
    <w:rsid w:val="00EA080E"/>
    <w:rsid w:val="00EA0939"/>
    <w:rsid w:val="00EA0967"/>
    <w:rsid w:val="00EA09C9"/>
    <w:rsid w:val="00EA0A79"/>
    <w:rsid w:val="00EA0BE5"/>
    <w:rsid w:val="00EA1148"/>
    <w:rsid w:val="00EA15EC"/>
    <w:rsid w:val="00EA16F7"/>
    <w:rsid w:val="00EA19B4"/>
    <w:rsid w:val="00EA19C9"/>
    <w:rsid w:val="00EA1A63"/>
    <w:rsid w:val="00EA1CE8"/>
    <w:rsid w:val="00EA1CF4"/>
    <w:rsid w:val="00EA1D49"/>
    <w:rsid w:val="00EA1F9A"/>
    <w:rsid w:val="00EA2077"/>
    <w:rsid w:val="00EA22A0"/>
    <w:rsid w:val="00EA22E8"/>
    <w:rsid w:val="00EA2444"/>
    <w:rsid w:val="00EA25D4"/>
    <w:rsid w:val="00EA2610"/>
    <w:rsid w:val="00EA26BF"/>
    <w:rsid w:val="00EA2929"/>
    <w:rsid w:val="00EA2962"/>
    <w:rsid w:val="00EA2D2B"/>
    <w:rsid w:val="00EA2DE2"/>
    <w:rsid w:val="00EA2DED"/>
    <w:rsid w:val="00EA2E25"/>
    <w:rsid w:val="00EA2F90"/>
    <w:rsid w:val="00EA3062"/>
    <w:rsid w:val="00EA30F1"/>
    <w:rsid w:val="00EA34A4"/>
    <w:rsid w:val="00EA36D1"/>
    <w:rsid w:val="00EA3A77"/>
    <w:rsid w:val="00EA3A7E"/>
    <w:rsid w:val="00EA3A97"/>
    <w:rsid w:val="00EA4005"/>
    <w:rsid w:val="00EA41BE"/>
    <w:rsid w:val="00EA4274"/>
    <w:rsid w:val="00EA4454"/>
    <w:rsid w:val="00EA44E2"/>
    <w:rsid w:val="00EA4503"/>
    <w:rsid w:val="00EA4634"/>
    <w:rsid w:val="00EA5165"/>
    <w:rsid w:val="00EA526A"/>
    <w:rsid w:val="00EA52B8"/>
    <w:rsid w:val="00EA54B2"/>
    <w:rsid w:val="00EA56BA"/>
    <w:rsid w:val="00EA5A42"/>
    <w:rsid w:val="00EA5C92"/>
    <w:rsid w:val="00EA5CF6"/>
    <w:rsid w:val="00EA5DAC"/>
    <w:rsid w:val="00EA5E09"/>
    <w:rsid w:val="00EA5FF2"/>
    <w:rsid w:val="00EA609E"/>
    <w:rsid w:val="00EA6230"/>
    <w:rsid w:val="00EA63F6"/>
    <w:rsid w:val="00EA64DE"/>
    <w:rsid w:val="00EA6591"/>
    <w:rsid w:val="00EA6622"/>
    <w:rsid w:val="00EA66D8"/>
    <w:rsid w:val="00EA6EC0"/>
    <w:rsid w:val="00EA7069"/>
    <w:rsid w:val="00EA70FD"/>
    <w:rsid w:val="00EA71CC"/>
    <w:rsid w:val="00EA7483"/>
    <w:rsid w:val="00EA7583"/>
    <w:rsid w:val="00EB0710"/>
    <w:rsid w:val="00EB09EE"/>
    <w:rsid w:val="00EB1224"/>
    <w:rsid w:val="00EB12DC"/>
    <w:rsid w:val="00EB1495"/>
    <w:rsid w:val="00EB1517"/>
    <w:rsid w:val="00EB16C9"/>
    <w:rsid w:val="00EB173B"/>
    <w:rsid w:val="00EB190C"/>
    <w:rsid w:val="00EB1B6F"/>
    <w:rsid w:val="00EB1BAD"/>
    <w:rsid w:val="00EB1BB8"/>
    <w:rsid w:val="00EB1D2F"/>
    <w:rsid w:val="00EB1D8C"/>
    <w:rsid w:val="00EB1F61"/>
    <w:rsid w:val="00EB203B"/>
    <w:rsid w:val="00EB216A"/>
    <w:rsid w:val="00EB262C"/>
    <w:rsid w:val="00EB2642"/>
    <w:rsid w:val="00EB27B1"/>
    <w:rsid w:val="00EB2863"/>
    <w:rsid w:val="00EB295A"/>
    <w:rsid w:val="00EB2B26"/>
    <w:rsid w:val="00EB2C42"/>
    <w:rsid w:val="00EB2F28"/>
    <w:rsid w:val="00EB33C2"/>
    <w:rsid w:val="00EB345B"/>
    <w:rsid w:val="00EB3758"/>
    <w:rsid w:val="00EB38B4"/>
    <w:rsid w:val="00EB3B9E"/>
    <w:rsid w:val="00EB3CDE"/>
    <w:rsid w:val="00EB3EA3"/>
    <w:rsid w:val="00EB486F"/>
    <w:rsid w:val="00EB48C3"/>
    <w:rsid w:val="00EB490C"/>
    <w:rsid w:val="00EB494C"/>
    <w:rsid w:val="00EB4A16"/>
    <w:rsid w:val="00EB4AE5"/>
    <w:rsid w:val="00EB4B03"/>
    <w:rsid w:val="00EB4F33"/>
    <w:rsid w:val="00EB4FF5"/>
    <w:rsid w:val="00EB5227"/>
    <w:rsid w:val="00EB5367"/>
    <w:rsid w:val="00EB5A4B"/>
    <w:rsid w:val="00EB5E38"/>
    <w:rsid w:val="00EB5F03"/>
    <w:rsid w:val="00EB60F7"/>
    <w:rsid w:val="00EB6115"/>
    <w:rsid w:val="00EB6606"/>
    <w:rsid w:val="00EB670D"/>
    <w:rsid w:val="00EB6939"/>
    <w:rsid w:val="00EB6AC5"/>
    <w:rsid w:val="00EB6CEA"/>
    <w:rsid w:val="00EB6DAC"/>
    <w:rsid w:val="00EB6F23"/>
    <w:rsid w:val="00EB7117"/>
    <w:rsid w:val="00EB7133"/>
    <w:rsid w:val="00EB7266"/>
    <w:rsid w:val="00EB77E3"/>
    <w:rsid w:val="00EB7A00"/>
    <w:rsid w:val="00EB7AB8"/>
    <w:rsid w:val="00EB7CD2"/>
    <w:rsid w:val="00EB7CDF"/>
    <w:rsid w:val="00EB7F17"/>
    <w:rsid w:val="00EC040E"/>
    <w:rsid w:val="00EC04E4"/>
    <w:rsid w:val="00EC053D"/>
    <w:rsid w:val="00EC054F"/>
    <w:rsid w:val="00EC056D"/>
    <w:rsid w:val="00EC0604"/>
    <w:rsid w:val="00EC075A"/>
    <w:rsid w:val="00EC07E8"/>
    <w:rsid w:val="00EC0922"/>
    <w:rsid w:val="00EC0D89"/>
    <w:rsid w:val="00EC0DBA"/>
    <w:rsid w:val="00EC162C"/>
    <w:rsid w:val="00EC169D"/>
    <w:rsid w:val="00EC16C5"/>
    <w:rsid w:val="00EC18D3"/>
    <w:rsid w:val="00EC1D22"/>
    <w:rsid w:val="00EC1F39"/>
    <w:rsid w:val="00EC2113"/>
    <w:rsid w:val="00EC2301"/>
    <w:rsid w:val="00EC23C6"/>
    <w:rsid w:val="00EC2516"/>
    <w:rsid w:val="00EC269C"/>
    <w:rsid w:val="00EC26E2"/>
    <w:rsid w:val="00EC28F2"/>
    <w:rsid w:val="00EC2B78"/>
    <w:rsid w:val="00EC2CA5"/>
    <w:rsid w:val="00EC2DE0"/>
    <w:rsid w:val="00EC318E"/>
    <w:rsid w:val="00EC371F"/>
    <w:rsid w:val="00EC391B"/>
    <w:rsid w:val="00EC3A1D"/>
    <w:rsid w:val="00EC3BD5"/>
    <w:rsid w:val="00EC3D6A"/>
    <w:rsid w:val="00EC4112"/>
    <w:rsid w:val="00EC44AF"/>
    <w:rsid w:val="00EC476D"/>
    <w:rsid w:val="00EC4835"/>
    <w:rsid w:val="00EC4874"/>
    <w:rsid w:val="00EC4B7A"/>
    <w:rsid w:val="00EC4D72"/>
    <w:rsid w:val="00EC4DFA"/>
    <w:rsid w:val="00EC4E72"/>
    <w:rsid w:val="00EC4F0F"/>
    <w:rsid w:val="00EC4F14"/>
    <w:rsid w:val="00EC4F44"/>
    <w:rsid w:val="00EC50C1"/>
    <w:rsid w:val="00EC50D7"/>
    <w:rsid w:val="00EC5582"/>
    <w:rsid w:val="00EC569C"/>
    <w:rsid w:val="00EC579B"/>
    <w:rsid w:val="00EC599C"/>
    <w:rsid w:val="00EC5A72"/>
    <w:rsid w:val="00EC5AC3"/>
    <w:rsid w:val="00EC6081"/>
    <w:rsid w:val="00EC6086"/>
    <w:rsid w:val="00EC625A"/>
    <w:rsid w:val="00EC6897"/>
    <w:rsid w:val="00EC68BD"/>
    <w:rsid w:val="00EC6A3A"/>
    <w:rsid w:val="00EC6AE0"/>
    <w:rsid w:val="00EC6DAF"/>
    <w:rsid w:val="00EC6FCB"/>
    <w:rsid w:val="00EC6FEB"/>
    <w:rsid w:val="00EC707B"/>
    <w:rsid w:val="00EC710B"/>
    <w:rsid w:val="00EC713B"/>
    <w:rsid w:val="00EC7286"/>
    <w:rsid w:val="00EC72C5"/>
    <w:rsid w:val="00EC743E"/>
    <w:rsid w:val="00EC7AA4"/>
    <w:rsid w:val="00EC7C9D"/>
    <w:rsid w:val="00EC7EFC"/>
    <w:rsid w:val="00EC7FC4"/>
    <w:rsid w:val="00ECC69F"/>
    <w:rsid w:val="00ED00A2"/>
    <w:rsid w:val="00ED01D1"/>
    <w:rsid w:val="00ED04C8"/>
    <w:rsid w:val="00ED08D3"/>
    <w:rsid w:val="00ED094D"/>
    <w:rsid w:val="00ED0AC3"/>
    <w:rsid w:val="00ED0B58"/>
    <w:rsid w:val="00ED0BDF"/>
    <w:rsid w:val="00ED0CEC"/>
    <w:rsid w:val="00ED0D31"/>
    <w:rsid w:val="00ED0DD6"/>
    <w:rsid w:val="00ED0E5D"/>
    <w:rsid w:val="00ED0F43"/>
    <w:rsid w:val="00ED14E2"/>
    <w:rsid w:val="00ED16E2"/>
    <w:rsid w:val="00ED182C"/>
    <w:rsid w:val="00ED189D"/>
    <w:rsid w:val="00ED1B0F"/>
    <w:rsid w:val="00ED218B"/>
    <w:rsid w:val="00ED23A9"/>
    <w:rsid w:val="00ED2694"/>
    <w:rsid w:val="00ED2C07"/>
    <w:rsid w:val="00ED2E19"/>
    <w:rsid w:val="00ED2E63"/>
    <w:rsid w:val="00ED3756"/>
    <w:rsid w:val="00ED39AF"/>
    <w:rsid w:val="00ED3CCA"/>
    <w:rsid w:val="00ED3FCF"/>
    <w:rsid w:val="00ED40CF"/>
    <w:rsid w:val="00ED412B"/>
    <w:rsid w:val="00ED41A0"/>
    <w:rsid w:val="00ED4288"/>
    <w:rsid w:val="00ED4441"/>
    <w:rsid w:val="00ED4467"/>
    <w:rsid w:val="00ED4A31"/>
    <w:rsid w:val="00ED4D59"/>
    <w:rsid w:val="00ED4EC3"/>
    <w:rsid w:val="00ED4F6F"/>
    <w:rsid w:val="00ED50CE"/>
    <w:rsid w:val="00ED511F"/>
    <w:rsid w:val="00ED517B"/>
    <w:rsid w:val="00ED59BF"/>
    <w:rsid w:val="00ED59D2"/>
    <w:rsid w:val="00ED5EA6"/>
    <w:rsid w:val="00ED5EBE"/>
    <w:rsid w:val="00ED5F1A"/>
    <w:rsid w:val="00ED624F"/>
    <w:rsid w:val="00ED685D"/>
    <w:rsid w:val="00ED6C7C"/>
    <w:rsid w:val="00ED6D92"/>
    <w:rsid w:val="00ED6F73"/>
    <w:rsid w:val="00ED71A3"/>
    <w:rsid w:val="00ED7266"/>
    <w:rsid w:val="00ED72CF"/>
    <w:rsid w:val="00ED73E5"/>
    <w:rsid w:val="00ED78B4"/>
    <w:rsid w:val="00ED7A9D"/>
    <w:rsid w:val="00ED7B67"/>
    <w:rsid w:val="00ED7DF0"/>
    <w:rsid w:val="00ED7E50"/>
    <w:rsid w:val="00ED7F0A"/>
    <w:rsid w:val="00ED7F8A"/>
    <w:rsid w:val="00ED7FA2"/>
    <w:rsid w:val="00EE0352"/>
    <w:rsid w:val="00EE04A9"/>
    <w:rsid w:val="00EE0770"/>
    <w:rsid w:val="00EE0878"/>
    <w:rsid w:val="00EE0C2D"/>
    <w:rsid w:val="00EE0C3E"/>
    <w:rsid w:val="00EE0D30"/>
    <w:rsid w:val="00EE0F91"/>
    <w:rsid w:val="00EE0FDA"/>
    <w:rsid w:val="00EE10A6"/>
    <w:rsid w:val="00EE136E"/>
    <w:rsid w:val="00EE1372"/>
    <w:rsid w:val="00EE14D1"/>
    <w:rsid w:val="00EE1874"/>
    <w:rsid w:val="00EE18AD"/>
    <w:rsid w:val="00EE1CBA"/>
    <w:rsid w:val="00EE1CF0"/>
    <w:rsid w:val="00EE1D20"/>
    <w:rsid w:val="00EE1FA9"/>
    <w:rsid w:val="00EE2467"/>
    <w:rsid w:val="00EE25D9"/>
    <w:rsid w:val="00EE262B"/>
    <w:rsid w:val="00EE2B72"/>
    <w:rsid w:val="00EE2DF9"/>
    <w:rsid w:val="00EE330B"/>
    <w:rsid w:val="00EE34D2"/>
    <w:rsid w:val="00EE3D8C"/>
    <w:rsid w:val="00EE3E3E"/>
    <w:rsid w:val="00EE46C1"/>
    <w:rsid w:val="00EE47C9"/>
    <w:rsid w:val="00EE4806"/>
    <w:rsid w:val="00EE4BA5"/>
    <w:rsid w:val="00EE4BAD"/>
    <w:rsid w:val="00EE4C3A"/>
    <w:rsid w:val="00EE4D23"/>
    <w:rsid w:val="00EE4FD5"/>
    <w:rsid w:val="00EE509D"/>
    <w:rsid w:val="00EE5146"/>
    <w:rsid w:val="00EE536F"/>
    <w:rsid w:val="00EE53AF"/>
    <w:rsid w:val="00EE55A0"/>
    <w:rsid w:val="00EE57F7"/>
    <w:rsid w:val="00EE57FC"/>
    <w:rsid w:val="00EE5818"/>
    <w:rsid w:val="00EE5885"/>
    <w:rsid w:val="00EE5C84"/>
    <w:rsid w:val="00EE5FCF"/>
    <w:rsid w:val="00EE6022"/>
    <w:rsid w:val="00EE6057"/>
    <w:rsid w:val="00EE6192"/>
    <w:rsid w:val="00EE6350"/>
    <w:rsid w:val="00EE6990"/>
    <w:rsid w:val="00EE6F38"/>
    <w:rsid w:val="00EE7099"/>
    <w:rsid w:val="00EE7309"/>
    <w:rsid w:val="00EE74DB"/>
    <w:rsid w:val="00EE7540"/>
    <w:rsid w:val="00EE774F"/>
    <w:rsid w:val="00EE7A4C"/>
    <w:rsid w:val="00EE7ED9"/>
    <w:rsid w:val="00EEB261"/>
    <w:rsid w:val="00EF04F8"/>
    <w:rsid w:val="00EF0521"/>
    <w:rsid w:val="00EF0948"/>
    <w:rsid w:val="00EF0DB5"/>
    <w:rsid w:val="00EF0DE3"/>
    <w:rsid w:val="00EF0EFB"/>
    <w:rsid w:val="00EF0F41"/>
    <w:rsid w:val="00EF1034"/>
    <w:rsid w:val="00EF11DA"/>
    <w:rsid w:val="00EF1327"/>
    <w:rsid w:val="00EF1482"/>
    <w:rsid w:val="00EF16E2"/>
    <w:rsid w:val="00EF1751"/>
    <w:rsid w:val="00EF18B1"/>
    <w:rsid w:val="00EF198E"/>
    <w:rsid w:val="00EF20BB"/>
    <w:rsid w:val="00EF252A"/>
    <w:rsid w:val="00EF2856"/>
    <w:rsid w:val="00EF287F"/>
    <w:rsid w:val="00EF28C4"/>
    <w:rsid w:val="00EF2A8E"/>
    <w:rsid w:val="00EF31D7"/>
    <w:rsid w:val="00EF327B"/>
    <w:rsid w:val="00EF35C6"/>
    <w:rsid w:val="00EF3A47"/>
    <w:rsid w:val="00EF3DA9"/>
    <w:rsid w:val="00EF44FF"/>
    <w:rsid w:val="00EF4519"/>
    <w:rsid w:val="00EF460D"/>
    <w:rsid w:val="00EF4898"/>
    <w:rsid w:val="00EF491F"/>
    <w:rsid w:val="00EF4AAE"/>
    <w:rsid w:val="00EF4D5F"/>
    <w:rsid w:val="00EF4F09"/>
    <w:rsid w:val="00EF521F"/>
    <w:rsid w:val="00EF52C7"/>
    <w:rsid w:val="00EF54B1"/>
    <w:rsid w:val="00EF5BC6"/>
    <w:rsid w:val="00EF5D24"/>
    <w:rsid w:val="00EF5D77"/>
    <w:rsid w:val="00EF5F6F"/>
    <w:rsid w:val="00EF614A"/>
    <w:rsid w:val="00EF66B4"/>
    <w:rsid w:val="00EF6957"/>
    <w:rsid w:val="00EF72F4"/>
    <w:rsid w:val="00EF798A"/>
    <w:rsid w:val="00EF79C6"/>
    <w:rsid w:val="00F000D7"/>
    <w:rsid w:val="00F0010B"/>
    <w:rsid w:val="00F00315"/>
    <w:rsid w:val="00F004A0"/>
    <w:rsid w:val="00F0075E"/>
    <w:rsid w:val="00F0079C"/>
    <w:rsid w:val="00F00A07"/>
    <w:rsid w:val="00F00B98"/>
    <w:rsid w:val="00F00C98"/>
    <w:rsid w:val="00F00DBD"/>
    <w:rsid w:val="00F00F9A"/>
    <w:rsid w:val="00F0116E"/>
    <w:rsid w:val="00F01966"/>
    <w:rsid w:val="00F019AF"/>
    <w:rsid w:val="00F019DB"/>
    <w:rsid w:val="00F01AAB"/>
    <w:rsid w:val="00F01D04"/>
    <w:rsid w:val="00F0216E"/>
    <w:rsid w:val="00F0238E"/>
    <w:rsid w:val="00F02434"/>
    <w:rsid w:val="00F02468"/>
    <w:rsid w:val="00F025B4"/>
    <w:rsid w:val="00F02885"/>
    <w:rsid w:val="00F02970"/>
    <w:rsid w:val="00F029F0"/>
    <w:rsid w:val="00F02C13"/>
    <w:rsid w:val="00F02EAF"/>
    <w:rsid w:val="00F0328D"/>
    <w:rsid w:val="00F034EC"/>
    <w:rsid w:val="00F03EB0"/>
    <w:rsid w:val="00F03F5C"/>
    <w:rsid w:val="00F04544"/>
    <w:rsid w:val="00F045FA"/>
    <w:rsid w:val="00F046B8"/>
    <w:rsid w:val="00F04883"/>
    <w:rsid w:val="00F049B7"/>
    <w:rsid w:val="00F04D5B"/>
    <w:rsid w:val="00F04DA1"/>
    <w:rsid w:val="00F04E9C"/>
    <w:rsid w:val="00F04ED9"/>
    <w:rsid w:val="00F04F18"/>
    <w:rsid w:val="00F05425"/>
    <w:rsid w:val="00F055B6"/>
    <w:rsid w:val="00F057F2"/>
    <w:rsid w:val="00F0596F"/>
    <w:rsid w:val="00F059EC"/>
    <w:rsid w:val="00F05A33"/>
    <w:rsid w:val="00F05AB4"/>
    <w:rsid w:val="00F05C49"/>
    <w:rsid w:val="00F05CF7"/>
    <w:rsid w:val="00F0653E"/>
    <w:rsid w:val="00F065CB"/>
    <w:rsid w:val="00F065F2"/>
    <w:rsid w:val="00F06A2E"/>
    <w:rsid w:val="00F06AB2"/>
    <w:rsid w:val="00F06CB1"/>
    <w:rsid w:val="00F06CEF"/>
    <w:rsid w:val="00F06D96"/>
    <w:rsid w:val="00F06DD7"/>
    <w:rsid w:val="00F07172"/>
    <w:rsid w:val="00F0718C"/>
    <w:rsid w:val="00F0746B"/>
    <w:rsid w:val="00F07601"/>
    <w:rsid w:val="00F0773E"/>
    <w:rsid w:val="00F077F9"/>
    <w:rsid w:val="00F07833"/>
    <w:rsid w:val="00F07914"/>
    <w:rsid w:val="00F07ADE"/>
    <w:rsid w:val="00F100EA"/>
    <w:rsid w:val="00F105AC"/>
    <w:rsid w:val="00F105F6"/>
    <w:rsid w:val="00F109C4"/>
    <w:rsid w:val="00F10C4A"/>
    <w:rsid w:val="00F10F2E"/>
    <w:rsid w:val="00F11448"/>
    <w:rsid w:val="00F11619"/>
    <w:rsid w:val="00F11654"/>
    <w:rsid w:val="00F11A51"/>
    <w:rsid w:val="00F11C33"/>
    <w:rsid w:val="00F11CF4"/>
    <w:rsid w:val="00F12045"/>
    <w:rsid w:val="00F122A6"/>
    <w:rsid w:val="00F122DB"/>
    <w:rsid w:val="00F123D3"/>
    <w:rsid w:val="00F12701"/>
    <w:rsid w:val="00F127BD"/>
    <w:rsid w:val="00F12C8C"/>
    <w:rsid w:val="00F12CB4"/>
    <w:rsid w:val="00F12E74"/>
    <w:rsid w:val="00F12F0F"/>
    <w:rsid w:val="00F13004"/>
    <w:rsid w:val="00F130F6"/>
    <w:rsid w:val="00F13292"/>
    <w:rsid w:val="00F132D9"/>
    <w:rsid w:val="00F138CE"/>
    <w:rsid w:val="00F13AEB"/>
    <w:rsid w:val="00F13B90"/>
    <w:rsid w:val="00F13E57"/>
    <w:rsid w:val="00F13F18"/>
    <w:rsid w:val="00F142A9"/>
    <w:rsid w:val="00F1472B"/>
    <w:rsid w:val="00F14730"/>
    <w:rsid w:val="00F14C02"/>
    <w:rsid w:val="00F14CA0"/>
    <w:rsid w:val="00F14E00"/>
    <w:rsid w:val="00F1506B"/>
    <w:rsid w:val="00F15393"/>
    <w:rsid w:val="00F15436"/>
    <w:rsid w:val="00F154FE"/>
    <w:rsid w:val="00F15DE6"/>
    <w:rsid w:val="00F15DF1"/>
    <w:rsid w:val="00F15EC4"/>
    <w:rsid w:val="00F161BC"/>
    <w:rsid w:val="00F1623F"/>
    <w:rsid w:val="00F16345"/>
    <w:rsid w:val="00F163B9"/>
    <w:rsid w:val="00F16510"/>
    <w:rsid w:val="00F16770"/>
    <w:rsid w:val="00F16774"/>
    <w:rsid w:val="00F167C0"/>
    <w:rsid w:val="00F16966"/>
    <w:rsid w:val="00F16AC2"/>
    <w:rsid w:val="00F17005"/>
    <w:rsid w:val="00F17016"/>
    <w:rsid w:val="00F170C6"/>
    <w:rsid w:val="00F170EF"/>
    <w:rsid w:val="00F173D1"/>
    <w:rsid w:val="00F176E3"/>
    <w:rsid w:val="00F1793C"/>
    <w:rsid w:val="00F17B92"/>
    <w:rsid w:val="00F17D58"/>
    <w:rsid w:val="00F17E3C"/>
    <w:rsid w:val="00F17F8A"/>
    <w:rsid w:val="00F2001C"/>
    <w:rsid w:val="00F2004A"/>
    <w:rsid w:val="00F20140"/>
    <w:rsid w:val="00F202ED"/>
    <w:rsid w:val="00F203DC"/>
    <w:rsid w:val="00F204EA"/>
    <w:rsid w:val="00F2067C"/>
    <w:rsid w:val="00F2070F"/>
    <w:rsid w:val="00F20B56"/>
    <w:rsid w:val="00F20D47"/>
    <w:rsid w:val="00F20FB1"/>
    <w:rsid w:val="00F2105A"/>
    <w:rsid w:val="00F2107D"/>
    <w:rsid w:val="00F21112"/>
    <w:rsid w:val="00F2116A"/>
    <w:rsid w:val="00F2158C"/>
    <w:rsid w:val="00F21C68"/>
    <w:rsid w:val="00F21D32"/>
    <w:rsid w:val="00F21F09"/>
    <w:rsid w:val="00F21F0F"/>
    <w:rsid w:val="00F22087"/>
    <w:rsid w:val="00F22219"/>
    <w:rsid w:val="00F22482"/>
    <w:rsid w:val="00F22DCC"/>
    <w:rsid w:val="00F22EC0"/>
    <w:rsid w:val="00F22EFA"/>
    <w:rsid w:val="00F23002"/>
    <w:rsid w:val="00F23557"/>
    <w:rsid w:val="00F23857"/>
    <w:rsid w:val="00F2396D"/>
    <w:rsid w:val="00F23BDB"/>
    <w:rsid w:val="00F23C50"/>
    <w:rsid w:val="00F240C6"/>
    <w:rsid w:val="00F24450"/>
    <w:rsid w:val="00F2454C"/>
    <w:rsid w:val="00F248D1"/>
    <w:rsid w:val="00F24B6A"/>
    <w:rsid w:val="00F24D6D"/>
    <w:rsid w:val="00F24E3A"/>
    <w:rsid w:val="00F24F96"/>
    <w:rsid w:val="00F2504A"/>
    <w:rsid w:val="00F250FB"/>
    <w:rsid w:val="00F25383"/>
    <w:rsid w:val="00F2544C"/>
    <w:rsid w:val="00F255CC"/>
    <w:rsid w:val="00F25A4F"/>
    <w:rsid w:val="00F25AD3"/>
    <w:rsid w:val="00F25BF2"/>
    <w:rsid w:val="00F25C56"/>
    <w:rsid w:val="00F25D44"/>
    <w:rsid w:val="00F25D7F"/>
    <w:rsid w:val="00F25DE8"/>
    <w:rsid w:val="00F26227"/>
    <w:rsid w:val="00F2623B"/>
    <w:rsid w:val="00F264FE"/>
    <w:rsid w:val="00F26841"/>
    <w:rsid w:val="00F26BB9"/>
    <w:rsid w:val="00F26EC4"/>
    <w:rsid w:val="00F26FA4"/>
    <w:rsid w:val="00F2725F"/>
    <w:rsid w:val="00F272E4"/>
    <w:rsid w:val="00F27412"/>
    <w:rsid w:val="00F27A2F"/>
    <w:rsid w:val="00F27B0B"/>
    <w:rsid w:val="00F27B5C"/>
    <w:rsid w:val="00F27CF3"/>
    <w:rsid w:val="00F27E93"/>
    <w:rsid w:val="00F27FBD"/>
    <w:rsid w:val="00F3005E"/>
    <w:rsid w:val="00F30226"/>
    <w:rsid w:val="00F30230"/>
    <w:rsid w:val="00F30460"/>
    <w:rsid w:val="00F30559"/>
    <w:rsid w:val="00F30572"/>
    <w:rsid w:val="00F3074C"/>
    <w:rsid w:val="00F30762"/>
    <w:rsid w:val="00F30876"/>
    <w:rsid w:val="00F309E6"/>
    <w:rsid w:val="00F30BA3"/>
    <w:rsid w:val="00F30D26"/>
    <w:rsid w:val="00F30D7B"/>
    <w:rsid w:val="00F31083"/>
    <w:rsid w:val="00F31261"/>
    <w:rsid w:val="00F319E0"/>
    <w:rsid w:val="00F31BFF"/>
    <w:rsid w:val="00F323D0"/>
    <w:rsid w:val="00F32404"/>
    <w:rsid w:val="00F3252B"/>
    <w:rsid w:val="00F325AF"/>
    <w:rsid w:val="00F32732"/>
    <w:rsid w:val="00F32812"/>
    <w:rsid w:val="00F32A6B"/>
    <w:rsid w:val="00F32C29"/>
    <w:rsid w:val="00F32E14"/>
    <w:rsid w:val="00F33073"/>
    <w:rsid w:val="00F3321B"/>
    <w:rsid w:val="00F33229"/>
    <w:rsid w:val="00F33290"/>
    <w:rsid w:val="00F3345F"/>
    <w:rsid w:val="00F33524"/>
    <w:rsid w:val="00F33D23"/>
    <w:rsid w:val="00F341D5"/>
    <w:rsid w:val="00F34425"/>
    <w:rsid w:val="00F348F7"/>
    <w:rsid w:val="00F34952"/>
    <w:rsid w:val="00F34A26"/>
    <w:rsid w:val="00F34BDC"/>
    <w:rsid w:val="00F34E02"/>
    <w:rsid w:val="00F34F40"/>
    <w:rsid w:val="00F35509"/>
    <w:rsid w:val="00F3560D"/>
    <w:rsid w:val="00F35737"/>
    <w:rsid w:val="00F357DD"/>
    <w:rsid w:val="00F36020"/>
    <w:rsid w:val="00F364B9"/>
    <w:rsid w:val="00F3665E"/>
    <w:rsid w:val="00F36AEB"/>
    <w:rsid w:val="00F36CE4"/>
    <w:rsid w:val="00F36D50"/>
    <w:rsid w:val="00F36EEA"/>
    <w:rsid w:val="00F3730D"/>
    <w:rsid w:val="00F373B5"/>
    <w:rsid w:val="00F3740D"/>
    <w:rsid w:val="00F3764B"/>
    <w:rsid w:val="00F378B7"/>
    <w:rsid w:val="00F3794C"/>
    <w:rsid w:val="00F37B8D"/>
    <w:rsid w:val="00F37E57"/>
    <w:rsid w:val="00F37E8B"/>
    <w:rsid w:val="00F37F9C"/>
    <w:rsid w:val="00F4038D"/>
    <w:rsid w:val="00F40460"/>
    <w:rsid w:val="00F40575"/>
    <w:rsid w:val="00F40577"/>
    <w:rsid w:val="00F4066B"/>
    <w:rsid w:val="00F408FE"/>
    <w:rsid w:val="00F40947"/>
    <w:rsid w:val="00F40A46"/>
    <w:rsid w:val="00F40A72"/>
    <w:rsid w:val="00F40B0A"/>
    <w:rsid w:val="00F40B32"/>
    <w:rsid w:val="00F40CAF"/>
    <w:rsid w:val="00F412D7"/>
    <w:rsid w:val="00F413FA"/>
    <w:rsid w:val="00F418ED"/>
    <w:rsid w:val="00F418FF"/>
    <w:rsid w:val="00F41AD0"/>
    <w:rsid w:val="00F41F1B"/>
    <w:rsid w:val="00F4211C"/>
    <w:rsid w:val="00F42184"/>
    <w:rsid w:val="00F421C0"/>
    <w:rsid w:val="00F4224E"/>
    <w:rsid w:val="00F42343"/>
    <w:rsid w:val="00F425AF"/>
    <w:rsid w:val="00F42803"/>
    <w:rsid w:val="00F42997"/>
    <w:rsid w:val="00F42F65"/>
    <w:rsid w:val="00F43620"/>
    <w:rsid w:val="00F438CF"/>
    <w:rsid w:val="00F43C6F"/>
    <w:rsid w:val="00F43D27"/>
    <w:rsid w:val="00F43E80"/>
    <w:rsid w:val="00F43F79"/>
    <w:rsid w:val="00F43FA4"/>
    <w:rsid w:val="00F4405C"/>
    <w:rsid w:val="00F4413B"/>
    <w:rsid w:val="00F4416F"/>
    <w:rsid w:val="00F4483B"/>
    <w:rsid w:val="00F448E5"/>
    <w:rsid w:val="00F44B2F"/>
    <w:rsid w:val="00F44CC1"/>
    <w:rsid w:val="00F44F71"/>
    <w:rsid w:val="00F45364"/>
    <w:rsid w:val="00F4546B"/>
    <w:rsid w:val="00F45551"/>
    <w:rsid w:val="00F4559A"/>
    <w:rsid w:val="00F45659"/>
    <w:rsid w:val="00F4569B"/>
    <w:rsid w:val="00F45A49"/>
    <w:rsid w:val="00F45A7E"/>
    <w:rsid w:val="00F4607B"/>
    <w:rsid w:val="00F46469"/>
    <w:rsid w:val="00F46483"/>
    <w:rsid w:val="00F464C9"/>
    <w:rsid w:val="00F46520"/>
    <w:rsid w:val="00F46684"/>
    <w:rsid w:val="00F46855"/>
    <w:rsid w:val="00F46A5D"/>
    <w:rsid w:val="00F46AC7"/>
    <w:rsid w:val="00F46B23"/>
    <w:rsid w:val="00F46C5E"/>
    <w:rsid w:val="00F46E89"/>
    <w:rsid w:val="00F47125"/>
    <w:rsid w:val="00F473BE"/>
    <w:rsid w:val="00F473FB"/>
    <w:rsid w:val="00F47692"/>
    <w:rsid w:val="00F47735"/>
    <w:rsid w:val="00F477AB"/>
    <w:rsid w:val="00F47994"/>
    <w:rsid w:val="00F47BD3"/>
    <w:rsid w:val="00F47F9A"/>
    <w:rsid w:val="00F50050"/>
    <w:rsid w:val="00F500D2"/>
    <w:rsid w:val="00F50908"/>
    <w:rsid w:val="00F50ABF"/>
    <w:rsid w:val="00F50C65"/>
    <w:rsid w:val="00F5118C"/>
    <w:rsid w:val="00F515C2"/>
    <w:rsid w:val="00F517E6"/>
    <w:rsid w:val="00F51B6A"/>
    <w:rsid w:val="00F51F82"/>
    <w:rsid w:val="00F5200B"/>
    <w:rsid w:val="00F52120"/>
    <w:rsid w:val="00F5232A"/>
    <w:rsid w:val="00F5241F"/>
    <w:rsid w:val="00F526D2"/>
    <w:rsid w:val="00F527C6"/>
    <w:rsid w:val="00F527F6"/>
    <w:rsid w:val="00F52860"/>
    <w:rsid w:val="00F52922"/>
    <w:rsid w:val="00F52AF1"/>
    <w:rsid w:val="00F52B90"/>
    <w:rsid w:val="00F53080"/>
    <w:rsid w:val="00F5309F"/>
    <w:rsid w:val="00F534B2"/>
    <w:rsid w:val="00F534CE"/>
    <w:rsid w:val="00F5373A"/>
    <w:rsid w:val="00F537D9"/>
    <w:rsid w:val="00F539DD"/>
    <w:rsid w:val="00F53CC1"/>
    <w:rsid w:val="00F53DD2"/>
    <w:rsid w:val="00F53EF6"/>
    <w:rsid w:val="00F54101"/>
    <w:rsid w:val="00F541A7"/>
    <w:rsid w:val="00F54324"/>
    <w:rsid w:val="00F5435B"/>
    <w:rsid w:val="00F5436F"/>
    <w:rsid w:val="00F545D0"/>
    <w:rsid w:val="00F545DA"/>
    <w:rsid w:val="00F547DA"/>
    <w:rsid w:val="00F54B8D"/>
    <w:rsid w:val="00F54C48"/>
    <w:rsid w:val="00F54D27"/>
    <w:rsid w:val="00F54E92"/>
    <w:rsid w:val="00F55045"/>
    <w:rsid w:val="00F550EA"/>
    <w:rsid w:val="00F55126"/>
    <w:rsid w:val="00F553BB"/>
    <w:rsid w:val="00F558D2"/>
    <w:rsid w:val="00F55950"/>
    <w:rsid w:val="00F55C85"/>
    <w:rsid w:val="00F55D81"/>
    <w:rsid w:val="00F56034"/>
    <w:rsid w:val="00F56143"/>
    <w:rsid w:val="00F5625E"/>
    <w:rsid w:val="00F56C38"/>
    <w:rsid w:val="00F5700A"/>
    <w:rsid w:val="00F5701A"/>
    <w:rsid w:val="00F57217"/>
    <w:rsid w:val="00F5758C"/>
    <w:rsid w:val="00F57785"/>
    <w:rsid w:val="00F577DA"/>
    <w:rsid w:val="00F577E1"/>
    <w:rsid w:val="00F577F4"/>
    <w:rsid w:val="00F57955"/>
    <w:rsid w:val="00F57A80"/>
    <w:rsid w:val="00F57B46"/>
    <w:rsid w:val="00F57D23"/>
    <w:rsid w:val="00F60063"/>
    <w:rsid w:val="00F6006F"/>
    <w:rsid w:val="00F60117"/>
    <w:rsid w:val="00F60134"/>
    <w:rsid w:val="00F60139"/>
    <w:rsid w:val="00F6018C"/>
    <w:rsid w:val="00F60308"/>
    <w:rsid w:val="00F60367"/>
    <w:rsid w:val="00F60657"/>
    <w:rsid w:val="00F60816"/>
    <w:rsid w:val="00F6096B"/>
    <w:rsid w:val="00F60CB4"/>
    <w:rsid w:val="00F618D4"/>
    <w:rsid w:val="00F61D46"/>
    <w:rsid w:val="00F62203"/>
    <w:rsid w:val="00F62363"/>
    <w:rsid w:val="00F62398"/>
    <w:rsid w:val="00F6255D"/>
    <w:rsid w:val="00F62764"/>
    <w:rsid w:val="00F62785"/>
    <w:rsid w:val="00F627B6"/>
    <w:rsid w:val="00F62957"/>
    <w:rsid w:val="00F62AE3"/>
    <w:rsid w:val="00F62B4B"/>
    <w:rsid w:val="00F62CC9"/>
    <w:rsid w:val="00F62DEA"/>
    <w:rsid w:val="00F63145"/>
    <w:rsid w:val="00F63340"/>
    <w:rsid w:val="00F633CD"/>
    <w:rsid w:val="00F635EB"/>
    <w:rsid w:val="00F6367C"/>
    <w:rsid w:val="00F63A22"/>
    <w:rsid w:val="00F63C7B"/>
    <w:rsid w:val="00F63CB5"/>
    <w:rsid w:val="00F63CDF"/>
    <w:rsid w:val="00F63D89"/>
    <w:rsid w:val="00F642B0"/>
    <w:rsid w:val="00F643B9"/>
    <w:rsid w:val="00F644F1"/>
    <w:rsid w:val="00F647AE"/>
    <w:rsid w:val="00F649E5"/>
    <w:rsid w:val="00F6501A"/>
    <w:rsid w:val="00F65037"/>
    <w:rsid w:val="00F655DE"/>
    <w:rsid w:val="00F657CB"/>
    <w:rsid w:val="00F658D2"/>
    <w:rsid w:val="00F65C29"/>
    <w:rsid w:val="00F65CB9"/>
    <w:rsid w:val="00F65CFF"/>
    <w:rsid w:val="00F6602C"/>
    <w:rsid w:val="00F66614"/>
    <w:rsid w:val="00F667B2"/>
    <w:rsid w:val="00F668D1"/>
    <w:rsid w:val="00F67B3F"/>
    <w:rsid w:val="00F67B98"/>
    <w:rsid w:val="00F67FDE"/>
    <w:rsid w:val="00F7062D"/>
    <w:rsid w:val="00F709BB"/>
    <w:rsid w:val="00F70AD0"/>
    <w:rsid w:val="00F70CD7"/>
    <w:rsid w:val="00F70DB6"/>
    <w:rsid w:val="00F70EA4"/>
    <w:rsid w:val="00F71018"/>
    <w:rsid w:val="00F712B6"/>
    <w:rsid w:val="00F7139D"/>
    <w:rsid w:val="00F7149A"/>
    <w:rsid w:val="00F71537"/>
    <w:rsid w:val="00F71869"/>
    <w:rsid w:val="00F71AF2"/>
    <w:rsid w:val="00F71CFF"/>
    <w:rsid w:val="00F7206D"/>
    <w:rsid w:val="00F720FC"/>
    <w:rsid w:val="00F72158"/>
    <w:rsid w:val="00F7216F"/>
    <w:rsid w:val="00F721E7"/>
    <w:rsid w:val="00F7221B"/>
    <w:rsid w:val="00F7228B"/>
    <w:rsid w:val="00F72384"/>
    <w:rsid w:val="00F72692"/>
    <w:rsid w:val="00F72791"/>
    <w:rsid w:val="00F72B27"/>
    <w:rsid w:val="00F72B7E"/>
    <w:rsid w:val="00F72D11"/>
    <w:rsid w:val="00F72D56"/>
    <w:rsid w:val="00F72DC4"/>
    <w:rsid w:val="00F72EAD"/>
    <w:rsid w:val="00F736DA"/>
    <w:rsid w:val="00F73889"/>
    <w:rsid w:val="00F73A62"/>
    <w:rsid w:val="00F73B2F"/>
    <w:rsid w:val="00F73BE2"/>
    <w:rsid w:val="00F73ED7"/>
    <w:rsid w:val="00F73F25"/>
    <w:rsid w:val="00F741F0"/>
    <w:rsid w:val="00F747C5"/>
    <w:rsid w:val="00F749D1"/>
    <w:rsid w:val="00F74A0B"/>
    <w:rsid w:val="00F74E4C"/>
    <w:rsid w:val="00F75053"/>
    <w:rsid w:val="00F75161"/>
    <w:rsid w:val="00F751DA"/>
    <w:rsid w:val="00F751E8"/>
    <w:rsid w:val="00F7526F"/>
    <w:rsid w:val="00F752D6"/>
    <w:rsid w:val="00F7544D"/>
    <w:rsid w:val="00F758EE"/>
    <w:rsid w:val="00F75C23"/>
    <w:rsid w:val="00F76015"/>
    <w:rsid w:val="00F760F2"/>
    <w:rsid w:val="00F762D4"/>
    <w:rsid w:val="00F7657B"/>
    <w:rsid w:val="00F7668F"/>
    <w:rsid w:val="00F7695D"/>
    <w:rsid w:val="00F76987"/>
    <w:rsid w:val="00F769C8"/>
    <w:rsid w:val="00F76A62"/>
    <w:rsid w:val="00F76B1A"/>
    <w:rsid w:val="00F76BFA"/>
    <w:rsid w:val="00F76F34"/>
    <w:rsid w:val="00F76FA7"/>
    <w:rsid w:val="00F770A3"/>
    <w:rsid w:val="00F77210"/>
    <w:rsid w:val="00F77233"/>
    <w:rsid w:val="00F77969"/>
    <w:rsid w:val="00F7796B"/>
    <w:rsid w:val="00F77EE7"/>
    <w:rsid w:val="00F7EF3A"/>
    <w:rsid w:val="00F801A5"/>
    <w:rsid w:val="00F802E2"/>
    <w:rsid w:val="00F803D4"/>
    <w:rsid w:val="00F80556"/>
    <w:rsid w:val="00F80852"/>
    <w:rsid w:val="00F80B69"/>
    <w:rsid w:val="00F80C22"/>
    <w:rsid w:val="00F80CD8"/>
    <w:rsid w:val="00F8113F"/>
    <w:rsid w:val="00F81501"/>
    <w:rsid w:val="00F8161B"/>
    <w:rsid w:val="00F81638"/>
    <w:rsid w:val="00F8166A"/>
    <w:rsid w:val="00F816C5"/>
    <w:rsid w:val="00F8175B"/>
    <w:rsid w:val="00F8190B"/>
    <w:rsid w:val="00F81BF8"/>
    <w:rsid w:val="00F81E60"/>
    <w:rsid w:val="00F81F90"/>
    <w:rsid w:val="00F821FC"/>
    <w:rsid w:val="00F823A4"/>
    <w:rsid w:val="00F82521"/>
    <w:rsid w:val="00F826AA"/>
    <w:rsid w:val="00F8284D"/>
    <w:rsid w:val="00F8285F"/>
    <w:rsid w:val="00F82B3B"/>
    <w:rsid w:val="00F82F1E"/>
    <w:rsid w:val="00F832A5"/>
    <w:rsid w:val="00F832D3"/>
    <w:rsid w:val="00F8331C"/>
    <w:rsid w:val="00F83400"/>
    <w:rsid w:val="00F835DB"/>
    <w:rsid w:val="00F83A68"/>
    <w:rsid w:val="00F83B79"/>
    <w:rsid w:val="00F83D44"/>
    <w:rsid w:val="00F83F6C"/>
    <w:rsid w:val="00F84294"/>
    <w:rsid w:val="00F8473A"/>
    <w:rsid w:val="00F84A03"/>
    <w:rsid w:val="00F84A60"/>
    <w:rsid w:val="00F84AC5"/>
    <w:rsid w:val="00F84AD3"/>
    <w:rsid w:val="00F84CDB"/>
    <w:rsid w:val="00F84EB6"/>
    <w:rsid w:val="00F84FCF"/>
    <w:rsid w:val="00F85104"/>
    <w:rsid w:val="00F852C6"/>
    <w:rsid w:val="00F85579"/>
    <w:rsid w:val="00F856B7"/>
    <w:rsid w:val="00F8576E"/>
    <w:rsid w:val="00F857FB"/>
    <w:rsid w:val="00F85874"/>
    <w:rsid w:val="00F85B12"/>
    <w:rsid w:val="00F85E71"/>
    <w:rsid w:val="00F85E81"/>
    <w:rsid w:val="00F86328"/>
    <w:rsid w:val="00F866ED"/>
    <w:rsid w:val="00F869AA"/>
    <w:rsid w:val="00F86AE2"/>
    <w:rsid w:val="00F86AFF"/>
    <w:rsid w:val="00F86E65"/>
    <w:rsid w:val="00F8717F"/>
    <w:rsid w:val="00F87248"/>
    <w:rsid w:val="00F8728A"/>
    <w:rsid w:val="00F876ED"/>
    <w:rsid w:val="00F877C2"/>
    <w:rsid w:val="00F877EF"/>
    <w:rsid w:val="00F87849"/>
    <w:rsid w:val="00F87965"/>
    <w:rsid w:val="00F87986"/>
    <w:rsid w:val="00F88B3B"/>
    <w:rsid w:val="00F90045"/>
    <w:rsid w:val="00F90116"/>
    <w:rsid w:val="00F90166"/>
    <w:rsid w:val="00F902B0"/>
    <w:rsid w:val="00F9064B"/>
    <w:rsid w:val="00F906E0"/>
    <w:rsid w:val="00F90913"/>
    <w:rsid w:val="00F909EC"/>
    <w:rsid w:val="00F90CD5"/>
    <w:rsid w:val="00F912D2"/>
    <w:rsid w:val="00F91467"/>
    <w:rsid w:val="00F91756"/>
    <w:rsid w:val="00F91765"/>
    <w:rsid w:val="00F919A6"/>
    <w:rsid w:val="00F91A2C"/>
    <w:rsid w:val="00F91F96"/>
    <w:rsid w:val="00F92667"/>
    <w:rsid w:val="00F926E0"/>
    <w:rsid w:val="00F9281C"/>
    <w:rsid w:val="00F92F04"/>
    <w:rsid w:val="00F93A8F"/>
    <w:rsid w:val="00F93FDC"/>
    <w:rsid w:val="00F9451C"/>
    <w:rsid w:val="00F94782"/>
    <w:rsid w:val="00F947A4"/>
    <w:rsid w:val="00F9488B"/>
    <w:rsid w:val="00F94975"/>
    <w:rsid w:val="00F94AE8"/>
    <w:rsid w:val="00F94B86"/>
    <w:rsid w:val="00F950FD"/>
    <w:rsid w:val="00F95161"/>
    <w:rsid w:val="00F95169"/>
    <w:rsid w:val="00F9544B"/>
    <w:rsid w:val="00F954F5"/>
    <w:rsid w:val="00F95591"/>
    <w:rsid w:val="00F95664"/>
    <w:rsid w:val="00F957B1"/>
    <w:rsid w:val="00F95868"/>
    <w:rsid w:val="00F95A67"/>
    <w:rsid w:val="00F95AA5"/>
    <w:rsid w:val="00F95BA6"/>
    <w:rsid w:val="00F95C50"/>
    <w:rsid w:val="00F95C97"/>
    <w:rsid w:val="00F95D6B"/>
    <w:rsid w:val="00F9619B"/>
    <w:rsid w:val="00F96241"/>
    <w:rsid w:val="00F96274"/>
    <w:rsid w:val="00F962D1"/>
    <w:rsid w:val="00F96529"/>
    <w:rsid w:val="00F96688"/>
    <w:rsid w:val="00F96692"/>
    <w:rsid w:val="00F966D1"/>
    <w:rsid w:val="00F9674F"/>
    <w:rsid w:val="00F969DA"/>
    <w:rsid w:val="00F96A59"/>
    <w:rsid w:val="00F96A87"/>
    <w:rsid w:val="00F96BC8"/>
    <w:rsid w:val="00F96DF4"/>
    <w:rsid w:val="00F97064"/>
    <w:rsid w:val="00F97494"/>
    <w:rsid w:val="00F976BE"/>
    <w:rsid w:val="00F97903"/>
    <w:rsid w:val="00F97A7F"/>
    <w:rsid w:val="00F97B69"/>
    <w:rsid w:val="00F97E7F"/>
    <w:rsid w:val="00F97EA2"/>
    <w:rsid w:val="00FA0026"/>
    <w:rsid w:val="00FA0095"/>
    <w:rsid w:val="00FA035B"/>
    <w:rsid w:val="00FA0376"/>
    <w:rsid w:val="00FA0483"/>
    <w:rsid w:val="00FA04CD"/>
    <w:rsid w:val="00FA056B"/>
    <w:rsid w:val="00FA0898"/>
    <w:rsid w:val="00FA0B6C"/>
    <w:rsid w:val="00FA0C4E"/>
    <w:rsid w:val="00FA0D9A"/>
    <w:rsid w:val="00FA1108"/>
    <w:rsid w:val="00FA140A"/>
    <w:rsid w:val="00FA1B5B"/>
    <w:rsid w:val="00FA1D31"/>
    <w:rsid w:val="00FA1E86"/>
    <w:rsid w:val="00FA1FEE"/>
    <w:rsid w:val="00FA2038"/>
    <w:rsid w:val="00FA21D5"/>
    <w:rsid w:val="00FA2230"/>
    <w:rsid w:val="00FA2319"/>
    <w:rsid w:val="00FA250A"/>
    <w:rsid w:val="00FA2511"/>
    <w:rsid w:val="00FA253A"/>
    <w:rsid w:val="00FA2619"/>
    <w:rsid w:val="00FA2682"/>
    <w:rsid w:val="00FA27AB"/>
    <w:rsid w:val="00FA2830"/>
    <w:rsid w:val="00FA2E06"/>
    <w:rsid w:val="00FA3082"/>
    <w:rsid w:val="00FA3154"/>
    <w:rsid w:val="00FA36B2"/>
    <w:rsid w:val="00FA37AB"/>
    <w:rsid w:val="00FA3832"/>
    <w:rsid w:val="00FA3AF4"/>
    <w:rsid w:val="00FA4103"/>
    <w:rsid w:val="00FA4150"/>
    <w:rsid w:val="00FA4518"/>
    <w:rsid w:val="00FA4BF9"/>
    <w:rsid w:val="00FA4CC4"/>
    <w:rsid w:val="00FA4D1E"/>
    <w:rsid w:val="00FA4D24"/>
    <w:rsid w:val="00FA4D6D"/>
    <w:rsid w:val="00FA501B"/>
    <w:rsid w:val="00FA51E9"/>
    <w:rsid w:val="00FA52C7"/>
    <w:rsid w:val="00FA55AB"/>
    <w:rsid w:val="00FA568C"/>
    <w:rsid w:val="00FA5946"/>
    <w:rsid w:val="00FA5B23"/>
    <w:rsid w:val="00FA5BCC"/>
    <w:rsid w:val="00FA5D6C"/>
    <w:rsid w:val="00FA5ED3"/>
    <w:rsid w:val="00FA5F0E"/>
    <w:rsid w:val="00FA6006"/>
    <w:rsid w:val="00FA601B"/>
    <w:rsid w:val="00FA60E0"/>
    <w:rsid w:val="00FA67CE"/>
    <w:rsid w:val="00FA69C5"/>
    <w:rsid w:val="00FA6BBC"/>
    <w:rsid w:val="00FA6DF7"/>
    <w:rsid w:val="00FA6DFB"/>
    <w:rsid w:val="00FA6E00"/>
    <w:rsid w:val="00FA77C0"/>
    <w:rsid w:val="00FA7818"/>
    <w:rsid w:val="00FA7853"/>
    <w:rsid w:val="00FA79AB"/>
    <w:rsid w:val="00FA7CDA"/>
    <w:rsid w:val="00FA7DC7"/>
    <w:rsid w:val="00FAECFD"/>
    <w:rsid w:val="00FB048A"/>
    <w:rsid w:val="00FB05C7"/>
    <w:rsid w:val="00FB0637"/>
    <w:rsid w:val="00FB0927"/>
    <w:rsid w:val="00FB0A1A"/>
    <w:rsid w:val="00FB0B45"/>
    <w:rsid w:val="00FB0BAA"/>
    <w:rsid w:val="00FB0C79"/>
    <w:rsid w:val="00FB0F22"/>
    <w:rsid w:val="00FB1154"/>
    <w:rsid w:val="00FB12D7"/>
    <w:rsid w:val="00FB1391"/>
    <w:rsid w:val="00FB14A9"/>
    <w:rsid w:val="00FB1511"/>
    <w:rsid w:val="00FB1559"/>
    <w:rsid w:val="00FB15F1"/>
    <w:rsid w:val="00FB167C"/>
    <w:rsid w:val="00FB1828"/>
    <w:rsid w:val="00FB1986"/>
    <w:rsid w:val="00FB1AA1"/>
    <w:rsid w:val="00FB203E"/>
    <w:rsid w:val="00FB225B"/>
    <w:rsid w:val="00FB2407"/>
    <w:rsid w:val="00FB256E"/>
    <w:rsid w:val="00FB257A"/>
    <w:rsid w:val="00FB25C0"/>
    <w:rsid w:val="00FB2634"/>
    <w:rsid w:val="00FB2824"/>
    <w:rsid w:val="00FB2BBB"/>
    <w:rsid w:val="00FB2BF1"/>
    <w:rsid w:val="00FB2CFF"/>
    <w:rsid w:val="00FB2E9F"/>
    <w:rsid w:val="00FB32EF"/>
    <w:rsid w:val="00FB3355"/>
    <w:rsid w:val="00FB35B8"/>
    <w:rsid w:val="00FB35CE"/>
    <w:rsid w:val="00FB3614"/>
    <w:rsid w:val="00FB3791"/>
    <w:rsid w:val="00FB38F4"/>
    <w:rsid w:val="00FB3A0B"/>
    <w:rsid w:val="00FB3BAF"/>
    <w:rsid w:val="00FB3BEB"/>
    <w:rsid w:val="00FB3CFD"/>
    <w:rsid w:val="00FB3D7A"/>
    <w:rsid w:val="00FB3EA3"/>
    <w:rsid w:val="00FB3F45"/>
    <w:rsid w:val="00FB428A"/>
    <w:rsid w:val="00FB473B"/>
    <w:rsid w:val="00FB4B53"/>
    <w:rsid w:val="00FB5057"/>
    <w:rsid w:val="00FB51CD"/>
    <w:rsid w:val="00FB53DD"/>
    <w:rsid w:val="00FB58AD"/>
    <w:rsid w:val="00FB59D2"/>
    <w:rsid w:val="00FB5B16"/>
    <w:rsid w:val="00FB5B1F"/>
    <w:rsid w:val="00FB5C91"/>
    <w:rsid w:val="00FB63B0"/>
    <w:rsid w:val="00FB66B1"/>
    <w:rsid w:val="00FB68CF"/>
    <w:rsid w:val="00FB6C78"/>
    <w:rsid w:val="00FB70C2"/>
    <w:rsid w:val="00FB7808"/>
    <w:rsid w:val="00FB7C30"/>
    <w:rsid w:val="00FB7E3E"/>
    <w:rsid w:val="00FB7FBA"/>
    <w:rsid w:val="00FC00B5"/>
    <w:rsid w:val="00FC02E4"/>
    <w:rsid w:val="00FC0905"/>
    <w:rsid w:val="00FC09D0"/>
    <w:rsid w:val="00FC0C18"/>
    <w:rsid w:val="00FC0C20"/>
    <w:rsid w:val="00FC0D32"/>
    <w:rsid w:val="00FC0D77"/>
    <w:rsid w:val="00FC0EEC"/>
    <w:rsid w:val="00FC0F0B"/>
    <w:rsid w:val="00FC0FC4"/>
    <w:rsid w:val="00FC121C"/>
    <w:rsid w:val="00FC163C"/>
    <w:rsid w:val="00FC180C"/>
    <w:rsid w:val="00FC199D"/>
    <w:rsid w:val="00FC1BB2"/>
    <w:rsid w:val="00FC1CF6"/>
    <w:rsid w:val="00FC1F5F"/>
    <w:rsid w:val="00FC2135"/>
    <w:rsid w:val="00FC23BF"/>
    <w:rsid w:val="00FC252E"/>
    <w:rsid w:val="00FC2552"/>
    <w:rsid w:val="00FC2923"/>
    <w:rsid w:val="00FC2B31"/>
    <w:rsid w:val="00FC2BAD"/>
    <w:rsid w:val="00FC2D71"/>
    <w:rsid w:val="00FC2D8D"/>
    <w:rsid w:val="00FC2EC7"/>
    <w:rsid w:val="00FC31A0"/>
    <w:rsid w:val="00FC334E"/>
    <w:rsid w:val="00FC34F5"/>
    <w:rsid w:val="00FC372E"/>
    <w:rsid w:val="00FC3756"/>
    <w:rsid w:val="00FC3B6D"/>
    <w:rsid w:val="00FC3D0B"/>
    <w:rsid w:val="00FC3F0B"/>
    <w:rsid w:val="00FC3F83"/>
    <w:rsid w:val="00FC3FD4"/>
    <w:rsid w:val="00FC49BF"/>
    <w:rsid w:val="00FC4AEC"/>
    <w:rsid w:val="00FC528A"/>
    <w:rsid w:val="00FC5349"/>
    <w:rsid w:val="00FC53EA"/>
    <w:rsid w:val="00FC5708"/>
    <w:rsid w:val="00FC584D"/>
    <w:rsid w:val="00FC5A0F"/>
    <w:rsid w:val="00FC5B70"/>
    <w:rsid w:val="00FC5B98"/>
    <w:rsid w:val="00FC5BB8"/>
    <w:rsid w:val="00FC5CDD"/>
    <w:rsid w:val="00FC5D06"/>
    <w:rsid w:val="00FC5F4F"/>
    <w:rsid w:val="00FC60AE"/>
    <w:rsid w:val="00FC653E"/>
    <w:rsid w:val="00FC6733"/>
    <w:rsid w:val="00FC692E"/>
    <w:rsid w:val="00FC6B10"/>
    <w:rsid w:val="00FC6BE0"/>
    <w:rsid w:val="00FC6C1E"/>
    <w:rsid w:val="00FC7414"/>
    <w:rsid w:val="00FC76AD"/>
    <w:rsid w:val="00FC7708"/>
    <w:rsid w:val="00FC7A35"/>
    <w:rsid w:val="00FC7CA4"/>
    <w:rsid w:val="00FCCDE9"/>
    <w:rsid w:val="00FD01F7"/>
    <w:rsid w:val="00FD086E"/>
    <w:rsid w:val="00FD095F"/>
    <w:rsid w:val="00FD0B16"/>
    <w:rsid w:val="00FD0F4D"/>
    <w:rsid w:val="00FD117B"/>
    <w:rsid w:val="00FD1390"/>
    <w:rsid w:val="00FD13FF"/>
    <w:rsid w:val="00FD14D5"/>
    <w:rsid w:val="00FD18CC"/>
    <w:rsid w:val="00FD1925"/>
    <w:rsid w:val="00FD1D36"/>
    <w:rsid w:val="00FD1D41"/>
    <w:rsid w:val="00FD2166"/>
    <w:rsid w:val="00FD217C"/>
    <w:rsid w:val="00FD24D4"/>
    <w:rsid w:val="00FD269D"/>
    <w:rsid w:val="00FD26F7"/>
    <w:rsid w:val="00FD272F"/>
    <w:rsid w:val="00FD278A"/>
    <w:rsid w:val="00FD285E"/>
    <w:rsid w:val="00FD2959"/>
    <w:rsid w:val="00FD2A53"/>
    <w:rsid w:val="00FD2BD2"/>
    <w:rsid w:val="00FD2D4D"/>
    <w:rsid w:val="00FD2FED"/>
    <w:rsid w:val="00FD30DD"/>
    <w:rsid w:val="00FD3375"/>
    <w:rsid w:val="00FD3385"/>
    <w:rsid w:val="00FD393D"/>
    <w:rsid w:val="00FD3BFB"/>
    <w:rsid w:val="00FD3F53"/>
    <w:rsid w:val="00FD4044"/>
    <w:rsid w:val="00FD4100"/>
    <w:rsid w:val="00FD419F"/>
    <w:rsid w:val="00FD4623"/>
    <w:rsid w:val="00FD4949"/>
    <w:rsid w:val="00FD498B"/>
    <w:rsid w:val="00FD49DF"/>
    <w:rsid w:val="00FD4C38"/>
    <w:rsid w:val="00FD4C5B"/>
    <w:rsid w:val="00FD4EC2"/>
    <w:rsid w:val="00FD5088"/>
    <w:rsid w:val="00FD5177"/>
    <w:rsid w:val="00FD5495"/>
    <w:rsid w:val="00FD567A"/>
    <w:rsid w:val="00FD573D"/>
    <w:rsid w:val="00FD57A6"/>
    <w:rsid w:val="00FD582E"/>
    <w:rsid w:val="00FD58BD"/>
    <w:rsid w:val="00FD597C"/>
    <w:rsid w:val="00FD5A33"/>
    <w:rsid w:val="00FD5B4A"/>
    <w:rsid w:val="00FD5BDC"/>
    <w:rsid w:val="00FD5C09"/>
    <w:rsid w:val="00FD603B"/>
    <w:rsid w:val="00FD6195"/>
    <w:rsid w:val="00FD6235"/>
    <w:rsid w:val="00FD6A9A"/>
    <w:rsid w:val="00FD6BC3"/>
    <w:rsid w:val="00FD6E90"/>
    <w:rsid w:val="00FD71C5"/>
    <w:rsid w:val="00FD724B"/>
    <w:rsid w:val="00FD7381"/>
    <w:rsid w:val="00FD7577"/>
    <w:rsid w:val="00FD7705"/>
    <w:rsid w:val="00FD78E5"/>
    <w:rsid w:val="00FD7A45"/>
    <w:rsid w:val="00FD7CCE"/>
    <w:rsid w:val="00FD7E56"/>
    <w:rsid w:val="00FD7EB5"/>
    <w:rsid w:val="00FD7FDA"/>
    <w:rsid w:val="00FE00CB"/>
    <w:rsid w:val="00FE0101"/>
    <w:rsid w:val="00FE02B4"/>
    <w:rsid w:val="00FE03EA"/>
    <w:rsid w:val="00FE043F"/>
    <w:rsid w:val="00FE0452"/>
    <w:rsid w:val="00FE056D"/>
    <w:rsid w:val="00FE05EE"/>
    <w:rsid w:val="00FE0956"/>
    <w:rsid w:val="00FE0B42"/>
    <w:rsid w:val="00FE0CCE"/>
    <w:rsid w:val="00FE10C0"/>
    <w:rsid w:val="00FE1289"/>
    <w:rsid w:val="00FE133C"/>
    <w:rsid w:val="00FE177E"/>
    <w:rsid w:val="00FE1838"/>
    <w:rsid w:val="00FE1CF7"/>
    <w:rsid w:val="00FE1D2D"/>
    <w:rsid w:val="00FE1EB2"/>
    <w:rsid w:val="00FE21CA"/>
    <w:rsid w:val="00FE245E"/>
    <w:rsid w:val="00FE25B0"/>
    <w:rsid w:val="00FE2618"/>
    <w:rsid w:val="00FE283A"/>
    <w:rsid w:val="00FE2880"/>
    <w:rsid w:val="00FE29E9"/>
    <w:rsid w:val="00FE2B32"/>
    <w:rsid w:val="00FE2B4A"/>
    <w:rsid w:val="00FE2B92"/>
    <w:rsid w:val="00FE2DAF"/>
    <w:rsid w:val="00FE2FFC"/>
    <w:rsid w:val="00FE31DC"/>
    <w:rsid w:val="00FE31F1"/>
    <w:rsid w:val="00FE3278"/>
    <w:rsid w:val="00FE33C5"/>
    <w:rsid w:val="00FE3881"/>
    <w:rsid w:val="00FE3D52"/>
    <w:rsid w:val="00FE3F04"/>
    <w:rsid w:val="00FE405A"/>
    <w:rsid w:val="00FE4252"/>
    <w:rsid w:val="00FE42F2"/>
    <w:rsid w:val="00FE43DB"/>
    <w:rsid w:val="00FE43FE"/>
    <w:rsid w:val="00FE444C"/>
    <w:rsid w:val="00FE44DA"/>
    <w:rsid w:val="00FE48C0"/>
    <w:rsid w:val="00FE4A47"/>
    <w:rsid w:val="00FE4D32"/>
    <w:rsid w:val="00FE512E"/>
    <w:rsid w:val="00FE5605"/>
    <w:rsid w:val="00FE5911"/>
    <w:rsid w:val="00FE5B41"/>
    <w:rsid w:val="00FE5B6F"/>
    <w:rsid w:val="00FE5D39"/>
    <w:rsid w:val="00FE5FF9"/>
    <w:rsid w:val="00FE6371"/>
    <w:rsid w:val="00FE6A42"/>
    <w:rsid w:val="00FE6CF0"/>
    <w:rsid w:val="00FE6D3D"/>
    <w:rsid w:val="00FE6F51"/>
    <w:rsid w:val="00FE7126"/>
    <w:rsid w:val="00FE74C3"/>
    <w:rsid w:val="00FE758E"/>
    <w:rsid w:val="00FE7B0D"/>
    <w:rsid w:val="00FE7C02"/>
    <w:rsid w:val="00FE7C1A"/>
    <w:rsid w:val="00FE7F0E"/>
    <w:rsid w:val="00FE7FCF"/>
    <w:rsid w:val="00FF0071"/>
    <w:rsid w:val="00FF01AE"/>
    <w:rsid w:val="00FF040C"/>
    <w:rsid w:val="00FF055A"/>
    <w:rsid w:val="00FF067E"/>
    <w:rsid w:val="00FF0998"/>
    <w:rsid w:val="00FF0C4E"/>
    <w:rsid w:val="00FF0E52"/>
    <w:rsid w:val="00FF0F6B"/>
    <w:rsid w:val="00FF1256"/>
    <w:rsid w:val="00FF1346"/>
    <w:rsid w:val="00FF13F2"/>
    <w:rsid w:val="00FF14B0"/>
    <w:rsid w:val="00FF160E"/>
    <w:rsid w:val="00FF1A02"/>
    <w:rsid w:val="00FF1A32"/>
    <w:rsid w:val="00FF1BCE"/>
    <w:rsid w:val="00FF1BDD"/>
    <w:rsid w:val="00FF1FDB"/>
    <w:rsid w:val="00FF20D1"/>
    <w:rsid w:val="00FF2234"/>
    <w:rsid w:val="00FF279B"/>
    <w:rsid w:val="00FF2C03"/>
    <w:rsid w:val="00FF2C0C"/>
    <w:rsid w:val="00FF2C1C"/>
    <w:rsid w:val="00FF2E0E"/>
    <w:rsid w:val="00FF2E97"/>
    <w:rsid w:val="00FF2EB0"/>
    <w:rsid w:val="00FF2F74"/>
    <w:rsid w:val="00FF2F8F"/>
    <w:rsid w:val="00FF2F98"/>
    <w:rsid w:val="00FF3006"/>
    <w:rsid w:val="00FF308A"/>
    <w:rsid w:val="00FF30F8"/>
    <w:rsid w:val="00FF31A5"/>
    <w:rsid w:val="00FF38A6"/>
    <w:rsid w:val="00FF393D"/>
    <w:rsid w:val="00FF3B18"/>
    <w:rsid w:val="00FF3BCA"/>
    <w:rsid w:val="00FF3C28"/>
    <w:rsid w:val="00FF3C9A"/>
    <w:rsid w:val="00FF3CFE"/>
    <w:rsid w:val="00FF3D82"/>
    <w:rsid w:val="00FF41B8"/>
    <w:rsid w:val="00FF41C8"/>
    <w:rsid w:val="00FF41CA"/>
    <w:rsid w:val="00FF42B9"/>
    <w:rsid w:val="00FF43EA"/>
    <w:rsid w:val="00FF43F2"/>
    <w:rsid w:val="00FF4454"/>
    <w:rsid w:val="00FF45BD"/>
    <w:rsid w:val="00FF45EB"/>
    <w:rsid w:val="00FF4787"/>
    <w:rsid w:val="00FF48D2"/>
    <w:rsid w:val="00FF490F"/>
    <w:rsid w:val="00FF4B05"/>
    <w:rsid w:val="00FF4B78"/>
    <w:rsid w:val="00FF4D26"/>
    <w:rsid w:val="00FF5044"/>
    <w:rsid w:val="00FF5432"/>
    <w:rsid w:val="00FF5440"/>
    <w:rsid w:val="00FF54FA"/>
    <w:rsid w:val="00FF5542"/>
    <w:rsid w:val="00FF5AAA"/>
    <w:rsid w:val="00FF5B4E"/>
    <w:rsid w:val="00FF5DAC"/>
    <w:rsid w:val="00FF5DE9"/>
    <w:rsid w:val="00FF6182"/>
    <w:rsid w:val="00FF620E"/>
    <w:rsid w:val="00FF6539"/>
    <w:rsid w:val="00FF65A6"/>
    <w:rsid w:val="00FF67B2"/>
    <w:rsid w:val="00FF69B9"/>
    <w:rsid w:val="00FF6A83"/>
    <w:rsid w:val="00FF6AE1"/>
    <w:rsid w:val="00FF6F3D"/>
    <w:rsid w:val="00FF6FD4"/>
    <w:rsid w:val="00FF7698"/>
    <w:rsid w:val="00FF7743"/>
    <w:rsid w:val="00FF780A"/>
    <w:rsid w:val="00FF783D"/>
    <w:rsid w:val="00FF794F"/>
    <w:rsid w:val="00FF7CBC"/>
    <w:rsid w:val="00FF7E40"/>
    <w:rsid w:val="00FF7EA2"/>
    <w:rsid w:val="0101E3D4"/>
    <w:rsid w:val="0101F9CB"/>
    <w:rsid w:val="0107596D"/>
    <w:rsid w:val="0108270B"/>
    <w:rsid w:val="010A18CC"/>
    <w:rsid w:val="010A9FE0"/>
    <w:rsid w:val="010B8CA4"/>
    <w:rsid w:val="010E2775"/>
    <w:rsid w:val="010F2B9F"/>
    <w:rsid w:val="0113748E"/>
    <w:rsid w:val="01159D31"/>
    <w:rsid w:val="011785D8"/>
    <w:rsid w:val="01184C35"/>
    <w:rsid w:val="01190971"/>
    <w:rsid w:val="011BB78F"/>
    <w:rsid w:val="011CA57E"/>
    <w:rsid w:val="011CD171"/>
    <w:rsid w:val="011E690D"/>
    <w:rsid w:val="011F0748"/>
    <w:rsid w:val="011FFA60"/>
    <w:rsid w:val="0122AB55"/>
    <w:rsid w:val="0122CDB7"/>
    <w:rsid w:val="012443FF"/>
    <w:rsid w:val="0124497A"/>
    <w:rsid w:val="012592F9"/>
    <w:rsid w:val="0125F537"/>
    <w:rsid w:val="0126D644"/>
    <w:rsid w:val="01271028"/>
    <w:rsid w:val="012792D1"/>
    <w:rsid w:val="012DA660"/>
    <w:rsid w:val="012E5A6B"/>
    <w:rsid w:val="0130E3B6"/>
    <w:rsid w:val="0132AE63"/>
    <w:rsid w:val="013444BB"/>
    <w:rsid w:val="0134D344"/>
    <w:rsid w:val="013C2199"/>
    <w:rsid w:val="013CB088"/>
    <w:rsid w:val="0140540B"/>
    <w:rsid w:val="0142A6A2"/>
    <w:rsid w:val="0143D7AB"/>
    <w:rsid w:val="01454757"/>
    <w:rsid w:val="01459FD9"/>
    <w:rsid w:val="0145A198"/>
    <w:rsid w:val="0145CDCE"/>
    <w:rsid w:val="01472541"/>
    <w:rsid w:val="01494B98"/>
    <w:rsid w:val="01498AC7"/>
    <w:rsid w:val="014A02CB"/>
    <w:rsid w:val="014AAA2E"/>
    <w:rsid w:val="014B3E2F"/>
    <w:rsid w:val="014E9649"/>
    <w:rsid w:val="014F32EF"/>
    <w:rsid w:val="014F6B18"/>
    <w:rsid w:val="01559C6F"/>
    <w:rsid w:val="0155A799"/>
    <w:rsid w:val="0155E2BA"/>
    <w:rsid w:val="01595E8D"/>
    <w:rsid w:val="015AE6C0"/>
    <w:rsid w:val="015C18D1"/>
    <w:rsid w:val="015C4CB3"/>
    <w:rsid w:val="015D4DB2"/>
    <w:rsid w:val="0161E3FC"/>
    <w:rsid w:val="01666A32"/>
    <w:rsid w:val="01687FC2"/>
    <w:rsid w:val="016A495D"/>
    <w:rsid w:val="016B65F0"/>
    <w:rsid w:val="0171DBFD"/>
    <w:rsid w:val="01739F6E"/>
    <w:rsid w:val="01741CF9"/>
    <w:rsid w:val="01746A07"/>
    <w:rsid w:val="017525A3"/>
    <w:rsid w:val="0176F011"/>
    <w:rsid w:val="01778435"/>
    <w:rsid w:val="01781B32"/>
    <w:rsid w:val="01797DCD"/>
    <w:rsid w:val="017D0862"/>
    <w:rsid w:val="017D88AE"/>
    <w:rsid w:val="017E5E16"/>
    <w:rsid w:val="017EEE43"/>
    <w:rsid w:val="017F9A8C"/>
    <w:rsid w:val="018075B7"/>
    <w:rsid w:val="0186F746"/>
    <w:rsid w:val="01878FA0"/>
    <w:rsid w:val="0187B007"/>
    <w:rsid w:val="0187B490"/>
    <w:rsid w:val="0189273B"/>
    <w:rsid w:val="018AC3AE"/>
    <w:rsid w:val="018BE52C"/>
    <w:rsid w:val="018CB260"/>
    <w:rsid w:val="018E8E64"/>
    <w:rsid w:val="018F7561"/>
    <w:rsid w:val="0195363E"/>
    <w:rsid w:val="0196B1CA"/>
    <w:rsid w:val="01991D6E"/>
    <w:rsid w:val="019C4FB3"/>
    <w:rsid w:val="019C7FB2"/>
    <w:rsid w:val="019E07F5"/>
    <w:rsid w:val="019ED059"/>
    <w:rsid w:val="019F82B5"/>
    <w:rsid w:val="01A3C015"/>
    <w:rsid w:val="01A53C01"/>
    <w:rsid w:val="01A649B7"/>
    <w:rsid w:val="01A7B0D0"/>
    <w:rsid w:val="01A88707"/>
    <w:rsid w:val="01A99572"/>
    <w:rsid w:val="01AE4319"/>
    <w:rsid w:val="01AF516A"/>
    <w:rsid w:val="01B09C74"/>
    <w:rsid w:val="01B0B3F7"/>
    <w:rsid w:val="01B2E560"/>
    <w:rsid w:val="01B37D20"/>
    <w:rsid w:val="01B4B879"/>
    <w:rsid w:val="01B647F7"/>
    <w:rsid w:val="01B64D69"/>
    <w:rsid w:val="01B7F2C1"/>
    <w:rsid w:val="01B8AA54"/>
    <w:rsid w:val="01B91D5F"/>
    <w:rsid w:val="01BA55A2"/>
    <w:rsid w:val="01BBA93E"/>
    <w:rsid w:val="01BC4908"/>
    <w:rsid w:val="01BCC43A"/>
    <w:rsid w:val="01BE6B41"/>
    <w:rsid w:val="01BFA518"/>
    <w:rsid w:val="01BFC70E"/>
    <w:rsid w:val="01C6147B"/>
    <w:rsid w:val="01C854CF"/>
    <w:rsid w:val="01C917FE"/>
    <w:rsid w:val="01C9A723"/>
    <w:rsid w:val="01CACB48"/>
    <w:rsid w:val="01D1D0C1"/>
    <w:rsid w:val="01D6A4A7"/>
    <w:rsid w:val="01D7BEB8"/>
    <w:rsid w:val="01D8934F"/>
    <w:rsid w:val="01DA7CF3"/>
    <w:rsid w:val="01DC9A4B"/>
    <w:rsid w:val="01DF0A6F"/>
    <w:rsid w:val="01E477C6"/>
    <w:rsid w:val="01E62D73"/>
    <w:rsid w:val="01E6EF06"/>
    <w:rsid w:val="01E87CFB"/>
    <w:rsid w:val="01E9A12C"/>
    <w:rsid w:val="01EA1AA0"/>
    <w:rsid w:val="01EAB764"/>
    <w:rsid w:val="01EB674E"/>
    <w:rsid w:val="01EC1FAF"/>
    <w:rsid w:val="01F1057D"/>
    <w:rsid w:val="01F15E86"/>
    <w:rsid w:val="01F18254"/>
    <w:rsid w:val="01F1A6CF"/>
    <w:rsid w:val="01F4074A"/>
    <w:rsid w:val="01F814FA"/>
    <w:rsid w:val="01F88978"/>
    <w:rsid w:val="01F90FE7"/>
    <w:rsid w:val="01F9513E"/>
    <w:rsid w:val="01FECEEF"/>
    <w:rsid w:val="02003D4C"/>
    <w:rsid w:val="02023BFA"/>
    <w:rsid w:val="02047DE5"/>
    <w:rsid w:val="0204CEA0"/>
    <w:rsid w:val="0205AFC6"/>
    <w:rsid w:val="02078744"/>
    <w:rsid w:val="02083FC0"/>
    <w:rsid w:val="02084328"/>
    <w:rsid w:val="020B63A2"/>
    <w:rsid w:val="020B6CDC"/>
    <w:rsid w:val="020C8953"/>
    <w:rsid w:val="020D6504"/>
    <w:rsid w:val="020D9C11"/>
    <w:rsid w:val="021059B3"/>
    <w:rsid w:val="02105B17"/>
    <w:rsid w:val="0211552A"/>
    <w:rsid w:val="0212463B"/>
    <w:rsid w:val="0212B281"/>
    <w:rsid w:val="02169605"/>
    <w:rsid w:val="0216D5CE"/>
    <w:rsid w:val="021A04FF"/>
    <w:rsid w:val="021AF68F"/>
    <w:rsid w:val="021C5AFF"/>
    <w:rsid w:val="021DBA62"/>
    <w:rsid w:val="021E6102"/>
    <w:rsid w:val="02214563"/>
    <w:rsid w:val="022260FE"/>
    <w:rsid w:val="0222D82F"/>
    <w:rsid w:val="0222E2BD"/>
    <w:rsid w:val="0225922A"/>
    <w:rsid w:val="0226EB2F"/>
    <w:rsid w:val="0228D0C5"/>
    <w:rsid w:val="02299E3D"/>
    <w:rsid w:val="022B4729"/>
    <w:rsid w:val="022BB9F5"/>
    <w:rsid w:val="022C5739"/>
    <w:rsid w:val="022CA290"/>
    <w:rsid w:val="022D39C2"/>
    <w:rsid w:val="022F197D"/>
    <w:rsid w:val="02300581"/>
    <w:rsid w:val="02308620"/>
    <w:rsid w:val="0233E19B"/>
    <w:rsid w:val="0238B150"/>
    <w:rsid w:val="02393ADC"/>
    <w:rsid w:val="02394752"/>
    <w:rsid w:val="023A721D"/>
    <w:rsid w:val="023C458C"/>
    <w:rsid w:val="023FC694"/>
    <w:rsid w:val="0242A4BA"/>
    <w:rsid w:val="02432A71"/>
    <w:rsid w:val="02469D54"/>
    <w:rsid w:val="02471208"/>
    <w:rsid w:val="0248261B"/>
    <w:rsid w:val="024A1C8A"/>
    <w:rsid w:val="024AA707"/>
    <w:rsid w:val="024AD37D"/>
    <w:rsid w:val="024AE382"/>
    <w:rsid w:val="024CCFB6"/>
    <w:rsid w:val="024D78C7"/>
    <w:rsid w:val="02505810"/>
    <w:rsid w:val="02516AE1"/>
    <w:rsid w:val="0254CB88"/>
    <w:rsid w:val="0255D1CE"/>
    <w:rsid w:val="02563B84"/>
    <w:rsid w:val="02588655"/>
    <w:rsid w:val="0259A64A"/>
    <w:rsid w:val="0259BF77"/>
    <w:rsid w:val="025C21C0"/>
    <w:rsid w:val="025E15CF"/>
    <w:rsid w:val="025E1BD1"/>
    <w:rsid w:val="025E8015"/>
    <w:rsid w:val="025F9B92"/>
    <w:rsid w:val="02611B40"/>
    <w:rsid w:val="02611C11"/>
    <w:rsid w:val="0263BA28"/>
    <w:rsid w:val="02647394"/>
    <w:rsid w:val="0265A760"/>
    <w:rsid w:val="0265B5DC"/>
    <w:rsid w:val="0265F38D"/>
    <w:rsid w:val="02678ED2"/>
    <w:rsid w:val="0267D299"/>
    <w:rsid w:val="026ABB17"/>
    <w:rsid w:val="026B9A10"/>
    <w:rsid w:val="026BBF0D"/>
    <w:rsid w:val="026DA553"/>
    <w:rsid w:val="026ECA18"/>
    <w:rsid w:val="02702319"/>
    <w:rsid w:val="0270ACC7"/>
    <w:rsid w:val="02711FC6"/>
    <w:rsid w:val="0272C4FB"/>
    <w:rsid w:val="0278662D"/>
    <w:rsid w:val="0278A5FB"/>
    <w:rsid w:val="027907CB"/>
    <w:rsid w:val="02792409"/>
    <w:rsid w:val="027A3D42"/>
    <w:rsid w:val="027A57DA"/>
    <w:rsid w:val="027B6783"/>
    <w:rsid w:val="02816F99"/>
    <w:rsid w:val="0281794D"/>
    <w:rsid w:val="0281B3DA"/>
    <w:rsid w:val="0282A324"/>
    <w:rsid w:val="0284B623"/>
    <w:rsid w:val="0285EB63"/>
    <w:rsid w:val="0288AE04"/>
    <w:rsid w:val="02892EF2"/>
    <w:rsid w:val="02894BD9"/>
    <w:rsid w:val="02898894"/>
    <w:rsid w:val="028D82CD"/>
    <w:rsid w:val="028F47F8"/>
    <w:rsid w:val="0290DBA7"/>
    <w:rsid w:val="02932B0C"/>
    <w:rsid w:val="029540FE"/>
    <w:rsid w:val="0296E251"/>
    <w:rsid w:val="0297261B"/>
    <w:rsid w:val="02977CF6"/>
    <w:rsid w:val="02986AD0"/>
    <w:rsid w:val="029899AF"/>
    <w:rsid w:val="02989D05"/>
    <w:rsid w:val="02994AAF"/>
    <w:rsid w:val="029AD5D2"/>
    <w:rsid w:val="029C7337"/>
    <w:rsid w:val="029C9D71"/>
    <w:rsid w:val="029E96BB"/>
    <w:rsid w:val="029F1863"/>
    <w:rsid w:val="02A1F127"/>
    <w:rsid w:val="02A3C5F7"/>
    <w:rsid w:val="02A4EEA5"/>
    <w:rsid w:val="02A5D734"/>
    <w:rsid w:val="02A65B50"/>
    <w:rsid w:val="02A722AE"/>
    <w:rsid w:val="02A854FE"/>
    <w:rsid w:val="02AB1FA2"/>
    <w:rsid w:val="02AC2DCA"/>
    <w:rsid w:val="02B006AA"/>
    <w:rsid w:val="02B00812"/>
    <w:rsid w:val="02B158B9"/>
    <w:rsid w:val="02B1DA05"/>
    <w:rsid w:val="02B21DD2"/>
    <w:rsid w:val="02B4CF33"/>
    <w:rsid w:val="02B4E1B8"/>
    <w:rsid w:val="02B4FC4E"/>
    <w:rsid w:val="02B58A4E"/>
    <w:rsid w:val="02B5C23B"/>
    <w:rsid w:val="02B672D4"/>
    <w:rsid w:val="02B7C593"/>
    <w:rsid w:val="02B9F452"/>
    <w:rsid w:val="02BCB8AC"/>
    <w:rsid w:val="02BE7261"/>
    <w:rsid w:val="02BF22C1"/>
    <w:rsid w:val="02C4A0B0"/>
    <w:rsid w:val="02C78AAB"/>
    <w:rsid w:val="02C88B1B"/>
    <w:rsid w:val="02CA85A0"/>
    <w:rsid w:val="02CB3F40"/>
    <w:rsid w:val="02CD774F"/>
    <w:rsid w:val="02D2F203"/>
    <w:rsid w:val="02D3403D"/>
    <w:rsid w:val="02D42CA2"/>
    <w:rsid w:val="02D70746"/>
    <w:rsid w:val="02D7CF31"/>
    <w:rsid w:val="02D908FD"/>
    <w:rsid w:val="02D9E4DB"/>
    <w:rsid w:val="02D9F98F"/>
    <w:rsid w:val="02DB9619"/>
    <w:rsid w:val="02DD0727"/>
    <w:rsid w:val="02DE2D83"/>
    <w:rsid w:val="02E39E26"/>
    <w:rsid w:val="02E3B653"/>
    <w:rsid w:val="02E3F654"/>
    <w:rsid w:val="02E4D522"/>
    <w:rsid w:val="02E51EC4"/>
    <w:rsid w:val="02E5AB78"/>
    <w:rsid w:val="02E74BFB"/>
    <w:rsid w:val="02E90FAA"/>
    <w:rsid w:val="02E98BA6"/>
    <w:rsid w:val="02EAC163"/>
    <w:rsid w:val="02EFBE4B"/>
    <w:rsid w:val="02F23911"/>
    <w:rsid w:val="02F3AE5E"/>
    <w:rsid w:val="02FA5A2A"/>
    <w:rsid w:val="02FB70FE"/>
    <w:rsid w:val="02FBE97E"/>
    <w:rsid w:val="02FCC8D9"/>
    <w:rsid w:val="02FD1E35"/>
    <w:rsid w:val="02FDE961"/>
    <w:rsid w:val="03005824"/>
    <w:rsid w:val="0303C2F6"/>
    <w:rsid w:val="0303E5C5"/>
    <w:rsid w:val="03041DEF"/>
    <w:rsid w:val="03049CA1"/>
    <w:rsid w:val="03054799"/>
    <w:rsid w:val="03068478"/>
    <w:rsid w:val="0306918A"/>
    <w:rsid w:val="0306FF9F"/>
    <w:rsid w:val="0308DDD9"/>
    <w:rsid w:val="0309148D"/>
    <w:rsid w:val="030C6CC1"/>
    <w:rsid w:val="030D34B0"/>
    <w:rsid w:val="030E9779"/>
    <w:rsid w:val="030F9EBE"/>
    <w:rsid w:val="030FBD38"/>
    <w:rsid w:val="030FD64D"/>
    <w:rsid w:val="03102803"/>
    <w:rsid w:val="0310BA6F"/>
    <w:rsid w:val="031241BF"/>
    <w:rsid w:val="0313B4EB"/>
    <w:rsid w:val="0318AF0F"/>
    <w:rsid w:val="031C39AD"/>
    <w:rsid w:val="031CB176"/>
    <w:rsid w:val="031E0F6F"/>
    <w:rsid w:val="031E172A"/>
    <w:rsid w:val="031F8191"/>
    <w:rsid w:val="031FE18F"/>
    <w:rsid w:val="03215AE8"/>
    <w:rsid w:val="0322480A"/>
    <w:rsid w:val="03234854"/>
    <w:rsid w:val="03237109"/>
    <w:rsid w:val="03238CB1"/>
    <w:rsid w:val="03241BFE"/>
    <w:rsid w:val="03244A9B"/>
    <w:rsid w:val="03250C67"/>
    <w:rsid w:val="03251052"/>
    <w:rsid w:val="0326E03D"/>
    <w:rsid w:val="032B8446"/>
    <w:rsid w:val="032D17DA"/>
    <w:rsid w:val="032D32C5"/>
    <w:rsid w:val="032D58EB"/>
    <w:rsid w:val="032E5165"/>
    <w:rsid w:val="033241CD"/>
    <w:rsid w:val="0334B056"/>
    <w:rsid w:val="0334F920"/>
    <w:rsid w:val="033557D7"/>
    <w:rsid w:val="0336F355"/>
    <w:rsid w:val="033854EC"/>
    <w:rsid w:val="0338D24A"/>
    <w:rsid w:val="03390887"/>
    <w:rsid w:val="033C4A42"/>
    <w:rsid w:val="033E255B"/>
    <w:rsid w:val="033F1B51"/>
    <w:rsid w:val="0340F1B8"/>
    <w:rsid w:val="03424A5E"/>
    <w:rsid w:val="0342532D"/>
    <w:rsid w:val="03446D4C"/>
    <w:rsid w:val="0345D8DD"/>
    <w:rsid w:val="03466504"/>
    <w:rsid w:val="0346A6B6"/>
    <w:rsid w:val="034AF1B8"/>
    <w:rsid w:val="034BEE61"/>
    <w:rsid w:val="034C9306"/>
    <w:rsid w:val="034D845B"/>
    <w:rsid w:val="0352DE12"/>
    <w:rsid w:val="0354DFED"/>
    <w:rsid w:val="03568A13"/>
    <w:rsid w:val="0357E639"/>
    <w:rsid w:val="0357E8FB"/>
    <w:rsid w:val="035D9269"/>
    <w:rsid w:val="03606861"/>
    <w:rsid w:val="0360C208"/>
    <w:rsid w:val="03619481"/>
    <w:rsid w:val="03625171"/>
    <w:rsid w:val="0364077A"/>
    <w:rsid w:val="0367E546"/>
    <w:rsid w:val="036A22FE"/>
    <w:rsid w:val="036C44E7"/>
    <w:rsid w:val="036DD61D"/>
    <w:rsid w:val="036DFBF8"/>
    <w:rsid w:val="036E8E5F"/>
    <w:rsid w:val="036F7877"/>
    <w:rsid w:val="036FEA49"/>
    <w:rsid w:val="0371E3C9"/>
    <w:rsid w:val="03720A10"/>
    <w:rsid w:val="03724B1A"/>
    <w:rsid w:val="03735C12"/>
    <w:rsid w:val="0375793C"/>
    <w:rsid w:val="0376F8E0"/>
    <w:rsid w:val="037AAB44"/>
    <w:rsid w:val="037D345A"/>
    <w:rsid w:val="037F02CD"/>
    <w:rsid w:val="037FA30E"/>
    <w:rsid w:val="0382BF67"/>
    <w:rsid w:val="0383C808"/>
    <w:rsid w:val="038472D9"/>
    <w:rsid w:val="0385BCB3"/>
    <w:rsid w:val="0385F38B"/>
    <w:rsid w:val="0386854C"/>
    <w:rsid w:val="03868ED7"/>
    <w:rsid w:val="0387B831"/>
    <w:rsid w:val="0387CAAF"/>
    <w:rsid w:val="038C5AC9"/>
    <w:rsid w:val="038C989D"/>
    <w:rsid w:val="038CC4DC"/>
    <w:rsid w:val="038E78A9"/>
    <w:rsid w:val="038F4CF5"/>
    <w:rsid w:val="0391BB8E"/>
    <w:rsid w:val="0395746C"/>
    <w:rsid w:val="039D42FF"/>
    <w:rsid w:val="039E258E"/>
    <w:rsid w:val="039F5AE0"/>
    <w:rsid w:val="039F724E"/>
    <w:rsid w:val="03A4E0C8"/>
    <w:rsid w:val="03A5473B"/>
    <w:rsid w:val="03A57446"/>
    <w:rsid w:val="03AAB65A"/>
    <w:rsid w:val="03AAFBA6"/>
    <w:rsid w:val="03AB0B47"/>
    <w:rsid w:val="03AEDACC"/>
    <w:rsid w:val="03AFB97C"/>
    <w:rsid w:val="03B0702F"/>
    <w:rsid w:val="03B0E188"/>
    <w:rsid w:val="03B26126"/>
    <w:rsid w:val="03B893D6"/>
    <w:rsid w:val="03B90BFB"/>
    <w:rsid w:val="03B95A2B"/>
    <w:rsid w:val="03BB2B49"/>
    <w:rsid w:val="03BBFFCF"/>
    <w:rsid w:val="03BDD4FC"/>
    <w:rsid w:val="03C21974"/>
    <w:rsid w:val="03C2A98D"/>
    <w:rsid w:val="03C3ED80"/>
    <w:rsid w:val="03C84128"/>
    <w:rsid w:val="03C849A3"/>
    <w:rsid w:val="03C9FB4D"/>
    <w:rsid w:val="03CD098F"/>
    <w:rsid w:val="03CEF6E9"/>
    <w:rsid w:val="03D2FDA6"/>
    <w:rsid w:val="03D345A7"/>
    <w:rsid w:val="03D51EDE"/>
    <w:rsid w:val="03D533EC"/>
    <w:rsid w:val="03D5A267"/>
    <w:rsid w:val="03D7E5A1"/>
    <w:rsid w:val="03DBD25C"/>
    <w:rsid w:val="03DD4515"/>
    <w:rsid w:val="03DF9C9B"/>
    <w:rsid w:val="03E2A2FB"/>
    <w:rsid w:val="03E376CA"/>
    <w:rsid w:val="03E5B42A"/>
    <w:rsid w:val="03E5B7E1"/>
    <w:rsid w:val="03E67DDA"/>
    <w:rsid w:val="03ED16B5"/>
    <w:rsid w:val="03EE04C8"/>
    <w:rsid w:val="03EEB4B2"/>
    <w:rsid w:val="03F30BDE"/>
    <w:rsid w:val="03F804F2"/>
    <w:rsid w:val="03F870A8"/>
    <w:rsid w:val="03F9353D"/>
    <w:rsid w:val="03FB71FA"/>
    <w:rsid w:val="03FCF60F"/>
    <w:rsid w:val="03FE4C83"/>
    <w:rsid w:val="03FEC7DB"/>
    <w:rsid w:val="03FF7D58"/>
    <w:rsid w:val="0400ABFC"/>
    <w:rsid w:val="04068147"/>
    <w:rsid w:val="040836EA"/>
    <w:rsid w:val="04085071"/>
    <w:rsid w:val="0408620D"/>
    <w:rsid w:val="040B20AF"/>
    <w:rsid w:val="040E84B3"/>
    <w:rsid w:val="040E9611"/>
    <w:rsid w:val="040EDEA6"/>
    <w:rsid w:val="040F4EC3"/>
    <w:rsid w:val="040FED26"/>
    <w:rsid w:val="041453F6"/>
    <w:rsid w:val="0416DC0C"/>
    <w:rsid w:val="04179D27"/>
    <w:rsid w:val="0418E6FC"/>
    <w:rsid w:val="041954CA"/>
    <w:rsid w:val="0419734B"/>
    <w:rsid w:val="041B3AF9"/>
    <w:rsid w:val="041BC4A6"/>
    <w:rsid w:val="041C3071"/>
    <w:rsid w:val="042103A3"/>
    <w:rsid w:val="0421B3A3"/>
    <w:rsid w:val="0423D6F6"/>
    <w:rsid w:val="042635B4"/>
    <w:rsid w:val="042755C4"/>
    <w:rsid w:val="0427CBAC"/>
    <w:rsid w:val="0429699F"/>
    <w:rsid w:val="042DAC48"/>
    <w:rsid w:val="042EF0E5"/>
    <w:rsid w:val="042F121C"/>
    <w:rsid w:val="04302E30"/>
    <w:rsid w:val="04303B13"/>
    <w:rsid w:val="04326356"/>
    <w:rsid w:val="0432E9D1"/>
    <w:rsid w:val="0436D81D"/>
    <w:rsid w:val="04371BC2"/>
    <w:rsid w:val="0437F796"/>
    <w:rsid w:val="0439AB47"/>
    <w:rsid w:val="043A78FF"/>
    <w:rsid w:val="043C3FE6"/>
    <w:rsid w:val="043CCE91"/>
    <w:rsid w:val="043DAF01"/>
    <w:rsid w:val="043E61F5"/>
    <w:rsid w:val="043FEA4B"/>
    <w:rsid w:val="04405765"/>
    <w:rsid w:val="0440E02D"/>
    <w:rsid w:val="04421B16"/>
    <w:rsid w:val="044294EE"/>
    <w:rsid w:val="0442C97F"/>
    <w:rsid w:val="04438367"/>
    <w:rsid w:val="04439749"/>
    <w:rsid w:val="0447470E"/>
    <w:rsid w:val="044882A1"/>
    <w:rsid w:val="04496AFA"/>
    <w:rsid w:val="044E9921"/>
    <w:rsid w:val="044F4BAA"/>
    <w:rsid w:val="0450C07E"/>
    <w:rsid w:val="0451A175"/>
    <w:rsid w:val="0451D5C4"/>
    <w:rsid w:val="0452D802"/>
    <w:rsid w:val="0454FABA"/>
    <w:rsid w:val="0456EA18"/>
    <w:rsid w:val="0456F31E"/>
    <w:rsid w:val="04596305"/>
    <w:rsid w:val="0459E68B"/>
    <w:rsid w:val="0459F65D"/>
    <w:rsid w:val="045A77BF"/>
    <w:rsid w:val="045BA3E5"/>
    <w:rsid w:val="045CE819"/>
    <w:rsid w:val="045D2C7A"/>
    <w:rsid w:val="0460B346"/>
    <w:rsid w:val="0463C406"/>
    <w:rsid w:val="0464B6B2"/>
    <w:rsid w:val="0467BFCA"/>
    <w:rsid w:val="046A35DD"/>
    <w:rsid w:val="046E3F61"/>
    <w:rsid w:val="046FF463"/>
    <w:rsid w:val="04728A19"/>
    <w:rsid w:val="0472977B"/>
    <w:rsid w:val="04749F82"/>
    <w:rsid w:val="04760D11"/>
    <w:rsid w:val="0477BD38"/>
    <w:rsid w:val="047985C5"/>
    <w:rsid w:val="047B5209"/>
    <w:rsid w:val="047C940B"/>
    <w:rsid w:val="047FC2DC"/>
    <w:rsid w:val="048034FF"/>
    <w:rsid w:val="048299F5"/>
    <w:rsid w:val="048D207E"/>
    <w:rsid w:val="048DDC7D"/>
    <w:rsid w:val="048ED714"/>
    <w:rsid w:val="048F3DFD"/>
    <w:rsid w:val="0490F2FF"/>
    <w:rsid w:val="0490F6EE"/>
    <w:rsid w:val="04925ED8"/>
    <w:rsid w:val="04929CF9"/>
    <w:rsid w:val="04930533"/>
    <w:rsid w:val="04938A4F"/>
    <w:rsid w:val="049556CE"/>
    <w:rsid w:val="04967456"/>
    <w:rsid w:val="04975064"/>
    <w:rsid w:val="04984385"/>
    <w:rsid w:val="04985F64"/>
    <w:rsid w:val="04991422"/>
    <w:rsid w:val="049E1D6F"/>
    <w:rsid w:val="04A17B5D"/>
    <w:rsid w:val="04A356A2"/>
    <w:rsid w:val="04A418E9"/>
    <w:rsid w:val="04A429CC"/>
    <w:rsid w:val="04A4AFF3"/>
    <w:rsid w:val="04A71181"/>
    <w:rsid w:val="04A93961"/>
    <w:rsid w:val="04AA4276"/>
    <w:rsid w:val="04AA57FB"/>
    <w:rsid w:val="04AD3BE1"/>
    <w:rsid w:val="04AD4249"/>
    <w:rsid w:val="04AE286A"/>
    <w:rsid w:val="04AE8188"/>
    <w:rsid w:val="04AED796"/>
    <w:rsid w:val="04B122AE"/>
    <w:rsid w:val="04B25FDC"/>
    <w:rsid w:val="04B31D07"/>
    <w:rsid w:val="04B4696B"/>
    <w:rsid w:val="04B6B023"/>
    <w:rsid w:val="04B71EF2"/>
    <w:rsid w:val="04B85F54"/>
    <w:rsid w:val="04B8E828"/>
    <w:rsid w:val="04B94979"/>
    <w:rsid w:val="04BDE2E0"/>
    <w:rsid w:val="04BED740"/>
    <w:rsid w:val="04C00E66"/>
    <w:rsid w:val="04C31A1F"/>
    <w:rsid w:val="04C39B6D"/>
    <w:rsid w:val="04C76FF6"/>
    <w:rsid w:val="04C8AA57"/>
    <w:rsid w:val="04C8DCF1"/>
    <w:rsid w:val="04C9F22D"/>
    <w:rsid w:val="04CB033B"/>
    <w:rsid w:val="04CB5AF3"/>
    <w:rsid w:val="04CD54A6"/>
    <w:rsid w:val="04CD5AF8"/>
    <w:rsid w:val="04CE5A8C"/>
    <w:rsid w:val="04D009F5"/>
    <w:rsid w:val="04D05ECA"/>
    <w:rsid w:val="04D2397C"/>
    <w:rsid w:val="04D59F6B"/>
    <w:rsid w:val="04D5C62D"/>
    <w:rsid w:val="04D5FA40"/>
    <w:rsid w:val="04D7E602"/>
    <w:rsid w:val="04D80409"/>
    <w:rsid w:val="04D8AAC0"/>
    <w:rsid w:val="04DB6924"/>
    <w:rsid w:val="04DC7A61"/>
    <w:rsid w:val="04DF462E"/>
    <w:rsid w:val="04DF9F18"/>
    <w:rsid w:val="04E0658E"/>
    <w:rsid w:val="04E18EAF"/>
    <w:rsid w:val="04E2FAD9"/>
    <w:rsid w:val="04E318BE"/>
    <w:rsid w:val="04E42CE3"/>
    <w:rsid w:val="04E4F654"/>
    <w:rsid w:val="04E57C9E"/>
    <w:rsid w:val="04E69B76"/>
    <w:rsid w:val="04E7DB64"/>
    <w:rsid w:val="04EB3FB4"/>
    <w:rsid w:val="04EBB408"/>
    <w:rsid w:val="04ECC4BD"/>
    <w:rsid w:val="04ECCDF5"/>
    <w:rsid w:val="04F1D869"/>
    <w:rsid w:val="04F2C66C"/>
    <w:rsid w:val="04F45D8D"/>
    <w:rsid w:val="04F51AF5"/>
    <w:rsid w:val="04F5AB2C"/>
    <w:rsid w:val="04F8001E"/>
    <w:rsid w:val="04FD96D0"/>
    <w:rsid w:val="04FF9FA5"/>
    <w:rsid w:val="05003DF3"/>
    <w:rsid w:val="05008828"/>
    <w:rsid w:val="05076922"/>
    <w:rsid w:val="0507C601"/>
    <w:rsid w:val="0509563E"/>
    <w:rsid w:val="05099C56"/>
    <w:rsid w:val="050D3C97"/>
    <w:rsid w:val="050DC856"/>
    <w:rsid w:val="050E2BBE"/>
    <w:rsid w:val="051023E9"/>
    <w:rsid w:val="05107AF6"/>
    <w:rsid w:val="05108E11"/>
    <w:rsid w:val="05159043"/>
    <w:rsid w:val="0515FB9B"/>
    <w:rsid w:val="0519859D"/>
    <w:rsid w:val="0519C23F"/>
    <w:rsid w:val="051A6D01"/>
    <w:rsid w:val="051AB4D0"/>
    <w:rsid w:val="051ACA5E"/>
    <w:rsid w:val="051AE5D4"/>
    <w:rsid w:val="051B9670"/>
    <w:rsid w:val="051D7F26"/>
    <w:rsid w:val="051E1FBA"/>
    <w:rsid w:val="051E4130"/>
    <w:rsid w:val="051E4EC8"/>
    <w:rsid w:val="051FDF62"/>
    <w:rsid w:val="0520B8CC"/>
    <w:rsid w:val="0521CF4B"/>
    <w:rsid w:val="05249A83"/>
    <w:rsid w:val="0525B84C"/>
    <w:rsid w:val="05270272"/>
    <w:rsid w:val="052740ED"/>
    <w:rsid w:val="0528DE33"/>
    <w:rsid w:val="0529A40A"/>
    <w:rsid w:val="0529C1AF"/>
    <w:rsid w:val="052AFF77"/>
    <w:rsid w:val="052BFD21"/>
    <w:rsid w:val="052CC96B"/>
    <w:rsid w:val="052CED07"/>
    <w:rsid w:val="052EDF46"/>
    <w:rsid w:val="052F9386"/>
    <w:rsid w:val="052FD391"/>
    <w:rsid w:val="0531A01D"/>
    <w:rsid w:val="0531EB3B"/>
    <w:rsid w:val="0533D0EE"/>
    <w:rsid w:val="0534A974"/>
    <w:rsid w:val="053656F5"/>
    <w:rsid w:val="0537B756"/>
    <w:rsid w:val="05399C66"/>
    <w:rsid w:val="0539B0C8"/>
    <w:rsid w:val="053D010E"/>
    <w:rsid w:val="053D3F16"/>
    <w:rsid w:val="053FDC34"/>
    <w:rsid w:val="0540109B"/>
    <w:rsid w:val="0540F0FC"/>
    <w:rsid w:val="054166DD"/>
    <w:rsid w:val="0543A779"/>
    <w:rsid w:val="0544394E"/>
    <w:rsid w:val="05449A3A"/>
    <w:rsid w:val="054592D1"/>
    <w:rsid w:val="0545DA83"/>
    <w:rsid w:val="054A9A21"/>
    <w:rsid w:val="054AE4B6"/>
    <w:rsid w:val="054C5944"/>
    <w:rsid w:val="054ECEAF"/>
    <w:rsid w:val="054F494C"/>
    <w:rsid w:val="05516800"/>
    <w:rsid w:val="0552322D"/>
    <w:rsid w:val="0552B0C5"/>
    <w:rsid w:val="0555CB4B"/>
    <w:rsid w:val="05592DB6"/>
    <w:rsid w:val="0559ADE8"/>
    <w:rsid w:val="0559B038"/>
    <w:rsid w:val="055AC901"/>
    <w:rsid w:val="055B4CE6"/>
    <w:rsid w:val="055D5830"/>
    <w:rsid w:val="05607411"/>
    <w:rsid w:val="05622879"/>
    <w:rsid w:val="05624BDA"/>
    <w:rsid w:val="0562DA1D"/>
    <w:rsid w:val="0566059B"/>
    <w:rsid w:val="0566C161"/>
    <w:rsid w:val="056B6AB7"/>
    <w:rsid w:val="056CA314"/>
    <w:rsid w:val="056DB73C"/>
    <w:rsid w:val="056DC849"/>
    <w:rsid w:val="056E7875"/>
    <w:rsid w:val="056F4D5F"/>
    <w:rsid w:val="057143E6"/>
    <w:rsid w:val="05729DC3"/>
    <w:rsid w:val="057351CD"/>
    <w:rsid w:val="0573618E"/>
    <w:rsid w:val="057578EC"/>
    <w:rsid w:val="0575FE99"/>
    <w:rsid w:val="0578B596"/>
    <w:rsid w:val="0579366E"/>
    <w:rsid w:val="057968F5"/>
    <w:rsid w:val="0579BF8F"/>
    <w:rsid w:val="057ACD71"/>
    <w:rsid w:val="057CA37B"/>
    <w:rsid w:val="05801342"/>
    <w:rsid w:val="0580947E"/>
    <w:rsid w:val="0580BB91"/>
    <w:rsid w:val="0580D896"/>
    <w:rsid w:val="058346C8"/>
    <w:rsid w:val="0586F40A"/>
    <w:rsid w:val="05872FC4"/>
    <w:rsid w:val="0587F875"/>
    <w:rsid w:val="05881096"/>
    <w:rsid w:val="058824C6"/>
    <w:rsid w:val="058B5335"/>
    <w:rsid w:val="058CC4C7"/>
    <w:rsid w:val="058DFF6C"/>
    <w:rsid w:val="058EDF8C"/>
    <w:rsid w:val="058FDC9E"/>
    <w:rsid w:val="0591C51B"/>
    <w:rsid w:val="05929291"/>
    <w:rsid w:val="0592CD24"/>
    <w:rsid w:val="0596DA43"/>
    <w:rsid w:val="059772F9"/>
    <w:rsid w:val="05993A06"/>
    <w:rsid w:val="059A075F"/>
    <w:rsid w:val="059ADAC4"/>
    <w:rsid w:val="059DBE91"/>
    <w:rsid w:val="059F38BF"/>
    <w:rsid w:val="059F5ADB"/>
    <w:rsid w:val="05A341F1"/>
    <w:rsid w:val="05A353B0"/>
    <w:rsid w:val="05A4B3CC"/>
    <w:rsid w:val="05AA059D"/>
    <w:rsid w:val="05AB1E15"/>
    <w:rsid w:val="05AB1F24"/>
    <w:rsid w:val="05ADB48E"/>
    <w:rsid w:val="05AE075E"/>
    <w:rsid w:val="05B1CD28"/>
    <w:rsid w:val="05B1EB15"/>
    <w:rsid w:val="05B36EEB"/>
    <w:rsid w:val="05B4C08E"/>
    <w:rsid w:val="05B4CCD7"/>
    <w:rsid w:val="05B5B8E3"/>
    <w:rsid w:val="05B5C36D"/>
    <w:rsid w:val="05BAF9CF"/>
    <w:rsid w:val="05BE4D7A"/>
    <w:rsid w:val="05BF15C1"/>
    <w:rsid w:val="05C1285E"/>
    <w:rsid w:val="05C191C4"/>
    <w:rsid w:val="05C39B0A"/>
    <w:rsid w:val="05C60DA9"/>
    <w:rsid w:val="05C9CEAF"/>
    <w:rsid w:val="05CBD00B"/>
    <w:rsid w:val="05CD047F"/>
    <w:rsid w:val="05CDAAE4"/>
    <w:rsid w:val="05CFFA2C"/>
    <w:rsid w:val="05D0FF6B"/>
    <w:rsid w:val="05D2748D"/>
    <w:rsid w:val="05D3C3BA"/>
    <w:rsid w:val="05D4A2D2"/>
    <w:rsid w:val="05D67394"/>
    <w:rsid w:val="05D6BF8B"/>
    <w:rsid w:val="05D80C39"/>
    <w:rsid w:val="05D8AE9C"/>
    <w:rsid w:val="05D90EFD"/>
    <w:rsid w:val="05DA8122"/>
    <w:rsid w:val="05DBB47A"/>
    <w:rsid w:val="05DBCAF0"/>
    <w:rsid w:val="05DE8220"/>
    <w:rsid w:val="05DF6D12"/>
    <w:rsid w:val="05DFCA65"/>
    <w:rsid w:val="05E0CEE7"/>
    <w:rsid w:val="05E1487A"/>
    <w:rsid w:val="05E1C056"/>
    <w:rsid w:val="05E28074"/>
    <w:rsid w:val="05E329EC"/>
    <w:rsid w:val="05E51A22"/>
    <w:rsid w:val="05E56FA6"/>
    <w:rsid w:val="05E6AD97"/>
    <w:rsid w:val="05E850DA"/>
    <w:rsid w:val="05E94A0B"/>
    <w:rsid w:val="05E9CBE3"/>
    <w:rsid w:val="05E9D356"/>
    <w:rsid w:val="05EA778B"/>
    <w:rsid w:val="05EB166F"/>
    <w:rsid w:val="05EDBF2C"/>
    <w:rsid w:val="05EE3765"/>
    <w:rsid w:val="05EE4D93"/>
    <w:rsid w:val="05F18317"/>
    <w:rsid w:val="05F28D62"/>
    <w:rsid w:val="05F405C6"/>
    <w:rsid w:val="05F43CCF"/>
    <w:rsid w:val="05F44096"/>
    <w:rsid w:val="05F8AB40"/>
    <w:rsid w:val="05FEC155"/>
    <w:rsid w:val="060173D1"/>
    <w:rsid w:val="06027757"/>
    <w:rsid w:val="0602AB35"/>
    <w:rsid w:val="0602B20E"/>
    <w:rsid w:val="06085AD2"/>
    <w:rsid w:val="0611CE82"/>
    <w:rsid w:val="0616DE87"/>
    <w:rsid w:val="0617A88C"/>
    <w:rsid w:val="0618B258"/>
    <w:rsid w:val="061A4392"/>
    <w:rsid w:val="061B03E4"/>
    <w:rsid w:val="0621845B"/>
    <w:rsid w:val="06242763"/>
    <w:rsid w:val="062686A7"/>
    <w:rsid w:val="062A89DE"/>
    <w:rsid w:val="062AAD62"/>
    <w:rsid w:val="062AC0D6"/>
    <w:rsid w:val="062B553D"/>
    <w:rsid w:val="062C7960"/>
    <w:rsid w:val="062C8001"/>
    <w:rsid w:val="062CD3FD"/>
    <w:rsid w:val="062D111C"/>
    <w:rsid w:val="062DCDFE"/>
    <w:rsid w:val="0631BDB3"/>
    <w:rsid w:val="06339F27"/>
    <w:rsid w:val="0633A82F"/>
    <w:rsid w:val="06342659"/>
    <w:rsid w:val="0634D0CA"/>
    <w:rsid w:val="06351D15"/>
    <w:rsid w:val="0635CF2C"/>
    <w:rsid w:val="0637D347"/>
    <w:rsid w:val="0638811A"/>
    <w:rsid w:val="063960CA"/>
    <w:rsid w:val="06396DE2"/>
    <w:rsid w:val="063AB00E"/>
    <w:rsid w:val="063B2F63"/>
    <w:rsid w:val="063C9EB8"/>
    <w:rsid w:val="063D7A52"/>
    <w:rsid w:val="063DB25C"/>
    <w:rsid w:val="063F5FBF"/>
    <w:rsid w:val="0641F696"/>
    <w:rsid w:val="0641FEF9"/>
    <w:rsid w:val="06430E66"/>
    <w:rsid w:val="06451DF2"/>
    <w:rsid w:val="0649BF42"/>
    <w:rsid w:val="064A287B"/>
    <w:rsid w:val="064ED4D4"/>
    <w:rsid w:val="0650A03B"/>
    <w:rsid w:val="0650D042"/>
    <w:rsid w:val="0651131C"/>
    <w:rsid w:val="06533F15"/>
    <w:rsid w:val="06547589"/>
    <w:rsid w:val="06563FE7"/>
    <w:rsid w:val="0657782E"/>
    <w:rsid w:val="0657F280"/>
    <w:rsid w:val="065810BA"/>
    <w:rsid w:val="0659390F"/>
    <w:rsid w:val="0659F66D"/>
    <w:rsid w:val="065C25C6"/>
    <w:rsid w:val="065DEB76"/>
    <w:rsid w:val="065E1279"/>
    <w:rsid w:val="065F2268"/>
    <w:rsid w:val="06604214"/>
    <w:rsid w:val="066137D4"/>
    <w:rsid w:val="06624D95"/>
    <w:rsid w:val="0662B30C"/>
    <w:rsid w:val="06640117"/>
    <w:rsid w:val="06682312"/>
    <w:rsid w:val="06691417"/>
    <w:rsid w:val="066E602A"/>
    <w:rsid w:val="0670C9B2"/>
    <w:rsid w:val="06727BDB"/>
    <w:rsid w:val="06749B17"/>
    <w:rsid w:val="06763A41"/>
    <w:rsid w:val="0677FD45"/>
    <w:rsid w:val="067B1036"/>
    <w:rsid w:val="067BCFF1"/>
    <w:rsid w:val="067C2A5D"/>
    <w:rsid w:val="067CEEAC"/>
    <w:rsid w:val="067D646E"/>
    <w:rsid w:val="067D6CE1"/>
    <w:rsid w:val="067DB16C"/>
    <w:rsid w:val="0681EF81"/>
    <w:rsid w:val="0683BF1F"/>
    <w:rsid w:val="06844EF3"/>
    <w:rsid w:val="0687070F"/>
    <w:rsid w:val="068D6359"/>
    <w:rsid w:val="068F0F0A"/>
    <w:rsid w:val="069148D0"/>
    <w:rsid w:val="06929021"/>
    <w:rsid w:val="0692FB0A"/>
    <w:rsid w:val="06930B06"/>
    <w:rsid w:val="069330FC"/>
    <w:rsid w:val="06946360"/>
    <w:rsid w:val="0694B78D"/>
    <w:rsid w:val="06952628"/>
    <w:rsid w:val="069591B3"/>
    <w:rsid w:val="06965B57"/>
    <w:rsid w:val="069703CF"/>
    <w:rsid w:val="06977EC7"/>
    <w:rsid w:val="069AC032"/>
    <w:rsid w:val="069D4482"/>
    <w:rsid w:val="069E15B6"/>
    <w:rsid w:val="069F571E"/>
    <w:rsid w:val="069F86E9"/>
    <w:rsid w:val="06A26DA6"/>
    <w:rsid w:val="06A2874F"/>
    <w:rsid w:val="06A6AF9E"/>
    <w:rsid w:val="06A78F75"/>
    <w:rsid w:val="06A7B8B3"/>
    <w:rsid w:val="06AA5A08"/>
    <w:rsid w:val="06AB61B8"/>
    <w:rsid w:val="06AEE7F0"/>
    <w:rsid w:val="06AF1C40"/>
    <w:rsid w:val="06AF8C2A"/>
    <w:rsid w:val="06B06099"/>
    <w:rsid w:val="06B12CD0"/>
    <w:rsid w:val="06B1DD0A"/>
    <w:rsid w:val="06B205E8"/>
    <w:rsid w:val="06B26618"/>
    <w:rsid w:val="06B2ED62"/>
    <w:rsid w:val="06B334F5"/>
    <w:rsid w:val="06B34E93"/>
    <w:rsid w:val="06B4AA28"/>
    <w:rsid w:val="06B59844"/>
    <w:rsid w:val="06B8CC85"/>
    <w:rsid w:val="06BA0081"/>
    <w:rsid w:val="06BB8FF1"/>
    <w:rsid w:val="06BE897A"/>
    <w:rsid w:val="06C1CF54"/>
    <w:rsid w:val="06C37D57"/>
    <w:rsid w:val="06C50DC8"/>
    <w:rsid w:val="06C515D9"/>
    <w:rsid w:val="06C67389"/>
    <w:rsid w:val="06C78722"/>
    <w:rsid w:val="06CB1E0E"/>
    <w:rsid w:val="06CC7DDE"/>
    <w:rsid w:val="06CFA785"/>
    <w:rsid w:val="06D079D9"/>
    <w:rsid w:val="06D19A1F"/>
    <w:rsid w:val="06D3236E"/>
    <w:rsid w:val="06D3A014"/>
    <w:rsid w:val="06D44809"/>
    <w:rsid w:val="06D6727A"/>
    <w:rsid w:val="06D8DAA2"/>
    <w:rsid w:val="06DA0657"/>
    <w:rsid w:val="06DD83C2"/>
    <w:rsid w:val="06DF7A20"/>
    <w:rsid w:val="06E103EB"/>
    <w:rsid w:val="06E16C67"/>
    <w:rsid w:val="06E1C171"/>
    <w:rsid w:val="06E489D0"/>
    <w:rsid w:val="06E5EC8D"/>
    <w:rsid w:val="06E66685"/>
    <w:rsid w:val="06E87A23"/>
    <w:rsid w:val="06EA3634"/>
    <w:rsid w:val="06ED1E6E"/>
    <w:rsid w:val="06F11392"/>
    <w:rsid w:val="06F2751F"/>
    <w:rsid w:val="06F32D01"/>
    <w:rsid w:val="06F35F0C"/>
    <w:rsid w:val="06F5EC0F"/>
    <w:rsid w:val="06F9BB6B"/>
    <w:rsid w:val="06FA17CF"/>
    <w:rsid w:val="06FA24E9"/>
    <w:rsid w:val="06FB0E76"/>
    <w:rsid w:val="06FB19C6"/>
    <w:rsid w:val="06FB54FF"/>
    <w:rsid w:val="06FCDA17"/>
    <w:rsid w:val="06FEE807"/>
    <w:rsid w:val="07055302"/>
    <w:rsid w:val="0706D672"/>
    <w:rsid w:val="07074795"/>
    <w:rsid w:val="07075D7D"/>
    <w:rsid w:val="070832B0"/>
    <w:rsid w:val="0708E4D3"/>
    <w:rsid w:val="070B5D0A"/>
    <w:rsid w:val="070D2D6B"/>
    <w:rsid w:val="070E9ED7"/>
    <w:rsid w:val="070F7D7A"/>
    <w:rsid w:val="070FF060"/>
    <w:rsid w:val="07123CC3"/>
    <w:rsid w:val="0712B2BB"/>
    <w:rsid w:val="071329E8"/>
    <w:rsid w:val="07139F19"/>
    <w:rsid w:val="0715310A"/>
    <w:rsid w:val="07157B00"/>
    <w:rsid w:val="071853BD"/>
    <w:rsid w:val="07190050"/>
    <w:rsid w:val="07195791"/>
    <w:rsid w:val="071A5EA1"/>
    <w:rsid w:val="071B68E7"/>
    <w:rsid w:val="071BA806"/>
    <w:rsid w:val="071C1578"/>
    <w:rsid w:val="071C69FC"/>
    <w:rsid w:val="071EC066"/>
    <w:rsid w:val="071F6F82"/>
    <w:rsid w:val="07273E71"/>
    <w:rsid w:val="07278A5D"/>
    <w:rsid w:val="072B52A8"/>
    <w:rsid w:val="072B6C39"/>
    <w:rsid w:val="072BBB36"/>
    <w:rsid w:val="072DC728"/>
    <w:rsid w:val="072DC9CC"/>
    <w:rsid w:val="072FCADB"/>
    <w:rsid w:val="0732979D"/>
    <w:rsid w:val="0732D629"/>
    <w:rsid w:val="0734BF42"/>
    <w:rsid w:val="07357195"/>
    <w:rsid w:val="07368610"/>
    <w:rsid w:val="07375133"/>
    <w:rsid w:val="0737E5F3"/>
    <w:rsid w:val="073B2263"/>
    <w:rsid w:val="073CBADA"/>
    <w:rsid w:val="073EE087"/>
    <w:rsid w:val="073F2411"/>
    <w:rsid w:val="073FBB9A"/>
    <w:rsid w:val="07409EA4"/>
    <w:rsid w:val="07423B3B"/>
    <w:rsid w:val="0745B790"/>
    <w:rsid w:val="07491298"/>
    <w:rsid w:val="074B2394"/>
    <w:rsid w:val="074C4308"/>
    <w:rsid w:val="074D4C78"/>
    <w:rsid w:val="0750EFED"/>
    <w:rsid w:val="0752519E"/>
    <w:rsid w:val="07525483"/>
    <w:rsid w:val="07535FCD"/>
    <w:rsid w:val="07556722"/>
    <w:rsid w:val="075575AD"/>
    <w:rsid w:val="075B057D"/>
    <w:rsid w:val="075B4069"/>
    <w:rsid w:val="07607FAA"/>
    <w:rsid w:val="0761AD2D"/>
    <w:rsid w:val="076206E7"/>
    <w:rsid w:val="07623303"/>
    <w:rsid w:val="0762E3DC"/>
    <w:rsid w:val="07638B9E"/>
    <w:rsid w:val="0764BA83"/>
    <w:rsid w:val="0765C9A4"/>
    <w:rsid w:val="07689C9C"/>
    <w:rsid w:val="0769B71C"/>
    <w:rsid w:val="0769FD34"/>
    <w:rsid w:val="076AD3D4"/>
    <w:rsid w:val="076BF285"/>
    <w:rsid w:val="076C46A8"/>
    <w:rsid w:val="076EEBBE"/>
    <w:rsid w:val="076F85AD"/>
    <w:rsid w:val="077197F7"/>
    <w:rsid w:val="0771A4AE"/>
    <w:rsid w:val="0771F708"/>
    <w:rsid w:val="077233BB"/>
    <w:rsid w:val="07755E3A"/>
    <w:rsid w:val="0776F8A5"/>
    <w:rsid w:val="077B380B"/>
    <w:rsid w:val="07824D21"/>
    <w:rsid w:val="07827351"/>
    <w:rsid w:val="078493B0"/>
    <w:rsid w:val="07852A88"/>
    <w:rsid w:val="07890853"/>
    <w:rsid w:val="0789D4C8"/>
    <w:rsid w:val="078C684A"/>
    <w:rsid w:val="078C92A1"/>
    <w:rsid w:val="078E3172"/>
    <w:rsid w:val="078FB4B1"/>
    <w:rsid w:val="0792A835"/>
    <w:rsid w:val="07969C22"/>
    <w:rsid w:val="079AEF74"/>
    <w:rsid w:val="079C832B"/>
    <w:rsid w:val="079D340C"/>
    <w:rsid w:val="07A1147E"/>
    <w:rsid w:val="07A26597"/>
    <w:rsid w:val="07A4BF11"/>
    <w:rsid w:val="07A61154"/>
    <w:rsid w:val="07A72A5D"/>
    <w:rsid w:val="07A82897"/>
    <w:rsid w:val="07AA0733"/>
    <w:rsid w:val="07AB0513"/>
    <w:rsid w:val="07AD1FF6"/>
    <w:rsid w:val="07AD3C70"/>
    <w:rsid w:val="07AD5696"/>
    <w:rsid w:val="07B21B34"/>
    <w:rsid w:val="07B399D5"/>
    <w:rsid w:val="07B6CC16"/>
    <w:rsid w:val="07BA995C"/>
    <w:rsid w:val="07BDFC2F"/>
    <w:rsid w:val="07BFD735"/>
    <w:rsid w:val="07C210A6"/>
    <w:rsid w:val="07C31DAE"/>
    <w:rsid w:val="07C3AC95"/>
    <w:rsid w:val="07C40592"/>
    <w:rsid w:val="07CA5060"/>
    <w:rsid w:val="07CB21AD"/>
    <w:rsid w:val="07CC206D"/>
    <w:rsid w:val="07CC22AF"/>
    <w:rsid w:val="07CD16DA"/>
    <w:rsid w:val="07CD8EB7"/>
    <w:rsid w:val="07D1102F"/>
    <w:rsid w:val="07D16C9C"/>
    <w:rsid w:val="07D517A6"/>
    <w:rsid w:val="07D5500C"/>
    <w:rsid w:val="07D73FDD"/>
    <w:rsid w:val="07D74AB7"/>
    <w:rsid w:val="07D82D76"/>
    <w:rsid w:val="07DAF73C"/>
    <w:rsid w:val="07DB4D2D"/>
    <w:rsid w:val="07DB7F05"/>
    <w:rsid w:val="07DF714D"/>
    <w:rsid w:val="07E26F22"/>
    <w:rsid w:val="07E30471"/>
    <w:rsid w:val="07E47200"/>
    <w:rsid w:val="07E4F6D3"/>
    <w:rsid w:val="07E658FB"/>
    <w:rsid w:val="07E69335"/>
    <w:rsid w:val="07E6D40B"/>
    <w:rsid w:val="07E6F1A7"/>
    <w:rsid w:val="07E8F8E9"/>
    <w:rsid w:val="07E8FFDB"/>
    <w:rsid w:val="07ED6D9F"/>
    <w:rsid w:val="07EF6567"/>
    <w:rsid w:val="07EFA7D7"/>
    <w:rsid w:val="07F08748"/>
    <w:rsid w:val="07F0D104"/>
    <w:rsid w:val="07F1011B"/>
    <w:rsid w:val="07F369D2"/>
    <w:rsid w:val="07F5D7F6"/>
    <w:rsid w:val="07F71EB5"/>
    <w:rsid w:val="07F7865C"/>
    <w:rsid w:val="07F8E245"/>
    <w:rsid w:val="07FC8549"/>
    <w:rsid w:val="07FD0331"/>
    <w:rsid w:val="07FD1ECA"/>
    <w:rsid w:val="07FFD827"/>
    <w:rsid w:val="08028B05"/>
    <w:rsid w:val="0802A743"/>
    <w:rsid w:val="0806C49E"/>
    <w:rsid w:val="0807830D"/>
    <w:rsid w:val="0809748E"/>
    <w:rsid w:val="080D8D1E"/>
    <w:rsid w:val="080DFC89"/>
    <w:rsid w:val="08120AA2"/>
    <w:rsid w:val="0815227C"/>
    <w:rsid w:val="08152DF9"/>
    <w:rsid w:val="081583F4"/>
    <w:rsid w:val="0817D593"/>
    <w:rsid w:val="08184A90"/>
    <w:rsid w:val="08194007"/>
    <w:rsid w:val="081B2A96"/>
    <w:rsid w:val="082208DA"/>
    <w:rsid w:val="082351D6"/>
    <w:rsid w:val="0824986E"/>
    <w:rsid w:val="082557B6"/>
    <w:rsid w:val="0825AA15"/>
    <w:rsid w:val="0825E5BB"/>
    <w:rsid w:val="08272BCB"/>
    <w:rsid w:val="082741AF"/>
    <w:rsid w:val="0827FA2D"/>
    <w:rsid w:val="0829FCE4"/>
    <w:rsid w:val="082BB48C"/>
    <w:rsid w:val="082F80AF"/>
    <w:rsid w:val="08308770"/>
    <w:rsid w:val="0830C5DA"/>
    <w:rsid w:val="08314083"/>
    <w:rsid w:val="08339A9F"/>
    <w:rsid w:val="0834461F"/>
    <w:rsid w:val="08352915"/>
    <w:rsid w:val="08376B21"/>
    <w:rsid w:val="0837B98C"/>
    <w:rsid w:val="08390E5E"/>
    <w:rsid w:val="0839C680"/>
    <w:rsid w:val="083AF338"/>
    <w:rsid w:val="083BE9B6"/>
    <w:rsid w:val="083D6561"/>
    <w:rsid w:val="083EB7B8"/>
    <w:rsid w:val="0842279E"/>
    <w:rsid w:val="084314A9"/>
    <w:rsid w:val="0846AA93"/>
    <w:rsid w:val="0847269A"/>
    <w:rsid w:val="0848BEAE"/>
    <w:rsid w:val="084AC374"/>
    <w:rsid w:val="084D9639"/>
    <w:rsid w:val="084E140F"/>
    <w:rsid w:val="084F8F1F"/>
    <w:rsid w:val="085035F0"/>
    <w:rsid w:val="08504BB6"/>
    <w:rsid w:val="0851249A"/>
    <w:rsid w:val="08518965"/>
    <w:rsid w:val="0851A4FC"/>
    <w:rsid w:val="0852DA0E"/>
    <w:rsid w:val="0852F5F5"/>
    <w:rsid w:val="085410B5"/>
    <w:rsid w:val="0855F92B"/>
    <w:rsid w:val="085ABE2B"/>
    <w:rsid w:val="085BCC1B"/>
    <w:rsid w:val="085C701D"/>
    <w:rsid w:val="085C961E"/>
    <w:rsid w:val="085D31BF"/>
    <w:rsid w:val="085D868D"/>
    <w:rsid w:val="0860500E"/>
    <w:rsid w:val="0861754D"/>
    <w:rsid w:val="0861F0C5"/>
    <w:rsid w:val="08626C72"/>
    <w:rsid w:val="0863271D"/>
    <w:rsid w:val="0863FE14"/>
    <w:rsid w:val="0864AAF6"/>
    <w:rsid w:val="086826D9"/>
    <w:rsid w:val="08685A9E"/>
    <w:rsid w:val="0868EDFB"/>
    <w:rsid w:val="086A93B7"/>
    <w:rsid w:val="086B9F3D"/>
    <w:rsid w:val="086EF399"/>
    <w:rsid w:val="08777F2F"/>
    <w:rsid w:val="0878E861"/>
    <w:rsid w:val="08793D5C"/>
    <w:rsid w:val="087C12C9"/>
    <w:rsid w:val="08822E97"/>
    <w:rsid w:val="08833E3E"/>
    <w:rsid w:val="088534A8"/>
    <w:rsid w:val="0885D128"/>
    <w:rsid w:val="0885E24B"/>
    <w:rsid w:val="0887510B"/>
    <w:rsid w:val="08882923"/>
    <w:rsid w:val="0889030B"/>
    <w:rsid w:val="08891866"/>
    <w:rsid w:val="088B0357"/>
    <w:rsid w:val="088B90C8"/>
    <w:rsid w:val="088CEDF1"/>
    <w:rsid w:val="088D303D"/>
    <w:rsid w:val="088F8873"/>
    <w:rsid w:val="088FC1A7"/>
    <w:rsid w:val="0891B60C"/>
    <w:rsid w:val="08932C40"/>
    <w:rsid w:val="089A1C38"/>
    <w:rsid w:val="089C4445"/>
    <w:rsid w:val="089CDC71"/>
    <w:rsid w:val="089D8D30"/>
    <w:rsid w:val="089DD4DC"/>
    <w:rsid w:val="089EF153"/>
    <w:rsid w:val="089F093F"/>
    <w:rsid w:val="08A5F23C"/>
    <w:rsid w:val="08A87C69"/>
    <w:rsid w:val="08AC0750"/>
    <w:rsid w:val="08ADAE3D"/>
    <w:rsid w:val="08B09BD1"/>
    <w:rsid w:val="08B18D8F"/>
    <w:rsid w:val="08B29FB7"/>
    <w:rsid w:val="08B3E52A"/>
    <w:rsid w:val="08BA3F7A"/>
    <w:rsid w:val="08BA5729"/>
    <w:rsid w:val="08BCCF47"/>
    <w:rsid w:val="08BD55AC"/>
    <w:rsid w:val="08BE5189"/>
    <w:rsid w:val="08BFF7E0"/>
    <w:rsid w:val="08BFFCA5"/>
    <w:rsid w:val="08C0DFC6"/>
    <w:rsid w:val="08C2129E"/>
    <w:rsid w:val="08C2BF41"/>
    <w:rsid w:val="08C65574"/>
    <w:rsid w:val="08C6B60D"/>
    <w:rsid w:val="08C77028"/>
    <w:rsid w:val="08C85194"/>
    <w:rsid w:val="08C85852"/>
    <w:rsid w:val="08CC20AC"/>
    <w:rsid w:val="08CE91E4"/>
    <w:rsid w:val="08CEB25B"/>
    <w:rsid w:val="08D02903"/>
    <w:rsid w:val="08D0FF0B"/>
    <w:rsid w:val="08D21822"/>
    <w:rsid w:val="08D4E2B5"/>
    <w:rsid w:val="08D6798E"/>
    <w:rsid w:val="08DB240C"/>
    <w:rsid w:val="08DB458C"/>
    <w:rsid w:val="08DBF67E"/>
    <w:rsid w:val="08DC16C0"/>
    <w:rsid w:val="08DD5888"/>
    <w:rsid w:val="08DF2FA5"/>
    <w:rsid w:val="08E2AFB6"/>
    <w:rsid w:val="08E763D1"/>
    <w:rsid w:val="08E78159"/>
    <w:rsid w:val="08ED0272"/>
    <w:rsid w:val="08EEBDB3"/>
    <w:rsid w:val="08F115DF"/>
    <w:rsid w:val="08F1CC44"/>
    <w:rsid w:val="08F33B95"/>
    <w:rsid w:val="08F46883"/>
    <w:rsid w:val="08F7B60A"/>
    <w:rsid w:val="08F9BC16"/>
    <w:rsid w:val="08FCE2FA"/>
    <w:rsid w:val="08FD1401"/>
    <w:rsid w:val="08FD9041"/>
    <w:rsid w:val="08FE9B71"/>
    <w:rsid w:val="08FF93BC"/>
    <w:rsid w:val="090008DA"/>
    <w:rsid w:val="090045FC"/>
    <w:rsid w:val="09037E9C"/>
    <w:rsid w:val="0908B6BC"/>
    <w:rsid w:val="0909E178"/>
    <w:rsid w:val="090B3606"/>
    <w:rsid w:val="090D0CD3"/>
    <w:rsid w:val="090E9E28"/>
    <w:rsid w:val="090FB6FD"/>
    <w:rsid w:val="090FD539"/>
    <w:rsid w:val="091040FC"/>
    <w:rsid w:val="0910ADCF"/>
    <w:rsid w:val="09129C97"/>
    <w:rsid w:val="091456F8"/>
    <w:rsid w:val="0917815D"/>
    <w:rsid w:val="0917AC3B"/>
    <w:rsid w:val="09186A01"/>
    <w:rsid w:val="09195C78"/>
    <w:rsid w:val="091A8959"/>
    <w:rsid w:val="091B65B5"/>
    <w:rsid w:val="091B6B5B"/>
    <w:rsid w:val="091EC4B0"/>
    <w:rsid w:val="091FC326"/>
    <w:rsid w:val="0924F1F9"/>
    <w:rsid w:val="092BE047"/>
    <w:rsid w:val="092C26DC"/>
    <w:rsid w:val="092CEAB2"/>
    <w:rsid w:val="092DAB09"/>
    <w:rsid w:val="0930DB53"/>
    <w:rsid w:val="09312DAC"/>
    <w:rsid w:val="0931BFDE"/>
    <w:rsid w:val="0931DCA0"/>
    <w:rsid w:val="093738D9"/>
    <w:rsid w:val="09374C2D"/>
    <w:rsid w:val="09386E71"/>
    <w:rsid w:val="093D2D5A"/>
    <w:rsid w:val="093FD84A"/>
    <w:rsid w:val="09413BDD"/>
    <w:rsid w:val="094180F7"/>
    <w:rsid w:val="0942CE0C"/>
    <w:rsid w:val="094341BF"/>
    <w:rsid w:val="0945657A"/>
    <w:rsid w:val="094653A8"/>
    <w:rsid w:val="0946D1D4"/>
    <w:rsid w:val="0947FFD6"/>
    <w:rsid w:val="09496B86"/>
    <w:rsid w:val="094E65D9"/>
    <w:rsid w:val="09509C6E"/>
    <w:rsid w:val="0950ABEF"/>
    <w:rsid w:val="09512631"/>
    <w:rsid w:val="09513201"/>
    <w:rsid w:val="09513C60"/>
    <w:rsid w:val="0952D75C"/>
    <w:rsid w:val="09547295"/>
    <w:rsid w:val="0954C435"/>
    <w:rsid w:val="09555F73"/>
    <w:rsid w:val="0955D036"/>
    <w:rsid w:val="09579514"/>
    <w:rsid w:val="0957972C"/>
    <w:rsid w:val="0958B92E"/>
    <w:rsid w:val="0958CE45"/>
    <w:rsid w:val="095A6395"/>
    <w:rsid w:val="095C162D"/>
    <w:rsid w:val="095DB026"/>
    <w:rsid w:val="095ED921"/>
    <w:rsid w:val="095F048D"/>
    <w:rsid w:val="095F0B01"/>
    <w:rsid w:val="095FD17E"/>
    <w:rsid w:val="0961415B"/>
    <w:rsid w:val="09623DC4"/>
    <w:rsid w:val="0962BAAE"/>
    <w:rsid w:val="09670BE1"/>
    <w:rsid w:val="09671F8D"/>
    <w:rsid w:val="0967A2E4"/>
    <w:rsid w:val="0967B271"/>
    <w:rsid w:val="0968E88F"/>
    <w:rsid w:val="096907FE"/>
    <w:rsid w:val="0969A8F7"/>
    <w:rsid w:val="096B8BC5"/>
    <w:rsid w:val="096C57FF"/>
    <w:rsid w:val="096DE4B3"/>
    <w:rsid w:val="096EC6BB"/>
    <w:rsid w:val="097053BB"/>
    <w:rsid w:val="0970701F"/>
    <w:rsid w:val="09730101"/>
    <w:rsid w:val="0974A12D"/>
    <w:rsid w:val="09766251"/>
    <w:rsid w:val="0976CA03"/>
    <w:rsid w:val="0978A1FE"/>
    <w:rsid w:val="097960D1"/>
    <w:rsid w:val="0979A823"/>
    <w:rsid w:val="097BC490"/>
    <w:rsid w:val="097C0552"/>
    <w:rsid w:val="097C1C32"/>
    <w:rsid w:val="097D6C62"/>
    <w:rsid w:val="097ECF6F"/>
    <w:rsid w:val="097FC591"/>
    <w:rsid w:val="097FD41A"/>
    <w:rsid w:val="09841AB0"/>
    <w:rsid w:val="09875186"/>
    <w:rsid w:val="098796F8"/>
    <w:rsid w:val="098982C2"/>
    <w:rsid w:val="098A3355"/>
    <w:rsid w:val="098A5E41"/>
    <w:rsid w:val="098BBB15"/>
    <w:rsid w:val="098C5C48"/>
    <w:rsid w:val="098C73DA"/>
    <w:rsid w:val="098D5D7A"/>
    <w:rsid w:val="098E5CEB"/>
    <w:rsid w:val="098EB606"/>
    <w:rsid w:val="09918746"/>
    <w:rsid w:val="09929944"/>
    <w:rsid w:val="0993C21A"/>
    <w:rsid w:val="099732CD"/>
    <w:rsid w:val="0999D023"/>
    <w:rsid w:val="099C648A"/>
    <w:rsid w:val="099C73D6"/>
    <w:rsid w:val="099DE558"/>
    <w:rsid w:val="099E31EA"/>
    <w:rsid w:val="099F7C27"/>
    <w:rsid w:val="099FACBB"/>
    <w:rsid w:val="09A1F9FA"/>
    <w:rsid w:val="09A24865"/>
    <w:rsid w:val="09A5F45C"/>
    <w:rsid w:val="09A6A032"/>
    <w:rsid w:val="09A7800E"/>
    <w:rsid w:val="09A934D7"/>
    <w:rsid w:val="09AA7382"/>
    <w:rsid w:val="09AA9E8F"/>
    <w:rsid w:val="09AB423E"/>
    <w:rsid w:val="09ADCAE2"/>
    <w:rsid w:val="09B03D7F"/>
    <w:rsid w:val="09B04E9E"/>
    <w:rsid w:val="09B0ECE9"/>
    <w:rsid w:val="09B16E7E"/>
    <w:rsid w:val="09B5A96A"/>
    <w:rsid w:val="09B71213"/>
    <w:rsid w:val="09B9BE19"/>
    <w:rsid w:val="09BA7834"/>
    <w:rsid w:val="09BAA1DD"/>
    <w:rsid w:val="09BB9CAA"/>
    <w:rsid w:val="09BD2E0E"/>
    <w:rsid w:val="09BF889C"/>
    <w:rsid w:val="09C0C4A0"/>
    <w:rsid w:val="09C17BB1"/>
    <w:rsid w:val="09C33875"/>
    <w:rsid w:val="09C53661"/>
    <w:rsid w:val="09C5E9E3"/>
    <w:rsid w:val="09C622EC"/>
    <w:rsid w:val="09C9B245"/>
    <w:rsid w:val="09CA5179"/>
    <w:rsid w:val="09CAFCD3"/>
    <w:rsid w:val="09CC6AEC"/>
    <w:rsid w:val="09CE6A8D"/>
    <w:rsid w:val="09D1CC5E"/>
    <w:rsid w:val="09D4235F"/>
    <w:rsid w:val="09D55340"/>
    <w:rsid w:val="09D71C84"/>
    <w:rsid w:val="09D77048"/>
    <w:rsid w:val="09D79179"/>
    <w:rsid w:val="09DB7105"/>
    <w:rsid w:val="09DBA17C"/>
    <w:rsid w:val="09DC82B1"/>
    <w:rsid w:val="09DEE5D3"/>
    <w:rsid w:val="09E2D380"/>
    <w:rsid w:val="09E3B238"/>
    <w:rsid w:val="09E4A7BF"/>
    <w:rsid w:val="09E716D7"/>
    <w:rsid w:val="09E771A6"/>
    <w:rsid w:val="09E88D15"/>
    <w:rsid w:val="09E94C91"/>
    <w:rsid w:val="09E99807"/>
    <w:rsid w:val="09EBD9CD"/>
    <w:rsid w:val="09EC27AC"/>
    <w:rsid w:val="09ED85C5"/>
    <w:rsid w:val="09EE2486"/>
    <w:rsid w:val="09EFCECD"/>
    <w:rsid w:val="09F0A6AE"/>
    <w:rsid w:val="09F0CBD6"/>
    <w:rsid w:val="09F1AD3E"/>
    <w:rsid w:val="09F48ABA"/>
    <w:rsid w:val="09F53178"/>
    <w:rsid w:val="09F60843"/>
    <w:rsid w:val="09F70C33"/>
    <w:rsid w:val="09F88F91"/>
    <w:rsid w:val="09F9D761"/>
    <w:rsid w:val="09FB7FC6"/>
    <w:rsid w:val="09FCA235"/>
    <w:rsid w:val="09FE2091"/>
    <w:rsid w:val="09FF2366"/>
    <w:rsid w:val="0A023971"/>
    <w:rsid w:val="0A025981"/>
    <w:rsid w:val="0A02CCD9"/>
    <w:rsid w:val="0A047D09"/>
    <w:rsid w:val="0A09081B"/>
    <w:rsid w:val="0A09E240"/>
    <w:rsid w:val="0A0CD77B"/>
    <w:rsid w:val="0A0FA57C"/>
    <w:rsid w:val="0A10B22D"/>
    <w:rsid w:val="0A125ED8"/>
    <w:rsid w:val="0A1263AC"/>
    <w:rsid w:val="0A1301C3"/>
    <w:rsid w:val="0A131C37"/>
    <w:rsid w:val="0A148885"/>
    <w:rsid w:val="0A175D9A"/>
    <w:rsid w:val="0A178190"/>
    <w:rsid w:val="0A18A889"/>
    <w:rsid w:val="0A1AF4CE"/>
    <w:rsid w:val="0A1BA3F3"/>
    <w:rsid w:val="0A1BA60F"/>
    <w:rsid w:val="0A1D6A4D"/>
    <w:rsid w:val="0A1F9F25"/>
    <w:rsid w:val="0A207E05"/>
    <w:rsid w:val="0A22D7D0"/>
    <w:rsid w:val="0A260658"/>
    <w:rsid w:val="0A26B962"/>
    <w:rsid w:val="0A288BF1"/>
    <w:rsid w:val="0A28AA9C"/>
    <w:rsid w:val="0A298C76"/>
    <w:rsid w:val="0A2B1468"/>
    <w:rsid w:val="0A2B40D0"/>
    <w:rsid w:val="0A3074D0"/>
    <w:rsid w:val="0A30F42B"/>
    <w:rsid w:val="0A31B8FC"/>
    <w:rsid w:val="0A33B7E2"/>
    <w:rsid w:val="0A34697F"/>
    <w:rsid w:val="0A381AFC"/>
    <w:rsid w:val="0A388149"/>
    <w:rsid w:val="0A38E19B"/>
    <w:rsid w:val="0A3B8CDE"/>
    <w:rsid w:val="0A3C5DB3"/>
    <w:rsid w:val="0A3D393E"/>
    <w:rsid w:val="0A3DFDD0"/>
    <w:rsid w:val="0A3F15FA"/>
    <w:rsid w:val="0A40B9C4"/>
    <w:rsid w:val="0A410CD0"/>
    <w:rsid w:val="0A45657B"/>
    <w:rsid w:val="0A45A855"/>
    <w:rsid w:val="0A48C4DE"/>
    <w:rsid w:val="0A495277"/>
    <w:rsid w:val="0A4A3ADE"/>
    <w:rsid w:val="0A4C6C78"/>
    <w:rsid w:val="0A4C90C3"/>
    <w:rsid w:val="0A4EFAC1"/>
    <w:rsid w:val="0A503BEF"/>
    <w:rsid w:val="0A51A9C0"/>
    <w:rsid w:val="0A55B464"/>
    <w:rsid w:val="0A57A241"/>
    <w:rsid w:val="0A599F74"/>
    <w:rsid w:val="0A59B1EF"/>
    <w:rsid w:val="0A5E52A6"/>
    <w:rsid w:val="0A5FE2CC"/>
    <w:rsid w:val="0A61A37D"/>
    <w:rsid w:val="0A63049B"/>
    <w:rsid w:val="0A6811FE"/>
    <w:rsid w:val="0A683999"/>
    <w:rsid w:val="0A6A9FA6"/>
    <w:rsid w:val="0A6AFD9E"/>
    <w:rsid w:val="0A6BA67A"/>
    <w:rsid w:val="0A6E3653"/>
    <w:rsid w:val="0A7020CB"/>
    <w:rsid w:val="0A72AB8D"/>
    <w:rsid w:val="0A733423"/>
    <w:rsid w:val="0A744A73"/>
    <w:rsid w:val="0A756FE5"/>
    <w:rsid w:val="0A764128"/>
    <w:rsid w:val="0A769207"/>
    <w:rsid w:val="0A76B4CB"/>
    <w:rsid w:val="0A76C7E7"/>
    <w:rsid w:val="0A773F95"/>
    <w:rsid w:val="0A79DBEE"/>
    <w:rsid w:val="0A7A4322"/>
    <w:rsid w:val="0A7A628C"/>
    <w:rsid w:val="0A7B3963"/>
    <w:rsid w:val="0A7BC698"/>
    <w:rsid w:val="0A7FF0B0"/>
    <w:rsid w:val="0A802231"/>
    <w:rsid w:val="0A80FD86"/>
    <w:rsid w:val="0A823AFB"/>
    <w:rsid w:val="0A850E4D"/>
    <w:rsid w:val="0A856BE7"/>
    <w:rsid w:val="0A87E216"/>
    <w:rsid w:val="0A8D2DF2"/>
    <w:rsid w:val="0A8D5BA7"/>
    <w:rsid w:val="0A8DC63E"/>
    <w:rsid w:val="0A8FC3AA"/>
    <w:rsid w:val="0A907C5F"/>
    <w:rsid w:val="0A923FC9"/>
    <w:rsid w:val="0A943099"/>
    <w:rsid w:val="0A956E17"/>
    <w:rsid w:val="0A9614D4"/>
    <w:rsid w:val="0A99C569"/>
    <w:rsid w:val="0A9A8FB6"/>
    <w:rsid w:val="0A9AD227"/>
    <w:rsid w:val="0A9CAE57"/>
    <w:rsid w:val="0A9D5308"/>
    <w:rsid w:val="0AA31C44"/>
    <w:rsid w:val="0AA670E9"/>
    <w:rsid w:val="0AA816C3"/>
    <w:rsid w:val="0AA85EC5"/>
    <w:rsid w:val="0AA92FE9"/>
    <w:rsid w:val="0AA984EE"/>
    <w:rsid w:val="0AAA4D7D"/>
    <w:rsid w:val="0AAB2F72"/>
    <w:rsid w:val="0AAC3CCC"/>
    <w:rsid w:val="0AADA703"/>
    <w:rsid w:val="0AAE5F60"/>
    <w:rsid w:val="0AAED12B"/>
    <w:rsid w:val="0AB0213A"/>
    <w:rsid w:val="0AB0DC59"/>
    <w:rsid w:val="0AB14378"/>
    <w:rsid w:val="0AB1DF72"/>
    <w:rsid w:val="0AB64F0C"/>
    <w:rsid w:val="0AB7C108"/>
    <w:rsid w:val="0AB7F6DE"/>
    <w:rsid w:val="0ABA86EF"/>
    <w:rsid w:val="0ABAE6BA"/>
    <w:rsid w:val="0ABB1E55"/>
    <w:rsid w:val="0ABF03FC"/>
    <w:rsid w:val="0ABFF39E"/>
    <w:rsid w:val="0AC03F16"/>
    <w:rsid w:val="0AC13345"/>
    <w:rsid w:val="0AC51EFC"/>
    <w:rsid w:val="0AC592BF"/>
    <w:rsid w:val="0AC5DCA4"/>
    <w:rsid w:val="0AC7ACCB"/>
    <w:rsid w:val="0AC9FFA0"/>
    <w:rsid w:val="0ACBBD2D"/>
    <w:rsid w:val="0ACD0649"/>
    <w:rsid w:val="0ACDA539"/>
    <w:rsid w:val="0ACE5E0E"/>
    <w:rsid w:val="0ACF60D9"/>
    <w:rsid w:val="0AD0CFE3"/>
    <w:rsid w:val="0AD50A6B"/>
    <w:rsid w:val="0AD66B07"/>
    <w:rsid w:val="0AD7D673"/>
    <w:rsid w:val="0AD8BE7B"/>
    <w:rsid w:val="0AD96AF1"/>
    <w:rsid w:val="0AD9720B"/>
    <w:rsid w:val="0ADB98F8"/>
    <w:rsid w:val="0ADBBBB2"/>
    <w:rsid w:val="0ADC5ADA"/>
    <w:rsid w:val="0ADDDF47"/>
    <w:rsid w:val="0ADFB590"/>
    <w:rsid w:val="0AE2C014"/>
    <w:rsid w:val="0AE71BFF"/>
    <w:rsid w:val="0AE733F8"/>
    <w:rsid w:val="0AE83CF4"/>
    <w:rsid w:val="0AE982DF"/>
    <w:rsid w:val="0AEA48A4"/>
    <w:rsid w:val="0AEA723E"/>
    <w:rsid w:val="0AEDA485"/>
    <w:rsid w:val="0AEE3FCF"/>
    <w:rsid w:val="0AEF210B"/>
    <w:rsid w:val="0AF09716"/>
    <w:rsid w:val="0AF18F5F"/>
    <w:rsid w:val="0AF5CAD2"/>
    <w:rsid w:val="0AFBAFEB"/>
    <w:rsid w:val="0AFC876A"/>
    <w:rsid w:val="0AFD74A7"/>
    <w:rsid w:val="0AFE285B"/>
    <w:rsid w:val="0AFEA50D"/>
    <w:rsid w:val="0AFFCEA3"/>
    <w:rsid w:val="0AFFF11A"/>
    <w:rsid w:val="0B0031B8"/>
    <w:rsid w:val="0B0048BE"/>
    <w:rsid w:val="0B00FD88"/>
    <w:rsid w:val="0B016267"/>
    <w:rsid w:val="0B024C9C"/>
    <w:rsid w:val="0B043891"/>
    <w:rsid w:val="0B050DB7"/>
    <w:rsid w:val="0B059622"/>
    <w:rsid w:val="0B064D83"/>
    <w:rsid w:val="0B07BF8A"/>
    <w:rsid w:val="0B092E9A"/>
    <w:rsid w:val="0B0D50BE"/>
    <w:rsid w:val="0B0D5436"/>
    <w:rsid w:val="0B0F48F2"/>
    <w:rsid w:val="0B0F6CEB"/>
    <w:rsid w:val="0B101621"/>
    <w:rsid w:val="0B10451B"/>
    <w:rsid w:val="0B138565"/>
    <w:rsid w:val="0B159C54"/>
    <w:rsid w:val="0B17DE6B"/>
    <w:rsid w:val="0B18514F"/>
    <w:rsid w:val="0B1CAD59"/>
    <w:rsid w:val="0B1CC123"/>
    <w:rsid w:val="0B202BE1"/>
    <w:rsid w:val="0B22832F"/>
    <w:rsid w:val="0B23480E"/>
    <w:rsid w:val="0B241D0B"/>
    <w:rsid w:val="0B245D1B"/>
    <w:rsid w:val="0B25BE43"/>
    <w:rsid w:val="0B26032F"/>
    <w:rsid w:val="0B2A73DC"/>
    <w:rsid w:val="0B2AC632"/>
    <w:rsid w:val="0B2AD1AE"/>
    <w:rsid w:val="0B2B315F"/>
    <w:rsid w:val="0B2E0725"/>
    <w:rsid w:val="0B2F5972"/>
    <w:rsid w:val="0B30A1E0"/>
    <w:rsid w:val="0B31C5F7"/>
    <w:rsid w:val="0B31E218"/>
    <w:rsid w:val="0B32C698"/>
    <w:rsid w:val="0B3352D5"/>
    <w:rsid w:val="0B35DBCD"/>
    <w:rsid w:val="0B390305"/>
    <w:rsid w:val="0B3F42C4"/>
    <w:rsid w:val="0B3FF783"/>
    <w:rsid w:val="0B415E53"/>
    <w:rsid w:val="0B41F127"/>
    <w:rsid w:val="0B43FE60"/>
    <w:rsid w:val="0B449475"/>
    <w:rsid w:val="0B455C04"/>
    <w:rsid w:val="0B46BE6B"/>
    <w:rsid w:val="0B47B40C"/>
    <w:rsid w:val="0B47B825"/>
    <w:rsid w:val="0B4810B1"/>
    <w:rsid w:val="0B487D22"/>
    <w:rsid w:val="0B4BFA5D"/>
    <w:rsid w:val="0B4C7A7D"/>
    <w:rsid w:val="0B4CFF75"/>
    <w:rsid w:val="0B4E29AB"/>
    <w:rsid w:val="0B4E3CCD"/>
    <w:rsid w:val="0B4F1F0C"/>
    <w:rsid w:val="0B5265FE"/>
    <w:rsid w:val="0B568F6F"/>
    <w:rsid w:val="0B59BCBA"/>
    <w:rsid w:val="0B5B7AC9"/>
    <w:rsid w:val="0B5CDAEA"/>
    <w:rsid w:val="0B5DAB03"/>
    <w:rsid w:val="0B5DC929"/>
    <w:rsid w:val="0B5F1766"/>
    <w:rsid w:val="0B608294"/>
    <w:rsid w:val="0B611DEB"/>
    <w:rsid w:val="0B648022"/>
    <w:rsid w:val="0B663974"/>
    <w:rsid w:val="0B67DF04"/>
    <w:rsid w:val="0B6884BC"/>
    <w:rsid w:val="0B695D72"/>
    <w:rsid w:val="0B69A8FC"/>
    <w:rsid w:val="0B69AFB2"/>
    <w:rsid w:val="0B6A74F2"/>
    <w:rsid w:val="0B6C0461"/>
    <w:rsid w:val="0B6CCE7D"/>
    <w:rsid w:val="0B6E660D"/>
    <w:rsid w:val="0B6E9B0F"/>
    <w:rsid w:val="0B6EF744"/>
    <w:rsid w:val="0B728821"/>
    <w:rsid w:val="0B72E641"/>
    <w:rsid w:val="0B749BF3"/>
    <w:rsid w:val="0B77622D"/>
    <w:rsid w:val="0B791875"/>
    <w:rsid w:val="0B7ABDE8"/>
    <w:rsid w:val="0B7D3492"/>
    <w:rsid w:val="0B7DE1DD"/>
    <w:rsid w:val="0B7E5ED0"/>
    <w:rsid w:val="0B7F09C0"/>
    <w:rsid w:val="0B825D48"/>
    <w:rsid w:val="0B82CB58"/>
    <w:rsid w:val="0B834207"/>
    <w:rsid w:val="0B838F70"/>
    <w:rsid w:val="0B83A183"/>
    <w:rsid w:val="0B84CE13"/>
    <w:rsid w:val="0B857F1C"/>
    <w:rsid w:val="0B87AA9E"/>
    <w:rsid w:val="0B8C2C99"/>
    <w:rsid w:val="0B8D239E"/>
    <w:rsid w:val="0B8FDC29"/>
    <w:rsid w:val="0B92D97F"/>
    <w:rsid w:val="0B9388F6"/>
    <w:rsid w:val="0B96D079"/>
    <w:rsid w:val="0B9716DC"/>
    <w:rsid w:val="0B9BE69C"/>
    <w:rsid w:val="0B9E9C29"/>
    <w:rsid w:val="0B9FD3C5"/>
    <w:rsid w:val="0BA4947C"/>
    <w:rsid w:val="0BAA2507"/>
    <w:rsid w:val="0BAA6B9B"/>
    <w:rsid w:val="0BAB3F26"/>
    <w:rsid w:val="0BB7DA8B"/>
    <w:rsid w:val="0BB93D0C"/>
    <w:rsid w:val="0BBCF4B1"/>
    <w:rsid w:val="0BBD38A7"/>
    <w:rsid w:val="0BC0371D"/>
    <w:rsid w:val="0BC08853"/>
    <w:rsid w:val="0BC13135"/>
    <w:rsid w:val="0BC4A49C"/>
    <w:rsid w:val="0BC71394"/>
    <w:rsid w:val="0BC780E3"/>
    <w:rsid w:val="0BCA07D8"/>
    <w:rsid w:val="0BCB79CD"/>
    <w:rsid w:val="0BCC5E6A"/>
    <w:rsid w:val="0BD00F31"/>
    <w:rsid w:val="0BD01383"/>
    <w:rsid w:val="0BD0F11A"/>
    <w:rsid w:val="0BD2EBE2"/>
    <w:rsid w:val="0BD32C63"/>
    <w:rsid w:val="0BD35C89"/>
    <w:rsid w:val="0BD3A670"/>
    <w:rsid w:val="0BD49D53"/>
    <w:rsid w:val="0BDDD0A6"/>
    <w:rsid w:val="0BE3FDFC"/>
    <w:rsid w:val="0BE5A996"/>
    <w:rsid w:val="0BE9C17A"/>
    <w:rsid w:val="0BEF33EA"/>
    <w:rsid w:val="0BF1EEB1"/>
    <w:rsid w:val="0BF29712"/>
    <w:rsid w:val="0BF2C73F"/>
    <w:rsid w:val="0BF343A7"/>
    <w:rsid w:val="0BF4C085"/>
    <w:rsid w:val="0BF71094"/>
    <w:rsid w:val="0BF72E4D"/>
    <w:rsid w:val="0BFC8401"/>
    <w:rsid w:val="0BFD3C3C"/>
    <w:rsid w:val="0BFFCFD1"/>
    <w:rsid w:val="0C001E3F"/>
    <w:rsid w:val="0C02462D"/>
    <w:rsid w:val="0C02AD2D"/>
    <w:rsid w:val="0C03E25F"/>
    <w:rsid w:val="0C0441E0"/>
    <w:rsid w:val="0C04BC31"/>
    <w:rsid w:val="0C05878D"/>
    <w:rsid w:val="0C073AE0"/>
    <w:rsid w:val="0C08583F"/>
    <w:rsid w:val="0C08DDEE"/>
    <w:rsid w:val="0C0A2D1D"/>
    <w:rsid w:val="0C0C7415"/>
    <w:rsid w:val="0C110F35"/>
    <w:rsid w:val="0C116C24"/>
    <w:rsid w:val="0C121FC3"/>
    <w:rsid w:val="0C127563"/>
    <w:rsid w:val="0C1AABFA"/>
    <w:rsid w:val="0C1FC8CD"/>
    <w:rsid w:val="0C2089AF"/>
    <w:rsid w:val="0C20B4C7"/>
    <w:rsid w:val="0C2139FA"/>
    <w:rsid w:val="0C21BBD4"/>
    <w:rsid w:val="0C2291C7"/>
    <w:rsid w:val="0C242C8F"/>
    <w:rsid w:val="0C25231D"/>
    <w:rsid w:val="0C2563CF"/>
    <w:rsid w:val="0C26C359"/>
    <w:rsid w:val="0C2C1853"/>
    <w:rsid w:val="0C2D168D"/>
    <w:rsid w:val="0C2D673A"/>
    <w:rsid w:val="0C2EAC35"/>
    <w:rsid w:val="0C331AFA"/>
    <w:rsid w:val="0C35BB1A"/>
    <w:rsid w:val="0C3963F6"/>
    <w:rsid w:val="0C3C9B1C"/>
    <w:rsid w:val="0C3F509A"/>
    <w:rsid w:val="0C3F657F"/>
    <w:rsid w:val="0C417BBC"/>
    <w:rsid w:val="0C41886C"/>
    <w:rsid w:val="0C42E8D2"/>
    <w:rsid w:val="0C4502EE"/>
    <w:rsid w:val="0C4590CA"/>
    <w:rsid w:val="0C45C944"/>
    <w:rsid w:val="0C4C0A84"/>
    <w:rsid w:val="0C4D54E5"/>
    <w:rsid w:val="0C4DA167"/>
    <w:rsid w:val="0C523F21"/>
    <w:rsid w:val="0C525120"/>
    <w:rsid w:val="0C547B22"/>
    <w:rsid w:val="0C5637FB"/>
    <w:rsid w:val="0C59B207"/>
    <w:rsid w:val="0C5BD426"/>
    <w:rsid w:val="0C5C6C2F"/>
    <w:rsid w:val="0C5CA442"/>
    <w:rsid w:val="0C5D79CE"/>
    <w:rsid w:val="0C5DD08B"/>
    <w:rsid w:val="0C5EBC78"/>
    <w:rsid w:val="0C5F7032"/>
    <w:rsid w:val="0C631F2C"/>
    <w:rsid w:val="0C632D46"/>
    <w:rsid w:val="0C656B8C"/>
    <w:rsid w:val="0C65F4D8"/>
    <w:rsid w:val="0C661F30"/>
    <w:rsid w:val="0C6C2E76"/>
    <w:rsid w:val="0C72EB60"/>
    <w:rsid w:val="0C741185"/>
    <w:rsid w:val="0C74E222"/>
    <w:rsid w:val="0C76CE35"/>
    <w:rsid w:val="0C778DFB"/>
    <w:rsid w:val="0C781B9D"/>
    <w:rsid w:val="0C783298"/>
    <w:rsid w:val="0C79B8D0"/>
    <w:rsid w:val="0C7ACF78"/>
    <w:rsid w:val="0C7B0CDA"/>
    <w:rsid w:val="0C7CAF19"/>
    <w:rsid w:val="0C7CCB9D"/>
    <w:rsid w:val="0C7F3DAA"/>
    <w:rsid w:val="0C821C91"/>
    <w:rsid w:val="0C845342"/>
    <w:rsid w:val="0C860271"/>
    <w:rsid w:val="0C88B434"/>
    <w:rsid w:val="0C891689"/>
    <w:rsid w:val="0C89AF22"/>
    <w:rsid w:val="0C8A5796"/>
    <w:rsid w:val="0C8A8E70"/>
    <w:rsid w:val="0C8D9BF7"/>
    <w:rsid w:val="0C8E21CD"/>
    <w:rsid w:val="0C8E437C"/>
    <w:rsid w:val="0C8F1E72"/>
    <w:rsid w:val="0C91E0ED"/>
    <w:rsid w:val="0C927B0F"/>
    <w:rsid w:val="0C952245"/>
    <w:rsid w:val="0C965265"/>
    <w:rsid w:val="0C98F1A2"/>
    <w:rsid w:val="0C9B673F"/>
    <w:rsid w:val="0C9C153D"/>
    <w:rsid w:val="0C9C2D91"/>
    <w:rsid w:val="0C9CBB0F"/>
    <w:rsid w:val="0C9D11F4"/>
    <w:rsid w:val="0C9DD8A1"/>
    <w:rsid w:val="0C9F50E0"/>
    <w:rsid w:val="0CA22B9C"/>
    <w:rsid w:val="0CA25E97"/>
    <w:rsid w:val="0CA2D158"/>
    <w:rsid w:val="0CA50A98"/>
    <w:rsid w:val="0CA79C71"/>
    <w:rsid w:val="0CA7C8EE"/>
    <w:rsid w:val="0CAB1882"/>
    <w:rsid w:val="0CAC2A99"/>
    <w:rsid w:val="0CAC945A"/>
    <w:rsid w:val="0CAD21EF"/>
    <w:rsid w:val="0CB23836"/>
    <w:rsid w:val="0CB2ACCC"/>
    <w:rsid w:val="0CB3F7C1"/>
    <w:rsid w:val="0CB4BE5B"/>
    <w:rsid w:val="0CB4FFC7"/>
    <w:rsid w:val="0CB73BED"/>
    <w:rsid w:val="0CBA1CEC"/>
    <w:rsid w:val="0CBB0C2E"/>
    <w:rsid w:val="0CBB567D"/>
    <w:rsid w:val="0CC2800E"/>
    <w:rsid w:val="0CC2AF9C"/>
    <w:rsid w:val="0CC4ECA0"/>
    <w:rsid w:val="0CC5459B"/>
    <w:rsid w:val="0CC5EAC4"/>
    <w:rsid w:val="0CC7FBE7"/>
    <w:rsid w:val="0CCAD59B"/>
    <w:rsid w:val="0CD1822F"/>
    <w:rsid w:val="0CD1B9D4"/>
    <w:rsid w:val="0CD3F3D5"/>
    <w:rsid w:val="0CD432BA"/>
    <w:rsid w:val="0CD53D76"/>
    <w:rsid w:val="0CD541AE"/>
    <w:rsid w:val="0CD8FB11"/>
    <w:rsid w:val="0CDBC9E6"/>
    <w:rsid w:val="0CDCD797"/>
    <w:rsid w:val="0CDE6CFA"/>
    <w:rsid w:val="0CDE8A89"/>
    <w:rsid w:val="0CDF9DB4"/>
    <w:rsid w:val="0CDFBBD1"/>
    <w:rsid w:val="0CE0B150"/>
    <w:rsid w:val="0CE60332"/>
    <w:rsid w:val="0CE64297"/>
    <w:rsid w:val="0CE732E7"/>
    <w:rsid w:val="0CE8B629"/>
    <w:rsid w:val="0CEB7AD6"/>
    <w:rsid w:val="0CED105C"/>
    <w:rsid w:val="0CF0ABD3"/>
    <w:rsid w:val="0CF1976B"/>
    <w:rsid w:val="0CF3E439"/>
    <w:rsid w:val="0CF4057B"/>
    <w:rsid w:val="0CF4FDE2"/>
    <w:rsid w:val="0CF6E95E"/>
    <w:rsid w:val="0CF983FE"/>
    <w:rsid w:val="0CFA138D"/>
    <w:rsid w:val="0CFA7647"/>
    <w:rsid w:val="0CFABD96"/>
    <w:rsid w:val="0CFE52E1"/>
    <w:rsid w:val="0CFFFF88"/>
    <w:rsid w:val="0D006147"/>
    <w:rsid w:val="0D00A4EC"/>
    <w:rsid w:val="0D029546"/>
    <w:rsid w:val="0D040C00"/>
    <w:rsid w:val="0D04ECF9"/>
    <w:rsid w:val="0D05CDC6"/>
    <w:rsid w:val="0D077C4F"/>
    <w:rsid w:val="0D07C340"/>
    <w:rsid w:val="0D091AC0"/>
    <w:rsid w:val="0D0ADC44"/>
    <w:rsid w:val="0D0C6D93"/>
    <w:rsid w:val="0D0CCB1E"/>
    <w:rsid w:val="0D0D20B3"/>
    <w:rsid w:val="0D0E28C4"/>
    <w:rsid w:val="0D0EA48E"/>
    <w:rsid w:val="0D116C30"/>
    <w:rsid w:val="0D11C935"/>
    <w:rsid w:val="0D12A77A"/>
    <w:rsid w:val="0D134D7E"/>
    <w:rsid w:val="0D13D767"/>
    <w:rsid w:val="0D1477CE"/>
    <w:rsid w:val="0D15C284"/>
    <w:rsid w:val="0D169BB0"/>
    <w:rsid w:val="0D176393"/>
    <w:rsid w:val="0D193B7C"/>
    <w:rsid w:val="0D196C43"/>
    <w:rsid w:val="0D19A9D6"/>
    <w:rsid w:val="0D1C0C83"/>
    <w:rsid w:val="0D1D3AA9"/>
    <w:rsid w:val="0D1EBCFC"/>
    <w:rsid w:val="0D21CF6F"/>
    <w:rsid w:val="0D225499"/>
    <w:rsid w:val="0D227BCC"/>
    <w:rsid w:val="0D23A74F"/>
    <w:rsid w:val="0D2512B5"/>
    <w:rsid w:val="0D258303"/>
    <w:rsid w:val="0D290BA1"/>
    <w:rsid w:val="0D297609"/>
    <w:rsid w:val="0D2ACA7C"/>
    <w:rsid w:val="0D2B678C"/>
    <w:rsid w:val="0D2CAAAA"/>
    <w:rsid w:val="0D2D0B23"/>
    <w:rsid w:val="0D2E3EE8"/>
    <w:rsid w:val="0D2F03DD"/>
    <w:rsid w:val="0D302607"/>
    <w:rsid w:val="0D34A26F"/>
    <w:rsid w:val="0D37FC5D"/>
    <w:rsid w:val="0D37FD45"/>
    <w:rsid w:val="0D384A42"/>
    <w:rsid w:val="0D38CC40"/>
    <w:rsid w:val="0D396EE2"/>
    <w:rsid w:val="0D39DBD2"/>
    <w:rsid w:val="0D3A49EC"/>
    <w:rsid w:val="0D3A6E4C"/>
    <w:rsid w:val="0D3A7A91"/>
    <w:rsid w:val="0D3AC3A5"/>
    <w:rsid w:val="0D3B730A"/>
    <w:rsid w:val="0D3BE53F"/>
    <w:rsid w:val="0D3DF8DB"/>
    <w:rsid w:val="0D3E4638"/>
    <w:rsid w:val="0D42139C"/>
    <w:rsid w:val="0D428358"/>
    <w:rsid w:val="0D435146"/>
    <w:rsid w:val="0D44826E"/>
    <w:rsid w:val="0D449CB0"/>
    <w:rsid w:val="0D45B010"/>
    <w:rsid w:val="0D47AFF2"/>
    <w:rsid w:val="0D48B2CA"/>
    <w:rsid w:val="0D48D1ED"/>
    <w:rsid w:val="0D4AE5B0"/>
    <w:rsid w:val="0D4C5146"/>
    <w:rsid w:val="0D4C6B48"/>
    <w:rsid w:val="0D4D1398"/>
    <w:rsid w:val="0D4D37EA"/>
    <w:rsid w:val="0D4F0C5A"/>
    <w:rsid w:val="0D507367"/>
    <w:rsid w:val="0D513888"/>
    <w:rsid w:val="0D53BE35"/>
    <w:rsid w:val="0D577387"/>
    <w:rsid w:val="0D57B004"/>
    <w:rsid w:val="0D5A94C0"/>
    <w:rsid w:val="0D5C736C"/>
    <w:rsid w:val="0D5DC50D"/>
    <w:rsid w:val="0D5E47DF"/>
    <w:rsid w:val="0D5F3E15"/>
    <w:rsid w:val="0D5FCE98"/>
    <w:rsid w:val="0D5FD0BD"/>
    <w:rsid w:val="0D6095FE"/>
    <w:rsid w:val="0D61A6A6"/>
    <w:rsid w:val="0D620303"/>
    <w:rsid w:val="0D64C2B0"/>
    <w:rsid w:val="0D650B5C"/>
    <w:rsid w:val="0D659B9D"/>
    <w:rsid w:val="0D67F628"/>
    <w:rsid w:val="0D6BF8DE"/>
    <w:rsid w:val="0D6CA5C8"/>
    <w:rsid w:val="0D6D528B"/>
    <w:rsid w:val="0D6DBA48"/>
    <w:rsid w:val="0D6E250D"/>
    <w:rsid w:val="0D6E7ED4"/>
    <w:rsid w:val="0D707867"/>
    <w:rsid w:val="0D74E116"/>
    <w:rsid w:val="0D74F49C"/>
    <w:rsid w:val="0D756A9F"/>
    <w:rsid w:val="0D79929A"/>
    <w:rsid w:val="0D7A0984"/>
    <w:rsid w:val="0D7C787E"/>
    <w:rsid w:val="0D7D170C"/>
    <w:rsid w:val="0D7DFBC2"/>
    <w:rsid w:val="0D7E6BF1"/>
    <w:rsid w:val="0D7EAFE9"/>
    <w:rsid w:val="0D807C6D"/>
    <w:rsid w:val="0D82D28F"/>
    <w:rsid w:val="0D834212"/>
    <w:rsid w:val="0D84FE92"/>
    <w:rsid w:val="0D8F1600"/>
    <w:rsid w:val="0D90946B"/>
    <w:rsid w:val="0D920178"/>
    <w:rsid w:val="0D931EAE"/>
    <w:rsid w:val="0D9394B7"/>
    <w:rsid w:val="0D93CF68"/>
    <w:rsid w:val="0D960109"/>
    <w:rsid w:val="0D968FCB"/>
    <w:rsid w:val="0D96A597"/>
    <w:rsid w:val="0D9A06BA"/>
    <w:rsid w:val="0D9B678C"/>
    <w:rsid w:val="0D9B85B6"/>
    <w:rsid w:val="0D9B90D7"/>
    <w:rsid w:val="0D9D1D88"/>
    <w:rsid w:val="0D9E42F9"/>
    <w:rsid w:val="0D9FCF98"/>
    <w:rsid w:val="0DA1980F"/>
    <w:rsid w:val="0DA65834"/>
    <w:rsid w:val="0DA6708F"/>
    <w:rsid w:val="0DA796A0"/>
    <w:rsid w:val="0DAC45BD"/>
    <w:rsid w:val="0DACFF02"/>
    <w:rsid w:val="0DAD044C"/>
    <w:rsid w:val="0DADA495"/>
    <w:rsid w:val="0DB2DC53"/>
    <w:rsid w:val="0DB517AF"/>
    <w:rsid w:val="0DB6869C"/>
    <w:rsid w:val="0DB68EAF"/>
    <w:rsid w:val="0DB6F1D3"/>
    <w:rsid w:val="0DB70D52"/>
    <w:rsid w:val="0DB78311"/>
    <w:rsid w:val="0DBB49AA"/>
    <w:rsid w:val="0DBD7D5C"/>
    <w:rsid w:val="0DBE4BE1"/>
    <w:rsid w:val="0DBF87E1"/>
    <w:rsid w:val="0DC1E09A"/>
    <w:rsid w:val="0DC39613"/>
    <w:rsid w:val="0DC3CFC7"/>
    <w:rsid w:val="0DC772BD"/>
    <w:rsid w:val="0DC7C0FA"/>
    <w:rsid w:val="0DC83203"/>
    <w:rsid w:val="0DCAC9E2"/>
    <w:rsid w:val="0DCB8437"/>
    <w:rsid w:val="0DCC0692"/>
    <w:rsid w:val="0DCCB5FE"/>
    <w:rsid w:val="0DCD8CB0"/>
    <w:rsid w:val="0DD4099B"/>
    <w:rsid w:val="0DD4C28A"/>
    <w:rsid w:val="0DD6337C"/>
    <w:rsid w:val="0DDBFDA3"/>
    <w:rsid w:val="0DDE410C"/>
    <w:rsid w:val="0DDFEBC1"/>
    <w:rsid w:val="0DE3A22D"/>
    <w:rsid w:val="0DE96654"/>
    <w:rsid w:val="0DE9BDCA"/>
    <w:rsid w:val="0DEB7A73"/>
    <w:rsid w:val="0DED20C9"/>
    <w:rsid w:val="0DEFCB5E"/>
    <w:rsid w:val="0DEFE7A3"/>
    <w:rsid w:val="0DF0CC4B"/>
    <w:rsid w:val="0DF0F346"/>
    <w:rsid w:val="0DF10EB9"/>
    <w:rsid w:val="0DF1BDBB"/>
    <w:rsid w:val="0DF8C006"/>
    <w:rsid w:val="0DFA64B3"/>
    <w:rsid w:val="0DFA7F93"/>
    <w:rsid w:val="0DFB31D2"/>
    <w:rsid w:val="0DFBE309"/>
    <w:rsid w:val="0DFC188D"/>
    <w:rsid w:val="0DFDE1CC"/>
    <w:rsid w:val="0DFE656B"/>
    <w:rsid w:val="0E01E131"/>
    <w:rsid w:val="0E020481"/>
    <w:rsid w:val="0E04E40E"/>
    <w:rsid w:val="0E054E33"/>
    <w:rsid w:val="0E0641C5"/>
    <w:rsid w:val="0E0AAC18"/>
    <w:rsid w:val="0E0B98FF"/>
    <w:rsid w:val="0E0BD9A2"/>
    <w:rsid w:val="0E0E16E3"/>
    <w:rsid w:val="0E0E8049"/>
    <w:rsid w:val="0E0FA8C1"/>
    <w:rsid w:val="0E11C4E5"/>
    <w:rsid w:val="0E13A13F"/>
    <w:rsid w:val="0E180EB8"/>
    <w:rsid w:val="0E1BFAAF"/>
    <w:rsid w:val="0E1F8BAD"/>
    <w:rsid w:val="0E1FE1AD"/>
    <w:rsid w:val="0E20C6F9"/>
    <w:rsid w:val="0E212E64"/>
    <w:rsid w:val="0E24DF7A"/>
    <w:rsid w:val="0E25D1D7"/>
    <w:rsid w:val="0E266A62"/>
    <w:rsid w:val="0E27A4C7"/>
    <w:rsid w:val="0E27DA49"/>
    <w:rsid w:val="0E2892D1"/>
    <w:rsid w:val="0E2B42C5"/>
    <w:rsid w:val="0E2CF4B1"/>
    <w:rsid w:val="0E2F8EA1"/>
    <w:rsid w:val="0E31B27B"/>
    <w:rsid w:val="0E33AA5D"/>
    <w:rsid w:val="0E33BADD"/>
    <w:rsid w:val="0E347CCC"/>
    <w:rsid w:val="0E348466"/>
    <w:rsid w:val="0E349502"/>
    <w:rsid w:val="0E370DC0"/>
    <w:rsid w:val="0E3AFD22"/>
    <w:rsid w:val="0E3BBD36"/>
    <w:rsid w:val="0E3C622C"/>
    <w:rsid w:val="0E3E87EB"/>
    <w:rsid w:val="0E3EA7C7"/>
    <w:rsid w:val="0E3F0983"/>
    <w:rsid w:val="0E3FFD44"/>
    <w:rsid w:val="0E43DD85"/>
    <w:rsid w:val="0E44A871"/>
    <w:rsid w:val="0E44B768"/>
    <w:rsid w:val="0E4B9906"/>
    <w:rsid w:val="0E50A411"/>
    <w:rsid w:val="0E544C4B"/>
    <w:rsid w:val="0E55EE52"/>
    <w:rsid w:val="0E56A521"/>
    <w:rsid w:val="0E578351"/>
    <w:rsid w:val="0E5AFA5A"/>
    <w:rsid w:val="0E5B0DDD"/>
    <w:rsid w:val="0E5D3D78"/>
    <w:rsid w:val="0E5D7D50"/>
    <w:rsid w:val="0E5DDEFD"/>
    <w:rsid w:val="0E62B48B"/>
    <w:rsid w:val="0E64BC91"/>
    <w:rsid w:val="0E676C3B"/>
    <w:rsid w:val="0E6823C9"/>
    <w:rsid w:val="0E69B9D0"/>
    <w:rsid w:val="0E6A8D6D"/>
    <w:rsid w:val="0E6C2FF8"/>
    <w:rsid w:val="0E6E1F49"/>
    <w:rsid w:val="0E6EAE2D"/>
    <w:rsid w:val="0E705CFF"/>
    <w:rsid w:val="0E7265DE"/>
    <w:rsid w:val="0E7317A9"/>
    <w:rsid w:val="0E7355E2"/>
    <w:rsid w:val="0E753B93"/>
    <w:rsid w:val="0E76AF6B"/>
    <w:rsid w:val="0E76F618"/>
    <w:rsid w:val="0E7710E2"/>
    <w:rsid w:val="0E7A267C"/>
    <w:rsid w:val="0E7C519F"/>
    <w:rsid w:val="0E7CD8A2"/>
    <w:rsid w:val="0E7D8079"/>
    <w:rsid w:val="0E7DC346"/>
    <w:rsid w:val="0E7EACAE"/>
    <w:rsid w:val="0E7ED6F8"/>
    <w:rsid w:val="0E7F64EA"/>
    <w:rsid w:val="0E810711"/>
    <w:rsid w:val="0E823743"/>
    <w:rsid w:val="0E828F0A"/>
    <w:rsid w:val="0E841CC5"/>
    <w:rsid w:val="0E862364"/>
    <w:rsid w:val="0E87E247"/>
    <w:rsid w:val="0E8B055A"/>
    <w:rsid w:val="0E8BF478"/>
    <w:rsid w:val="0E8C3924"/>
    <w:rsid w:val="0E8C900F"/>
    <w:rsid w:val="0E8ED520"/>
    <w:rsid w:val="0E8F1C7D"/>
    <w:rsid w:val="0E8F2E0A"/>
    <w:rsid w:val="0E8FC711"/>
    <w:rsid w:val="0E956112"/>
    <w:rsid w:val="0E9586C3"/>
    <w:rsid w:val="0E9626D2"/>
    <w:rsid w:val="0E9CAB72"/>
    <w:rsid w:val="0E9F29BB"/>
    <w:rsid w:val="0EA13BE3"/>
    <w:rsid w:val="0EA339B0"/>
    <w:rsid w:val="0EA598A5"/>
    <w:rsid w:val="0EAA8749"/>
    <w:rsid w:val="0EAA8D51"/>
    <w:rsid w:val="0EAB04B9"/>
    <w:rsid w:val="0EAB78A6"/>
    <w:rsid w:val="0EAB9972"/>
    <w:rsid w:val="0EABDEAE"/>
    <w:rsid w:val="0EAD64D4"/>
    <w:rsid w:val="0EADED3B"/>
    <w:rsid w:val="0EAF0FB8"/>
    <w:rsid w:val="0EB187A2"/>
    <w:rsid w:val="0EB2D803"/>
    <w:rsid w:val="0EB317BF"/>
    <w:rsid w:val="0EB47B0D"/>
    <w:rsid w:val="0EB68C30"/>
    <w:rsid w:val="0EB99C94"/>
    <w:rsid w:val="0EBC2B03"/>
    <w:rsid w:val="0EBDFF1F"/>
    <w:rsid w:val="0EBE164E"/>
    <w:rsid w:val="0EBE3902"/>
    <w:rsid w:val="0EC01364"/>
    <w:rsid w:val="0EC3EA53"/>
    <w:rsid w:val="0EC42E76"/>
    <w:rsid w:val="0EC524AD"/>
    <w:rsid w:val="0EC92D1A"/>
    <w:rsid w:val="0EC992F6"/>
    <w:rsid w:val="0ECF3BDB"/>
    <w:rsid w:val="0ED09F5A"/>
    <w:rsid w:val="0ED1DAFF"/>
    <w:rsid w:val="0ED2E71E"/>
    <w:rsid w:val="0ED4B755"/>
    <w:rsid w:val="0ED512A0"/>
    <w:rsid w:val="0ED6D551"/>
    <w:rsid w:val="0ED73662"/>
    <w:rsid w:val="0ED83A5D"/>
    <w:rsid w:val="0ED8487A"/>
    <w:rsid w:val="0EDB7122"/>
    <w:rsid w:val="0EDBC86C"/>
    <w:rsid w:val="0EDBD006"/>
    <w:rsid w:val="0EDE8EA4"/>
    <w:rsid w:val="0EDEC6D2"/>
    <w:rsid w:val="0EDF4B30"/>
    <w:rsid w:val="0EE03126"/>
    <w:rsid w:val="0EE2157B"/>
    <w:rsid w:val="0EE2E9FF"/>
    <w:rsid w:val="0EE4121B"/>
    <w:rsid w:val="0EE47D64"/>
    <w:rsid w:val="0EE4F055"/>
    <w:rsid w:val="0EE5F007"/>
    <w:rsid w:val="0EE700C4"/>
    <w:rsid w:val="0EE74BA5"/>
    <w:rsid w:val="0EE8620D"/>
    <w:rsid w:val="0EE9D444"/>
    <w:rsid w:val="0EEAA23E"/>
    <w:rsid w:val="0EEB380F"/>
    <w:rsid w:val="0EEB6F6A"/>
    <w:rsid w:val="0EEBEA0E"/>
    <w:rsid w:val="0EF2CC40"/>
    <w:rsid w:val="0EF5C7D1"/>
    <w:rsid w:val="0EF66EC6"/>
    <w:rsid w:val="0EF7AB69"/>
    <w:rsid w:val="0EF9454A"/>
    <w:rsid w:val="0EFB32EB"/>
    <w:rsid w:val="0EFC377F"/>
    <w:rsid w:val="0EFC6EB4"/>
    <w:rsid w:val="0EFEAAC8"/>
    <w:rsid w:val="0F033D3D"/>
    <w:rsid w:val="0F03CE0B"/>
    <w:rsid w:val="0F09B7BF"/>
    <w:rsid w:val="0F0A2C82"/>
    <w:rsid w:val="0F0A7BA6"/>
    <w:rsid w:val="0F0AFDD1"/>
    <w:rsid w:val="0F0DD4BD"/>
    <w:rsid w:val="0F0E68A2"/>
    <w:rsid w:val="0F1445E8"/>
    <w:rsid w:val="0F14B3F2"/>
    <w:rsid w:val="0F14C11C"/>
    <w:rsid w:val="0F14DF7C"/>
    <w:rsid w:val="0F1583CC"/>
    <w:rsid w:val="0F173C8A"/>
    <w:rsid w:val="0F187E3D"/>
    <w:rsid w:val="0F1A1F6E"/>
    <w:rsid w:val="0F1A5789"/>
    <w:rsid w:val="0F1D42E5"/>
    <w:rsid w:val="0F2DD63D"/>
    <w:rsid w:val="0F2E6BA0"/>
    <w:rsid w:val="0F2E6E68"/>
    <w:rsid w:val="0F2E9092"/>
    <w:rsid w:val="0F32DA69"/>
    <w:rsid w:val="0F34E89C"/>
    <w:rsid w:val="0F3514C0"/>
    <w:rsid w:val="0F364B5C"/>
    <w:rsid w:val="0F377DBB"/>
    <w:rsid w:val="0F384F61"/>
    <w:rsid w:val="0F3A91C7"/>
    <w:rsid w:val="0F3F3D9F"/>
    <w:rsid w:val="0F4021A6"/>
    <w:rsid w:val="0F409BF0"/>
    <w:rsid w:val="0F42AEC7"/>
    <w:rsid w:val="0F450D15"/>
    <w:rsid w:val="0F4904EA"/>
    <w:rsid w:val="0F493B5D"/>
    <w:rsid w:val="0F4B3D25"/>
    <w:rsid w:val="0F4BF755"/>
    <w:rsid w:val="0F4FEBCC"/>
    <w:rsid w:val="0F506FAB"/>
    <w:rsid w:val="0F50817D"/>
    <w:rsid w:val="0F51C886"/>
    <w:rsid w:val="0F51ECDE"/>
    <w:rsid w:val="0F53FFD4"/>
    <w:rsid w:val="0F54C7F1"/>
    <w:rsid w:val="0F57ADA1"/>
    <w:rsid w:val="0F588F33"/>
    <w:rsid w:val="0F5B3752"/>
    <w:rsid w:val="0F5B589F"/>
    <w:rsid w:val="0F5BDF7E"/>
    <w:rsid w:val="0F5BFAB3"/>
    <w:rsid w:val="0F5BFF17"/>
    <w:rsid w:val="0F5DBB39"/>
    <w:rsid w:val="0F5E6D10"/>
    <w:rsid w:val="0F60215C"/>
    <w:rsid w:val="0F62B7A5"/>
    <w:rsid w:val="0F62FEE4"/>
    <w:rsid w:val="0F64D561"/>
    <w:rsid w:val="0F66D3DC"/>
    <w:rsid w:val="0F676B4B"/>
    <w:rsid w:val="0F68E85B"/>
    <w:rsid w:val="0F69D09C"/>
    <w:rsid w:val="0F6DB96E"/>
    <w:rsid w:val="0F6E0104"/>
    <w:rsid w:val="0F6E9D83"/>
    <w:rsid w:val="0F6EBBA8"/>
    <w:rsid w:val="0F6EBE19"/>
    <w:rsid w:val="0F714A3B"/>
    <w:rsid w:val="0F725A47"/>
    <w:rsid w:val="0F726081"/>
    <w:rsid w:val="0F73661A"/>
    <w:rsid w:val="0F77676A"/>
    <w:rsid w:val="0F7A55FA"/>
    <w:rsid w:val="0F7ADBCB"/>
    <w:rsid w:val="0F7C8885"/>
    <w:rsid w:val="0F7E5866"/>
    <w:rsid w:val="0F80B876"/>
    <w:rsid w:val="0F81BE10"/>
    <w:rsid w:val="0F81BFAF"/>
    <w:rsid w:val="0F8360E4"/>
    <w:rsid w:val="0F83D076"/>
    <w:rsid w:val="0F847BD4"/>
    <w:rsid w:val="0F863465"/>
    <w:rsid w:val="0F86F920"/>
    <w:rsid w:val="0F894858"/>
    <w:rsid w:val="0F8AD19E"/>
    <w:rsid w:val="0F8B198E"/>
    <w:rsid w:val="0F8BC150"/>
    <w:rsid w:val="0F908D14"/>
    <w:rsid w:val="0F92DB0D"/>
    <w:rsid w:val="0F932D17"/>
    <w:rsid w:val="0F937703"/>
    <w:rsid w:val="0F980A4B"/>
    <w:rsid w:val="0FA24221"/>
    <w:rsid w:val="0FA2A2BB"/>
    <w:rsid w:val="0FA33C77"/>
    <w:rsid w:val="0FA3A572"/>
    <w:rsid w:val="0FA3ABD2"/>
    <w:rsid w:val="0FA3C723"/>
    <w:rsid w:val="0FA53611"/>
    <w:rsid w:val="0FA55381"/>
    <w:rsid w:val="0FA7AD4E"/>
    <w:rsid w:val="0FA910FE"/>
    <w:rsid w:val="0FAC82E4"/>
    <w:rsid w:val="0FB0605A"/>
    <w:rsid w:val="0FB74298"/>
    <w:rsid w:val="0FBD2067"/>
    <w:rsid w:val="0FBE478C"/>
    <w:rsid w:val="0FC01314"/>
    <w:rsid w:val="0FC067DA"/>
    <w:rsid w:val="0FC0B39C"/>
    <w:rsid w:val="0FC0F230"/>
    <w:rsid w:val="0FC12717"/>
    <w:rsid w:val="0FC32F0E"/>
    <w:rsid w:val="0FC37395"/>
    <w:rsid w:val="0FC46DE4"/>
    <w:rsid w:val="0FC52980"/>
    <w:rsid w:val="0FC53274"/>
    <w:rsid w:val="0FC6FEF8"/>
    <w:rsid w:val="0FC844CA"/>
    <w:rsid w:val="0FC8E8CE"/>
    <w:rsid w:val="0FCC3AC8"/>
    <w:rsid w:val="0FCDB756"/>
    <w:rsid w:val="0FCFAA83"/>
    <w:rsid w:val="0FD07A5B"/>
    <w:rsid w:val="0FD11AA1"/>
    <w:rsid w:val="0FD13C04"/>
    <w:rsid w:val="0FD48385"/>
    <w:rsid w:val="0FD71F25"/>
    <w:rsid w:val="0FD87CBD"/>
    <w:rsid w:val="0FD8DD48"/>
    <w:rsid w:val="0FD9297E"/>
    <w:rsid w:val="0FD9C804"/>
    <w:rsid w:val="0FDA10BD"/>
    <w:rsid w:val="0FDB79B2"/>
    <w:rsid w:val="0FDC8D0C"/>
    <w:rsid w:val="0FE08EA7"/>
    <w:rsid w:val="0FE22D03"/>
    <w:rsid w:val="0FE2747C"/>
    <w:rsid w:val="0FE31F6C"/>
    <w:rsid w:val="0FE4ABEE"/>
    <w:rsid w:val="0FE5C162"/>
    <w:rsid w:val="0FE6A2EC"/>
    <w:rsid w:val="0FE77286"/>
    <w:rsid w:val="0FE80905"/>
    <w:rsid w:val="0FE9930F"/>
    <w:rsid w:val="0FE998E1"/>
    <w:rsid w:val="0FEA3DF4"/>
    <w:rsid w:val="0FEDC361"/>
    <w:rsid w:val="0FEEAA49"/>
    <w:rsid w:val="0FEF36D2"/>
    <w:rsid w:val="0FF03246"/>
    <w:rsid w:val="0FF04AFB"/>
    <w:rsid w:val="0FF28D4E"/>
    <w:rsid w:val="0FF2F6BC"/>
    <w:rsid w:val="0FF3B565"/>
    <w:rsid w:val="0FF7FED3"/>
    <w:rsid w:val="0FF8ED24"/>
    <w:rsid w:val="0FF9484A"/>
    <w:rsid w:val="0FFC7DE6"/>
    <w:rsid w:val="0FFD1A6D"/>
    <w:rsid w:val="0FFE35B2"/>
    <w:rsid w:val="0FFF6271"/>
    <w:rsid w:val="0FFFB144"/>
    <w:rsid w:val="100324DF"/>
    <w:rsid w:val="100400F3"/>
    <w:rsid w:val="1006FACB"/>
    <w:rsid w:val="1007A88A"/>
    <w:rsid w:val="1008E7B2"/>
    <w:rsid w:val="100A01C9"/>
    <w:rsid w:val="100A969D"/>
    <w:rsid w:val="100ACD57"/>
    <w:rsid w:val="100D3DBC"/>
    <w:rsid w:val="100DB2E6"/>
    <w:rsid w:val="100E3405"/>
    <w:rsid w:val="100F0F79"/>
    <w:rsid w:val="10109BD5"/>
    <w:rsid w:val="1012DB50"/>
    <w:rsid w:val="10152F01"/>
    <w:rsid w:val="1015B2AB"/>
    <w:rsid w:val="1015CD89"/>
    <w:rsid w:val="101A6912"/>
    <w:rsid w:val="101BD493"/>
    <w:rsid w:val="101CA5F9"/>
    <w:rsid w:val="102201A8"/>
    <w:rsid w:val="1022C6B5"/>
    <w:rsid w:val="102334A4"/>
    <w:rsid w:val="1024DCA3"/>
    <w:rsid w:val="10256770"/>
    <w:rsid w:val="102648F4"/>
    <w:rsid w:val="102874AE"/>
    <w:rsid w:val="102881FA"/>
    <w:rsid w:val="102D185E"/>
    <w:rsid w:val="102E426C"/>
    <w:rsid w:val="102EAA14"/>
    <w:rsid w:val="102EF06A"/>
    <w:rsid w:val="102F19D8"/>
    <w:rsid w:val="1030F067"/>
    <w:rsid w:val="10336197"/>
    <w:rsid w:val="10365435"/>
    <w:rsid w:val="10374142"/>
    <w:rsid w:val="10395CBB"/>
    <w:rsid w:val="103A007C"/>
    <w:rsid w:val="103B2BD0"/>
    <w:rsid w:val="103B755B"/>
    <w:rsid w:val="10444E1C"/>
    <w:rsid w:val="10449B55"/>
    <w:rsid w:val="10490419"/>
    <w:rsid w:val="104907DC"/>
    <w:rsid w:val="104A263C"/>
    <w:rsid w:val="104A9690"/>
    <w:rsid w:val="104BBABF"/>
    <w:rsid w:val="104C719A"/>
    <w:rsid w:val="104CE79E"/>
    <w:rsid w:val="104E0AFF"/>
    <w:rsid w:val="10521E51"/>
    <w:rsid w:val="1052A968"/>
    <w:rsid w:val="105319EA"/>
    <w:rsid w:val="1056C44F"/>
    <w:rsid w:val="105750E1"/>
    <w:rsid w:val="1058FFF2"/>
    <w:rsid w:val="105B860A"/>
    <w:rsid w:val="105BBE20"/>
    <w:rsid w:val="105CC1C9"/>
    <w:rsid w:val="105E4146"/>
    <w:rsid w:val="105F602D"/>
    <w:rsid w:val="10604186"/>
    <w:rsid w:val="10618DDB"/>
    <w:rsid w:val="1062510C"/>
    <w:rsid w:val="1062D210"/>
    <w:rsid w:val="10639863"/>
    <w:rsid w:val="10646865"/>
    <w:rsid w:val="10648E2B"/>
    <w:rsid w:val="1065DF84"/>
    <w:rsid w:val="1066387F"/>
    <w:rsid w:val="10666586"/>
    <w:rsid w:val="10670242"/>
    <w:rsid w:val="10677032"/>
    <w:rsid w:val="106974E5"/>
    <w:rsid w:val="1069C9A2"/>
    <w:rsid w:val="106A4226"/>
    <w:rsid w:val="106B50E9"/>
    <w:rsid w:val="106D9F22"/>
    <w:rsid w:val="106E2877"/>
    <w:rsid w:val="106E572F"/>
    <w:rsid w:val="106F861B"/>
    <w:rsid w:val="10705251"/>
    <w:rsid w:val="10749119"/>
    <w:rsid w:val="1075ED1C"/>
    <w:rsid w:val="1077B184"/>
    <w:rsid w:val="10781D09"/>
    <w:rsid w:val="107826C4"/>
    <w:rsid w:val="10795E71"/>
    <w:rsid w:val="1079C764"/>
    <w:rsid w:val="107C4C34"/>
    <w:rsid w:val="107D0803"/>
    <w:rsid w:val="107DDFC3"/>
    <w:rsid w:val="1080F088"/>
    <w:rsid w:val="10818A9C"/>
    <w:rsid w:val="1087AC9D"/>
    <w:rsid w:val="1088A772"/>
    <w:rsid w:val="108ABDE6"/>
    <w:rsid w:val="108C3DAD"/>
    <w:rsid w:val="108C534B"/>
    <w:rsid w:val="108C83EF"/>
    <w:rsid w:val="108CA08E"/>
    <w:rsid w:val="108D30A8"/>
    <w:rsid w:val="108F1DB7"/>
    <w:rsid w:val="108F7BFF"/>
    <w:rsid w:val="108FC145"/>
    <w:rsid w:val="10900A8A"/>
    <w:rsid w:val="1094DD72"/>
    <w:rsid w:val="10959DC2"/>
    <w:rsid w:val="1096926C"/>
    <w:rsid w:val="10978C54"/>
    <w:rsid w:val="1098D5E1"/>
    <w:rsid w:val="109C6B7C"/>
    <w:rsid w:val="109EDCD2"/>
    <w:rsid w:val="109F0D9E"/>
    <w:rsid w:val="10A01E80"/>
    <w:rsid w:val="10A1FC19"/>
    <w:rsid w:val="10A2845F"/>
    <w:rsid w:val="10A33358"/>
    <w:rsid w:val="10A35878"/>
    <w:rsid w:val="10A3B12B"/>
    <w:rsid w:val="10A60A47"/>
    <w:rsid w:val="10A7F235"/>
    <w:rsid w:val="10A85965"/>
    <w:rsid w:val="10A8A8C7"/>
    <w:rsid w:val="10AB804B"/>
    <w:rsid w:val="10AD40E6"/>
    <w:rsid w:val="10AE6157"/>
    <w:rsid w:val="10B01937"/>
    <w:rsid w:val="10B20E00"/>
    <w:rsid w:val="10B619A4"/>
    <w:rsid w:val="10B81360"/>
    <w:rsid w:val="10B81D2F"/>
    <w:rsid w:val="10BA1ADC"/>
    <w:rsid w:val="10BB8A27"/>
    <w:rsid w:val="10BDD8F3"/>
    <w:rsid w:val="10BF0142"/>
    <w:rsid w:val="10C0DA25"/>
    <w:rsid w:val="10C363A7"/>
    <w:rsid w:val="10C5529B"/>
    <w:rsid w:val="10C57818"/>
    <w:rsid w:val="10C65E9E"/>
    <w:rsid w:val="10C66865"/>
    <w:rsid w:val="10C73DA9"/>
    <w:rsid w:val="10C77166"/>
    <w:rsid w:val="10C77448"/>
    <w:rsid w:val="10C8C46B"/>
    <w:rsid w:val="10CA641C"/>
    <w:rsid w:val="10CBD229"/>
    <w:rsid w:val="10CF06E0"/>
    <w:rsid w:val="10CFC427"/>
    <w:rsid w:val="10D15E4A"/>
    <w:rsid w:val="10D3F58F"/>
    <w:rsid w:val="10D6B1D7"/>
    <w:rsid w:val="10D6F9A0"/>
    <w:rsid w:val="10DECE44"/>
    <w:rsid w:val="10E0DE46"/>
    <w:rsid w:val="10E1B481"/>
    <w:rsid w:val="10E25D7E"/>
    <w:rsid w:val="10E31398"/>
    <w:rsid w:val="10E44613"/>
    <w:rsid w:val="10E4D18E"/>
    <w:rsid w:val="10E72F32"/>
    <w:rsid w:val="10E76B59"/>
    <w:rsid w:val="10E9A3CB"/>
    <w:rsid w:val="10EA9B3F"/>
    <w:rsid w:val="10EBBD55"/>
    <w:rsid w:val="10EBC333"/>
    <w:rsid w:val="10EBD1B5"/>
    <w:rsid w:val="10EC7654"/>
    <w:rsid w:val="10F087EA"/>
    <w:rsid w:val="10F131D3"/>
    <w:rsid w:val="10F1A92C"/>
    <w:rsid w:val="10F247DA"/>
    <w:rsid w:val="10F34B03"/>
    <w:rsid w:val="10F495FC"/>
    <w:rsid w:val="10F62E9B"/>
    <w:rsid w:val="10F6D4A6"/>
    <w:rsid w:val="10F7FA4E"/>
    <w:rsid w:val="10FA28F1"/>
    <w:rsid w:val="10FC3818"/>
    <w:rsid w:val="11003DE7"/>
    <w:rsid w:val="11025737"/>
    <w:rsid w:val="11030E0C"/>
    <w:rsid w:val="11034C6E"/>
    <w:rsid w:val="110450EE"/>
    <w:rsid w:val="1105B980"/>
    <w:rsid w:val="11085BF1"/>
    <w:rsid w:val="1108A2A8"/>
    <w:rsid w:val="1108C389"/>
    <w:rsid w:val="110949F1"/>
    <w:rsid w:val="110A189A"/>
    <w:rsid w:val="110A216F"/>
    <w:rsid w:val="110A6DE4"/>
    <w:rsid w:val="110C398E"/>
    <w:rsid w:val="110CA22B"/>
    <w:rsid w:val="110FBC2B"/>
    <w:rsid w:val="11107F3E"/>
    <w:rsid w:val="1110AA03"/>
    <w:rsid w:val="11128310"/>
    <w:rsid w:val="111664FD"/>
    <w:rsid w:val="111898A3"/>
    <w:rsid w:val="111AC289"/>
    <w:rsid w:val="111BCFFF"/>
    <w:rsid w:val="111E094F"/>
    <w:rsid w:val="111E505A"/>
    <w:rsid w:val="111E63D2"/>
    <w:rsid w:val="112052A4"/>
    <w:rsid w:val="11234AF2"/>
    <w:rsid w:val="112635E9"/>
    <w:rsid w:val="112822BE"/>
    <w:rsid w:val="112919D5"/>
    <w:rsid w:val="11297070"/>
    <w:rsid w:val="112987AA"/>
    <w:rsid w:val="112AF23C"/>
    <w:rsid w:val="112AF711"/>
    <w:rsid w:val="112B74F4"/>
    <w:rsid w:val="112C0212"/>
    <w:rsid w:val="112C9F06"/>
    <w:rsid w:val="112CBE9D"/>
    <w:rsid w:val="112D24EB"/>
    <w:rsid w:val="112DD8B0"/>
    <w:rsid w:val="112DDCF1"/>
    <w:rsid w:val="112E69F9"/>
    <w:rsid w:val="112EF2E5"/>
    <w:rsid w:val="112F9B46"/>
    <w:rsid w:val="11307890"/>
    <w:rsid w:val="1131B4F0"/>
    <w:rsid w:val="11321F90"/>
    <w:rsid w:val="11340ABF"/>
    <w:rsid w:val="1134570F"/>
    <w:rsid w:val="1134989D"/>
    <w:rsid w:val="1135B6BC"/>
    <w:rsid w:val="11360670"/>
    <w:rsid w:val="113676E7"/>
    <w:rsid w:val="1136D881"/>
    <w:rsid w:val="1136F7B5"/>
    <w:rsid w:val="1139C526"/>
    <w:rsid w:val="113A9085"/>
    <w:rsid w:val="113E70ED"/>
    <w:rsid w:val="113F15E5"/>
    <w:rsid w:val="114060C8"/>
    <w:rsid w:val="11424226"/>
    <w:rsid w:val="1143C19D"/>
    <w:rsid w:val="11464A05"/>
    <w:rsid w:val="1147366E"/>
    <w:rsid w:val="1147CF76"/>
    <w:rsid w:val="1147E611"/>
    <w:rsid w:val="114A36C9"/>
    <w:rsid w:val="114C5342"/>
    <w:rsid w:val="114E02E8"/>
    <w:rsid w:val="115093D7"/>
    <w:rsid w:val="11543FDF"/>
    <w:rsid w:val="11576454"/>
    <w:rsid w:val="11588A3D"/>
    <w:rsid w:val="1158E5AF"/>
    <w:rsid w:val="115AA550"/>
    <w:rsid w:val="115CAC71"/>
    <w:rsid w:val="115CD0BA"/>
    <w:rsid w:val="115D602A"/>
    <w:rsid w:val="115E46AB"/>
    <w:rsid w:val="115F1AED"/>
    <w:rsid w:val="115F9C9D"/>
    <w:rsid w:val="11603078"/>
    <w:rsid w:val="1162EBD5"/>
    <w:rsid w:val="1163E979"/>
    <w:rsid w:val="11647CA0"/>
    <w:rsid w:val="116489EE"/>
    <w:rsid w:val="11691DFB"/>
    <w:rsid w:val="116A3ED1"/>
    <w:rsid w:val="116A6855"/>
    <w:rsid w:val="116C2519"/>
    <w:rsid w:val="116C350C"/>
    <w:rsid w:val="116CA729"/>
    <w:rsid w:val="116F9DA7"/>
    <w:rsid w:val="11716FC2"/>
    <w:rsid w:val="1171A0AF"/>
    <w:rsid w:val="1171DF57"/>
    <w:rsid w:val="1172A179"/>
    <w:rsid w:val="11730088"/>
    <w:rsid w:val="11740B17"/>
    <w:rsid w:val="1174B2F0"/>
    <w:rsid w:val="1178E084"/>
    <w:rsid w:val="117B25F1"/>
    <w:rsid w:val="117E54F9"/>
    <w:rsid w:val="1181D9BD"/>
    <w:rsid w:val="1181F0B3"/>
    <w:rsid w:val="11822A73"/>
    <w:rsid w:val="11834E68"/>
    <w:rsid w:val="1184832D"/>
    <w:rsid w:val="118504ED"/>
    <w:rsid w:val="11885E05"/>
    <w:rsid w:val="11889646"/>
    <w:rsid w:val="118A7BC4"/>
    <w:rsid w:val="118BBA60"/>
    <w:rsid w:val="118D2DAA"/>
    <w:rsid w:val="118D9318"/>
    <w:rsid w:val="118E292B"/>
    <w:rsid w:val="119027F0"/>
    <w:rsid w:val="11912D93"/>
    <w:rsid w:val="1191FFEE"/>
    <w:rsid w:val="11920449"/>
    <w:rsid w:val="1193D594"/>
    <w:rsid w:val="1194E71C"/>
    <w:rsid w:val="11964857"/>
    <w:rsid w:val="1199F319"/>
    <w:rsid w:val="119E42B4"/>
    <w:rsid w:val="119EBE93"/>
    <w:rsid w:val="119F9E43"/>
    <w:rsid w:val="11A06AE7"/>
    <w:rsid w:val="11A0A8DD"/>
    <w:rsid w:val="11A26B1D"/>
    <w:rsid w:val="11A362DB"/>
    <w:rsid w:val="11A3C036"/>
    <w:rsid w:val="11A5FE46"/>
    <w:rsid w:val="11A858C1"/>
    <w:rsid w:val="11A89152"/>
    <w:rsid w:val="11AED8AC"/>
    <w:rsid w:val="11B04AD4"/>
    <w:rsid w:val="11B0C2DF"/>
    <w:rsid w:val="11B0D351"/>
    <w:rsid w:val="11B1133C"/>
    <w:rsid w:val="11B206E7"/>
    <w:rsid w:val="11B2770F"/>
    <w:rsid w:val="11B2850D"/>
    <w:rsid w:val="11B342F6"/>
    <w:rsid w:val="11B39F9B"/>
    <w:rsid w:val="11B3A248"/>
    <w:rsid w:val="11B3DEF9"/>
    <w:rsid w:val="11BBA2A0"/>
    <w:rsid w:val="11BBE8A2"/>
    <w:rsid w:val="11BBF4CF"/>
    <w:rsid w:val="11BCC8D6"/>
    <w:rsid w:val="11BEBD75"/>
    <w:rsid w:val="11BF3FA4"/>
    <w:rsid w:val="11C3374C"/>
    <w:rsid w:val="11C383A3"/>
    <w:rsid w:val="11C4BD94"/>
    <w:rsid w:val="11C4EDA7"/>
    <w:rsid w:val="11C564A8"/>
    <w:rsid w:val="11C6E3C1"/>
    <w:rsid w:val="11CA345A"/>
    <w:rsid w:val="11CB4B89"/>
    <w:rsid w:val="11CE2607"/>
    <w:rsid w:val="11CE4CBF"/>
    <w:rsid w:val="11CE5481"/>
    <w:rsid w:val="11D31129"/>
    <w:rsid w:val="11D45593"/>
    <w:rsid w:val="11D481B2"/>
    <w:rsid w:val="11D4F576"/>
    <w:rsid w:val="11D62B85"/>
    <w:rsid w:val="11D93040"/>
    <w:rsid w:val="11DB1BBB"/>
    <w:rsid w:val="11DD52F8"/>
    <w:rsid w:val="11DDC40A"/>
    <w:rsid w:val="11DDF47D"/>
    <w:rsid w:val="11DE8DE8"/>
    <w:rsid w:val="11DFFC9C"/>
    <w:rsid w:val="11E12D34"/>
    <w:rsid w:val="11E58BAB"/>
    <w:rsid w:val="11E58DFD"/>
    <w:rsid w:val="11E5DAAA"/>
    <w:rsid w:val="11E62AE1"/>
    <w:rsid w:val="11E744E2"/>
    <w:rsid w:val="11E7A57F"/>
    <w:rsid w:val="11E7BE00"/>
    <w:rsid w:val="11E8444E"/>
    <w:rsid w:val="11E90473"/>
    <w:rsid w:val="11EBE780"/>
    <w:rsid w:val="11ECD5A7"/>
    <w:rsid w:val="11F0893F"/>
    <w:rsid w:val="11F18B70"/>
    <w:rsid w:val="11F20334"/>
    <w:rsid w:val="11F23F7C"/>
    <w:rsid w:val="11F24855"/>
    <w:rsid w:val="11FBFC99"/>
    <w:rsid w:val="11FC880A"/>
    <w:rsid w:val="11FD9718"/>
    <w:rsid w:val="1200DBDC"/>
    <w:rsid w:val="12017D8D"/>
    <w:rsid w:val="120373DD"/>
    <w:rsid w:val="1204147E"/>
    <w:rsid w:val="1204C685"/>
    <w:rsid w:val="12057897"/>
    <w:rsid w:val="1206B3A1"/>
    <w:rsid w:val="1209E43F"/>
    <w:rsid w:val="120B6787"/>
    <w:rsid w:val="1211CC19"/>
    <w:rsid w:val="12121983"/>
    <w:rsid w:val="121675EF"/>
    <w:rsid w:val="12179867"/>
    <w:rsid w:val="1218597E"/>
    <w:rsid w:val="121AA0D6"/>
    <w:rsid w:val="121B23E2"/>
    <w:rsid w:val="121C2AEA"/>
    <w:rsid w:val="121CB5EB"/>
    <w:rsid w:val="121D0A26"/>
    <w:rsid w:val="121EF175"/>
    <w:rsid w:val="121F1EAD"/>
    <w:rsid w:val="1221DA9E"/>
    <w:rsid w:val="12234E7D"/>
    <w:rsid w:val="1223879F"/>
    <w:rsid w:val="12257CAE"/>
    <w:rsid w:val="122995F3"/>
    <w:rsid w:val="122A750B"/>
    <w:rsid w:val="122BF231"/>
    <w:rsid w:val="122DBD03"/>
    <w:rsid w:val="122E7722"/>
    <w:rsid w:val="123122E4"/>
    <w:rsid w:val="123242DD"/>
    <w:rsid w:val="1234DF05"/>
    <w:rsid w:val="12374621"/>
    <w:rsid w:val="1237CEA8"/>
    <w:rsid w:val="1237DC8F"/>
    <w:rsid w:val="12389852"/>
    <w:rsid w:val="123CB6C8"/>
    <w:rsid w:val="123D7A18"/>
    <w:rsid w:val="123E7028"/>
    <w:rsid w:val="123FE164"/>
    <w:rsid w:val="1240D677"/>
    <w:rsid w:val="124220BC"/>
    <w:rsid w:val="124250CA"/>
    <w:rsid w:val="1242E225"/>
    <w:rsid w:val="1244618E"/>
    <w:rsid w:val="124461B1"/>
    <w:rsid w:val="12456174"/>
    <w:rsid w:val="12465EC0"/>
    <w:rsid w:val="12479D01"/>
    <w:rsid w:val="1247BF1B"/>
    <w:rsid w:val="1249D693"/>
    <w:rsid w:val="124A72F1"/>
    <w:rsid w:val="124B9BA9"/>
    <w:rsid w:val="124E21E6"/>
    <w:rsid w:val="124FE8EB"/>
    <w:rsid w:val="1250F1C0"/>
    <w:rsid w:val="125251FE"/>
    <w:rsid w:val="12534F2E"/>
    <w:rsid w:val="1253A244"/>
    <w:rsid w:val="1253FAC9"/>
    <w:rsid w:val="1259C853"/>
    <w:rsid w:val="1259FB86"/>
    <w:rsid w:val="125C7C00"/>
    <w:rsid w:val="125CCD91"/>
    <w:rsid w:val="125DF147"/>
    <w:rsid w:val="125E43CE"/>
    <w:rsid w:val="125F3221"/>
    <w:rsid w:val="12600ACF"/>
    <w:rsid w:val="12602C96"/>
    <w:rsid w:val="1260C566"/>
    <w:rsid w:val="12613FEB"/>
    <w:rsid w:val="126392E5"/>
    <w:rsid w:val="12641D67"/>
    <w:rsid w:val="12655C81"/>
    <w:rsid w:val="12670B1A"/>
    <w:rsid w:val="126ADC80"/>
    <w:rsid w:val="126FEE37"/>
    <w:rsid w:val="1270A2C7"/>
    <w:rsid w:val="12714096"/>
    <w:rsid w:val="12725097"/>
    <w:rsid w:val="12725957"/>
    <w:rsid w:val="12732720"/>
    <w:rsid w:val="127383E7"/>
    <w:rsid w:val="1273E10A"/>
    <w:rsid w:val="12752BF2"/>
    <w:rsid w:val="1276C9C0"/>
    <w:rsid w:val="1279185D"/>
    <w:rsid w:val="127C34F0"/>
    <w:rsid w:val="127C8D6D"/>
    <w:rsid w:val="127E050D"/>
    <w:rsid w:val="127E1CA4"/>
    <w:rsid w:val="127EEC32"/>
    <w:rsid w:val="127F2C90"/>
    <w:rsid w:val="127FBFFF"/>
    <w:rsid w:val="12806637"/>
    <w:rsid w:val="1280756F"/>
    <w:rsid w:val="1280FC14"/>
    <w:rsid w:val="1282AE04"/>
    <w:rsid w:val="1282D750"/>
    <w:rsid w:val="1283604B"/>
    <w:rsid w:val="1288699E"/>
    <w:rsid w:val="1288AED0"/>
    <w:rsid w:val="128B7F99"/>
    <w:rsid w:val="128F3A09"/>
    <w:rsid w:val="12910926"/>
    <w:rsid w:val="12943E83"/>
    <w:rsid w:val="1294B3B4"/>
    <w:rsid w:val="12996708"/>
    <w:rsid w:val="129A5B69"/>
    <w:rsid w:val="129A7E68"/>
    <w:rsid w:val="129D2631"/>
    <w:rsid w:val="129D275B"/>
    <w:rsid w:val="129FAEB8"/>
    <w:rsid w:val="12A05C04"/>
    <w:rsid w:val="12A0BED2"/>
    <w:rsid w:val="12A5F1DD"/>
    <w:rsid w:val="12A62975"/>
    <w:rsid w:val="12A81A9D"/>
    <w:rsid w:val="12AA7494"/>
    <w:rsid w:val="12AAB265"/>
    <w:rsid w:val="12AACF60"/>
    <w:rsid w:val="12AB4921"/>
    <w:rsid w:val="12ACAC77"/>
    <w:rsid w:val="12ACDFDF"/>
    <w:rsid w:val="12AE9403"/>
    <w:rsid w:val="12AF4160"/>
    <w:rsid w:val="12B4605E"/>
    <w:rsid w:val="12B488D1"/>
    <w:rsid w:val="12B4B602"/>
    <w:rsid w:val="12B4E3D6"/>
    <w:rsid w:val="12B67E9A"/>
    <w:rsid w:val="12B690D9"/>
    <w:rsid w:val="12B9B3D8"/>
    <w:rsid w:val="12BB9985"/>
    <w:rsid w:val="12BC1C96"/>
    <w:rsid w:val="12C06708"/>
    <w:rsid w:val="12C07B71"/>
    <w:rsid w:val="12C0EFE4"/>
    <w:rsid w:val="12C871E9"/>
    <w:rsid w:val="12CB6468"/>
    <w:rsid w:val="12CCE6B5"/>
    <w:rsid w:val="12CDC597"/>
    <w:rsid w:val="12CE80D5"/>
    <w:rsid w:val="12CE949A"/>
    <w:rsid w:val="12CFA977"/>
    <w:rsid w:val="12D2FADD"/>
    <w:rsid w:val="12D43F3A"/>
    <w:rsid w:val="12D716F9"/>
    <w:rsid w:val="12D9F1E9"/>
    <w:rsid w:val="12DB6F11"/>
    <w:rsid w:val="12DD3FAA"/>
    <w:rsid w:val="12DE0C60"/>
    <w:rsid w:val="12E1B683"/>
    <w:rsid w:val="12E267EB"/>
    <w:rsid w:val="12E2F316"/>
    <w:rsid w:val="12E47B16"/>
    <w:rsid w:val="12E7AF0E"/>
    <w:rsid w:val="12E9BEE9"/>
    <w:rsid w:val="12EB4022"/>
    <w:rsid w:val="12EF2704"/>
    <w:rsid w:val="12EF47CD"/>
    <w:rsid w:val="12F09330"/>
    <w:rsid w:val="12F3563C"/>
    <w:rsid w:val="12F3A808"/>
    <w:rsid w:val="12F9250F"/>
    <w:rsid w:val="12F99838"/>
    <w:rsid w:val="12F9EBAD"/>
    <w:rsid w:val="12FABEF1"/>
    <w:rsid w:val="12FE797A"/>
    <w:rsid w:val="12FE9067"/>
    <w:rsid w:val="12FED342"/>
    <w:rsid w:val="1300F2A9"/>
    <w:rsid w:val="13030086"/>
    <w:rsid w:val="1304DE9B"/>
    <w:rsid w:val="1305AAF9"/>
    <w:rsid w:val="1308F102"/>
    <w:rsid w:val="130A24BA"/>
    <w:rsid w:val="130AE064"/>
    <w:rsid w:val="130BB9EB"/>
    <w:rsid w:val="130CE4D8"/>
    <w:rsid w:val="130D200D"/>
    <w:rsid w:val="130D2B74"/>
    <w:rsid w:val="130D79CB"/>
    <w:rsid w:val="130DD55D"/>
    <w:rsid w:val="130F2C30"/>
    <w:rsid w:val="1310751D"/>
    <w:rsid w:val="1310F898"/>
    <w:rsid w:val="13127930"/>
    <w:rsid w:val="131324F6"/>
    <w:rsid w:val="13139271"/>
    <w:rsid w:val="1317332A"/>
    <w:rsid w:val="1317D7AB"/>
    <w:rsid w:val="1319767E"/>
    <w:rsid w:val="131D04EF"/>
    <w:rsid w:val="131D8F14"/>
    <w:rsid w:val="131DEB69"/>
    <w:rsid w:val="131EA54E"/>
    <w:rsid w:val="131F32D0"/>
    <w:rsid w:val="131F4967"/>
    <w:rsid w:val="13234385"/>
    <w:rsid w:val="1324FDF9"/>
    <w:rsid w:val="1326E246"/>
    <w:rsid w:val="13292370"/>
    <w:rsid w:val="132A5FEB"/>
    <w:rsid w:val="132B2028"/>
    <w:rsid w:val="132D58E0"/>
    <w:rsid w:val="13307E96"/>
    <w:rsid w:val="1330E8B1"/>
    <w:rsid w:val="1331E693"/>
    <w:rsid w:val="13358EBE"/>
    <w:rsid w:val="1335B29A"/>
    <w:rsid w:val="1335B985"/>
    <w:rsid w:val="13373D6B"/>
    <w:rsid w:val="133A79D6"/>
    <w:rsid w:val="133B8469"/>
    <w:rsid w:val="133D0A8A"/>
    <w:rsid w:val="133D8990"/>
    <w:rsid w:val="133DC121"/>
    <w:rsid w:val="133F9F7F"/>
    <w:rsid w:val="134026DB"/>
    <w:rsid w:val="1340939F"/>
    <w:rsid w:val="1340D915"/>
    <w:rsid w:val="134269C1"/>
    <w:rsid w:val="13431995"/>
    <w:rsid w:val="134599F8"/>
    <w:rsid w:val="1347E08C"/>
    <w:rsid w:val="134961E0"/>
    <w:rsid w:val="134A2DE8"/>
    <w:rsid w:val="134DC35E"/>
    <w:rsid w:val="134E15A4"/>
    <w:rsid w:val="134F7A8A"/>
    <w:rsid w:val="1351C84D"/>
    <w:rsid w:val="13524B85"/>
    <w:rsid w:val="13528091"/>
    <w:rsid w:val="1352C251"/>
    <w:rsid w:val="1357C1FB"/>
    <w:rsid w:val="1358B567"/>
    <w:rsid w:val="1359C99C"/>
    <w:rsid w:val="135EDB88"/>
    <w:rsid w:val="13603414"/>
    <w:rsid w:val="13620970"/>
    <w:rsid w:val="1363524D"/>
    <w:rsid w:val="13635A7E"/>
    <w:rsid w:val="1365970D"/>
    <w:rsid w:val="13668C3F"/>
    <w:rsid w:val="13669798"/>
    <w:rsid w:val="13669A80"/>
    <w:rsid w:val="136B01FD"/>
    <w:rsid w:val="136B0BCA"/>
    <w:rsid w:val="136CD0C1"/>
    <w:rsid w:val="136D184E"/>
    <w:rsid w:val="136E8975"/>
    <w:rsid w:val="13712FE0"/>
    <w:rsid w:val="1372AEA5"/>
    <w:rsid w:val="13770411"/>
    <w:rsid w:val="137978DC"/>
    <w:rsid w:val="1379B5D6"/>
    <w:rsid w:val="137A5F6B"/>
    <w:rsid w:val="137DE251"/>
    <w:rsid w:val="137E2E2F"/>
    <w:rsid w:val="1380578B"/>
    <w:rsid w:val="1381E8E4"/>
    <w:rsid w:val="13846483"/>
    <w:rsid w:val="1385EE3F"/>
    <w:rsid w:val="13870527"/>
    <w:rsid w:val="138CF22A"/>
    <w:rsid w:val="138E4AF6"/>
    <w:rsid w:val="138FC3D9"/>
    <w:rsid w:val="1391C94F"/>
    <w:rsid w:val="13923BD4"/>
    <w:rsid w:val="13929890"/>
    <w:rsid w:val="1394D020"/>
    <w:rsid w:val="1395A232"/>
    <w:rsid w:val="1396FA20"/>
    <w:rsid w:val="1399CBD7"/>
    <w:rsid w:val="139A70A6"/>
    <w:rsid w:val="139BE3FA"/>
    <w:rsid w:val="139C0655"/>
    <w:rsid w:val="139D70DB"/>
    <w:rsid w:val="139FD44B"/>
    <w:rsid w:val="13A0B218"/>
    <w:rsid w:val="13A3E230"/>
    <w:rsid w:val="13A64A39"/>
    <w:rsid w:val="13A7389E"/>
    <w:rsid w:val="13AB2F9C"/>
    <w:rsid w:val="13AC3F75"/>
    <w:rsid w:val="13ACCE2A"/>
    <w:rsid w:val="13AEB080"/>
    <w:rsid w:val="13AF5FDF"/>
    <w:rsid w:val="13B066EC"/>
    <w:rsid w:val="13B0D0AC"/>
    <w:rsid w:val="13B32A45"/>
    <w:rsid w:val="13B51FBC"/>
    <w:rsid w:val="13B57738"/>
    <w:rsid w:val="13B99746"/>
    <w:rsid w:val="13BF2583"/>
    <w:rsid w:val="13C2F7CD"/>
    <w:rsid w:val="13C34CAF"/>
    <w:rsid w:val="13C392B8"/>
    <w:rsid w:val="13C7CA2E"/>
    <w:rsid w:val="13CB3587"/>
    <w:rsid w:val="13CB61FC"/>
    <w:rsid w:val="13CEC4FF"/>
    <w:rsid w:val="13CFE3F5"/>
    <w:rsid w:val="13CFFB01"/>
    <w:rsid w:val="13D0B089"/>
    <w:rsid w:val="13D18EE6"/>
    <w:rsid w:val="13D2D702"/>
    <w:rsid w:val="13D46938"/>
    <w:rsid w:val="13D4AF4D"/>
    <w:rsid w:val="13D6CBBC"/>
    <w:rsid w:val="13D835F7"/>
    <w:rsid w:val="13D84ED0"/>
    <w:rsid w:val="13DA9144"/>
    <w:rsid w:val="13DB1A2F"/>
    <w:rsid w:val="13DD35F3"/>
    <w:rsid w:val="13E5C000"/>
    <w:rsid w:val="13E64D96"/>
    <w:rsid w:val="13E6C56B"/>
    <w:rsid w:val="13EBF214"/>
    <w:rsid w:val="13ED61A9"/>
    <w:rsid w:val="13EF543F"/>
    <w:rsid w:val="13F0389A"/>
    <w:rsid w:val="13F0F363"/>
    <w:rsid w:val="13F167D9"/>
    <w:rsid w:val="13F18EB3"/>
    <w:rsid w:val="13F71FEE"/>
    <w:rsid w:val="13F88AC4"/>
    <w:rsid w:val="13F90C51"/>
    <w:rsid w:val="13FB8CF6"/>
    <w:rsid w:val="13FDEFBF"/>
    <w:rsid w:val="13FE9BD9"/>
    <w:rsid w:val="13FE9CAA"/>
    <w:rsid w:val="13FF1398"/>
    <w:rsid w:val="1403E66A"/>
    <w:rsid w:val="140403FF"/>
    <w:rsid w:val="1405A777"/>
    <w:rsid w:val="1406D4A1"/>
    <w:rsid w:val="14090371"/>
    <w:rsid w:val="140A454A"/>
    <w:rsid w:val="140ABEBF"/>
    <w:rsid w:val="140D2C04"/>
    <w:rsid w:val="140E90E1"/>
    <w:rsid w:val="14109A5B"/>
    <w:rsid w:val="141145DC"/>
    <w:rsid w:val="1411D2D4"/>
    <w:rsid w:val="14129A21"/>
    <w:rsid w:val="1415B96C"/>
    <w:rsid w:val="14162F8E"/>
    <w:rsid w:val="1417131A"/>
    <w:rsid w:val="141AFCF1"/>
    <w:rsid w:val="142114A2"/>
    <w:rsid w:val="1421199F"/>
    <w:rsid w:val="14216E77"/>
    <w:rsid w:val="1421E841"/>
    <w:rsid w:val="1423D3C9"/>
    <w:rsid w:val="14264948"/>
    <w:rsid w:val="1426D7BB"/>
    <w:rsid w:val="1427EEEB"/>
    <w:rsid w:val="1428A048"/>
    <w:rsid w:val="142C6CFB"/>
    <w:rsid w:val="14300625"/>
    <w:rsid w:val="14305D17"/>
    <w:rsid w:val="1432AE58"/>
    <w:rsid w:val="1434D6D7"/>
    <w:rsid w:val="143611CC"/>
    <w:rsid w:val="1436A524"/>
    <w:rsid w:val="14371B2A"/>
    <w:rsid w:val="1437633A"/>
    <w:rsid w:val="1437749A"/>
    <w:rsid w:val="1438490A"/>
    <w:rsid w:val="143866C3"/>
    <w:rsid w:val="14388809"/>
    <w:rsid w:val="143A821C"/>
    <w:rsid w:val="143BA6EB"/>
    <w:rsid w:val="143D4A13"/>
    <w:rsid w:val="143E867D"/>
    <w:rsid w:val="143EA133"/>
    <w:rsid w:val="1441ECE6"/>
    <w:rsid w:val="144203CB"/>
    <w:rsid w:val="1444FD6A"/>
    <w:rsid w:val="14472854"/>
    <w:rsid w:val="144A2445"/>
    <w:rsid w:val="144A8F6B"/>
    <w:rsid w:val="144ADA5B"/>
    <w:rsid w:val="144AE875"/>
    <w:rsid w:val="144EE17D"/>
    <w:rsid w:val="144FC625"/>
    <w:rsid w:val="1450D786"/>
    <w:rsid w:val="1453D8E2"/>
    <w:rsid w:val="1455E329"/>
    <w:rsid w:val="14564FC5"/>
    <w:rsid w:val="1456913E"/>
    <w:rsid w:val="145B1DD6"/>
    <w:rsid w:val="145B4E3D"/>
    <w:rsid w:val="145F63FF"/>
    <w:rsid w:val="145F6539"/>
    <w:rsid w:val="145FF658"/>
    <w:rsid w:val="14606FD5"/>
    <w:rsid w:val="14614178"/>
    <w:rsid w:val="14626D3F"/>
    <w:rsid w:val="1463684F"/>
    <w:rsid w:val="1464B433"/>
    <w:rsid w:val="14666010"/>
    <w:rsid w:val="14696F5C"/>
    <w:rsid w:val="146A9900"/>
    <w:rsid w:val="146ABA40"/>
    <w:rsid w:val="146B8A0C"/>
    <w:rsid w:val="146FDD72"/>
    <w:rsid w:val="1470C270"/>
    <w:rsid w:val="1472BA04"/>
    <w:rsid w:val="14756F96"/>
    <w:rsid w:val="14797669"/>
    <w:rsid w:val="1479DA11"/>
    <w:rsid w:val="1479F8B2"/>
    <w:rsid w:val="147AD88D"/>
    <w:rsid w:val="147C0C83"/>
    <w:rsid w:val="147E30B9"/>
    <w:rsid w:val="14809F3B"/>
    <w:rsid w:val="14836D73"/>
    <w:rsid w:val="148A0395"/>
    <w:rsid w:val="148A2D70"/>
    <w:rsid w:val="148AB0C2"/>
    <w:rsid w:val="148BA641"/>
    <w:rsid w:val="148BB2DF"/>
    <w:rsid w:val="148BE9D9"/>
    <w:rsid w:val="148C733B"/>
    <w:rsid w:val="148E1FFC"/>
    <w:rsid w:val="148F8D5F"/>
    <w:rsid w:val="148FE461"/>
    <w:rsid w:val="1491FF75"/>
    <w:rsid w:val="1492AA8B"/>
    <w:rsid w:val="14943E8C"/>
    <w:rsid w:val="1494B620"/>
    <w:rsid w:val="1495C63F"/>
    <w:rsid w:val="149770B6"/>
    <w:rsid w:val="149852FA"/>
    <w:rsid w:val="149A2D5C"/>
    <w:rsid w:val="149ABD42"/>
    <w:rsid w:val="149C8737"/>
    <w:rsid w:val="14A277A6"/>
    <w:rsid w:val="14A30348"/>
    <w:rsid w:val="14A34CE2"/>
    <w:rsid w:val="14A67319"/>
    <w:rsid w:val="14A741BE"/>
    <w:rsid w:val="14A88541"/>
    <w:rsid w:val="14AA56E4"/>
    <w:rsid w:val="14AA90B7"/>
    <w:rsid w:val="14ABD153"/>
    <w:rsid w:val="14AD77D8"/>
    <w:rsid w:val="14AD9471"/>
    <w:rsid w:val="14AE171D"/>
    <w:rsid w:val="14B41EC7"/>
    <w:rsid w:val="14B4DEE2"/>
    <w:rsid w:val="14B51C6D"/>
    <w:rsid w:val="14B58C45"/>
    <w:rsid w:val="14B881EF"/>
    <w:rsid w:val="14B980C5"/>
    <w:rsid w:val="14C132E4"/>
    <w:rsid w:val="14C1E09B"/>
    <w:rsid w:val="14C303D8"/>
    <w:rsid w:val="14C53F4B"/>
    <w:rsid w:val="14C62C19"/>
    <w:rsid w:val="14C66D0F"/>
    <w:rsid w:val="14C67D39"/>
    <w:rsid w:val="14C75E22"/>
    <w:rsid w:val="14C926F7"/>
    <w:rsid w:val="14CF1D34"/>
    <w:rsid w:val="14D06E63"/>
    <w:rsid w:val="14D0F953"/>
    <w:rsid w:val="14D11C2E"/>
    <w:rsid w:val="14D14E83"/>
    <w:rsid w:val="14D230F9"/>
    <w:rsid w:val="14D4E7A5"/>
    <w:rsid w:val="14D61B14"/>
    <w:rsid w:val="14D6EDAC"/>
    <w:rsid w:val="14D7FFBB"/>
    <w:rsid w:val="14DA34BB"/>
    <w:rsid w:val="14DCDAEE"/>
    <w:rsid w:val="14DCFCB0"/>
    <w:rsid w:val="14E17B86"/>
    <w:rsid w:val="14E3DB06"/>
    <w:rsid w:val="14E3F024"/>
    <w:rsid w:val="14E691ED"/>
    <w:rsid w:val="14E720FA"/>
    <w:rsid w:val="14E9C9FE"/>
    <w:rsid w:val="14EA7115"/>
    <w:rsid w:val="14ED380B"/>
    <w:rsid w:val="14ED6E00"/>
    <w:rsid w:val="14ED9CC8"/>
    <w:rsid w:val="14F01BB1"/>
    <w:rsid w:val="14F31BA1"/>
    <w:rsid w:val="14F4923F"/>
    <w:rsid w:val="14F4B6F9"/>
    <w:rsid w:val="14F8D26F"/>
    <w:rsid w:val="14F9EF91"/>
    <w:rsid w:val="14FBF7F1"/>
    <w:rsid w:val="14FE5E3B"/>
    <w:rsid w:val="150024C8"/>
    <w:rsid w:val="1500A258"/>
    <w:rsid w:val="15012BD9"/>
    <w:rsid w:val="15047927"/>
    <w:rsid w:val="1504B194"/>
    <w:rsid w:val="15052E24"/>
    <w:rsid w:val="1505B757"/>
    <w:rsid w:val="15063F2D"/>
    <w:rsid w:val="1506D25E"/>
    <w:rsid w:val="1506EED7"/>
    <w:rsid w:val="150705D2"/>
    <w:rsid w:val="150A6C8C"/>
    <w:rsid w:val="150AC4F8"/>
    <w:rsid w:val="150B2054"/>
    <w:rsid w:val="150CD119"/>
    <w:rsid w:val="150D2CA2"/>
    <w:rsid w:val="150EB93F"/>
    <w:rsid w:val="150F7982"/>
    <w:rsid w:val="15159941"/>
    <w:rsid w:val="151977FC"/>
    <w:rsid w:val="151B85B2"/>
    <w:rsid w:val="151C116A"/>
    <w:rsid w:val="151E8DB6"/>
    <w:rsid w:val="151E9685"/>
    <w:rsid w:val="15221320"/>
    <w:rsid w:val="1523BD76"/>
    <w:rsid w:val="1525CFE0"/>
    <w:rsid w:val="152615D6"/>
    <w:rsid w:val="1526856E"/>
    <w:rsid w:val="1526B389"/>
    <w:rsid w:val="1528A5D5"/>
    <w:rsid w:val="1529DFFD"/>
    <w:rsid w:val="152AED2B"/>
    <w:rsid w:val="152B17F8"/>
    <w:rsid w:val="152E88DD"/>
    <w:rsid w:val="152FE60C"/>
    <w:rsid w:val="1530250A"/>
    <w:rsid w:val="15302970"/>
    <w:rsid w:val="1531235D"/>
    <w:rsid w:val="15312E78"/>
    <w:rsid w:val="1531865D"/>
    <w:rsid w:val="1532B112"/>
    <w:rsid w:val="15356161"/>
    <w:rsid w:val="153589C0"/>
    <w:rsid w:val="15362729"/>
    <w:rsid w:val="1537727F"/>
    <w:rsid w:val="1537CE00"/>
    <w:rsid w:val="15398297"/>
    <w:rsid w:val="1539AAE0"/>
    <w:rsid w:val="153C61D3"/>
    <w:rsid w:val="153D15DC"/>
    <w:rsid w:val="153D4309"/>
    <w:rsid w:val="153DA81F"/>
    <w:rsid w:val="1540E656"/>
    <w:rsid w:val="154492A2"/>
    <w:rsid w:val="1544F28A"/>
    <w:rsid w:val="15457919"/>
    <w:rsid w:val="1545B580"/>
    <w:rsid w:val="15470FA8"/>
    <w:rsid w:val="154B9F58"/>
    <w:rsid w:val="154BB02C"/>
    <w:rsid w:val="154DCEB0"/>
    <w:rsid w:val="154E2439"/>
    <w:rsid w:val="154EB52C"/>
    <w:rsid w:val="15505EA9"/>
    <w:rsid w:val="1550BC6D"/>
    <w:rsid w:val="155487C0"/>
    <w:rsid w:val="155977B0"/>
    <w:rsid w:val="15598611"/>
    <w:rsid w:val="155F8DBD"/>
    <w:rsid w:val="15600B98"/>
    <w:rsid w:val="15629DF1"/>
    <w:rsid w:val="15642749"/>
    <w:rsid w:val="15654524"/>
    <w:rsid w:val="1566E112"/>
    <w:rsid w:val="1567B3E6"/>
    <w:rsid w:val="156930C1"/>
    <w:rsid w:val="1569CC28"/>
    <w:rsid w:val="156A54C4"/>
    <w:rsid w:val="156B434A"/>
    <w:rsid w:val="156D17AC"/>
    <w:rsid w:val="156E8D39"/>
    <w:rsid w:val="156EF1CE"/>
    <w:rsid w:val="156F30A9"/>
    <w:rsid w:val="1576F374"/>
    <w:rsid w:val="15793DA8"/>
    <w:rsid w:val="157CD5DF"/>
    <w:rsid w:val="157EA40F"/>
    <w:rsid w:val="157EDAEC"/>
    <w:rsid w:val="158078AF"/>
    <w:rsid w:val="1583FA91"/>
    <w:rsid w:val="1586C356"/>
    <w:rsid w:val="15886029"/>
    <w:rsid w:val="158892AF"/>
    <w:rsid w:val="158BB0C8"/>
    <w:rsid w:val="158C74F4"/>
    <w:rsid w:val="15900617"/>
    <w:rsid w:val="1591937F"/>
    <w:rsid w:val="15924514"/>
    <w:rsid w:val="15933128"/>
    <w:rsid w:val="1595EDB4"/>
    <w:rsid w:val="159611D3"/>
    <w:rsid w:val="15972B47"/>
    <w:rsid w:val="1597DB8F"/>
    <w:rsid w:val="159A8FBC"/>
    <w:rsid w:val="159AD57B"/>
    <w:rsid w:val="159D99D4"/>
    <w:rsid w:val="15A1F6FF"/>
    <w:rsid w:val="15A28E07"/>
    <w:rsid w:val="15A433CB"/>
    <w:rsid w:val="15A76E83"/>
    <w:rsid w:val="15A9136A"/>
    <w:rsid w:val="15A94388"/>
    <w:rsid w:val="15AB0A86"/>
    <w:rsid w:val="15AB906D"/>
    <w:rsid w:val="15ACE07A"/>
    <w:rsid w:val="15B1B67B"/>
    <w:rsid w:val="15B4D74E"/>
    <w:rsid w:val="15B50DF6"/>
    <w:rsid w:val="15B5729C"/>
    <w:rsid w:val="15B61592"/>
    <w:rsid w:val="15B67E94"/>
    <w:rsid w:val="15B8F283"/>
    <w:rsid w:val="15B93BE1"/>
    <w:rsid w:val="15BC48AE"/>
    <w:rsid w:val="15C0819A"/>
    <w:rsid w:val="15C0828D"/>
    <w:rsid w:val="15C29F3D"/>
    <w:rsid w:val="15C40FEC"/>
    <w:rsid w:val="15C51B24"/>
    <w:rsid w:val="15C65115"/>
    <w:rsid w:val="15C958D7"/>
    <w:rsid w:val="15C9BB06"/>
    <w:rsid w:val="15CA4EFF"/>
    <w:rsid w:val="15CA9EE3"/>
    <w:rsid w:val="15CFF1FD"/>
    <w:rsid w:val="15D3B123"/>
    <w:rsid w:val="15D47F09"/>
    <w:rsid w:val="15D7DAAD"/>
    <w:rsid w:val="15D8FB5D"/>
    <w:rsid w:val="15D94300"/>
    <w:rsid w:val="15DB202F"/>
    <w:rsid w:val="15DEAC8B"/>
    <w:rsid w:val="15DF9C62"/>
    <w:rsid w:val="15E08466"/>
    <w:rsid w:val="15E15646"/>
    <w:rsid w:val="15E1AD5D"/>
    <w:rsid w:val="15E379FD"/>
    <w:rsid w:val="15E4C33C"/>
    <w:rsid w:val="15E7189B"/>
    <w:rsid w:val="15E9D3F4"/>
    <w:rsid w:val="15EB64F1"/>
    <w:rsid w:val="15EB9686"/>
    <w:rsid w:val="15ED60F8"/>
    <w:rsid w:val="15EF14DC"/>
    <w:rsid w:val="15EF28AC"/>
    <w:rsid w:val="15EF6BF6"/>
    <w:rsid w:val="15F0FC4A"/>
    <w:rsid w:val="15F1A847"/>
    <w:rsid w:val="15F1DEFA"/>
    <w:rsid w:val="15F29464"/>
    <w:rsid w:val="15F3FE50"/>
    <w:rsid w:val="15F48C20"/>
    <w:rsid w:val="15F518E8"/>
    <w:rsid w:val="15F5C0E8"/>
    <w:rsid w:val="15F8BCF2"/>
    <w:rsid w:val="15FC4036"/>
    <w:rsid w:val="15FC6BDF"/>
    <w:rsid w:val="15FCF871"/>
    <w:rsid w:val="15FD0DE8"/>
    <w:rsid w:val="15FF7DC6"/>
    <w:rsid w:val="15FFB1BA"/>
    <w:rsid w:val="1603196F"/>
    <w:rsid w:val="160539B5"/>
    <w:rsid w:val="16085741"/>
    <w:rsid w:val="160A5C1B"/>
    <w:rsid w:val="160CC12D"/>
    <w:rsid w:val="160D2901"/>
    <w:rsid w:val="16108DC5"/>
    <w:rsid w:val="1610CAAA"/>
    <w:rsid w:val="16123DC3"/>
    <w:rsid w:val="16132A48"/>
    <w:rsid w:val="1614775D"/>
    <w:rsid w:val="1615BBEB"/>
    <w:rsid w:val="1616B985"/>
    <w:rsid w:val="1618653E"/>
    <w:rsid w:val="1619787D"/>
    <w:rsid w:val="161BCF91"/>
    <w:rsid w:val="161C14A8"/>
    <w:rsid w:val="161C7429"/>
    <w:rsid w:val="161F0838"/>
    <w:rsid w:val="161FC8A3"/>
    <w:rsid w:val="1622F318"/>
    <w:rsid w:val="162368FD"/>
    <w:rsid w:val="16241255"/>
    <w:rsid w:val="16253159"/>
    <w:rsid w:val="16261E1D"/>
    <w:rsid w:val="1628A5E6"/>
    <w:rsid w:val="162BBFDB"/>
    <w:rsid w:val="162E3A25"/>
    <w:rsid w:val="162EF6CD"/>
    <w:rsid w:val="162F1371"/>
    <w:rsid w:val="1634E2A1"/>
    <w:rsid w:val="1635E244"/>
    <w:rsid w:val="1635F66D"/>
    <w:rsid w:val="163649DD"/>
    <w:rsid w:val="1637AF6C"/>
    <w:rsid w:val="1637E4B6"/>
    <w:rsid w:val="16381012"/>
    <w:rsid w:val="16398C7C"/>
    <w:rsid w:val="163A6654"/>
    <w:rsid w:val="163B484C"/>
    <w:rsid w:val="163BED06"/>
    <w:rsid w:val="163D2385"/>
    <w:rsid w:val="163D8C92"/>
    <w:rsid w:val="163DCC89"/>
    <w:rsid w:val="16402B49"/>
    <w:rsid w:val="164180E5"/>
    <w:rsid w:val="16430281"/>
    <w:rsid w:val="1643E7FF"/>
    <w:rsid w:val="164681B1"/>
    <w:rsid w:val="16482413"/>
    <w:rsid w:val="164C86CB"/>
    <w:rsid w:val="164D46E5"/>
    <w:rsid w:val="164DE4B0"/>
    <w:rsid w:val="16500C3E"/>
    <w:rsid w:val="16514131"/>
    <w:rsid w:val="16523B53"/>
    <w:rsid w:val="1652BED4"/>
    <w:rsid w:val="16532E37"/>
    <w:rsid w:val="1653A130"/>
    <w:rsid w:val="16570380"/>
    <w:rsid w:val="16577113"/>
    <w:rsid w:val="1658F370"/>
    <w:rsid w:val="165994B0"/>
    <w:rsid w:val="1659FA1C"/>
    <w:rsid w:val="165ADFCF"/>
    <w:rsid w:val="165B6299"/>
    <w:rsid w:val="165C9EAD"/>
    <w:rsid w:val="165D3E53"/>
    <w:rsid w:val="165E7CFD"/>
    <w:rsid w:val="165E9881"/>
    <w:rsid w:val="165F763F"/>
    <w:rsid w:val="16642ADC"/>
    <w:rsid w:val="16644872"/>
    <w:rsid w:val="16649D6D"/>
    <w:rsid w:val="1664D3CC"/>
    <w:rsid w:val="1665C2E4"/>
    <w:rsid w:val="166781FF"/>
    <w:rsid w:val="1667D092"/>
    <w:rsid w:val="1668FE2D"/>
    <w:rsid w:val="166922EC"/>
    <w:rsid w:val="166A49EF"/>
    <w:rsid w:val="166ADA22"/>
    <w:rsid w:val="166BBA71"/>
    <w:rsid w:val="166DC942"/>
    <w:rsid w:val="16729526"/>
    <w:rsid w:val="1675BE85"/>
    <w:rsid w:val="16765E11"/>
    <w:rsid w:val="16778793"/>
    <w:rsid w:val="1677E93D"/>
    <w:rsid w:val="16790786"/>
    <w:rsid w:val="167943E9"/>
    <w:rsid w:val="16794509"/>
    <w:rsid w:val="167C762F"/>
    <w:rsid w:val="167EB5CB"/>
    <w:rsid w:val="167F404C"/>
    <w:rsid w:val="1682F1FB"/>
    <w:rsid w:val="168359D8"/>
    <w:rsid w:val="16854B83"/>
    <w:rsid w:val="168572FC"/>
    <w:rsid w:val="1685C1BC"/>
    <w:rsid w:val="1686FC1E"/>
    <w:rsid w:val="16870B2F"/>
    <w:rsid w:val="1687136B"/>
    <w:rsid w:val="16876554"/>
    <w:rsid w:val="16880503"/>
    <w:rsid w:val="16896996"/>
    <w:rsid w:val="168C237C"/>
    <w:rsid w:val="168CB109"/>
    <w:rsid w:val="168CEE8C"/>
    <w:rsid w:val="168DB899"/>
    <w:rsid w:val="168E4485"/>
    <w:rsid w:val="16915504"/>
    <w:rsid w:val="1692D94A"/>
    <w:rsid w:val="1693A85B"/>
    <w:rsid w:val="1694DB37"/>
    <w:rsid w:val="1699412C"/>
    <w:rsid w:val="16999D45"/>
    <w:rsid w:val="169B1DE0"/>
    <w:rsid w:val="169B73C5"/>
    <w:rsid w:val="169C9DF9"/>
    <w:rsid w:val="16A1BD38"/>
    <w:rsid w:val="16A33052"/>
    <w:rsid w:val="16A5F5A6"/>
    <w:rsid w:val="16AB2415"/>
    <w:rsid w:val="16AB49E3"/>
    <w:rsid w:val="16AF1421"/>
    <w:rsid w:val="16B01875"/>
    <w:rsid w:val="16B0B2DE"/>
    <w:rsid w:val="16B209BA"/>
    <w:rsid w:val="16B3DAAF"/>
    <w:rsid w:val="16B68B07"/>
    <w:rsid w:val="16B690CB"/>
    <w:rsid w:val="16B6D4F6"/>
    <w:rsid w:val="16BC0106"/>
    <w:rsid w:val="16BC6843"/>
    <w:rsid w:val="16BD1249"/>
    <w:rsid w:val="16BD1B69"/>
    <w:rsid w:val="16C38335"/>
    <w:rsid w:val="16C3D7E0"/>
    <w:rsid w:val="16C48594"/>
    <w:rsid w:val="16C742CD"/>
    <w:rsid w:val="16C88203"/>
    <w:rsid w:val="16C9C86D"/>
    <w:rsid w:val="16CA2EC7"/>
    <w:rsid w:val="16CA7872"/>
    <w:rsid w:val="16CAEDC7"/>
    <w:rsid w:val="16CDB446"/>
    <w:rsid w:val="16CDC414"/>
    <w:rsid w:val="16CDFE27"/>
    <w:rsid w:val="16CF36C8"/>
    <w:rsid w:val="16D075AB"/>
    <w:rsid w:val="16D11711"/>
    <w:rsid w:val="16D132AD"/>
    <w:rsid w:val="16D37FE8"/>
    <w:rsid w:val="16D5416A"/>
    <w:rsid w:val="16DD5C1D"/>
    <w:rsid w:val="16DFF337"/>
    <w:rsid w:val="16E383D0"/>
    <w:rsid w:val="16E431BE"/>
    <w:rsid w:val="16E43F1F"/>
    <w:rsid w:val="16E65151"/>
    <w:rsid w:val="16EBE92C"/>
    <w:rsid w:val="16EE486C"/>
    <w:rsid w:val="16EE7C11"/>
    <w:rsid w:val="16F27D83"/>
    <w:rsid w:val="16F2E77C"/>
    <w:rsid w:val="16F59B1F"/>
    <w:rsid w:val="16F77809"/>
    <w:rsid w:val="16F964DC"/>
    <w:rsid w:val="16F9CE49"/>
    <w:rsid w:val="16F9D2CF"/>
    <w:rsid w:val="16F9E272"/>
    <w:rsid w:val="16F9E5BA"/>
    <w:rsid w:val="16FC8C4E"/>
    <w:rsid w:val="16FD9231"/>
    <w:rsid w:val="16FDF909"/>
    <w:rsid w:val="16FE07E6"/>
    <w:rsid w:val="16FE633D"/>
    <w:rsid w:val="17030EDE"/>
    <w:rsid w:val="1703C7CA"/>
    <w:rsid w:val="1703E044"/>
    <w:rsid w:val="1705AF25"/>
    <w:rsid w:val="1706D341"/>
    <w:rsid w:val="1706D892"/>
    <w:rsid w:val="170A10C4"/>
    <w:rsid w:val="170B5639"/>
    <w:rsid w:val="170BBCC1"/>
    <w:rsid w:val="170E0F1E"/>
    <w:rsid w:val="171343B0"/>
    <w:rsid w:val="1713CE2B"/>
    <w:rsid w:val="1713E63F"/>
    <w:rsid w:val="17156DDF"/>
    <w:rsid w:val="171707FB"/>
    <w:rsid w:val="171C2970"/>
    <w:rsid w:val="171C3832"/>
    <w:rsid w:val="171C65CE"/>
    <w:rsid w:val="171D1BD8"/>
    <w:rsid w:val="171D6B12"/>
    <w:rsid w:val="1720728C"/>
    <w:rsid w:val="1721C595"/>
    <w:rsid w:val="17220BB6"/>
    <w:rsid w:val="17221838"/>
    <w:rsid w:val="17233C1C"/>
    <w:rsid w:val="17246A4C"/>
    <w:rsid w:val="172586C4"/>
    <w:rsid w:val="17294A8C"/>
    <w:rsid w:val="1729714A"/>
    <w:rsid w:val="17298D54"/>
    <w:rsid w:val="172B42D7"/>
    <w:rsid w:val="172C8A02"/>
    <w:rsid w:val="172F4D48"/>
    <w:rsid w:val="172F9C65"/>
    <w:rsid w:val="1731C266"/>
    <w:rsid w:val="173277EC"/>
    <w:rsid w:val="17338D55"/>
    <w:rsid w:val="1734B3BD"/>
    <w:rsid w:val="1736AF7B"/>
    <w:rsid w:val="173880B2"/>
    <w:rsid w:val="17398090"/>
    <w:rsid w:val="173D1744"/>
    <w:rsid w:val="173D6674"/>
    <w:rsid w:val="173D9F0E"/>
    <w:rsid w:val="173F67F3"/>
    <w:rsid w:val="173F6E1F"/>
    <w:rsid w:val="173FF85A"/>
    <w:rsid w:val="17405249"/>
    <w:rsid w:val="17411CC7"/>
    <w:rsid w:val="17422D88"/>
    <w:rsid w:val="1742ABBB"/>
    <w:rsid w:val="1742E44E"/>
    <w:rsid w:val="17462A57"/>
    <w:rsid w:val="1746300D"/>
    <w:rsid w:val="174B408E"/>
    <w:rsid w:val="174C5DB1"/>
    <w:rsid w:val="174EEBC3"/>
    <w:rsid w:val="174FCDD6"/>
    <w:rsid w:val="174FF9DE"/>
    <w:rsid w:val="17507127"/>
    <w:rsid w:val="17544868"/>
    <w:rsid w:val="17568763"/>
    <w:rsid w:val="1756B4ED"/>
    <w:rsid w:val="175874FB"/>
    <w:rsid w:val="1758A57A"/>
    <w:rsid w:val="175CF24A"/>
    <w:rsid w:val="175D3EE8"/>
    <w:rsid w:val="175F9621"/>
    <w:rsid w:val="1761ADBA"/>
    <w:rsid w:val="1761B75E"/>
    <w:rsid w:val="17629E32"/>
    <w:rsid w:val="17644217"/>
    <w:rsid w:val="17652169"/>
    <w:rsid w:val="176BF75D"/>
    <w:rsid w:val="176D11CE"/>
    <w:rsid w:val="176D4405"/>
    <w:rsid w:val="176D6215"/>
    <w:rsid w:val="176F920B"/>
    <w:rsid w:val="176FE436"/>
    <w:rsid w:val="177041EE"/>
    <w:rsid w:val="1770D460"/>
    <w:rsid w:val="177144A7"/>
    <w:rsid w:val="177343DA"/>
    <w:rsid w:val="17739272"/>
    <w:rsid w:val="17757295"/>
    <w:rsid w:val="177ABB6A"/>
    <w:rsid w:val="177ACF49"/>
    <w:rsid w:val="177E010A"/>
    <w:rsid w:val="177E18CA"/>
    <w:rsid w:val="177E64E0"/>
    <w:rsid w:val="177EE098"/>
    <w:rsid w:val="178105FC"/>
    <w:rsid w:val="178226D4"/>
    <w:rsid w:val="1782545A"/>
    <w:rsid w:val="17860076"/>
    <w:rsid w:val="17882DC3"/>
    <w:rsid w:val="178DBBEB"/>
    <w:rsid w:val="1792355D"/>
    <w:rsid w:val="1793ED6D"/>
    <w:rsid w:val="17976A7D"/>
    <w:rsid w:val="17987EA0"/>
    <w:rsid w:val="179AB2B8"/>
    <w:rsid w:val="179AC788"/>
    <w:rsid w:val="179BAC5E"/>
    <w:rsid w:val="179D155E"/>
    <w:rsid w:val="179E9B09"/>
    <w:rsid w:val="17A1D676"/>
    <w:rsid w:val="17A32A24"/>
    <w:rsid w:val="17A3EB9E"/>
    <w:rsid w:val="17A67EDF"/>
    <w:rsid w:val="17A68814"/>
    <w:rsid w:val="17A823AC"/>
    <w:rsid w:val="17AB4035"/>
    <w:rsid w:val="17ACD230"/>
    <w:rsid w:val="17ADB511"/>
    <w:rsid w:val="17ADE804"/>
    <w:rsid w:val="17AEB18E"/>
    <w:rsid w:val="17AFA16E"/>
    <w:rsid w:val="17B03142"/>
    <w:rsid w:val="17B11D8C"/>
    <w:rsid w:val="17B1C640"/>
    <w:rsid w:val="17B2DD00"/>
    <w:rsid w:val="17B34C63"/>
    <w:rsid w:val="17B382D5"/>
    <w:rsid w:val="17B39133"/>
    <w:rsid w:val="17B49BA1"/>
    <w:rsid w:val="17B4B0E6"/>
    <w:rsid w:val="17B561BC"/>
    <w:rsid w:val="17B66DA4"/>
    <w:rsid w:val="17B6D41C"/>
    <w:rsid w:val="17B79EB6"/>
    <w:rsid w:val="17BCA062"/>
    <w:rsid w:val="17BD6155"/>
    <w:rsid w:val="17BE455D"/>
    <w:rsid w:val="17BF2761"/>
    <w:rsid w:val="17C0FE95"/>
    <w:rsid w:val="17C43492"/>
    <w:rsid w:val="17C45567"/>
    <w:rsid w:val="17C5F20B"/>
    <w:rsid w:val="17C6EC3D"/>
    <w:rsid w:val="17C7E222"/>
    <w:rsid w:val="17CAA1D3"/>
    <w:rsid w:val="17CAE0AA"/>
    <w:rsid w:val="17CF2F61"/>
    <w:rsid w:val="17D25EA9"/>
    <w:rsid w:val="17D2C1D3"/>
    <w:rsid w:val="17D2E50E"/>
    <w:rsid w:val="17D320A2"/>
    <w:rsid w:val="17D380DB"/>
    <w:rsid w:val="17D77F24"/>
    <w:rsid w:val="17D84FBE"/>
    <w:rsid w:val="17D8B8CF"/>
    <w:rsid w:val="17DA0174"/>
    <w:rsid w:val="17DBA067"/>
    <w:rsid w:val="17DCDEDB"/>
    <w:rsid w:val="17DE9D62"/>
    <w:rsid w:val="17E02A51"/>
    <w:rsid w:val="17E4FAFB"/>
    <w:rsid w:val="17E54EAA"/>
    <w:rsid w:val="17E6217A"/>
    <w:rsid w:val="17E653B3"/>
    <w:rsid w:val="17E91049"/>
    <w:rsid w:val="17EA0BF9"/>
    <w:rsid w:val="17EB74A4"/>
    <w:rsid w:val="17EBC9FE"/>
    <w:rsid w:val="17EC34D6"/>
    <w:rsid w:val="17ED1A94"/>
    <w:rsid w:val="17EE6E6B"/>
    <w:rsid w:val="17EF3F4D"/>
    <w:rsid w:val="17F0D6E2"/>
    <w:rsid w:val="17F2CF98"/>
    <w:rsid w:val="17F42163"/>
    <w:rsid w:val="17F4ED26"/>
    <w:rsid w:val="17F70FC3"/>
    <w:rsid w:val="17F7F1D2"/>
    <w:rsid w:val="17F84167"/>
    <w:rsid w:val="17F8B3FE"/>
    <w:rsid w:val="17FBE586"/>
    <w:rsid w:val="17FC2D2F"/>
    <w:rsid w:val="17FCA54A"/>
    <w:rsid w:val="17FD65B9"/>
    <w:rsid w:val="1804AF1C"/>
    <w:rsid w:val="180505CB"/>
    <w:rsid w:val="18056C00"/>
    <w:rsid w:val="18060453"/>
    <w:rsid w:val="180748EF"/>
    <w:rsid w:val="18089927"/>
    <w:rsid w:val="180AFED7"/>
    <w:rsid w:val="180E7FF3"/>
    <w:rsid w:val="180F060F"/>
    <w:rsid w:val="1811E10D"/>
    <w:rsid w:val="1812E392"/>
    <w:rsid w:val="1812FCF7"/>
    <w:rsid w:val="18133420"/>
    <w:rsid w:val="18160159"/>
    <w:rsid w:val="1816869C"/>
    <w:rsid w:val="18171B4A"/>
    <w:rsid w:val="18187FBC"/>
    <w:rsid w:val="181961A4"/>
    <w:rsid w:val="1819F530"/>
    <w:rsid w:val="181BB056"/>
    <w:rsid w:val="181CE1D4"/>
    <w:rsid w:val="1821444A"/>
    <w:rsid w:val="18237E9F"/>
    <w:rsid w:val="182984DD"/>
    <w:rsid w:val="1829D774"/>
    <w:rsid w:val="182B26C7"/>
    <w:rsid w:val="182B88EA"/>
    <w:rsid w:val="182C25D2"/>
    <w:rsid w:val="182E3CD4"/>
    <w:rsid w:val="182F9BC5"/>
    <w:rsid w:val="18322AC5"/>
    <w:rsid w:val="1836B547"/>
    <w:rsid w:val="18388B7A"/>
    <w:rsid w:val="1838D8F8"/>
    <w:rsid w:val="1838ED95"/>
    <w:rsid w:val="18392F49"/>
    <w:rsid w:val="18395A93"/>
    <w:rsid w:val="183A7AF1"/>
    <w:rsid w:val="183B6E24"/>
    <w:rsid w:val="183C3D11"/>
    <w:rsid w:val="183C78EB"/>
    <w:rsid w:val="183CD423"/>
    <w:rsid w:val="183E7320"/>
    <w:rsid w:val="183ED9BB"/>
    <w:rsid w:val="1840D740"/>
    <w:rsid w:val="184474B3"/>
    <w:rsid w:val="1845A4E0"/>
    <w:rsid w:val="18465340"/>
    <w:rsid w:val="1846D22D"/>
    <w:rsid w:val="1847A985"/>
    <w:rsid w:val="1848EFAB"/>
    <w:rsid w:val="184A07E7"/>
    <w:rsid w:val="184A9412"/>
    <w:rsid w:val="184B9BCB"/>
    <w:rsid w:val="184CAAC2"/>
    <w:rsid w:val="184DFE5C"/>
    <w:rsid w:val="184FE7A4"/>
    <w:rsid w:val="185226F6"/>
    <w:rsid w:val="18532E81"/>
    <w:rsid w:val="18542E89"/>
    <w:rsid w:val="18550E3B"/>
    <w:rsid w:val="1858059A"/>
    <w:rsid w:val="185B69AD"/>
    <w:rsid w:val="185C45F1"/>
    <w:rsid w:val="185DE064"/>
    <w:rsid w:val="185FA240"/>
    <w:rsid w:val="186090C8"/>
    <w:rsid w:val="18616FA3"/>
    <w:rsid w:val="18660250"/>
    <w:rsid w:val="18661DF5"/>
    <w:rsid w:val="1866DBAC"/>
    <w:rsid w:val="186716CB"/>
    <w:rsid w:val="186849C5"/>
    <w:rsid w:val="186D5694"/>
    <w:rsid w:val="186EDBA5"/>
    <w:rsid w:val="186EF568"/>
    <w:rsid w:val="186F8A1A"/>
    <w:rsid w:val="18713FCA"/>
    <w:rsid w:val="18719162"/>
    <w:rsid w:val="1872F22E"/>
    <w:rsid w:val="18771400"/>
    <w:rsid w:val="18792BB4"/>
    <w:rsid w:val="187BBAAA"/>
    <w:rsid w:val="187BFF29"/>
    <w:rsid w:val="187CDD6B"/>
    <w:rsid w:val="187DBE09"/>
    <w:rsid w:val="187E5AF2"/>
    <w:rsid w:val="18815A8E"/>
    <w:rsid w:val="188616C9"/>
    <w:rsid w:val="1886A989"/>
    <w:rsid w:val="1887A2AF"/>
    <w:rsid w:val="1887E415"/>
    <w:rsid w:val="1888EEC9"/>
    <w:rsid w:val="188AD9A1"/>
    <w:rsid w:val="188C5532"/>
    <w:rsid w:val="188CD485"/>
    <w:rsid w:val="188DC765"/>
    <w:rsid w:val="188DD067"/>
    <w:rsid w:val="188E9907"/>
    <w:rsid w:val="188F862A"/>
    <w:rsid w:val="18905D2B"/>
    <w:rsid w:val="1892A2D9"/>
    <w:rsid w:val="18944890"/>
    <w:rsid w:val="1894C761"/>
    <w:rsid w:val="1894D328"/>
    <w:rsid w:val="1896E430"/>
    <w:rsid w:val="18982791"/>
    <w:rsid w:val="18994830"/>
    <w:rsid w:val="189A4633"/>
    <w:rsid w:val="189C4EA6"/>
    <w:rsid w:val="189CF4F8"/>
    <w:rsid w:val="189EC3BD"/>
    <w:rsid w:val="189EE1F7"/>
    <w:rsid w:val="189F7C93"/>
    <w:rsid w:val="18A012AA"/>
    <w:rsid w:val="18A0E588"/>
    <w:rsid w:val="18A225A8"/>
    <w:rsid w:val="18A2C885"/>
    <w:rsid w:val="18A44571"/>
    <w:rsid w:val="18A51CE8"/>
    <w:rsid w:val="18A7C68F"/>
    <w:rsid w:val="18A87F50"/>
    <w:rsid w:val="18A9ADD3"/>
    <w:rsid w:val="18A9CE7F"/>
    <w:rsid w:val="18A9FBE1"/>
    <w:rsid w:val="18AAEA58"/>
    <w:rsid w:val="18AD50C3"/>
    <w:rsid w:val="18AF3AAF"/>
    <w:rsid w:val="18AF934F"/>
    <w:rsid w:val="18AFF6A7"/>
    <w:rsid w:val="18B084CD"/>
    <w:rsid w:val="18B0D582"/>
    <w:rsid w:val="18B3BBA0"/>
    <w:rsid w:val="18B5BAB9"/>
    <w:rsid w:val="18B6411E"/>
    <w:rsid w:val="18B939F6"/>
    <w:rsid w:val="18BA6475"/>
    <w:rsid w:val="18BBFF5D"/>
    <w:rsid w:val="18BD624B"/>
    <w:rsid w:val="18BEBA38"/>
    <w:rsid w:val="18BEBB6B"/>
    <w:rsid w:val="18BEBC4D"/>
    <w:rsid w:val="18BF6B45"/>
    <w:rsid w:val="18C1AF10"/>
    <w:rsid w:val="18C5F6C2"/>
    <w:rsid w:val="18C66E83"/>
    <w:rsid w:val="18C67957"/>
    <w:rsid w:val="18C6D5DF"/>
    <w:rsid w:val="18C7199B"/>
    <w:rsid w:val="18C72C0D"/>
    <w:rsid w:val="18C7D969"/>
    <w:rsid w:val="18C92039"/>
    <w:rsid w:val="18C93A6C"/>
    <w:rsid w:val="18C951D2"/>
    <w:rsid w:val="18CCC5FF"/>
    <w:rsid w:val="18CDF95A"/>
    <w:rsid w:val="18D0A36C"/>
    <w:rsid w:val="18D46813"/>
    <w:rsid w:val="18D756C9"/>
    <w:rsid w:val="18D7BDE2"/>
    <w:rsid w:val="18D7E1B2"/>
    <w:rsid w:val="18D86E4D"/>
    <w:rsid w:val="18DA269A"/>
    <w:rsid w:val="18DB069C"/>
    <w:rsid w:val="18DBE063"/>
    <w:rsid w:val="18DC5F67"/>
    <w:rsid w:val="18E079A9"/>
    <w:rsid w:val="18E1B53D"/>
    <w:rsid w:val="18E3DF43"/>
    <w:rsid w:val="18E43FB3"/>
    <w:rsid w:val="18EA83C9"/>
    <w:rsid w:val="18EAC768"/>
    <w:rsid w:val="18EBA62F"/>
    <w:rsid w:val="18EDB18E"/>
    <w:rsid w:val="18F3CE46"/>
    <w:rsid w:val="18F47696"/>
    <w:rsid w:val="18F66B79"/>
    <w:rsid w:val="18F6C111"/>
    <w:rsid w:val="18F71538"/>
    <w:rsid w:val="18F95E1B"/>
    <w:rsid w:val="18FA89B3"/>
    <w:rsid w:val="18FC7802"/>
    <w:rsid w:val="18FCBC4D"/>
    <w:rsid w:val="18FF7434"/>
    <w:rsid w:val="19007A15"/>
    <w:rsid w:val="1901D6F2"/>
    <w:rsid w:val="190243A3"/>
    <w:rsid w:val="19033A03"/>
    <w:rsid w:val="19057A9F"/>
    <w:rsid w:val="1905A85C"/>
    <w:rsid w:val="1906CF61"/>
    <w:rsid w:val="19070D20"/>
    <w:rsid w:val="1907F552"/>
    <w:rsid w:val="190B46E3"/>
    <w:rsid w:val="190B93CA"/>
    <w:rsid w:val="190D2D46"/>
    <w:rsid w:val="190D78D4"/>
    <w:rsid w:val="190DF088"/>
    <w:rsid w:val="190EAB98"/>
    <w:rsid w:val="190EC3CD"/>
    <w:rsid w:val="190F94FA"/>
    <w:rsid w:val="19125A1F"/>
    <w:rsid w:val="19137104"/>
    <w:rsid w:val="1917968B"/>
    <w:rsid w:val="1919CFA1"/>
    <w:rsid w:val="191C3F5B"/>
    <w:rsid w:val="191C8276"/>
    <w:rsid w:val="191F473A"/>
    <w:rsid w:val="191F51C8"/>
    <w:rsid w:val="19207F8C"/>
    <w:rsid w:val="1923CFE5"/>
    <w:rsid w:val="1923F9AE"/>
    <w:rsid w:val="19252531"/>
    <w:rsid w:val="1925B9B3"/>
    <w:rsid w:val="19277F76"/>
    <w:rsid w:val="1928691B"/>
    <w:rsid w:val="1929E8DE"/>
    <w:rsid w:val="192C1C1E"/>
    <w:rsid w:val="192D0A62"/>
    <w:rsid w:val="192DBB16"/>
    <w:rsid w:val="19309B65"/>
    <w:rsid w:val="19329C8E"/>
    <w:rsid w:val="19338C3E"/>
    <w:rsid w:val="1933CB02"/>
    <w:rsid w:val="193523EB"/>
    <w:rsid w:val="1936E6EE"/>
    <w:rsid w:val="1937A5D4"/>
    <w:rsid w:val="193CF154"/>
    <w:rsid w:val="1940E13C"/>
    <w:rsid w:val="1941A073"/>
    <w:rsid w:val="19426B86"/>
    <w:rsid w:val="19428113"/>
    <w:rsid w:val="19457B20"/>
    <w:rsid w:val="19459960"/>
    <w:rsid w:val="1945DEFE"/>
    <w:rsid w:val="1948F7D9"/>
    <w:rsid w:val="19491755"/>
    <w:rsid w:val="194BDC60"/>
    <w:rsid w:val="194BF204"/>
    <w:rsid w:val="194DE4AE"/>
    <w:rsid w:val="194E7FF3"/>
    <w:rsid w:val="194F660B"/>
    <w:rsid w:val="194FE7CA"/>
    <w:rsid w:val="194FF5CB"/>
    <w:rsid w:val="19509150"/>
    <w:rsid w:val="19539DD0"/>
    <w:rsid w:val="195477D3"/>
    <w:rsid w:val="1954DDFE"/>
    <w:rsid w:val="195604D6"/>
    <w:rsid w:val="1957234A"/>
    <w:rsid w:val="19576D35"/>
    <w:rsid w:val="19594123"/>
    <w:rsid w:val="195A7845"/>
    <w:rsid w:val="195AACAD"/>
    <w:rsid w:val="195D36E1"/>
    <w:rsid w:val="195D49E7"/>
    <w:rsid w:val="195F075B"/>
    <w:rsid w:val="196061BA"/>
    <w:rsid w:val="19615357"/>
    <w:rsid w:val="19634288"/>
    <w:rsid w:val="1963E6BC"/>
    <w:rsid w:val="196589C3"/>
    <w:rsid w:val="196B5803"/>
    <w:rsid w:val="196C6412"/>
    <w:rsid w:val="196D84ED"/>
    <w:rsid w:val="196E1498"/>
    <w:rsid w:val="1970F3D9"/>
    <w:rsid w:val="1971FE8B"/>
    <w:rsid w:val="197297AC"/>
    <w:rsid w:val="19743976"/>
    <w:rsid w:val="1974B189"/>
    <w:rsid w:val="1975854D"/>
    <w:rsid w:val="1977218D"/>
    <w:rsid w:val="19774CFB"/>
    <w:rsid w:val="19778F29"/>
    <w:rsid w:val="1978F5F3"/>
    <w:rsid w:val="1979875B"/>
    <w:rsid w:val="1979EB91"/>
    <w:rsid w:val="197DBF41"/>
    <w:rsid w:val="197F6B3A"/>
    <w:rsid w:val="198721B0"/>
    <w:rsid w:val="198901DC"/>
    <w:rsid w:val="198A28BE"/>
    <w:rsid w:val="198AE2B9"/>
    <w:rsid w:val="198D8834"/>
    <w:rsid w:val="198E2242"/>
    <w:rsid w:val="198EEB4B"/>
    <w:rsid w:val="1992C909"/>
    <w:rsid w:val="1992F3F4"/>
    <w:rsid w:val="1992F88F"/>
    <w:rsid w:val="199499D6"/>
    <w:rsid w:val="1995FD3C"/>
    <w:rsid w:val="19964821"/>
    <w:rsid w:val="199D132F"/>
    <w:rsid w:val="199D50F4"/>
    <w:rsid w:val="199DFF08"/>
    <w:rsid w:val="19A05E24"/>
    <w:rsid w:val="19A07857"/>
    <w:rsid w:val="19A087A6"/>
    <w:rsid w:val="19A0A118"/>
    <w:rsid w:val="19A2541A"/>
    <w:rsid w:val="19A2A6B1"/>
    <w:rsid w:val="19A2F111"/>
    <w:rsid w:val="19A546CA"/>
    <w:rsid w:val="19A6F2A7"/>
    <w:rsid w:val="19A9A887"/>
    <w:rsid w:val="19A9DA77"/>
    <w:rsid w:val="19A9F816"/>
    <w:rsid w:val="19ABEA48"/>
    <w:rsid w:val="19ADC19F"/>
    <w:rsid w:val="19AF4DDE"/>
    <w:rsid w:val="19B22DE5"/>
    <w:rsid w:val="19B24837"/>
    <w:rsid w:val="19B2A5E5"/>
    <w:rsid w:val="19B345E4"/>
    <w:rsid w:val="19B34697"/>
    <w:rsid w:val="19B5A19F"/>
    <w:rsid w:val="19B5A258"/>
    <w:rsid w:val="19B646B5"/>
    <w:rsid w:val="19B744DE"/>
    <w:rsid w:val="19B75C1C"/>
    <w:rsid w:val="19B9B45F"/>
    <w:rsid w:val="19BB8410"/>
    <w:rsid w:val="19BC229D"/>
    <w:rsid w:val="19BCF336"/>
    <w:rsid w:val="19BEEE72"/>
    <w:rsid w:val="19BF3554"/>
    <w:rsid w:val="19C1CB66"/>
    <w:rsid w:val="19C380AF"/>
    <w:rsid w:val="19C5637E"/>
    <w:rsid w:val="19C60169"/>
    <w:rsid w:val="19C61F16"/>
    <w:rsid w:val="19C6DF99"/>
    <w:rsid w:val="19C97D2B"/>
    <w:rsid w:val="19CA048D"/>
    <w:rsid w:val="19CC76A3"/>
    <w:rsid w:val="19CE4C46"/>
    <w:rsid w:val="19CFFE67"/>
    <w:rsid w:val="19D19DE5"/>
    <w:rsid w:val="19D29AC8"/>
    <w:rsid w:val="19D3836F"/>
    <w:rsid w:val="19D55AF0"/>
    <w:rsid w:val="19D595EA"/>
    <w:rsid w:val="19D5EDBA"/>
    <w:rsid w:val="19D73D3E"/>
    <w:rsid w:val="19D8F913"/>
    <w:rsid w:val="19D9659D"/>
    <w:rsid w:val="19DCBC20"/>
    <w:rsid w:val="19E0C251"/>
    <w:rsid w:val="19E1538F"/>
    <w:rsid w:val="19E43C03"/>
    <w:rsid w:val="19E4BACA"/>
    <w:rsid w:val="19E69F19"/>
    <w:rsid w:val="19E6A97B"/>
    <w:rsid w:val="19E8AC7A"/>
    <w:rsid w:val="19E90A41"/>
    <w:rsid w:val="19EA6759"/>
    <w:rsid w:val="19EAFE8A"/>
    <w:rsid w:val="19EC5E73"/>
    <w:rsid w:val="19EE03BC"/>
    <w:rsid w:val="19EE04A6"/>
    <w:rsid w:val="19EE5DC8"/>
    <w:rsid w:val="19F221CC"/>
    <w:rsid w:val="19F4BC2B"/>
    <w:rsid w:val="19F4E41D"/>
    <w:rsid w:val="19F65E66"/>
    <w:rsid w:val="19F6AC9A"/>
    <w:rsid w:val="19FA164B"/>
    <w:rsid w:val="19FB94DE"/>
    <w:rsid w:val="19FC1EB3"/>
    <w:rsid w:val="19FF182D"/>
    <w:rsid w:val="19FF2F17"/>
    <w:rsid w:val="1A02384E"/>
    <w:rsid w:val="1A036B0C"/>
    <w:rsid w:val="1A03D97E"/>
    <w:rsid w:val="1A0487C7"/>
    <w:rsid w:val="1A05E365"/>
    <w:rsid w:val="1A05F8B0"/>
    <w:rsid w:val="1A05F8F3"/>
    <w:rsid w:val="1A077DFD"/>
    <w:rsid w:val="1A088C86"/>
    <w:rsid w:val="1A08A4C5"/>
    <w:rsid w:val="1A0C084E"/>
    <w:rsid w:val="1A0C4500"/>
    <w:rsid w:val="1A0D6325"/>
    <w:rsid w:val="1A0E9FD3"/>
    <w:rsid w:val="1A0ED8A9"/>
    <w:rsid w:val="1A1094CE"/>
    <w:rsid w:val="1A143691"/>
    <w:rsid w:val="1A14EBB4"/>
    <w:rsid w:val="1A16FA3B"/>
    <w:rsid w:val="1A170902"/>
    <w:rsid w:val="1A18A2B3"/>
    <w:rsid w:val="1A198009"/>
    <w:rsid w:val="1A199288"/>
    <w:rsid w:val="1A1A0432"/>
    <w:rsid w:val="1A1C43F7"/>
    <w:rsid w:val="1A2256F9"/>
    <w:rsid w:val="1A248D1F"/>
    <w:rsid w:val="1A256933"/>
    <w:rsid w:val="1A259DE9"/>
    <w:rsid w:val="1A28E55F"/>
    <w:rsid w:val="1A2CDEBC"/>
    <w:rsid w:val="1A2D3EB8"/>
    <w:rsid w:val="1A2EC43B"/>
    <w:rsid w:val="1A3059B0"/>
    <w:rsid w:val="1A30D5DD"/>
    <w:rsid w:val="1A3130B6"/>
    <w:rsid w:val="1A34EBE5"/>
    <w:rsid w:val="1A35D3C3"/>
    <w:rsid w:val="1A36C92B"/>
    <w:rsid w:val="1A3733DD"/>
    <w:rsid w:val="1A3B56A2"/>
    <w:rsid w:val="1A3CC706"/>
    <w:rsid w:val="1A3E2948"/>
    <w:rsid w:val="1A3E9332"/>
    <w:rsid w:val="1A3EB442"/>
    <w:rsid w:val="1A3FFEEE"/>
    <w:rsid w:val="1A408662"/>
    <w:rsid w:val="1A408C2A"/>
    <w:rsid w:val="1A40A6B0"/>
    <w:rsid w:val="1A422083"/>
    <w:rsid w:val="1A43B637"/>
    <w:rsid w:val="1A447B98"/>
    <w:rsid w:val="1A448FDB"/>
    <w:rsid w:val="1A45F4D6"/>
    <w:rsid w:val="1A466BDD"/>
    <w:rsid w:val="1A471ADC"/>
    <w:rsid w:val="1A47A4CF"/>
    <w:rsid w:val="1A483D55"/>
    <w:rsid w:val="1A48436D"/>
    <w:rsid w:val="1A4C1A46"/>
    <w:rsid w:val="1A4CC041"/>
    <w:rsid w:val="1A4DBBED"/>
    <w:rsid w:val="1A4E07D6"/>
    <w:rsid w:val="1A4F2051"/>
    <w:rsid w:val="1A4FAF74"/>
    <w:rsid w:val="1A4FE087"/>
    <w:rsid w:val="1A507087"/>
    <w:rsid w:val="1A50B0BE"/>
    <w:rsid w:val="1A515EAA"/>
    <w:rsid w:val="1A51FEF6"/>
    <w:rsid w:val="1A540202"/>
    <w:rsid w:val="1A54CD7A"/>
    <w:rsid w:val="1A56B1D0"/>
    <w:rsid w:val="1A5768F5"/>
    <w:rsid w:val="1A5872F5"/>
    <w:rsid w:val="1A5A1E34"/>
    <w:rsid w:val="1A5B231D"/>
    <w:rsid w:val="1A5DE852"/>
    <w:rsid w:val="1A62AC39"/>
    <w:rsid w:val="1A63493A"/>
    <w:rsid w:val="1A659439"/>
    <w:rsid w:val="1A68C90C"/>
    <w:rsid w:val="1A6A4295"/>
    <w:rsid w:val="1A6A75B5"/>
    <w:rsid w:val="1A6CDD29"/>
    <w:rsid w:val="1A6EFFDF"/>
    <w:rsid w:val="1A717961"/>
    <w:rsid w:val="1A746B88"/>
    <w:rsid w:val="1A74D030"/>
    <w:rsid w:val="1A777ACB"/>
    <w:rsid w:val="1A796CE2"/>
    <w:rsid w:val="1A7BA0D2"/>
    <w:rsid w:val="1A7C2542"/>
    <w:rsid w:val="1A7E8CB0"/>
    <w:rsid w:val="1A7EE17E"/>
    <w:rsid w:val="1A805E78"/>
    <w:rsid w:val="1A84B1B1"/>
    <w:rsid w:val="1A859612"/>
    <w:rsid w:val="1A872D83"/>
    <w:rsid w:val="1A8AA3D1"/>
    <w:rsid w:val="1A8BB1C9"/>
    <w:rsid w:val="1A8C69A3"/>
    <w:rsid w:val="1A8C91FB"/>
    <w:rsid w:val="1A8D3451"/>
    <w:rsid w:val="1A8DA8AD"/>
    <w:rsid w:val="1A8E1B24"/>
    <w:rsid w:val="1A91AE5D"/>
    <w:rsid w:val="1A927131"/>
    <w:rsid w:val="1A9708FD"/>
    <w:rsid w:val="1A97395C"/>
    <w:rsid w:val="1A979021"/>
    <w:rsid w:val="1A97EC6B"/>
    <w:rsid w:val="1A982D8A"/>
    <w:rsid w:val="1A99BEB1"/>
    <w:rsid w:val="1A99E88E"/>
    <w:rsid w:val="1A9CFEF5"/>
    <w:rsid w:val="1A9E2906"/>
    <w:rsid w:val="1AA03E5B"/>
    <w:rsid w:val="1AA1A363"/>
    <w:rsid w:val="1AA200B5"/>
    <w:rsid w:val="1AA23629"/>
    <w:rsid w:val="1AA35BAF"/>
    <w:rsid w:val="1AA37509"/>
    <w:rsid w:val="1AA42B67"/>
    <w:rsid w:val="1AA4D0C2"/>
    <w:rsid w:val="1AA50207"/>
    <w:rsid w:val="1AA5E6D0"/>
    <w:rsid w:val="1AA608BE"/>
    <w:rsid w:val="1AA6A63C"/>
    <w:rsid w:val="1AAB8F2E"/>
    <w:rsid w:val="1AABC973"/>
    <w:rsid w:val="1AACCA35"/>
    <w:rsid w:val="1AAD13E6"/>
    <w:rsid w:val="1AAD75C4"/>
    <w:rsid w:val="1AADD3CE"/>
    <w:rsid w:val="1AAF701A"/>
    <w:rsid w:val="1AAFC542"/>
    <w:rsid w:val="1AB0A6BD"/>
    <w:rsid w:val="1AB38888"/>
    <w:rsid w:val="1AB59CE9"/>
    <w:rsid w:val="1AB7AB95"/>
    <w:rsid w:val="1ABBEE94"/>
    <w:rsid w:val="1ABC5964"/>
    <w:rsid w:val="1ABC8541"/>
    <w:rsid w:val="1ABCB61F"/>
    <w:rsid w:val="1ABD083E"/>
    <w:rsid w:val="1AC102E4"/>
    <w:rsid w:val="1AC1B16D"/>
    <w:rsid w:val="1AC2648C"/>
    <w:rsid w:val="1AC79291"/>
    <w:rsid w:val="1AC83DB7"/>
    <w:rsid w:val="1AC8669D"/>
    <w:rsid w:val="1ACCB709"/>
    <w:rsid w:val="1ACDAEC6"/>
    <w:rsid w:val="1ACE0B30"/>
    <w:rsid w:val="1ACE1AB1"/>
    <w:rsid w:val="1ACFFC00"/>
    <w:rsid w:val="1AD0CB0F"/>
    <w:rsid w:val="1AD5B0C8"/>
    <w:rsid w:val="1AD62554"/>
    <w:rsid w:val="1AD68ABD"/>
    <w:rsid w:val="1AD6AA9B"/>
    <w:rsid w:val="1AD7397B"/>
    <w:rsid w:val="1AD83ED1"/>
    <w:rsid w:val="1AD9177A"/>
    <w:rsid w:val="1AD93453"/>
    <w:rsid w:val="1ADA406F"/>
    <w:rsid w:val="1ADB1B66"/>
    <w:rsid w:val="1ADE8803"/>
    <w:rsid w:val="1ADF2898"/>
    <w:rsid w:val="1AE17D27"/>
    <w:rsid w:val="1AE31D77"/>
    <w:rsid w:val="1AE34C6B"/>
    <w:rsid w:val="1AE4B995"/>
    <w:rsid w:val="1AE89159"/>
    <w:rsid w:val="1AE9F39C"/>
    <w:rsid w:val="1AEAAA32"/>
    <w:rsid w:val="1AEC151C"/>
    <w:rsid w:val="1AED1E10"/>
    <w:rsid w:val="1AEE7874"/>
    <w:rsid w:val="1AEEE76D"/>
    <w:rsid w:val="1AEF7DCA"/>
    <w:rsid w:val="1AF257F9"/>
    <w:rsid w:val="1AF2B2F4"/>
    <w:rsid w:val="1AF2C27F"/>
    <w:rsid w:val="1AF3053C"/>
    <w:rsid w:val="1AF39B36"/>
    <w:rsid w:val="1AF3AECD"/>
    <w:rsid w:val="1AF3C03C"/>
    <w:rsid w:val="1AF411DF"/>
    <w:rsid w:val="1AF68095"/>
    <w:rsid w:val="1AF78D6A"/>
    <w:rsid w:val="1AF8F409"/>
    <w:rsid w:val="1AF928D2"/>
    <w:rsid w:val="1AF93F9E"/>
    <w:rsid w:val="1AFCBB6D"/>
    <w:rsid w:val="1AFD9E4D"/>
    <w:rsid w:val="1B005AAE"/>
    <w:rsid w:val="1B011E9D"/>
    <w:rsid w:val="1B034BB5"/>
    <w:rsid w:val="1B071E3C"/>
    <w:rsid w:val="1B088027"/>
    <w:rsid w:val="1B0B8083"/>
    <w:rsid w:val="1B0CEC6A"/>
    <w:rsid w:val="1B0EC1DD"/>
    <w:rsid w:val="1B10197D"/>
    <w:rsid w:val="1B128F12"/>
    <w:rsid w:val="1B13C873"/>
    <w:rsid w:val="1B14DC56"/>
    <w:rsid w:val="1B1583DB"/>
    <w:rsid w:val="1B15A8FE"/>
    <w:rsid w:val="1B16A8ED"/>
    <w:rsid w:val="1B18324A"/>
    <w:rsid w:val="1B1B355C"/>
    <w:rsid w:val="1B1C624A"/>
    <w:rsid w:val="1B1E3EDF"/>
    <w:rsid w:val="1B23380A"/>
    <w:rsid w:val="1B2721C8"/>
    <w:rsid w:val="1B2765D7"/>
    <w:rsid w:val="1B27A3DF"/>
    <w:rsid w:val="1B298FE6"/>
    <w:rsid w:val="1B2A9D71"/>
    <w:rsid w:val="1B2AB8F5"/>
    <w:rsid w:val="1B2BB6FA"/>
    <w:rsid w:val="1B2BC816"/>
    <w:rsid w:val="1B2D8E5F"/>
    <w:rsid w:val="1B2E2B15"/>
    <w:rsid w:val="1B2F5A7E"/>
    <w:rsid w:val="1B3002F8"/>
    <w:rsid w:val="1B313EDC"/>
    <w:rsid w:val="1B320F3E"/>
    <w:rsid w:val="1B34701F"/>
    <w:rsid w:val="1B3715BC"/>
    <w:rsid w:val="1B37BAB0"/>
    <w:rsid w:val="1B37DE11"/>
    <w:rsid w:val="1B3A8152"/>
    <w:rsid w:val="1B3D1D23"/>
    <w:rsid w:val="1B3E8D3A"/>
    <w:rsid w:val="1B3E93EC"/>
    <w:rsid w:val="1B410A82"/>
    <w:rsid w:val="1B4299AC"/>
    <w:rsid w:val="1B44E045"/>
    <w:rsid w:val="1B463230"/>
    <w:rsid w:val="1B46DE5E"/>
    <w:rsid w:val="1B470195"/>
    <w:rsid w:val="1B47EECD"/>
    <w:rsid w:val="1B48C4EA"/>
    <w:rsid w:val="1B4904F3"/>
    <w:rsid w:val="1B4A9AD4"/>
    <w:rsid w:val="1B4AAA22"/>
    <w:rsid w:val="1B4E53EA"/>
    <w:rsid w:val="1B4F9E8D"/>
    <w:rsid w:val="1B5000CF"/>
    <w:rsid w:val="1B507C32"/>
    <w:rsid w:val="1B51888C"/>
    <w:rsid w:val="1B519162"/>
    <w:rsid w:val="1B522148"/>
    <w:rsid w:val="1B52444F"/>
    <w:rsid w:val="1B531E3C"/>
    <w:rsid w:val="1B56A362"/>
    <w:rsid w:val="1B56D722"/>
    <w:rsid w:val="1B584B0C"/>
    <w:rsid w:val="1B58D836"/>
    <w:rsid w:val="1B58EB59"/>
    <w:rsid w:val="1B590B63"/>
    <w:rsid w:val="1B5A69F4"/>
    <w:rsid w:val="1B5ADFD9"/>
    <w:rsid w:val="1B5BB9AB"/>
    <w:rsid w:val="1B5D34E2"/>
    <w:rsid w:val="1B5D797A"/>
    <w:rsid w:val="1B5ED304"/>
    <w:rsid w:val="1B5F372D"/>
    <w:rsid w:val="1B5FAB3B"/>
    <w:rsid w:val="1B6094DB"/>
    <w:rsid w:val="1B626E51"/>
    <w:rsid w:val="1B63FCBF"/>
    <w:rsid w:val="1B640140"/>
    <w:rsid w:val="1B651BD5"/>
    <w:rsid w:val="1B65F2EE"/>
    <w:rsid w:val="1B673C87"/>
    <w:rsid w:val="1B674143"/>
    <w:rsid w:val="1B6B228E"/>
    <w:rsid w:val="1B6F3F71"/>
    <w:rsid w:val="1B723828"/>
    <w:rsid w:val="1B72A693"/>
    <w:rsid w:val="1B7634A5"/>
    <w:rsid w:val="1B78F72F"/>
    <w:rsid w:val="1B79737D"/>
    <w:rsid w:val="1B79A9A8"/>
    <w:rsid w:val="1B7A2879"/>
    <w:rsid w:val="1B7BCFB0"/>
    <w:rsid w:val="1B7BE1C9"/>
    <w:rsid w:val="1B7E9A46"/>
    <w:rsid w:val="1B7F3E15"/>
    <w:rsid w:val="1B8162BF"/>
    <w:rsid w:val="1B81D476"/>
    <w:rsid w:val="1B82A657"/>
    <w:rsid w:val="1B82C9F5"/>
    <w:rsid w:val="1B862F10"/>
    <w:rsid w:val="1B86AA2C"/>
    <w:rsid w:val="1B8773E3"/>
    <w:rsid w:val="1B87AC23"/>
    <w:rsid w:val="1B88ED90"/>
    <w:rsid w:val="1B890297"/>
    <w:rsid w:val="1B8D5D6A"/>
    <w:rsid w:val="1B8E1C4E"/>
    <w:rsid w:val="1B8E3F25"/>
    <w:rsid w:val="1B8E5AB5"/>
    <w:rsid w:val="1B8FA466"/>
    <w:rsid w:val="1B937535"/>
    <w:rsid w:val="1B94D6A7"/>
    <w:rsid w:val="1B95DFD5"/>
    <w:rsid w:val="1B96D876"/>
    <w:rsid w:val="1B972EBF"/>
    <w:rsid w:val="1B973B96"/>
    <w:rsid w:val="1B99A3E6"/>
    <w:rsid w:val="1B9A2EAC"/>
    <w:rsid w:val="1B9BB162"/>
    <w:rsid w:val="1B9EC44E"/>
    <w:rsid w:val="1BA1C911"/>
    <w:rsid w:val="1BA252EA"/>
    <w:rsid w:val="1BA4ED9E"/>
    <w:rsid w:val="1BA66ADD"/>
    <w:rsid w:val="1BA8AEC7"/>
    <w:rsid w:val="1BA91BF0"/>
    <w:rsid w:val="1BAA7ABD"/>
    <w:rsid w:val="1BAC1DA8"/>
    <w:rsid w:val="1BAE1936"/>
    <w:rsid w:val="1BB02C71"/>
    <w:rsid w:val="1BB2CA9C"/>
    <w:rsid w:val="1BB3575A"/>
    <w:rsid w:val="1BB480F5"/>
    <w:rsid w:val="1BB6EA01"/>
    <w:rsid w:val="1BBC8C5C"/>
    <w:rsid w:val="1BBD52D2"/>
    <w:rsid w:val="1BBFE082"/>
    <w:rsid w:val="1BBFF35E"/>
    <w:rsid w:val="1BC1F0C7"/>
    <w:rsid w:val="1BC22BB3"/>
    <w:rsid w:val="1BC38C09"/>
    <w:rsid w:val="1BC40796"/>
    <w:rsid w:val="1BC69D66"/>
    <w:rsid w:val="1BC8006D"/>
    <w:rsid w:val="1BC89CBC"/>
    <w:rsid w:val="1BC8C50A"/>
    <w:rsid w:val="1BC8F7E6"/>
    <w:rsid w:val="1BCBE8C5"/>
    <w:rsid w:val="1BCC6482"/>
    <w:rsid w:val="1BCC7187"/>
    <w:rsid w:val="1BCD3A9E"/>
    <w:rsid w:val="1BCE95B8"/>
    <w:rsid w:val="1BCFDBA3"/>
    <w:rsid w:val="1BD1CC00"/>
    <w:rsid w:val="1BD24665"/>
    <w:rsid w:val="1BD2D0E2"/>
    <w:rsid w:val="1BD35B69"/>
    <w:rsid w:val="1BD43567"/>
    <w:rsid w:val="1BD4FA72"/>
    <w:rsid w:val="1BD6753F"/>
    <w:rsid w:val="1BD82F2C"/>
    <w:rsid w:val="1BD95195"/>
    <w:rsid w:val="1BDB0355"/>
    <w:rsid w:val="1BDD9DB4"/>
    <w:rsid w:val="1BE0975C"/>
    <w:rsid w:val="1BE8A755"/>
    <w:rsid w:val="1BE970B5"/>
    <w:rsid w:val="1BEA92EC"/>
    <w:rsid w:val="1BEBE531"/>
    <w:rsid w:val="1BEBFF56"/>
    <w:rsid w:val="1BEC7C7E"/>
    <w:rsid w:val="1BECBD7A"/>
    <w:rsid w:val="1BEDFFD9"/>
    <w:rsid w:val="1BEE04C6"/>
    <w:rsid w:val="1BEF0872"/>
    <w:rsid w:val="1BF01B27"/>
    <w:rsid w:val="1BF24031"/>
    <w:rsid w:val="1BF2A7E7"/>
    <w:rsid w:val="1BF2BDA0"/>
    <w:rsid w:val="1BF4DED4"/>
    <w:rsid w:val="1BF6A3F1"/>
    <w:rsid w:val="1BF89D5A"/>
    <w:rsid w:val="1BF9B99F"/>
    <w:rsid w:val="1BFA1F12"/>
    <w:rsid w:val="1BFA58C8"/>
    <w:rsid w:val="1BFAC631"/>
    <w:rsid w:val="1BFAFD2A"/>
    <w:rsid w:val="1BFD2DDE"/>
    <w:rsid w:val="1BFDCF86"/>
    <w:rsid w:val="1BFF2B6B"/>
    <w:rsid w:val="1C00E787"/>
    <w:rsid w:val="1C0232EE"/>
    <w:rsid w:val="1C03BC9D"/>
    <w:rsid w:val="1C04E1C1"/>
    <w:rsid w:val="1C04F493"/>
    <w:rsid w:val="1C05CD41"/>
    <w:rsid w:val="1C0A1236"/>
    <w:rsid w:val="1C0A6835"/>
    <w:rsid w:val="1C0AE3E6"/>
    <w:rsid w:val="1C0D51B6"/>
    <w:rsid w:val="1C11BEC6"/>
    <w:rsid w:val="1C11C9DE"/>
    <w:rsid w:val="1C1833F9"/>
    <w:rsid w:val="1C188EC5"/>
    <w:rsid w:val="1C18E3DC"/>
    <w:rsid w:val="1C19E7C0"/>
    <w:rsid w:val="1C1AA011"/>
    <w:rsid w:val="1C1B546A"/>
    <w:rsid w:val="1C1DB54E"/>
    <w:rsid w:val="1C1E10E7"/>
    <w:rsid w:val="1C231736"/>
    <w:rsid w:val="1C26461B"/>
    <w:rsid w:val="1C288FE0"/>
    <w:rsid w:val="1C2B3D41"/>
    <w:rsid w:val="1C2DB440"/>
    <w:rsid w:val="1C2DCB4D"/>
    <w:rsid w:val="1C2E8B44"/>
    <w:rsid w:val="1C2E929C"/>
    <w:rsid w:val="1C320AAF"/>
    <w:rsid w:val="1C320F56"/>
    <w:rsid w:val="1C364538"/>
    <w:rsid w:val="1C38CBE1"/>
    <w:rsid w:val="1C38D0F7"/>
    <w:rsid w:val="1C3A4220"/>
    <w:rsid w:val="1C3C9A75"/>
    <w:rsid w:val="1C4014D0"/>
    <w:rsid w:val="1C4059DB"/>
    <w:rsid w:val="1C40A0C0"/>
    <w:rsid w:val="1C415415"/>
    <w:rsid w:val="1C41711B"/>
    <w:rsid w:val="1C424916"/>
    <w:rsid w:val="1C42B27A"/>
    <w:rsid w:val="1C43C798"/>
    <w:rsid w:val="1C44EA3E"/>
    <w:rsid w:val="1C450105"/>
    <w:rsid w:val="1C4887EC"/>
    <w:rsid w:val="1C48A981"/>
    <w:rsid w:val="1C493974"/>
    <w:rsid w:val="1C4B422C"/>
    <w:rsid w:val="1C4B935E"/>
    <w:rsid w:val="1C4BD683"/>
    <w:rsid w:val="1C4BF153"/>
    <w:rsid w:val="1C4C771E"/>
    <w:rsid w:val="1C4CF031"/>
    <w:rsid w:val="1C4E8755"/>
    <w:rsid w:val="1C4FE8E2"/>
    <w:rsid w:val="1C4FF038"/>
    <w:rsid w:val="1C501CAF"/>
    <w:rsid w:val="1C5056CA"/>
    <w:rsid w:val="1C52EABF"/>
    <w:rsid w:val="1C5567AE"/>
    <w:rsid w:val="1C574415"/>
    <w:rsid w:val="1C576276"/>
    <w:rsid w:val="1C5A9FCB"/>
    <w:rsid w:val="1C5DE86D"/>
    <w:rsid w:val="1C5E0F6E"/>
    <w:rsid w:val="1C5E2FA8"/>
    <w:rsid w:val="1C5E4091"/>
    <w:rsid w:val="1C60FC9D"/>
    <w:rsid w:val="1C630727"/>
    <w:rsid w:val="1C639ABA"/>
    <w:rsid w:val="1C65488B"/>
    <w:rsid w:val="1C66D8E9"/>
    <w:rsid w:val="1C6716F0"/>
    <w:rsid w:val="1C67AFE6"/>
    <w:rsid w:val="1C69A95F"/>
    <w:rsid w:val="1C6A4104"/>
    <w:rsid w:val="1C6B263F"/>
    <w:rsid w:val="1C6BD003"/>
    <w:rsid w:val="1C6D0789"/>
    <w:rsid w:val="1C6E1960"/>
    <w:rsid w:val="1C6EE18C"/>
    <w:rsid w:val="1C7211F1"/>
    <w:rsid w:val="1C72EED4"/>
    <w:rsid w:val="1C753424"/>
    <w:rsid w:val="1C7567BE"/>
    <w:rsid w:val="1C75B02B"/>
    <w:rsid w:val="1C76B2D1"/>
    <w:rsid w:val="1C76F4C4"/>
    <w:rsid w:val="1C773A42"/>
    <w:rsid w:val="1C777873"/>
    <w:rsid w:val="1C77F818"/>
    <w:rsid w:val="1C78D6A6"/>
    <w:rsid w:val="1C7BE9AA"/>
    <w:rsid w:val="1C7C1F2D"/>
    <w:rsid w:val="1C7CD467"/>
    <w:rsid w:val="1C7D9802"/>
    <w:rsid w:val="1C81AC5D"/>
    <w:rsid w:val="1C821BAD"/>
    <w:rsid w:val="1C82CD88"/>
    <w:rsid w:val="1C8345EB"/>
    <w:rsid w:val="1C8AEC67"/>
    <w:rsid w:val="1C8B6E97"/>
    <w:rsid w:val="1C8B75A0"/>
    <w:rsid w:val="1C8C5ADA"/>
    <w:rsid w:val="1C8DD309"/>
    <w:rsid w:val="1C8EADE7"/>
    <w:rsid w:val="1C8FE1D2"/>
    <w:rsid w:val="1C90F80A"/>
    <w:rsid w:val="1C91CC39"/>
    <w:rsid w:val="1C95BB53"/>
    <w:rsid w:val="1C99F7E5"/>
    <w:rsid w:val="1C9B09BF"/>
    <w:rsid w:val="1C9B80E3"/>
    <w:rsid w:val="1C9C07BE"/>
    <w:rsid w:val="1C9C0A88"/>
    <w:rsid w:val="1C9E1515"/>
    <w:rsid w:val="1C9FC0B8"/>
    <w:rsid w:val="1CA3E0CE"/>
    <w:rsid w:val="1CA4B93F"/>
    <w:rsid w:val="1CA5BFB3"/>
    <w:rsid w:val="1CA62247"/>
    <w:rsid w:val="1CA633B1"/>
    <w:rsid w:val="1CA9A694"/>
    <w:rsid w:val="1CA9BA21"/>
    <w:rsid w:val="1CABD48B"/>
    <w:rsid w:val="1CABE9DE"/>
    <w:rsid w:val="1CAD9018"/>
    <w:rsid w:val="1CAFAA1E"/>
    <w:rsid w:val="1CB21124"/>
    <w:rsid w:val="1CB36B0D"/>
    <w:rsid w:val="1CB4181B"/>
    <w:rsid w:val="1CB51FA1"/>
    <w:rsid w:val="1CB5DEDD"/>
    <w:rsid w:val="1CB9280C"/>
    <w:rsid w:val="1CB96C71"/>
    <w:rsid w:val="1CB9EE73"/>
    <w:rsid w:val="1CBB8908"/>
    <w:rsid w:val="1CBB9939"/>
    <w:rsid w:val="1CBC20CF"/>
    <w:rsid w:val="1CBCCABF"/>
    <w:rsid w:val="1CBE2327"/>
    <w:rsid w:val="1CBE736F"/>
    <w:rsid w:val="1CBE7BF6"/>
    <w:rsid w:val="1CBE8FF5"/>
    <w:rsid w:val="1CC0E857"/>
    <w:rsid w:val="1CC1197B"/>
    <w:rsid w:val="1CC11BF4"/>
    <w:rsid w:val="1CC1DDC1"/>
    <w:rsid w:val="1CC48CB2"/>
    <w:rsid w:val="1CC5A5EC"/>
    <w:rsid w:val="1CC6F389"/>
    <w:rsid w:val="1CC6FE4C"/>
    <w:rsid w:val="1CC8EC1F"/>
    <w:rsid w:val="1CCA537B"/>
    <w:rsid w:val="1CCAFF9C"/>
    <w:rsid w:val="1CCB03A1"/>
    <w:rsid w:val="1CCE3F32"/>
    <w:rsid w:val="1CD00C2C"/>
    <w:rsid w:val="1CD00FD3"/>
    <w:rsid w:val="1CD20284"/>
    <w:rsid w:val="1CD3E2FA"/>
    <w:rsid w:val="1CD6EB7B"/>
    <w:rsid w:val="1CD89E7D"/>
    <w:rsid w:val="1CD8D130"/>
    <w:rsid w:val="1CDAB9BC"/>
    <w:rsid w:val="1CDABA88"/>
    <w:rsid w:val="1CDED906"/>
    <w:rsid w:val="1CE04227"/>
    <w:rsid w:val="1CE057B6"/>
    <w:rsid w:val="1CE059D1"/>
    <w:rsid w:val="1CE243F2"/>
    <w:rsid w:val="1CE44BEA"/>
    <w:rsid w:val="1CE555E7"/>
    <w:rsid w:val="1CEBB8AF"/>
    <w:rsid w:val="1CECBED6"/>
    <w:rsid w:val="1CECF76D"/>
    <w:rsid w:val="1CED5439"/>
    <w:rsid w:val="1CEE118F"/>
    <w:rsid w:val="1CEEB835"/>
    <w:rsid w:val="1CEFA988"/>
    <w:rsid w:val="1CEFCEC8"/>
    <w:rsid w:val="1CF08A42"/>
    <w:rsid w:val="1CF0DBCB"/>
    <w:rsid w:val="1CF0EC47"/>
    <w:rsid w:val="1CF1FCB8"/>
    <w:rsid w:val="1CF34AD0"/>
    <w:rsid w:val="1CF3C348"/>
    <w:rsid w:val="1CF8145F"/>
    <w:rsid w:val="1CFA87B9"/>
    <w:rsid w:val="1CFA9968"/>
    <w:rsid w:val="1CFADF75"/>
    <w:rsid w:val="1CFE6E4D"/>
    <w:rsid w:val="1CFF4129"/>
    <w:rsid w:val="1D01130B"/>
    <w:rsid w:val="1D0178FB"/>
    <w:rsid w:val="1D029AD5"/>
    <w:rsid w:val="1D02A1B1"/>
    <w:rsid w:val="1D069F2A"/>
    <w:rsid w:val="1D070735"/>
    <w:rsid w:val="1D081812"/>
    <w:rsid w:val="1D083100"/>
    <w:rsid w:val="1D0A030C"/>
    <w:rsid w:val="1D0A7500"/>
    <w:rsid w:val="1D0B00FD"/>
    <w:rsid w:val="1D0CAAAD"/>
    <w:rsid w:val="1D0E63DE"/>
    <w:rsid w:val="1D0E7D46"/>
    <w:rsid w:val="1D0F0047"/>
    <w:rsid w:val="1D0F9D64"/>
    <w:rsid w:val="1D100CC8"/>
    <w:rsid w:val="1D124CC3"/>
    <w:rsid w:val="1D12C902"/>
    <w:rsid w:val="1D135000"/>
    <w:rsid w:val="1D139642"/>
    <w:rsid w:val="1D151370"/>
    <w:rsid w:val="1D152CF8"/>
    <w:rsid w:val="1D16B718"/>
    <w:rsid w:val="1D17D945"/>
    <w:rsid w:val="1D188606"/>
    <w:rsid w:val="1D19A43A"/>
    <w:rsid w:val="1D19D29D"/>
    <w:rsid w:val="1D1B6730"/>
    <w:rsid w:val="1D1BE527"/>
    <w:rsid w:val="1D1C3893"/>
    <w:rsid w:val="1D1DB688"/>
    <w:rsid w:val="1D1F63F7"/>
    <w:rsid w:val="1D229220"/>
    <w:rsid w:val="1D232BB2"/>
    <w:rsid w:val="1D2385DF"/>
    <w:rsid w:val="1D23FB5B"/>
    <w:rsid w:val="1D247158"/>
    <w:rsid w:val="1D27AE69"/>
    <w:rsid w:val="1D28E813"/>
    <w:rsid w:val="1D2965FE"/>
    <w:rsid w:val="1D2A3E75"/>
    <w:rsid w:val="1D2CDC47"/>
    <w:rsid w:val="1D2D43DC"/>
    <w:rsid w:val="1D302AF3"/>
    <w:rsid w:val="1D324A70"/>
    <w:rsid w:val="1D32FFDC"/>
    <w:rsid w:val="1D3321D0"/>
    <w:rsid w:val="1D35C4D1"/>
    <w:rsid w:val="1D36007E"/>
    <w:rsid w:val="1D36B2FA"/>
    <w:rsid w:val="1D380A54"/>
    <w:rsid w:val="1D39C075"/>
    <w:rsid w:val="1D3A3DCB"/>
    <w:rsid w:val="1D3B49FA"/>
    <w:rsid w:val="1D3D6197"/>
    <w:rsid w:val="1D3D816F"/>
    <w:rsid w:val="1D3F006D"/>
    <w:rsid w:val="1D400DBB"/>
    <w:rsid w:val="1D413FA5"/>
    <w:rsid w:val="1D435CDB"/>
    <w:rsid w:val="1D4656D5"/>
    <w:rsid w:val="1D490D6C"/>
    <w:rsid w:val="1D499C23"/>
    <w:rsid w:val="1D4D3422"/>
    <w:rsid w:val="1D4D8E09"/>
    <w:rsid w:val="1D4F5670"/>
    <w:rsid w:val="1D502054"/>
    <w:rsid w:val="1D51A7ED"/>
    <w:rsid w:val="1D5291DF"/>
    <w:rsid w:val="1D52E336"/>
    <w:rsid w:val="1D5334A4"/>
    <w:rsid w:val="1D54B565"/>
    <w:rsid w:val="1D5532C4"/>
    <w:rsid w:val="1D556601"/>
    <w:rsid w:val="1D569B12"/>
    <w:rsid w:val="1D58C80C"/>
    <w:rsid w:val="1D58F20E"/>
    <w:rsid w:val="1D59D048"/>
    <w:rsid w:val="1D59F5CF"/>
    <w:rsid w:val="1D5AA605"/>
    <w:rsid w:val="1D5C7F0F"/>
    <w:rsid w:val="1D601F2B"/>
    <w:rsid w:val="1D60C0F5"/>
    <w:rsid w:val="1D62A317"/>
    <w:rsid w:val="1D63D88E"/>
    <w:rsid w:val="1D659086"/>
    <w:rsid w:val="1D69E304"/>
    <w:rsid w:val="1D69F838"/>
    <w:rsid w:val="1D6A955E"/>
    <w:rsid w:val="1D6BB95A"/>
    <w:rsid w:val="1D6D0DF0"/>
    <w:rsid w:val="1D6DB376"/>
    <w:rsid w:val="1D6F0EC8"/>
    <w:rsid w:val="1D755BF6"/>
    <w:rsid w:val="1D75B8EF"/>
    <w:rsid w:val="1D76B1FB"/>
    <w:rsid w:val="1D77D509"/>
    <w:rsid w:val="1D78F299"/>
    <w:rsid w:val="1D7E2BF2"/>
    <w:rsid w:val="1D816548"/>
    <w:rsid w:val="1D8394BA"/>
    <w:rsid w:val="1D83F0A1"/>
    <w:rsid w:val="1D86D0AA"/>
    <w:rsid w:val="1D8813BE"/>
    <w:rsid w:val="1D8AB6BC"/>
    <w:rsid w:val="1D8ADB71"/>
    <w:rsid w:val="1D8AF39E"/>
    <w:rsid w:val="1D8EB83C"/>
    <w:rsid w:val="1D90761B"/>
    <w:rsid w:val="1D909E6A"/>
    <w:rsid w:val="1D9191C6"/>
    <w:rsid w:val="1D92E052"/>
    <w:rsid w:val="1D93B570"/>
    <w:rsid w:val="1D945461"/>
    <w:rsid w:val="1D958A00"/>
    <w:rsid w:val="1D95B1FB"/>
    <w:rsid w:val="1D981C54"/>
    <w:rsid w:val="1D99E720"/>
    <w:rsid w:val="1D9C1417"/>
    <w:rsid w:val="1D9CCFCE"/>
    <w:rsid w:val="1D9E4329"/>
    <w:rsid w:val="1D9EF429"/>
    <w:rsid w:val="1DA43534"/>
    <w:rsid w:val="1DA51BA9"/>
    <w:rsid w:val="1DA5B2E8"/>
    <w:rsid w:val="1DA8826F"/>
    <w:rsid w:val="1DA9CA18"/>
    <w:rsid w:val="1DAA80B8"/>
    <w:rsid w:val="1DAC5430"/>
    <w:rsid w:val="1DAD0DFD"/>
    <w:rsid w:val="1DAD18D3"/>
    <w:rsid w:val="1DB2B091"/>
    <w:rsid w:val="1DB38398"/>
    <w:rsid w:val="1DB56762"/>
    <w:rsid w:val="1DB62ABD"/>
    <w:rsid w:val="1DB63BEC"/>
    <w:rsid w:val="1DB665B2"/>
    <w:rsid w:val="1DB6D05F"/>
    <w:rsid w:val="1DB6FFE0"/>
    <w:rsid w:val="1DB7007E"/>
    <w:rsid w:val="1DBB2C29"/>
    <w:rsid w:val="1DBFD7F9"/>
    <w:rsid w:val="1DC09FD8"/>
    <w:rsid w:val="1DC2653C"/>
    <w:rsid w:val="1DC2900E"/>
    <w:rsid w:val="1DC395AF"/>
    <w:rsid w:val="1DC489E5"/>
    <w:rsid w:val="1DC5F20B"/>
    <w:rsid w:val="1DC6AD72"/>
    <w:rsid w:val="1DC7DDE3"/>
    <w:rsid w:val="1DC80DF3"/>
    <w:rsid w:val="1DC891D6"/>
    <w:rsid w:val="1DC9288E"/>
    <w:rsid w:val="1DC928D6"/>
    <w:rsid w:val="1DCE330F"/>
    <w:rsid w:val="1DCE3C52"/>
    <w:rsid w:val="1DD08674"/>
    <w:rsid w:val="1DD0C61A"/>
    <w:rsid w:val="1DD0D1A3"/>
    <w:rsid w:val="1DD0D7A5"/>
    <w:rsid w:val="1DD127D9"/>
    <w:rsid w:val="1DD227EB"/>
    <w:rsid w:val="1DD36D06"/>
    <w:rsid w:val="1DD4D8F6"/>
    <w:rsid w:val="1DD95298"/>
    <w:rsid w:val="1DDADFBB"/>
    <w:rsid w:val="1DDB3DED"/>
    <w:rsid w:val="1DDBFBFE"/>
    <w:rsid w:val="1DDCB868"/>
    <w:rsid w:val="1DDDA6AF"/>
    <w:rsid w:val="1DDEBA99"/>
    <w:rsid w:val="1DE1E97C"/>
    <w:rsid w:val="1DE29AC7"/>
    <w:rsid w:val="1DE316D2"/>
    <w:rsid w:val="1DE4AE98"/>
    <w:rsid w:val="1DE4DED7"/>
    <w:rsid w:val="1DE4DF0B"/>
    <w:rsid w:val="1DE6D82B"/>
    <w:rsid w:val="1DE7D94C"/>
    <w:rsid w:val="1DE8AAC5"/>
    <w:rsid w:val="1DEDC3C6"/>
    <w:rsid w:val="1DEE129F"/>
    <w:rsid w:val="1DEE143C"/>
    <w:rsid w:val="1DEEBFA6"/>
    <w:rsid w:val="1DF0A566"/>
    <w:rsid w:val="1DF1674F"/>
    <w:rsid w:val="1DF4D176"/>
    <w:rsid w:val="1DF6111B"/>
    <w:rsid w:val="1DF74A08"/>
    <w:rsid w:val="1DF918A4"/>
    <w:rsid w:val="1DF9E1E4"/>
    <w:rsid w:val="1DFAD713"/>
    <w:rsid w:val="1DFB47D3"/>
    <w:rsid w:val="1DFDB138"/>
    <w:rsid w:val="1E00CBC1"/>
    <w:rsid w:val="1E019A58"/>
    <w:rsid w:val="1E021852"/>
    <w:rsid w:val="1E02F982"/>
    <w:rsid w:val="1E03E58D"/>
    <w:rsid w:val="1E05E664"/>
    <w:rsid w:val="1E060F18"/>
    <w:rsid w:val="1E09BAF4"/>
    <w:rsid w:val="1E0BAB1A"/>
    <w:rsid w:val="1E0F81F3"/>
    <w:rsid w:val="1E149600"/>
    <w:rsid w:val="1E14EB62"/>
    <w:rsid w:val="1E153392"/>
    <w:rsid w:val="1E15F023"/>
    <w:rsid w:val="1E163969"/>
    <w:rsid w:val="1E16D9A2"/>
    <w:rsid w:val="1E181865"/>
    <w:rsid w:val="1E1B8B0E"/>
    <w:rsid w:val="1E1BF0AE"/>
    <w:rsid w:val="1E1CB9F6"/>
    <w:rsid w:val="1E1F1B4A"/>
    <w:rsid w:val="1E1F6423"/>
    <w:rsid w:val="1E1F6B55"/>
    <w:rsid w:val="1E2481FC"/>
    <w:rsid w:val="1E25036E"/>
    <w:rsid w:val="1E253860"/>
    <w:rsid w:val="1E28A720"/>
    <w:rsid w:val="1E28F445"/>
    <w:rsid w:val="1E29E5ED"/>
    <w:rsid w:val="1E2A632B"/>
    <w:rsid w:val="1E2BAD57"/>
    <w:rsid w:val="1E2D208C"/>
    <w:rsid w:val="1E304851"/>
    <w:rsid w:val="1E31E805"/>
    <w:rsid w:val="1E326A67"/>
    <w:rsid w:val="1E37166C"/>
    <w:rsid w:val="1E41E3A6"/>
    <w:rsid w:val="1E428E1C"/>
    <w:rsid w:val="1E430C2D"/>
    <w:rsid w:val="1E43C467"/>
    <w:rsid w:val="1E457B4C"/>
    <w:rsid w:val="1E46B2A0"/>
    <w:rsid w:val="1E47D72B"/>
    <w:rsid w:val="1E4C0DC8"/>
    <w:rsid w:val="1E4D35F6"/>
    <w:rsid w:val="1E4E6813"/>
    <w:rsid w:val="1E4EE85A"/>
    <w:rsid w:val="1E4FEC59"/>
    <w:rsid w:val="1E50216C"/>
    <w:rsid w:val="1E5059E2"/>
    <w:rsid w:val="1E513C89"/>
    <w:rsid w:val="1E530C0F"/>
    <w:rsid w:val="1E54598A"/>
    <w:rsid w:val="1E547EEF"/>
    <w:rsid w:val="1E5523DA"/>
    <w:rsid w:val="1E55BED8"/>
    <w:rsid w:val="1E570D85"/>
    <w:rsid w:val="1E57C30D"/>
    <w:rsid w:val="1E58C5F2"/>
    <w:rsid w:val="1E5D1820"/>
    <w:rsid w:val="1E5E280C"/>
    <w:rsid w:val="1E5FD5E1"/>
    <w:rsid w:val="1E622F6B"/>
    <w:rsid w:val="1E63F5FD"/>
    <w:rsid w:val="1E63FC8B"/>
    <w:rsid w:val="1E64B972"/>
    <w:rsid w:val="1E677BBA"/>
    <w:rsid w:val="1E69F70A"/>
    <w:rsid w:val="1E6B1902"/>
    <w:rsid w:val="1E6C0014"/>
    <w:rsid w:val="1E6D33FA"/>
    <w:rsid w:val="1E70181E"/>
    <w:rsid w:val="1E714416"/>
    <w:rsid w:val="1E71FB88"/>
    <w:rsid w:val="1E72D0D3"/>
    <w:rsid w:val="1E7396DA"/>
    <w:rsid w:val="1E73DCAF"/>
    <w:rsid w:val="1E75E360"/>
    <w:rsid w:val="1E7779BA"/>
    <w:rsid w:val="1E7E727A"/>
    <w:rsid w:val="1E8287B2"/>
    <w:rsid w:val="1E828DAA"/>
    <w:rsid w:val="1E8535A7"/>
    <w:rsid w:val="1E85B4EC"/>
    <w:rsid w:val="1E873689"/>
    <w:rsid w:val="1E89DA26"/>
    <w:rsid w:val="1E8A5A26"/>
    <w:rsid w:val="1E8A6F79"/>
    <w:rsid w:val="1E8A7B19"/>
    <w:rsid w:val="1E8AC4AD"/>
    <w:rsid w:val="1E8DAE26"/>
    <w:rsid w:val="1E8E5E89"/>
    <w:rsid w:val="1E8FE6D0"/>
    <w:rsid w:val="1E9004D9"/>
    <w:rsid w:val="1E90C4C8"/>
    <w:rsid w:val="1E926A9B"/>
    <w:rsid w:val="1E93F94B"/>
    <w:rsid w:val="1E947B93"/>
    <w:rsid w:val="1E949DD9"/>
    <w:rsid w:val="1E976FF0"/>
    <w:rsid w:val="1E97DEDB"/>
    <w:rsid w:val="1E984FCB"/>
    <w:rsid w:val="1E997708"/>
    <w:rsid w:val="1E998ACA"/>
    <w:rsid w:val="1E9BCFE6"/>
    <w:rsid w:val="1EA141FA"/>
    <w:rsid w:val="1EA15746"/>
    <w:rsid w:val="1EA16E87"/>
    <w:rsid w:val="1EA1AFE3"/>
    <w:rsid w:val="1EA2555A"/>
    <w:rsid w:val="1EA2AE27"/>
    <w:rsid w:val="1EA56776"/>
    <w:rsid w:val="1EA599C4"/>
    <w:rsid w:val="1EA5F941"/>
    <w:rsid w:val="1EA77286"/>
    <w:rsid w:val="1EA91C0D"/>
    <w:rsid w:val="1EA94CD7"/>
    <w:rsid w:val="1EAB8429"/>
    <w:rsid w:val="1EAD6CA3"/>
    <w:rsid w:val="1EAE9001"/>
    <w:rsid w:val="1EAECD16"/>
    <w:rsid w:val="1EB023B9"/>
    <w:rsid w:val="1EB479F9"/>
    <w:rsid w:val="1EB7D44E"/>
    <w:rsid w:val="1EC02704"/>
    <w:rsid w:val="1EC4D1D3"/>
    <w:rsid w:val="1EC4D725"/>
    <w:rsid w:val="1EC510FA"/>
    <w:rsid w:val="1EC7675C"/>
    <w:rsid w:val="1EC8A371"/>
    <w:rsid w:val="1ECA1FED"/>
    <w:rsid w:val="1ECB873D"/>
    <w:rsid w:val="1ECC2CD4"/>
    <w:rsid w:val="1ECC3D2D"/>
    <w:rsid w:val="1ECD5040"/>
    <w:rsid w:val="1ECE93AA"/>
    <w:rsid w:val="1ECEA474"/>
    <w:rsid w:val="1ECEC62B"/>
    <w:rsid w:val="1ECFFEB7"/>
    <w:rsid w:val="1ED185B6"/>
    <w:rsid w:val="1ED2CA0B"/>
    <w:rsid w:val="1ED4A698"/>
    <w:rsid w:val="1ED4F814"/>
    <w:rsid w:val="1ED63E8B"/>
    <w:rsid w:val="1ED6ABA5"/>
    <w:rsid w:val="1ED790B5"/>
    <w:rsid w:val="1ED81280"/>
    <w:rsid w:val="1ED9F158"/>
    <w:rsid w:val="1EDB3630"/>
    <w:rsid w:val="1EDE7FB5"/>
    <w:rsid w:val="1EDEEE02"/>
    <w:rsid w:val="1EDFB0DE"/>
    <w:rsid w:val="1EE288F1"/>
    <w:rsid w:val="1EE37EF6"/>
    <w:rsid w:val="1EE3A95A"/>
    <w:rsid w:val="1EE497D8"/>
    <w:rsid w:val="1EE524F4"/>
    <w:rsid w:val="1EE538EC"/>
    <w:rsid w:val="1EE65507"/>
    <w:rsid w:val="1EE72F18"/>
    <w:rsid w:val="1EEA97FB"/>
    <w:rsid w:val="1EEB3B92"/>
    <w:rsid w:val="1EEE223B"/>
    <w:rsid w:val="1EEE3DB4"/>
    <w:rsid w:val="1EEEF8FD"/>
    <w:rsid w:val="1EF1B2E3"/>
    <w:rsid w:val="1EF296C8"/>
    <w:rsid w:val="1EF30896"/>
    <w:rsid w:val="1EF32178"/>
    <w:rsid w:val="1EF5A15E"/>
    <w:rsid w:val="1EF61607"/>
    <w:rsid w:val="1EF69750"/>
    <w:rsid w:val="1EF85358"/>
    <w:rsid w:val="1EF94962"/>
    <w:rsid w:val="1EFA1CC5"/>
    <w:rsid w:val="1EFB5EF6"/>
    <w:rsid w:val="1EFC6A03"/>
    <w:rsid w:val="1EFC7DBD"/>
    <w:rsid w:val="1EFD7AA0"/>
    <w:rsid w:val="1EFDAE87"/>
    <w:rsid w:val="1EFE342C"/>
    <w:rsid w:val="1EFE6AFA"/>
    <w:rsid w:val="1EFEB809"/>
    <w:rsid w:val="1EFF4E98"/>
    <w:rsid w:val="1EFFA505"/>
    <w:rsid w:val="1F036608"/>
    <w:rsid w:val="1F0B89CC"/>
    <w:rsid w:val="1F0C77B0"/>
    <w:rsid w:val="1F0ED5EF"/>
    <w:rsid w:val="1F0F7A1B"/>
    <w:rsid w:val="1F106211"/>
    <w:rsid w:val="1F108E5C"/>
    <w:rsid w:val="1F10D731"/>
    <w:rsid w:val="1F13A56A"/>
    <w:rsid w:val="1F178094"/>
    <w:rsid w:val="1F17C566"/>
    <w:rsid w:val="1F1A8655"/>
    <w:rsid w:val="1F1A9940"/>
    <w:rsid w:val="1F1D7643"/>
    <w:rsid w:val="1F202693"/>
    <w:rsid w:val="1F20361B"/>
    <w:rsid w:val="1F2146A6"/>
    <w:rsid w:val="1F21FE53"/>
    <w:rsid w:val="1F229AB8"/>
    <w:rsid w:val="1F23B05E"/>
    <w:rsid w:val="1F24A38B"/>
    <w:rsid w:val="1F24ACFB"/>
    <w:rsid w:val="1F269766"/>
    <w:rsid w:val="1F274352"/>
    <w:rsid w:val="1F278B07"/>
    <w:rsid w:val="1F282CCA"/>
    <w:rsid w:val="1F28D6DC"/>
    <w:rsid w:val="1F294B04"/>
    <w:rsid w:val="1F2ED3AB"/>
    <w:rsid w:val="1F30938A"/>
    <w:rsid w:val="1F34D437"/>
    <w:rsid w:val="1F34F8AA"/>
    <w:rsid w:val="1F3ACB5E"/>
    <w:rsid w:val="1F3ED399"/>
    <w:rsid w:val="1F423F21"/>
    <w:rsid w:val="1F43AB6F"/>
    <w:rsid w:val="1F466299"/>
    <w:rsid w:val="1F46723E"/>
    <w:rsid w:val="1F47CAAD"/>
    <w:rsid w:val="1F47D0C1"/>
    <w:rsid w:val="1F489BE9"/>
    <w:rsid w:val="1F493D45"/>
    <w:rsid w:val="1F4AC311"/>
    <w:rsid w:val="1F4DFEE9"/>
    <w:rsid w:val="1F4E7189"/>
    <w:rsid w:val="1F4FF08E"/>
    <w:rsid w:val="1F513B72"/>
    <w:rsid w:val="1F526ED1"/>
    <w:rsid w:val="1F52EC01"/>
    <w:rsid w:val="1F5447D0"/>
    <w:rsid w:val="1F5621C0"/>
    <w:rsid w:val="1F579115"/>
    <w:rsid w:val="1F584833"/>
    <w:rsid w:val="1F58A774"/>
    <w:rsid w:val="1F5FE2D3"/>
    <w:rsid w:val="1F6276B4"/>
    <w:rsid w:val="1F62D009"/>
    <w:rsid w:val="1F6309A9"/>
    <w:rsid w:val="1F630B78"/>
    <w:rsid w:val="1F642333"/>
    <w:rsid w:val="1F66AB2B"/>
    <w:rsid w:val="1F66DFAE"/>
    <w:rsid w:val="1F698DC4"/>
    <w:rsid w:val="1F6B354D"/>
    <w:rsid w:val="1F6B3DAF"/>
    <w:rsid w:val="1F6CA340"/>
    <w:rsid w:val="1F6CA399"/>
    <w:rsid w:val="1F6F37CE"/>
    <w:rsid w:val="1F6F6399"/>
    <w:rsid w:val="1F71107A"/>
    <w:rsid w:val="1F72C592"/>
    <w:rsid w:val="1F72CC5F"/>
    <w:rsid w:val="1F75095C"/>
    <w:rsid w:val="1F78F4A6"/>
    <w:rsid w:val="1F79536C"/>
    <w:rsid w:val="1F796193"/>
    <w:rsid w:val="1F7C1E7B"/>
    <w:rsid w:val="1F7C3170"/>
    <w:rsid w:val="1F7FE3CF"/>
    <w:rsid w:val="1F82507F"/>
    <w:rsid w:val="1F832F1C"/>
    <w:rsid w:val="1F858ED1"/>
    <w:rsid w:val="1F88056E"/>
    <w:rsid w:val="1F89F50C"/>
    <w:rsid w:val="1F8A5B18"/>
    <w:rsid w:val="1F8A5F44"/>
    <w:rsid w:val="1F8A701A"/>
    <w:rsid w:val="1F8B83D2"/>
    <w:rsid w:val="1F8E91C0"/>
    <w:rsid w:val="1F9020D4"/>
    <w:rsid w:val="1F93BD92"/>
    <w:rsid w:val="1F95D681"/>
    <w:rsid w:val="1F96A2EB"/>
    <w:rsid w:val="1F98D21A"/>
    <w:rsid w:val="1F993DB4"/>
    <w:rsid w:val="1F998E1D"/>
    <w:rsid w:val="1F9CFB07"/>
    <w:rsid w:val="1F9DFFD4"/>
    <w:rsid w:val="1F9E7FF7"/>
    <w:rsid w:val="1F9E936E"/>
    <w:rsid w:val="1F9EA7EB"/>
    <w:rsid w:val="1F9F8D06"/>
    <w:rsid w:val="1FA07162"/>
    <w:rsid w:val="1FA1C8D0"/>
    <w:rsid w:val="1FA2D801"/>
    <w:rsid w:val="1FA567DB"/>
    <w:rsid w:val="1FA68324"/>
    <w:rsid w:val="1FA6F9AA"/>
    <w:rsid w:val="1FA748A8"/>
    <w:rsid w:val="1FA8FCA0"/>
    <w:rsid w:val="1FA911CB"/>
    <w:rsid w:val="1FAD60D6"/>
    <w:rsid w:val="1FADDCAB"/>
    <w:rsid w:val="1FAE0C52"/>
    <w:rsid w:val="1FB3E4AB"/>
    <w:rsid w:val="1FB3F44D"/>
    <w:rsid w:val="1FB5ABBD"/>
    <w:rsid w:val="1FB9BFFC"/>
    <w:rsid w:val="1FBA8ED0"/>
    <w:rsid w:val="1FBDB1D7"/>
    <w:rsid w:val="1FBFA57E"/>
    <w:rsid w:val="1FC1D321"/>
    <w:rsid w:val="1FC221E3"/>
    <w:rsid w:val="1FC4741A"/>
    <w:rsid w:val="1FC51E93"/>
    <w:rsid w:val="1FC828D6"/>
    <w:rsid w:val="1FC85CF6"/>
    <w:rsid w:val="1FC94EF2"/>
    <w:rsid w:val="1FC9FF7C"/>
    <w:rsid w:val="1FCA9434"/>
    <w:rsid w:val="1FCAA7D2"/>
    <w:rsid w:val="1FCD3A16"/>
    <w:rsid w:val="1FCE4FE0"/>
    <w:rsid w:val="1FCE7AB5"/>
    <w:rsid w:val="1FD09D2E"/>
    <w:rsid w:val="1FD36767"/>
    <w:rsid w:val="1FD4616D"/>
    <w:rsid w:val="1FD62985"/>
    <w:rsid w:val="1FD8B51E"/>
    <w:rsid w:val="1FDAEF73"/>
    <w:rsid w:val="1FDAFCDE"/>
    <w:rsid w:val="1FDB574F"/>
    <w:rsid w:val="1FDC15EA"/>
    <w:rsid w:val="1FDCF9C8"/>
    <w:rsid w:val="1FDFD112"/>
    <w:rsid w:val="1FE16D43"/>
    <w:rsid w:val="1FE67696"/>
    <w:rsid w:val="1FEAD789"/>
    <w:rsid w:val="1FEB82D9"/>
    <w:rsid w:val="1FF5887E"/>
    <w:rsid w:val="1FF58A7B"/>
    <w:rsid w:val="1FF5BDD5"/>
    <w:rsid w:val="1FF69405"/>
    <w:rsid w:val="1FF71A08"/>
    <w:rsid w:val="1FF787FE"/>
    <w:rsid w:val="1FF94882"/>
    <w:rsid w:val="1FF9FCE6"/>
    <w:rsid w:val="1FFA6A85"/>
    <w:rsid w:val="1FFBF1A6"/>
    <w:rsid w:val="1FFD6FD8"/>
    <w:rsid w:val="1FFD9DD0"/>
    <w:rsid w:val="1FFE4B0A"/>
    <w:rsid w:val="1FFF699F"/>
    <w:rsid w:val="20047FD7"/>
    <w:rsid w:val="20062BD5"/>
    <w:rsid w:val="2006567E"/>
    <w:rsid w:val="20081B2C"/>
    <w:rsid w:val="200C56EA"/>
    <w:rsid w:val="200D5D1E"/>
    <w:rsid w:val="200DA7B9"/>
    <w:rsid w:val="200DC890"/>
    <w:rsid w:val="200DCBE9"/>
    <w:rsid w:val="200E198B"/>
    <w:rsid w:val="200E33D0"/>
    <w:rsid w:val="20102D82"/>
    <w:rsid w:val="2010FBBA"/>
    <w:rsid w:val="2012366D"/>
    <w:rsid w:val="2012C3CE"/>
    <w:rsid w:val="20150CB3"/>
    <w:rsid w:val="2015ECEC"/>
    <w:rsid w:val="20174320"/>
    <w:rsid w:val="2017E724"/>
    <w:rsid w:val="20188D36"/>
    <w:rsid w:val="2018BFAF"/>
    <w:rsid w:val="201A17F4"/>
    <w:rsid w:val="201A99DD"/>
    <w:rsid w:val="201B89F9"/>
    <w:rsid w:val="201C152E"/>
    <w:rsid w:val="201D2F79"/>
    <w:rsid w:val="201D4B5B"/>
    <w:rsid w:val="201E7DFD"/>
    <w:rsid w:val="201F4F0F"/>
    <w:rsid w:val="201FD62A"/>
    <w:rsid w:val="20218318"/>
    <w:rsid w:val="2022057A"/>
    <w:rsid w:val="202406FF"/>
    <w:rsid w:val="2024459B"/>
    <w:rsid w:val="20260E23"/>
    <w:rsid w:val="20277BA1"/>
    <w:rsid w:val="202794B9"/>
    <w:rsid w:val="20280EF7"/>
    <w:rsid w:val="202859CE"/>
    <w:rsid w:val="20288170"/>
    <w:rsid w:val="20294A86"/>
    <w:rsid w:val="202D0077"/>
    <w:rsid w:val="202DBF0B"/>
    <w:rsid w:val="202F6CD5"/>
    <w:rsid w:val="202F788D"/>
    <w:rsid w:val="2034D87A"/>
    <w:rsid w:val="2034E9A0"/>
    <w:rsid w:val="203698D7"/>
    <w:rsid w:val="2036D2CF"/>
    <w:rsid w:val="20385454"/>
    <w:rsid w:val="203BEC62"/>
    <w:rsid w:val="203C09D8"/>
    <w:rsid w:val="203C1102"/>
    <w:rsid w:val="203C1E1E"/>
    <w:rsid w:val="203DF742"/>
    <w:rsid w:val="203E3870"/>
    <w:rsid w:val="203ECCBE"/>
    <w:rsid w:val="203FA282"/>
    <w:rsid w:val="203FD35B"/>
    <w:rsid w:val="204215E8"/>
    <w:rsid w:val="204416CE"/>
    <w:rsid w:val="2045AB2A"/>
    <w:rsid w:val="2045D75E"/>
    <w:rsid w:val="20478685"/>
    <w:rsid w:val="2047FC31"/>
    <w:rsid w:val="204831F0"/>
    <w:rsid w:val="20493A8D"/>
    <w:rsid w:val="204B92DE"/>
    <w:rsid w:val="204C849C"/>
    <w:rsid w:val="204D6191"/>
    <w:rsid w:val="205090EB"/>
    <w:rsid w:val="2050F956"/>
    <w:rsid w:val="2051CB62"/>
    <w:rsid w:val="20522C29"/>
    <w:rsid w:val="20544D30"/>
    <w:rsid w:val="2054D11C"/>
    <w:rsid w:val="205B3CA8"/>
    <w:rsid w:val="205DCBBB"/>
    <w:rsid w:val="205E245D"/>
    <w:rsid w:val="205E8230"/>
    <w:rsid w:val="205FF763"/>
    <w:rsid w:val="20642D66"/>
    <w:rsid w:val="206504F7"/>
    <w:rsid w:val="2065740F"/>
    <w:rsid w:val="206AD0C5"/>
    <w:rsid w:val="206BB497"/>
    <w:rsid w:val="2070EDAF"/>
    <w:rsid w:val="20725740"/>
    <w:rsid w:val="20752231"/>
    <w:rsid w:val="2075E0D7"/>
    <w:rsid w:val="20768420"/>
    <w:rsid w:val="20772F97"/>
    <w:rsid w:val="207849DB"/>
    <w:rsid w:val="207A3805"/>
    <w:rsid w:val="207B8E55"/>
    <w:rsid w:val="207DAE01"/>
    <w:rsid w:val="207F163D"/>
    <w:rsid w:val="2084EA4E"/>
    <w:rsid w:val="2085FFFA"/>
    <w:rsid w:val="2087E4B4"/>
    <w:rsid w:val="2087FE44"/>
    <w:rsid w:val="20884040"/>
    <w:rsid w:val="2088BD26"/>
    <w:rsid w:val="208944DE"/>
    <w:rsid w:val="208A8CD4"/>
    <w:rsid w:val="208B1DD7"/>
    <w:rsid w:val="208E2EFF"/>
    <w:rsid w:val="208FA6E4"/>
    <w:rsid w:val="209188C7"/>
    <w:rsid w:val="20923168"/>
    <w:rsid w:val="20923EA2"/>
    <w:rsid w:val="2093707C"/>
    <w:rsid w:val="209A04BB"/>
    <w:rsid w:val="209AED92"/>
    <w:rsid w:val="209D9DFB"/>
    <w:rsid w:val="209E24F6"/>
    <w:rsid w:val="209EB5E0"/>
    <w:rsid w:val="209F91D0"/>
    <w:rsid w:val="20A1C085"/>
    <w:rsid w:val="20A654B0"/>
    <w:rsid w:val="20A78C78"/>
    <w:rsid w:val="20A8790D"/>
    <w:rsid w:val="20A90FE9"/>
    <w:rsid w:val="20AA950C"/>
    <w:rsid w:val="20AAFFE6"/>
    <w:rsid w:val="20AB42DD"/>
    <w:rsid w:val="20ACCEE2"/>
    <w:rsid w:val="20AF75CB"/>
    <w:rsid w:val="20B0CCEC"/>
    <w:rsid w:val="20B0E433"/>
    <w:rsid w:val="20B2B8CA"/>
    <w:rsid w:val="20B6424A"/>
    <w:rsid w:val="20B71A13"/>
    <w:rsid w:val="20B7BBB7"/>
    <w:rsid w:val="20BC01AD"/>
    <w:rsid w:val="20BC875B"/>
    <w:rsid w:val="20BD6F59"/>
    <w:rsid w:val="20BF0A5B"/>
    <w:rsid w:val="20C148FC"/>
    <w:rsid w:val="20C1B93A"/>
    <w:rsid w:val="20C4BF84"/>
    <w:rsid w:val="20C6FF51"/>
    <w:rsid w:val="20C762F9"/>
    <w:rsid w:val="20C8CBE1"/>
    <w:rsid w:val="20CC0F41"/>
    <w:rsid w:val="20CC5720"/>
    <w:rsid w:val="20CC8719"/>
    <w:rsid w:val="20CCD574"/>
    <w:rsid w:val="20CE0712"/>
    <w:rsid w:val="20CE3E30"/>
    <w:rsid w:val="20CEAA5A"/>
    <w:rsid w:val="20CEB6F9"/>
    <w:rsid w:val="20CED6B0"/>
    <w:rsid w:val="20CF689C"/>
    <w:rsid w:val="20CF9871"/>
    <w:rsid w:val="20CFD458"/>
    <w:rsid w:val="20CFF463"/>
    <w:rsid w:val="20D4B24A"/>
    <w:rsid w:val="20D5DD93"/>
    <w:rsid w:val="20D86E99"/>
    <w:rsid w:val="20D88684"/>
    <w:rsid w:val="20D960B5"/>
    <w:rsid w:val="20DBF92F"/>
    <w:rsid w:val="20E38032"/>
    <w:rsid w:val="20E38E20"/>
    <w:rsid w:val="20E48F19"/>
    <w:rsid w:val="20E704C3"/>
    <w:rsid w:val="20E70DCA"/>
    <w:rsid w:val="20E7DBFE"/>
    <w:rsid w:val="20EA0C91"/>
    <w:rsid w:val="20EAA2FF"/>
    <w:rsid w:val="20EF7AF0"/>
    <w:rsid w:val="20F13397"/>
    <w:rsid w:val="20F82B95"/>
    <w:rsid w:val="20F9141B"/>
    <w:rsid w:val="20F95102"/>
    <w:rsid w:val="20FAF152"/>
    <w:rsid w:val="20FBBAB0"/>
    <w:rsid w:val="20FDBF63"/>
    <w:rsid w:val="20FF6DFF"/>
    <w:rsid w:val="20FFDCC7"/>
    <w:rsid w:val="2101109D"/>
    <w:rsid w:val="21053DE8"/>
    <w:rsid w:val="2106B2AB"/>
    <w:rsid w:val="2107AB53"/>
    <w:rsid w:val="21089D85"/>
    <w:rsid w:val="2109954F"/>
    <w:rsid w:val="2109A1AF"/>
    <w:rsid w:val="210A1C81"/>
    <w:rsid w:val="210CA494"/>
    <w:rsid w:val="210E62BC"/>
    <w:rsid w:val="210EA98D"/>
    <w:rsid w:val="210ECE1F"/>
    <w:rsid w:val="210F55F5"/>
    <w:rsid w:val="21135EA1"/>
    <w:rsid w:val="211395FF"/>
    <w:rsid w:val="21142DE3"/>
    <w:rsid w:val="2117B518"/>
    <w:rsid w:val="21181132"/>
    <w:rsid w:val="21182531"/>
    <w:rsid w:val="2118436E"/>
    <w:rsid w:val="211887F7"/>
    <w:rsid w:val="211901D5"/>
    <w:rsid w:val="21199CC6"/>
    <w:rsid w:val="2119F61A"/>
    <w:rsid w:val="211A6E80"/>
    <w:rsid w:val="211A7DD0"/>
    <w:rsid w:val="211DB46F"/>
    <w:rsid w:val="211E3C3D"/>
    <w:rsid w:val="211F6248"/>
    <w:rsid w:val="211FF3FE"/>
    <w:rsid w:val="212174D4"/>
    <w:rsid w:val="2121E45C"/>
    <w:rsid w:val="2122169C"/>
    <w:rsid w:val="21236A1D"/>
    <w:rsid w:val="2123B3D4"/>
    <w:rsid w:val="212539A4"/>
    <w:rsid w:val="21262614"/>
    <w:rsid w:val="2126AE86"/>
    <w:rsid w:val="21294D2F"/>
    <w:rsid w:val="212986DF"/>
    <w:rsid w:val="2129A5F9"/>
    <w:rsid w:val="2129C5B2"/>
    <w:rsid w:val="212CB94D"/>
    <w:rsid w:val="212D6758"/>
    <w:rsid w:val="212EAF94"/>
    <w:rsid w:val="212F9E43"/>
    <w:rsid w:val="21301397"/>
    <w:rsid w:val="213307F1"/>
    <w:rsid w:val="2133C548"/>
    <w:rsid w:val="21340BBB"/>
    <w:rsid w:val="21356281"/>
    <w:rsid w:val="213688D2"/>
    <w:rsid w:val="2136E391"/>
    <w:rsid w:val="21377644"/>
    <w:rsid w:val="2139670A"/>
    <w:rsid w:val="2139E8B7"/>
    <w:rsid w:val="213A0088"/>
    <w:rsid w:val="213B2BD4"/>
    <w:rsid w:val="213DB227"/>
    <w:rsid w:val="213DC53E"/>
    <w:rsid w:val="213E1443"/>
    <w:rsid w:val="213E436E"/>
    <w:rsid w:val="21414894"/>
    <w:rsid w:val="21461A8A"/>
    <w:rsid w:val="2149276B"/>
    <w:rsid w:val="214B0FDC"/>
    <w:rsid w:val="21534822"/>
    <w:rsid w:val="2153C94C"/>
    <w:rsid w:val="2155554C"/>
    <w:rsid w:val="2157B3D9"/>
    <w:rsid w:val="2159D74D"/>
    <w:rsid w:val="215E1AE0"/>
    <w:rsid w:val="215E39AC"/>
    <w:rsid w:val="215F43D0"/>
    <w:rsid w:val="215F4E85"/>
    <w:rsid w:val="216002BB"/>
    <w:rsid w:val="21643C0F"/>
    <w:rsid w:val="21645A30"/>
    <w:rsid w:val="2164C773"/>
    <w:rsid w:val="2165A5E3"/>
    <w:rsid w:val="21671EBC"/>
    <w:rsid w:val="21671F27"/>
    <w:rsid w:val="216B5258"/>
    <w:rsid w:val="216BE0F7"/>
    <w:rsid w:val="216D6F09"/>
    <w:rsid w:val="216E7B30"/>
    <w:rsid w:val="21725D43"/>
    <w:rsid w:val="217280F3"/>
    <w:rsid w:val="21731501"/>
    <w:rsid w:val="2173EA87"/>
    <w:rsid w:val="21743FBF"/>
    <w:rsid w:val="21770EA1"/>
    <w:rsid w:val="2177B8EE"/>
    <w:rsid w:val="217ABF40"/>
    <w:rsid w:val="217ACEA9"/>
    <w:rsid w:val="217BBB5F"/>
    <w:rsid w:val="21812FFD"/>
    <w:rsid w:val="21851791"/>
    <w:rsid w:val="2185AC81"/>
    <w:rsid w:val="2185CDE6"/>
    <w:rsid w:val="218BD7EA"/>
    <w:rsid w:val="218C0CA4"/>
    <w:rsid w:val="218D20A0"/>
    <w:rsid w:val="2190673B"/>
    <w:rsid w:val="21938A6B"/>
    <w:rsid w:val="21955F73"/>
    <w:rsid w:val="21978C4D"/>
    <w:rsid w:val="219DAF4D"/>
    <w:rsid w:val="219F88BE"/>
    <w:rsid w:val="21A34E19"/>
    <w:rsid w:val="21A58FC4"/>
    <w:rsid w:val="21A5E6D6"/>
    <w:rsid w:val="21A63F7D"/>
    <w:rsid w:val="21A7B810"/>
    <w:rsid w:val="21A87DD3"/>
    <w:rsid w:val="21AA40FB"/>
    <w:rsid w:val="21AB2BC1"/>
    <w:rsid w:val="21AE0893"/>
    <w:rsid w:val="21AF55AB"/>
    <w:rsid w:val="21B070CC"/>
    <w:rsid w:val="21B1AFD6"/>
    <w:rsid w:val="21B23AE1"/>
    <w:rsid w:val="21B562EE"/>
    <w:rsid w:val="21B94D9E"/>
    <w:rsid w:val="21BA16D5"/>
    <w:rsid w:val="21BB278B"/>
    <w:rsid w:val="21BF4EA1"/>
    <w:rsid w:val="21C61B57"/>
    <w:rsid w:val="21CB1367"/>
    <w:rsid w:val="21CBA304"/>
    <w:rsid w:val="21CBB2D6"/>
    <w:rsid w:val="21CD6255"/>
    <w:rsid w:val="21CDC33D"/>
    <w:rsid w:val="21CF3BCA"/>
    <w:rsid w:val="21CFEEF2"/>
    <w:rsid w:val="21D029F5"/>
    <w:rsid w:val="21D2B995"/>
    <w:rsid w:val="21D47CDB"/>
    <w:rsid w:val="21D5DBE5"/>
    <w:rsid w:val="21DA7A85"/>
    <w:rsid w:val="21DB10D2"/>
    <w:rsid w:val="21DBF481"/>
    <w:rsid w:val="21DC322D"/>
    <w:rsid w:val="21DCD6D9"/>
    <w:rsid w:val="21DF7483"/>
    <w:rsid w:val="21DF904A"/>
    <w:rsid w:val="21E3234D"/>
    <w:rsid w:val="21E33604"/>
    <w:rsid w:val="21E47444"/>
    <w:rsid w:val="21E52741"/>
    <w:rsid w:val="21E55464"/>
    <w:rsid w:val="21E63B81"/>
    <w:rsid w:val="21E6A9C8"/>
    <w:rsid w:val="21E6CBFE"/>
    <w:rsid w:val="21EA3FBC"/>
    <w:rsid w:val="21ECE75B"/>
    <w:rsid w:val="21EE3F93"/>
    <w:rsid w:val="21F24CB9"/>
    <w:rsid w:val="21F3F19F"/>
    <w:rsid w:val="21F6AD5D"/>
    <w:rsid w:val="21F75B8A"/>
    <w:rsid w:val="21F77180"/>
    <w:rsid w:val="21F7E27B"/>
    <w:rsid w:val="21F98129"/>
    <w:rsid w:val="21FA49B8"/>
    <w:rsid w:val="21FC073E"/>
    <w:rsid w:val="21FE5485"/>
    <w:rsid w:val="21FFD315"/>
    <w:rsid w:val="220079DE"/>
    <w:rsid w:val="22011B87"/>
    <w:rsid w:val="22015CD8"/>
    <w:rsid w:val="2202717D"/>
    <w:rsid w:val="220577DF"/>
    <w:rsid w:val="22061F41"/>
    <w:rsid w:val="2206825E"/>
    <w:rsid w:val="2206B688"/>
    <w:rsid w:val="22078E64"/>
    <w:rsid w:val="22079993"/>
    <w:rsid w:val="220A9573"/>
    <w:rsid w:val="220C65BB"/>
    <w:rsid w:val="220C71E0"/>
    <w:rsid w:val="220EDD11"/>
    <w:rsid w:val="22108512"/>
    <w:rsid w:val="2210FFE5"/>
    <w:rsid w:val="22118C06"/>
    <w:rsid w:val="221266B8"/>
    <w:rsid w:val="2212EFBF"/>
    <w:rsid w:val="221303DF"/>
    <w:rsid w:val="221483A9"/>
    <w:rsid w:val="2218832E"/>
    <w:rsid w:val="221886C1"/>
    <w:rsid w:val="22190FE2"/>
    <w:rsid w:val="221C1938"/>
    <w:rsid w:val="221C7EAE"/>
    <w:rsid w:val="221D262A"/>
    <w:rsid w:val="221D5844"/>
    <w:rsid w:val="221D726E"/>
    <w:rsid w:val="221F9DAC"/>
    <w:rsid w:val="221FDCF1"/>
    <w:rsid w:val="22216505"/>
    <w:rsid w:val="22234C66"/>
    <w:rsid w:val="222498FC"/>
    <w:rsid w:val="22250CC8"/>
    <w:rsid w:val="2225494E"/>
    <w:rsid w:val="22260E14"/>
    <w:rsid w:val="22265A9A"/>
    <w:rsid w:val="222796D6"/>
    <w:rsid w:val="222A5FB8"/>
    <w:rsid w:val="222AEC43"/>
    <w:rsid w:val="222E1B1D"/>
    <w:rsid w:val="22319D67"/>
    <w:rsid w:val="2231F1BF"/>
    <w:rsid w:val="2233611B"/>
    <w:rsid w:val="22336C5D"/>
    <w:rsid w:val="2234B53F"/>
    <w:rsid w:val="2234FDCA"/>
    <w:rsid w:val="22397D6C"/>
    <w:rsid w:val="223ECCDB"/>
    <w:rsid w:val="223ECFE9"/>
    <w:rsid w:val="2241EA1E"/>
    <w:rsid w:val="2244D907"/>
    <w:rsid w:val="22453CD7"/>
    <w:rsid w:val="2245D647"/>
    <w:rsid w:val="224A6B4D"/>
    <w:rsid w:val="224B1C34"/>
    <w:rsid w:val="224B7705"/>
    <w:rsid w:val="224BADB3"/>
    <w:rsid w:val="224BE1F4"/>
    <w:rsid w:val="225008AC"/>
    <w:rsid w:val="22505B6D"/>
    <w:rsid w:val="2251BE36"/>
    <w:rsid w:val="2251CE17"/>
    <w:rsid w:val="22523085"/>
    <w:rsid w:val="225363A2"/>
    <w:rsid w:val="2253895F"/>
    <w:rsid w:val="2255F8CC"/>
    <w:rsid w:val="2256F15B"/>
    <w:rsid w:val="22582EAB"/>
    <w:rsid w:val="225B3E8C"/>
    <w:rsid w:val="225B6D83"/>
    <w:rsid w:val="225BB02D"/>
    <w:rsid w:val="225BCBCC"/>
    <w:rsid w:val="225E3828"/>
    <w:rsid w:val="225E6B7F"/>
    <w:rsid w:val="225EF915"/>
    <w:rsid w:val="2260BC3E"/>
    <w:rsid w:val="2260EE29"/>
    <w:rsid w:val="22625B9A"/>
    <w:rsid w:val="2264FA0F"/>
    <w:rsid w:val="2266BF35"/>
    <w:rsid w:val="2266FD1C"/>
    <w:rsid w:val="22672001"/>
    <w:rsid w:val="22672761"/>
    <w:rsid w:val="22677766"/>
    <w:rsid w:val="22698811"/>
    <w:rsid w:val="226A0CE0"/>
    <w:rsid w:val="22720AA8"/>
    <w:rsid w:val="22727396"/>
    <w:rsid w:val="2274BB73"/>
    <w:rsid w:val="2275AF9E"/>
    <w:rsid w:val="228039D0"/>
    <w:rsid w:val="22813D17"/>
    <w:rsid w:val="2281D53F"/>
    <w:rsid w:val="2283F42A"/>
    <w:rsid w:val="228689DD"/>
    <w:rsid w:val="2286F7FE"/>
    <w:rsid w:val="22881D9D"/>
    <w:rsid w:val="228B8AE2"/>
    <w:rsid w:val="228C932E"/>
    <w:rsid w:val="228D7E83"/>
    <w:rsid w:val="228E474F"/>
    <w:rsid w:val="22902D7A"/>
    <w:rsid w:val="22911547"/>
    <w:rsid w:val="2291C6FA"/>
    <w:rsid w:val="2291D466"/>
    <w:rsid w:val="2292DD8D"/>
    <w:rsid w:val="229690E5"/>
    <w:rsid w:val="229713C3"/>
    <w:rsid w:val="229980C3"/>
    <w:rsid w:val="229C1C0E"/>
    <w:rsid w:val="229C3A09"/>
    <w:rsid w:val="22A3D1F1"/>
    <w:rsid w:val="22A522A3"/>
    <w:rsid w:val="22A5F15E"/>
    <w:rsid w:val="22A8313C"/>
    <w:rsid w:val="22AA9FB8"/>
    <w:rsid w:val="22AB5A73"/>
    <w:rsid w:val="22AC5F09"/>
    <w:rsid w:val="22ADFA74"/>
    <w:rsid w:val="22AFFE44"/>
    <w:rsid w:val="22B323BF"/>
    <w:rsid w:val="22B38030"/>
    <w:rsid w:val="22B4866D"/>
    <w:rsid w:val="22B5E6AF"/>
    <w:rsid w:val="22B67521"/>
    <w:rsid w:val="22B77B1A"/>
    <w:rsid w:val="22B7CCB0"/>
    <w:rsid w:val="22B8A26A"/>
    <w:rsid w:val="22BAF6EF"/>
    <w:rsid w:val="22BCE036"/>
    <w:rsid w:val="22BE9A6D"/>
    <w:rsid w:val="22C3C3BF"/>
    <w:rsid w:val="22C59E42"/>
    <w:rsid w:val="22C66A6B"/>
    <w:rsid w:val="22C81B1C"/>
    <w:rsid w:val="22C8463E"/>
    <w:rsid w:val="22CBCEF9"/>
    <w:rsid w:val="22D19198"/>
    <w:rsid w:val="22D24646"/>
    <w:rsid w:val="22D29B02"/>
    <w:rsid w:val="22D41C74"/>
    <w:rsid w:val="22D4A59E"/>
    <w:rsid w:val="22D51412"/>
    <w:rsid w:val="22D6368C"/>
    <w:rsid w:val="22D668D3"/>
    <w:rsid w:val="22D73619"/>
    <w:rsid w:val="22D74977"/>
    <w:rsid w:val="22D7A77F"/>
    <w:rsid w:val="22D9DC32"/>
    <w:rsid w:val="22DD54C9"/>
    <w:rsid w:val="22DE9828"/>
    <w:rsid w:val="22E39E12"/>
    <w:rsid w:val="22E4DDD5"/>
    <w:rsid w:val="22E690BB"/>
    <w:rsid w:val="22E720E1"/>
    <w:rsid w:val="22E86560"/>
    <w:rsid w:val="22EE271C"/>
    <w:rsid w:val="22EF37C2"/>
    <w:rsid w:val="22F0CBFD"/>
    <w:rsid w:val="22F448E4"/>
    <w:rsid w:val="22F7B35D"/>
    <w:rsid w:val="22FA4800"/>
    <w:rsid w:val="22FA511E"/>
    <w:rsid w:val="22FC4BE0"/>
    <w:rsid w:val="22FE0CAD"/>
    <w:rsid w:val="22FEA8AD"/>
    <w:rsid w:val="23028CEB"/>
    <w:rsid w:val="230299C7"/>
    <w:rsid w:val="23057E66"/>
    <w:rsid w:val="2306C881"/>
    <w:rsid w:val="23089BF7"/>
    <w:rsid w:val="2308B0BC"/>
    <w:rsid w:val="23093816"/>
    <w:rsid w:val="2309BD81"/>
    <w:rsid w:val="230A84D1"/>
    <w:rsid w:val="230B29CD"/>
    <w:rsid w:val="230B7878"/>
    <w:rsid w:val="230E1B48"/>
    <w:rsid w:val="23105DEC"/>
    <w:rsid w:val="2310CAF4"/>
    <w:rsid w:val="231159C5"/>
    <w:rsid w:val="2311BB8A"/>
    <w:rsid w:val="23129D67"/>
    <w:rsid w:val="23134CE1"/>
    <w:rsid w:val="23163BFA"/>
    <w:rsid w:val="231786FA"/>
    <w:rsid w:val="2318B3EE"/>
    <w:rsid w:val="2319DD69"/>
    <w:rsid w:val="2319E5ED"/>
    <w:rsid w:val="231AD77A"/>
    <w:rsid w:val="231F2D85"/>
    <w:rsid w:val="23241876"/>
    <w:rsid w:val="2324FD6F"/>
    <w:rsid w:val="23278072"/>
    <w:rsid w:val="2327ADA2"/>
    <w:rsid w:val="23288850"/>
    <w:rsid w:val="232A5457"/>
    <w:rsid w:val="232B1D30"/>
    <w:rsid w:val="232B88DB"/>
    <w:rsid w:val="232BAAEE"/>
    <w:rsid w:val="232F06AB"/>
    <w:rsid w:val="233384BA"/>
    <w:rsid w:val="233407CB"/>
    <w:rsid w:val="2334A052"/>
    <w:rsid w:val="2334C4FC"/>
    <w:rsid w:val="23354A33"/>
    <w:rsid w:val="23361C1F"/>
    <w:rsid w:val="2337A836"/>
    <w:rsid w:val="233AC055"/>
    <w:rsid w:val="233BBCD9"/>
    <w:rsid w:val="233BF6A1"/>
    <w:rsid w:val="233CEDD3"/>
    <w:rsid w:val="233D1737"/>
    <w:rsid w:val="233D1CC6"/>
    <w:rsid w:val="23408790"/>
    <w:rsid w:val="23412461"/>
    <w:rsid w:val="23425022"/>
    <w:rsid w:val="2342FBB4"/>
    <w:rsid w:val="2342FE5E"/>
    <w:rsid w:val="2345D7B3"/>
    <w:rsid w:val="2346C4A4"/>
    <w:rsid w:val="23471803"/>
    <w:rsid w:val="234A0953"/>
    <w:rsid w:val="234A1CA2"/>
    <w:rsid w:val="234A3140"/>
    <w:rsid w:val="234B8931"/>
    <w:rsid w:val="234DE375"/>
    <w:rsid w:val="234E38F7"/>
    <w:rsid w:val="235152D6"/>
    <w:rsid w:val="23518CA5"/>
    <w:rsid w:val="2351B7FB"/>
    <w:rsid w:val="23526F48"/>
    <w:rsid w:val="2353A01F"/>
    <w:rsid w:val="2354AA34"/>
    <w:rsid w:val="235521F0"/>
    <w:rsid w:val="2355AD6D"/>
    <w:rsid w:val="2355DFE7"/>
    <w:rsid w:val="2357E850"/>
    <w:rsid w:val="2358296B"/>
    <w:rsid w:val="235A1EF3"/>
    <w:rsid w:val="235A4E84"/>
    <w:rsid w:val="235A4FCA"/>
    <w:rsid w:val="235C876B"/>
    <w:rsid w:val="235CAB60"/>
    <w:rsid w:val="235E02E9"/>
    <w:rsid w:val="235F2CE9"/>
    <w:rsid w:val="23624F4B"/>
    <w:rsid w:val="2362966F"/>
    <w:rsid w:val="2362F3A7"/>
    <w:rsid w:val="23637781"/>
    <w:rsid w:val="2363C315"/>
    <w:rsid w:val="2364E14A"/>
    <w:rsid w:val="23665B32"/>
    <w:rsid w:val="2366E9C0"/>
    <w:rsid w:val="236722C9"/>
    <w:rsid w:val="23681A12"/>
    <w:rsid w:val="2369E496"/>
    <w:rsid w:val="236A94D6"/>
    <w:rsid w:val="236AD3D7"/>
    <w:rsid w:val="236B2378"/>
    <w:rsid w:val="236B7D01"/>
    <w:rsid w:val="236C061B"/>
    <w:rsid w:val="236D1AB9"/>
    <w:rsid w:val="236E22EB"/>
    <w:rsid w:val="23710F9C"/>
    <w:rsid w:val="2373C524"/>
    <w:rsid w:val="2374C566"/>
    <w:rsid w:val="2377CFCA"/>
    <w:rsid w:val="2377D07B"/>
    <w:rsid w:val="23794A0A"/>
    <w:rsid w:val="23798EAE"/>
    <w:rsid w:val="237A00D8"/>
    <w:rsid w:val="237A02D4"/>
    <w:rsid w:val="237B2F1F"/>
    <w:rsid w:val="237C2425"/>
    <w:rsid w:val="237D98E6"/>
    <w:rsid w:val="237F6FF1"/>
    <w:rsid w:val="23834FF7"/>
    <w:rsid w:val="23866585"/>
    <w:rsid w:val="23871CD8"/>
    <w:rsid w:val="238C6BAF"/>
    <w:rsid w:val="238DE462"/>
    <w:rsid w:val="238F701B"/>
    <w:rsid w:val="23928136"/>
    <w:rsid w:val="2394513C"/>
    <w:rsid w:val="23950D59"/>
    <w:rsid w:val="23965EF5"/>
    <w:rsid w:val="239A5A94"/>
    <w:rsid w:val="239AB0BA"/>
    <w:rsid w:val="239C09B2"/>
    <w:rsid w:val="239CCE6F"/>
    <w:rsid w:val="239F1927"/>
    <w:rsid w:val="239F452A"/>
    <w:rsid w:val="239FA010"/>
    <w:rsid w:val="23A35E74"/>
    <w:rsid w:val="23A3D624"/>
    <w:rsid w:val="23A47A97"/>
    <w:rsid w:val="23A72EDF"/>
    <w:rsid w:val="23AB4F99"/>
    <w:rsid w:val="23AEDA8C"/>
    <w:rsid w:val="23AF3B85"/>
    <w:rsid w:val="23B10661"/>
    <w:rsid w:val="23B182FA"/>
    <w:rsid w:val="23B270BE"/>
    <w:rsid w:val="23B3F3FB"/>
    <w:rsid w:val="23B7B59A"/>
    <w:rsid w:val="23B7F0ED"/>
    <w:rsid w:val="23B84434"/>
    <w:rsid w:val="23B88422"/>
    <w:rsid w:val="23B9E313"/>
    <w:rsid w:val="23BA1A2B"/>
    <w:rsid w:val="23BCFDB5"/>
    <w:rsid w:val="23BEB3A7"/>
    <w:rsid w:val="23BF1DFD"/>
    <w:rsid w:val="23BFE8EB"/>
    <w:rsid w:val="23C38FC1"/>
    <w:rsid w:val="23C50203"/>
    <w:rsid w:val="23C557F5"/>
    <w:rsid w:val="23C57CEB"/>
    <w:rsid w:val="23C66BB9"/>
    <w:rsid w:val="23C75142"/>
    <w:rsid w:val="23C77CF4"/>
    <w:rsid w:val="23C899B8"/>
    <w:rsid w:val="23CA817B"/>
    <w:rsid w:val="23CCA5BD"/>
    <w:rsid w:val="23CE1E1A"/>
    <w:rsid w:val="23D0D16E"/>
    <w:rsid w:val="23D2C903"/>
    <w:rsid w:val="23D417A4"/>
    <w:rsid w:val="23D48FB3"/>
    <w:rsid w:val="23D4BE12"/>
    <w:rsid w:val="23D5402D"/>
    <w:rsid w:val="23D8FBF5"/>
    <w:rsid w:val="23DB999E"/>
    <w:rsid w:val="23E3565E"/>
    <w:rsid w:val="23E9D8F8"/>
    <w:rsid w:val="23EADF76"/>
    <w:rsid w:val="23EBD885"/>
    <w:rsid w:val="23ECA445"/>
    <w:rsid w:val="23EDC7D1"/>
    <w:rsid w:val="23EEE093"/>
    <w:rsid w:val="23EF0591"/>
    <w:rsid w:val="23F1B059"/>
    <w:rsid w:val="23F20C51"/>
    <w:rsid w:val="23F747C6"/>
    <w:rsid w:val="23F770DD"/>
    <w:rsid w:val="23F79F6A"/>
    <w:rsid w:val="23F7E01B"/>
    <w:rsid w:val="23F80D6A"/>
    <w:rsid w:val="23FCA882"/>
    <w:rsid w:val="23FD2FEB"/>
    <w:rsid w:val="23FF9555"/>
    <w:rsid w:val="24000AF0"/>
    <w:rsid w:val="2400C3C2"/>
    <w:rsid w:val="24038295"/>
    <w:rsid w:val="2404CA77"/>
    <w:rsid w:val="2404D9C5"/>
    <w:rsid w:val="24053FC7"/>
    <w:rsid w:val="2406CC15"/>
    <w:rsid w:val="2408360D"/>
    <w:rsid w:val="2408C090"/>
    <w:rsid w:val="240B8502"/>
    <w:rsid w:val="240EB352"/>
    <w:rsid w:val="240F58C6"/>
    <w:rsid w:val="241252EC"/>
    <w:rsid w:val="2413CCA8"/>
    <w:rsid w:val="2414759F"/>
    <w:rsid w:val="241485D7"/>
    <w:rsid w:val="24180A47"/>
    <w:rsid w:val="2418A5DF"/>
    <w:rsid w:val="2419DACB"/>
    <w:rsid w:val="241AADBF"/>
    <w:rsid w:val="241BDE3A"/>
    <w:rsid w:val="241D2271"/>
    <w:rsid w:val="24229DA8"/>
    <w:rsid w:val="242657F5"/>
    <w:rsid w:val="242730A2"/>
    <w:rsid w:val="24289D4F"/>
    <w:rsid w:val="242B62C0"/>
    <w:rsid w:val="242C42D8"/>
    <w:rsid w:val="242D371A"/>
    <w:rsid w:val="242E2FF8"/>
    <w:rsid w:val="24330E4B"/>
    <w:rsid w:val="2436B2E5"/>
    <w:rsid w:val="2437B5D9"/>
    <w:rsid w:val="243890F8"/>
    <w:rsid w:val="243922D5"/>
    <w:rsid w:val="243ABF15"/>
    <w:rsid w:val="243AD5F6"/>
    <w:rsid w:val="243C5373"/>
    <w:rsid w:val="243ECEB1"/>
    <w:rsid w:val="243F22A1"/>
    <w:rsid w:val="243F6BCC"/>
    <w:rsid w:val="244099A9"/>
    <w:rsid w:val="2440BA25"/>
    <w:rsid w:val="244185C4"/>
    <w:rsid w:val="2441C4FE"/>
    <w:rsid w:val="24434C0D"/>
    <w:rsid w:val="24435561"/>
    <w:rsid w:val="244525A2"/>
    <w:rsid w:val="24473927"/>
    <w:rsid w:val="2447B2C3"/>
    <w:rsid w:val="2448051D"/>
    <w:rsid w:val="244932AC"/>
    <w:rsid w:val="244C37C2"/>
    <w:rsid w:val="244D2C73"/>
    <w:rsid w:val="244E0E2D"/>
    <w:rsid w:val="24535201"/>
    <w:rsid w:val="2454075C"/>
    <w:rsid w:val="24545D1A"/>
    <w:rsid w:val="24552A0A"/>
    <w:rsid w:val="24555F92"/>
    <w:rsid w:val="2457D844"/>
    <w:rsid w:val="2459B96F"/>
    <w:rsid w:val="2459D9CF"/>
    <w:rsid w:val="245AA8CD"/>
    <w:rsid w:val="245B16DB"/>
    <w:rsid w:val="245E23D9"/>
    <w:rsid w:val="245E4172"/>
    <w:rsid w:val="245F3755"/>
    <w:rsid w:val="245FD13F"/>
    <w:rsid w:val="24604F8B"/>
    <w:rsid w:val="2460AE2D"/>
    <w:rsid w:val="2463BC84"/>
    <w:rsid w:val="2463E780"/>
    <w:rsid w:val="24653DB4"/>
    <w:rsid w:val="2465AAF9"/>
    <w:rsid w:val="2465E9EF"/>
    <w:rsid w:val="246821EE"/>
    <w:rsid w:val="2469733D"/>
    <w:rsid w:val="2469F48F"/>
    <w:rsid w:val="246C26B2"/>
    <w:rsid w:val="246D3A5F"/>
    <w:rsid w:val="246DAF5E"/>
    <w:rsid w:val="246EFA8F"/>
    <w:rsid w:val="2471B03C"/>
    <w:rsid w:val="24750773"/>
    <w:rsid w:val="24769885"/>
    <w:rsid w:val="2478F190"/>
    <w:rsid w:val="247BD186"/>
    <w:rsid w:val="247C84CE"/>
    <w:rsid w:val="247EFDF9"/>
    <w:rsid w:val="247F61EA"/>
    <w:rsid w:val="2480F892"/>
    <w:rsid w:val="248254B2"/>
    <w:rsid w:val="2483896D"/>
    <w:rsid w:val="2485E7B5"/>
    <w:rsid w:val="24863920"/>
    <w:rsid w:val="2489E9EE"/>
    <w:rsid w:val="248ADC28"/>
    <w:rsid w:val="248B2AA5"/>
    <w:rsid w:val="248F2C21"/>
    <w:rsid w:val="24914CEA"/>
    <w:rsid w:val="2491E024"/>
    <w:rsid w:val="2491F578"/>
    <w:rsid w:val="2493AED1"/>
    <w:rsid w:val="2494123E"/>
    <w:rsid w:val="24944E88"/>
    <w:rsid w:val="2496ED5C"/>
    <w:rsid w:val="2497428E"/>
    <w:rsid w:val="249A580A"/>
    <w:rsid w:val="249B33E7"/>
    <w:rsid w:val="249BA0A1"/>
    <w:rsid w:val="249CE7D9"/>
    <w:rsid w:val="249F600B"/>
    <w:rsid w:val="249FC0F5"/>
    <w:rsid w:val="24A08D57"/>
    <w:rsid w:val="24A18C6F"/>
    <w:rsid w:val="24A1CAB2"/>
    <w:rsid w:val="24AA4652"/>
    <w:rsid w:val="24AA6B78"/>
    <w:rsid w:val="24AC5A43"/>
    <w:rsid w:val="24ADAE56"/>
    <w:rsid w:val="24AEAA8A"/>
    <w:rsid w:val="24AF2236"/>
    <w:rsid w:val="24B1C73F"/>
    <w:rsid w:val="24B334FB"/>
    <w:rsid w:val="24B37FEE"/>
    <w:rsid w:val="24B3CFD9"/>
    <w:rsid w:val="24B49182"/>
    <w:rsid w:val="24B6B710"/>
    <w:rsid w:val="24B6FBC3"/>
    <w:rsid w:val="24B74391"/>
    <w:rsid w:val="24B7DE7A"/>
    <w:rsid w:val="24B806A7"/>
    <w:rsid w:val="24B83CFD"/>
    <w:rsid w:val="24B8C3D2"/>
    <w:rsid w:val="24B94D23"/>
    <w:rsid w:val="24BACB38"/>
    <w:rsid w:val="24BB2775"/>
    <w:rsid w:val="24C0DF60"/>
    <w:rsid w:val="24C14BF1"/>
    <w:rsid w:val="24C182EE"/>
    <w:rsid w:val="24C2F9D2"/>
    <w:rsid w:val="24C3A7E1"/>
    <w:rsid w:val="24C58B7C"/>
    <w:rsid w:val="24C78E0C"/>
    <w:rsid w:val="24C7A004"/>
    <w:rsid w:val="24C85814"/>
    <w:rsid w:val="24C91F34"/>
    <w:rsid w:val="24C9503A"/>
    <w:rsid w:val="24CBE13A"/>
    <w:rsid w:val="24CCBA52"/>
    <w:rsid w:val="24CE16F6"/>
    <w:rsid w:val="24D072DE"/>
    <w:rsid w:val="24D1AFC4"/>
    <w:rsid w:val="24D252C9"/>
    <w:rsid w:val="24D27452"/>
    <w:rsid w:val="24D61943"/>
    <w:rsid w:val="24D78150"/>
    <w:rsid w:val="24D85A81"/>
    <w:rsid w:val="24D9D3D4"/>
    <w:rsid w:val="24DB4E1F"/>
    <w:rsid w:val="24DC7AD4"/>
    <w:rsid w:val="24DCF954"/>
    <w:rsid w:val="24DD383A"/>
    <w:rsid w:val="24DF33E3"/>
    <w:rsid w:val="24DF7E60"/>
    <w:rsid w:val="24E1584A"/>
    <w:rsid w:val="24E30DDE"/>
    <w:rsid w:val="24E327BA"/>
    <w:rsid w:val="24E591F7"/>
    <w:rsid w:val="24E745D0"/>
    <w:rsid w:val="24E893D8"/>
    <w:rsid w:val="24E99DC4"/>
    <w:rsid w:val="24EC7460"/>
    <w:rsid w:val="24EC81BD"/>
    <w:rsid w:val="24EE2BB7"/>
    <w:rsid w:val="24F016CA"/>
    <w:rsid w:val="24F1B728"/>
    <w:rsid w:val="24F3325A"/>
    <w:rsid w:val="24F5769D"/>
    <w:rsid w:val="24F5C519"/>
    <w:rsid w:val="24F5FE75"/>
    <w:rsid w:val="24F64331"/>
    <w:rsid w:val="24FAAAC9"/>
    <w:rsid w:val="24FFB8B2"/>
    <w:rsid w:val="2501BCFD"/>
    <w:rsid w:val="2501FD29"/>
    <w:rsid w:val="2502E7FF"/>
    <w:rsid w:val="25035728"/>
    <w:rsid w:val="250444E6"/>
    <w:rsid w:val="250571B3"/>
    <w:rsid w:val="25057778"/>
    <w:rsid w:val="2505D60E"/>
    <w:rsid w:val="25074602"/>
    <w:rsid w:val="25074BA2"/>
    <w:rsid w:val="25099462"/>
    <w:rsid w:val="250A76DE"/>
    <w:rsid w:val="250AECD9"/>
    <w:rsid w:val="250C16E4"/>
    <w:rsid w:val="250E49B9"/>
    <w:rsid w:val="250FCFE8"/>
    <w:rsid w:val="2510116C"/>
    <w:rsid w:val="2510C0E6"/>
    <w:rsid w:val="2510F32D"/>
    <w:rsid w:val="25120332"/>
    <w:rsid w:val="2513C3FF"/>
    <w:rsid w:val="25152CE1"/>
    <w:rsid w:val="2516402B"/>
    <w:rsid w:val="2517C600"/>
    <w:rsid w:val="25185071"/>
    <w:rsid w:val="25187DF8"/>
    <w:rsid w:val="25193C81"/>
    <w:rsid w:val="251C80DE"/>
    <w:rsid w:val="251D9AB9"/>
    <w:rsid w:val="2520F885"/>
    <w:rsid w:val="252193EF"/>
    <w:rsid w:val="25225DD1"/>
    <w:rsid w:val="252297C5"/>
    <w:rsid w:val="2523A608"/>
    <w:rsid w:val="252406C5"/>
    <w:rsid w:val="25242225"/>
    <w:rsid w:val="25255348"/>
    <w:rsid w:val="2525EA08"/>
    <w:rsid w:val="2527038E"/>
    <w:rsid w:val="2527C768"/>
    <w:rsid w:val="252AE19B"/>
    <w:rsid w:val="252B323A"/>
    <w:rsid w:val="252C1F45"/>
    <w:rsid w:val="252F34B1"/>
    <w:rsid w:val="25304558"/>
    <w:rsid w:val="25334831"/>
    <w:rsid w:val="2538B65E"/>
    <w:rsid w:val="25397181"/>
    <w:rsid w:val="25399E5D"/>
    <w:rsid w:val="253B4F12"/>
    <w:rsid w:val="253D3E19"/>
    <w:rsid w:val="253DDFB3"/>
    <w:rsid w:val="253E2922"/>
    <w:rsid w:val="253E8576"/>
    <w:rsid w:val="253F9DC8"/>
    <w:rsid w:val="2540D82F"/>
    <w:rsid w:val="254113C0"/>
    <w:rsid w:val="25432176"/>
    <w:rsid w:val="25432E95"/>
    <w:rsid w:val="2543D039"/>
    <w:rsid w:val="25447D41"/>
    <w:rsid w:val="25453A96"/>
    <w:rsid w:val="2546839C"/>
    <w:rsid w:val="25489354"/>
    <w:rsid w:val="254A40A7"/>
    <w:rsid w:val="254B435D"/>
    <w:rsid w:val="254BC9D6"/>
    <w:rsid w:val="254DFE92"/>
    <w:rsid w:val="2550408A"/>
    <w:rsid w:val="25510D07"/>
    <w:rsid w:val="2551A6DB"/>
    <w:rsid w:val="2552A483"/>
    <w:rsid w:val="2557EDF0"/>
    <w:rsid w:val="2558F86E"/>
    <w:rsid w:val="255906D1"/>
    <w:rsid w:val="2559A483"/>
    <w:rsid w:val="255A7722"/>
    <w:rsid w:val="255C51A3"/>
    <w:rsid w:val="255F4758"/>
    <w:rsid w:val="255FB811"/>
    <w:rsid w:val="25607A32"/>
    <w:rsid w:val="2561128C"/>
    <w:rsid w:val="2562EF68"/>
    <w:rsid w:val="2565964C"/>
    <w:rsid w:val="2565C056"/>
    <w:rsid w:val="2568354D"/>
    <w:rsid w:val="25689E5B"/>
    <w:rsid w:val="2568C640"/>
    <w:rsid w:val="256A15E1"/>
    <w:rsid w:val="256B1B69"/>
    <w:rsid w:val="256BDCD7"/>
    <w:rsid w:val="256DBCFE"/>
    <w:rsid w:val="256FA590"/>
    <w:rsid w:val="25731AFB"/>
    <w:rsid w:val="25731F18"/>
    <w:rsid w:val="2573DA7C"/>
    <w:rsid w:val="2574C1CB"/>
    <w:rsid w:val="2574C637"/>
    <w:rsid w:val="2576FBCE"/>
    <w:rsid w:val="2577C44D"/>
    <w:rsid w:val="25789876"/>
    <w:rsid w:val="2579BD6E"/>
    <w:rsid w:val="257BA00A"/>
    <w:rsid w:val="257D8FF1"/>
    <w:rsid w:val="257D9CA7"/>
    <w:rsid w:val="25804156"/>
    <w:rsid w:val="2580707D"/>
    <w:rsid w:val="258355D7"/>
    <w:rsid w:val="2583BD66"/>
    <w:rsid w:val="2584266E"/>
    <w:rsid w:val="25847F7B"/>
    <w:rsid w:val="2584D79B"/>
    <w:rsid w:val="2584DDD5"/>
    <w:rsid w:val="2584FB4F"/>
    <w:rsid w:val="2585FA41"/>
    <w:rsid w:val="25861CDA"/>
    <w:rsid w:val="258689A9"/>
    <w:rsid w:val="2586FBB3"/>
    <w:rsid w:val="25876EC6"/>
    <w:rsid w:val="2588AECD"/>
    <w:rsid w:val="2589C002"/>
    <w:rsid w:val="258B315A"/>
    <w:rsid w:val="258B45A3"/>
    <w:rsid w:val="258C5C49"/>
    <w:rsid w:val="258D3AC6"/>
    <w:rsid w:val="258D6629"/>
    <w:rsid w:val="258EF6EB"/>
    <w:rsid w:val="2591B791"/>
    <w:rsid w:val="2594587F"/>
    <w:rsid w:val="25998E2A"/>
    <w:rsid w:val="259E02D9"/>
    <w:rsid w:val="259F5262"/>
    <w:rsid w:val="25A230D0"/>
    <w:rsid w:val="25A2F56C"/>
    <w:rsid w:val="25A3519D"/>
    <w:rsid w:val="25A5E2A5"/>
    <w:rsid w:val="25A6DD1B"/>
    <w:rsid w:val="25A74076"/>
    <w:rsid w:val="25A99D81"/>
    <w:rsid w:val="25AB7212"/>
    <w:rsid w:val="25AD1317"/>
    <w:rsid w:val="25AD9772"/>
    <w:rsid w:val="25AE46BF"/>
    <w:rsid w:val="25AF086C"/>
    <w:rsid w:val="25B375F4"/>
    <w:rsid w:val="25B4900E"/>
    <w:rsid w:val="25B5B6EE"/>
    <w:rsid w:val="25B6ADE7"/>
    <w:rsid w:val="25B6DB9D"/>
    <w:rsid w:val="25B75239"/>
    <w:rsid w:val="25B8500C"/>
    <w:rsid w:val="25B944F7"/>
    <w:rsid w:val="25BA2BA4"/>
    <w:rsid w:val="25BA636B"/>
    <w:rsid w:val="25BC739C"/>
    <w:rsid w:val="25BEA7F0"/>
    <w:rsid w:val="25BFAA70"/>
    <w:rsid w:val="25C077E8"/>
    <w:rsid w:val="25C30568"/>
    <w:rsid w:val="25C579B7"/>
    <w:rsid w:val="25C664EC"/>
    <w:rsid w:val="25C73110"/>
    <w:rsid w:val="25C9FD2F"/>
    <w:rsid w:val="25CAF75D"/>
    <w:rsid w:val="25CBA738"/>
    <w:rsid w:val="25CFBE65"/>
    <w:rsid w:val="25D129D3"/>
    <w:rsid w:val="25D163FD"/>
    <w:rsid w:val="25D1FE94"/>
    <w:rsid w:val="25D25FE9"/>
    <w:rsid w:val="25D88E78"/>
    <w:rsid w:val="25DA3A31"/>
    <w:rsid w:val="25DB65DA"/>
    <w:rsid w:val="25E14320"/>
    <w:rsid w:val="25E1A1B9"/>
    <w:rsid w:val="25E3BB55"/>
    <w:rsid w:val="25E3C34A"/>
    <w:rsid w:val="25E43CFD"/>
    <w:rsid w:val="25E51C5F"/>
    <w:rsid w:val="25E6525F"/>
    <w:rsid w:val="25E6FC69"/>
    <w:rsid w:val="25E8B963"/>
    <w:rsid w:val="25E9F946"/>
    <w:rsid w:val="25EAA24D"/>
    <w:rsid w:val="25EAEE80"/>
    <w:rsid w:val="25EAF6C3"/>
    <w:rsid w:val="25EC840F"/>
    <w:rsid w:val="25F0BE81"/>
    <w:rsid w:val="25F1C3F5"/>
    <w:rsid w:val="25F327B8"/>
    <w:rsid w:val="25F59625"/>
    <w:rsid w:val="25F5CF15"/>
    <w:rsid w:val="25F76ECC"/>
    <w:rsid w:val="25F80593"/>
    <w:rsid w:val="25F88E48"/>
    <w:rsid w:val="25F8BA5D"/>
    <w:rsid w:val="25F9C9AD"/>
    <w:rsid w:val="25FB1A94"/>
    <w:rsid w:val="25FBC5D9"/>
    <w:rsid w:val="25FC093A"/>
    <w:rsid w:val="25FC55F6"/>
    <w:rsid w:val="25FDA70B"/>
    <w:rsid w:val="25FEB670"/>
    <w:rsid w:val="25FF5BEF"/>
    <w:rsid w:val="25FFF35D"/>
    <w:rsid w:val="26002DA4"/>
    <w:rsid w:val="26007C23"/>
    <w:rsid w:val="26014270"/>
    <w:rsid w:val="2602764F"/>
    <w:rsid w:val="2602C62D"/>
    <w:rsid w:val="260779A1"/>
    <w:rsid w:val="260A0618"/>
    <w:rsid w:val="260E7C32"/>
    <w:rsid w:val="260F2211"/>
    <w:rsid w:val="26108893"/>
    <w:rsid w:val="2610D9DE"/>
    <w:rsid w:val="26111ABA"/>
    <w:rsid w:val="2611234A"/>
    <w:rsid w:val="2612685A"/>
    <w:rsid w:val="2614E554"/>
    <w:rsid w:val="26169CEC"/>
    <w:rsid w:val="26172D28"/>
    <w:rsid w:val="26183209"/>
    <w:rsid w:val="261855E5"/>
    <w:rsid w:val="261C1268"/>
    <w:rsid w:val="261D4C2E"/>
    <w:rsid w:val="261E2357"/>
    <w:rsid w:val="2620FB80"/>
    <w:rsid w:val="26210E98"/>
    <w:rsid w:val="2622096A"/>
    <w:rsid w:val="26225F30"/>
    <w:rsid w:val="2623146A"/>
    <w:rsid w:val="2625D7AC"/>
    <w:rsid w:val="262748F6"/>
    <w:rsid w:val="26279143"/>
    <w:rsid w:val="26291A9C"/>
    <w:rsid w:val="262A3AA7"/>
    <w:rsid w:val="262A3C61"/>
    <w:rsid w:val="262C9E2D"/>
    <w:rsid w:val="262CEF57"/>
    <w:rsid w:val="262F4B03"/>
    <w:rsid w:val="262FDB17"/>
    <w:rsid w:val="263297D9"/>
    <w:rsid w:val="2634780A"/>
    <w:rsid w:val="263570CF"/>
    <w:rsid w:val="26363C3F"/>
    <w:rsid w:val="26363DCD"/>
    <w:rsid w:val="26364B03"/>
    <w:rsid w:val="263673E0"/>
    <w:rsid w:val="26368FCC"/>
    <w:rsid w:val="26369CE3"/>
    <w:rsid w:val="263AE723"/>
    <w:rsid w:val="263B62ED"/>
    <w:rsid w:val="263BBBA1"/>
    <w:rsid w:val="263C8AB2"/>
    <w:rsid w:val="263EBD54"/>
    <w:rsid w:val="263FBCD8"/>
    <w:rsid w:val="264006DB"/>
    <w:rsid w:val="26414F28"/>
    <w:rsid w:val="26430D27"/>
    <w:rsid w:val="2643877E"/>
    <w:rsid w:val="2643BA9E"/>
    <w:rsid w:val="26457421"/>
    <w:rsid w:val="26459458"/>
    <w:rsid w:val="2645A4D6"/>
    <w:rsid w:val="264CEC5A"/>
    <w:rsid w:val="264F0CDC"/>
    <w:rsid w:val="264F4A4A"/>
    <w:rsid w:val="2650EDE1"/>
    <w:rsid w:val="2653FA88"/>
    <w:rsid w:val="265671A7"/>
    <w:rsid w:val="26570E75"/>
    <w:rsid w:val="265D5462"/>
    <w:rsid w:val="265E63A1"/>
    <w:rsid w:val="266056E8"/>
    <w:rsid w:val="26624877"/>
    <w:rsid w:val="266350B1"/>
    <w:rsid w:val="26636246"/>
    <w:rsid w:val="2665774D"/>
    <w:rsid w:val="2666A68E"/>
    <w:rsid w:val="266798CC"/>
    <w:rsid w:val="266F046F"/>
    <w:rsid w:val="266F49F5"/>
    <w:rsid w:val="26701212"/>
    <w:rsid w:val="2671CA28"/>
    <w:rsid w:val="26751A7D"/>
    <w:rsid w:val="26778664"/>
    <w:rsid w:val="26791511"/>
    <w:rsid w:val="2679E222"/>
    <w:rsid w:val="267CE906"/>
    <w:rsid w:val="268073AF"/>
    <w:rsid w:val="26815262"/>
    <w:rsid w:val="2682DEA2"/>
    <w:rsid w:val="26849891"/>
    <w:rsid w:val="26881E13"/>
    <w:rsid w:val="26882122"/>
    <w:rsid w:val="26887490"/>
    <w:rsid w:val="26895978"/>
    <w:rsid w:val="268A37B8"/>
    <w:rsid w:val="268B4A5E"/>
    <w:rsid w:val="268CF960"/>
    <w:rsid w:val="268DD41C"/>
    <w:rsid w:val="268F00FA"/>
    <w:rsid w:val="268F1151"/>
    <w:rsid w:val="2690AC5A"/>
    <w:rsid w:val="2691D92E"/>
    <w:rsid w:val="269215A4"/>
    <w:rsid w:val="26926441"/>
    <w:rsid w:val="269799BA"/>
    <w:rsid w:val="2697F383"/>
    <w:rsid w:val="26990CEA"/>
    <w:rsid w:val="26992918"/>
    <w:rsid w:val="269A135E"/>
    <w:rsid w:val="269A5864"/>
    <w:rsid w:val="269ABA97"/>
    <w:rsid w:val="269BA022"/>
    <w:rsid w:val="269C75FA"/>
    <w:rsid w:val="269DFE6F"/>
    <w:rsid w:val="269F55E9"/>
    <w:rsid w:val="26A158B0"/>
    <w:rsid w:val="26A28028"/>
    <w:rsid w:val="26A3A1DB"/>
    <w:rsid w:val="26A41E5A"/>
    <w:rsid w:val="26AAA587"/>
    <w:rsid w:val="26AAEB3E"/>
    <w:rsid w:val="26AC4E65"/>
    <w:rsid w:val="26ADD393"/>
    <w:rsid w:val="26ADD644"/>
    <w:rsid w:val="26ADFA78"/>
    <w:rsid w:val="26B1AF19"/>
    <w:rsid w:val="26B389BF"/>
    <w:rsid w:val="26B39CC5"/>
    <w:rsid w:val="26B3C555"/>
    <w:rsid w:val="26B3E0AB"/>
    <w:rsid w:val="26B3F599"/>
    <w:rsid w:val="26B45AAB"/>
    <w:rsid w:val="26B61E05"/>
    <w:rsid w:val="26B62C04"/>
    <w:rsid w:val="26B6B96A"/>
    <w:rsid w:val="26B6C4BA"/>
    <w:rsid w:val="26B72D54"/>
    <w:rsid w:val="26B85EFA"/>
    <w:rsid w:val="26BABF91"/>
    <w:rsid w:val="26BBA8D3"/>
    <w:rsid w:val="26BC0BAC"/>
    <w:rsid w:val="26BE5874"/>
    <w:rsid w:val="26BE5CA6"/>
    <w:rsid w:val="26C4B733"/>
    <w:rsid w:val="26C81E87"/>
    <w:rsid w:val="26CAB5C1"/>
    <w:rsid w:val="26CC03E2"/>
    <w:rsid w:val="26CEA89F"/>
    <w:rsid w:val="26D15260"/>
    <w:rsid w:val="26D174D1"/>
    <w:rsid w:val="26D66826"/>
    <w:rsid w:val="26D83F2B"/>
    <w:rsid w:val="26D94191"/>
    <w:rsid w:val="26DC803A"/>
    <w:rsid w:val="26DD431A"/>
    <w:rsid w:val="26DD545A"/>
    <w:rsid w:val="26DE4811"/>
    <w:rsid w:val="26DE584A"/>
    <w:rsid w:val="26E12550"/>
    <w:rsid w:val="26E3903F"/>
    <w:rsid w:val="26E4D508"/>
    <w:rsid w:val="26E7B5F2"/>
    <w:rsid w:val="26E80A1A"/>
    <w:rsid w:val="26E866FB"/>
    <w:rsid w:val="26E9FFB6"/>
    <w:rsid w:val="26EAAA39"/>
    <w:rsid w:val="26EC598B"/>
    <w:rsid w:val="26EDCDBC"/>
    <w:rsid w:val="26EFDD86"/>
    <w:rsid w:val="26EFF07E"/>
    <w:rsid w:val="26F13A44"/>
    <w:rsid w:val="26F44752"/>
    <w:rsid w:val="26F5925F"/>
    <w:rsid w:val="26F760C6"/>
    <w:rsid w:val="26F7A3DF"/>
    <w:rsid w:val="26F9DAD2"/>
    <w:rsid w:val="26FB4E29"/>
    <w:rsid w:val="26FBAEB4"/>
    <w:rsid w:val="26FC7DA8"/>
    <w:rsid w:val="26FCAFB6"/>
    <w:rsid w:val="26FD51B4"/>
    <w:rsid w:val="26FD6452"/>
    <w:rsid w:val="26FDD0E7"/>
    <w:rsid w:val="26FF00A5"/>
    <w:rsid w:val="2707AE8F"/>
    <w:rsid w:val="27091898"/>
    <w:rsid w:val="270A5EE9"/>
    <w:rsid w:val="270CF195"/>
    <w:rsid w:val="270D3822"/>
    <w:rsid w:val="270F41E5"/>
    <w:rsid w:val="27104E2C"/>
    <w:rsid w:val="271092E4"/>
    <w:rsid w:val="27124BBD"/>
    <w:rsid w:val="271354C3"/>
    <w:rsid w:val="27167D4B"/>
    <w:rsid w:val="27169C65"/>
    <w:rsid w:val="27195D98"/>
    <w:rsid w:val="27199150"/>
    <w:rsid w:val="2719CD26"/>
    <w:rsid w:val="271A7F6C"/>
    <w:rsid w:val="271C0467"/>
    <w:rsid w:val="271C25AB"/>
    <w:rsid w:val="271D0DAB"/>
    <w:rsid w:val="271D58E8"/>
    <w:rsid w:val="271E9232"/>
    <w:rsid w:val="271F72DE"/>
    <w:rsid w:val="272344F2"/>
    <w:rsid w:val="27241EAE"/>
    <w:rsid w:val="2724ADC4"/>
    <w:rsid w:val="272542EB"/>
    <w:rsid w:val="27254357"/>
    <w:rsid w:val="27260441"/>
    <w:rsid w:val="272A2D52"/>
    <w:rsid w:val="272BEC6E"/>
    <w:rsid w:val="272C158B"/>
    <w:rsid w:val="272E56EF"/>
    <w:rsid w:val="272E63C5"/>
    <w:rsid w:val="273079C1"/>
    <w:rsid w:val="2730E17C"/>
    <w:rsid w:val="2731D09A"/>
    <w:rsid w:val="27345BB5"/>
    <w:rsid w:val="27346BD2"/>
    <w:rsid w:val="27359190"/>
    <w:rsid w:val="27376FB8"/>
    <w:rsid w:val="2737B5B4"/>
    <w:rsid w:val="2738C7BC"/>
    <w:rsid w:val="27391D85"/>
    <w:rsid w:val="273B82E0"/>
    <w:rsid w:val="273DA06D"/>
    <w:rsid w:val="273DD1E4"/>
    <w:rsid w:val="273EA272"/>
    <w:rsid w:val="273F99A9"/>
    <w:rsid w:val="2740C4B5"/>
    <w:rsid w:val="2740FDD9"/>
    <w:rsid w:val="2741CF21"/>
    <w:rsid w:val="2741E537"/>
    <w:rsid w:val="27426F77"/>
    <w:rsid w:val="27454F12"/>
    <w:rsid w:val="2747D2B8"/>
    <w:rsid w:val="2748D92A"/>
    <w:rsid w:val="27498A76"/>
    <w:rsid w:val="2749C602"/>
    <w:rsid w:val="274A7B45"/>
    <w:rsid w:val="274AEE9E"/>
    <w:rsid w:val="274D2EB6"/>
    <w:rsid w:val="274D377A"/>
    <w:rsid w:val="274D8224"/>
    <w:rsid w:val="274D95C1"/>
    <w:rsid w:val="274F0624"/>
    <w:rsid w:val="274FFA32"/>
    <w:rsid w:val="275028CE"/>
    <w:rsid w:val="27514EC9"/>
    <w:rsid w:val="275266E0"/>
    <w:rsid w:val="2753F424"/>
    <w:rsid w:val="2754716D"/>
    <w:rsid w:val="275D81C5"/>
    <w:rsid w:val="275DB49D"/>
    <w:rsid w:val="276006B8"/>
    <w:rsid w:val="2762C06D"/>
    <w:rsid w:val="27630F66"/>
    <w:rsid w:val="27647720"/>
    <w:rsid w:val="2764ACD1"/>
    <w:rsid w:val="276DD90C"/>
    <w:rsid w:val="2772A33D"/>
    <w:rsid w:val="2772C611"/>
    <w:rsid w:val="27732BC8"/>
    <w:rsid w:val="2774C4E6"/>
    <w:rsid w:val="2779A7B0"/>
    <w:rsid w:val="277AC1F6"/>
    <w:rsid w:val="277CEEE9"/>
    <w:rsid w:val="277DE6B9"/>
    <w:rsid w:val="277E72FC"/>
    <w:rsid w:val="27818462"/>
    <w:rsid w:val="27825B87"/>
    <w:rsid w:val="2787326F"/>
    <w:rsid w:val="2788D32F"/>
    <w:rsid w:val="2788E4B6"/>
    <w:rsid w:val="278AEDD5"/>
    <w:rsid w:val="278F412C"/>
    <w:rsid w:val="2793535B"/>
    <w:rsid w:val="279374CE"/>
    <w:rsid w:val="27944EB2"/>
    <w:rsid w:val="279545F8"/>
    <w:rsid w:val="2796077E"/>
    <w:rsid w:val="2797E14D"/>
    <w:rsid w:val="279B499D"/>
    <w:rsid w:val="279BDE6A"/>
    <w:rsid w:val="279EAFA3"/>
    <w:rsid w:val="27A02E4D"/>
    <w:rsid w:val="27A04121"/>
    <w:rsid w:val="27A27CEA"/>
    <w:rsid w:val="27A2801F"/>
    <w:rsid w:val="27A4832C"/>
    <w:rsid w:val="27A4BFC2"/>
    <w:rsid w:val="27A4EA98"/>
    <w:rsid w:val="27A7C9CB"/>
    <w:rsid w:val="27A910FD"/>
    <w:rsid w:val="27AB6625"/>
    <w:rsid w:val="27AB8D42"/>
    <w:rsid w:val="27ACF3AB"/>
    <w:rsid w:val="27AEFAF7"/>
    <w:rsid w:val="27AF9CC6"/>
    <w:rsid w:val="27AFDEC8"/>
    <w:rsid w:val="27B0EFCE"/>
    <w:rsid w:val="27B318F1"/>
    <w:rsid w:val="27B3CFAF"/>
    <w:rsid w:val="27B5B1A1"/>
    <w:rsid w:val="27B8E91D"/>
    <w:rsid w:val="27B9AC00"/>
    <w:rsid w:val="27BA1221"/>
    <w:rsid w:val="27BCE815"/>
    <w:rsid w:val="27BD1F38"/>
    <w:rsid w:val="27BD3FFD"/>
    <w:rsid w:val="27C307B1"/>
    <w:rsid w:val="27C3E1B9"/>
    <w:rsid w:val="27C4B4BF"/>
    <w:rsid w:val="27C4C313"/>
    <w:rsid w:val="27C9B92D"/>
    <w:rsid w:val="27CCD2D6"/>
    <w:rsid w:val="27CE4292"/>
    <w:rsid w:val="27CF122E"/>
    <w:rsid w:val="27D1B41E"/>
    <w:rsid w:val="27D25189"/>
    <w:rsid w:val="27D29899"/>
    <w:rsid w:val="27D3A870"/>
    <w:rsid w:val="27D3E740"/>
    <w:rsid w:val="27D61FD4"/>
    <w:rsid w:val="27D6434C"/>
    <w:rsid w:val="27D716EA"/>
    <w:rsid w:val="27D93829"/>
    <w:rsid w:val="27DB791B"/>
    <w:rsid w:val="27DC7C25"/>
    <w:rsid w:val="27DD9406"/>
    <w:rsid w:val="27DE30EE"/>
    <w:rsid w:val="27DE7A05"/>
    <w:rsid w:val="27E00C5C"/>
    <w:rsid w:val="27E15B08"/>
    <w:rsid w:val="27E42F39"/>
    <w:rsid w:val="27E4B89E"/>
    <w:rsid w:val="27E4C910"/>
    <w:rsid w:val="27E57D70"/>
    <w:rsid w:val="27E5FC84"/>
    <w:rsid w:val="27E8044D"/>
    <w:rsid w:val="27E8B6F7"/>
    <w:rsid w:val="27E93D8F"/>
    <w:rsid w:val="27EAEA2F"/>
    <w:rsid w:val="27EED89E"/>
    <w:rsid w:val="27EEEAED"/>
    <w:rsid w:val="27F04362"/>
    <w:rsid w:val="27F3C797"/>
    <w:rsid w:val="27F41822"/>
    <w:rsid w:val="27F844E9"/>
    <w:rsid w:val="27F8CB6F"/>
    <w:rsid w:val="27F9FBE4"/>
    <w:rsid w:val="27FA9A94"/>
    <w:rsid w:val="27FC371D"/>
    <w:rsid w:val="27FDEBB8"/>
    <w:rsid w:val="27FEF3F0"/>
    <w:rsid w:val="27FF0648"/>
    <w:rsid w:val="2803FA66"/>
    <w:rsid w:val="2805554C"/>
    <w:rsid w:val="2805CA21"/>
    <w:rsid w:val="28081859"/>
    <w:rsid w:val="280B8B39"/>
    <w:rsid w:val="280F2A70"/>
    <w:rsid w:val="280FEF5A"/>
    <w:rsid w:val="28103A55"/>
    <w:rsid w:val="281047D6"/>
    <w:rsid w:val="2810E50E"/>
    <w:rsid w:val="28134201"/>
    <w:rsid w:val="28152542"/>
    <w:rsid w:val="2815DABC"/>
    <w:rsid w:val="2815ED97"/>
    <w:rsid w:val="281705DD"/>
    <w:rsid w:val="281940C4"/>
    <w:rsid w:val="2819B15C"/>
    <w:rsid w:val="281E4C62"/>
    <w:rsid w:val="2822D703"/>
    <w:rsid w:val="28240141"/>
    <w:rsid w:val="2825D709"/>
    <w:rsid w:val="28269AEE"/>
    <w:rsid w:val="2827C268"/>
    <w:rsid w:val="282AF76B"/>
    <w:rsid w:val="282B48F2"/>
    <w:rsid w:val="282CB923"/>
    <w:rsid w:val="282CE788"/>
    <w:rsid w:val="282D29C2"/>
    <w:rsid w:val="282E8511"/>
    <w:rsid w:val="282F2D09"/>
    <w:rsid w:val="2831B799"/>
    <w:rsid w:val="283346BE"/>
    <w:rsid w:val="2833E7F9"/>
    <w:rsid w:val="283817CC"/>
    <w:rsid w:val="2838CBDC"/>
    <w:rsid w:val="2839FD37"/>
    <w:rsid w:val="283BAC3D"/>
    <w:rsid w:val="283D329A"/>
    <w:rsid w:val="283E949B"/>
    <w:rsid w:val="283EE956"/>
    <w:rsid w:val="283F14C6"/>
    <w:rsid w:val="28417066"/>
    <w:rsid w:val="28442A08"/>
    <w:rsid w:val="2844A4F2"/>
    <w:rsid w:val="28453D51"/>
    <w:rsid w:val="2848CFD9"/>
    <w:rsid w:val="2849E284"/>
    <w:rsid w:val="284AC89A"/>
    <w:rsid w:val="28503889"/>
    <w:rsid w:val="2850703E"/>
    <w:rsid w:val="2858DA6B"/>
    <w:rsid w:val="285B325B"/>
    <w:rsid w:val="285D8CBC"/>
    <w:rsid w:val="285F8584"/>
    <w:rsid w:val="285F8957"/>
    <w:rsid w:val="2860E72B"/>
    <w:rsid w:val="28614AD9"/>
    <w:rsid w:val="2861654B"/>
    <w:rsid w:val="28626817"/>
    <w:rsid w:val="28652B94"/>
    <w:rsid w:val="2865C76F"/>
    <w:rsid w:val="2865DE07"/>
    <w:rsid w:val="286723FF"/>
    <w:rsid w:val="28676011"/>
    <w:rsid w:val="2867B192"/>
    <w:rsid w:val="28691F54"/>
    <w:rsid w:val="28692DF8"/>
    <w:rsid w:val="28697FEE"/>
    <w:rsid w:val="286984D3"/>
    <w:rsid w:val="286CB5C0"/>
    <w:rsid w:val="286CF581"/>
    <w:rsid w:val="28770B09"/>
    <w:rsid w:val="28773ECD"/>
    <w:rsid w:val="28776765"/>
    <w:rsid w:val="287EDE44"/>
    <w:rsid w:val="2882068F"/>
    <w:rsid w:val="28824D03"/>
    <w:rsid w:val="288419E1"/>
    <w:rsid w:val="28845498"/>
    <w:rsid w:val="28873CB9"/>
    <w:rsid w:val="28883019"/>
    <w:rsid w:val="288A760B"/>
    <w:rsid w:val="288B10F9"/>
    <w:rsid w:val="288C5C59"/>
    <w:rsid w:val="288DA86E"/>
    <w:rsid w:val="288E0243"/>
    <w:rsid w:val="288F42D2"/>
    <w:rsid w:val="28924C1E"/>
    <w:rsid w:val="28941C9B"/>
    <w:rsid w:val="28956D17"/>
    <w:rsid w:val="28981A69"/>
    <w:rsid w:val="289858DB"/>
    <w:rsid w:val="2899B48F"/>
    <w:rsid w:val="2899C28C"/>
    <w:rsid w:val="2899D793"/>
    <w:rsid w:val="289A7CC2"/>
    <w:rsid w:val="289AD6C7"/>
    <w:rsid w:val="289B30C4"/>
    <w:rsid w:val="289C079C"/>
    <w:rsid w:val="289DEBDA"/>
    <w:rsid w:val="289E71CD"/>
    <w:rsid w:val="289F3DB0"/>
    <w:rsid w:val="28A02828"/>
    <w:rsid w:val="28A3ED98"/>
    <w:rsid w:val="28A42F99"/>
    <w:rsid w:val="28A53543"/>
    <w:rsid w:val="28A6E27C"/>
    <w:rsid w:val="28A8BFF9"/>
    <w:rsid w:val="28A9CBA5"/>
    <w:rsid w:val="28A9D4A4"/>
    <w:rsid w:val="28AB1078"/>
    <w:rsid w:val="28ADEDE3"/>
    <w:rsid w:val="28AE65EB"/>
    <w:rsid w:val="28B17B06"/>
    <w:rsid w:val="28B18C7B"/>
    <w:rsid w:val="28B26E4D"/>
    <w:rsid w:val="28B4631D"/>
    <w:rsid w:val="28B47948"/>
    <w:rsid w:val="28B4E7E9"/>
    <w:rsid w:val="28B9427F"/>
    <w:rsid w:val="28B96392"/>
    <w:rsid w:val="28B96A19"/>
    <w:rsid w:val="28B9C34F"/>
    <w:rsid w:val="28BA1F44"/>
    <w:rsid w:val="28BB2993"/>
    <w:rsid w:val="28C04040"/>
    <w:rsid w:val="28C138F4"/>
    <w:rsid w:val="28C1412E"/>
    <w:rsid w:val="28C25495"/>
    <w:rsid w:val="28C63F09"/>
    <w:rsid w:val="28CC30E6"/>
    <w:rsid w:val="28CDE090"/>
    <w:rsid w:val="28CF934D"/>
    <w:rsid w:val="28CF9970"/>
    <w:rsid w:val="28D8F4DF"/>
    <w:rsid w:val="28DC7358"/>
    <w:rsid w:val="28DDE024"/>
    <w:rsid w:val="28E1770A"/>
    <w:rsid w:val="28E6EDCC"/>
    <w:rsid w:val="28E9443E"/>
    <w:rsid w:val="28EA8BB7"/>
    <w:rsid w:val="28EC5852"/>
    <w:rsid w:val="28ED71CB"/>
    <w:rsid w:val="28EDA247"/>
    <w:rsid w:val="28EF3BB1"/>
    <w:rsid w:val="28F075D3"/>
    <w:rsid w:val="28F147E9"/>
    <w:rsid w:val="28F24464"/>
    <w:rsid w:val="28F2BD77"/>
    <w:rsid w:val="28F32D20"/>
    <w:rsid w:val="28F48CBB"/>
    <w:rsid w:val="28F4F476"/>
    <w:rsid w:val="28F53D00"/>
    <w:rsid w:val="28F67BD0"/>
    <w:rsid w:val="28F88EA0"/>
    <w:rsid w:val="28F8CD45"/>
    <w:rsid w:val="28F97F8B"/>
    <w:rsid w:val="28FB25C6"/>
    <w:rsid w:val="28FDD7F5"/>
    <w:rsid w:val="29007B01"/>
    <w:rsid w:val="29047EB8"/>
    <w:rsid w:val="29088110"/>
    <w:rsid w:val="2908ADF2"/>
    <w:rsid w:val="29094D83"/>
    <w:rsid w:val="29095E01"/>
    <w:rsid w:val="2909CF4F"/>
    <w:rsid w:val="290AF433"/>
    <w:rsid w:val="290CB24D"/>
    <w:rsid w:val="290E7665"/>
    <w:rsid w:val="290FC033"/>
    <w:rsid w:val="2910C8D2"/>
    <w:rsid w:val="291173CC"/>
    <w:rsid w:val="2911C57D"/>
    <w:rsid w:val="2913D5DD"/>
    <w:rsid w:val="2913F415"/>
    <w:rsid w:val="29141A3B"/>
    <w:rsid w:val="29141FE3"/>
    <w:rsid w:val="291AEBBD"/>
    <w:rsid w:val="29208BCA"/>
    <w:rsid w:val="29216719"/>
    <w:rsid w:val="29245F6A"/>
    <w:rsid w:val="29253A54"/>
    <w:rsid w:val="2926C39D"/>
    <w:rsid w:val="2926C630"/>
    <w:rsid w:val="2926C905"/>
    <w:rsid w:val="2926C9BC"/>
    <w:rsid w:val="292B8B65"/>
    <w:rsid w:val="292C1A16"/>
    <w:rsid w:val="292C939B"/>
    <w:rsid w:val="292D0141"/>
    <w:rsid w:val="292E6C82"/>
    <w:rsid w:val="29309193"/>
    <w:rsid w:val="29309641"/>
    <w:rsid w:val="2937982A"/>
    <w:rsid w:val="2937B182"/>
    <w:rsid w:val="293A2C04"/>
    <w:rsid w:val="293DBA80"/>
    <w:rsid w:val="293DD677"/>
    <w:rsid w:val="293E394A"/>
    <w:rsid w:val="2942AC0A"/>
    <w:rsid w:val="2942EED4"/>
    <w:rsid w:val="2943ACB2"/>
    <w:rsid w:val="29451D23"/>
    <w:rsid w:val="2945E71A"/>
    <w:rsid w:val="29465DC8"/>
    <w:rsid w:val="29472191"/>
    <w:rsid w:val="2947C438"/>
    <w:rsid w:val="2948C40C"/>
    <w:rsid w:val="294C1A6C"/>
    <w:rsid w:val="294F8055"/>
    <w:rsid w:val="29502644"/>
    <w:rsid w:val="295116BD"/>
    <w:rsid w:val="2951880B"/>
    <w:rsid w:val="29528FF8"/>
    <w:rsid w:val="2952E895"/>
    <w:rsid w:val="29531A5E"/>
    <w:rsid w:val="29578DB6"/>
    <w:rsid w:val="2958DD29"/>
    <w:rsid w:val="2958FF10"/>
    <w:rsid w:val="2959047F"/>
    <w:rsid w:val="295A550B"/>
    <w:rsid w:val="295A9C06"/>
    <w:rsid w:val="295BF2FA"/>
    <w:rsid w:val="295D4792"/>
    <w:rsid w:val="295DF9BA"/>
    <w:rsid w:val="295E7FEF"/>
    <w:rsid w:val="2960641E"/>
    <w:rsid w:val="2960CDC0"/>
    <w:rsid w:val="29617168"/>
    <w:rsid w:val="2961FF26"/>
    <w:rsid w:val="2961FF76"/>
    <w:rsid w:val="296C1463"/>
    <w:rsid w:val="296D0CFE"/>
    <w:rsid w:val="296F0256"/>
    <w:rsid w:val="297063C6"/>
    <w:rsid w:val="2975854B"/>
    <w:rsid w:val="2977186D"/>
    <w:rsid w:val="297835F0"/>
    <w:rsid w:val="2978B765"/>
    <w:rsid w:val="2979726A"/>
    <w:rsid w:val="297A0289"/>
    <w:rsid w:val="297AADE6"/>
    <w:rsid w:val="297AFF83"/>
    <w:rsid w:val="297C689D"/>
    <w:rsid w:val="297CF4E8"/>
    <w:rsid w:val="297E833A"/>
    <w:rsid w:val="297E8EE4"/>
    <w:rsid w:val="297F4C22"/>
    <w:rsid w:val="2980DE22"/>
    <w:rsid w:val="2981604C"/>
    <w:rsid w:val="29849211"/>
    <w:rsid w:val="29872036"/>
    <w:rsid w:val="298749D5"/>
    <w:rsid w:val="29880E66"/>
    <w:rsid w:val="298B6938"/>
    <w:rsid w:val="298BF77F"/>
    <w:rsid w:val="298C8216"/>
    <w:rsid w:val="29901A8B"/>
    <w:rsid w:val="2990A355"/>
    <w:rsid w:val="299116C2"/>
    <w:rsid w:val="299123A1"/>
    <w:rsid w:val="2991A1D2"/>
    <w:rsid w:val="29935DCF"/>
    <w:rsid w:val="2993B5C9"/>
    <w:rsid w:val="29943AB7"/>
    <w:rsid w:val="2996898E"/>
    <w:rsid w:val="299BBEF6"/>
    <w:rsid w:val="299C5662"/>
    <w:rsid w:val="299D9520"/>
    <w:rsid w:val="29A04FAD"/>
    <w:rsid w:val="29A08324"/>
    <w:rsid w:val="29A0A963"/>
    <w:rsid w:val="29A1C5BB"/>
    <w:rsid w:val="29A24A8D"/>
    <w:rsid w:val="29A511A3"/>
    <w:rsid w:val="29A5CBD1"/>
    <w:rsid w:val="29A61E96"/>
    <w:rsid w:val="29A8D49F"/>
    <w:rsid w:val="29ABC419"/>
    <w:rsid w:val="29AC8CDD"/>
    <w:rsid w:val="29AFB3CB"/>
    <w:rsid w:val="29B1EF88"/>
    <w:rsid w:val="29B3981C"/>
    <w:rsid w:val="29B4D775"/>
    <w:rsid w:val="29B4EE72"/>
    <w:rsid w:val="29B5A3F7"/>
    <w:rsid w:val="29B6F78F"/>
    <w:rsid w:val="29B752E8"/>
    <w:rsid w:val="29B8869D"/>
    <w:rsid w:val="29B8B221"/>
    <w:rsid w:val="29B92AE1"/>
    <w:rsid w:val="29BAF5DC"/>
    <w:rsid w:val="29BB9FAA"/>
    <w:rsid w:val="29BBAA5B"/>
    <w:rsid w:val="29BC27A1"/>
    <w:rsid w:val="29BDB967"/>
    <w:rsid w:val="29BEC653"/>
    <w:rsid w:val="29BF709F"/>
    <w:rsid w:val="29C12EFF"/>
    <w:rsid w:val="29C16B9E"/>
    <w:rsid w:val="29C26725"/>
    <w:rsid w:val="29C39B26"/>
    <w:rsid w:val="29C53608"/>
    <w:rsid w:val="29C6D53D"/>
    <w:rsid w:val="29C96D48"/>
    <w:rsid w:val="29CC5018"/>
    <w:rsid w:val="29CDE230"/>
    <w:rsid w:val="29CE4BD6"/>
    <w:rsid w:val="29D36103"/>
    <w:rsid w:val="29D4753B"/>
    <w:rsid w:val="29D9D9A4"/>
    <w:rsid w:val="29DA8FB4"/>
    <w:rsid w:val="29E03C12"/>
    <w:rsid w:val="29E0BDB5"/>
    <w:rsid w:val="29E0D8E9"/>
    <w:rsid w:val="29E13852"/>
    <w:rsid w:val="29E18AEE"/>
    <w:rsid w:val="29E202A0"/>
    <w:rsid w:val="29E29F96"/>
    <w:rsid w:val="29E3D0BF"/>
    <w:rsid w:val="29E50AD9"/>
    <w:rsid w:val="29E73F6E"/>
    <w:rsid w:val="29E779AE"/>
    <w:rsid w:val="29E8F602"/>
    <w:rsid w:val="29E997EE"/>
    <w:rsid w:val="29ED7B41"/>
    <w:rsid w:val="29EE696F"/>
    <w:rsid w:val="29EF9695"/>
    <w:rsid w:val="29F04CD8"/>
    <w:rsid w:val="29F1AB13"/>
    <w:rsid w:val="29F4A4A8"/>
    <w:rsid w:val="29F4D725"/>
    <w:rsid w:val="29F9E149"/>
    <w:rsid w:val="29FA8980"/>
    <w:rsid w:val="29FA93BE"/>
    <w:rsid w:val="29FB9CC2"/>
    <w:rsid w:val="29FBA7F5"/>
    <w:rsid w:val="29FC6AB2"/>
    <w:rsid w:val="29FFF7DA"/>
    <w:rsid w:val="2A014486"/>
    <w:rsid w:val="2A01D298"/>
    <w:rsid w:val="2A01FDC3"/>
    <w:rsid w:val="2A03411A"/>
    <w:rsid w:val="2A037856"/>
    <w:rsid w:val="2A040AAD"/>
    <w:rsid w:val="2A0720CB"/>
    <w:rsid w:val="2A07AAA6"/>
    <w:rsid w:val="2A09F03E"/>
    <w:rsid w:val="2A0C58F1"/>
    <w:rsid w:val="2A0CDC3D"/>
    <w:rsid w:val="2A0D4D76"/>
    <w:rsid w:val="2A12C552"/>
    <w:rsid w:val="2A12CD7B"/>
    <w:rsid w:val="2A16E4FE"/>
    <w:rsid w:val="2A17489E"/>
    <w:rsid w:val="2A1F7FFD"/>
    <w:rsid w:val="2A204075"/>
    <w:rsid w:val="2A20920D"/>
    <w:rsid w:val="2A20B7B6"/>
    <w:rsid w:val="2A2281F8"/>
    <w:rsid w:val="2A263529"/>
    <w:rsid w:val="2A27D649"/>
    <w:rsid w:val="2A27FFCE"/>
    <w:rsid w:val="2A2B97FA"/>
    <w:rsid w:val="2A315955"/>
    <w:rsid w:val="2A319435"/>
    <w:rsid w:val="2A321392"/>
    <w:rsid w:val="2A3271F6"/>
    <w:rsid w:val="2A33C91D"/>
    <w:rsid w:val="2A34C79B"/>
    <w:rsid w:val="2A35A15D"/>
    <w:rsid w:val="2A35F774"/>
    <w:rsid w:val="2A399E17"/>
    <w:rsid w:val="2A3AE952"/>
    <w:rsid w:val="2A3C59FC"/>
    <w:rsid w:val="2A3CBFF8"/>
    <w:rsid w:val="2A3CC790"/>
    <w:rsid w:val="2A3F2793"/>
    <w:rsid w:val="2A42CC3F"/>
    <w:rsid w:val="2A439143"/>
    <w:rsid w:val="2A476343"/>
    <w:rsid w:val="2A4CA935"/>
    <w:rsid w:val="2A4CCB0D"/>
    <w:rsid w:val="2A4D3E99"/>
    <w:rsid w:val="2A4D90FE"/>
    <w:rsid w:val="2A4DF1E1"/>
    <w:rsid w:val="2A4E3F44"/>
    <w:rsid w:val="2A4F6DCC"/>
    <w:rsid w:val="2A52AF19"/>
    <w:rsid w:val="2A55E860"/>
    <w:rsid w:val="2A563FF6"/>
    <w:rsid w:val="2A565BB6"/>
    <w:rsid w:val="2A56827F"/>
    <w:rsid w:val="2A56CDF7"/>
    <w:rsid w:val="2A5756A0"/>
    <w:rsid w:val="2A582126"/>
    <w:rsid w:val="2A58BE57"/>
    <w:rsid w:val="2A5B25A4"/>
    <w:rsid w:val="2A5BBC2A"/>
    <w:rsid w:val="2A5DC34C"/>
    <w:rsid w:val="2A608DDF"/>
    <w:rsid w:val="2A612F1F"/>
    <w:rsid w:val="2A6137C1"/>
    <w:rsid w:val="2A645B23"/>
    <w:rsid w:val="2A64CCF4"/>
    <w:rsid w:val="2A696FBA"/>
    <w:rsid w:val="2A6BBFF0"/>
    <w:rsid w:val="2A6E4734"/>
    <w:rsid w:val="2A6F356B"/>
    <w:rsid w:val="2A6F561C"/>
    <w:rsid w:val="2A70B015"/>
    <w:rsid w:val="2A70F87C"/>
    <w:rsid w:val="2A711DD4"/>
    <w:rsid w:val="2A71A9CF"/>
    <w:rsid w:val="2A73CFB6"/>
    <w:rsid w:val="2A76E344"/>
    <w:rsid w:val="2A798D51"/>
    <w:rsid w:val="2A8074A7"/>
    <w:rsid w:val="2A83D0A8"/>
    <w:rsid w:val="2A840262"/>
    <w:rsid w:val="2A84C583"/>
    <w:rsid w:val="2A85722B"/>
    <w:rsid w:val="2A8608F0"/>
    <w:rsid w:val="2A8AB1C2"/>
    <w:rsid w:val="2A8B3194"/>
    <w:rsid w:val="2A8D7EF8"/>
    <w:rsid w:val="2A8E295D"/>
    <w:rsid w:val="2A8EF672"/>
    <w:rsid w:val="2A9141F5"/>
    <w:rsid w:val="2A917DA0"/>
    <w:rsid w:val="2A933E21"/>
    <w:rsid w:val="2A93DAA2"/>
    <w:rsid w:val="2A971879"/>
    <w:rsid w:val="2A973D4F"/>
    <w:rsid w:val="2A97E6FC"/>
    <w:rsid w:val="2A996649"/>
    <w:rsid w:val="2A9AA949"/>
    <w:rsid w:val="2A9CF8D3"/>
    <w:rsid w:val="2A9D1926"/>
    <w:rsid w:val="2A9D97A1"/>
    <w:rsid w:val="2A9DEDB1"/>
    <w:rsid w:val="2AA66D12"/>
    <w:rsid w:val="2AA910A5"/>
    <w:rsid w:val="2AA95F97"/>
    <w:rsid w:val="2AAAD8DF"/>
    <w:rsid w:val="2AAC571C"/>
    <w:rsid w:val="2AAEEDEC"/>
    <w:rsid w:val="2AAF19DF"/>
    <w:rsid w:val="2AB00CBB"/>
    <w:rsid w:val="2AB35B46"/>
    <w:rsid w:val="2AB4B373"/>
    <w:rsid w:val="2AB4E8D2"/>
    <w:rsid w:val="2AB612F7"/>
    <w:rsid w:val="2AB712A2"/>
    <w:rsid w:val="2ABC3689"/>
    <w:rsid w:val="2ABE4D78"/>
    <w:rsid w:val="2AC42218"/>
    <w:rsid w:val="2AC438A7"/>
    <w:rsid w:val="2AC47136"/>
    <w:rsid w:val="2AC4B32D"/>
    <w:rsid w:val="2AC5A637"/>
    <w:rsid w:val="2AC82818"/>
    <w:rsid w:val="2AC82A9E"/>
    <w:rsid w:val="2ACA9CF8"/>
    <w:rsid w:val="2ACB6C10"/>
    <w:rsid w:val="2ACC37EC"/>
    <w:rsid w:val="2ACE749B"/>
    <w:rsid w:val="2AD05D5A"/>
    <w:rsid w:val="2AD195CC"/>
    <w:rsid w:val="2AD33BD4"/>
    <w:rsid w:val="2AD38D33"/>
    <w:rsid w:val="2AD59621"/>
    <w:rsid w:val="2AD66B99"/>
    <w:rsid w:val="2AD6F7D4"/>
    <w:rsid w:val="2AD73F5C"/>
    <w:rsid w:val="2AD89AFE"/>
    <w:rsid w:val="2AD95A5A"/>
    <w:rsid w:val="2ADA1DAC"/>
    <w:rsid w:val="2ADFDFAC"/>
    <w:rsid w:val="2AE090D1"/>
    <w:rsid w:val="2AE1BCC8"/>
    <w:rsid w:val="2AE2E9DF"/>
    <w:rsid w:val="2AE3B4AE"/>
    <w:rsid w:val="2AE47F7C"/>
    <w:rsid w:val="2AE4948B"/>
    <w:rsid w:val="2AE5B585"/>
    <w:rsid w:val="2AE6490A"/>
    <w:rsid w:val="2AE6546E"/>
    <w:rsid w:val="2AE6EEA0"/>
    <w:rsid w:val="2AE8EDE4"/>
    <w:rsid w:val="2AEE8FFB"/>
    <w:rsid w:val="2AEF5E45"/>
    <w:rsid w:val="2AF04DE6"/>
    <w:rsid w:val="2AF0EBE6"/>
    <w:rsid w:val="2AF173A6"/>
    <w:rsid w:val="2AF6B73C"/>
    <w:rsid w:val="2AF80CB8"/>
    <w:rsid w:val="2AF81AE2"/>
    <w:rsid w:val="2AF95633"/>
    <w:rsid w:val="2AFC5581"/>
    <w:rsid w:val="2AFC74FE"/>
    <w:rsid w:val="2AFCB430"/>
    <w:rsid w:val="2AFD43C8"/>
    <w:rsid w:val="2AFD570A"/>
    <w:rsid w:val="2AFDA994"/>
    <w:rsid w:val="2AFFB004"/>
    <w:rsid w:val="2B0437BA"/>
    <w:rsid w:val="2B050944"/>
    <w:rsid w:val="2B06C892"/>
    <w:rsid w:val="2B073685"/>
    <w:rsid w:val="2B0844F4"/>
    <w:rsid w:val="2B085178"/>
    <w:rsid w:val="2B0A57AE"/>
    <w:rsid w:val="2B0A8970"/>
    <w:rsid w:val="2B0C60D5"/>
    <w:rsid w:val="2B195CCF"/>
    <w:rsid w:val="2B1B8DD1"/>
    <w:rsid w:val="2B1C3127"/>
    <w:rsid w:val="2B1D21FA"/>
    <w:rsid w:val="2B1ED6A9"/>
    <w:rsid w:val="2B217DC6"/>
    <w:rsid w:val="2B237BE6"/>
    <w:rsid w:val="2B24A658"/>
    <w:rsid w:val="2B267F8B"/>
    <w:rsid w:val="2B26FA34"/>
    <w:rsid w:val="2B2884B9"/>
    <w:rsid w:val="2B2A841A"/>
    <w:rsid w:val="2B2ACDA7"/>
    <w:rsid w:val="2B2BAD4C"/>
    <w:rsid w:val="2B2BFA6E"/>
    <w:rsid w:val="2B2D7167"/>
    <w:rsid w:val="2B304B12"/>
    <w:rsid w:val="2B30ED2F"/>
    <w:rsid w:val="2B312291"/>
    <w:rsid w:val="2B32358E"/>
    <w:rsid w:val="2B3440A4"/>
    <w:rsid w:val="2B34D1FA"/>
    <w:rsid w:val="2B3667F4"/>
    <w:rsid w:val="2B3A8A46"/>
    <w:rsid w:val="2B3B155C"/>
    <w:rsid w:val="2B3B38E0"/>
    <w:rsid w:val="2B3B4708"/>
    <w:rsid w:val="2B3C386E"/>
    <w:rsid w:val="2B3F086C"/>
    <w:rsid w:val="2B3F1857"/>
    <w:rsid w:val="2B3F4386"/>
    <w:rsid w:val="2B42CE6F"/>
    <w:rsid w:val="2B499B3C"/>
    <w:rsid w:val="2B4ABF5C"/>
    <w:rsid w:val="2B4BCBF3"/>
    <w:rsid w:val="2B4C176E"/>
    <w:rsid w:val="2B4CBD48"/>
    <w:rsid w:val="2B4DB99C"/>
    <w:rsid w:val="2B4E6B55"/>
    <w:rsid w:val="2B4FBDD5"/>
    <w:rsid w:val="2B54BC3B"/>
    <w:rsid w:val="2B5598DF"/>
    <w:rsid w:val="2B5649E6"/>
    <w:rsid w:val="2B5873FF"/>
    <w:rsid w:val="2B58CC5D"/>
    <w:rsid w:val="2B5B514C"/>
    <w:rsid w:val="2B5BCC4A"/>
    <w:rsid w:val="2B5C2F1C"/>
    <w:rsid w:val="2B5D485D"/>
    <w:rsid w:val="2B5DA8DB"/>
    <w:rsid w:val="2B5DF7D8"/>
    <w:rsid w:val="2B5DFC82"/>
    <w:rsid w:val="2B5DFCE9"/>
    <w:rsid w:val="2B5E16CA"/>
    <w:rsid w:val="2B5E3B5D"/>
    <w:rsid w:val="2B5F6545"/>
    <w:rsid w:val="2B5FD8B3"/>
    <w:rsid w:val="2B60C08B"/>
    <w:rsid w:val="2B626048"/>
    <w:rsid w:val="2B6427EC"/>
    <w:rsid w:val="2B644274"/>
    <w:rsid w:val="2B660AC6"/>
    <w:rsid w:val="2B6969BD"/>
    <w:rsid w:val="2B6C4905"/>
    <w:rsid w:val="2B6D4A16"/>
    <w:rsid w:val="2B6DCA6E"/>
    <w:rsid w:val="2B6F3058"/>
    <w:rsid w:val="2B704C97"/>
    <w:rsid w:val="2B712CF4"/>
    <w:rsid w:val="2B716450"/>
    <w:rsid w:val="2B739653"/>
    <w:rsid w:val="2B73FF33"/>
    <w:rsid w:val="2B764D4A"/>
    <w:rsid w:val="2B77545A"/>
    <w:rsid w:val="2B7D1B20"/>
    <w:rsid w:val="2B7EB529"/>
    <w:rsid w:val="2B819781"/>
    <w:rsid w:val="2B82FE46"/>
    <w:rsid w:val="2B839A8D"/>
    <w:rsid w:val="2B83F5F1"/>
    <w:rsid w:val="2B842437"/>
    <w:rsid w:val="2B866BF2"/>
    <w:rsid w:val="2B86DF8A"/>
    <w:rsid w:val="2B8C2D22"/>
    <w:rsid w:val="2B8E0231"/>
    <w:rsid w:val="2B8E4358"/>
    <w:rsid w:val="2B8E567C"/>
    <w:rsid w:val="2B909607"/>
    <w:rsid w:val="2B90F32F"/>
    <w:rsid w:val="2B9623DC"/>
    <w:rsid w:val="2B9740B8"/>
    <w:rsid w:val="2B9CC0CD"/>
    <w:rsid w:val="2BA144A3"/>
    <w:rsid w:val="2BA2740A"/>
    <w:rsid w:val="2BA2A6A1"/>
    <w:rsid w:val="2BA2B433"/>
    <w:rsid w:val="2BA37BA9"/>
    <w:rsid w:val="2BA3915A"/>
    <w:rsid w:val="2BA42B83"/>
    <w:rsid w:val="2BA468EE"/>
    <w:rsid w:val="2BA4D8F1"/>
    <w:rsid w:val="2BA60E5C"/>
    <w:rsid w:val="2BA95DDA"/>
    <w:rsid w:val="2BAB2BF6"/>
    <w:rsid w:val="2BAB791C"/>
    <w:rsid w:val="2BABA341"/>
    <w:rsid w:val="2BABE3E0"/>
    <w:rsid w:val="2BB03707"/>
    <w:rsid w:val="2BB4C87E"/>
    <w:rsid w:val="2BB67237"/>
    <w:rsid w:val="2BB70364"/>
    <w:rsid w:val="2BB86A0A"/>
    <w:rsid w:val="2BB976BE"/>
    <w:rsid w:val="2BBA791A"/>
    <w:rsid w:val="2BBA7E48"/>
    <w:rsid w:val="2BBBA761"/>
    <w:rsid w:val="2BBEEBE9"/>
    <w:rsid w:val="2BBF8F2A"/>
    <w:rsid w:val="2BC0DE20"/>
    <w:rsid w:val="2BC0E2AD"/>
    <w:rsid w:val="2BC34731"/>
    <w:rsid w:val="2BC3838C"/>
    <w:rsid w:val="2BC47053"/>
    <w:rsid w:val="2BC474FE"/>
    <w:rsid w:val="2BC4B064"/>
    <w:rsid w:val="2BC57A6A"/>
    <w:rsid w:val="2BCA1F4A"/>
    <w:rsid w:val="2BCC1482"/>
    <w:rsid w:val="2BCF2280"/>
    <w:rsid w:val="2BD01096"/>
    <w:rsid w:val="2BD355D0"/>
    <w:rsid w:val="2BD383C8"/>
    <w:rsid w:val="2BD56840"/>
    <w:rsid w:val="2BD5CE2B"/>
    <w:rsid w:val="2BD6299E"/>
    <w:rsid w:val="2BD71EE5"/>
    <w:rsid w:val="2BD9F4C8"/>
    <w:rsid w:val="2BD9FB7C"/>
    <w:rsid w:val="2BDC233A"/>
    <w:rsid w:val="2BDD2011"/>
    <w:rsid w:val="2BDFB976"/>
    <w:rsid w:val="2BE1071D"/>
    <w:rsid w:val="2BE2052A"/>
    <w:rsid w:val="2BE28876"/>
    <w:rsid w:val="2BE3C78A"/>
    <w:rsid w:val="2BE448D6"/>
    <w:rsid w:val="2BE4D7D7"/>
    <w:rsid w:val="2BE4EEC8"/>
    <w:rsid w:val="2BE5A6D4"/>
    <w:rsid w:val="2BE5EDAD"/>
    <w:rsid w:val="2BED49F4"/>
    <w:rsid w:val="2BEE5AE8"/>
    <w:rsid w:val="2BEED088"/>
    <w:rsid w:val="2BEF097C"/>
    <w:rsid w:val="2BF1FE7A"/>
    <w:rsid w:val="2BF23B58"/>
    <w:rsid w:val="2BF2E803"/>
    <w:rsid w:val="2BF58E18"/>
    <w:rsid w:val="2BF654B5"/>
    <w:rsid w:val="2BF7A612"/>
    <w:rsid w:val="2BFB6024"/>
    <w:rsid w:val="2BFBB51A"/>
    <w:rsid w:val="2BFC5247"/>
    <w:rsid w:val="2C004085"/>
    <w:rsid w:val="2C00841C"/>
    <w:rsid w:val="2C0159A1"/>
    <w:rsid w:val="2C01942A"/>
    <w:rsid w:val="2C093BFC"/>
    <w:rsid w:val="2C099CC9"/>
    <w:rsid w:val="2C0F2CB8"/>
    <w:rsid w:val="2C0FC143"/>
    <w:rsid w:val="2C10BD32"/>
    <w:rsid w:val="2C11B453"/>
    <w:rsid w:val="2C130938"/>
    <w:rsid w:val="2C13B6A6"/>
    <w:rsid w:val="2C146219"/>
    <w:rsid w:val="2C18B4FB"/>
    <w:rsid w:val="2C19253C"/>
    <w:rsid w:val="2C1BF0D2"/>
    <w:rsid w:val="2C20D7C6"/>
    <w:rsid w:val="2C20D7ED"/>
    <w:rsid w:val="2C211330"/>
    <w:rsid w:val="2C22669F"/>
    <w:rsid w:val="2C23436E"/>
    <w:rsid w:val="2C28BB4B"/>
    <w:rsid w:val="2C2D7BB9"/>
    <w:rsid w:val="2C2DFDCC"/>
    <w:rsid w:val="2C2EA920"/>
    <w:rsid w:val="2C306153"/>
    <w:rsid w:val="2C30DFFA"/>
    <w:rsid w:val="2C3410D4"/>
    <w:rsid w:val="2C36AEE2"/>
    <w:rsid w:val="2C36BE77"/>
    <w:rsid w:val="2C37097C"/>
    <w:rsid w:val="2C37B64A"/>
    <w:rsid w:val="2C38D174"/>
    <w:rsid w:val="2C3B1EC4"/>
    <w:rsid w:val="2C3B6A32"/>
    <w:rsid w:val="2C3DC19F"/>
    <w:rsid w:val="2C3E2E7A"/>
    <w:rsid w:val="2C433CD8"/>
    <w:rsid w:val="2C438C28"/>
    <w:rsid w:val="2C44B94C"/>
    <w:rsid w:val="2C44F211"/>
    <w:rsid w:val="2C484575"/>
    <w:rsid w:val="2C49304D"/>
    <w:rsid w:val="2C49AD8C"/>
    <w:rsid w:val="2C49B5B8"/>
    <w:rsid w:val="2C4D87C2"/>
    <w:rsid w:val="2C4E7ECA"/>
    <w:rsid w:val="2C4EC0F1"/>
    <w:rsid w:val="2C4FA3F3"/>
    <w:rsid w:val="2C50FD43"/>
    <w:rsid w:val="2C51C393"/>
    <w:rsid w:val="2C547AB6"/>
    <w:rsid w:val="2C55CC14"/>
    <w:rsid w:val="2C5892DB"/>
    <w:rsid w:val="2C596DF3"/>
    <w:rsid w:val="2C5C0F70"/>
    <w:rsid w:val="2C5C19F9"/>
    <w:rsid w:val="2C5C1E15"/>
    <w:rsid w:val="2C5E0B04"/>
    <w:rsid w:val="2C5F3F98"/>
    <w:rsid w:val="2C616E69"/>
    <w:rsid w:val="2C629A63"/>
    <w:rsid w:val="2C631B0D"/>
    <w:rsid w:val="2C63D5FF"/>
    <w:rsid w:val="2C656484"/>
    <w:rsid w:val="2C6570ED"/>
    <w:rsid w:val="2C67A444"/>
    <w:rsid w:val="2C69D764"/>
    <w:rsid w:val="2C6AD852"/>
    <w:rsid w:val="2C6F0468"/>
    <w:rsid w:val="2C6F2E5F"/>
    <w:rsid w:val="2C6FC4C3"/>
    <w:rsid w:val="2C700A5F"/>
    <w:rsid w:val="2C713CA6"/>
    <w:rsid w:val="2C725BD9"/>
    <w:rsid w:val="2C73DBD9"/>
    <w:rsid w:val="2C74E038"/>
    <w:rsid w:val="2C77878A"/>
    <w:rsid w:val="2C7901DF"/>
    <w:rsid w:val="2C7D29E1"/>
    <w:rsid w:val="2C82A130"/>
    <w:rsid w:val="2C82E6B3"/>
    <w:rsid w:val="2C848621"/>
    <w:rsid w:val="2C84A29B"/>
    <w:rsid w:val="2C84DCE2"/>
    <w:rsid w:val="2C84EE3E"/>
    <w:rsid w:val="2C89F0C4"/>
    <w:rsid w:val="2C8C3068"/>
    <w:rsid w:val="2C90ADD8"/>
    <w:rsid w:val="2C93AA8B"/>
    <w:rsid w:val="2C96408F"/>
    <w:rsid w:val="2C976971"/>
    <w:rsid w:val="2C9889F2"/>
    <w:rsid w:val="2C99626E"/>
    <w:rsid w:val="2C9E50B0"/>
    <w:rsid w:val="2C9E9C8B"/>
    <w:rsid w:val="2C9F3770"/>
    <w:rsid w:val="2C9FC95E"/>
    <w:rsid w:val="2C9FD97F"/>
    <w:rsid w:val="2CA0141F"/>
    <w:rsid w:val="2CA67DE1"/>
    <w:rsid w:val="2CAA7E0D"/>
    <w:rsid w:val="2CAD3530"/>
    <w:rsid w:val="2CAEE18B"/>
    <w:rsid w:val="2CAF0214"/>
    <w:rsid w:val="2CAF2389"/>
    <w:rsid w:val="2CAF4ECF"/>
    <w:rsid w:val="2CB06DD4"/>
    <w:rsid w:val="2CB5BDC4"/>
    <w:rsid w:val="2CB77162"/>
    <w:rsid w:val="2CB80EEE"/>
    <w:rsid w:val="2CB9CDF9"/>
    <w:rsid w:val="2CBB0BFF"/>
    <w:rsid w:val="2CBB0DB8"/>
    <w:rsid w:val="2CBBC057"/>
    <w:rsid w:val="2CBBE8B8"/>
    <w:rsid w:val="2CBD3C75"/>
    <w:rsid w:val="2CBE0048"/>
    <w:rsid w:val="2CBF186E"/>
    <w:rsid w:val="2CC20DA8"/>
    <w:rsid w:val="2CC335A2"/>
    <w:rsid w:val="2CC35F1A"/>
    <w:rsid w:val="2CC4762F"/>
    <w:rsid w:val="2CC5193C"/>
    <w:rsid w:val="2CC84FD7"/>
    <w:rsid w:val="2CCAABF1"/>
    <w:rsid w:val="2CCBAEE1"/>
    <w:rsid w:val="2CCC6708"/>
    <w:rsid w:val="2CCD45A7"/>
    <w:rsid w:val="2CCDEEF8"/>
    <w:rsid w:val="2CCE4A05"/>
    <w:rsid w:val="2CCEE256"/>
    <w:rsid w:val="2CD173F3"/>
    <w:rsid w:val="2CD18C6D"/>
    <w:rsid w:val="2CD23A76"/>
    <w:rsid w:val="2CD28B15"/>
    <w:rsid w:val="2CD28E55"/>
    <w:rsid w:val="2CD34B76"/>
    <w:rsid w:val="2CD3AAF1"/>
    <w:rsid w:val="2CD5B901"/>
    <w:rsid w:val="2CD827B0"/>
    <w:rsid w:val="2CD9C3DE"/>
    <w:rsid w:val="2CDA4DB1"/>
    <w:rsid w:val="2CDBB7B2"/>
    <w:rsid w:val="2CDD07F8"/>
    <w:rsid w:val="2CDD6A2B"/>
    <w:rsid w:val="2CDE5034"/>
    <w:rsid w:val="2CE1C0EA"/>
    <w:rsid w:val="2CE2DB84"/>
    <w:rsid w:val="2CE411C6"/>
    <w:rsid w:val="2CE4E611"/>
    <w:rsid w:val="2CE88633"/>
    <w:rsid w:val="2CE959DD"/>
    <w:rsid w:val="2CEB4839"/>
    <w:rsid w:val="2CEC1F3F"/>
    <w:rsid w:val="2CEC4922"/>
    <w:rsid w:val="2CEC8198"/>
    <w:rsid w:val="2CEFD195"/>
    <w:rsid w:val="2CF00516"/>
    <w:rsid w:val="2CF06C09"/>
    <w:rsid w:val="2CF2EE69"/>
    <w:rsid w:val="2CF5EFEC"/>
    <w:rsid w:val="2CF66225"/>
    <w:rsid w:val="2CF6893F"/>
    <w:rsid w:val="2CF831C3"/>
    <w:rsid w:val="2CF96CB4"/>
    <w:rsid w:val="2CF9EE97"/>
    <w:rsid w:val="2CFAD60A"/>
    <w:rsid w:val="2CFB02E2"/>
    <w:rsid w:val="2CFC3361"/>
    <w:rsid w:val="2D0BE049"/>
    <w:rsid w:val="2D0C9B7E"/>
    <w:rsid w:val="2D0E007D"/>
    <w:rsid w:val="2D181615"/>
    <w:rsid w:val="2D18EF97"/>
    <w:rsid w:val="2D1A2F88"/>
    <w:rsid w:val="2D1A303B"/>
    <w:rsid w:val="2D1BA20C"/>
    <w:rsid w:val="2D1D1FC1"/>
    <w:rsid w:val="2D1DB935"/>
    <w:rsid w:val="2D1DC7A1"/>
    <w:rsid w:val="2D1DDA8E"/>
    <w:rsid w:val="2D226655"/>
    <w:rsid w:val="2D2309C1"/>
    <w:rsid w:val="2D24455D"/>
    <w:rsid w:val="2D26502A"/>
    <w:rsid w:val="2D26A96E"/>
    <w:rsid w:val="2D26F796"/>
    <w:rsid w:val="2D27DA1B"/>
    <w:rsid w:val="2D2C7CE5"/>
    <w:rsid w:val="2D2C94D7"/>
    <w:rsid w:val="2D2F9D54"/>
    <w:rsid w:val="2D306E99"/>
    <w:rsid w:val="2D31E909"/>
    <w:rsid w:val="2D344A96"/>
    <w:rsid w:val="2D376A30"/>
    <w:rsid w:val="2D37BB60"/>
    <w:rsid w:val="2D37BFCA"/>
    <w:rsid w:val="2D3AD14F"/>
    <w:rsid w:val="2D3C9D0D"/>
    <w:rsid w:val="2D3D0FF6"/>
    <w:rsid w:val="2D3D6578"/>
    <w:rsid w:val="2D3D6B67"/>
    <w:rsid w:val="2D3D8689"/>
    <w:rsid w:val="2D3F1578"/>
    <w:rsid w:val="2D3F8F25"/>
    <w:rsid w:val="2D401CC8"/>
    <w:rsid w:val="2D41721D"/>
    <w:rsid w:val="2D41EE04"/>
    <w:rsid w:val="2D4206C5"/>
    <w:rsid w:val="2D44EA07"/>
    <w:rsid w:val="2D45A71F"/>
    <w:rsid w:val="2D464525"/>
    <w:rsid w:val="2D4A4B49"/>
    <w:rsid w:val="2D4B2CF9"/>
    <w:rsid w:val="2D4B9223"/>
    <w:rsid w:val="2D4C2FD0"/>
    <w:rsid w:val="2D4C4816"/>
    <w:rsid w:val="2D4D7548"/>
    <w:rsid w:val="2D4DE1D1"/>
    <w:rsid w:val="2D4FC847"/>
    <w:rsid w:val="2D54071F"/>
    <w:rsid w:val="2D55A72C"/>
    <w:rsid w:val="2D56D407"/>
    <w:rsid w:val="2D571008"/>
    <w:rsid w:val="2D58E5C4"/>
    <w:rsid w:val="2D5957BA"/>
    <w:rsid w:val="2D59EA5E"/>
    <w:rsid w:val="2D59F583"/>
    <w:rsid w:val="2D5CB30E"/>
    <w:rsid w:val="2D5CE4D5"/>
    <w:rsid w:val="2D5DE123"/>
    <w:rsid w:val="2D5FBD02"/>
    <w:rsid w:val="2D5FCF05"/>
    <w:rsid w:val="2D601CED"/>
    <w:rsid w:val="2D62B8BE"/>
    <w:rsid w:val="2D63284C"/>
    <w:rsid w:val="2D66094E"/>
    <w:rsid w:val="2D67F4AE"/>
    <w:rsid w:val="2D695387"/>
    <w:rsid w:val="2D6A0D34"/>
    <w:rsid w:val="2D6A41FD"/>
    <w:rsid w:val="2D6D0B6C"/>
    <w:rsid w:val="2D6E7185"/>
    <w:rsid w:val="2D6ED347"/>
    <w:rsid w:val="2D6EF85F"/>
    <w:rsid w:val="2D72CFFE"/>
    <w:rsid w:val="2D7511A8"/>
    <w:rsid w:val="2D75E632"/>
    <w:rsid w:val="2D7927CF"/>
    <w:rsid w:val="2D7A7A71"/>
    <w:rsid w:val="2D7B81BA"/>
    <w:rsid w:val="2D7DC3C0"/>
    <w:rsid w:val="2D7E8ADC"/>
    <w:rsid w:val="2D7E9AD7"/>
    <w:rsid w:val="2D809F7B"/>
    <w:rsid w:val="2D861285"/>
    <w:rsid w:val="2D8860EE"/>
    <w:rsid w:val="2D8900BC"/>
    <w:rsid w:val="2D8C4D3C"/>
    <w:rsid w:val="2D8ECF8F"/>
    <w:rsid w:val="2D8F2307"/>
    <w:rsid w:val="2D9049D4"/>
    <w:rsid w:val="2D93A791"/>
    <w:rsid w:val="2D94185D"/>
    <w:rsid w:val="2D95DA87"/>
    <w:rsid w:val="2D979BCE"/>
    <w:rsid w:val="2D98B16E"/>
    <w:rsid w:val="2D98B8E2"/>
    <w:rsid w:val="2D9B0913"/>
    <w:rsid w:val="2D9D06C1"/>
    <w:rsid w:val="2D9D9456"/>
    <w:rsid w:val="2D9F9FC8"/>
    <w:rsid w:val="2DA2302D"/>
    <w:rsid w:val="2DA29BD2"/>
    <w:rsid w:val="2DA5FCBE"/>
    <w:rsid w:val="2DA70970"/>
    <w:rsid w:val="2DA726F3"/>
    <w:rsid w:val="2DA886C6"/>
    <w:rsid w:val="2DAC4CF3"/>
    <w:rsid w:val="2DAE47F5"/>
    <w:rsid w:val="2DAE987F"/>
    <w:rsid w:val="2DAF5ABE"/>
    <w:rsid w:val="2DB0D123"/>
    <w:rsid w:val="2DB1B5E4"/>
    <w:rsid w:val="2DB1FC93"/>
    <w:rsid w:val="2DB5CD0F"/>
    <w:rsid w:val="2DBC2AE1"/>
    <w:rsid w:val="2DBC5808"/>
    <w:rsid w:val="2DBCFEB0"/>
    <w:rsid w:val="2DBD5C59"/>
    <w:rsid w:val="2DBE7B9E"/>
    <w:rsid w:val="2DBF2DCB"/>
    <w:rsid w:val="2DC34C89"/>
    <w:rsid w:val="2DC56249"/>
    <w:rsid w:val="2DC5EC01"/>
    <w:rsid w:val="2DC9E7E2"/>
    <w:rsid w:val="2DCA5DFF"/>
    <w:rsid w:val="2DCBA220"/>
    <w:rsid w:val="2DCDAEF8"/>
    <w:rsid w:val="2DCDD998"/>
    <w:rsid w:val="2DD21215"/>
    <w:rsid w:val="2DD291CF"/>
    <w:rsid w:val="2DD5BEF1"/>
    <w:rsid w:val="2DD7ACFC"/>
    <w:rsid w:val="2DD7E0DD"/>
    <w:rsid w:val="2DDC3570"/>
    <w:rsid w:val="2DE0E5A9"/>
    <w:rsid w:val="2DE26962"/>
    <w:rsid w:val="2DE3C302"/>
    <w:rsid w:val="2DE4C5BF"/>
    <w:rsid w:val="2DE521A5"/>
    <w:rsid w:val="2DE5BB03"/>
    <w:rsid w:val="2DE6100E"/>
    <w:rsid w:val="2DE61717"/>
    <w:rsid w:val="2DE64810"/>
    <w:rsid w:val="2DE7B90F"/>
    <w:rsid w:val="2DE87259"/>
    <w:rsid w:val="2DE9627B"/>
    <w:rsid w:val="2DEB322E"/>
    <w:rsid w:val="2DEBF8E7"/>
    <w:rsid w:val="2DEC2CAB"/>
    <w:rsid w:val="2DED3C2F"/>
    <w:rsid w:val="2DEFA168"/>
    <w:rsid w:val="2DF301B8"/>
    <w:rsid w:val="2DF33636"/>
    <w:rsid w:val="2DF3C30E"/>
    <w:rsid w:val="2DF43608"/>
    <w:rsid w:val="2DF50DCC"/>
    <w:rsid w:val="2DF551F6"/>
    <w:rsid w:val="2DF61691"/>
    <w:rsid w:val="2DF68002"/>
    <w:rsid w:val="2E03351F"/>
    <w:rsid w:val="2E03EB82"/>
    <w:rsid w:val="2E04E8F4"/>
    <w:rsid w:val="2E08D574"/>
    <w:rsid w:val="2E093D4F"/>
    <w:rsid w:val="2E0A997F"/>
    <w:rsid w:val="2E0B198F"/>
    <w:rsid w:val="2E0C57A7"/>
    <w:rsid w:val="2E0E93C0"/>
    <w:rsid w:val="2E0F06E6"/>
    <w:rsid w:val="2E101BC6"/>
    <w:rsid w:val="2E1128B7"/>
    <w:rsid w:val="2E12A62D"/>
    <w:rsid w:val="2E131971"/>
    <w:rsid w:val="2E13D407"/>
    <w:rsid w:val="2E16EB2C"/>
    <w:rsid w:val="2E18A36C"/>
    <w:rsid w:val="2E19EEFC"/>
    <w:rsid w:val="2E1A0B21"/>
    <w:rsid w:val="2E1AEC2B"/>
    <w:rsid w:val="2E1C30DC"/>
    <w:rsid w:val="2E1C5F55"/>
    <w:rsid w:val="2E1F5867"/>
    <w:rsid w:val="2E1FB3C8"/>
    <w:rsid w:val="2E1FC6D8"/>
    <w:rsid w:val="2E2337B4"/>
    <w:rsid w:val="2E23D0A4"/>
    <w:rsid w:val="2E259097"/>
    <w:rsid w:val="2E264247"/>
    <w:rsid w:val="2E280606"/>
    <w:rsid w:val="2E289CB8"/>
    <w:rsid w:val="2E28D68F"/>
    <w:rsid w:val="2E298A27"/>
    <w:rsid w:val="2E2A2AE3"/>
    <w:rsid w:val="2E2A8AF0"/>
    <w:rsid w:val="2E2CA3BC"/>
    <w:rsid w:val="2E2E7473"/>
    <w:rsid w:val="2E2ECC9F"/>
    <w:rsid w:val="2E3903F3"/>
    <w:rsid w:val="2E3B53F2"/>
    <w:rsid w:val="2E3CEA3F"/>
    <w:rsid w:val="2E41C5C9"/>
    <w:rsid w:val="2E41D9AC"/>
    <w:rsid w:val="2E42302F"/>
    <w:rsid w:val="2E44DDC3"/>
    <w:rsid w:val="2E4588D1"/>
    <w:rsid w:val="2E477031"/>
    <w:rsid w:val="2E48F049"/>
    <w:rsid w:val="2E4934F0"/>
    <w:rsid w:val="2E49C5BC"/>
    <w:rsid w:val="2E4E9CDD"/>
    <w:rsid w:val="2E4EEB87"/>
    <w:rsid w:val="2E4FD23A"/>
    <w:rsid w:val="2E50A645"/>
    <w:rsid w:val="2E50CC04"/>
    <w:rsid w:val="2E518766"/>
    <w:rsid w:val="2E54B446"/>
    <w:rsid w:val="2E5559C3"/>
    <w:rsid w:val="2E580F99"/>
    <w:rsid w:val="2E58189E"/>
    <w:rsid w:val="2E5889CA"/>
    <w:rsid w:val="2E5A1883"/>
    <w:rsid w:val="2E5B9C84"/>
    <w:rsid w:val="2E5D771A"/>
    <w:rsid w:val="2E5DC28D"/>
    <w:rsid w:val="2E5F2D61"/>
    <w:rsid w:val="2E60EF7E"/>
    <w:rsid w:val="2E615131"/>
    <w:rsid w:val="2E63F6DF"/>
    <w:rsid w:val="2E653313"/>
    <w:rsid w:val="2E65CB15"/>
    <w:rsid w:val="2E6918D3"/>
    <w:rsid w:val="2E6925DA"/>
    <w:rsid w:val="2E695AF5"/>
    <w:rsid w:val="2E6A5FDB"/>
    <w:rsid w:val="2E6B33DE"/>
    <w:rsid w:val="2E6C29E2"/>
    <w:rsid w:val="2E6CBD77"/>
    <w:rsid w:val="2E6D0274"/>
    <w:rsid w:val="2E6E505B"/>
    <w:rsid w:val="2E6E5EB6"/>
    <w:rsid w:val="2E6F873F"/>
    <w:rsid w:val="2E6FAF02"/>
    <w:rsid w:val="2E73F82E"/>
    <w:rsid w:val="2E767CCC"/>
    <w:rsid w:val="2E76BAED"/>
    <w:rsid w:val="2E78B620"/>
    <w:rsid w:val="2E7AE1AF"/>
    <w:rsid w:val="2E7EAEF1"/>
    <w:rsid w:val="2E7F3D1A"/>
    <w:rsid w:val="2E814B9D"/>
    <w:rsid w:val="2E83838D"/>
    <w:rsid w:val="2E83925D"/>
    <w:rsid w:val="2E885792"/>
    <w:rsid w:val="2E892D1A"/>
    <w:rsid w:val="2E89DDE0"/>
    <w:rsid w:val="2E8AFAEB"/>
    <w:rsid w:val="2E8D2E47"/>
    <w:rsid w:val="2E8D314C"/>
    <w:rsid w:val="2E8E4062"/>
    <w:rsid w:val="2E8EB6F5"/>
    <w:rsid w:val="2E949AD5"/>
    <w:rsid w:val="2E95499D"/>
    <w:rsid w:val="2E956821"/>
    <w:rsid w:val="2E96EC58"/>
    <w:rsid w:val="2E9A0A57"/>
    <w:rsid w:val="2E9A6C0B"/>
    <w:rsid w:val="2E9D3723"/>
    <w:rsid w:val="2E9DED00"/>
    <w:rsid w:val="2E9F84BB"/>
    <w:rsid w:val="2EA1A528"/>
    <w:rsid w:val="2EA2AB9F"/>
    <w:rsid w:val="2EA2C5B6"/>
    <w:rsid w:val="2EA4B8F9"/>
    <w:rsid w:val="2EA4CFFC"/>
    <w:rsid w:val="2EA625BA"/>
    <w:rsid w:val="2EA69D7B"/>
    <w:rsid w:val="2EA78CAB"/>
    <w:rsid w:val="2EA861FB"/>
    <w:rsid w:val="2EA9393F"/>
    <w:rsid w:val="2EA9E32F"/>
    <w:rsid w:val="2EAB7749"/>
    <w:rsid w:val="2EAC33F6"/>
    <w:rsid w:val="2EAD046C"/>
    <w:rsid w:val="2EAD718D"/>
    <w:rsid w:val="2EAE5D18"/>
    <w:rsid w:val="2EAFF948"/>
    <w:rsid w:val="2EB08749"/>
    <w:rsid w:val="2EB2296B"/>
    <w:rsid w:val="2EB325BD"/>
    <w:rsid w:val="2EB59462"/>
    <w:rsid w:val="2EB6250F"/>
    <w:rsid w:val="2EB72725"/>
    <w:rsid w:val="2EB953F0"/>
    <w:rsid w:val="2EBE9C72"/>
    <w:rsid w:val="2EBED2FA"/>
    <w:rsid w:val="2EC067A9"/>
    <w:rsid w:val="2EC13005"/>
    <w:rsid w:val="2EC56F35"/>
    <w:rsid w:val="2EC705B0"/>
    <w:rsid w:val="2EC968FF"/>
    <w:rsid w:val="2ECD0F97"/>
    <w:rsid w:val="2ECDC4DD"/>
    <w:rsid w:val="2ECEA410"/>
    <w:rsid w:val="2ED1AA91"/>
    <w:rsid w:val="2ED209B3"/>
    <w:rsid w:val="2ED395BD"/>
    <w:rsid w:val="2ED3F984"/>
    <w:rsid w:val="2ED46D18"/>
    <w:rsid w:val="2ED54BF5"/>
    <w:rsid w:val="2ED63029"/>
    <w:rsid w:val="2ED6972B"/>
    <w:rsid w:val="2ED713C2"/>
    <w:rsid w:val="2ED8A902"/>
    <w:rsid w:val="2ED9119C"/>
    <w:rsid w:val="2ED9ADDE"/>
    <w:rsid w:val="2EDBD719"/>
    <w:rsid w:val="2EE29394"/>
    <w:rsid w:val="2EE335D8"/>
    <w:rsid w:val="2EE4BAD0"/>
    <w:rsid w:val="2EE5C50A"/>
    <w:rsid w:val="2EE9F83C"/>
    <w:rsid w:val="2EEABE19"/>
    <w:rsid w:val="2EEB6E69"/>
    <w:rsid w:val="2EECC934"/>
    <w:rsid w:val="2EED4721"/>
    <w:rsid w:val="2EEEF71B"/>
    <w:rsid w:val="2EEF8FF8"/>
    <w:rsid w:val="2EF31326"/>
    <w:rsid w:val="2EF43250"/>
    <w:rsid w:val="2EF4B688"/>
    <w:rsid w:val="2EF69FBE"/>
    <w:rsid w:val="2EF773C8"/>
    <w:rsid w:val="2EF813B0"/>
    <w:rsid w:val="2EF8E7BB"/>
    <w:rsid w:val="2EF921CC"/>
    <w:rsid w:val="2EFDC517"/>
    <w:rsid w:val="2EFF53C7"/>
    <w:rsid w:val="2F039F62"/>
    <w:rsid w:val="2F03A238"/>
    <w:rsid w:val="2F099D1C"/>
    <w:rsid w:val="2F0DA70B"/>
    <w:rsid w:val="2F10617D"/>
    <w:rsid w:val="2F1066A9"/>
    <w:rsid w:val="2F1244FB"/>
    <w:rsid w:val="2F12D688"/>
    <w:rsid w:val="2F146ADC"/>
    <w:rsid w:val="2F182554"/>
    <w:rsid w:val="2F19DB5F"/>
    <w:rsid w:val="2F1D7684"/>
    <w:rsid w:val="2F1F5ADC"/>
    <w:rsid w:val="2F223C67"/>
    <w:rsid w:val="2F22EE63"/>
    <w:rsid w:val="2F232835"/>
    <w:rsid w:val="2F25DB8F"/>
    <w:rsid w:val="2F27B1B3"/>
    <w:rsid w:val="2F280B5B"/>
    <w:rsid w:val="2F289D92"/>
    <w:rsid w:val="2F299F3C"/>
    <w:rsid w:val="2F2A8C50"/>
    <w:rsid w:val="2F2BE0DF"/>
    <w:rsid w:val="2F2DC053"/>
    <w:rsid w:val="2F2ECDA5"/>
    <w:rsid w:val="2F2EDE05"/>
    <w:rsid w:val="2F326DA4"/>
    <w:rsid w:val="2F34D8AF"/>
    <w:rsid w:val="2F35B54C"/>
    <w:rsid w:val="2F3A0180"/>
    <w:rsid w:val="2F3A9D7E"/>
    <w:rsid w:val="2F3ECA62"/>
    <w:rsid w:val="2F41D7CE"/>
    <w:rsid w:val="2F43C93D"/>
    <w:rsid w:val="2F44C1B0"/>
    <w:rsid w:val="2F45F0A5"/>
    <w:rsid w:val="2F463276"/>
    <w:rsid w:val="2F476855"/>
    <w:rsid w:val="2F4D270A"/>
    <w:rsid w:val="2F530E69"/>
    <w:rsid w:val="2F531A16"/>
    <w:rsid w:val="2F5594FB"/>
    <w:rsid w:val="2F55B38F"/>
    <w:rsid w:val="2F56796B"/>
    <w:rsid w:val="2F56B7F2"/>
    <w:rsid w:val="2F579478"/>
    <w:rsid w:val="2F585C77"/>
    <w:rsid w:val="2F5A832B"/>
    <w:rsid w:val="2F5CA132"/>
    <w:rsid w:val="2F5ECCDF"/>
    <w:rsid w:val="2F5EEB57"/>
    <w:rsid w:val="2F5F9244"/>
    <w:rsid w:val="2F5FAD34"/>
    <w:rsid w:val="2F601FC4"/>
    <w:rsid w:val="2F60D6CF"/>
    <w:rsid w:val="2F61535D"/>
    <w:rsid w:val="2F64E7C0"/>
    <w:rsid w:val="2F66FEDD"/>
    <w:rsid w:val="2F677CAF"/>
    <w:rsid w:val="2F68D3FF"/>
    <w:rsid w:val="2F68E916"/>
    <w:rsid w:val="2F6992C8"/>
    <w:rsid w:val="2F6B9F39"/>
    <w:rsid w:val="2F6C145B"/>
    <w:rsid w:val="2F6C885C"/>
    <w:rsid w:val="2F6C89D7"/>
    <w:rsid w:val="2F6CD063"/>
    <w:rsid w:val="2F6CD4CB"/>
    <w:rsid w:val="2F6D63BA"/>
    <w:rsid w:val="2F6F9D25"/>
    <w:rsid w:val="2F6FC253"/>
    <w:rsid w:val="2F71B18C"/>
    <w:rsid w:val="2F71C321"/>
    <w:rsid w:val="2F7630E9"/>
    <w:rsid w:val="2F792479"/>
    <w:rsid w:val="2F7CEA7D"/>
    <w:rsid w:val="2F7EC222"/>
    <w:rsid w:val="2F7F3543"/>
    <w:rsid w:val="2F7FE582"/>
    <w:rsid w:val="2F800EF6"/>
    <w:rsid w:val="2F80266B"/>
    <w:rsid w:val="2F823457"/>
    <w:rsid w:val="2F853985"/>
    <w:rsid w:val="2F87C20A"/>
    <w:rsid w:val="2F882D34"/>
    <w:rsid w:val="2F88BC69"/>
    <w:rsid w:val="2F8BBE8B"/>
    <w:rsid w:val="2F8C643B"/>
    <w:rsid w:val="2F90C7A0"/>
    <w:rsid w:val="2F91D272"/>
    <w:rsid w:val="2F9780A1"/>
    <w:rsid w:val="2F990073"/>
    <w:rsid w:val="2F9A43B2"/>
    <w:rsid w:val="2F9A7593"/>
    <w:rsid w:val="2F9C5B92"/>
    <w:rsid w:val="2F9D33A0"/>
    <w:rsid w:val="2F9DC424"/>
    <w:rsid w:val="2F9E5D29"/>
    <w:rsid w:val="2F9FDF65"/>
    <w:rsid w:val="2F9FF31F"/>
    <w:rsid w:val="2FA08779"/>
    <w:rsid w:val="2FA21A76"/>
    <w:rsid w:val="2FA297AF"/>
    <w:rsid w:val="2FA3CAC9"/>
    <w:rsid w:val="2FA53039"/>
    <w:rsid w:val="2FA823FC"/>
    <w:rsid w:val="2FAC88F7"/>
    <w:rsid w:val="2FAD47BA"/>
    <w:rsid w:val="2FAD93E7"/>
    <w:rsid w:val="2FADB5C6"/>
    <w:rsid w:val="2FB141F8"/>
    <w:rsid w:val="2FB15BC5"/>
    <w:rsid w:val="2FB1D7B2"/>
    <w:rsid w:val="2FB3A542"/>
    <w:rsid w:val="2FB4227A"/>
    <w:rsid w:val="2FB57D8B"/>
    <w:rsid w:val="2FB74048"/>
    <w:rsid w:val="2FB82A86"/>
    <w:rsid w:val="2FB88E0B"/>
    <w:rsid w:val="2FB8A4EB"/>
    <w:rsid w:val="2FBC1E5D"/>
    <w:rsid w:val="2FC01901"/>
    <w:rsid w:val="2FC214D4"/>
    <w:rsid w:val="2FC54957"/>
    <w:rsid w:val="2FC589AB"/>
    <w:rsid w:val="2FC6C432"/>
    <w:rsid w:val="2FCB01BB"/>
    <w:rsid w:val="2FCCA6D6"/>
    <w:rsid w:val="2FCDC28D"/>
    <w:rsid w:val="2FCF40D2"/>
    <w:rsid w:val="2FD2CD57"/>
    <w:rsid w:val="2FD50E89"/>
    <w:rsid w:val="2FDA67F7"/>
    <w:rsid w:val="2FDF1C82"/>
    <w:rsid w:val="2FDF6E77"/>
    <w:rsid w:val="2FDFF5F7"/>
    <w:rsid w:val="2FE0A554"/>
    <w:rsid w:val="2FE3AFB2"/>
    <w:rsid w:val="2FE489A7"/>
    <w:rsid w:val="2FE4F891"/>
    <w:rsid w:val="2FE776AE"/>
    <w:rsid w:val="2FE871B8"/>
    <w:rsid w:val="2FE9D130"/>
    <w:rsid w:val="2FEB2BD9"/>
    <w:rsid w:val="2FEE1E5E"/>
    <w:rsid w:val="2FEFCADE"/>
    <w:rsid w:val="2FF077DB"/>
    <w:rsid w:val="2FF0DDBF"/>
    <w:rsid w:val="2FF29A54"/>
    <w:rsid w:val="2FF34891"/>
    <w:rsid w:val="2FF3B66D"/>
    <w:rsid w:val="2FF5DCCB"/>
    <w:rsid w:val="2FF6E9A3"/>
    <w:rsid w:val="2FF7304B"/>
    <w:rsid w:val="2FF7A7FA"/>
    <w:rsid w:val="2FF8A23F"/>
    <w:rsid w:val="2FFA0972"/>
    <w:rsid w:val="2FFA5C35"/>
    <w:rsid w:val="2FFB7A82"/>
    <w:rsid w:val="2FFC60A3"/>
    <w:rsid w:val="2FFC6F32"/>
    <w:rsid w:val="30006D7E"/>
    <w:rsid w:val="3000ED62"/>
    <w:rsid w:val="30025EE3"/>
    <w:rsid w:val="3002A4F3"/>
    <w:rsid w:val="300651A3"/>
    <w:rsid w:val="300688A4"/>
    <w:rsid w:val="3007A7B4"/>
    <w:rsid w:val="30088ADC"/>
    <w:rsid w:val="3008CC6A"/>
    <w:rsid w:val="300941F7"/>
    <w:rsid w:val="30098814"/>
    <w:rsid w:val="3009DD21"/>
    <w:rsid w:val="300ABD5B"/>
    <w:rsid w:val="300AFB1F"/>
    <w:rsid w:val="300EA698"/>
    <w:rsid w:val="30112CEB"/>
    <w:rsid w:val="301164E7"/>
    <w:rsid w:val="301500B2"/>
    <w:rsid w:val="30153F06"/>
    <w:rsid w:val="3015FD22"/>
    <w:rsid w:val="30172BE6"/>
    <w:rsid w:val="30174D95"/>
    <w:rsid w:val="3017D1A0"/>
    <w:rsid w:val="3019EC3F"/>
    <w:rsid w:val="301CE19C"/>
    <w:rsid w:val="301DBA23"/>
    <w:rsid w:val="301E0E84"/>
    <w:rsid w:val="301F15CF"/>
    <w:rsid w:val="30224BE5"/>
    <w:rsid w:val="302259BF"/>
    <w:rsid w:val="30227576"/>
    <w:rsid w:val="302279B6"/>
    <w:rsid w:val="3022812E"/>
    <w:rsid w:val="3022BEC9"/>
    <w:rsid w:val="3027F0C4"/>
    <w:rsid w:val="302820DB"/>
    <w:rsid w:val="3028ECE3"/>
    <w:rsid w:val="30291B75"/>
    <w:rsid w:val="302A8573"/>
    <w:rsid w:val="302A899F"/>
    <w:rsid w:val="302B2C15"/>
    <w:rsid w:val="302B3E84"/>
    <w:rsid w:val="302C18B1"/>
    <w:rsid w:val="302C3C41"/>
    <w:rsid w:val="302D54B3"/>
    <w:rsid w:val="302F05F5"/>
    <w:rsid w:val="30302089"/>
    <w:rsid w:val="3030297B"/>
    <w:rsid w:val="3030451D"/>
    <w:rsid w:val="303119FE"/>
    <w:rsid w:val="30322A0D"/>
    <w:rsid w:val="30328ACD"/>
    <w:rsid w:val="3034038A"/>
    <w:rsid w:val="303612F5"/>
    <w:rsid w:val="303642F9"/>
    <w:rsid w:val="3038B324"/>
    <w:rsid w:val="303E2181"/>
    <w:rsid w:val="303E3D0F"/>
    <w:rsid w:val="303FF1FC"/>
    <w:rsid w:val="303FF27D"/>
    <w:rsid w:val="30409C6C"/>
    <w:rsid w:val="3041C29C"/>
    <w:rsid w:val="30423F06"/>
    <w:rsid w:val="30425E23"/>
    <w:rsid w:val="3043B30C"/>
    <w:rsid w:val="30449BC5"/>
    <w:rsid w:val="3045A890"/>
    <w:rsid w:val="3045C93C"/>
    <w:rsid w:val="30461752"/>
    <w:rsid w:val="304653BF"/>
    <w:rsid w:val="3046C9EE"/>
    <w:rsid w:val="3048C7CF"/>
    <w:rsid w:val="304A14DB"/>
    <w:rsid w:val="304B7658"/>
    <w:rsid w:val="304C5355"/>
    <w:rsid w:val="305363DE"/>
    <w:rsid w:val="3053857C"/>
    <w:rsid w:val="30547087"/>
    <w:rsid w:val="305B3A5E"/>
    <w:rsid w:val="305CF171"/>
    <w:rsid w:val="305DA4E0"/>
    <w:rsid w:val="305E7784"/>
    <w:rsid w:val="30661820"/>
    <w:rsid w:val="306655F6"/>
    <w:rsid w:val="30679047"/>
    <w:rsid w:val="30689678"/>
    <w:rsid w:val="3069D560"/>
    <w:rsid w:val="306D3560"/>
    <w:rsid w:val="30701CBA"/>
    <w:rsid w:val="30703646"/>
    <w:rsid w:val="30703D79"/>
    <w:rsid w:val="307108E8"/>
    <w:rsid w:val="30744E05"/>
    <w:rsid w:val="3075D442"/>
    <w:rsid w:val="3075F4D7"/>
    <w:rsid w:val="3076DA54"/>
    <w:rsid w:val="30770CCF"/>
    <w:rsid w:val="30771398"/>
    <w:rsid w:val="307757B0"/>
    <w:rsid w:val="3077B5E0"/>
    <w:rsid w:val="30788FF5"/>
    <w:rsid w:val="307B0EF1"/>
    <w:rsid w:val="3084B110"/>
    <w:rsid w:val="30872B54"/>
    <w:rsid w:val="308814DD"/>
    <w:rsid w:val="308ACCF5"/>
    <w:rsid w:val="308BC9BC"/>
    <w:rsid w:val="30947854"/>
    <w:rsid w:val="3097120F"/>
    <w:rsid w:val="3098D2E8"/>
    <w:rsid w:val="309A26B6"/>
    <w:rsid w:val="309BCF12"/>
    <w:rsid w:val="309D0B3C"/>
    <w:rsid w:val="309DF765"/>
    <w:rsid w:val="309F1FBF"/>
    <w:rsid w:val="30A1E0EF"/>
    <w:rsid w:val="30A1EFB9"/>
    <w:rsid w:val="30A2273C"/>
    <w:rsid w:val="30A54BCF"/>
    <w:rsid w:val="30A772F1"/>
    <w:rsid w:val="30A83360"/>
    <w:rsid w:val="30A87BBA"/>
    <w:rsid w:val="30A8D796"/>
    <w:rsid w:val="30A96992"/>
    <w:rsid w:val="30AA3BCA"/>
    <w:rsid w:val="30AE4BD2"/>
    <w:rsid w:val="30B07B5A"/>
    <w:rsid w:val="30B0B5D1"/>
    <w:rsid w:val="30B212A9"/>
    <w:rsid w:val="30B42412"/>
    <w:rsid w:val="30B6DD95"/>
    <w:rsid w:val="30B853FC"/>
    <w:rsid w:val="30B8F771"/>
    <w:rsid w:val="30B97021"/>
    <w:rsid w:val="30B97BC6"/>
    <w:rsid w:val="30BA052D"/>
    <w:rsid w:val="30BDF65D"/>
    <w:rsid w:val="30BE6A2B"/>
    <w:rsid w:val="30BEEF6F"/>
    <w:rsid w:val="30C07543"/>
    <w:rsid w:val="30C0D85B"/>
    <w:rsid w:val="30C14F37"/>
    <w:rsid w:val="30C2EE8C"/>
    <w:rsid w:val="30C4515B"/>
    <w:rsid w:val="30C69773"/>
    <w:rsid w:val="30C8627E"/>
    <w:rsid w:val="30C9028F"/>
    <w:rsid w:val="30CB5012"/>
    <w:rsid w:val="30CF4391"/>
    <w:rsid w:val="30CF5FE3"/>
    <w:rsid w:val="30D30BD0"/>
    <w:rsid w:val="30D4CD9D"/>
    <w:rsid w:val="30D6E684"/>
    <w:rsid w:val="30D743CE"/>
    <w:rsid w:val="30DC2EF3"/>
    <w:rsid w:val="30DC76D2"/>
    <w:rsid w:val="30DDA82F"/>
    <w:rsid w:val="30DF9E3A"/>
    <w:rsid w:val="30DFC4B9"/>
    <w:rsid w:val="30E6455A"/>
    <w:rsid w:val="30E6DA57"/>
    <w:rsid w:val="30E93C26"/>
    <w:rsid w:val="30EC2EB3"/>
    <w:rsid w:val="30ED026C"/>
    <w:rsid w:val="30ED4C28"/>
    <w:rsid w:val="30EDE372"/>
    <w:rsid w:val="30EEAB63"/>
    <w:rsid w:val="30EFB5EB"/>
    <w:rsid w:val="30F12797"/>
    <w:rsid w:val="30F17A3A"/>
    <w:rsid w:val="30F2D2E9"/>
    <w:rsid w:val="30F60A67"/>
    <w:rsid w:val="30F742C0"/>
    <w:rsid w:val="30F7ACAD"/>
    <w:rsid w:val="30F7FAC0"/>
    <w:rsid w:val="30F9CE8E"/>
    <w:rsid w:val="30FAA686"/>
    <w:rsid w:val="30FD3E1D"/>
    <w:rsid w:val="30FDD922"/>
    <w:rsid w:val="30FF61DE"/>
    <w:rsid w:val="30FFF2CB"/>
    <w:rsid w:val="310019C0"/>
    <w:rsid w:val="3101477D"/>
    <w:rsid w:val="3101CDB4"/>
    <w:rsid w:val="31022CC4"/>
    <w:rsid w:val="3102E3ED"/>
    <w:rsid w:val="31039BCC"/>
    <w:rsid w:val="31041B3D"/>
    <w:rsid w:val="31066B04"/>
    <w:rsid w:val="310D4947"/>
    <w:rsid w:val="310DE8F5"/>
    <w:rsid w:val="310E0D54"/>
    <w:rsid w:val="310F5E73"/>
    <w:rsid w:val="310FB1C2"/>
    <w:rsid w:val="31101B12"/>
    <w:rsid w:val="31102C05"/>
    <w:rsid w:val="31104F22"/>
    <w:rsid w:val="3110B753"/>
    <w:rsid w:val="3111ADF9"/>
    <w:rsid w:val="3112ECEB"/>
    <w:rsid w:val="31139A37"/>
    <w:rsid w:val="31148057"/>
    <w:rsid w:val="3115CB2A"/>
    <w:rsid w:val="3117CB19"/>
    <w:rsid w:val="31182E9E"/>
    <w:rsid w:val="311984CF"/>
    <w:rsid w:val="311CA65B"/>
    <w:rsid w:val="311DF69C"/>
    <w:rsid w:val="311DFBEE"/>
    <w:rsid w:val="311E8C1E"/>
    <w:rsid w:val="311E8EA1"/>
    <w:rsid w:val="31220DB4"/>
    <w:rsid w:val="31227A2F"/>
    <w:rsid w:val="31244815"/>
    <w:rsid w:val="3124BB78"/>
    <w:rsid w:val="3124D0EE"/>
    <w:rsid w:val="3124DCF1"/>
    <w:rsid w:val="3127C08E"/>
    <w:rsid w:val="312A26B5"/>
    <w:rsid w:val="312B70C6"/>
    <w:rsid w:val="312DAEB7"/>
    <w:rsid w:val="312E0749"/>
    <w:rsid w:val="31303E92"/>
    <w:rsid w:val="3131B2C8"/>
    <w:rsid w:val="31335C6A"/>
    <w:rsid w:val="3134F93E"/>
    <w:rsid w:val="31356EA7"/>
    <w:rsid w:val="31365077"/>
    <w:rsid w:val="3138C2D2"/>
    <w:rsid w:val="313A7EE1"/>
    <w:rsid w:val="313ACC30"/>
    <w:rsid w:val="313D814D"/>
    <w:rsid w:val="313DC897"/>
    <w:rsid w:val="313ECAAE"/>
    <w:rsid w:val="313F3683"/>
    <w:rsid w:val="31414DD5"/>
    <w:rsid w:val="3141E69B"/>
    <w:rsid w:val="31452498"/>
    <w:rsid w:val="314754A5"/>
    <w:rsid w:val="3147707E"/>
    <w:rsid w:val="31487734"/>
    <w:rsid w:val="314C2753"/>
    <w:rsid w:val="314D2A16"/>
    <w:rsid w:val="314DFDC0"/>
    <w:rsid w:val="314F3C4C"/>
    <w:rsid w:val="31524CE8"/>
    <w:rsid w:val="31535BD3"/>
    <w:rsid w:val="31543C12"/>
    <w:rsid w:val="3154B78A"/>
    <w:rsid w:val="3157EC9F"/>
    <w:rsid w:val="3159FF6B"/>
    <w:rsid w:val="315C21EC"/>
    <w:rsid w:val="315E540A"/>
    <w:rsid w:val="315FA532"/>
    <w:rsid w:val="3160B79C"/>
    <w:rsid w:val="31627A0C"/>
    <w:rsid w:val="316521DB"/>
    <w:rsid w:val="31652370"/>
    <w:rsid w:val="3167396E"/>
    <w:rsid w:val="316BBC3B"/>
    <w:rsid w:val="316C8BFE"/>
    <w:rsid w:val="316C9224"/>
    <w:rsid w:val="316E719C"/>
    <w:rsid w:val="3175A286"/>
    <w:rsid w:val="31761E27"/>
    <w:rsid w:val="31787AA9"/>
    <w:rsid w:val="317902A7"/>
    <w:rsid w:val="317B77B7"/>
    <w:rsid w:val="317F811F"/>
    <w:rsid w:val="31802D5F"/>
    <w:rsid w:val="318169F7"/>
    <w:rsid w:val="3183922C"/>
    <w:rsid w:val="31841274"/>
    <w:rsid w:val="31853062"/>
    <w:rsid w:val="3187015A"/>
    <w:rsid w:val="31879CE1"/>
    <w:rsid w:val="3189A1EF"/>
    <w:rsid w:val="3189A9E2"/>
    <w:rsid w:val="3189DB50"/>
    <w:rsid w:val="318A21AE"/>
    <w:rsid w:val="318B2E4F"/>
    <w:rsid w:val="318B9406"/>
    <w:rsid w:val="318DF34D"/>
    <w:rsid w:val="318E89A3"/>
    <w:rsid w:val="318EBF55"/>
    <w:rsid w:val="318F0897"/>
    <w:rsid w:val="3190256B"/>
    <w:rsid w:val="319053CA"/>
    <w:rsid w:val="3190C2ED"/>
    <w:rsid w:val="3194702E"/>
    <w:rsid w:val="31949FBA"/>
    <w:rsid w:val="3196D277"/>
    <w:rsid w:val="3197034E"/>
    <w:rsid w:val="3197C5B9"/>
    <w:rsid w:val="3198650F"/>
    <w:rsid w:val="31987B5D"/>
    <w:rsid w:val="319A545E"/>
    <w:rsid w:val="319A93F7"/>
    <w:rsid w:val="319B4DB9"/>
    <w:rsid w:val="319BBA4E"/>
    <w:rsid w:val="319BCC15"/>
    <w:rsid w:val="319CDB65"/>
    <w:rsid w:val="319E4A1A"/>
    <w:rsid w:val="31A410C8"/>
    <w:rsid w:val="31A4A907"/>
    <w:rsid w:val="31A4BE34"/>
    <w:rsid w:val="31A59923"/>
    <w:rsid w:val="31A6CA38"/>
    <w:rsid w:val="31A7F94E"/>
    <w:rsid w:val="31A87853"/>
    <w:rsid w:val="31AA958F"/>
    <w:rsid w:val="31AB7113"/>
    <w:rsid w:val="31ACACC6"/>
    <w:rsid w:val="31AE04CF"/>
    <w:rsid w:val="31AE5B16"/>
    <w:rsid w:val="31B1BD7A"/>
    <w:rsid w:val="31B61271"/>
    <w:rsid w:val="31B644D4"/>
    <w:rsid w:val="31B8E4E7"/>
    <w:rsid w:val="31B9C585"/>
    <w:rsid w:val="31BB0E44"/>
    <w:rsid w:val="31BC3306"/>
    <w:rsid w:val="31BC7616"/>
    <w:rsid w:val="31BFF8D1"/>
    <w:rsid w:val="31C00B61"/>
    <w:rsid w:val="31C1D3C1"/>
    <w:rsid w:val="31C219FA"/>
    <w:rsid w:val="31C25DFE"/>
    <w:rsid w:val="31C3F994"/>
    <w:rsid w:val="31C5D25B"/>
    <w:rsid w:val="31C694A8"/>
    <w:rsid w:val="31C73619"/>
    <w:rsid w:val="31CAC5E4"/>
    <w:rsid w:val="31CCA74F"/>
    <w:rsid w:val="31CF7F87"/>
    <w:rsid w:val="31CF8F03"/>
    <w:rsid w:val="31CFC06D"/>
    <w:rsid w:val="31CFF4F5"/>
    <w:rsid w:val="31D05C49"/>
    <w:rsid w:val="31D1AB19"/>
    <w:rsid w:val="31D1BB8F"/>
    <w:rsid w:val="31D53925"/>
    <w:rsid w:val="31D6C478"/>
    <w:rsid w:val="31D72FEB"/>
    <w:rsid w:val="31D9DF88"/>
    <w:rsid w:val="31DCA632"/>
    <w:rsid w:val="31DD57F5"/>
    <w:rsid w:val="31DE882B"/>
    <w:rsid w:val="31DFA06C"/>
    <w:rsid w:val="31DFCF3F"/>
    <w:rsid w:val="31E161B9"/>
    <w:rsid w:val="31E17C20"/>
    <w:rsid w:val="31E389EB"/>
    <w:rsid w:val="31E3B7FD"/>
    <w:rsid w:val="31E3F158"/>
    <w:rsid w:val="31E6FB0B"/>
    <w:rsid w:val="31E990FA"/>
    <w:rsid w:val="31E9E4E9"/>
    <w:rsid w:val="31EC518B"/>
    <w:rsid w:val="31ED65ED"/>
    <w:rsid w:val="31EE4644"/>
    <w:rsid w:val="31EFA8DC"/>
    <w:rsid w:val="31F17EE5"/>
    <w:rsid w:val="31F1B2F7"/>
    <w:rsid w:val="31F1BB09"/>
    <w:rsid w:val="31F24965"/>
    <w:rsid w:val="31F26164"/>
    <w:rsid w:val="31F476B6"/>
    <w:rsid w:val="31F69812"/>
    <w:rsid w:val="31F76AAB"/>
    <w:rsid w:val="31F9AE87"/>
    <w:rsid w:val="31FB55BE"/>
    <w:rsid w:val="31FDEFCD"/>
    <w:rsid w:val="31FDF280"/>
    <w:rsid w:val="31FDF7C0"/>
    <w:rsid w:val="32012D0B"/>
    <w:rsid w:val="3201E86B"/>
    <w:rsid w:val="3201F98E"/>
    <w:rsid w:val="32022605"/>
    <w:rsid w:val="3205178A"/>
    <w:rsid w:val="320678BF"/>
    <w:rsid w:val="3209AE3B"/>
    <w:rsid w:val="320B53F1"/>
    <w:rsid w:val="320B80C1"/>
    <w:rsid w:val="320C8D1B"/>
    <w:rsid w:val="32100D74"/>
    <w:rsid w:val="3211DF79"/>
    <w:rsid w:val="32137008"/>
    <w:rsid w:val="3215BB68"/>
    <w:rsid w:val="3216E978"/>
    <w:rsid w:val="32205019"/>
    <w:rsid w:val="32213A56"/>
    <w:rsid w:val="3221C450"/>
    <w:rsid w:val="32230A4A"/>
    <w:rsid w:val="322377DF"/>
    <w:rsid w:val="322644E8"/>
    <w:rsid w:val="32273EA4"/>
    <w:rsid w:val="3228CE51"/>
    <w:rsid w:val="32299D81"/>
    <w:rsid w:val="322A71E5"/>
    <w:rsid w:val="322B50CA"/>
    <w:rsid w:val="322B5914"/>
    <w:rsid w:val="322B8539"/>
    <w:rsid w:val="322C1317"/>
    <w:rsid w:val="322FD6D2"/>
    <w:rsid w:val="3231E079"/>
    <w:rsid w:val="32331673"/>
    <w:rsid w:val="32331A90"/>
    <w:rsid w:val="32335FED"/>
    <w:rsid w:val="3233EB67"/>
    <w:rsid w:val="3235C6AA"/>
    <w:rsid w:val="3235ECBE"/>
    <w:rsid w:val="32390C6B"/>
    <w:rsid w:val="32391D5D"/>
    <w:rsid w:val="323A1384"/>
    <w:rsid w:val="323E5296"/>
    <w:rsid w:val="3240F496"/>
    <w:rsid w:val="3242A158"/>
    <w:rsid w:val="32433D01"/>
    <w:rsid w:val="3243C4F9"/>
    <w:rsid w:val="32454DBE"/>
    <w:rsid w:val="3248B6FC"/>
    <w:rsid w:val="32495F04"/>
    <w:rsid w:val="324AD26F"/>
    <w:rsid w:val="324C8632"/>
    <w:rsid w:val="324D08A5"/>
    <w:rsid w:val="324EDB36"/>
    <w:rsid w:val="3251F639"/>
    <w:rsid w:val="32524225"/>
    <w:rsid w:val="325333DF"/>
    <w:rsid w:val="3253F295"/>
    <w:rsid w:val="3254C542"/>
    <w:rsid w:val="3257091E"/>
    <w:rsid w:val="325ABC17"/>
    <w:rsid w:val="325AC416"/>
    <w:rsid w:val="325B0C30"/>
    <w:rsid w:val="325B9887"/>
    <w:rsid w:val="325BD3B8"/>
    <w:rsid w:val="325CF312"/>
    <w:rsid w:val="325E27FA"/>
    <w:rsid w:val="325FD35A"/>
    <w:rsid w:val="326080BF"/>
    <w:rsid w:val="326357BD"/>
    <w:rsid w:val="32643228"/>
    <w:rsid w:val="326692BE"/>
    <w:rsid w:val="32688220"/>
    <w:rsid w:val="326A7995"/>
    <w:rsid w:val="326B5EB1"/>
    <w:rsid w:val="326C0E27"/>
    <w:rsid w:val="326C4735"/>
    <w:rsid w:val="3271AB7D"/>
    <w:rsid w:val="32720EA4"/>
    <w:rsid w:val="327227AD"/>
    <w:rsid w:val="3272699D"/>
    <w:rsid w:val="3274944D"/>
    <w:rsid w:val="3274BD8B"/>
    <w:rsid w:val="3277D68D"/>
    <w:rsid w:val="327DB7D1"/>
    <w:rsid w:val="327E3580"/>
    <w:rsid w:val="32803633"/>
    <w:rsid w:val="32805DE3"/>
    <w:rsid w:val="328073BF"/>
    <w:rsid w:val="32817DC2"/>
    <w:rsid w:val="3284823D"/>
    <w:rsid w:val="32852A7F"/>
    <w:rsid w:val="32869FA7"/>
    <w:rsid w:val="3286D245"/>
    <w:rsid w:val="32879313"/>
    <w:rsid w:val="328B8930"/>
    <w:rsid w:val="328C13D2"/>
    <w:rsid w:val="328EC051"/>
    <w:rsid w:val="328EC0BD"/>
    <w:rsid w:val="32900AEC"/>
    <w:rsid w:val="3293648E"/>
    <w:rsid w:val="329499B0"/>
    <w:rsid w:val="3295E0B8"/>
    <w:rsid w:val="32987943"/>
    <w:rsid w:val="329AF56F"/>
    <w:rsid w:val="329BCBCA"/>
    <w:rsid w:val="329DC9A0"/>
    <w:rsid w:val="329F2C78"/>
    <w:rsid w:val="329F9FC2"/>
    <w:rsid w:val="329FC70F"/>
    <w:rsid w:val="32A17F14"/>
    <w:rsid w:val="32A561F2"/>
    <w:rsid w:val="32A6D40E"/>
    <w:rsid w:val="32AAB30B"/>
    <w:rsid w:val="32AB3321"/>
    <w:rsid w:val="32AE81FA"/>
    <w:rsid w:val="32B262B4"/>
    <w:rsid w:val="32B4370F"/>
    <w:rsid w:val="32B6207F"/>
    <w:rsid w:val="32B82B20"/>
    <w:rsid w:val="32BA8745"/>
    <w:rsid w:val="32BD0A9C"/>
    <w:rsid w:val="32C31417"/>
    <w:rsid w:val="32C35F60"/>
    <w:rsid w:val="32C52ABD"/>
    <w:rsid w:val="32C5400A"/>
    <w:rsid w:val="32C8494B"/>
    <w:rsid w:val="32CAFD26"/>
    <w:rsid w:val="32CB1B17"/>
    <w:rsid w:val="32CB4718"/>
    <w:rsid w:val="32CCAC27"/>
    <w:rsid w:val="32CD06BD"/>
    <w:rsid w:val="32CF7F44"/>
    <w:rsid w:val="32D303C7"/>
    <w:rsid w:val="32D3EF19"/>
    <w:rsid w:val="32D561C6"/>
    <w:rsid w:val="32D5A24A"/>
    <w:rsid w:val="32D5EE33"/>
    <w:rsid w:val="32D63B7F"/>
    <w:rsid w:val="32D6E6CF"/>
    <w:rsid w:val="32D718C1"/>
    <w:rsid w:val="32D7F7B6"/>
    <w:rsid w:val="32D8629D"/>
    <w:rsid w:val="32D97D82"/>
    <w:rsid w:val="32DA9CC4"/>
    <w:rsid w:val="32DADEBC"/>
    <w:rsid w:val="32DB2FF4"/>
    <w:rsid w:val="32DCAF1B"/>
    <w:rsid w:val="32DD117B"/>
    <w:rsid w:val="32DDC628"/>
    <w:rsid w:val="32DE47EA"/>
    <w:rsid w:val="32E0095E"/>
    <w:rsid w:val="32E156BC"/>
    <w:rsid w:val="32E17299"/>
    <w:rsid w:val="32E4E184"/>
    <w:rsid w:val="32E4F225"/>
    <w:rsid w:val="32E8BFDC"/>
    <w:rsid w:val="32E91B2E"/>
    <w:rsid w:val="32EC66B4"/>
    <w:rsid w:val="32ECB7EC"/>
    <w:rsid w:val="32ED1DE3"/>
    <w:rsid w:val="32ED6585"/>
    <w:rsid w:val="32EE2F5C"/>
    <w:rsid w:val="32EF5666"/>
    <w:rsid w:val="32F23DD5"/>
    <w:rsid w:val="32F37E68"/>
    <w:rsid w:val="32F38F2C"/>
    <w:rsid w:val="32F4A5BA"/>
    <w:rsid w:val="32F54953"/>
    <w:rsid w:val="32F8AEF6"/>
    <w:rsid w:val="32F91049"/>
    <w:rsid w:val="32FB4AE5"/>
    <w:rsid w:val="32FC1EA5"/>
    <w:rsid w:val="32FE6E70"/>
    <w:rsid w:val="32FE9C42"/>
    <w:rsid w:val="32FEF621"/>
    <w:rsid w:val="33003047"/>
    <w:rsid w:val="330321BA"/>
    <w:rsid w:val="33039470"/>
    <w:rsid w:val="33040525"/>
    <w:rsid w:val="3306A8F7"/>
    <w:rsid w:val="33076889"/>
    <w:rsid w:val="330877B4"/>
    <w:rsid w:val="330A0BD9"/>
    <w:rsid w:val="330E8701"/>
    <w:rsid w:val="330FA15F"/>
    <w:rsid w:val="33117EDC"/>
    <w:rsid w:val="3312A8C2"/>
    <w:rsid w:val="33137099"/>
    <w:rsid w:val="331498DC"/>
    <w:rsid w:val="33157DB9"/>
    <w:rsid w:val="3315BA0D"/>
    <w:rsid w:val="331628AA"/>
    <w:rsid w:val="331A850C"/>
    <w:rsid w:val="332011AC"/>
    <w:rsid w:val="3321F257"/>
    <w:rsid w:val="3321FF18"/>
    <w:rsid w:val="3323F880"/>
    <w:rsid w:val="33248D4B"/>
    <w:rsid w:val="3327204B"/>
    <w:rsid w:val="33283825"/>
    <w:rsid w:val="3329A2D2"/>
    <w:rsid w:val="332AA668"/>
    <w:rsid w:val="332B96B5"/>
    <w:rsid w:val="332CCA03"/>
    <w:rsid w:val="3331A66D"/>
    <w:rsid w:val="33342BCE"/>
    <w:rsid w:val="3335B4FA"/>
    <w:rsid w:val="33377BB7"/>
    <w:rsid w:val="3337BC79"/>
    <w:rsid w:val="333A310E"/>
    <w:rsid w:val="333A4809"/>
    <w:rsid w:val="333B182F"/>
    <w:rsid w:val="333CC890"/>
    <w:rsid w:val="333E6EAB"/>
    <w:rsid w:val="333F3DFC"/>
    <w:rsid w:val="333F4FA3"/>
    <w:rsid w:val="3341A75D"/>
    <w:rsid w:val="3341CFD9"/>
    <w:rsid w:val="33436048"/>
    <w:rsid w:val="3343E001"/>
    <w:rsid w:val="33440579"/>
    <w:rsid w:val="33454E8C"/>
    <w:rsid w:val="33473566"/>
    <w:rsid w:val="3347D271"/>
    <w:rsid w:val="334869F4"/>
    <w:rsid w:val="3349A115"/>
    <w:rsid w:val="334D4B16"/>
    <w:rsid w:val="334F7768"/>
    <w:rsid w:val="334F9FDD"/>
    <w:rsid w:val="33501076"/>
    <w:rsid w:val="33510B45"/>
    <w:rsid w:val="3352DA99"/>
    <w:rsid w:val="33533A95"/>
    <w:rsid w:val="3353A7DB"/>
    <w:rsid w:val="3353DFAE"/>
    <w:rsid w:val="3354E710"/>
    <w:rsid w:val="33554AD0"/>
    <w:rsid w:val="335BF9A5"/>
    <w:rsid w:val="335C2A9B"/>
    <w:rsid w:val="335C3ACF"/>
    <w:rsid w:val="335D2688"/>
    <w:rsid w:val="33606E6F"/>
    <w:rsid w:val="3360B1FC"/>
    <w:rsid w:val="33623D09"/>
    <w:rsid w:val="3362BD13"/>
    <w:rsid w:val="33639D86"/>
    <w:rsid w:val="3367CF11"/>
    <w:rsid w:val="3368A708"/>
    <w:rsid w:val="3369CD66"/>
    <w:rsid w:val="336B00DF"/>
    <w:rsid w:val="336C1AF4"/>
    <w:rsid w:val="336CE50C"/>
    <w:rsid w:val="336D3766"/>
    <w:rsid w:val="336D47EB"/>
    <w:rsid w:val="336DEA47"/>
    <w:rsid w:val="33730E81"/>
    <w:rsid w:val="337368F4"/>
    <w:rsid w:val="3373E084"/>
    <w:rsid w:val="3374306E"/>
    <w:rsid w:val="3376415F"/>
    <w:rsid w:val="3376FBEB"/>
    <w:rsid w:val="33788764"/>
    <w:rsid w:val="337891AA"/>
    <w:rsid w:val="33792856"/>
    <w:rsid w:val="337A285A"/>
    <w:rsid w:val="337AE683"/>
    <w:rsid w:val="337D704B"/>
    <w:rsid w:val="337DA2C9"/>
    <w:rsid w:val="337E98A3"/>
    <w:rsid w:val="337FF6D9"/>
    <w:rsid w:val="33815D57"/>
    <w:rsid w:val="3381910E"/>
    <w:rsid w:val="33889B0B"/>
    <w:rsid w:val="33895128"/>
    <w:rsid w:val="338B84B9"/>
    <w:rsid w:val="338CECEE"/>
    <w:rsid w:val="338D2D68"/>
    <w:rsid w:val="338D344A"/>
    <w:rsid w:val="338E78A2"/>
    <w:rsid w:val="338EC3ED"/>
    <w:rsid w:val="338F0EA5"/>
    <w:rsid w:val="3390E71B"/>
    <w:rsid w:val="3390F069"/>
    <w:rsid w:val="3390F53C"/>
    <w:rsid w:val="339310DE"/>
    <w:rsid w:val="33932D8B"/>
    <w:rsid w:val="33936070"/>
    <w:rsid w:val="33976F1A"/>
    <w:rsid w:val="3397D5C9"/>
    <w:rsid w:val="3398649D"/>
    <w:rsid w:val="33992D17"/>
    <w:rsid w:val="339C5E4C"/>
    <w:rsid w:val="339C8538"/>
    <w:rsid w:val="339D212D"/>
    <w:rsid w:val="339EE5F6"/>
    <w:rsid w:val="33A08764"/>
    <w:rsid w:val="33A0DCB7"/>
    <w:rsid w:val="33A10FB8"/>
    <w:rsid w:val="33A2D9F4"/>
    <w:rsid w:val="33A3C5B3"/>
    <w:rsid w:val="33A3FD80"/>
    <w:rsid w:val="33A45B7F"/>
    <w:rsid w:val="33A59FA2"/>
    <w:rsid w:val="33A6F96A"/>
    <w:rsid w:val="33A950F6"/>
    <w:rsid w:val="33A99FF6"/>
    <w:rsid w:val="33ADAD8A"/>
    <w:rsid w:val="33AF2932"/>
    <w:rsid w:val="33B07064"/>
    <w:rsid w:val="33B3EC54"/>
    <w:rsid w:val="33B4D4E9"/>
    <w:rsid w:val="33B4E465"/>
    <w:rsid w:val="33B5AB17"/>
    <w:rsid w:val="33B923E1"/>
    <w:rsid w:val="33BE330B"/>
    <w:rsid w:val="33C190EB"/>
    <w:rsid w:val="33C1B857"/>
    <w:rsid w:val="33C6503F"/>
    <w:rsid w:val="33C6A497"/>
    <w:rsid w:val="33C93CA5"/>
    <w:rsid w:val="33CB1EAC"/>
    <w:rsid w:val="33CC08B8"/>
    <w:rsid w:val="33CF4E23"/>
    <w:rsid w:val="33D0BAD9"/>
    <w:rsid w:val="33D1B7B8"/>
    <w:rsid w:val="33D2DACD"/>
    <w:rsid w:val="33D7C994"/>
    <w:rsid w:val="33D8A9DB"/>
    <w:rsid w:val="33DA387E"/>
    <w:rsid w:val="33DDB698"/>
    <w:rsid w:val="33DDCBED"/>
    <w:rsid w:val="33DE1EFB"/>
    <w:rsid w:val="33E0F400"/>
    <w:rsid w:val="33E1F02F"/>
    <w:rsid w:val="33E4D12F"/>
    <w:rsid w:val="33E5AD34"/>
    <w:rsid w:val="33E5E895"/>
    <w:rsid w:val="33E68334"/>
    <w:rsid w:val="33E7CE1E"/>
    <w:rsid w:val="33E85233"/>
    <w:rsid w:val="33EA384F"/>
    <w:rsid w:val="33EC982F"/>
    <w:rsid w:val="33F29868"/>
    <w:rsid w:val="33F30F3C"/>
    <w:rsid w:val="33F40914"/>
    <w:rsid w:val="33F48680"/>
    <w:rsid w:val="33F6ABDA"/>
    <w:rsid w:val="33F7F395"/>
    <w:rsid w:val="33F80244"/>
    <w:rsid w:val="33FA0D0F"/>
    <w:rsid w:val="33FA205F"/>
    <w:rsid w:val="33FCC335"/>
    <w:rsid w:val="3402A7A2"/>
    <w:rsid w:val="3404C823"/>
    <w:rsid w:val="340B59AD"/>
    <w:rsid w:val="340E5EAF"/>
    <w:rsid w:val="340E6CFF"/>
    <w:rsid w:val="34112517"/>
    <w:rsid w:val="3412858E"/>
    <w:rsid w:val="34134C3D"/>
    <w:rsid w:val="3413E0F9"/>
    <w:rsid w:val="341446D2"/>
    <w:rsid w:val="34145886"/>
    <w:rsid w:val="34151811"/>
    <w:rsid w:val="3415BCED"/>
    <w:rsid w:val="341749E5"/>
    <w:rsid w:val="3417D5BC"/>
    <w:rsid w:val="3418B50B"/>
    <w:rsid w:val="341A4BF9"/>
    <w:rsid w:val="341BB378"/>
    <w:rsid w:val="341BBEA3"/>
    <w:rsid w:val="341C0585"/>
    <w:rsid w:val="341CCAA3"/>
    <w:rsid w:val="341D5ACF"/>
    <w:rsid w:val="341FD39F"/>
    <w:rsid w:val="3421EF0E"/>
    <w:rsid w:val="3423733B"/>
    <w:rsid w:val="342747F1"/>
    <w:rsid w:val="34285702"/>
    <w:rsid w:val="342BF6FA"/>
    <w:rsid w:val="342E7812"/>
    <w:rsid w:val="342F062E"/>
    <w:rsid w:val="34311DF0"/>
    <w:rsid w:val="34316C7B"/>
    <w:rsid w:val="3431CA00"/>
    <w:rsid w:val="34321E85"/>
    <w:rsid w:val="34342EAD"/>
    <w:rsid w:val="34348FB7"/>
    <w:rsid w:val="34350C94"/>
    <w:rsid w:val="3436444E"/>
    <w:rsid w:val="343AA980"/>
    <w:rsid w:val="343ADAC4"/>
    <w:rsid w:val="343B5DCC"/>
    <w:rsid w:val="343BAA94"/>
    <w:rsid w:val="3440356A"/>
    <w:rsid w:val="3440C0D0"/>
    <w:rsid w:val="34433AA1"/>
    <w:rsid w:val="3448EEAF"/>
    <w:rsid w:val="344C5C33"/>
    <w:rsid w:val="344DF508"/>
    <w:rsid w:val="344E8133"/>
    <w:rsid w:val="344EA49E"/>
    <w:rsid w:val="344F11B8"/>
    <w:rsid w:val="344F6872"/>
    <w:rsid w:val="3455854A"/>
    <w:rsid w:val="345591F6"/>
    <w:rsid w:val="345837F2"/>
    <w:rsid w:val="34587F5C"/>
    <w:rsid w:val="34590DE0"/>
    <w:rsid w:val="345AAE79"/>
    <w:rsid w:val="345C5474"/>
    <w:rsid w:val="345EA3F2"/>
    <w:rsid w:val="3460E28C"/>
    <w:rsid w:val="34616A67"/>
    <w:rsid w:val="3461D9EF"/>
    <w:rsid w:val="3461DE63"/>
    <w:rsid w:val="3465C4FE"/>
    <w:rsid w:val="3465C6F7"/>
    <w:rsid w:val="34689A9A"/>
    <w:rsid w:val="3468C923"/>
    <w:rsid w:val="346A673A"/>
    <w:rsid w:val="346E4616"/>
    <w:rsid w:val="346FDA11"/>
    <w:rsid w:val="3470266E"/>
    <w:rsid w:val="34725478"/>
    <w:rsid w:val="34728A3C"/>
    <w:rsid w:val="3473D4B1"/>
    <w:rsid w:val="3475285A"/>
    <w:rsid w:val="3476DA0D"/>
    <w:rsid w:val="3477DE5F"/>
    <w:rsid w:val="347B2E21"/>
    <w:rsid w:val="347B4C3A"/>
    <w:rsid w:val="347C52C2"/>
    <w:rsid w:val="347CB3C7"/>
    <w:rsid w:val="347D4947"/>
    <w:rsid w:val="347F2361"/>
    <w:rsid w:val="347F93CB"/>
    <w:rsid w:val="347FD3E6"/>
    <w:rsid w:val="3481C8B8"/>
    <w:rsid w:val="34826D53"/>
    <w:rsid w:val="34873D1F"/>
    <w:rsid w:val="34887585"/>
    <w:rsid w:val="3489CBE2"/>
    <w:rsid w:val="348A1469"/>
    <w:rsid w:val="348DB078"/>
    <w:rsid w:val="348EC58F"/>
    <w:rsid w:val="34911E07"/>
    <w:rsid w:val="34913EE4"/>
    <w:rsid w:val="349163A9"/>
    <w:rsid w:val="349187D0"/>
    <w:rsid w:val="3492F13A"/>
    <w:rsid w:val="34955494"/>
    <w:rsid w:val="3496B09E"/>
    <w:rsid w:val="34970388"/>
    <w:rsid w:val="3498807A"/>
    <w:rsid w:val="349CAE20"/>
    <w:rsid w:val="349D8558"/>
    <w:rsid w:val="349ED870"/>
    <w:rsid w:val="349F9206"/>
    <w:rsid w:val="34A0D26A"/>
    <w:rsid w:val="34A0E2D2"/>
    <w:rsid w:val="34A1B7F3"/>
    <w:rsid w:val="34A21633"/>
    <w:rsid w:val="34A337F3"/>
    <w:rsid w:val="34A898C7"/>
    <w:rsid w:val="34A8EFD0"/>
    <w:rsid w:val="34AFF1DB"/>
    <w:rsid w:val="34B12F96"/>
    <w:rsid w:val="34B34E1C"/>
    <w:rsid w:val="34B4691A"/>
    <w:rsid w:val="34B4D24D"/>
    <w:rsid w:val="34B616A0"/>
    <w:rsid w:val="34B815F2"/>
    <w:rsid w:val="34B9C521"/>
    <w:rsid w:val="34BA2D6C"/>
    <w:rsid w:val="34BA9DE1"/>
    <w:rsid w:val="34BAD96D"/>
    <w:rsid w:val="34BBAA77"/>
    <w:rsid w:val="34BC289B"/>
    <w:rsid w:val="34BE96B0"/>
    <w:rsid w:val="34BF1035"/>
    <w:rsid w:val="34C29084"/>
    <w:rsid w:val="34C2F198"/>
    <w:rsid w:val="34C40035"/>
    <w:rsid w:val="34C4205A"/>
    <w:rsid w:val="34C44793"/>
    <w:rsid w:val="34C4A9A2"/>
    <w:rsid w:val="34C5657A"/>
    <w:rsid w:val="34C8BD8B"/>
    <w:rsid w:val="34CA65A0"/>
    <w:rsid w:val="34CA8DD6"/>
    <w:rsid w:val="34CD45BD"/>
    <w:rsid w:val="34D56585"/>
    <w:rsid w:val="34D56F00"/>
    <w:rsid w:val="34D8FE0D"/>
    <w:rsid w:val="34DB4B31"/>
    <w:rsid w:val="34DCBF69"/>
    <w:rsid w:val="34DDF735"/>
    <w:rsid w:val="34DE475F"/>
    <w:rsid w:val="34DF92FB"/>
    <w:rsid w:val="34E0EC31"/>
    <w:rsid w:val="34E36B14"/>
    <w:rsid w:val="34E54792"/>
    <w:rsid w:val="34E5D334"/>
    <w:rsid w:val="34E653C0"/>
    <w:rsid w:val="34E8651B"/>
    <w:rsid w:val="34EA1F38"/>
    <w:rsid w:val="34EA313A"/>
    <w:rsid w:val="34ECC87A"/>
    <w:rsid w:val="34ED2488"/>
    <w:rsid w:val="34F061AA"/>
    <w:rsid w:val="34F38FD6"/>
    <w:rsid w:val="34F55FA9"/>
    <w:rsid w:val="34F6A01B"/>
    <w:rsid w:val="34F6A54E"/>
    <w:rsid w:val="34F7F211"/>
    <w:rsid w:val="34F9BFA9"/>
    <w:rsid w:val="34F9C09D"/>
    <w:rsid w:val="34FAE9E0"/>
    <w:rsid w:val="34FB6F8A"/>
    <w:rsid w:val="34FB7C0B"/>
    <w:rsid w:val="34FD1F30"/>
    <w:rsid w:val="34FE0A46"/>
    <w:rsid w:val="34FE4BE7"/>
    <w:rsid w:val="34FFFD35"/>
    <w:rsid w:val="350207FD"/>
    <w:rsid w:val="35049CA5"/>
    <w:rsid w:val="3504BF50"/>
    <w:rsid w:val="3506CB25"/>
    <w:rsid w:val="35097598"/>
    <w:rsid w:val="350D5961"/>
    <w:rsid w:val="350F8F5F"/>
    <w:rsid w:val="350F9707"/>
    <w:rsid w:val="3512C37D"/>
    <w:rsid w:val="3514AD29"/>
    <w:rsid w:val="3518BACA"/>
    <w:rsid w:val="3519155F"/>
    <w:rsid w:val="351AA795"/>
    <w:rsid w:val="351AC018"/>
    <w:rsid w:val="351C6E01"/>
    <w:rsid w:val="351D2DB8"/>
    <w:rsid w:val="351DE894"/>
    <w:rsid w:val="351EAAD5"/>
    <w:rsid w:val="35217324"/>
    <w:rsid w:val="35227825"/>
    <w:rsid w:val="35230DB2"/>
    <w:rsid w:val="35248AFF"/>
    <w:rsid w:val="35253C9B"/>
    <w:rsid w:val="3525D33C"/>
    <w:rsid w:val="352865FA"/>
    <w:rsid w:val="35287CA9"/>
    <w:rsid w:val="3528ABD6"/>
    <w:rsid w:val="352AB2C3"/>
    <w:rsid w:val="352BEBA4"/>
    <w:rsid w:val="352C6D81"/>
    <w:rsid w:val="352E08A7"/>
    <w:rsid w:val="352EECD4"/>
    <w:rsid w:val="352F4F71"/>
    <w:rsid w:val="35316738"/>
    <w:rsid w:val="35324A10"/>
    <w:rsid w:val="35333A51"/>
    <w:rsid w:val="3533ED6E"/>
    <w:rsid w:val="3537739C"/>
    <w:rsid w:val="3537FDDF"/>
    <w:rsid w:val="353935D5"/>
    <w:rsid w:val="353A7E88"/>
    <w:rsid w:val="353BF0A8"/>
    <w:rsid w:val="353E841D"/>
    <w:rsid w:val="353EF8B1"/>
    <w:rsid w:val="354192F7"/>
    <w:rsid w:val="35447A4B"/>
    <w:rsid w:val="35455CAC"/>
    <w:rsid w:val="354620A1"/>
    <w:rsid w:val="35492C9D"/>
    <w:rsid w:val="354FBF29"/>
    <w:rsid w:val="355086CA"/>
    <w:rsid w:val="3552FFA2"/>
    <w:rsid w:val="3553130C"/>
    <w:rsid w:val="35534ECB"/>
    <w:rsid w:val="355718CD"/>
    <w:rsid w:val="3557D84F"/>
    <w:rsid w:val="3558CFC1"/>
    <w:rsid w:val="35598FF1"/>
    <w:rsid w:val="355E0714"/>
    <w:rsid w:val="3561E619"/>
    <w:rsid w:val="35631A64"/>
    <w:rsid w:val="3566DE1A"/>
    <w:rsid w:val="35694473"/>
    <w:rsid w:val="356AC3AA"/>
    <w:rsid w:val="356B15B5"/>
    <w:rsid w:val="356B1A54"/>
    <w:rsid w:val="356BA6AA"/>
    <w:rsid w:val="356BD8AB"/>
    <w:rsid w:val="356C3F79"/>
    <w:rsid w:val="356FB2F7"/>
    <w:rsid w:val="357120DA"/>
    <w:rsid w:val="3573077C"/>
    <w:rsid w:val="3576FE0B"/>
    <w:rsid w:val="3577BE32"/>
    <w:rsid w:val="35780594"/>
    <w:rsid w:val="35783F23"/>
    <w:rsid w:val="357B2272"/>
    <w:rsid w:val="357D1A3E"/>
    <w:rsid w:val="357DFB06"/>
    <w:rsid w:val="357E3333"/>
    <w:rsid w:val="357E68FF"/>
    <w:rsid w:val="357EE3B4"/>
    <w:rsid w:val="35838A3C"/>
    <w:rsid w:val="358474DF"/>
    <w:rsid w:val="35861E7C"/>
    <w:rsid w:val="358896CF"/>
    <w:rsid w:val="3589048E"/>
    <w:rsid w:val="358E68C9"/>
    <w:rsid w:val="358EB434"/>
    <w:rsid w:val="358ED46D"/>
    <w:rsid w:val="35910CE6"/>
    <w:rsid w:val="35916FBC"/>
    <w:rsid w:val="35918DE6"/>
    <w:rsid w:val="3591F502"/>
    <w:rsid w:val="35922E2D"/>
    <w:rsid w:val="35941C2F"/>
    <w:rsid w:val="3597546D"/>
    <w:rsid w:val="3597FA39"/>
    <w:rsid w:val="359AAD97"/>
    <w:rsid w:val="359AD4A4"/>
    <w:rsid w:val="359E9CC8"/>
    <w:rsid w:val="35A20C0F"/>
    <w:rsid w:val="35A37801"/>
    <w:rsid w:val="35A48BBD"/>
    <w:rsid w:val="35AA9F1F"/>
    <w:rsid w:val="35AEDB74"/>
    <w:rsid w:val="35AF79BE"/>
    <w:rsid w:val="35B45AB4"/>
    <w:rsid w:val="35B83C11"/>
    <w:rsid w:val="35B90D94"/>
    <w:rsid w:val="35B96E0D"/>
    <w:rsid w:val="35B9E722"/>
    <w:rsid w:val="35BC39D4"/>
    <w:rsid w:val="35BCFAFE"/>
    <w:rsid w:val="35BFF5FE"/>
    <w:rsid w:val="35C084CD"/>
    <w:rsid w:val="35C2E9D7"/>
    <w:rsid w:val="35C3595F"/>
    <w:rsid w:val="35C47E2C"/>
    <w:rsid w:val="35C5255B"/>
    <w:rsid w:val="35C5553C"/>
    <w:rsid w:val="35C718EF"/>
    <w:rsid w:val="35C72C7B"/>
    <w:rsid w:val="35C7D85F"/>
    <w:rsid w:val="35C85E87"/>
    <w:rsid w:val="35C8E19B"/>
    <w:rsid w:val="35CA6D77"/>
    <w:rsid w:val="35CAB514"/>
    <w:rsid w:val="35CAF806"/>
    <w:rsid w:val="35CB5471"/>
    <w:rsid w:val="35CC787E"/>
    <w:rsid w:val="35CD214F"/>
    <w:rsid w:val="35D22B89"/>
    <w:rsid w:val="35D255BE"/>
    <w:rsid w:val="35D44617"/>
    <w:rsid w:val="35D4ED4D"/>
    <w:rsid w:val="35D60181"/>
    <w:rsid w:val="35D7705D"/>
    <w:rsid w:val="35D8688F"/>
    <w:rsid w:val="35DA11EF"/>
    <w:rsid w:val="35DB01FA"/>
    <w:rsid w:val="35DC8BBA"/>
    <w:rsid w:val="35DDB903"/>
    <w:rsid w:val="35E004DF"/>
    <w:rsid w:val="35E2D906"/>
    <w:rsid w:val="35E52272"/>
    <w:rsid w:val="35E6A3CB"/>
    <w:rsid w:val="35E71971"/>
    <w:rsid w:val="35E88094"/>
    <w:rsid w:val="35E8D6D9"/>
    <w:rsid w:val="35E8EA80"/>
    <w:rsid w:val="35EB3E73"/>
    <w:rsid w:val="35ECDD90"/>
    <w:rsid w:val="35EE199E"/>
    <w:rsid w:val="35EE4E1D"/>
    <w:rsid w:val="35F19B5E"/>
    <w:rsid w:val="35F285E7"/>
    <w:rsid w:val="35F2C307"/>
    <w:rsid w:val="35F48C87"/>
    <w:rsid w:val="35F4E8BC"/>
    <w:rsid w:val="35F50D1F"/>
    <w:rsid w:val="35F863DF"/>
    <w:rsid w:val="35F8AE16"/>
    <w:rsid w:val="35FB4EE4"/>
    <w:rsid w:val="35FD9AD2"/>
    <w:rsid w:val="35FE4B10"/>
    <w:rsid w:val="35FEFEA8"/>
    <w:rsid w:val="360198B4"/>
    <w:rsid w:val="3606A582"/>
    <w:rsid w:val="3609E9CE"/>
    <w:rsid w:val="360A2196"/>
    <w:rsid w:val="360CEE82"/>
    <w:rsid w:val="360E2D82"/>
    <w:rsid w:val="3611CED7"/>
    <w:rsid w:val="36146DF9"/>
    <w:rsid w:val="3618A942"/>
    <w:rsid w:val="361D04BA"/>
    <w:rsid w:val="361E5644"/>
    <w:rsid w:val="361F19E0"/>
    <w:rsid w:val="361F3B29"/>
    <w:rsid w:val="362183FF"/>
    <w:rsid w:val="362288CB"/>
    <w:rsid w:val="3622C308"/>
    <w:rsid w:val="36232FC4"/>
    <w:rsid w:val="36236C10"/>
    <w:rsid w:val="36237BFB"/>
    <w:rsid w:val="3623A781"/>
    <w:rsid w:val="3629B014"/>
    <w:rsid w:val="362A0595"/>
    <w:rsid w:val="362C7299"/>
    <w:rsid w:val="362C89CB"/>
    <w:rsid w:val="362D01ED"/>
    <w:rsid w:val="362E1C82"/>
    <w:rsid w:val="362E7D10"/>
    <w:rsid w:val="36300482"/>
    <w:rsid w:val="3631745A"/>
    <w:rsid w:val="363181B9"/>
    <w:rsid w:val="3634D821"/>
    <w:rsid w:val="36387DDA"/>
    <w:rsid w:val="3638AA2F"/>
    <w:rsid w:val="363A0949"/>
    <w:rsid w:val="364052C0"/>
    <w:rsid w:val="36408F98"/>
    <w:rsid w:val="3644ACD7"/>
    <w:rsid w:val="36458109"/>
    <w:rsid w:val="36468084"/>
    <w:rsid w:val="36470948"/>
    <w:rsid w:val="3649111A"/>
    <w:rsid w:val="364A1A3E"/>
    <w:rsid w:val="364A6B42"/>
    <w:rsid w:val="364C09F6"/>
    <w:rsid w:val="364C9C16"/>
    <w:rsid w:val="3650EECA"/>
    <w:rsid w:val="3652FE95"/>
    <w:rsid w:val="36531589"/>
    <w:rsid w:val="36544C33"/>
    <w:rsid w:val="365B390E"/>
    <w:rsid w:val="365B39B0"/>
    <w:rsid w:val="365C0240"/>
    <w:rsid w:val="365CD46C"/>
    <w:rsid w:val="365F1BD9"/>
    <w:rsid w:val="365F7064"/>
    <w:rsid w:val="366076E0"/>
    <w:rsid w:val="3660FB1F"/>
    <w:rsid w:val="36619B95"/>
    <w:rsid w:val="366214E8"/>
    <w:rsid w:val="3663C244"/>
    <w:rsid w:val="36658DF8"/>
    <w:rsid w:val="3666F339"/>
    <w:rsid w:val="36696782"/>
    <w:rsid w:val="366AEF43"/>
    <w:rsid w:val="366D1AAB"/>
    <w:rsid w:val="366DBB06"/>
    <w:rsid w:val="367492B3"/>
    <w:rsid w:val="3676A4C6"/>
    <w:rsid w:val="36778D6B"/>
    <w:rsid w:val="367C8C2A"/>
    <w:rsid w:val="367E5538"/>
    <w:rsid w:val="367EBD3D"/>
    <w:rsid w:val="367F93E0"/>
    <w:rsid w:val="368102A9"/>
    <w:rsid w:val="36824BA3"/>
    <w:rsid w:val="3684A725"/>
    <w:rsid w:val="3684AEE7"/>
    <w:rsid w:val="36854CAE"/>
    <w:rsid w:val="3686E698"/>
    <w:rsid w:val="36883196"/>
    <w:rsid w:val="368A2EAD"/>
    <w:rsid w:val="368A5E46"/>
    <w:rsid w:val="368AB843"/>
    <w:rsid w:val="368CFB64"/>
    <w:rsid w:val="36952A3C"/>
    <w:rsid w:val="36966F00"/>
    <w:rsid w:val="369A193F"/>
    <w:rsid w:val="36A12CA6"/>
    <w:rsid w:val="36A26AD1"/>
    <w:rsid w:val="36A28108"/>
    <w:rsid w:val="36A552CE"/>
    <w:rsid w:val="36A56479"/>
    <w:rsid w:val="36A5EAE8"/>
    <w:rsid w:val="36A670CC"/>
    <w:rsid w:val="36AA72AF"/>
    <w:rsid w:val="36B14F38"/>
    <w:rsid w:val="36B1B841"/>
    <w:rsid w:val="36B2475B"/>
    <w:rsid w:val="36B2978C"/>
    <w:rsid w:val="36B29FF1"/>
    <w:rsid w:val="36B40A77"/>
    <w:rsid w:val="36B90E67"/>
    <w:rsid w:val="36BB0239"/>
    <w:rsid w:val="36BD8F7B"/>
    <w:rsid w:val="36BF0AF4"/>
    <w:rsid w:val="36C18636"/>
    <w:rsid w:val="36C22D93"/>
    <w:rsid w:val="36C42B38"/>
    <w:rsid w:val="36C65938"/>
    <w:rsid w:val="36C771A9"/>
    <w:rsid w:val="36CAF9FE"/>
    <w:rsid w:val="36CC24D2"/>
    <w:rsid w:val="36CF71BD"/>
    <w:rsid w:val="36D2A456"/>
    <w:rsid w:val="36D2D0B1"/>
    <w:rsid w:val="36D413D1"/>
    <w:rsid w:val="36D4486E"/>
    <w:rsid w:val="36D58F7C"/>
    <w:rsid w:val="36D673E2"/>
    <w:rsid w:val="36D8C451"/>
    <w:rsid w:val="36DAFAB4"/>
    <w:rsid w:val="36E21C14"/>
    <w:rsid w:val="36E30906"/>
    <w:rsid w:val="36E5B3CC"/>
    <w:rsid w:val="36E6C9AA"/>
    <w:rsid w:val="36E71147"/>
    <w:rsid w:val="36EA18AF"/>
    <w:rsid w:val="36EA65E4"/>
    <w:rsid w:val="36EA7BBF"/>
    <w:rsid w:val="36EA91B6"/>
    <w:rsid w:val="36EE524E"/>
    <w:rsid w:val="36F1EAB8"/>
    <w:rsid w:val="36F26FA0"/>
    <w:rsid w:val="36F32E6A"/>
    <w:rsid w:val="36F355ED"/>
    <w:rsid w:val="36F357EA"/>
    <w:rsid w:val="36F37FAF"/>
    <w:rsid w:val="36F411DF"/>
    <w:rsid w:val="36F5C020"/>
    <w:rsid w:val="36F5FDF6"/>
    <w:rsid w:val="36F6D0AC"/>
    <w:rsid w:val="36F6F6A6"/>
    <w:rsid w:val="36F7440A"/>
    <w:rsid w:val="36F7482D"/>
    <w:rsid w:val="36F855AA"/>
    <w:rsid w:val="36F9776E"/>
    <w:rsid w:val="36FBF6FA"/>
    <w:rsid w:val="36FE3041"/>
    <w:rsid w:val="37039473"/>
    <w:rsid w:val="37085F87"/>
    <w:rsid w:val="3709B259"/>
    <w:rsid w:val="370A5EB7"/>
    <w:rsid w:val="370BB5D9"/>
    <w:rsid w:val="370F8F44"/>
    <w:rsid w:val="370FA09B"/>
    <w:rsid w:val="3711FBD4"/>
    <w:rsid w:val="37153B06"/>
    <w:rsid w:val="3717D3DC"/>
    <w:rsid w:val="37194193"/>
    <w:rsid w:val="371A0F16"/>
    <w:rsid w:val="371A941B"/>
    <w:rsid w:val="371C2609"/>
    <w:rsid w:val="37202911"/>
    <w:rsid w:val="37248A29"/>
    <w:rsid w:val="37256AF8"/>
    <w:rsid w:val="3725EB87"/>
    <w:rsid w:val="37273FD4"/>
    <w:rsid w:val="37295814"/>
    <w:rsid w:val="372D5307"/>
    <w:rsid w:val="372DFB16"/>
    <w:rsid w:val="372F7A1A"/>
    <w:rsid w:val="37312923"/>
    <w:rsid w:val="373223AE"/>
    <w:rsid w:val="3732FF56"/>
    <w:rsid w:val="3734B905"/>
    <w:rsid w:val="373671B2"/>
    <w:rsid w:val="3736D6EE"/>
    <w:rsid w:val="3737BBB1"/>
    <w:rsid w:val="37396700"/>
    <w:rsid w:val="37398378"/>
    <w:rsid w:val="373B5EFB"/>
    <w:rsid w:val="373D315B"/>
    <w:rsid w:val="373D6D3D"/>
    <w:rsid w:val="373D88A5"/>
    <w:rsid w:val="373DD7B9"/>
    <w:rsid w:val="373FC102"/>
    <w:rsid w:val="373FC5E9"/>
    <w:rsid w:val="373FF6A9"/>
    <w:rsid w:val="37425882"/>
    <w:rsid w:val="37427F11"/>
    <w:rsid w:val="3742C678"/>
    <w:rsid w:val="3744DBE6"/>
    <w:rsid w:val="3745415A"/>
    <w:rsid w:val="37465167"/>
    <w:rsid w:val="3747D297"/>
    <w:rsid w:val="374878E3"/>
    <w:rsid w:val="374C139F"/>
    <w:rsid w:val="374D36FC"/>
    <w:rsid w:val="374EE2D6"/>
    <w:rsid w:val="374FC900"/>
    <w:rsid w:val="374FD329"/>
    <w:rsid w:val="3752B1C6"/>
    <w:rsid w:val="3752DAC7"/>
    <w:rsid w:val="375555D2"/>
    <w:rsid w:val="3756C2F4"/>
    <w:rsid w:val="3759AB67"/>
    <w:rsid w:val="375A9886"/>
    <w:rsid w:val="375CAB8F"/>
    <w:rsid w:val="37612F0C"/>
    <w:rsid w:val="37614812"/>
    <w:rsid w:val="3761D0B7"/>
    <w:rsid w:val="37629DE3"/>
    <w:rsid w:val="3763BAE9"/>
    <w:rsid w:val="37666A9E"/>
    <w:rsid w:val="376A57AA"/>
    <w:rsid w:val="376B4F56"/>
    <w:rsid w:val="376D7E04"/>
    <w:rsid w:val="376DE17B"/>
    <w:rsid w:val="37714E89"/>
    <w:rsid w:val="3772A5E9"/>
    <w:rsid w:val="3774A91F"/>
    <w:rsid w:val="3774CD38"/>
    <w:rsid w:val="3775201F"/>
    <w:rsid w:val="3775A8A9"/>
    <w:rsid w:val="3778D75C"/>
    <w:rsid w:val="37797B38"/>
    <w:rsid w:val="37799741"/>
    <w:rsid w:val="3779A9DF"/>
    <w:rsid w:val="377AABA9"/>
    <w:rsid w:val="377BC256"/>
    <w:rsid w:val="377D8874"/>
    <w:rsid w:val="377DDD04"/>
    <w:rsid w:val="378201EE"/>
    <w:rsid w:val="37821AF2"/>
    <w:rsid w:val="37828DC6"/>
    <w:rsid w:val="37868195"/>
    <w:rsid w:val="3787EDC9"/>
    <w:rsid w:val="3787FE46"/>
    <w:rsid w:val="37882508"/>
    <w:rsid w:val="378A8B12"/>
    <w:rsid w:val="378DA56F"/>
    <w:rsid w:val="3790B07F"/>
    <w:rsid w:val="37927727"/>
    <w:rsid w:val="37960565"/>
    <w:rsid w:val="37963FDC"/>
    <w:rsid w:val="379714B4"/>
    <w:rsid w:val="37999EA0"/>
    <w:rsid w:val="379AAD8E"/>
    <w:rsid w:val="379B4E22"/>
    <w:rsid w:val="379BD379"/>
    <w:rsid w:val="379CD866"/>
    <w:rsid w:val="379EA92B"/>
    <w:rsid w:val="37A3E009"/>
    <w:rsid w:val="37A41FC9"/>
    <w:rsid w:val="37A5B90B"/>
    <w:rsid w:val="37A5D072"/>
    <w:rsid w:val="37A5F7C7"/>
    <w:rsid w:val="37A6A9F8"/>
    <w:rsid w:val="37A73ED4"/>
    <w:rsid w:val="37A9681F"/>
    <w:rsid w:val="37A99EEE"/>
    <w:rsid w:val="37AB694E"/>
    <w:rsid w:val="37AC23B3"/>
    <w:rsid w:val="37ACF430"/>
    <w:rsid w:val="37AF7217"/>
    <w:rsid w:val="37B1540C"/>
    <w:rsid w:val="37B6B8E6"/>
    <w:rsid w:val="37B80518"/>
    <w:rsid w:val="37B896FA"/>
    <w:rsid w:val="37BBC824"/>
    <w:rsid w:val="37BCD054"/>
    <w:rsid w:val="37BD67BF"/>
    <w:rsid w:val="37BE9424"/>
    <w:rsid w:val="37C05D5B"/>
    <w:rsid w:val="37C14248"/>
    <w:rsid w:val="37C5BA71"/>
    <w:rsid w:val="37C66E1A"/>
    <w:rsid w:val="37C6A3FD"/>
    <w:rsid w:val="37CD3286"/>
    <w:rsid w:val="37CD4787"/>
    <w:rsid w:val="37CD90A8"/>
    <w:rsid w:val="37CE5DC2"/>
    <w:rsid w:val="37D14734"/>
    <w:rsid w:val="37D236A2"/>
    <w:rsid w:val="37D28807"/>
    <w:rsid w:val="37D2A267"/>
    <w:rsid w:val="37D3FCB6"/>
    <w:rsid w:val="37D9355A"/>
    <w:rsid w:val="37DA5D8A"/>
    <w:rsid w:val="37DAA814"/>
    <w:rsid w:val="37DB685C"/>
    <w:rsid w:val="37E35E67"/>
    <w:rsid w:val="37EA3A6A"/>
    <w:rsid w:val="37EB1E18"/>
    <w:rsid w:val="37EC23D9"/>
    <w:rsid w:val="37ED2755"/>
    <w:rsid w:val="37EDB556"/>
    <w:rsid w:val="37EE8A18"/>
    <w:rsid w:val="37EFB0FC"/>
    <w:rsid w:val="37F1CA87"/>
    <w:rsid w:val="37F25C2B"/>
    <w:rsid w:val="37F274BD"/>
    <w:rsid w:val="37F36713"/>
    <w:rsid w:val="37F3D3D3"/>
    <w:rsid w:val="37F422AA"/>
    <w:rsid w:val="37F7BC78"/>
    <w:rsid w:val="37F7F7AA"/>
    <w:rsid w:val="37FB5AF1"/>
    <w:rsid w:val="37FD92C9"/>
    <w:rsid w:val="37FF9B18"/>
    <w:rsid w:val="37FFA17D"/>
    <w:rsid w:val="3801451D"/>
    <w:rsid w:val="3801A716"/>
    <w:rsid w:val="38025EA5"/>
    <w:rsid w:val="3804207C"/>
    <w:rsid w:val="380735D6"/>
    <w:rsid w:val="3808DA76"/>
    <w:rsid w:val="3809E530"/>
    <w:rsid w:val="380D6A3E"/>
    <w:rsid w:val="38134EF0"/>
    <w:rsid w:val="38166073"/>
    <w:rsid w:val="38180D37"/>
    <w:rsid w:val="3818738E"/>
    <w:rsid w:val="3818A224"/>
    <w:rsid w:val="3819C1CF"/>
    <w:rsid w:val="3819CDF1"/>
    <w:rsid w:val="381A8E58"/>
    <w:rsid w:val="381ADD71"/>
    <w:rsid w:val="381B8DDC"/>
    <w:rsid w:val="381D7235"/>
    <w:rsid w:val="381F1C25"/>
    <w:rsid w:val="38254AB5"/>
    <w:rsid w:val="38287414"/>
    <w:rsid w:val="382C84FC"/>
    <w:rsid w:val="382EA2D0"/>
    <w:rsid w:val="382EAE86"/>
    <w:rsid w:val="3834E7CC"/>
    <w:rsid w:val="38386524"/>
    <w:rsid w:val="383870E0"/>
    <w:rsid w:val="383A2743"/>
    <w:rsid w:val="383CADBB"/>
    <w:rsid w:val="3840ACA0"/>
    <w:rsid w:val="3841BF33"/>
    <w:rsid w:val="384550D6"/>
    <w:rsid w:val="384703C8"/>
    <w:rsid w:val="384720B1"/>
    <w:rsid w:val="3847A5A8"/>
    <w:rsid w:val="384D88A2"/>
    <w:rsid w:val="384E0658"/>
    <w:rsid w:val="384F0E59"/>
    <w:rsid w:val="3850FEEC"/>
    <w:rsid w:val="38524D9E"/>
    <w:rsid w:val="3856CD69"/>
    <w:rsid w:val="38574DF8"/>
    <w:rsid w:val="3857896A"/>
    <w:rsid w:val="385933D6"/>
    <w:rsid w:val="385CEB1C"/>
    <w:rsid w:val="385D92B1"/>
    <w:rsid w:val="385F4674"/>
    <w:rsid w:val="3860A843"/>
    <w:rsid w:val="38621E44"/>
    <w:rsid w:val="38630B06"/>
    <w:rsid w:val="38656026"/>
    <w:rsid w:val="38657748"/>
    <w:rsid w:val="3866F3D4"/>
    <w:rsid w:val="386785A5"/>
    <w:rsid w:val="3867E2DB"/>
    <w:rsid w:val="38692E38"/>
    <w:rsid w:val="386CED8D"/>
    <w:rsid w:val="3872FD6B"/>
    <w:rsid w:val="3878B16C"/>
    <w:rsid w:val="387B24AA"/>
    <w:rsid w:val="387C251F"/>
    <w:rsid w:val="387C5EAE"/>
    <w:rsid w:val="387CB76B"/>
    <w:rsid w:val="387CD86E"/>
    <w:rsid w:val="387CFE44"/>
    <w:rsid w:val="38824470"/>
    <w:rsid w:val="38837CB0"/>
    <w:rsid w:val="38860FCE"/>
    <w:rsid w:val="3886137A"/>
    <w:rsid w:val="3887052F"/>
    <w:rsid w:val="38874E99"/>
    <w:rsid w:val="3888F808"/>
    <w:rsid w:val="388AE892"/>
    <w:rsid w:val="388D24B2"/>
    <w:rsid w:val="38916033"/>
    <w:rsid w:val="3892CEAD"/>
    <w:rsid w:val="3894FAAE"/>
    <w:rsid w:val="3897A846"/>
    <w:rsid w:val="38994CF2"/>
    <w:rsid w:val="3899A6BB"/>
    <w:rsid w:val="389EFEC4"/>
    <w:rsid w:val="389FB2DC"/>
    <w:rsid w:val="38A12675"/>
    <w:rsid w:val="38A24507"/>
    <w:rsid w:val="38A32D72"/>
    <w:rsid w:val="38A5C8B1"/>
    <w:rsid w:val="38A66F1E"/>
    <w:rsid w:val="38A6763D"/>
    <w:rsid w:val="38A740CE"/>
    <w:rsid w:val="38A9213A"/>
    <w:rsid w:val="38A97093"/>
    <w:rsid w:val="38AC31A4"/>
    <w:rsid w:val="38AC3848"/>
    <w:rsid w:val="38AEB0C8"/>
    <w:rsid w:val="38B00F6B"/>
    <w:rsid w:val="38B6AA62"/>
    <w:rsid w:val="38B90CA5"/>
    <w:rsid w:val="38BBA298"/>
    <w:rsid w:val="38BBA319"/>
    <w:rsid w:val="38BBC224"/>
    <w:rsid w:val="38BDB6D1"/>
    <w:rsid w:val="38BFF759"/>
    <w:rsid w:val="38BFF7AF"/>
    <w:rsid w:val="38C3CFA7"/>
    <w:rsid w:val="38C94228"/>
    <w:rsid w:val="38C947F5"/>
    <w:rsid w:val="38C9CE08"/>
    <w:rsid w:val="38CB4D90"/>
    <w:rsid w:val="38CCEAFC"/>
    <w:rsid w:val="38CE7396"/>
    <w:rsid w:val="38CF08FC"/>
    <w:rsid w:val="38D0A867"/>
    <w:rsid w:val="38D15473"/>
    <w:rsid w:val="38D2703F"/>
    <w:rsid w:val="38D650C2"/>
    <w:rsid w:val="38D88750"/>
    <w:rsid w:val="38DA295E"/>
    <w:rsid w:val="38DB9D94"/>
    <w:rsid w:val="38DC2641"/>
    <w:rsid w:val="38DCC840"/>
    <w:rsid w:val="38DD005E"/>
    <w:rsid w:val="38DD26E2"/>
    <w:rsid w:val="38DE9262"/>
    <w:rsid w:val="38DE9F87"/>
    <w:rsid w:val="38DEF3C0"/>
    <w:rsid w:val="38E1A4BB"/>
    <w:rsid w:val="38E1E86D"/>
    <w:rsid w:val="38E5BD46"/>
    <w:rsid w:val="38E5BF04"/>
    <w:rsid w:val="38E7077A"/>
    <w:rsid w:val="38E7B8E3"/>
    <w:rsid w:val="38E8307E"/>
    <w:rsid w:val="38EB12E2"/>
    <w:rsid w:val="38EBEF10"/>
    <w:rsid w:val="38EBFFD9"/>
    <w:rsid w:val="38EC453C"/>
    <w:rsid w:val="38ED4687"/>
    <w:rsid w:val="38EE9DED"/>
    <w:rsid w:val="38EFF81D"/>
    <w:rsid w:val="38F024E5"/>
    <w:rsid w:val="38F1BF28"/>
    <w:rsid w:val="38F1E90D"/>
    <w:rsid w:val="38F2C4C2"/>
    <w:rsid w:val="38F35264"/>
    <w:rsid w:val="38F55741"/>
    <w:rsid w:val="38F61D80"/>
    <w:rsid w:val="38F70857"/>
    <w:rsid w:val="38F885CA"/>
    <w:rsid w:val="38FCF47D"/>
    <w:rsid w:val="38FE2C61"/>
    <w:rsid w:val="39008B3A"/>
    <w:rsid w:val="3901E4A0"/>
    <w:rsid w:val="39030A73"/>
    <w:rsid w:val="39039EB4"/>
    <w:rsid w:val="3903BCD8"/>
    <w:rsid w:val="39058FA8"/>
    <w:rsid w:val="390C5E8B"/>
    <w:rsid w:val="390F0E2D"/>
    <w:rsid w:val="390F4321"/>
    <w:rsid w:val="390FF204"/>
    <w:rsid w:val="3910B473"/>
    <w:rsid w:val="391114F0"/>
    <w:rsid w:val="3912A2BC"/>
    <w:rsid w:val="3912B8BF"/>
    <w:rsid w:val="39165DA2"/>
    <w:rsid w:val="3916D1ED"/>
    <w:rsid w:val="39187851"/>
    <w:rsid w:val="3918E044"/>
    <w:rsid w:val="391BFAA5"/>
    <w:rsid w:val="391C7A3E"/>
    <w:rsid w:val="391DEA7F"/>
    <w:rsid w:val="391E5F34"/>
    <w:rsid w:val="391EBF7C"/>
    <w:rsid w:val="391F3E3B"/>
    <w:rsid w:val="391F8387"/>
    <w:rsid w:val="392040ED"/>
    <w:rsid w:val="39206129"/>
    <w:rsid w:val="39216700"/>
    <w:rsid w:val="3921741B"/>
    <w:rsid w:val="3921E641"/>
    <w:rsid w:val="392792A0"/>
    <w:rsid w:val="3927A42F"/>
    <w:rsid w:val="3928A64D"/>
    <w:rsid w:val="39296708"/>
    <w:rsid w:val="392A0981"/>
    <w:rsid w:val="392C2338"/>
    <w:rsid w:val="39300B90"/>
    <w:rsid w:val="3931A7E5"/>
    <w:rsid w:val="3935CF52"/>
    <w:rsid w:val="393788A7"/>
    <w:rsid w:val="393C346B"/>
    <w:rsid w:val="393CF64F"/>
    <w:rsid w:val="393D0729"/>
    <w:rsid w:val="393D50D8"/>
    <w:rsid w:val="393E6701"/>
    <w:rsid w:val="393EAB2F"/>
    <w:rsid w:val="393F615A"/>
    <w:rsid w:val="393FDCDD"/>
    <w:rsid w:val="39412E69"/>
    <w:rsid w:val="39420439"/>
    <w:rsid w:val="3942BAA1"/>
    <w:rsid w:val="3943BF61"/>
    <w:rsid w:val="3944513D"/>
    <w:rsid w:val="39445A80"/>
    <w:rsid w:val="3944C475"/>
    <w:rsid w:val="394599E4"/>
    <w:rsid w:val="3945B36E"/>
    <w:rsid w:val="3949D6A0"/>
    <w:rsid w:val="394A9EB1"/>
    <w:rsid w:val="394BA862"/>
    <w:rsid w:val="394CD44F"/>
    <w:rsid w:val="3953AFEB"/>
    <w:rsid w:val="39566482"/>
    <w:rsid w:val="3959055C"/>
    <w:rsid w:val="39592F3F"/>
    <w:rsid w:val="3959D564"/>
    <w:rsid w:val="395DC4E9"/>
    <w:rsid w:val="395E5F27"/>
    <w:rsid w:val="395E6551"/>
    <w:rsid w:val="395E93A9"/>
    <w:rsid w:val="395ED45E"/>
    <w:rsid w:val="3962BF46"/>
    <w:rsid w:val="39655345"/>
    <w:rsid w:val="39667E47"/>
    <w:rsid w:val="396981D0"/>
    <w:rsid w:val="396ACDE8"/>
    <w:rsid w:val="396BA1A1"/>
    <w:rsid w:val="396C4EFE"/>
    <w:rsid w:val="396CA2A1"/>
    <w:rsid w:val="396E3BF3"/>
    <w:rsid w:val="396E563B"/>
    <w:rsid w:val="396EB06A"/>
    <w:rsid w:val="396EC098"/>
    <w:rsid w:val="396F2470"/>
    <w:rsid w:val="396F84CC"/>
    <w:rsid w:val="39703F53"/>
    <w:rsid w:val="3974EE42"/>
    <w:rsid w:val="39771990"/>
    <w:rsid w:val="3978E76D"/>
    <w:rsid w:val="3978EEF0"/>
    <w:rsid w:val="397A05B7"/>
    <w:rsid w:val="397AB5DF"/>
    <w:rsid w:val="397AD867"/>
    <w:rsid w:val="397C9B3F"/>
    <w:rsid w:val="397CBCCC"/>
    <w:rsid w:val="397EDB1D"/>
    <w:rsid w:val="397F7CB7"/>
    <w:rsid w:val="397F8E21"/>
    <w:rsid w:val="398000C7"/>
    <w:rsid w:val="39803966"/>
    <w:rsid w:val="3980EE60"/>
    <w:rsid w:val="3981F099"/>
    <w:rsid w:val="39829324"/>
    <w:rsid w:val="3986A871"/>
    <w:rsid w:val="3987268D"/>
    <w:rsid w:val="398844EA"/>
    <w:rsid w:val="39886729"/>
    <w:rsid w:val="3989F0F4"/>
    <w:rsid w:val="398B3B22"/>
    <w:rsid w:val="398B7BAF"/>
    <w:rsid w:val="398DE8EA"/>
    <w:rsid w:val="398F2A8B"/>
    <w:rsid w:val="39933287"/>
    <w:rsid w:val="39937170"/>
    <w:rsid w:val="3993FB8E"/>
    <w:rsid w:val="39941919"/>
    <w:rsid w:val="39954AB8"/>
    <w:rsid w:val="399767A0"/>
    <w:rsid w:val="39981AC5"/>
    <w:rsid w:val="39984948"/>
    <w:rsid w:val="399BD5C0"/>
    <w:rsid w:val="39A03560"/>
    <w:rsid w:val="39A09AFC"/>
    <w:rsid w:val="39A35337"/>
    <w:rsid w:val="39A43E57"/>
    <w:rsid w:val="39A48F65"/>
    <w:rsid w:val="39A5EEBD"/>
    <w:rsid w:val="39A93B14"/>
    <w:rsid w:val="39A93B70"/>
    <w:rsid w:val="39A99B34"/>
    <w:rsid w:val="39A9AF3F"/>
    <w:rsid w:val="39AB1C18"/>
    <w:rsid w:val="39AC0E71"/>
    <w:rsid w:val="39AC5419"/>
    <w:rsid w:val="39ACEA7E"/>
    <w:rsid w:val="39AD3EE9"/>
    <w:rsid w:val="39AE5CD0"/>
    <w:rsid w:val="39B041BC"/>
    <w:rsid w:val="39B05659"/>
    <w:rsid w:val="39B3A58E"/>
    <w:rsid w:val="39B5D302"/>
    <w:rsid w:val="39B69E13"/>
    <w:rsid w:val="39B82A47"/>
    <w:rsid w:val="39B9C336"/>
    <w:rsid w:val="39BA8690"/>
    <w:rsid w:val="39BAEFF4"/>
    <w:rsid w:val="39BD2BD0"/>
    <w:rsid w:val="39BFB9AD"/>
    <w:rsid w:val="39C03066"/>
    <w:rsid w:val="39C343FD"/>
    <w:rsid w:val="39C36FE8"/>
    <w:rsid w:val="39C3D05A"/>
    <w:rsid w:val="39C49883"/>
    <w:rsid w:val="39C54C06"/>
    <w:rsid w:val="39C7E067"/>
    <w:rsid w:val="39C80146"/>
    <w:rsid w:val="39C80157"/>
    <w:rsid w:val="39C8A441"/>
    <w:rsid w:val="39C9420F"/>
    <w:rsid w:val="39CA2849"/>
    <w:rsid w:val="39CBE9AF"/>
    <w:rsid w:val="39CCB6A9"/>
    <w:rsid w:val="39CCF270"/>
    <w:rsid w:val="39CDE111"/>
    <w:rsid w:val="39CE44F6"/>
    <w:rsid w:val="39CF91FB"/>
    <w:rsid w:val="39D39311"/>
    <w:rsid w:val="39D5FD3D"/>
    <w:rsid w:val="39D67C15"/>
    <w:rsid w:val="39D6C809"/>
    <w:rsid w:val="39D6CF98"/>
    <w:rsid w:val="39D8160E"/>
    <w:rsid w:val="39DBC7A0"/>
    <w:rsid w:val="39DC2F98"/>
    <w:rsid w:val="39DC9CEA"/>
    <w:rsid w:val="39DE1039"/>
    <w:rsid w:val="39DFCA7A"/>
    <w:rsid w:val="39E0AF20"/>
    <w:rsid w:val="39E3D7FE"/>
    <w:rsid w:val="39E54D70"/>
    <w:rsid w:val="39E6EE7E"/>
    <w:rsid w:val="39E76A5B"/>
    <w:rsid w:val="39E98492"/>
    <w:rsid w:val="39ED0046"/>
    <w:rsid w:val="39EE60DD"/>
    <w:rsid w:val="39EF6734"/>
    <w:rsid w:val="39F29723"/>
    <w:rsid w:val="39F32AF7"/>
    <w:rsid w:val="39F4F27F"/>
    <w:rsid w:val="39F5044A"/>
    <w:rsid w:val="39F65E2F"/>
    <w:rsid w:val="39F86BC0"/>
    <w:rsid w:val="39F8AFD9"/>
    <w:rsid w:val="39F935FA"/>
    <w:rsid w:val="39F9D05C"/>
    <w:rsid w:val="39FE98D3"/>
    <w:rsid w:val="3A01193F"/>
    <w:rsid w:val="3A03DE60"/>
    <w:rsid w:val="3A03E04C"/>
    <w:rsid w:val="3A04D65A"/>
    <w:rsid w:val="3A06500B"/>
    <w:rsid w:val="3A07535A"/>
    <w:rsid w:val="3A079102"/>
    <w:rsid w:val="3A0899C3"/>
    <w:rsid w:val="3A09F71E"/>
    <w:rsid w:val="3A0C3FDE"/>
    <w:rsid w:val="3A0C61A0"/>
    <w:rsid w:val="3A0C9E89"/>
    <w:rsid w:val="3A0ED5BC"/>
    <w:rsid w:val="3A0F9372"/>
    <w:rsid w:val="3A1097DE"/>
    <w:rsid w:val="3A112FD4"/>
    <w:rsid w:val="3A1362F1"/>
    <w:rsid w:val="3A137493"/>
    <w:rsid w:val="3A13DEBD"/>
    <w:rsid w:val="3A165DA8"/>
    <w:rsid w:val="3A16EF4B"/>
    <w:rsid w:val="3A192D49"/>
    <w:rsid w:val="3A1F6920"/>
    <w:rsid w:val="3A202EB4"/>
    <w:rsid w:val="3A213ED6"/>
    <w:rsid w:val="3A239EB2"/>
    <w:rsid w:val="3A24A114"/>
    <w:rsid w:val="3A25210E"/>
    <w:rsid w:val="3A260064"/>
    <w:rsid w:val="3A268A8C"/>
    <w:rsid w:val="3A2731F7"/>
    <w:rsid w:val="3A274B5D"/>
    <w:rsid w:val="3A28596D"/>
    <w:rsid w:val="3A2B49E6"/>
    <w:rsid w:val="3A2F3037"/>
    <w:rsid w:val="3A2FEDA7"/>
    <w:rsid w:val="3A3080FE"/>
    <w:rsid w:val="3A309EA6"/>
    <w:rsid w:val="3A3219AD"/>
    <w:rsid w:val="3A323700"/>
    <w:rsid w:val="3A3327D3"/>
    <w:rsid w:val="3A340E8D"/>
    <w:rsid w:val="3A34509F"/>
    <w:rsid w:val="3A353EBC"/>
    <w:rsid w:val="3A359DCC"/>
    <w:rsid w:val="3A35C6C3"/>
    <w:rsid w:val="3A39E4C1"/>
    <w:rsid w:val="3A3A9C7B"/>
    <w:rsid w:val="3A3B50E4"/>
    <w:rsid w:val="3A3B530B"/>
    <w:rsid w:val="3A3BD9D7"/>
    <w:rsid w:val="3A3F3A9D"/>
    <w:rsid w:val="3A425E14"/>
    <w:rsid w:val="3A4369A0"/>
    <w:rsid w:val="3A4607ED"/>
    <w:rsid w:val="3A467670"/>
    <w:rsid w:val="3A4779CB"/>
    <w:rsid w:val="3A47CF8B"/>
    <w:rsid w:val="3A47D48D"/>
    <w:rsid w:val="3A47FC6C"/>
    <w:rsid w:val="3A481D8B"/>
    <w:rsid w:val="3A4940FA"/>
    <w:rsid w:val="3A49E1A5"/>
    <w:rsid w:val="3A4A5B71"/>
    <w:rsid w:val="3A4B2F55"/>
    <w:rsid w:val="3A501182"/>
    <w:rsid w:val="3A5032BD"/>
    <w:rsid w:val="3A51003B"/>
    <w:rsid w:val="3A518C20"/>
    <w:rsid w:val="3A576397"/>
    <w:rsid w:val="3A5C23EF"/>
    <w:rsid w:val="3A5F3E13"/>
    <w:rsid w:val="3A608498"/>
    <w:rsid w:val="3A62646F"/>
    <w:rsid w:val="3A63431F"/>
    <w:rsid w:val="3A636E2E"/>
    <w:rsid w:val="3A647714"/>
    <w:rsid w:val="3A64B176"/>
    <w:rsid w:val="3A679736"/>
    <w:rsid w:val="3A6DD1C6"/>
    <w:rsid w:val="3A6E56C3"/>
    <w:rsid w:val="3A7017B0"/>
    <w:rsid w:val="3A71B813"/>
    <w:rsid w:val="3A71F2F4"/>
    <w:rsid w:val="3A725A8F"/>
    <w:rsid w:val="3A75ED75"/>
    <w:rsid w:val="3A7CD8F6"/>
    <w:rsid w:val="3A7E0FF5"/>
    <w:rsid w:val="3A7E5433"/>
    <w:rsid w:val="3A7F266F"/>
    <w:rsid w:val="3A815437"/>
    <w:rsid w:val="3A8163BE"/>
    <w:rsid w:val="3A84265C"/>
    <w:rsid w:val="3A84B77A"/>
    <w:rsid w:val="3A8A0651"/>
    <w:rsid w:val="3A8A5912"/>
    <w:rsid w:val="3A8ABE0B"/>
    <w:rsid w:val="3A8B4D3E"/>
    <w:rsid w:val="3A8B511E"/>
    <w:rsid w:val="3A8B8385"/>
    <w:rsid w:val="3A8CBECA"/>
    <w:rsid w:val="3A8DB2CF"/>
    <w:rsid w:val="3A8FCE7A"/>
    <w:rsid w:val="3A90BCDD"/>
    <w:rsid w:val="3A945238"/>
    <w:rsid w:val="3A95E036"/>
    <w:rsid w:val="3A98CE57"/>
    <w:rsid w:val="3A98DAEB"/>
    <w:rsid w:val="3A9B9437"/>
    <w:rsid w:val="3A9C705C"/>
    <w:rsid w:val="3A9CE098"/>
    <w:rsid w:val="3A9EB4C6"/>
    <w:rsid w:val="3AA164AC"/>
    <w:rsid w:val="3AA190A6"/>
    <w:rsid w:val="3AA62A92"/>
    <w:rsid w:val="3AA8A131"/>
    <w:rsid w:val="3AA8A1DB"/>
    <w:rsid w:val="3AA9E470"/>
    <w:rsid w:val="3AAD88C3"/>
    <w:rsid w:val="3AAE7E0D"/>
    <w:rsid w:val="3AAEF424"/>
    <w:rsid w:val="3AAF838F"/>
    <w:rsid w:val="3AB0ED34"/>
    <w:rsid w:val="3AB16020"/>
    <w:rsid w:val="3AB2681D"/>
    <w:rsid w:val="3AB59C95"/>
    <w:rsid w:val="3AB6B829"/>
    <w:rsid w:val="3AB8D19B"/>
    <w:rsid w:val="3ABC3412"/>
    <w:rsid w:val="3ABD897C"/>
    <w:rsid w:val="3ABE1E52"/>
    <w:rsid w:val="3ABEEB67"/>
    <w:rsid w:val="3AC2A8E0"/>
    <w:rsid w:val="3AC37884"/>
    <w:rsid w:val="3AC38CE6"/>
    <w:rsid w:val="3AC485CF"/>
    <w:rsid w:val="3AC5C1B5"/>
    <w:rsid w:val="3AC5FBF2"/>
    <w:rsid w:val="3AC666C2"/>
    <w:rsid w:val="3AC75015"/>
    <w:rsid w:val="3ACCBB89"/>
    <w:rsid w:val="3ACE8B31"/>
    <w:rsid w:val="3ACEC072"/>
    <w:rsid w:val="3ACF455E"/>
    <w:rsid w:val="3AD184D4"/>
    <w:rsid w:val="3AD1D864"/>
    <w:rsid w:val="3AD5780B"/>
    <w:rsid w:val="3AD6515D"/>
    <w:rsid w:val="3AD65443"/>
    <w:rsid w:val="3AD68580"/>
    <w:rsid w:val="3ADBA452"/>
    <w:rsid w:val="3ADBA943"/>
    <w:rsid w:val="3ADCF14A"/>
    <w:rsid w:val="3ADEFA2C"/>
    <w:rsid w:val="3ADF158F"/>
    <w:rsid w:val="3AE0365D"/>
    <w:rsid w:val="3AE183E0"/>
    <w:rsid w:val="3AE2D64C"/>
    <w:rsid w:val="3AE2FD2A"/>
    <w:rsid w:val="3AE44757"/>
    <w:rsid w:val="3AE60AD2"/>
    <w:rsid w:val="3AE8CB7F"/>
    <w:rsid w:val="3AE9EAF3"/>
    <w:rsid w:val="3AEA02FD"/>
    <w:rsid w:val="3AECE1DB"/>
    <w:rsid w:val="3AED7DC6"/>
    <w:rsid w:val="3AEF47B9"/>
    <w:rsid w:val="3AEF96A3"/>
    <w:rsid w:val="3AEF96F4"/>
    <w:rsid w:val="3AEF9AD5"/>
    <w:rsid w:val="3AF051EC"/>
    <w:rsid w:val="3AF1882A"/>
    <w:rsid w:val="3AF1F16D"/>
    <w:rsid w:val="3AF29D99"/>
    <w:rsid w:val="3AF7E50E"/>
    <w:rsid w:val="3AF8B375"/>
    <w:rsid w:val="3AF9CB29"/>
    <w:rsid w:val="3AFA9E2C"/>
    <w:rsid w:val="3AFABC23"/>
    <w:rsid w:val="3AFCFF2D"/>
    <w:rsid w:val="3AFD2D93"/>
    <w:rsid w:val="3AFE37DC"/>
    <w:rsid w:val="3AFE9B50"/>
    <w:rsid w:val="3AFEC5E8"/>
    <w:rsid w:val="3B0153C2"/>
    <w:rsid w:val="3B03D48B"/>
    <w:rsid w:val="3B060A3F"/>
    <w:rsid w:val="3B092B7A"/>
    <w:rsid w:val="3B0CC2D7"/>
    <w:rsid w:val="3B0F8442"/>
    <w:rsid w:val="3B121D2E"/>
    <w:rsid w:val="3B1280FF"/>
    <w:rsid w:val="3B14F73C"/>
    <w:rsid w:val="3B15EB2C"/>
    <w:rsid w:val="3B195DC6"/>
    <w:rsid w:val="3B19BDE6"/>
    <w:rsid w:val="3B1B2DC4"/>
    <w:rsid w:val="3B1BFD40"/>
    <w:rsid w:val="3B1C793E"/>
    <w:rsid w:val="3B1D42D6"/>
    <w:rsid w:val="3B1D74AD"/>
    <w:rsid w:val="3B1D8590"/>
    <w:rsid w:val="3B1E133F"/>
    <w:rsid w:val="3B1F7F69"/>
    <w:rsid w:val="3B24D7F3"/>
    <w:rsid w:val="3B258026"/>
    <w:rsid w:val="3B277537"/>
    <w:rsid w:val="3B2A60AE"/>
    <w:rsid w:val="3B2B5CDF"/>
    <w:rsid w:val="3B320991"/>
    <w:rsid w:val="3B353C7B"/>
    <w:rsid w:val="3B3793A3"/>
    <w:rsid w:val="3B38FDE8"/>
    <w:rsid w:val="3B392629"/>
    <w:rsid w:val="3B3A22C5"/>
    <w:rsid w:val="3B3AF11B"/>
    <w:rsid w:val="3B3B9501"/>
    <w:rsid w:val="3B3C4DF0"/>
    <w:rsid w:val="3B3E8892"/>
    <w:rsid w:val="3B40203D"/>
    <w:rsid w:val="3B417A53"/>
    <w:rsid w:val="3B426234"/>
    <w:rsid w:val="3B440A49"/>
    <w:rsid w:val="3B444E97"/>
    <w:rsid w:val="3B45E280"/>
    <w:rsid w:val="3B4847AA"/>
    <w:rsid w:val="3B49C86B"/>
    <w:rsid w:val="3B4D7193"/>
    <w:rsid w:val="3B4F376C"/>
    <w:rsid w:val="3B50B8B8"/>
    <w:rsid w:val="3B51CE1A"/>
    <w:rsid w:val="3B51FB87"/>
    <w:rsid w:val="3B55BDCF"/>
    <w:rsid w:val="3B5C04CD"/>
    <w:rsid w:val="3B5E312B"/>
    <w:rsid w:val="3B5F6FB1"/>
    <w:rsid w:val="3B6054C7"/>
    <w:rsid w:val="3B64A0AA"/>
    <w:rsid w:val="3B65539F"/>
    <w:rsid w:val="3B65D5B4"/>
    <w:rsid w:val="3B66F214"/>
    <w:rsid w:val="3B67364F"/>
    <w:rsid w:val="3B68E976"/>
    <w:rsid w:val="3B6C31ED"/>
    <w:rsid w:val="3B6CDB58"/>
    <w:rsid w:val="3B6D013A"/>
    <w:rsid w:val="3B71223A"/>
    <w:rsid w:val="3B7135AB"/>
    <w:rsid w:val="3B71986C"/>
    <w:rsid w:val="3B74C8A3"/>
    <w:rsid w:val="3B7783F7"/>
    <w:rsid w:val="3B784974"/>
    <w:rsid w:val="3B7BA5D5"/>
    <w:rsid w:val="3B7EA550"/>
    <w:rsid w:val="3B80C8F8"/>
    <w:rsid w:val="3B835F06"/>
    <w:rsid w:val="3B85894A"/>
    <w:rsid w:val="3B86B758"/>
    <w:rsid w:val="3B86BB23"/>
    <w:rsid w:val="3B8B93C1"/>
    <w:rsid w:val="3B8C4AB8"/>
    <w:rsid w:val="3B8C5C22"/>
    <w:rsid w:val="3B8DBFFE"/>
    <w:rsid w:val="3B8E3527"/>
    <w:rsid w:val="3B910763"/>
    <w:rsid w:val="3B93168C"/>
    <w:rsid w:val="3B93C04B"/>
    <w:rsid w:val="3B93F982"/>
    <w:rsid w:val="3B947D45"/>
    <w:rsid w:val="3B985BAC"/>
    <w:rsid w:val="3B9BB788"/>
    <w:rsid w:val="3B9F2036"/>
    <w:rsid w:val="3BA02B4B"/>
    <w:rsid w:val="3BA02C60"/>
    <w:rsid w:val="3BA34682"/>
    <w:rsid w:val="3BA3FEA4"/>
    <w:rsid w:val="3BA59E7A"/>
    <w:rsid w:val="3BA8425A"/>
    <w:rsid w:val="3BAA94C2"/>
    <w:rsid w:val="3BABDAE8"/>
    <w:rsid w:val="3BAD4509"/>
    <w:rsid w:val="3BAD46A5"/>
    <w:rsid w:val="3BAE53EA"/>
    <w:rsid w:val="3BAF082A"/>
    <w:rsid w:val="3BAFEAF5"/>
    <w:rsid w:val="3BB24224"/>
    <w:rsid w:val="3BB3AB6D"/>
    <w:rsid w:val="3BB44B80"/>
    <w:rsid w:val="3BB5641C"/>
    <w:rsid w:val="3BB722EE"/>
    <w:rsid w:val="3BB7E9B4"/>
    <w:rsid w:val="3BB89E2E"/>
    <w:rsid w:val="3BBA8BB8"/>
    <w:rsid w:val="3BBB9335"/>
    <w:rsid w:val="3BBBC4A9"/>
    <w:rsid w:val="3BBCD611"/>
    <w:rsid w:val="3BBE7A44"/>
    <w:rsid w:val="3BBEFEE5"/>
    <w:rsid w:val="3BC01FDA"/>
    <w:rsid w:val="3BC0E681"/>
    <w:rsid w:val="3BC1E1F7"/>
    <w:rsid w:val="3BC26FC3"/>
    <w:rsid w:val="3BC3ECFB"/>
    <w:rsid w:val="3BC5E2CB"/>
    <w:rsid w:val="3BC6F72C"/>
    <w:rsid w:val="3BC7212F"/>
    <w:rsid w:val="3BC79434"/>
    <w:rsid w:val="3BC8AB11"/>
    <w:rsid w:val="3BD1BD03"/>
    <w:rsid w:val="3BD2A0E4"/>
    <w:rsid w:val="3BD5E1D6"/>
    <w:rsid w:val="3BD6554A"/>
    <w:rsid w:val="3BD6E9A5"/>
    <w:rsid w:val="3BD86697"/>
    <w:rsid w:val="3BDA4063"/>
    <w:rsid w:val="3BDB2340"/>
    <w:rsid w:val="3BDBBF07"/>
    <w:rsid w:val="3BDC1715"/>
    <w:rsid w:val="3BDC9B84"/>
    <w:rsid w:val="3BE0F92E"/>
    <w:rsid w:val="3BE1AA35"/>
    <w:rsid w:val="3BE68753"/>
    <w:rsid w:val="3BEA9087"/>
    <w:rsid w:val="3BEAB240"/>
    <w:rsid w:val="3BEBFF6B"/>
    <w:rsid w:val="3BEC3B72"/>
    <w:rsid w:val="3BED0810"/>
    <w:rsid w:val="3BF05B98"/>
    <w:rsid w:val="3BF29573"/>
    <w:rsid w:val="3BF353F7"/>
    <w:rsid w:val="3BF3A42D"/>
    <w:rsid w:val="3BF3D281"/>
    <w:rsid w:val="3BF54949"/>
    <w:rsid w:val="3BF8D36C"/>
    <w:rsid w:val="3BF8ED13"/>
    <w:rsid w:val="3BF92FAB"/>
    <w:rsid w:val="3BF9FE22"/>
    <w:rsid w:val="3BFC5821"/>
    <w:rsid w:val="3BFC65FE"/>
    <w:rsid w:val="3BFE612C"/>
    <w:rsid w:val="3BFFF2A8"/>
    <w:rsid w:val="3C0081D7"/>
    <w:rsid w:val="3C009D2E"/>
    <w:rsid w:val="3C01A021"/>
    <w:rsid w:val="3C023DF4"/>
    <w:rsid w:val="3C0422FE"/>
    <w:rsid w:val="3C051D02"/>
    <w:rsid w:val="3C051DEC"/>
    <w:rsid w:val="3C06903B"/>
    <w:rsid w:val="3C06BDCE"/>
    <w:rsid w:val="3C0B06CA"/>
    <w:rsid w:val="3C106ACF"/>
    <w:rsid w:val="3C11F202"/>
    <w:rsid w:val="3C154762"/>
    <w:rsid w:val="3C1781D0"/>
    <w:rsid w:val="3C197D9A"/>
    <w:rsid w:val="3C1C9FB9"/>
    <w:rsid w:val="3C1F2AF3"/>
    <w:rsid w:val="3C1F7221"/>
    <w:rsid w:val="3C204B89"/>
    <w:rsid w:val="3C205FA3"/>
    <w:rsid w:val="3C232406"/>
    <w:rsid w:val="3C2378D9"/>
    <w:rsid w:val="3C2A3C23"/>
    <w:rsid w:val="3C304F74"/>
    <w:rsid w:val="3C3181CF"/>
    <w:rsid w:val="3C339914"/>
    <w:rsid w:val="3C344B45"/>
    <w:rsid w:val="3C34E1B9"/>
    <w:rsid w:val="3C350C76"/>
    <w:rsid w:val="3C39476F"/>
    <w:rsid w:val="3C3BFA70"/>
    <w:rsid w:val="3C3FDE74"/>
    <w:rsid w:val="3C4099C6"/>
    <w:rsid w:val="3C423D87"/>
    <w:rsid w:val="3C449DB0"/>
    <w:rsid w:val="3C45D658"/>
    <w:rsid w:val="3C460EA2"/>
    <w:rsid w:val="3C468CDC"/>
    <w:rsid w:val="3C4735CA"/>
    <w:rsid w:val="3C4A437E"/>
    <w:rsid w:val="3C4BD2B5"/>
    <w:rsid w:val="3C4C01B4"/>
    <w:rsid w:val="3C4CD982"/>
    <w:rsid w:val="3C4D3FFF"/>
    <w:rsid w:val="3C4DAD99"/>
    <w:rsid w:val="3C4FCBA7"/>
    <w:rsid w:val="3C5067EB"/>
    <w:rsid w:val="3C52933E"/>
    <w:rsid w:val="3C52981A"/>
    <w:rsid w:val="3C52E22D"/>
    <w:rsid w:val="3C5343A8"/>
    <w:rsid w:val="3C54DD74"/>
    <w:rsid w:val="3C552F3E"/>
    <w:rsid w:val="3C565CC1"/>
    <w:rsid w:val="3C565E9C"/>
    <w:rsid w:val="3C57F12C"/>
    <w:rsid w:val="3C58D563"/>
    <w:rsid w:val="3C58DF20"/>
    <w:rsid w:val="3C58E029"/>
    <w:rsid w:val="3C5B369A"/>
    <w:rsid w:val="3C5B84A3"/>
    <w:rsid w:val="3C5D7017"/>
    <w:rsid w:val="3C5DEEE2"/>
    <w:rsid w:val="3C627E18"/>
    <w:rsid w:val="3C638ECD"/>
    <w:rsid w:val="3C65773B"/>
    <w:rsid w:val="3C66B812"/>
    <w:rsid w:val="3C69CBC9"/>
    <w:rsid w:val="3C6C24E6"/>
    <w:rsid w:val="3C7278DE"/>
    <w:rsid w:val="3C739D80"/>
    <w:rsid w:val="3C73D023"/>
    <w:rsid w:val="3C743BE8"/>
    <w:rsid w:val="3C74BC35"/>
    <w:rsid w:val="3C74F7CF"/>
    <w:rsid w:val="3C75A6D3"/>
    <w:rsid w:val="3C75CE9E"/>
    <w:rsid w:val="3C75EC2F"/>
    <w:rsid w:val="3C796352"/>
    <w:rsid w:val="3C7A9882"/>
    <w:rsid w:val="3C7AB12E"/>
    <w:rsid w:val="3C7B6345"/>
    <w:rsid w:val="3C7D8531"/>
    <w:rsid w:val="3C7E035A"/>
    <w:rsid w:val="3C80F869"/>
    <w:rsid w:val="3C83F375"/>
    <w:rsid w:val="3C843E69"/>
    <w:rsid w:val="3C84B12A"/>
    <w:rsid w:val="3C84FC49"/>
    <w:rsid w:val="3C85C72B"/>
    <w:rsid w:val="3C86C8E9"/>
    <w:rsid w:val="3C881E20"/>
    <w:rsid w:val="3C8970E9"/>
    <w:rsid w:val="3C8B72C1"/>
    <w:rsid w:val="3C8D6104"/>
    <w:rsid w:val="3C8DA462"/>
    <w:rsid w:val="3C8EFB9E"/>
    <w:rsid w:val="3C912F9F"/>
    <w:rsid w:val="3C91E355"/>
    <w:rsid w:val="3C95602D"/>
    <w:rsid w:val="3C9579A2"/>
    <w:rsid w:val="3C96EE42"/>
    <w:rsid w:val="3C9C441C"/>
    <w:rsid w:val="3C9F0CDB"/>
    <w:rsid w:val="3CA073A2"/>
    <w:rsid w:val="3CA0C6A4"/>
    <w:rsid w:val="3CA16F5D"/>
    <w:rsid w:val="3CA37A01"/>
    <w:rsid w:val="3CA73D66"/>
    <w:rsid w:val="3CAA2989"/>
    <w:rsid w:val="3CAC2944"/>
    <w:rsid w:val="3CACE88B"/>
    <w:rsid w:val="3CAF372F"/>
    <w:rsid w:val="3CB07F29"/>
    <w:rsid w:val="3CB2E193"/>
    <w:rsid w:val="3CB346E0"/>
    <w:rsid w:val="3CB3E37A"/>
    <w:rsid w:val="3CB41B58"/>
    <w:rsid w:val="3CB49EE2"/>
    <w:rsid w:val="3CB6BDA8"/>
    <w:rsid w:val="3CB6D10E"/>
    <w:rsid w:val="3CB7EDD4"/>
    <w:rsid w:val="3CB92071"/>
    <w:rsid w:val="3CBBBF1B"/>
    <w:rsid w:val="3CBC3A71"/>
    <w:rsid w:val="3CBD2BFD"/>
    <w:rsid w:val="3CBDBD4D"/>
    <w:rsid w:val="3CBDDB31"/>
    <w:rsid w:val="3CBE2343"/>
    <w:rsid w:val="3CC411BC"/>
    <w:rsid w:val="3CC504F6"/>
    <w:rsid w:val="3CC5AD2C"/>
    <w:rsid w:val="3CC74E22"/>
    <w:rsid w:val="3CC9B07D"/>
    <w:rsid w:val="3CC9DC1B"/>
    <w:rsid w:val="3CCA2E85"/>
    <w:rsid w:val="3CCE41E7"/>
    <w:rsid w:val="3CCEC7BE"/>
    <w:rsid w:val="3CD557C1"/>
    <w:rsid w:val="3CD8E6EF"/>
    <w:rsid w:val="3CD9C2B2"/>
    <w:rsid w:val="3CDA76C3"/>
    <w:rsid w:val="3CDA8606"/>
    <w:rsid w:val="3CDB5F77"/>
    <w:rsid w:val="3CDBA3A9"/>
    <w:rsid w:val="3CDCA078"/>
    <w:rsid w:val="3CDD341B"/>
    <w:rsid w:val="3CDDF191"/>
    <w:rsid w:val="3CE0AA3C"/>
    <w:rsid w:val="3CE17374"/>
    <w:rsid w:val="3CE20F37"/>
    <w:rsid w:val="3CE29642"/>
    <w:rsid w:val="3CE4C5D0"/>
    <w:rsid w:val="3CE51F6D"/>
    <w:rsid w:val="3CE569BF"/>
    <w:rsid w:val="3CE63016"/>
    <w:rsid w:val="3CEAC59E"/>
    <w:rsid w:val="3CEC4D1E"/>
    <w:rsid w:val="3CEC9881"/>
    <w:rsid w:val="3CEDE729"/>
    <w:rsid w:val="3CEE6B2D"/>
    <w:rsid w:val="3CEFBFFC"/>
    <w:rsid w:val="3CF32A48"/>
    <w:rsid w:val="3CF3B857"/>
    <w:rsid w:val="3CF52C32"/>
    <w:rsid w:val="3CF8A35B"/>
    <w:rsid w:val="3CF8A47A"/>
    <w:rsid w:val="3CFBDD65"/>
    <w:rsid w:val="3CFD2EB2"/>
    <w:rsid w:val="3CFF92B9"/>
    <w:rsid w:val="3CFF9A62"/>
    <w:rsid w:val="3D004F1A"/>
    <w:rsid w:val="3D00773B"/>
    <w:rsid w:val="3D00889B"/>
    <w:rsid w:val="3D00A27E"/>
    <w:rsid w:val="3D019245"/>
    <w:rsid w:val="3D044D80"/>
    <w:rsid w:val="3D066485"/>
    <w:rsid w:val="3D0B9F55"/>
    <w:rsid w:val="3D0BF76E"/>
    <w:rsid w:val="3D0C361E"/>
    <w:rsid w:val="3D0C9698"/>
    <w:rsid w:val="3D0CFA2B"/>
    <w:rsid w:val="3D0DBF18"/>
    <w:rsid w:val="3D0E3D3F"/>
    <w:rsid w:val="3D0EC7B8"/>
    <w:rsid w:val="3D0F84B3"/>
    <w:rsid w:val="3D12AC87"/>
    <w:rsid w:val="3D13BA91"/>
    <w:rsid w:val="3D160D7A"/>
    <w:rsid w:val="3D188F34"/>
    <w:rsid w:val="3D18CD19"/>
    <w:rsid w:val="3D19C75E"/>
    <w:rsid w:val="3D19DECD"/>
    <w:rsid w:val="3D1B82BF"/>
    <w:rsid w:val="3D223F18"/>
    <w:rsid w:val="3D2275AB"/>
    <w:rsid w:val="3D2490A8"/>
    <w:rsid w:val="3D26139B"/>
    <w:rsid w:val="3D267125"/>
    <w:rsid w:val="3D29D4E0"/>
    <w:rsid w:val="3D2A1571"/>
    <w:rsid w:val="3D2A676C"/>
    <w:rsid w:val="3D2B3475"/>
    <w:rsid w:val="3D2C7A1E"/>
    <w:rsid w:val="3D2F6D4C"/>
    <w:rsid w:val="3D2FD44D"/>
    <w:rsid w:val="3D302A77"/>
    <w:rsid w:val="3D329717"/>
    <w:rsid w:val="3D34C568"/>
    <w:rsid w:val="3D359824"/>
    <w:rsid w:val="3D35F018"/>
    <w:rsid w:val="3D361243"/>
    <w:rsid w:val="3D368BF2"/>
    <w:rsid w:val="3D38A3FE"/>
    <w:rsid w:val="3D3A808E"/>
    <w:rsid w:val="3D3B0439"/>
    <w:rsid w:val="3D3DC125"/>
    <w:rsid w:val="3D3DD461"/>
    <w:rsid w:val="3D3E9418"/>
    <w:rsid w:val="3D3F5258"/>
    <w:rsid w:val="3D4230A0"/>
    <w:rsid w:val="3D427F05"/>
    <w:rsid w:val="3D4373B8"/>
    <w:rsid w:val="3D43B38C"/>
    <w:rsid w:val="3D453CD3"/>
    <w:rsid w:val="3D45C3AA"/>
    <w:rsid w:val="3D4BAB48"/>
    <w:rsid w:val="3D4D1639"/>
    <w:rsid w:val="3D4F2AAB"/>
    <w:rsid w:val="3D4F8043"/>
    <w:rsid w:val="3D50D806"/>
    <w:rsid w:val="3D5477AB"/>
    <w:rsid w:val="3D575369"/>
    <w:rsid w:val="3D5BCABC"/>
    <w:rsid w:val="3D5C0C4E"/>
    <w:rsid w:val="3D610650"/>
    <w:rsid w:val="3D62A1B2"/>
    <w:rsid w:val="3D634291"/>
    <w:rsid w:val="3D63D95C"/>
    <w:rsid w:val="3D65B62C"/>
    <w:rsid w:val="3D66A8E9"/>
    <w:rsid w:val="3D684A3F"/>
    <w:rsid w:val="3D68F5C8"/>
    <w:rsid w:val="3D699C4A"/>
    <w:rsid w:val="3D6DB949"/>
    <w:rsid w:val="3D745121"/>
    <w:rsid w:val="3D74A1C7"/>
    <w:rsid w:val="3D778655"/>
    <w:rsid w:val="3D79EF64"/>
    <w:rsid w:val="3D7CAD08"/>
    <w:rsid w:val="3D7D6ACD"/>
    <w:rsid w:val="3D7F37A3"/>
    <w:rsid w:val="3D7F704D"/>
    <w:rsid w:val="3D80F3D9"/>
    <w:rsid w:val="3D84D683"/>
    <w:rsid w:val="3D89A2BD"/>
    <w:rsid w:val="3D8B0B67"/>
    <w:rsid w:val="3D8B7722"/>
    <w:rsid w:val="3D8C0028"/>
    <w:rsid w:val="3D8D0781"/>
    <w:rsid w:val="3D929013"/>
    <w:rsid w:val="3D93B582"/>
    <w:rsid w:val="3D93FB0E"/>
    <w:rsid w:val="3D963920"/>
    <w:rsid w:val="3D969866"/>
    <w:rsid w:val="3D9904B8"/>
    <w:rsid w:val="3D99B3DB"/>
    <w:rsid w:val="3D9A0086"/>
    <w:rsid w:val="3D9C94B9"/>
    <w:rsid w:val="3D9CA8D1"/>
    <w:rsid w:val="3D9FA40C"/>
    <w:rsid w:val="3DA5EC78"/>
    <w:rsid w:val="3DA80B14"/>
    <w:rsid w:val="3DA810CB"/>
    <w:rsid w:val="3DA9FC4E"/>
    <w:rsid w:val="3DAB06A4"/>
    <w:rsid w:val="3DAB65D9"/>
    <w:rsid w:val="3DAC0F57"/>
    <w:rsid w:val="3DAD17C2"/>
    <w:rsid w:val="3DAD1B45"/>
    <w:rsid w:val="3DAD8763"/>
    <w:rsid w:val="3DB3AE7E"/>
    <w:rsid w:val="3DBA4AA0"/>
    <w:rsid w:val="3DBAE3AD"/>
    <w:rsid w:val="3DBCE4D2"/>
    <w:rsid w:val="3DBEA649"/>
    <w:rsid w:val="3DBF14F3"/>
    <w:rsid w:val="3DBF183F"/>
    <w:rsid w:val="3DC150CD"/>
    <w:rsid w:val="3DC1E653"/>
    <w:rsid w:val="3DC38754"/>
    <w:rsid w:val="3DC45313"/>
    <w:rsid w:val="3DC588D8"/>
    <w:rsid w:val="3DC5B127"/>
    <w:rsid w:val="3DC5EC7D"/>
    <w:rsid w:val="3DCA3DED"/>
    <w:rsid w:val="3DCA9213"/>
    <w:rsid w:val="3DCB232D"/>
    <w:rsid w:val="3DCC922B"/>
    <w:rsid w:val="3DCDA763"/>
    <w:rsid w:val="3DCE30CD"/>
    <w:rsid w:val="3DCE7AB9"/>
    <w:rsid w:val="3DCF4ECE"/>
    <w:rsid w:val="3DCF8A1F"/>
    <w:rsid w:val="3DCFC1C0"/>
    <w:rsid w:val="3DD2DB85"/>
    <w:rsid w:val="3DD2FCF1"/>
    <w:rsid w:val="3DD3AEA6"/>
    <w:rsid w:val="3DD51722"/>
    <w:rsid w:val="3DD6A6C8"/>
    <w:rsid w:val="3DDAAE1A"/>
    <w:rsid w:val="3DDACE20"/>
    <w:rsid w:val="3DDB50B5"/>
    <w:rsid w:val="3DE045CC"/>
    <w:rsid w:val="3DE0A53D"/>
    <w:rsid w:val="3DE2EAAF"/>
    <w:rsid w:val="3DE407D4"/>
    <w:rsid w:val="3DE4E9EB"/>
    <w:rsid w:val="3DE4FE92"/>
    <w:rsid w:val="3DE72465"/>
    <w:rsid w:val="3DEA1CA1"/>
    <w:rsid w:val="3DEA223E"/>
    <w:rsid w:val="3DEAA301"/>
    <w:rsid w:val="3DECEEB7"/>
    <w:rsid w:val="3DED887C"/>
    <w:rsid w:val="3DEDBC7B"/>
    <w:rsid w:val="3DEEDDFC"/>
    <w:rsid w:val="3DEEF611"/>
    <w:rsid w:val="3DF050B2"/>
    <w:rsid w:val="3DF305BD"/>
    <w:rsid w:val="3DF61904"/>
    <w:rsid w:val="3DF65318"/>
    <w:rsid w:val="3DF7999E"/>
    <w:rsid w:val="3DF955FC"/>
    <w:rsid w:val="3DFE2D4D"/>
    <w:rsid w:val="3DFF8724"/>
    <w:rsid w:val="3DFFBE8A"/>
    <w:rsid w:val="3DFFFD53"/>
    <w:rsid w:val="3E0026A9"/>
    <w:rsid w:val="3E01ED8E"/>
    <w:rsid w:val="3E027C29"/>
    <w:rsid w:val="3E03FB9D"/>
    <w:rsid w:val="3E041828"/>
    <w:rsid w:val="3E04A821"/>
    <w:rsid w:val="3E091D36"/>
    <w:rsid w:val="3E0E3949"/>
    <w:rsid w:val="3E0E47EC"/>
    <w:rsid w:val="3E0E8CC1"/>
    <w:rsid w:val="3E0FF14E"/>
    <w:rsid w:val="3E1002A6"/>
    <w:rsid w:val="3E10205E"/>
    <w:rsid w:val="3E104CD8"/>
    <w:rsid w:val="3E1075C1"/>
    <w:rsid w:val="3E109200"/>
    <w:rsid w:val="3E12E68C"/>
    <w:rsid w:val="3E15EFC9"/>
    <w:rsid w:val="3E169AFF"/>
    <w:rsid w:val="3E17964F"/>
    <w:rsid w:val="3E1A1560"/>
    <w:rsid w:val="3E1D1FC8"/>
    <w:rsid w:val="3E1D2230"/>
    <w:rsid w:val="3E1D5397"/>
    <w:rsid w:val="3E205C45"/>
    <w:rsid w:val="3E2108B5"/>
    <w:rsid w:val="3E2297DE"/>
    <w:rsid w:val="3E22BC37"/>
    <w:rsid w:val="3E260BC7"/>
    <w:rsid w:val="3E261FE7"/>
    <w:rsid w:val="3E284041"/>
    <w:rsid w:val="3E289C89"/>
    <w:rsid w:val="3E2DFE41"/>
    <w:rsid w:val="3E2E27D4"/>
    <w:rsid w:val="3E2EFFE7"/>
    <w:rsid w:val="3E2F8026"/>
    <w:rsid w:val="3E304842"/>
    <w:rsid w:val="3E30E69B"/>
    <w:rsid w:val="3E3494AA"/>
    <w:rsid w:val="3E34D058"/>
    <w:rsid w:val="3E35E7DF"/>
    <w:rsid w:val="3E37963B"/>
    <w:rsid w:val="3E39AAD6"/>
    <w:rsid w:val="3E3A6594"/>
    <w:rsid w:val="3E3B0A1D"/>
    <w:rsid w:val="3E3C9705"/>
    <w:rsid w:val="3E3CB92A"/>
    <w:rsid w:val="3E3E181B"/>
    <w:rsid w:val="3E407CC9"/>
    <w:rsid w:val="3E426E98"/>
    <w:rsid w:val="3E439702"/>
    <w:rsid w:val="3E43B076"/>
    <w:rsid w:val="3E44254F"/>
    <w:rsid w:val="3E44D285"/>
    <w:rsid w:val="3E468ADB"/>
    <w:rsid w:val="3E476319"/>
    <w:rsid w:val="3E4821CF"/>
    <w:rsid w:val="3E49E920"/>
    <w:rsid w:val="3E4B1309"/>
    <w:rsid w:val="3E4C1C62"/>
    <w:rsid w:val="3E4CC077"/>
    <w:rsid w:val="3E4E007D"/>
    <w:rsid w:val="3E516451"/>
    <w:rsid w:val="3E517F28"/>
    <w:rsid w:val="3E52A910"/>
    <w:rsid w:val="3E52F0FA"/>
    <w:rsid w:val="3E53B3CA"/>
    <w:rsid w:val="3E54A6C6"/>
    <w:rsid w:val="3E584B23"/>
    <w:rsid w:val="3E5A0FCA"/>
    <w:rsid w:val="3E5C5191"/>
    <w:rsid w:val="3E5C52AE"/>
    <w:rsid w:val="3E5CE511"/>
    <w:rsid w:val="3E5D8B0D"/>
    <w:rsid w:val="3E5EEB8C"/>
    <w:rsid w:val="3E5F5EC2"/>
    <w:rsid w:val="3E5FD0D6"/>
    <w:rsid w:val="3E60C44B"/>
    <w:rsid w:val="3E60D250"/>
    <w:rsid w:val="3E628DD8"/>
    <w:rsid w:val="3E671A97"/>
    <w:rsid w:val="3E6A90DA"/>
    <w:rsid w:val="3E6D6117"/>
    <w:rsid w:val="3E6DB611"/>
    <w:rsid w:val="3E6E6B13"/>
    <w:rsid w:val="3E6EA53E"/>
    <w:rsid w:val="3E6F14CE"/>
    <w:rsid w:val="3E723F30"/>
    <w:rsid w:val="3E75532D"/>
    <w:rsid w:val="3E78B933"/>
    <w:rsid w:val="3E7B0635"/>
    <w:rsid w:val="3E7B27B0"/>
    <w:rsid w:val="3E7BEF59"/>
    <w:rsid w:val="3E7D8A32"/>
    <w:rsid w:val="3E7E8D3B"/>
    <w:rsid w:val="3E8280DC"/>
    <w:rsid w:val="3E82AE48"/>
    <w:rsid w:val="3E8303EA"/>
    <w:rsid w:val="3E836A87"/>
    <w:rsid w:val="3E851596"/>
    <w:rsid w:val="3E8517F1"/>
    <w:rsid w:val="3E852577"/>
    <w:rsid w:val="3E879FF3"/>
    <w:rsid w:val="3E87B5FE"/>
    <w:rsid w:val="3E8D3508"/>
    <w:rsid w:val="3E8DF22C"/>
    <w:rsid w:val="3E8F443A"/>
    <w:rsid w:val="3E8FA83B"/>
    <w:rsid w:val="3E8FC7C2"/>
    <w:rsid w:val="3E908159"/>
    <w:rsid w:val="3E90B53A"/>
    <w:rsid w:val="3E91C393"/>
    <w:rsid w:val="3E925D26"/>
    <w:rsid w:val="3E955239"/>
    <w:rsid w:val="3E9B518A"/>
    <w:rsid w:val="3E9DD40B"/>
    <w:rsid w:val="3E9F8D53"/>
    <w:rsid w:val="3EA2A824"/>
    <w:rsid w:val="3EA3E9E3"/>
    <w:rsid w:val="3EA51631"/>
    <w:rsid w:val="3EA5B6B5"/>
    <w:rsid w:val="3EA7C019"/>
    <w:rsid w:val="3EA9003A"/>
    <w:rsid w:val="3EABD188"/>
    <w:rsid w:val="3EAC2737"/>
    <w:rsid w:val="3EACE802"/>
    <w:rsid w:val="3EAD727D"/>
    <w:rsid w:val="3EB032F6"/>
    <w:rsid w:val="3EB1A6CE"/>
    <w:rsid w:val="3EB2DDBA"/>
    <w:rsid w:val="3EB537A8"/>
    <w:rsid w:val="3EB611B4"/>
    <w:rsid w:val="3EB7C2CA"/>
    <w:rsid w:val="3EB915A0"/>
    <w:rsid w:val="3EB92EC8"/>
    <w:rsid w:val="3EBAB516"/>
    <w:rsid w:val="3EBACD18"/>
    <w:rsid w:val="3EBBE892"/>
    <w:rsid w:val="3EBD47DC"/>
    <w:rsid w:val="3EBE2FB0"/>
    <w:rsid w:val="3EC2AE54"/>
    <w:rsid w:val="3EC41F39"/>
    <w:rsid w:val="3EC45047"/>
    <w:rsid w:val="3EC45A3B"/>
    <w:rsid w:val="3EC45C95"/>
    <w:rsid w:val="3EC53331"/>
    <w:rsid w:val="3EC8FB72"/>
    <w:rsid w:val="3EC8FC18"/>
    <w:rsid w:val="3ECC4EC8"/>
    <w:rsid w:val="3ECC5DA6"/>
    <w:rsid w:val="3ECCBC83"/>
    <w:rsid w:val="3ED07471"/>
    <w:rsid w:val="3ED16885"/>
    <w:rsid w:val="3ED4BB87"/>
    <w:rsid w:val="3ED4F376"/>
    <w:rsid w:val="3ED743D9"/>
    <w:rsid w:val="3ED78B26"/>
    <w:rsid w:val="3ED9D695"/>
    <w:rsid w:val="3EDA04CF"/>
    <w:rsid w:val="3EDB1F2B"/>
    <w:rsid w:val="3EDC1093"/>
    <w:rsid w:val="3EDC3F45"/>
    <w:rsid w:val="3EDE5EDA"/>
    <w:rsid w:val="3EDF9C02"/>
    <w:rsid w:val="3EDF9EC9"/>
    <w:rsid w:val="3EE17DA2"/>
    <w:rsid w:val="3EE29F08"/>
    <w:rsid w:val="3EE31D94"/>
    <w:rsid w:val="3EE38B6E"/>
    <w:rsid w:val="3EE42193"/>
    <w:rsid w:val="3EE42277"/>
    <w:rsid w:val="3EE684B3"/>
    <w:rsid w:val="3EE6B7BE"/>
    <w:rsid w:val="3EE71723"/>
    <w:rsid w:val="3EE79029"/>
    <w:rsid w:val="3EE7BDAB"/>
    <w:rsid w:val="3EE9B029"/>
    <w:rsid w:val="3EEC2212"/>
    <w:rsid w:val="3EEC7512"/>
    <w:rsid w:val="3EED3741"/>
    <w:rsid w:val="3EEE609E"/>
    <w:rsid w:val="3EEE7B6B"/>
    <w:rsid w:val="3EF0D875"/>
    <w:rsid w:val="3EF1960C"/>
    <w:rsid w:val="3EF1A7B4"/>
    <w:rsid w:val="3EF2EEE5"/>
    <w:rsid w:val="3EF3042F"/>
    <w:rsid w:val="3EF4E630"/>
    <w:rsid w:val="3EF5AD34"/>
    <w:rsid w:val="3EF69556"/>
    <w:rsid w:val="3EFA7B6E"/>
    <w:rsid w:val="3EFC8089"/>
    <w:rsid w:val="3EFDCB69"/>
    <w:rsid w:val="3EFFE3A9"/>
    <w:rsid w:val="3F010A85"/>
    <w:rsid w:val="3F04C634"/>
    <w:rsid w:val="3F059038"/>
    <w:rsid w:val="3F05C003"/>
    <w:rsid w:val="3F077C75"/>
    <w:rsid w:val="3F08C0A5"/>
    <w:rsid w:val="3F09EBE5"/>
    <w:rsid w:val="3F0A7F70"/>
    <w:rsid w:val="3F0C0D8E"/>
    <w:rsid w:val="3F0C1529"/>
    <w:rsid w:val="3F0F943D"/>
    <w:rsid w:val="3F1062FB"/>
    <w:rsid w:val="3F11AE7E"/>
    <w:rsid w:val="3F12637A"/>
    <w:rsid w:val="3F12E579"/>
    <w:rsid w:val="3F1374E6"/>
    <w:rsid w:val="3F142884"/>
    <w:rsid w:val="3F14C7A2"/>
    <w:rsid w:val="3F158CEC"/>
    <w:rsid w:val="3F16BAA0"/>
    <w:rsid w:val="3F1706C6"/>
    <w:rsid w:val="3F181F78"/>
    <w:rsid w:val="3F1B436A"/>
    <w:rsid w:val="3F1B9267"/>
    <w:rsid w:val="3F1BD667"/>
    <w:rsid w:val="3F1C75F8"/>
    <w:rsid w:val="3F1F73BB"/>
    <w:rsid w:val="3F1F8400"/>
    <w:rsid w:val="3F1F906A"/>
    <w:rsid w:val="3F2000AB"/>
    <w:rsid w:val="3F20BCE1"/>
    <w:rsid w:val="3F234129"/>
    <w:rsid w:val="3F2377F7"/>
    <w:rsid w:val="3F25F1F2"/>
    <w:rsid w:val="3F26F7FB"/>
    <w:rsid w:val="3F2A96A4"/>
    <w:rsid w:val="3F2AA934"/>
    <w:rsid w:val="3F2BF92A"/>
    <w:rsid w:val="3F2F4C3A"/>
    <w:rsid w:val="3F300412"/>
    <w:rsid w:val="3F325E43"/>
    <w:rsid w:val="3F32748B"/>
    <w:rsid w:val="3F33723C"/>
    <w:rsid w:val="3F34C66E"/>
    <w:rsid w:val="3F34E6DF"/>
    <w:rsid w:val="3F35615D"/>
    <w:rsid w:val="3F38651A"/>
    <w:rsid w:val="3F3B88B2"/>
    <w:rsid w:val="3F3C4975"/>
    <w:rsid w:val="3F3EACD7"/>
    <w:rsid w:val="3F3FAEF9"/>
    <w:rsid w:val="3F406406"/>
    <w:rsid w:val="3F426C2C"/>
    <w:rsid w:val="3F42778C"/>
    <w:rsid w:val="3F4385E1"/>
    <w:rsid w:val="3F449719"/>
    <w:rsid w:val="3F45D890"/>
    <w:rsid w:val="3F46829F"/>
    <w:rsid w:val="3F481A32"/>
    <w:rsid w:val="3F48B050"/>
    <w:rsid w:val="3F4BF372"/>
    <w:rsid w:val="3F4F7AF3"/>
    <w:rsid w:val="3F50659C"/>
    <w:rsid w:val="3F516124"/>
    <w:rsid w:val="3F516FE4"/>
    <w:rsid w:val="3F54CD1B"/>
    <w:rsid w:val="3F55F670"/>
    <w:rsid w:val="3F57CAEE"/>
    <w:rsid w:val="3F591AF1"/>
    <w:rsid w:val="3F5AB2C1"/>
    <w:rsid w:val="3F5CA15E"/>
    <w:rsid w:val="3F5CB2A0"/>
    <w:rsid w:val="3F5D1F82"/>
    <w:rsid w:val="3F5EAA55"/>
    <w:rsid w:val="3F5F4494"/>
    <w:rsid w:val="3F6229BA"/>
    <w:rsid w:val="3F62B78A"/>
    <w:rsid w:val="3F639485"/>
    <w:rsid w:val="3F672AD4"/>
    <w:rsid w:val="3F67A611"/>
    <w:rsid w:val="3F67DC3D"/>
    <w:rsid w:val="3F68628C"/>
    <w:rsid w:val="3F694BEB"/>
    <w:rsid w:val="3F6FCBEF"/>
    <w:rsid w:val="3F707C00"/>
    <w:rsid w:val="3F708E58"/>
    <w:rsid w:val="3F7169BA"/>
    <w:rsid w:val="3F72B565"/>
    <w:rsid w:val="3F72CE27"/>
    <w:rsid w:val="3F759708"/>
    <w:rsid w:val="3F75FEB5"/>
    <w:rsid w:val="3F7790CA"/>
    <w:rsid w:val="3F79B8C0"/>
    <w:rsid w:val="3F7A4915"/>
    <w:rsid w:val="3F7A7386"/>
    <w:rsid w:val="3F7A739B"/>
    <w:rsid w:val="3F7A7780"/>
    <w:rsid w:val="3F7AF1B9"/>
    <w:rsid w:val="3F7D634B"/>
    <w:rsid w:val="3F7D9200"/>
    <w:rsid w:val="3F7DA847"/>
    <w:rsid w:val="3F7F79F0"/>
    <w:rsid w:val="3F7FC05E"/>
    <w:rsid w:val="3F8234B9"/>
    <w:rsid w:val="3F827190"/>
    <w:rsid w:val="3F857E73"/>
    <w:rsid w:val="3F86339C"/>
    <w:rsid w:val="3F8688F3"/>
    <w:rsid w:val="3F8812CC"/>
    <w:rsid w:val="3F8D2A9D"/>
    <w:rsid w:val="3F90E20A"/>
    <w:rsid w:val="3F92FBA2"/>
    <w:rsid w:val="3F93F7F2"/>
    <w:rsid w:val="3F949CE1"/>
    <w:rsid w:val="3F95C052"/>
    <w:rsid w:val="3F96B708"/>
    <w:rsid w:val="3F97B2CB"/>
    <w:rsid w:val="3F98DD37"/>
    <w:rsid w:val="3F9AA06A"/>
    <w:rsid w:val="3F9C90E0"/>
    <w:rsid w:val="3F9E7C08"/>
    <w:rsid w:val="3F9E8CE4"/>
    <w:rsid w:val="3F9E8E93"/>
    <w:rsid w:val="3FA091BB"/>
    <w:rsid w:val="3FA11014"/>
    <w:rsid w:val="3FA23D9C"/>
    <w:rsid w:val="3FA4D145"/>
    <w:rsid w:val="3FA4F030"/>
    <w:rsid w:val="3FA52E82"/>
    <w:rsid w:val="3FA5FDD3"/>
    <w:rsid w:val="3FA6DD76"/>
    <w:rsid w:val="3FAA5DE3"/>
    <w:rsid w:val="3FABDBF9"/>
    <w:rsid w:val="3FAD5647"/>
    <w:rsid w:val="3FAD6945"/>
    <w:rsid w:val="3FB0A9E6"/>
    <w:rsid w:val="3FB175BE"/>
    <w:rsid w:val="3FB26653"/>
    <w:rsid w:val="3FB27299"/>
    <w:rsid w:val="3FB3356C"/>
    <w:rsid w:val="3FB6E2B9"/>
    <w:rsid w:val="3FB907DB"/>
    <w:rsid w:val="3FB9AA3D"/>
    <w:rsid w:val="3FB9C7CF"/>
    <w:rsid w:val="3FBEC251"/>
    <w:rsid w:val="3FC23605"/>
    <w:rsid w:val="3FC43139"/>
    <w:rsid w:val="3FC5CA59"/>
    <w:rsid w:val="3FC6ADE6"/>
    <w:rsid w:val="3FC819B9"/>
    <w:rsid w:val="3FC9EC5F"/>
    <w:rsid w:val="3FCC423E"/>
    <w:rsid w:val="3FCCA196"/>
    <w:rsid w:val="3FCCF7FE"/>
    <w:rsid w:val="3FCF4DF7"/>
    <w:rsid w:val="3FD00C19"/>
    <w:rsid w:val="3FD31EB6"/>
    <w:rsid w:val="3FD36287"/>
    <w:rsid w:val="3FD4CD43"/>
    <w:rsid w:val="3FD50484"/>
    <w:rsid w:val="3FD559FA"/>
    <w:rsid w:val="3FD6CEA6"/>
    <w:rsid w:val="3FD731FE"/>
    <w:rsid w:val="3FD7C516"/>
    <w:rsid w:val="3FDB820E"/>
    <w:rsid w:val="3FDC9B6E"/>
    <w:rsid w:val="3FDD8CCD"/>
    <w:rsid w:val="3FDF2719"/>
    <w:rsid w:val="3FE08784"/>
    <w:rsid w:val="3FE22FD2"/>
    <w:rsid w:val="3FE27B2A"/>
    <w:rsid w:val="3FE2E403"/>
    <w:rsid w:val="3FE3578F"/>
    <w:rsid w:val="3FE90466"/>
    <w:rsid w:val="3FE9E2CC"/>
    <w:rsid w:val="3FEA76FF"/>
    <w:rsid w:val="3FEDE924"/>
    <w:rsid w:val="3FEFCFD5"/>
    <w:rsid w:val="3FEFE1F5"/>
    <w:rsid w:val="3FF0D894"/>
    <w:rsid w:val="3FF277CA"/>
    <w:rsid w:val="3FF39354"/>
    <w:rsid w:val="3FF3DD24"/>
    <w:rsid w:val="3FF5A1CE"/>
    <w:rsid w:val="3FF630D7"/>
    <w:rsid w:val="3FF682A1"/>
    <w:rsid w:val="3FF769E2"/>
    <w:rsid w:val="3FF84835"/>
    <w:rsid w:val="3FF87865"/>
    <w:rsid w:val="3FF93A3A"/>
    <w:rsid w:val="3FFE227A"/>
    <w:rsid w:val="3FFFDD3E"/>
    <w:rsid w:val="4001A261"/>
    <w:rsid w:val="4003AF83"/>
    <w:rsid w:val="40072E73"/>
    <w:rsid w:val="400765A8"/>
    <w:rsid w:val="400CA395"/>
    <w:rsid w:val="400D9702"/>
    <w:rsid w:val="400EB322"/>
    <w:rsid w:val="400F5FDF"/>
    <w:rsid w:val="400FA4A2"/>
    <w:rsid w:val="4013329A"/>
    <w:rsid w:val="4015D2BC"/>
    <w:rsid w:val="40175164"/>
    <w:rsid w:val="4017BFBA"/>
    <w:rsid w:val="4018AB15"/>
    <w:rsid w:val="4018DEFA"/>
    <w:rsid w:val="4019022A"/>
    <w:rsid w:val="401CA7E1"/>
    <w:rsid w:val="401CB63A"/>
    <w:rsid w:val="401CB8D7"/>
    <w:rsid w:val="4020C114"/>
    <w:rsid w:val="4020F8AA"/>
    <w:rsid w:val="40216BD3"/>
    <w:rsid w:val="4022CE46"/>
    <w:rsid w:val="40256235"/>
    <w:rsid w:val="4026A937"/>
    <w:rsid w:val="40283D69"/>
    <w:rsid w:val="402B7E71"/>
    <w:rsid w:val="402B94E3"/>
    <w:rsid w:val="402C108F"/>
    <w:rsid w:val="402C47D5"/>
    <w:rsid w:val="402DE041"/>
    <w:rsid w:val="402F75F0"/>
    <w:rsid w:val="40324C72"/>
    <w:rsid w:val="4033A721"/>
    <w:rsid w:val="4039EB49"/>
    <w:rsid w:val="403B6B43"/>
    <w:rsid w:val="403B8AEA"/>
    <w:rsid w:val="403C316E"/>
    <w:rsid w:val="403CF95C"/>
    <w:rsid w:val="403DCA28"/>
    <w:rsid w:val="403ED48C"/>
    <w:rsid w:val="40428A01"/>
    <w:rsid w:val="40433DF5"/>
    <w:rsid w:val="40449516"/>
    <w:rsid w:val="40454653"/>
    <w:rsid w:val="4046AB12"/>
    <w:rsid w:val="4046E1FA"/>
    <w:rsid w:val="4048A2E2"/>
    <w:rsid w:val="404AB61D"/>
    <w:rsid w:val="404B6553"/>
    <w:rsid w:val="404BAF40"/>
    <w:rsid w:val="404CD55D"/>
    <w:rsid w:val="404FAF3B"/>
    <w:rsid w:val="4050D244"/>
    <w:rsid w:val="4050D670"/>
    <w:rsid w:val="40571BE8"/>
    <w:rsid w:val="4057E5CE"/>
    <w:rsid w:val="40583B18"/>
    <w:rsid w:val="4059530F"/>
    <w:rsid w:val="405C93CB"/>
    <w:rsid w:val="405F2B91"/>
    <w:rsid w:val="406334D9"/>
    <w:rsid w:val="40637548"/>
    <w:rsid w:val="4063DC12"/>
    <w:rsid w:val="4064F847"/>
    <w:rsid w:val="40653201"/>
    <w:rsid w:val="4066DEB7"/>
    <w:rsid w:val="40675D4F"/>
    <w:rsid w:val="4068100B"/>
    <w:rsid w:val="4068B758"/>
    <w:rsid w:val="4069A6B8"/>
    <w:rsid w:val="4069AAA1"/>
    <w:rsid w:val="4069E2B9"/>
    <w:rsid w:val="406AC671"/>
    <w:rsid w:val="406FA0D3"/>
    <w:rsid w:val="406FFF73"/>
    <w:rsid w:val="4070D319"/>
    <w:rsid w:val="4073533D"/>
    <w:rsid w:val="4074AC73"/>
    <w:rsid w:val="40767AEC"/>
    <w:rsid w:val="40772489"/>
    <w:rsid w:val="4079BE23"/>
    <w:rsid w:val="407A1829"/>
    <w:rsid w:val="407C4D0B"/>
    <w:rsid w:val="407E3758"/>
    <w:rsid w:val="40801423"/>
    <w:rsid w:val="4081BFBD"/>
    <w:rsid w:val="4081DF03"/>
    <w:rsid w:val="40879A94"/>
    <w:rsid w:val="40885E9E"/>
    <w:rsid w:val="4088BDEC"/>
    <w:rsid w:val="408A925D"/>
    <w:rsid w:val="408AB863"/>
    <w:rsid w:val="408B50F6"/>
    <w:rsid w:val="408C4836"/>
    <w:rsid w:val="408DA8B3"/>
    <w:rsid w:val="408E8352"/>
    <w:rsid w:val="408F32F8"/>
    <w:rsid w:val="40908D0E"/>
    <w:rsid w:val="409250F4"/>
    <w:rsid w:val="409409B1"/>
    <w:rsid w:val="40983002"/>
    <w:rsid w:val="4099FAB7"/>
    <w:rsid w:val="409E1BBE"/>
    <w:rsid w:val="409E2D7E"/>
    <w:rsid w:val="409F0D09"/>
    <w:rsid w:val="409F9469"/>
    <w:rsid w:val="409FBE01"/>
    <w:rsid w:val="40A056C3"/>
    <w:rsid w:val="40A093F2"/>
    <w:rsid w:val="40A480AB"/>
    <w:rsid w:val="40A4B8C4"/>
    <w:rsid w:val="40A6B462"/>
    <w:rsid w:val="40A73A9E"/>
    <w:rsid w:val="40A7B5E0"/>
    <w:rsid w:val="40A7C607"/>
    <w:rsid w:val="40A7F019"/>
    <w:rsid w:val="40AD1C8D"/>
    <w:rsid w:val="40ADC034"/>
    <w:rsid w:val="40ADFF30"/>
    <w:rsid w:val="40AE191E"/>
    <w:rsid w:val="40AFBD80"/>
    <w:rsid w:val="40AFF205"/>
    <w:rsid w:val="40B19026"/>
    <w:rsid w:val="40B2A184"/>
    <w:rsid w:val="40B4714F"/>
    <w:rsid w:val="40B47694"/>
    <w:rsid w:val="40B55898"/>
    <w:rsid w:val="40B6A1C5"/>
    <w:rsid w:val="40B7219C"/>
    <w:rsid w:val="40B7A6C8"/>
    <w:rsid w:val="40BB07DC"/>
    <w:rsid w:val="40BBE559"/>
    <w:rsid w:val="40BC7E79"/>
    <w:rsid w:val="40BDC92C"/>
    <w:rsid w:val="40BDD77C"/>
    <w:rsid w:val="40C0A1DF"/>
    <w:rsid w:val="40C21DE0"/>
    <w:rsid w:val="40C3E533"/>
    <w:rsid w:val="40C5BB63"/>
    <w:rsid w:val="40C5C56C"/>
    <w:rsid w:val="40C6BDA7"/>
    <w:rsid w:val="40CA5424"/>
    <w:rsid w:val="40CB652B"/>
    <w:rsid w:val="40CB7350"/>
    <w:rsid w:val="40CBD260"/>
    <w:rsid w:val="40D0FD3E"/>
    <w:rsid w:val="40D140AC"/>
    <w:rsid w:val="40D1D535"/>
    <w:rsid w:val="40D71FCA"/>
    <w:rsid w:val="40D73CC7"/>
    <w:rsid w:val="40D7FF84"/>
    <w:rsid w:val="40D9FF1C"/>
    <w:rsid w:val="40DB5035"/>
    <w:rsid w:val="40DC4A08"/>
    <w:rsid w:val="40DC70EF"/>
    <w:rsid w:val="40DDE897"/>
    <w:rsid w:val="40DF0FF1"/>
    <w:rsid w:val="40E01AA8"/>
    <w:rsid w:val="40E29065"/>
    <w:rsid w:val="40E2A829"/>
    <w:rsid w:val="40E62952"/>
    <w:rsid w:val="40E71655"/>
    <w:rsid w:val="40E7E8A7"/>
    <w:rsid w:val="40E8DB60"/>
    <w:rsid w:val="40EC35FD"/>
    <w:rsid w:val="40EFFADA"/>
    <w:rsid w:val="40F1ED57"/>
    <w:rsid w:val="40F20855"/>
    <w:rsid w:val="40F2207B"/>
    <w:rsid w:val="40F2A6BB"/>
    <w:rsid w:val="40F31C37"/>
    <w:rsid w:val="40F499D2"/>
    <w:rsid w:val="40F4B8A2"/>
    <w:rsid w:val="40F54978"/>
    <w:rsid w:val="40F5C307"/>
    <w:rsid w:val="40F74287"/>
    <w:rsid w:val="40F8B301"/>
    <w:rsid w:val="40FA4B7A"/>
    <w:rsid w:val="4100F9CD"/>
    <w:rsid w:val="410198B7"/>
    <w:rsid w:val="41022615"/>
    <w:rsid w:val="41029D4B"/>
    <w:rsid w:val="4105D942"/>
    <w:rsid w:val="410A98BD"/>
    <w:rsid w:val="410AA973"/>
    <w:rsid w:val="410BFB75"/>
    <w:rsid w:val="410C4D44"/>
    <w:rsid w:val="410C6FE3"/>
    <w:rsid w:val="410E0B30"/>
    <w:rsid w:val="4116B687"/>
    <w:rsid w:val="4117E1C7"/>
    <w:rsid w:val="41182E27"/>
    <w:rsid w:val="411B6901"/>
    <w:rsid w:val="411C3504"/>
    <w:rsid w:val="411EBBE3"/>
    <w:rsid w:val="411F3AC6"/>
    <w:rsid w:val="4122137F"/>
    <w:rsid w:val="4122B07F"/>
    <w:rsid w:val="4123FA95"/>
    <w:rsid w:val="412404D4"/>
    <w:rsid w:val="41270E96"/>
    <w:rsid w:val="412722D9"/>
    <w:rsid w:val="412B3D14"/>
    <w:rsid w:val="412B7B22"/>
    <w:rsid w:val="412C419B"/>
    <w:rsid w:val="412CC801"/>
    <w:rsid w:val="412F3A60"/>
    <w:rsid w:val="412FC443"/>
    <w:rsid w:val="412FFC17"/>
    <w:rsid w:val="41307408"/>
    <w:rsid w:val="413418F1"/>
    <w:rsid w:val="4135A586"/>
    <w:rsid w:val="413841D6"/>
    <w:rsid w:val="4139C334"/>
    <w:rsid w:val="413B3937"/>
    <w:rsid w:val="413B42A8"/>
    <w:rsid w:val="413B6832"/>
    <w:rsid w:val="413BCB2E"/>
    <w:rsid w:val="413CEA11"/>
    <w:rsid w:val="413D27EA"/>
    <w:rsid w:val="413E68AD"/>
    <w:rsid w:val="413EE74B"/>
    <w:rsid w:val="413F1C93"/>
    <w:rsid w:val="41404204"/>
    <w:rsid w:val="4140FFF1"/>
    <w:rsid w:val="414310F8"/>
    <w:rsid w:val="41450987"/>
    <w:rsid w:val="414829F2"/>
    <w:rsid w:val="414B9750"/>
    <w:rsid w:val="414D8AA6"/>
    <w:rsid w:val="414FB427"/>
    <w:rsid w:val="4150754A"/>
    <w:rsid w:val="41536CF2"/>
    <w:rsid w:val="4155C897"/>
    <w:rsid w:val="415BFB42"/>
    <w:rsid w:val="415C3B1D"/>
    <w:rsid w:val="415CA8BA"/>
    <w:rsid w:val="415CED5B"/>
    <w:rsid w:val="41604845"/>
    <w:rsid w:val="4160ADDA"/>
    <w:rsid w:val="4160DBEB"/>
    <w:rsid w:val="4161425E"/>
    <w:rsid w:val="41629363"/>
    <w:rsid w:val="4162D2DF"/>
    <w:rsid w:val="41654EB7"/>
    <w:rsid w:val="41665E21"/>
    <w:rsid w:val="4168F77D"/>
    <w:rsid w:val="416BD356"/>
    <w:rsid w:val="416F12E8"/>
    <w:rsid w:val="4174A100"/>
    <w:rsid w:val="4175A5A9"/>
    <w:rsid w:val="4178030D"/>
    <w:rsid w:val="417941A7"/>
    <w:rsid w:val="417B285E"/>
    <w:rsid w:val="417ED857"/>
    <w:rsid w:val="418099FA"/>
    <w:rsid w:val="418157F1"/>
    <w:rsid w:val="418425B8"/>
    <w:rsid w:val="41844C77"/>
    <w:rsid w:val="41896ED9"/>
    <w:rsid w:val="418A6241"/>
    <w:rsid w:val="418CCBFD"/>
    <w:rsid w:val="418D5E79"/>
    <w:rsid w:val="418EC8D5"/>
    <w:rsid w:val="41910142"/>
    <w:rsid w:val="4192E12B"/>
    <w:rsid w:val="41942054"/>
    <w:rsid w:val="41980B3C"/>
    <w:rsid w:val="41995B82"/>
    <w:rsid w:val="419B8549"/>
    <w:rsid w:val="419C3A30"/>
    <w:rsid w:val="419CB499"/>
    <w:rsid w:val="419CE5A0"/>
    <w:rsid w:val="419D83E7"/>
    <w:rsid w:val="419FB35B"/>
    <w:rsid w:val="419FFB3B"/>
    <w:rsid w:val="41A04982"/>
    <w:rsid w:val="41A50419"/>
    <w:rsid w:val="41A777AC"/>
    <w:rsid w:val="41A8E02B"/>
    <w:rsid w:val="41A966A0"/>
    <w:rsid w:val="41AA1E38"/>
    <w:rsid w:val="41AA3358"/>
    <w:rsid w:val="41AC2F0F"/>
    <w:rsid w:val="41ADDF13"/>
    <w:rsid w:val="41B27915"/>
    <w:rsid w:val="41B4EB38"/>
    <w:rsid w:val="41B50F32"/>
    <w:rsid w:val="41B5413B"/>
    <w:rsid w:val="41B8E7A6"/>
    <w:rsid w:val="41BA60B4"/>
    <w:rsid w:val="41BB71B8"/>
    <w:rsid w:val="41BC4E7E"/>
    <w:rsid w:val="41BF8B9D"/>
    <w:rsid w:val="41C1EA1F"/>
    <w:rsid w:val="41C4400C"/>
    <w:rsid w:val="41C4FEEB"/>
    <w:rsid w:val="41C6FCBF"/>
    <w:rsid w:val="41C80454"/>
    <w:rsid w:val="41C81C96"/>
    <w:rsid w:val="41C8766A"/>
    <w:rsid w:val="41CA7000"/>
    <w:rsid w:val="41CB4E96"/>
    <w:rsid w:val="41CCB445"/>
    <w:rsid w:val="41CE48F9"/>
    <w:rsid w:val="41CE9C18"/>
    <w:rsid w:val="41CEC30A"/>
    <w:rsid w:val="41CF5EC4"/>
    <w:rsid w:val="41D0D9EA"/>
    <w:rsid w:val="41D1B1D9"/>
    <w:rsid w:val="41D79277"/>
    <w:rsid w:val="41D81EDF"/>
    <w:rsid w:val="41D8206A"/>
    <w:rsid w:val="41D8EA65"/>
    <w:rsid w:val="41DF35AD"/>
    <w:rsid w:val="41DFE056"/>
    <w:rsid w:val="41E08C8B"/>
    <w:rsid w:val="41E29F45"/>
    <w:rsid w:val="41E2A4AF"/>
    <w:rsid w:val="41E4DD91"/>
    <w:rsid w:val="41EB7E5E"/>
    <w:rsid w:val="41ECB819"/>
    <w:rsid w:val="41ED7EEC"/>
    <w:rsid w:val="41EE0786"/>
    <w:rsid w:val="41EF6F4D"/>
    <w:rsid w:val="41F06221"/>
    <w:rsid w:val="41F2E9FE"/>
    <w:rsid w:val="41F36D2B"/>
    <w:rsid w:val="41F6DC82"/>
    <w:rsid w:val="41F74347"/>
    <w:rsid w:val="41F795E9"/>
    <w:rsid w:val="41F8A7CA"/>
    <w:rsid w:val="41F9C006"/>
    <w:rsid w:val="41FD5441"/>
    <w:rsid w:val="41FF3131"/>
    <w:rsid w:val="41FFBC41"/>
    <w:rsid w:val="42009D7E"/>
    <w:rsid w:val="4200B700"/>
    <w:rsid w:val="420314A4"/>
    <w:rsid w:val="4205080D"/>
    <w:rsid w:val="4206B8BC"/>
    <w:rsid w:val="4209E43F"/>
    <w:rsid w:val="420A4854"/>
    <w:rsid w:val="420B3090"/>
    <w:rsid w:val="420C7D96"/>
    <w:rsid w:val="420C92FA"/>
    <w:rsid w:val="420CC9CC"/>
    <w:rsid w:val="420CD137"/>
    <w:rsid w:val="420DC76C"/>
    <w:rsid w:val="420EE177"/>
    <w:rsid w:val="42104008"/>
    <w:rsid w:val="42105C0B"/>
    <w:rsid w:val="42109597"/>
    <w:rsid w:val="42117EB5"/>
    <w:rsid w:val="42118533"/>
    <w:rsid w:val="42150B5F"/>
    <w:rsid w:val="42162DC7"/>
    <w:rsid w:val="421774CA"/>
    <w:rsid w:val="42178613"/>
    <w:rsid w:val="421A5FE9"/>
    <w:rsid w:val="421B030F"/>
    <w:rsid w:val="421B9FA7"/>
    <w:rsid w:val="421C886B"/>
    <w:rsid w:val="421CE6C4"/>
    <w:rsid w:val="421D8594"/>
    <w:rsid w:val="42202F22"/>
    <w:rsid w:val="4220BCA2"/>
    <w:rsid w:val="422174D1"/>
    <w:rsid w:val="4223922C"/>
    <w:rsid w:val="42244605"/>
    <w:rsid w:val="4226587D"/>
    <w:rsid w:val="4227F320"/>
    <w:rsid w:val="4229F883"/>
    <w:rsid w:val="422B35FE"/>
    <w:rsid w:val="422DC5FA"/>
    <w:rsid w:val="422FEF1E"/>
    <w:rsid w:val="423112B7"/>
    <w:rsid w:val="4232B4EB"/>
    <w:rsid w:val="423366C8"/>
    <w:rsid w:val="42337EAD"/>
    <w:rsid w:val="4233D2BC"/>
    <w:rsid w:val="42349B04"/>
    <w:rsid w:val="42349F6F"/>
    <w:rsid w:val="4234C524"/>
    <w:rsid w:val="42381203"/>
    <w:rsid w:val="423999B7"/>
    <w:rsid w:val="423A714D"/>
    <w:rsid w:val="423C0A89"/>
    <w:rsid w:val="423D0678"/>
    <w:rsid w:val="423E5C01"/>
    <w:rsid w:val="4240F6D7"/>
    <w:rsid w:val="4240F6D8"/>
    <w:rsid w:val="42426F0A"/>
    <w:rsid w:val="42479EB0"/>
    <w:rsid w:val="424BA8F5"/>
    <w:rsid w:val="424E976E"/>
    <w:rsid w:val="424FDA58"/>
    <w:rsid w:val="4250B36C"/>
    <w:rsid w:val="4253576A"/>
    <w:rsid w:val="42537729"/>
    <w:rsid w:val="425460EE"/>
    <w:rsid w:val="4255AFBF"/>
    <w:rsid w:val="42591607"/>
    <w:rsid w:val="42600D19"/>
    <w:rsid w:val="426106E4"/>
    <w:rsid w:val="42614FB2"/>
    <w:rsid w:val="4261BC19"/>
    <w:rsid w:val="426388F6"/>
    <w:rsid w:val="4263EF84"/>
    <w:rsid w:val="426506A3"/>
    <w:rsid w:val="4265444C"/>
    <w:rsid w:val="4265E338"/>
    <w:rsid w:val="4266C2A8"/>
    <w:rsid w:val="42693F42"/>
    <w:rsid w:val="426B268B"/>
    <w:rsid w:val="426BD2B7"/>
    <w:rsid w:val="426CE781"/>
    <w:rsid w:val="426D49E6"/>
    <w:rsid w:val="42707364"/>
    <w:rsid w:val="4270E0FE"/>
    <w:rsid w:val="427881F9"/>
    <w:rsid w:val="427AFF12"/>
    <w:rsid w:val="427DDC30"/>
    <w:rsid w:val="42802402"/>
    <w:rsid w:val="4284750B"/>
    <w:rsid w:val="4284E075"/>
    <w:rsid w:val="42862623"/>
    <w:rsid w:val="428914BF"/>
    <w:rsid w:val="428B1910"/>
    <w:rsid w:val="428C555C"/>
    <w:rsid w:val="428C99E0"/>
    <w:rsid w:val="4290A05F"/>
    <w:rsid w:val="4290A6EB"/>
    <w:rsid w:val="4290F9BD"/>
    <w:rsid w:val="429290BB"/>
    <w:rsid w:val="4293EBA1"/>
    <w:rsid w:val="4294208D"/>
    <w:rsid w:val="4298F42A"/>
    <w:rsid w:val="4299173E"/>
    <w:rsid w:val="42994432"/>
    <w:rsid w:val="429A4051"/>
    <w:rsid w:val="429B8FD9"/>
    <w:rsid w:val="429E1764"/>
    <w:rsid w:val="429E7A90"/>
    <w:rsid w:val="429EEB3E"/>
    <w:rsid w:val="42A47E75"/>
    <w:rsid w:val="42A50277"/>
    <w:rsid w:val="42A555C9"/>
    <w:rsid w:val="42A5DBB1"/>
    <w:rsid w:val="42A5DEE8"/>
    <w:rsid w:val="42A62FB8"/>
    <w:rsid w:val="42A754A7"/>
    <w:rsid w:val="42A882E9"/>
    <w:rsid w:val="42A8E38F"/>
    <w:rsid w:val="42AA0B35"/>
    <w:rsid w:val="42AA1029"/>
    <w:rsid w:val="42AAB703"/>
    <w:rsid w:val="42ACD4A3"/>
    <w:rsid w:val="42AD6577"/>
    <w:rsid w:val="42ADDC76"/>
    <w:rsid w:val="42AE6D44"/>
    <w:rsid w:val="42B0643A"/>
    <w:rsid w:val="42B1337E"/>
    <w:rsid w:val="42B14A58"/>
    <w:rsid w:val="42B49219"/>
    <w:rsid w:val="42B59400"/>
    <w:rsid w:val="42B63EF2"/>
    <w:rsid w:val="42B7C632"/>
    <w:rsid w:val="42B7FF01"/>
    <w:rsid w:val="42B9EF18"/>
    <w:rsid w:val="42BD5057"/>
    <w:rsid w:val="42C055BA"/>
    <w:rsid w:val="42C0C263"/>
    <w:rsid w:val="42C10845"/>
    <w:rsid w:val="42C4AF6F"/>
    <w:rsid w:val="42C4B805"/>
    <w:rsid w:val="42C6DE50"/>
    <w:rsid w:val="42C973EC"/>
    <w:rsid w:val="42C9B992"/>
    <w:rsid w:val="42CD5AE5"/>
    <w:rsid w:val="42CE8C51"/>
    <w:rsid w:val="42CF2F4F"/>
    <w:rsid w:val="42D1E044"/>
    <w:rsid w:val="42D2EA9A"/>
    <w:rsid w:val="42D60B22"/>
    <w:rsid w:val="42D75D01"/>
    <w:rsid w:val="42D9060B"/>
    <w:rsid w:val="42DB34FA"/>
    <w:rsid w:val="42DC01C6"/>
    <w:rsid w:val="42DEBB2B"/>
    <w:rsid w:val="42E10AC0"/>
    <w:rsid w:val="42E14BB7"/>
    <w:rsid w:val="42E25312"/>
    <w:rsid w:val="42E653C6"/>
    <w:rsid w:val="42E65D8E"/>
    <w:rsid w:val="42E74334"/>
    <w:rsid w:val="42E994A4"/>
    <w:rsid w:val="42E9F669"/>
    <w:rsid w:val="42EA9E97"/>
    <w:rsid w:val="42EAFFB2"/>
    <w:rsid w:val="42EB38B0"/>
    <w:rsid w:val="42EFD640"/>
    <w:rsid w:val="42F0AEF5"/>
    <w:rsid w:val="42F0EDF8"/>
    <w:rsid w:val="42F1667D"/>
    <w:rsid w:val="42F213F3"/>
    <w:rsid w:val="42F2FAA4"/>
    <w:rsid w:val="42F400A7"/>
    <w:rsid w:val="42F629A3"/>
    <w:rsid w:val="42F652B8"/>
    <w:rsid w:val="42F67AE5"/>
    <w:rsid w:val="42F91F63"/>
    <w:rsid w:val="42F9E9CC"/>
    <w:rsid w:val="42FBC652"/>
    <w:rsid w:val="42FC5637"/>
    <w:rsid w:val="42FDD92C"/>
    <w:rsid w:val="42FDFE68"/>
    <w:rsid w:val="42FF444E"/>
    <w:rsid w:val="42FFD9F0"/>
    <w:rsid w:val="430017D6"/>
    <w:rsid w:val="430123ED"/>
    <w:rsid w:val="4301C41C"/>
    <w:rsid w:val="4301E15B"/>
    <w:rsid w:val="4302C71E"/>
    <w:rsid w:val="43036478"/>
    <w:rsid w:val="430490D0"/>
    <w:rsid w:val="430727B2"/>
    <w:rsid w:val="43078F03"/>
    <w:rsid w:val="430834C2"/>
    <w:rsid w:val="430A080A"/>
    <w:rsid w:val="430B1E5B"/>
    <w:rsid w:val="430B8665"/>
    <w:rsid w:val="430F948F"/>
    <w:rsid w:val="4310B164"/>
    <w:rsid w:val="43129763"/>
    <w:rsid w:val="4314C248"/>
    <w:rsid w:val="43159DBF"/>
    <w:rsid w:val="4317D98E"/>
    <w:rsid w:val="431838E5"/>
    <w:rsid w:val="4318A492"/>
    <w:rsid w:val="431980EE"/>
    <w:rsid w:val="431987D7"/>
    <w:rsid w:val="431D07E4"/>
    <w:rsid w:val="431D5D3A"/>
    <w:rsid w:val="431DA6ED"/>
    <w:rsid w:val="431F289C"/>
    <w:rsid w:val="432281CB"/>
    <w:rsid w:val="43266BE2"/>
    <w:rsid w:val="43267F26"/>
    <w:rsid w:val="4327D512"/>
    <w:rsid w:val="43280A60"/>
    <w:rsid w:val="4328A960"/>
    <w:rsid w:val="432CF000"/>
    <w:rsid w:val="432D56B9"/>
    <w:rsid w:val="432D89F3"/>
    <w:rsid w:val="43342D1D"/>
    <w:rsid w:val="4334A896"/>
    <w:rsid w:val="43365AA2"/>
    <w:rsid w:val="4337757A"/>
    <w:rsid w:val="4337BEB1"/>
    <w:rsid w:val="433877A8"/>
    <w:rsid w:val="433AE2F1"/>
    <w:rsid w:val="433C9389"/>
    <w:rsid w:val="433EEFA4"/>
    <w:rsid w:val="4340309E"/>
    <w:rsid w:val="43416693"/>
    <w:rsid w:val="434216A7"/>
    <w:rsid w:val="4345F8A9"/>
    <w:rsid w:val="434837FA"/>
    <w:rsid w:val="4349AF3E"/>
    <w:rsid w:val="4349C035"/>
    <w:rsid w:val="434AD6EA"/>
    <w:rsid w:val="434B41D2"/>
    <w:rsid w:val="434E1969"/>
    <w:rsid w:val="4352560F"/>
    <w:rsid w:val="43538A14"/>
    <w:rsid w:val="4353EAE5"/>
    <w:rsid w:val="435400E7"/>
    <w:rsid w:val="4354908B"/>
    <w:rsid w:val="435946AA"/>
    <w:rsid w:val="435A5B98"/>
    <w:rsid w:val="435BF74A"/>
    <w:rsid w:val="43644B99"/>
    <w:rsid w:val="436495AD"/>
    <w:rsid w:val="43661FFD"/>
    <w:rsid w:val="43667780"/>
    <w:rsid w:val="436B3BFC"/>
    <w:rsid w:val="436C91CC"/>
    <w:rsid w:val="436CD528"/>
    <w:rsid w:val="436D6447"/>
    <w:rsid w:val="436EDAE7"/>
    <w:rsid w:val="436FD84B"/>
    <w:rsid w:val="4371CC42"/>
    <w:rsid w:val="43722216"/>
    <w:rsid w:val="43762848"/>
    <w:rsid w:val="437A73C0"/>
    <w:rsid w:val="437C85F8"/>
    <w:rsid w:val="437CFD6D"/>
    <w:rsid w:val="43807B1E"/>
    <w:rsid w:val="43809F98"/>
    <w:rsid w:val="43834D86"/>
    <w:rsid w:val="4383D781"/>
    <w:rsid w:val="43845627"/>
    <w:rsid w:val="43876970"/>
    <w:rsid w:val="43877F2B"/>
    <w:rsid w:val="438908E2"/>
    <w:rsid w:val="4389EA93"/>
    <w:rsid w:val="438AD7E0"/>
    <w:rsid w:val="438C4474"/>
    <w:rsid w:val="438CF273"/>
    <w:rsid w:val="4390B5A1"/>
    <w:rsid w:val="4391F713"/>
    <w:rsid w:val="4392149C"/>
    <w:rsid w:val="43926C5A"/>
    <w:rsid w:val="4392D46D"/>
    <w:rsid w:val="4392E5CA"/>
    <w:rsid w:val="4394247B"/>
    <w:rsid w:val="43944B52"/>
    <w:rsid w:val="43950DE5"/>
    <w:rsid w:val="43962F02"/>
    <w:rsid w:val="43974864"/>
    <w:rsid w:val="439911FE"/>
    <w:rsid w:val="439DBDBC"/>
    <w:rsid w:val="43A05764"/>
    <w:rsid w:val="43A12857"/>
    <w:rsid w:val="43A2DEFD"/>
    <w:rsid w:val="43A3689A"/>
    <w:rsid w:val="43A5C7DE"/>
    <w:rsid w:val="43A7D4ED"/>
    <w:rsid w:val="43A8B88F"/>
    <w:rsid w:val="43A8D8A1"/>
    <w:rsid w:val="43A9E9E9"/>
    <w:rsid w:val="43ABEB85"/>
    <w:rsid w:val="43ACC6EC"/>
    <w:rsid w:val="43ACF1AA"/>
    <w:rsid w:val="43AD288E"/>
    <w:rsid w:val="43AF57EB"/>
    <w:rsid w:val="43AF70B5"/>
    <w:rsid w:val="43AFE7A2"/>
    <w:rsid w:val="43B20962"/>
    <w:rsid w:val="43B31B14"/>
    <w:rsid w:val="43B79C0D"/>
    <w:rsid w:val="43B8E569"/>
    <w:rsid w:val="43BF30D7"/>
    <w:rsid w:val="43C14B8B"/>
    <w:rsid w:val="43C20933"/>
    <w:rsid w:val="43C30C95"/>
    <w:rsid w:val="43C64E4E"/>
    <w:rsid w:val="43C67CA6"/>
    <w:rsid w:val="43C7CFB0"/>
    <w:rsid w:val="43C90ACD"/>
    <w:rsid w:val="43CB2293"/>
    <w:rsid w:val="43CB31BF"/>
    <w:rsid w:val="43CD11A9"/>
    <w:rsid w:val="43CE2C21"/>
    <w:rsid w:val="43D0A2A7"/>
    <w:rsid w:val="43D1F7C2"/>
    <w:rsid w:val="43D675CB"/>
    <w:rsid w:val="43D70FC1"/>
    <w:rsid w:val="43D72303"/>
    <w:rsid w:val="43D81D4F"/>
    <w:rsid w:val="43D9A5F3"/>
    <w:rsid w:val="43DAF049"/>
    <w:rsid w:val="43DAF9CF"/>
    <w:rsid w:val="43DC2970"/>
    <w:rsid w:val="43DD6076"/>
    <w:rsid w:val="43DDDD92"/>
    <w:rsid w:val="43DFF09F"/>
    <w:rsid w:val="43E2BF03"/>
    <w:rsid w:val="43E2FC44"/>
    <w:rsid w:val="43E6C6E8"/>
    <w:rsid w:val="43E6EFEE"/>
    <w:rsid w:val="43E7005E"/>
    <w:rsid w:val="43E891E3"/>
    <w:rsid w:val="43E8E90E"/>
    <w:rsid w:val="43E99E1F"/>
    <w:rsid w:val="43EAEBAD"/>
    <w:rsid w:val="43EB1BD4"/>
    <w:rsid w:val="43F08089"/>
    <w:rsid w:val="43F1B197"/>
    <w:rsid w:val="43F264BF"/>
    <w:rsid w:val="43F336D7"/>
    <w:rsid w:val="43F5B2C1"/>
    <w:rsid w:val="43F5D2A6"/>
    <w:rsid w:val="43F8B57E"/>
    <w:rsid w:val="43F974DE"/>
    <w:rsid w:val="43F97F4C"/>
    <w:rsid w:val="43FD34BF"/>
    <w:rsid w:val="43FEAEB0"/>
    <w:rsid w:val="4400E592"/>
    <w:rsid w:val="440281E0"/>
    <w:rsid w:val="4404218B"/>
    <w:rsid w:val="44042A94"/>
    <w:rsid w:val="44045FE8"/>
    <w:rsid w:val="44072F92"/>
    <w:rsid w:val="44078FAF"/>
    <w:rsid w:val="4408142E"/>
    <w:rsid w:val="4408F10C"/>
    <w:rsid w:val="4409F608"/>
    <w:rsid w:val="440B0C0A"/>
    <w:rsid w:val="440B378B"/>
    <w:rsid w:val="440DECAD"/>
    <w:rsid w:val="440F6861"/>
    <w:rsid w:val="440F8E56"/>
    <w:rsid w:val="440FF708"/>
    <w:rsid w:val="4410D67F"/>
    <w:rsid w:val="4411136E"/>
    <w:rsid w:val="4413B0A3"/>
    <w:rsid w:val="4413F22C"/>
    <w:rsid w:val="4414FB87"/>
    <w:rsid w:val="44164C71"/>
    <w:rsid w:val="4416A08A"/>
    <w:rsid w:val="441A350D"/>
    <w:rsid w:val="441B284E"/>
    <w:rsid w:val="441E3A85"/>
    <w:rsid w:val="44206667"/>
    <w:rsid w:val="44244589"/>
    <w:rsid w:val="4424C10F"/>
    <w:rsid w:val="4426265A"/>
    <w:rsid w:val="44264C71"/>
    <w:rsid w:val="44268EB1"/>
    <w:rsid w:val="4427A5C5"/>
    <w:rsid w:val="44283D9C"/>
    <w:rsid w:val="4428ABF7"/>
    <w:rsid w:val="44298F18"/>
    <w:rsid w:val="4429A926"/>
    <w:rsid w:val="4429E1D6"/>
    <w:rsid w:val="442C14F5"/>
    <w:rsid w:val="442D66D2"/>
    <w:rsid w:val="442F034E"/>
    <w:rsid w:val="442F0A5E"/>
    <w:rsid w:val="4430B0F6"/>
    <w:rsid w:val="443309E1"/>
    <w:rsid w:val="4434F9C5"/>
    <w:rsid w:val="44366998"/>
    <w:rsid w:val="4436C125"/>
    <w:rsid w:val="4439BC84"/>
    <w:rsid w:val="443BEB9D"/>
    <w:rsid w:val="443CA14E"/>
    <w:rsid w:val="443CE9CA"/>
    <w:rsid w:val="44435D68"/>
    <w:rsid w:val="44450E91"/>
    <w:rsid w:val="44463B0F"/>
    <w:rsid w:val="444768EB"/>
    <w:rsid w:val="4447E060"/>
    <w:rsid w:val="444818B4"/>
    <w:rsid w:val="44483D72"/>
    <w:rsid w:val="4448D8AA"/>
    <w:rsid w:val="444ABAA1"/>
    <w:rsid w:val="444BDDC7"/>
    <w:rsid w:val="444D1137"/>
    <w:rsid w:val="4453290E"/>
    <w:rsid w:val="4453E0FC"/>
    <w:rsid w:val="4454E638"/>
    <w:rsid w:val="4455BCD5"/>
    <w:rsid w:val="4457CA08"/>
    <w:rsid w:val="445981B6"/>
    <w:rsid w:val="445C6C2D"/>
    <w:rsid w:val="4461BE4F"/>
    <w:rsid w:val="446223F4"/>
    <w:rsid w:val="44639D1C"/>
    <w:rsid w:val="4463E748"/>
    <w:rsid w:val="4467543E"/>
    <w:rsid w:val="4467DB56"/>
    <w:rsid w:val="4468734E"/>
    <w:rsid w:val="446D1E2D"/>
    <w:rsid w:val="446E9E75"/>
    <w:rsid w:val="446EA3D6"/>
    <w:rsid w:val="4472992A"/>
    <w:rsid w:val="447719B6"/>
    <w:rsid w:val="4479DBC4"/>
    <w:rsid w:val="447AF7AD"/>
    <w:rsid w:val="447E4881"/>
    <w:rsid w:val="4480037F"/>
    <w:rsid w:val="4484DC96"/>
    <w:rsid w:val="4488E5A9"/>
    <w:rsid w:val="448A60FD"/>
    <w:rsid w:val="448E5D58"/>
    <w:rsid w:val="448F8718"/>
    <w:rsid w:val="448FAF62"/>
    <w:rsid w:val="44907EBB"/>
    <w:rsid w:val="449297E2"/>
    <w:rsid w:val="449385C8"/>
    <w:rsid w:val="44965245"/>
    <w:rsid w:val="4499EA33"/>
    <w:rsid w:val="449DB74D"/>
    <w:rsid w:val="449F36A5"/>
    <w:rsid w:val="44A247AB"/>
    <w:rsid w:val="44A293CD"/>
    <w:rsid w:val="44A4039C"/>
    <w:rsid w:val="44A465A2"/>
    <w:rsid w:val="44A4EDB7"/>
    <w:rsid w:val="44A8794C"/>
    <w:rsid w:val="44ABCFA1"/>
    <w:rsid w:val="44AD91E5"/>
    <w:rsid w:val="44ADA378"/>
    <w:rsid w:val="44AE86CE"/>
    <w:rsid w:val="44AF0A4A"/>
    <w:rsid w:val="44B06597"/>
    <w:rsid w:val="44B07A18"/>
    <w:rsid w:val="44B0FD7A"/>
    <w:rsid w:val="44B32428"/>
    <w:rsid w:val="44B45E40"/>
    <w:rsid w:val="44B57AEF"/>
    <w:rsid w:val="44B6E480"/>
    <w:rsid w:val="44B87283"/>
    <w:rsid w:val="44B9D09E"/>
    <w:rsid w:val="44B9EAA2"/>
    <w:rsid w:val="44BA6760"/>
    <w:rsid w:val="44BAD582"/>
    <w:rsid w:val="44BD84D6"/>
    <w:rsid w:val="44BEA416"/>
    <w:rsid w:val="44BED20C"/>
    <w:rsid w:val="44C01770"/>
    <w:rsid w:val="44C08DC8"/>
    <w:rsid w:val="44C24DC5"/>
    <w:rsid w:val="44C29034"/>
    <w:rsid w:val="44C49386"/>
    <w:rsid w:val="44C49E16"/>
    <w:rsid w:val="44C5DD62"/>
    <w:rsid w:val="44C6CCA1"/>
    <w:rsid w:val="44C71F0B"/>
    <w:rsid w:val="44C79DCF"/>
    <w:rsid w:val="44C7A993"/>
    <w:rsid w:val="44CC24FC"/>
    <w:rsid w:val="44CE66C5"/>
    <w:rsid w:val="44CEB127"/>
    <w:rsid w:val="44D16FBA"/>
    <w:rsid w:val="44D26C8A"/>
    <w:rsid w:val="44D385CA"/>
    <w:rsid w:val="44D3E13B"/>
    <w:rsid w:val="44D40599"/>
    <w:rsid w:val="44D5971A"/>
    <w:rsid w:val="44D741A2"/>
    <w:rsid w:val="44DA0BA2"/>
    <w:rsid w:val="44DA1A44"/>
    <w:rsid w:val="44DB7D28"/>
    <w:rsid w:val="44DCB37B"/>
    <w:rsid w:val="44DF30F7"/>
    <w:rsid w:val="44DF36B8"/>
    <w:rsid w:val="44DF9018"/>
    <w:rsid w:val="44DFABC4"/>
    <w:rsid w:val="44E274F3"/>
    <w:rsid w:val="44E40E69"/>
    <w:rsid w:val="44E53D3C"/>
    <w:rsid w:val="44E57911"/>
    <w:rsid w:val="44E64995"/>
    <w:rsid w:val="44E6ABB4"/>
    <w:rsid w:val="44E6FAB2"/>
    <w:rsid w:val="44E712E9"/>
    <w:rsid w:val="44E76661"/>
    <w:rsid w:val="44E79992"/>
    <w:rsid w:val="44E7DE2A"/>
    <w:rsid w:val="44E81AD7"/>
    <w:rsid w:val="44E827EC"/>
    <w:rsid w:val="44E875F3"/>
    <w:rsid w:val="44E983DB"/>
    <w:rsid w:val="44ED1FFC"/>
    <w:rsid w:val="44ED92FC"/>
    <w:rsid w:val="44F0B07E"/>
    <w:rsid w:val="44F274C1"/>
    <w:rsid w:val="44F4A9FB"/>
    <w:rsid w:val="44F57A67"/>
    <w:rsid w:val="44F58868"/>
    <w:rsid w:val="44F5CC9F"/>
    <w:rsid w:val="44F9F973"/>
    <w:rsid w:val="44FB48F0"/>
    <w:rsid w:val="44FCDA13"/>
    <w:rsid w:val="44FE4CBE"/>
    <w:rsid w:val="44FEDB7D"/>
    <w:rsid w:val="4502EBF7"/>
    <w:rsid w:val="4505DAA6"/>
    <w:rsid w:val="45064522"/>
    <w:rsid w:val="4507F79E"/>
    <w:rsid w:val="4509CEEC"/>
    <w:rsid w:val="450A1598"/>
    <w:rsid w:val="450AE2B9"/>
    <w:rsid w:val="450DDB5C"/>
    <w:rsid w:val="450E16A4"/>
    <w:rsid w:val="450E8998"/>
    <w:rsid w:val="450EA454"/>
    <w:rsid w:val="450F4DB0"/>
    <w:rsid w:val="450F6D91"/>
    <w:rsid w:val="4510FC11"/>
    <w:rsid w:val="45124E0B"/>
    <w:rsid w:val="45125C74"/>
    <w:rsid w:val="451277FE"/>
    <w:rsid w:val="45147634"/>
    <w:rsid w:val="451733D2"/>
    <w:rsid w:val="45193516"/>
    <w:rsid w:val="451A4561"/>
    <w:rsid w:val="451D2EA2"/>
    <w:rsid w:val="451DE246"/>
    <w:rsid w:val="451EB34A"/>
    <w:rsid w:val="451F0A0A"/>
    <w:rsid w:val="452167A6"/>
    <w:rsid w:val="4522881B"/>
    <w:rsid w:val="452450A9"/>
    <w:rsid w:val="4524DF99"/>
    <w:rsid w:val="45266339"/>
    <w:rsid w:val="452896C3"/>
    <w:rsid w:val="452901A0"/>
    <w:rsid w:val="452AEFC7"/>
    <w:rsid w:val="452C694D"/>
    <w:rsid w:val="452DAFA4"/>
    <w:rsid w:val="452E26CB"/>
    <w:rsid w:val="452E4856"/>
    <w:rsid w:val="452E5D34"/>
    <w:rsid w:val="452FA8AE"/>
    <w:rsid w:val="4530CB26"/>
    <w:rsid w:val="45313DAA"/>
    <w:rsid w:val="45315729"/>
    <w:rsid w:val="4531A356"/>
    <w:rsid w:val="45329D46"/>
    <w:rsid w:val="45345EE3"/>
    <w:rsid w:val="45348593"/>
    <w:rsid w:val="453587EB"/>
    <w:rsid w:val="45372F7E"/>
    <w:rsid w:val="4537F0F0"/>
    <w:rsid w:val="453B86E5"/>
    <w:rsid w:val="453BA716"/>
    <w:rsid w:val="453BBE42"/>
    <w:rsid w:val="453BDA83"/>
    <w:rsid w:val="453F50E8"/>
    <w:rsid w:val="4540B52B"/>
    <w:rsid w:val="454201CC"/>
    <w:rsid w:val="454243F1"/>
    <w:rsid w:val="4543540A"/>
    <w:rsid w:val="4545D2B2"/>
    <w:rsid w:val="4548166D"/>
    <w:rsid w:val="45489C60"/>
    <w:rsid w:val="4549A5A6"/>
    <w:rsid w:val="454A2A03"/>
    <w:rsid w:val="454B1B9F"/>
    <w:rsid w:val="454E75BA"/>
    <w:rsid w:val="454F9A7A"/>
    <w:rsid w:val="45501C7C"/>
    <w:rsid w:val="4552CA93"/>
    <w:rsid w:val="45557714"/>
    <w:rsid w:val="4559CCCB"/>
    <w:rsid w:val="455DA222"/>
    <w:rsid w:val="455EBDA1"/>
    <w:rsid w:val="455FF62E"/>
    <w:rsid w:val="4561312C"/>
    <w:rsid w:val="4561C55E"/>
    <w:rsid w:val="4562E687"/>
    <w:rsid w:val="4564CFFC"/>
    <w:rsid w:val="456550A0"/>
    <w:rsid w:val="4567A702"/>
    <w:rsid w:val="45690DCC"/>
    <w:rsid w:val="456A4347"/>
    <w:rsid w:val="456A6CEF"/>
    <w:rsid w:val="456AE51D"/>
    <w:rsid w:val="4571FBAE"/>
    <w:rsid w:val="45727D4A"/>
    <w:rsid w:val="45747777"/>
    <w:rsid w:val="4578605C"/>
    <w:rsid w:val="457ABBFA"/>
    <w:rsid w:val="457B6482"/>
    <w:rsid w:val="457BB691"/>
    <w:rsid w:val="457DE9B0"/>
    <w:rsid w:val="457F6C78"/>
    <w:rsid w:val="458438F9"/>
    <w:rsid w:val="4587F613"/>
    <w:rsid w:val="4589B452"/>
    <w:rsid w:val="458A51B0"/>
    <w:rsid w:val="458AB8B8"/>
    <w:rsid w:val="458C15B9"/>
    <w:rsid w:val="458C58CF"/>
    <w:rsid w:val="458C6BE8"/>
    <w:rsid w:val="458CC642"/>
    <w:rsid w:val="458FC882"/>
    <w:rsid w:val="4591618B"/>
    <w:rsid w:val="4591AD70"/>
    <w:rsid w:val="4591B67B"/>
    <w:rsid w:val="4591F0F6"/>
    <w:rsid w:val="45928559"/>
    <w:rsid w:val="45928CDC"/>
    <w:rsid w:val="45948DBB"/>
    <w:rsid w:val="45982090"/>
    <w:rsid w:val="45983A66"/>
    <w:rsid w:val="459B7A74"/>
    <w:rsid w:val="459BA2F9"/>
    <w:rsid w:val="459C3E37"/>
    <w:rsid w:val="459EAF3A"/>
    <w:rsid w:val="45A17702"/>
    <w:rsid w:val="45A4F955"/>
    <w:rsid w:val="45A56471"/>
    <w:rsid w:val="45A946BB"/>
    <w:rsid w:val="45A9BCC7"/>
    <w:rsid w:val="45AB9123"/>
    <w:rsid w:val="45ABB1ED"/>
    <w:rsid w:val="45B1BB86"/>
    <w:rsid w:val="45B1D4EC"/>
    <w:rsid w:val="45B2826C"/>
    <w:rsid w:val="45B32D19"/>
    <w:rsid w:val="45B33F54"/>
    <w:rsid w:val="45B5BDF4"/>
    <w:rsid w:val="45B5F445"/>
    <w:rsid w:val="45B6798A"/>
    <w:rsid w:val="45B73348"/>
    <w:rsid w:val="45B779E4"/>
    <w:rsid w:val="45BB7BA0"/>
    <w:rsid w:val="45BCBAF1"/>
    <w:rsid w:val="45BD91F9"/>
    <w:rsid w:val="45BF6E97"/>
    <w:rsid w:val="45BFAD2F"/>
    <w:rsid w:val="45C37BAB"/>
    <w:rsid w:val="45C5F8A2"/>
    <w:rsid w:val="45C8B119"/>
    <w:rsid w:val="45C8F268"/>
    <w:rsid w:val="45C9A09C"/>
    <w:rsid w:val="45C9A779"/>
    <w:rsid w:val="45CE4EEA"/>
    <w:rsid w:val="45D05870"/>
    <w:rsid w:val="45D3F6CA"/>
    <w:rsid w:val="45D5C0EA"/>
    <w:rsid w:val="45D6B647"/>
    <w:rsid w:val="45DB040D"/>
    <w:rsid w:val="45DBB13C"/>
    <w:rsid w:val="45DCC49F"/>
    <w:rsid w:val="45DDDFF1"/>
    <w:rsid w:val="45DFB0EE"/>
    <w:rsid w:val="45E01A7B"/>
    <w:rsid w:val="45E1190C"/>
    <w:rsid w:val="45E28900"/>
    <w:rsid w:val="45E3A15C"/>
    <w:rsid w:val="45E85AB6"/>
    <w:rsid w:val="45E8BFD4"/>
    <w:rsid w:val="45E8CA9B"/>
    <w:rsid w:val="45E8FDFC"/>
    <w:rsid w:val="45EA3C04"/>
    <w:rsid w:val="45EC30CD"/>
    <w:rsid w:val="45ECA437"/>
    <w:rsid w:val="45EDFC94"/>
    <w:rsid w:val="45EE752F"/>
    <w:rsid w:val="45EFE3FE"/>
    <w:rsid w:val="45F02C8C"/>
    <w:rsid w:val="45F44239"/>
    <w:rsid w:val="45F5DCAB"/>
    <w:rsid w:val="45FB74FF"/>
    <w:rsid w:val="45FBC8B5"/>
    <w:rsid w:val="45FC8D37"/>
    <w:rsid w:val="45FDEB9A"/>
    <w:rsid w:val="4600FCD8"/>
    <w:rsid w:val="460133ED"/>
    <w:rsid w:val="4602CD0B"/>
    <w:rsid w:val="46032003"/>
    <w:rsid w:val="46032DB1"/>
    <w:rsid w:val="460341F5"/>
    <w:rsid w:val="46078867"/>
    <w:rsid w:val="4609D377"/>
    <w:rsid w:val="460A0D30"/>
    <w:rsid w:val="460B82D6"/>
    <w:rsid w:val="460D36BB"/>
    <w:rsid w:val="460E9163"/>
    <w:rsid w:val="460F0DE2"/>
    <w:rsid w:val="46106DB3"/>
    <w:rsid w:val="4610768C"/>
    <w:rsid w:val="4612F2E3"/>
    <w:rsid w:val="46130F5D"/>
    <w:rsid w:val="461381C8"/>
    <w:rsid w:val="4616AD27"/>
    <w:rsid w:val="46172ABC"/>
    <w:rsid w:val="461744FC"/>
    <w:rsid w:val="4619D5E9"/>
    <w:rsid w:val="461A57C0"/>
    <w:rsid w:val="461B103E"/>
    <w:rsid w:val="461D2230"/>
    <w:rsid w:val="461F91D6"/>
    <w:rsid w:val="46200825"/>
    <w:rsid w:val="46214C55"/>
    <w:rsid w:val="4622B6D0"/>
    <w:rsid w:val="46273A55"/>
    <w:rsid w:val="4627F735"/>
    <w:rsid w:val="462B3F57"/>
    <w:rsid w:val="462BD1C2"/>
    <w:rsid w:val="462C6294"/>
    <w:rsid w:val="462D0D7B"/>
    <w:rsid w:val="462DE56E"/>
    <w:rsid w:val="462F2573"/>
    <w:rsid w:val="46353F26"/>
    <w:rsid w:val="46376BF2"/>
    <w:rsid w:val="463C89E2"/>
    <w:rsid w:val="463CCE68"/>
    <w:rsid w:val="463DAF02"/>
    <w:rsid w:val="464085F3"/>
    <w:rsid w:val="4640AC2E"/>
    <w:rsid w:val="46455929"/>
    <w:rsid w:val="4645F7DE"/>
    <w:rsid w:val="4646A9D3"/>
    <w:rsid w:val="46481223"/>
    <w:rsid w:val="4648434B"/>
    <w:rsid w:val="464B5635"/>
    <w:rsid w:val="464DF8F6"/>
    <w:rsid w:val="464E1FAC"/>
    <w:rsid w:val="464EDDA9"/>
    <w:rsid w:val="464F64AB"/>
    <w:rsid w:val="465285B9"/>
    <w:rsid w:val="4653590A"/>
    <w:rsid w:val="465362DF"/>
    <w:rsid w:val="4653C4F7"/>
    <w:rsid w:val="4654446C"/>
    <w:rsid w:val="46555C53"/>
    <w:rsid w:val="46557C48"/>
    <w:rsid w:val="4655E146"/>
    <w:rsid w:val="46564269"/>
    <w:rsid w:val="4656B946"/>
    <w:rsid w:val="4656CEA0"/>
    <w:rsid w:val="46570119"/>
    <w:rsid w:val="46572371"/>
    <w:rsid w:val="465A9B9E"/>
    <w:rsid w:val="465B3CEC"/>
    <w:rsid w:val="465B5B4D"/>
    <w:rsid w:val="465BB5C1"/>
    <w:rsid w:val="465E4E49"/>
    <w:rsid w:val="465E9318"/>
    <w:rsid w:val="465EDA97"/>
    <w:rsid w:val="4663B0F8"/>
    <w:rsid w:val="46641DB7"/>
    <w:rsid w:val="4665650C"/>
    <w:rsid w:val="466681D4"/>
    <w:rsid w:val="46674B04"/>
    <w:rsid w:val="46688968"/>
    <w:rsid w:val="466891E4"/>
    <w:rsid w:val="46697A97"/>
    <w:rsid w:val="466DEE3E"/>
    <w:rsid w:val="466F26D5"/>
    <w:rsid w:val="466F7B30"/>
    <w:rsid w:val="466F874D"/>
    <w:rsid w:val="466FEFC8"/>
    <w:rsid w:val="4673170C"/>
    <w:rsid w:val="4673DD91"/>
    <w:rsid w:val="46742F4C"/>
    <w:rsid w:val="46757C81"/>
    <w:rsid w:val="4676E284"/>
    <w:rsid w:val="4678A102"/>
    <w:rsid w:val="46793BA5"/>
    <w:rsid w:val="4679B19E"/>
    <w:rsid w:val="467B2759"/>
    <w:rsid w:val="467BD304"/>
    <w:rsid w:val="467BED4C"/>
    <w:rsid w:val="467E4723"/>
    <w:rsid w:val="46805AD7"/>
    <w:rsid w:val="468091C0"/>
    <w:rsid w:val="4680F177"/>
    <w:rsid w:val="4681890F"/>
    <w:rsid w:val="46822F83"/>
    <w:rsid w:val="46835C5F"/>
    <w:rsid w:val="4687F85B"/>
    <w:rsid w:val="4688BE90"/>
    <w:rsid w:val="468951F6"/>
    <w:rsid w:val="46895967"/>
    <w:rsid w:val="46899F20"/>
    <w:rsid w:val="468D32AA"/>
    <w:rsid w:val="468DCCF4"/>
    <w:rsid w:val="468FEF6D"/>
    <w:rsid w:val="46905647"/>
    <w:rsid w:val="46914F86"/>
    <w:rsid w:val="469176AE"/>
    <w:rsid w:val="4691D056"/>
    <w:rsid w:val="469313F7"/>
    <w:rsid w:val="46938F7C"/>
    <w:rsid w:val="46944F86"/>
    <w:rsid w:val="4694D3D6"/>
    <w:rsid w:val="4695C3DA"/>
    <w:rsid w:val="46963CFD"/>
    <w:rsid w:val="469695D3"/>
    <w:rsid w:val="46984132"/>
    <w:rsid w:val="4698488F"/>
    <w:rsid w:val="469F6A30"/>
    <w:rsid w:val="469F76A0"/>
    <w:rsid w:val="469FB4E8"/>
    <w:rsid w:val="46A48EDB"/>
    <w:rsid w:val="46A4D533"/>
    <w:rsid w:val="46A59F8D"/>
    <w:rsid w:val="46A5C17B"/>
    <w:rsid w:val="46A60977"/>
    <w:rsid w:val="46A6418F"/>
    <w:rsid w:val="46AB7BE0"/>
    <w:rsid w:val="46ABCD56"/>
    <w:rsid w:val="46ACB7D9"/>
    <w:rsid w:val="46AD5B59"/>
    <w:rsid w:val="46B247C4"/>
    <w:rsid w:val="46B528F7"/>
    <w:rsid w:val="46B88630"/>
    <w:rsid w:val="46BB2E8E"/>
    <w:rsid w:val="46BBB08A"/>
    <w:rsid w:val="46BBE513"/>
    <w:rsid w:val="46BC1FE5"/>
    <w:rsid w:val="46BCF815"/>
    <w:rsid w:val="46BD9922"/>
    <w:rsid w:val="46C00146"/>
    <w:rsid w:val="46C0A9A4"/>
    <w:rsid w:val="46C2438C"/>
    <w:rsid w:val="46C54DF7"/>
    <w:rsid w:val="46C68995"/>
    <w:rsid w:val="46C6C77B"/>
    <w:rsid w:val="46C75DAA"/>
    <w:rsid w:val="46C7A62C"/>
    <w:rsid w:val="46C96137"/>
    <w:rsid w:val="46CB9450"/>
    <w:rsid w:val="46CDB04A"/>
    <w:rsid w:val="46CE3E3C"/>
    <w:rsid w:val="46CE9437"/>
    <w:rsid w:val="46CEE047"/>
    <w:rsid w:val="46D09231"/>
    <w:rsid w:val="46D2F238"/>
    <w:rsid w:val="46D67C91"/>
    <w:rsid w:val="46D6CCE8"/>
    <w:rsid w:val="46D8EA20"/>
    <w:rsid w:val="46D90AE2"/>
    <w:rsid w:val="46D9F985"/>
    <w:rsid w:val="46DCFEAF"/>
    <w:rsid w:val="46DDB653"/>
    <w:rsid w:val="46DEB6A8"/>
    <w:rsid w:val="46E0593C"/>
    <w:rsid w:val="46E107B9"/>
    <w:rsid w:val="46E17126"/>
    <w:rsid w:val="46E21D9A"/>
    <w:rsid w:val="46E2835B"/>
    <w:rsid w:val="46E416D4"/>
    <w:rsid w:val="46E57607"/>
    <w:rsid w:val="46E5BC70"/>
    <w:rsid w:val="46E7B5D8"/>
    <w:rsid w:val="46E82C09"/>
    <w:rsid w:val="46E85694"/>
    <w:rsid w:val="46E8A896"/>
    <w:rsid w:val="46EBFA0A"/>
    <w:rsid w:val="46ED1E02"/>
    <w:rsid w:val="46ED74CC"/>
    <w:rsid w:val="46F00C4A"/>
    <w:rsid w:val="46F2E300"/>
    <w:rsid w:val="46F419E8"/>
    <w:rsid w:val="46F4C60F"/>
    <w:rsid w:val="46F4F2EF"/>
    <w:rsid w:val="46F6EFC7"/>
    <w:rsid w:val="46F83CE1"/>
    <w:rsid w:val="46F85A2F"/>
    <w:rsid w:val="46F962CC"/>
    <w:rsid w:val="46FA7D48"/>
    <w:rsid w:val="46FA9F00"/>
    <w:rsid w:val="46FCE952"/>
    <w:rsid w:val="46FD3764"/>
    <w:rsid w:val="46FE2F60"/>
    <w:rsid w:val="4702255F"/>
    <w:rsid w:val="4703992E"/>
    <w:rsid w:val="4704374D"/>
    <w:rsid w:val="470498AE"/>
    <w:rsid w:val="47062AD2"/>
    <w:rsid w:val="47094F0F"/>
    <w:rsid w:val="470A1D7A"/>
    <w:rsid w:val="470BF1BE"/>
    <w:rsid w:val="470E30DF"/>
    <w:rsid w:val="470E83A4"/>
    <w:rsid w:val="470F0E03"/>
    <w:rsid w:val="471099E6"/>
    <w:rsid w:val="4710E802"/>
    <w:rsid w:val="471135E2"/>
    <w:rsid w:val="471261C8"/>
    <w:rsid w:val="47134C38"/>
    <w:rsid w:val="471369F9"/>
    <w:rsid w:val="4713A054"/>
    <w:rsid w:val="47148D5B"/>
    <w:rsid w:val="471523D8"/>
    <w:rsid w:val="4718AA1C"/>
    <w:rsid w:val="47195F6E"/>
    <w:rsid w:val="47199959"/>
    <w:rsid w:val="471A0E54"/>
    <w:rsid w:val="471D3A6F"/>
    <w:rsid w:val="471FD6B0"/>
    <w:rsid w:val="47202BFE"/>
    <w:rsid w:val="4721C073"/>
    <w:rsid w:val="47224486"/>
    <w:rsid w:val="47242301"/>
    <w:rsid w:val="47248C4E"/>
    <w:rsid w:val="47249336"/>
    <w:rsid w:val="47261731"/>
    <w:rsid w:val="4726AD11"/>
    <w:rsid w:val="472731C2"/>
    <w:rsid w:val="472763B4"/>
    <w:rsid w:val="4727E3F4"/>
    <w:rsid w:val="472A0643"/>
    <w:rsid w:val="472A3F10"/>
    <w:rsid w:val="472D7155"/>
    <w:rsid w:val="472E1A96"/>
    <w:rsid w:val="472E6C21"/>
    <w:rsid w:val="47301A35"/>
    <w:rsid w:val="47308759"/>
    <w:rsid w:val="4732C8D6"/>
    <w:rsid w:val="4733D7C6"/>
    <w:rsid w:val="4736DE1F"/>
    <w:rsid w:val="473829F7"/>
    <w:rsid w:val="47382F51"/>
    <w:rsid w:val="473BE973"/>
    <w:rsid w:val="473CA5EE"/>
    <w:rsid w:val="47401D89"/>
    <w:rsid w:val="4740E9FB"/>
    <w:rsid w:val="474545FB"/>
    <w:rsid w:val="474575FB"/>
    <w:rsid w:val="47469EDD"/>
    <w:rsid w:val="47492083"/>
    <w:rsid w:val="474996A9"/>
    <w:rsid w:val="474C0C59"/>
    <w:rsid w:val="474C1037"/>
    <w:rsid w:val="474CD9D2"/>
    <w:rsid w:val="474CEC8B"/>
    <w:rsid w:val="474E0C2A"/>
    <w:rsid w:val="474E7E94"/>
    <w:rsid w:val="474FB52C"/>
    <w:rsid w:val="474FC21C"/>
    <w:rsid w:val="4754146D"/>
    <w:rsid w:val="475AE371"/>
    <w:rsid w:val="475E3631"/>
    <w:rsid w:val="475E75D5"/>
    <w:rsid w:val="47601C16"/>
    <w:rsid w:val="476164CD"/>
    <w:rsid w:val="4761927B"/>
    <w:rsid w:val="4762996F"/>
    <w:rsid w:val="4767CBCB"/>
    <w:rsid w:val="4767F227"/>
    <w:rsid w:val="4768254C"/>
    <w:rsid w:val="476913DB"/>
    <w:rsid w:val="476D631D"/>
    <w:rsid w:val="476E9F67"/>
    <w:rsid w:val="477419CC"/>
    <w:rsid w:val="4776F891"/>
    <w:rsid w:val="4778AD07"/>
    <w:rsid w:val="4779BF60"/>
    <w:rsid w:val="477B9DDB"/>
    <w:rsid w:val="477C8275"/>
    <w:rsid w:val="477E103F"/>
    <w:rsid w:val="477F2CA0"/>
    <w:rsid w:val="4780D294"/>
    <w:rsid w:val="47812F15"/>
    <w:rsid w:val="47828449"/>
    <w:rsid w:val="4782D001"/>
    <w:rsid w:val="478521FD"/>
    <w:rsid w:val="4786BF22"/>
    <w:rsid w:val="4786E9AF"/>
    <w:rsid w:val="47889813"/>
    <w:rsid w:val="478C4D94"/>
    <w:rsid w:val="478C9433"/>
    <w:rsid w:val="478C9897"/>
    <w:rsid w:val="478D6498"/>
    <w:rsid w:val="478D8251"/>
    <w:rsid w:val="478E542B"/>
    <w:rsid w:val="478FC32E"/>
    <w:rsid w:val="47911B07"/>
    <w:rsid w:val="47920531"/>
    <w:rsid w:val="47935EB3"/>
    <w:rsid w:val="479421B0"/>
    <w:rsid w:val="47946AB9"/>
    <w:rsid w:val="47949E48"/>
    <w:rsid w:val="47954E58"/>
    <w:rsid w:val="4795DA8D"/>
    <w:rsid w:val="4795DB47"/>
    <w:rsid w:val="4796963E"/>
    <w:rsid w:val="47976DF2"/>
    <w:rsid w:val="4798F3CD"/>
    <w:rsid w:val="479B0D2B"/>
    <w:rsid w:val="479B718D"/>
    <w:rsid w:val="479C0FF2"/>
    <w:rsid w:val="479C1181"/>
    <w:rsid w:val="479F7D14"/>
    <w:rsid w:val="47A2207B"/>
    <w:rsid w:val="47A298EA"/>
    <w:rsid w:val="47A3D153"/>
    <w:rsid w:val="47A3FD2A"/>
    <w:rsid w:val="47A6DC40"/>
    <w:rsid w:val="47A98DC4"/>
    <w:rsid w:val="47A9F4B9"/>
    <w:rsid w:val="47AC5162"/>
    <w:rsid w:val="47AE9E14"/>
    <w:rsid w:val="47AF7C4C"/>
    <w:rsid w:val="47AFB6BB"/>
    <w:rsid w:val="47B24B04"/>
    <w:rsid w:val="47B2DD3A"/>
    <w:rsid w:val="47B312E2"/>
    <w:rsid w:val="47B46D77"/>
    <w:rsid w:val="47B7FCB8"/>
    <w:rsid w:val="47B94784"/>
    <w:rsid w:val="47B9C192"/>
    <w:rsid w:val="47BA1394"/>
    <w:rsid w:val="47BADA9A"/>
    <w:rsid w:val="47BE2CE8"/>
    <w:rsid w:val="47C184E7"/>
    <w:rsid w:val="47C1D68D"/>
    <w:rsid w:val="47C1F56A"/>
    <w:rsid w:val="47C25DE8"/>
    <w:rsid w:val="47C42E16"/>
    <w:rsid w:val="47C5EFA1"/>
    <w:rsid w:val="47C7D062"/>
    <w:rsid w:val="47C7D540"/>
    <w:rsid w:val="47CB034F"/>
    <w:rsid w:val="47CB8F4E"/>
    <w:rsid w:val="47CE2E9B"/>
    <w:rsid w:val="47D088DF"/>
    <w:rsid w:val="47D15089"/>
    <w:rsid w:val="47D1A504"/>
    <w:rsid w:val="47D4F5DD"/>
    <w:rsid w:val="47D5B2B0"/>
    <w:rsid w:val="47D74972"/>
    <w:rsid w:val="47D8665A"/>
    <w:rsid w:val="47D96054"/>
    <w:rsid w:val="47DADF01"/>
    <w:rsid w:val="47DB478C"/>
    <w:rsid w:val="47E03C76"/>
    <w:rsid w:val="47E0570B"/>
    <w:rsid w:val="47E2D54D"/>
    <w:rsid w:val="47E475B6"/>
    <w:rsid w:val="47E768ED"/>
    <w:rsid w:val="47E9DADD"/>
    <w:rsid w:val="47EAA143"/>
    <w:rsid w:val="47EAC7FF"/>
    <w:rsid w:val="47EC4616"/>
    <w:rsid w:val="47EC5C61"/>
    <w:rsid w:val="47ED5B2F"/>
    <w:rsid w:val="47ED9EC0"/>
    <w:rsid w:val="47EDDF4D"/>
    <w:rsid w:val="47EF240E"/>
    <w:rsid w:val="47EFC9A5"/>
    <w:rsid w:val="47EFF2E9"/>
    <w:rsid w:val="47F27644"/>
    <w:rsid w:val="47F75E8D"/>
    <w:rsid w:val="47F840ED"/>
    <w:rsid w:val="47F9CA30"/>
    <w:rsid w:val="47F9DA07"/>
    <w:rsid w:val="47FB529F"/>
    <w:rsid w:val="47FC53C7"/>
    <w:rsid w:val="47FE9A56"/>
    <w:rsid w:val="47FF2A2C"/>
    <w:rsid w:val="4802A7EC"/>
    <w:rsid w:val="4803C52B"/>
    <w:rsid w:val="480486CA"/>
    <w:rsid w:val="480758A1"/>
    <w:rsid w:val="4808FBF0"/>
    <w:rsid w:val="480C62E8"/>
    <w:rsid w:val="480D0880"/>
    <w:rsid w:val="480D2094"/>
    <w:rsid w:val="48110364"/>
    <w:rsid w:val="48132E86"/>
    <w:rsid w:val="481344E6"/>
    <w:rsid w:val="48135E78"/>
    <w:rsid w:val="481450C2"/>
    <w:rsid w:val="48156DCB"/>
    <w:rsid w:val="4815FC77"/>
    <w:rsid w:val="481882A2"/>
    <w:rsid w:val="48189C21"/>
    <w:rsid w:val="481AD2ED"/>
    <w:rsid w:val="481C5D12"/>
    <w:rsid w:val="481E5DCB"/>
    <w:rsid w:val="481E83BB"/>
    <w:rsid w:val="481EF014"/>
    <w:rsid w:val="481F0408"/>
    <w:rsid w:val="4820397D"/>
    <w:rsid w:val="48203EFE"/>
    <w:rsid w:val="4820534E"/>
    <w:rsid w:val="48219B53"/>
    <w:rsid w:val="4821F00C"/>
    <w:rsid w:val="482348B6"/>
    <w:rsid w:val="482487D1"/>
    <w:rsid w:val="48253F75"/>
    <w:rsid w:val="4825C732"/>
    <w:rsid w:val="48295AFE"/>
    <w:rsid w:val="482DE313"/>
    <w:rsid w:val="482E3C6A"/>
    <w:rsid w:val="482ECA48"/>
    <w:rsid w:val="482F7F19"/>
    <w:rsid w:val="48301765"/>
    <w:rsid w:val="48331949"/>
    <w:rsid w:val="483396CF"/>
    <w:rsid w:val="48339EB0"/>
    <w:rsid w:val="48359813"/>
    <w:rsid w:val="4839EF50"/>
    <w:rsid w:val="483AA5C0"/>
    <w:rsid w:val="483BE434"/>
    <w:rsid w:val="483E2DFE"/>
    <w:rsid w:val="483E56B3"/>
    <w:rsid w:val="48424B4C"/>
    <w:rsid w:val="484359A7"/>
    <w:rsid w:val="484A59D5"/>
    <w:rsid w:val="484A9DC0"/>
    <w:rsid w:val="484AFFA0"/>
    <w:rsid w:val="484F8431"/>
    <w:rsid w:val="4851F923"/>
    <w:rsid w:val="48527D48"/>
    <w:rsid w:val="4854FF01"/>
    <w:rsid w:val="4857CDC2"/>
    <w:rsid w:val="485B40EB"/>
    <w:rsid w:val="485B9587"/>
    <w:rsid w:val="485BB08A"/>
    <w:rsid w:val="485CD0F8"/>
    <w:rsid w:val="485CED73"/>
    <w:rsid w:val="485E8BFA"/>
    <w:rsid w:val="48627E58"/>
    <w:rsid w:val="486450E3"/>
    <w:rsid w:val="48660674"/>
    <w:rsid w:val="48661701"/>
    <w:rsid w:val="48664B3D"/>
    <w:rsid w:val="48672F4D"/>
    <w:rsid w:val="486BFE30"/>
    <w:rsid w:val="486C659B"/>
    <w:rsid w:val="486DD1C8"/>
    <w:rsid w:val="486E9721"/>
    <w:rsid w:val="4871A883"/>
    <w:rsid w:val="4872333A"/>
    <w:rsid w:val="4874E9FB"/>
    <w:rsid w:val="487602EC"/>
    <w:rsid w:val="4876CD9B"/>
    <w:rsid w:val="48793731"/>
    <w:rsid w:val="4879A4D1"/>
    <w:rsid w:val="487AD029"/>
    <w:rsid w:val="487BE4FE"/>
    <w:rsid w:val="487D3FFF"/>
    <w:rsid w:val="487FBE81"/>
    <w:rsid w:val="48808622"/>
    <w:rsid w:val="48827B3D"/>
    <w:rsid w:val="48833F1C"/>
    <w:rsid w:val="488497F7"/>
    <w:rsid w:val="48850B09"/>
    <w:rsid w:val="4885F339"/>
    <w:rsid w:val="4886E5E8"/>
    <w:rsid w:val="488722B4"/>
    <w:rsid w:val="48891EFC"/>
    <w:rsid w:val="48892D60"/>
    <w:rsid w:val="488BC74B"/>
    <w:rsid w:val="488E6035"/>
    <w:rsid w:val="48912453"/>
    <w:rsid w:val="48943BCE"/>
    <w:rsid w:val="4894EA6C"/>
    <w:rsid w:val="48959290"/>
    <w:rsid w:val="4895CDE8"/>
    <w:rsid w:val="48971144"/>
    <w:rsid w:val="4897C305"/>
    <w:rsid w:val="4898EEB0"/>
    <w:rsid w:val="48996C23"/>
    <w:rsid w:val="4899D874"/>
    <w:rsid w:val="489A29AE"/>
    <w:rsid w:val="489B3A17"/>
    <w:rsid w:val="489CBA3E"/>
    <w:rsid w:val="48A7B85E"/>
    <w:rsid w:val="48A9E719"/>
    <w:rsid w:val="48AB6D69"/>
    <w:rsid w:val="48ACBA2F"/>
    <w:rsid w:val="48AE0D09"/>
    <w:rsid w:val="48B158AD"/>
    <w:rsid w:val="48B15A16"/>
    <w:rsid w:val="48B549D0"/>
    <w:rsid w:val="48B71746"/>
    <w:rsid w:val="48B7714C"/>
    <w:rsid w:val="48B8EC3A"/>
    <w:rsid w:val="48BB6DE7"/>
    <w:rsid w:val="48BBFC5F"/>
    <w:rsid w:val="48BC2DD1"/>
    <w:rsid w:val="48BDCAAA"/>
    <w:rsid w:val="48BE017A"/>
    <w:rsid w:val="48BFF66A"/>
    <w:rsid w:val="48C05680"/>
    <w:rsid w:val="48C0C0B5"/>
    <w:rsid w:val="48C0CDE5"/>
    <w:rsid w:val="48C15EB9"/>
    <w:rsid w:val="48C338E4"/>
    <w:rsid w:val="48C3F9DB"/>
    <w:rsid w:val="48C5130E"/>
    <w:rsid w:val="48C53A86"/>
    <w:rsid w:val="48C582BE"/>
    <w:rsid w:val="48C71BAF"/>
    <w:rsid w:val="48C73EF1"/>
    <w:rsid w:val="48CA2122"/>
    <w:rsid w:val="48CACB8F"/>
    <w:rsid w:val="48CC78B3"/>
    <w:rsid w:val="48CCEF8E"/>
    <w:rsid w:val="48CDD1D2"/>
    <w:rsid w:val="48CF29F4"/>
    <w:rsid w:val="48D091BD"/>
    <w:rsid w:val="48D14E56"/>
    <w:rsid w:val="48D1603E"/>
    <w:rsid w:val="48D1C6E3"/>
    <w:rsid w:val="48D5E294"/>
    <w:rsid w:val="48D81215"/>
    <w:rsid w:val="48D8B82E"/>
    <w:rsid w:val="48D8F3CB"/>
    <w:rsid w:val="48D9DC26"/>
    <w:rsid w:val="48DC9933"/>
    <w:rsid w:val="48DD07E6"/>
    <w:rsid w:val="48E268F7"/>
    <w:rsid w:val="48E5667B"/>
    <w:rsid w:val="48E63A02"/>
    <w:rsid w:val="48E68198"/>
    <w:rsid w:val="48E8AE6D"/>
    <w:rsid w:val="48E9E8E6"/>
    <w:rsid w:val="48EB8874"/>
    <w:rsid w:val="48ECC5BB"/>
    <w:rsid w:val="48EE5DDF"/>
    <w:rsid w:val="48EE98D0"/>
    <w:rsid w:val="48EF5480"/>
    <w:rsid w:val="48F295CA"/>
    <w:rsid w:val="48F46F65"/>
    <w:rsid w:val="48F67223"/>
    <w:rsid w:val="48F69588"/>
    <w:rsid w:val="48F7B34F"/>
    <w:rsid w:val="48FC4EEB"/>
    <w:rsid w:val="48FD59E4"/>
    <w:rsid w:val="48FFB103"/>
    <w:rsid w:val="490060F5"/>
    <w:rsid w:val="49017FBE"/>
    <w:rsid w:val="4901FD02"/>
    <w:rsid w:val="4904D110"/>
    <w:rsid w:val="490505E5"/>
    <w:rsid w:val="490BC013"/>
    <w:rsid w:val="490C3A34"/>
    <w:rsid w:val="490C576B"/>
    <w:rsid w:val="490EDD87"/>
    <w:rsid w:val="49125D74"/>
    <w:rsid w:val="491333B8"/>
    <w:rsid w:val="49139607"/>
    <w:rsid w:val="491580B3"/>
    <w:rsid w:val="4916F0D1"/>
    <w:rsid w:val="4917C56B"/>
    <w:rsid w:val="4918FA7F"/>
    <w:rsid w:val="4919CFF7"/>
    <w:rsid w:val="491BEC22"/>
    <w:rsid w:val="491FBC21"/>
    <w:rsid w:val="491FEC91"/>
    <w:rsid w:val="4924CEED"/>
    <w:rsid w:val="4928DC3E"/>
    <w:rsid w:val="4929BE45"/>
    <w:rsid w:val="492A1BF0"/>
    <w:rsid w:val="492A8503"/>
    <w:rsid w:val="492B41C4"/>
    <w:rsid w:val="492B6551"/>
    <w:rsid w:val="492BDD8D"/>
    <w:rsid w:val="492E1EA6"/>
    <w:rsid w:val="4930CB51"/>
    <w:rsid w:val="4932442C"/>
    <w:rsid w:val="4932AE76"/>
    <w:rsid w:val="4935AA73"/>
    <w:rsid w:val="49384392"/>
    <w:rsid w:val="4938949C"/>
    <w:rsid w:val="49394220"/>
    <w:rsid w:val="49399627"/>
    <w:rsid w:val="493A0861"/>
    <w:rsid w:val="493A0FFC"/>
    <w:rsid w:val="493B565C"/>
    <w:rsid w:val="493BE288"/>
    <w:rsid w:val="493CA0D1"/>
    <w:rsid w:val="493D94B1"/>
    <w:rsid w:val="493F0242"/>
    <w:rsid w:val="493F515C"/>
    <w:rsid w:val="4941FD83"/>
    <w:rsid w:val="4942ACA1"/>
    <w:rsid w:val="4942BB7C"/>
    <w:rsid w:val="4946428D"/>
    <w:rsid w:val="494996A0"/>
    <w:rsid w:val="494B745E"/>
    <w:rsid w:val="494CD653"/>
    <w:rsid w:val="494FCD3B"/>
    <w:rsid w:val="49513F29"/>
    <w:rsid w:val="4951AC80"/>
    <w:rsid w:val="495361AC"/>
    <w:rsid w:val="495440D1"/>
    <w:rsid w:val="49553E11"/>
    <w:rsid w:val="4956138E"/>
    <w:rsid w:val="495660F3"/>
    <w:rsid w:val="49569C4F"/>
    <w:rsid w:val="4959428E"/>
    <w:rsid w:val="495B5983"/>
    <w:rsid w:val="495CD64C"/>
    <w:rsid w:val="495E66E5"/>
    <w:rsid w:val="495E85B5"/>
    <w:rsid w:val="49667735"/>
    <w:rsid w:val="496841C7"/>
    <w:rsid w:val="496A6810"/>
    <w:rsid w:val="496AF728"/>
    <w:rsid w:val="496BCFCD"/>
    <w:rsid w:val="496C7C0A"/>
    <w:rsid w:val="496DA9A0"/>
    <w:rsid w:val="496DFCE8"/>
    <w:rsid w:val="496F643E"/>
    <w:rsid w:val="4974D0D9"/>
    <w:rsid w:val="49750307"/>
    <w:rsid w:val="49754FC4"/>
    <w:rsid w:val="49763984"/>
    <w:rsid w:val="49764067"/>
    <w:rsid w:val="4977F435"/>
    <w:rsid w:val="49789C48"/>
    <w:rsid w:val="497CFAF7"/>
    <w:rsid w:val="497D821E"/>
    <w:rsid w:val="497DC3BC"/>
    <w:rsid w:val="497EE675"/>
    <w:rsid w:val="49805449"/>
    <w:rsid w:val="4980AB07"/>
    <w:rsid w:val="49839D58"/>
    <w:rsid w:val="4986DCAB"/>
    <w:rsid w:val="49877030"/>
    <w:rsid w:val="4988CC8C"/>
    <w:rsid w:val="498A7086"/>
    <w:rsid w:val="498F82EB"/>
    <w:rsid w:val="499019C2"/>
    <w:rsid w:val="49919012"/>
    <w:rsid w:val="4991BDDA"/>
    <w:rsid w:val="49932176"/>
    <w:rsid w:val="49982BF1"/>
    <w:rsid w:val="499A5E86"/>
    <w:rsid w:val="499BD727"/>
    <w:rsid w:val="499EFC26"/>
    <w:rsid w:val="499FE461"/>
    <w:rsid w:val="499FFF9F"/>
    <w:rsid w:val="49A04EA4"/>
    <w:rsid w:val="49A10399"/>
    <w:rsid w:val="49A245BF"/>
    <w:rsid w:val="49A260C9"/>
    <w:rsid w:val="49A471EB"/>
    <w:rsid w:val="49A687A8"/>
    <w:rsid w:val="49A6A632"/>
    <w:rsid w:val="49A6C702"/>
    <w:rsid w:val="49A742D6"/>
    <w:rsid w:val="49A9E678"/>
    <w:rsid w:val="49AB1223"/>
    <w:rsid w:val="49AB6438"/>
    <w:rsid w:val="49AB9C5A"/>
    <w:rsid w:val="49AC42D1"/>
    <w:rsid w:val="49AEE2C2"/>
    <w:rsid w:val="49AF9878"/>
    <w:rsid w:val="49AFBB0C"/>
    <w:rsid w:val="49B0E238"/>
    <w:rsid w:val="49B63B59"/>
    <w:rsid w:val="49B6FE0C"/>
    <w:rsid w:val="49B945C1"/>
    <w:rsid w:val="49B97461"/>
    <w:rsid w:val="49BCB6E5"/>
    <w:rsid w:val="49BDC486"/>
    <w:rsid w:val="49BDECDD"/>
    <w:rsid w:val="49BE5FD7"/>
    <w:rsid w:val="49C0996F"/>
    <w:rsid w:val="49C1981F"/>
    <w:rsid w:val="49C4D0A0"/>
    <w:rsid w:val="49C7CBA7"/>
    <w:rsid w:val="49C859F7"/>
    <w:rsid w:val="49C85FCB"/>
    <w:rsid w:val="49C92C7D"/>
    <w:rsid w:val="49CB5133"/>
    <w:rsid w:val="49CCAA92"/>
    <w:rsid w:val="49CE0E9B"/>
    <w:rsid w:val="49CED15B"/>
    <w:rsid w:val="49CFA3CE"/>
    <w:rsid w:val="49CFBF83"/>
    <w:rsid w:val="49D0AEC7"/>
    <w:rsid w:val="49D3FFE1"/>
    <w:rsid w:val="49D68BC0"/>
    <w:rsid w:val="49D89685"/>
    <w:rsid w:val="49D928AD"/>
    <w:rsid w:val="49DAA5D5"/>
    <w:rsid w:val="49DB220F"/>
    <w:rsid w:val="49DB40DC"/>
    <w:rsid w:val="49DD9A6B"/>
    <w:rsid w:val="49DDFB9B"/>
    <w:rsid w:val="49DECEAF"/>
    <w:rsid w:val="49E47ECD"/>
    <w:rsid w:val="49E7A8EB"/>
    <w:rsid w:val="49EA0355"/>
    <w:rsid w:val="49EA9CF8"/>
    <w:rsid w:val="49EB81CC"/>
    <w:rsid w:val="49EBEC96"/>
    <w:rsid w:val="49EC9E67"/>
    <w:rsid w:val="49EF63DE"/>
    <w:rsid w:val="49EF70CF"/>
    <w:rsid w:val="49F3BCC4"/>
    <w:rsid w:val="49F45C92"/>
    <w:rsid w:val="49F511EB"/>
    <w:rsid w:val="49F5CFCF"/>
    <w:rsid w:val="49FAC84C"/>
    <w:rsid w:val="49FD3157"/>
    <w:rsid w:val="49FDCE9A"/>
    <w:rsid w:val="49FE249A"/>
    <w:rsid w:val="49FE6AC7"/>
    <w:rsid w:val="4A0063DA"/>
    <w:rsid w:val="4A0126D2"/>
    <w:rsid w:val="4A024F0E"/>
    <w:rsid w:val="4A037D06"/>
    <w:rsid w:val="4A048491"/>
    <w:rsid w:val="4A072F67"/>
    <w:rsid w:val="4A07BC3A"/>
    <w:rsid w:val="4A0816B5"/>
    <w:rsid w:val="4A087477"/>
    <w:rsid w:val="4A0C5702"/>
    <w:rsid w:val="4A0E7ABC"/>
    <w:rsid w:val="4A0EC6A6"/>
    <w:rsid w:val="4A0F444A"/>
    <w:rsid w:val="4A0F9D20"/>
    <w:rsid w:val="4A0FD01E"/>
    <w:rsid w:val="4A114600"/>
    <w:rsid w:val="4A118689"/>
    <w:rsid w:val="4A121B61"/>
    <w:rsid w:val="4A128EC1"/>
    <w:rsid w:val="4A1441EF"/>
    <w:rsid w:val="4A154F1E"/>
    <w:rsid w:val="4A17C449"/>
    <w:rsid w:val="4A1901EB"/>
    <w:rsid w:val="4A1D5881"/>
    <w:rsid w:val="4A1E29CA"/>
    <w:rsid w:val="4A1F0C16"/>
    <w:rsid w:val="4A20FA12"/>
    <w:rsid w:val="4A223DA5"/>
    <w:rsid w:val="4A23547F"/>
    <w:rsid w:val="4A23593D"/>
    <w:rsid w:val="4A23CAF0"/>
    <w:rsid w:val="4A28ABE9"/>
    <w:rsid w:val="4A2B9E15"/>
    <w:rsid w:val="4A2CAB0E"/>
    <w:rsid w:val="4A2D2B5B"/>
    <w:rsid w:val="4A2F87C8"/>
    <w:rsid w:val="4A2FBABF"/>
    <w:rsid w:val="4A31B9E7"/>
    <w:rsid w:val="4A31E4CE"/>
    <w:rsid w:val="4A33DFD4"/>
    <w:rsid w:val="4A3646BE"/>
    <w:rsid w:val="4A36C166"/>
    <w:rsid w:val="4A3914CE"/>
    <w:rsid w:val="4A3FAB00"/>
    <w:rsid w:val="4A419B99"/>
    <w:rsid w:val="4A41C8B9"/>
    <w:rsid w:val="4A41E4D4"/>
    <w:rsid w:val="4A4343FC"/>
    <w:rsid w:val="4A472628"/>
    <w:rsid w:val="4A473943"/>
    <w:rsid w:val="4A483E77"/>
    <w:rsid w:val="4A4F3186"/>
    <w:rsid w:val="4A4FEB3F"/>
    <w:rsid w:val="4A5022AC"/>
    <w:rsid w:val="4A503535"/>
    <w:rsid w:val="4A50F91C"/>
    <w:rsid w:val="4A532231"/>
    <w:rsid w:val="4A541F67"/>
    <w:rsid w:val="4A58CE38"/>
    <w:rsid w:val="4A5BAA2E"/>
    <w:rsid w:val="4A6243D5"/>
    <w:rsid w:val="4A6254AF"/>
    <w:rsid w:val="4A680C2E"/>
    <w:rsid w:val="4A6ACE30"/>
    <w:rsid w:val="4A6B978E"/>
    <w:rsid w:val="4A6D249E"/>
    <w:rsid w:val="4A704737"/>
    <w:rsid w:val="4A745942"/>
    <w:rsid w:val="4A7596BC"/>
    <w:rsid w:val="4A769C83"/>
    <w:rsid w:val="4A789761"/>
    <w:rsid w:val="4A78F6F5"/>
    <w:rsid w:val="4A7C793E"/>
    <w:rsid w:val="4A7EEAB9"/>
    <w:rsid w:val="4A7F8E6E"/>
    <w:rsid w:val="4A7FDC44"/>
    <w:rsid w:val="4A814732"/>
    <w:rsid w:val="4A849DE0"/>
    <w:rsid w:val="4A86769C"/>
    <w:rsid w:val="4A87AE78"/>
    <w:rsid w:val="4A87ED45"/>
    <w:rsid w:val="4A8959D6"/>
    <w:rsid w:val="4A8A01DC"/>
    <w:rsid w:val="4A8A3789"/>
    <w:rsid w:val="4A8A5DFB"/>
    <w:rsid w:val="4A8F74CB"/>
    <w:rsid w:val="4A8FB227"/>
    <w:rsid w:val="4A8FC83C"/>
    <w:rsid w:val="4A902BE7"/>
    <w:rsid w:val="4A9193D3"/>
    <w:rsid w:val="4A93E5BF"/>
    <w:rsid w:val="4A93E877"/>
    <w:rsid w:val="4A942BBC"/>
    <w:rsid w:val="4A99D88E"/>
    <w:rsid w:val="4A99F1FE"/>
    <w:rsid w:val="4A9A7CE2"/>
    <w:rsid w:val="4AA0AA8E"/>
    <w:rsid w:val="4AA21305"/>
    <w:rsid w:val="4AA3AC24"/>
    <w:rsid w:val="4AA3EEFC"/>
    <w:rsid w:val="4AA42834"/>
    <w:rsid w:val="4AA60928"/>
    <w:rsid w:val="4AA73C85"/>
    <w:rsid w:val="4AA7CEEB"/>
    <w:rsid w:val="4AA8C0C0"/>
    <w:rsid w:val="4AAC28CF"/>
    <w:rsid w:val="4AACCCD0"/>
    <w:rsid w:val="4AAF41E2"/>
    <w:rsid w:val="4AAF474D"/>
    <w:rsid w:val="4AB04789"/>
    <w:rsid w:val="4AB3AF88"/>
    <w:rsid w:val="4AB51E4F"/>
    <w:rsid w:val="4AB7BC83"/>
    <w:rsid w:val="4AB82480"/>
    <w:rsid w:val="4AB855D0"/>
    <w:rsid w:val="4AB886C8"/>
    <w:rsid w:val="4AB9E000"/>
    <w:rsid w:val="4ABAE818"/>
    <w:rsid w:val="4ABB0772"/>
    <w:rsid w:val="4ABB502D"/>
    <w:rsid w:val="4ABCC4D0"/>
    <w:rsid w:val="4ABEB651"/>
    <w:rsid w:val="4ABF2FE2"/>
    <w:rsid w:val="4AC0CB2F"/>
    <w:rsid w:val="4AC15A0F"/>
    <w:rsid w:val="4AC26D96"/>
    <w:rsid w:val="4AC3CDAB"/>
    <w:rsid w:val="4AC57ACE"/>
    <w:rsid w:val="4AC6AF9F"/>
    <w:rsid w:val="4AC8392D"/>
    <w:rsid w:val="4AC89CC5"/>
    <w:rsid w:val="4ACD730E"/>
    <w:rsid w:val="4ACFC9EA"/>
    <w:rsid w:val="4AD0F342"/>
    <w:rsid w:val="4AD16548"/>
    <w:rsid w:val="4AD19CFB"/>
    <w:rsid w:val="4AD1BE8E"/>
    <w:rsid w:val="4AD445C1"/>
    <w:rsid w:val="4AD47B90"/>
    <w:rsid w:val="4AD4DEA8"/>
    <w:rsid w:val="4AD50870"/>
    <w:rsid w:val="4AD5DA76"/>
    <w:rsid w:val="4AD62364"/>
    <w:rsid w:val="4AD6EA73"/>
    <w:rsid w:val="4AD71342"/>
    <w:rsid w:val="4AD8142A"/>
    <w:rsid w:val="4AD8FC35"/>
    <w:rsid w:val="4ADC8EF0"/>
    <w:rsid w:val="4ADCCD26"/>
    <w:rsid w:val="4ADD391C"/>
    <w:rsid w:val="4AE07F8F"/>
    <w:rsid w:val="4AE18C95"/>
    <w:rsid w:val="4AE1E126"/>
    <w:rsid w:val="4AE22992"/>
    <w:rsid w:val="4AE2EFC3"/>
    <w:rsid w:val="4AE3A85B"/>
    <w:rsid w:val="4AE5BDDF"/>
    <w:rsid w:val="4AE6043E"/>
    <w:rsid w:val="4AE67D6D"/>
    <w:rsid w:val="4AE783FD"/>
    <w:rsid w:val="4AE9CC94"/>
    <w:rsid w:val="4AE9E27F"/>
    <w:rsid w:val="4AEB2343"/>
    <w:rsid w:val="4AEC3D08"/>
    <w:rsid w:val="4AED62EC"/>
    <w:rsid w:val="4AF0A64C"/>
    <w:rsid w:val="4AF1A361"/>
    <w:rsid w:val="4AF1E77D"/>
    <w:rsid w:val="4AF209EE"/>
    <w:rsid w:val="4AF26C9E"/>
    <w:rsid w:val="4AF302C4"/>
    <w:rsid w:val="4AF33552"/>
    <w:rsid w:val="4AF4C1F9"/>
    <w:rsid w:val="4AF7ADCF"/>
    <w:rsid w:val="4AF7B4B3"/>
    <w:rsid w:val="4AF810E8"/>
    <w:rsid w:val="4AFA3C87"/>
    <w:rsid w:val="4AFA6A4F"/>
    <w:rsid w:val="4AFAAB40"/>
    <w:rsid w:val="4B00E7D4"/>
    <w:rsid w:val="4B00FA0D"/>
    <w:rsid w:val="4B015034"/>
    <w:rsid w:val="4B01CAEE"/>
    <w:rsid w:val="4B0215D0"/>
    <w:rsid w:val="4B029D76"/>
    <w:rsid w:val="4B038918"/>
    <w:rsid w:val="4B080738"/>
    <w:rsid w:val="4B0818D1"/>
    <w:rsid w:val="4B0885FE"/>
    <w:rsid w:val="4B08B8B3"/>
    <w:rsid w:val="4B08F680"/>
    <w:rsid w:val="4B090D51"/>
    <w:rsid w:val="4B09F564"/>
    <w:rsid w:val="4B0A4CF0"/>
    <w:rsid w:val="4B0AF97A"/>
    <w:rsid w:val="4B0B2B82"/>
    <w:rsid w:val="4B0B7BC2"/>
    <w:rsid w:val="4B0C554D"/>
    <w:rsid w:val="4B0CDF26"/>
    <w:rsid w:val="4B10DD10"/>
    <w:rsid w:val="4B12862D"/>
    <w:rsid w:val="4B1567C3"/>
    <w:rsid w:val="4B15B90C"/>
    <w:rsid w:val="4B172AC1"/>
    <w:rsid w:val="4B17DF90"/>
    <w:rsid w:val="4B180A2F"/>
    <w:rsid w:val="4B1B792C"/>
    <w:rsid w:val="4B1CEB53"/>
    <w:rsid w:val="4B1E431C"/>
    <w:rsid w:val="4B1F78C4"/>
    <w:rsid w:val="4B229B12"/>
    <w:rsid w:val="4B25DF0E"/>
    <w:rsid w:val="4B268B4B"/>
    <w:rsid w:val="4B2795AA"/>
    <w:rsid w:val="4B280207"/>
    <w:rsid w:val="4B2802E3"/>
    <w:rsid w:val="4B2852E0"/>
    <w:rsid w:val="4B289DB7"/>
    <w:rsid w:val="4B29EFB1"/>
    <w:rsid w:val="4B2A5AD1"/>
    <w:rsid w:val="4B2CEA05"/>
    <w:rsid w:val="4B30DAEF"/>
    <w:rsid w:val="4B31D711"/>
    <w:rsid w:val="4B33D8C5"/>
    <w:rsid w:val="4B34A3E7"/>
    <w:rsid w:val="4B39DDA3"/>
    <w:rsid w:val="4B3B2B09"/>
    <w:rsid w:val="4B3B9E2F"/>
    <w:rsid w:val="4B3C7036"/>
    <w:rsid w:val="4B3F4E16"/>
    <w:rsid w:val="4B407BD4"/>
    <w:rsid w:val="4B429B76"/>
    <w:rsid w:val="4B4467E3"/>
    <w:rsid w:val="4B4570F3"/>
    <w:rsid w:val="4B4A2B51"/>
    <w:rsid w:val="4B4A61F7"/>
    <w:rsid w:val="4B4AC322"/>
    <w:rsid w:val="4B4BB988"/>
    <w:rsid w:val="4B5234BB"/>
    <w:rsid w:val="4B5271FA"/>
    <w:rsid w:val="4B530153"/>
    <w:rsid w:val="4B5320DA"/>
    <w:rsid w:val="4B55983C"/>
    <w:rsid w:val="4B574372"/>
    <w:rsid w:val="4B57E887"/>
    <w:rsid w:val="4B59A680"/>
    <w:rsid w:val="4B5F2EDC"/>
    <w:rsid w:val="4B5F3BE7"/>
    <w:rsid w:val="4B6002F7"/>
    <w:rsid w:val="4B61EBDA"/>
    <w:rsid w:val="4B62C65B"/>
    <w:rsid w:val="4B646550"/>
    <w:rsid w:val="4B651241"/>
    <w:rsid w:val="4B66918D"/>
    <w:rsid w:val="4B682303"/>
    <w:rsid w:val="4B6E6FD8"/>
    <w:rsid w:val="4B706550"/>
    <w:rsid w:val="4B72104F"/>
    <w:rsid w:val="4B7276E9"/>
    <w:rsid w:val="4B72B6CE"/>
    <w:rsid w:val="4B734AB7"/>
    <w:rsid w:val="4B73C41C"/>
    <w:rsid w:val="4B75400D"/>
    <w:rsid w:val="4B75927A"/>
    <w:rsid w:val="4B75A7C9"/>
    <w:rsid w:val="4B75C4D7"/>
    <w:rsid w:val="4B765F71"/>
    <w:rsid w:val="4B77B18E"/>
    <w:rsid w:val="4B786C88"/>
    <w:rsid w:val="4B7A767B"/>
    <w:rsid w:val="4B7E1C37"/>
    <w:rsid w:val="4B7F1BC7"/>
    <w:rsid w:val="4B805484"/>
    <w:rsid w:val="4B81CFAC"/>
    <w:rsid w:val="4B8226C1"/>
    <w:rsid w:val="4B82C899"/>
    <w:rsid w:val="4B8338C1"/>
    <w:rsid w:val="4B836C42"/>
    <w:rsid w:val="4B8489F3"/>
    <w:rsid w:val="4B85B90F"/>
    <w:rsid w:val="4B85F463"/>
    <w:rsid w:val="4B864C17"/>
    <w:rsid w:val="4B86501F"/>
    <w:rsid w:val="4B868FEE"/>
    <w:rsid w:val="4B880BD3"/>
    <w:rsid w:val="4B88AC49"/>
    <w:rsid w:val="4B89B142"/>
    <w:rsid w:val="4B89D933"/>
    <w:rsid w:val="4B8F05DF"/>
    <w:rsid w:val="4B91A77A"/>
    <w:rsid w:val="4B93AB00"/>
    <w:rsid w:val="4B93DFB6"/>
    <w:rsid w:val="4B94595D"/>
    <w:rsid w:val="4B94B9D6"/>
    <w:rsid w:val="4B997971"/>
    <w:rsid w:val="4B9C0DFF"/>
    <w:rsid w:val="4B9C7332"/>
    <w:rsid w:val="4BA67CDA"/>
    <w:rsid w:val="4BAB2801"/>
    <w:rsid w:val="4BACCD4B"/>
    <w:rsid w:val="4BAEF0AE"/>
    <w:rsid w:val="4BB1551E"/>
    <w:rsid w:val="4BB5B672"/>
    <w:rsid w:val="4BB61BCA"/>
    <w:rsid w:val="4BB65FE9"/>
    <w:rsid w:val="4BB8AA43"/>
    <w:rsid w:val="4BB8E72A"/>
    <w:rsid w:val="4BBD776E"/>
    <w:rsid w:val="4BC0052A"/>
    <w:rsid w:val="4BC02350"/>
    <w:rsid w:val="4BC0311F"/>
    <w:rsid w:val="4BC0CE07"/>
    <w:rsid w:val="4BC437C1"/>
    <w:rsid w:val="4BC78344"/>
    <w:rsid w:val="4BC8A00C"/>
    <w:rsid w:val="4BCAF25F"/>
    <w:rsid w:val="4BCB74A8"/>
    <w:rsid w:val="4BCB939C"/>
    <w:rsid w:val="4BD340FC"/>
    <w:rsid w:val="4BD3DCF3"/>
    <w:rsid w:val="4BD40979"/>
    <w:rsid w:val="4BD44F83"/>
    <w:rsid w:val="4BD51818"/>
    <w:rsid w:val="4BD56E80"/>
    <w:rsid w:val="4BD638EB"/>
    <w:rsid w:val="4BD643F1"/>
    <w:rsid w:val="4BD797E2"/>
    <w:rsid w:val="4BD91877"/>
    <w:rsid w:val="4BD9CA9C"/>
    <w:rsid w:val="4BDA72EF"/>
    <w:rsid w:val="4BDBFAF5"/>
    <w:rsid w:val="4BDD9B12"/>
    <w:rsid w:val="4BDE7586"/>
    <w:rsid w:val="4BDEEA15"/>
    <w:rsid w:val="4BDFABAB"/>
    <w:rsid w:val="4BE11F36"/>
    <w:rsid w:val="4BE1241B"/>
    <w:rsid w:val="4BE2F6EA"/>
    <w:rsid w:val="4BE36837"/>
    <w:rsid w:val="4BE3B223"/>
    <w:rsid w:val="4BE3FB23"/>
    <w:rsid w:val="4BE4DD30"/>
    <w:rsid w:val="4BE4EED5"/>
    <w:rsid w:val="4BE57BBE"/>
    <w:rsid w:val="4BE5DDC8"/>
    <w:rsid w:val="4BE6836E"/>
    <w:rsid w:val="4BE79B6C"/>
    <w:rsid w:val="4BE8ED5C"/>
    <w:rsid w:val="4BE9F619"/>
    <w:rsid w:val="4BEAE201"/>
    <w:rsid w:val="4BEB8C0B"/>
    <w:rsid w:val="4BEC52A6"/>
    <w:rsid w:val="4BEE045A"/>
    <w:rsid w:val="4BEF04C7"/>
    <w:rsid w:val="4BEF4A05"/>
    <w:rsid w:val="4BF10D25"/>
    <w:rsid w:val="4BF24D46"/>
    <w:rsid w:val="4BF58F1F"/>
    <w:rsid w:val="4BF5D863"/>
    <w:rsid w:val="4BF726F4"/>
    <w:rsid w:val="4BFA08BB"/>
    <w:rsid w:val="4BFC8914"/>
    <w:rsid w:val="4BFC8BEC"/>
    <w:rsid w:val="4BFEB008"/>
    <w:rsid w:val="4BFF2D20"/>
    <w:rsid w:val="4C0019EC"/>
    <w:rsid w:val="4C001D76"/>
    <w:rsid w:val="4C04D59F"/>
    <w:rsid w:val="4C04E618"/>
    <w:rsid w:val="4C076251"/>
    <w:rsid w:val="4C08DD87"/>
    <w:rsid w:val="4C0A675B"/>
    <w:rsid w:val="4C0C61DC"/>
    <w:rsid w:val="4C0D9EA9"/>
    <w:rsid w:val="4C0F4293"/>
    <w:rsid w:val="4C0FB88C"/>
    <w:rsid w:val="4C104A6E"/>
    <w:rsid w:val="4C154C62"/>
    <w:rsid w:val="4C16719D"/>
    <w:rsid w:val="4C178A5F"/>
    <w:rsid w:val="4C1B699B"/>
    <w:rsid w:val="4C1B94C9"/>
    <w:rsid w:val="4C1BB8FB"/>
    <w:rsid w:val="4C1E6BFD"/>
    <w:rsid w:val="4C208767"/>
    <w:rsid w:val="4C24C0BD"/>
    <w:rsid w:val="4C258EE0"/>
    <w:rsid w:val="4C26F165"/>
    <w:rsid w:val="4C2822BD"/>
    <w:rsid w:val="4C286972"/>
    <w:rsid w:val="4C29539B"/>
    <w:rsid w:val="4C2B480E"/>
    <w:rsid w:val="4C2B6C92"/>
    <w:rsid w:val="4C2BFCD3"/>
    <w:rsid w:val="4C2C43DF"/>
    <w:rsid w:val="4C2D28E6"/>
    <w:rsid w:val="4C2DFA42"/>
    <w:rsid w:val="4C302784"/>
    <w:rsid w:val="4C32567A"/>
    <w:rsid w:val="4C3462D5"/>
    <w:rsid w:val="4C37AF46"/>
    <w:rsid w:val="4C3A5C18"/>
    <w:rsid w:val="4C3DA1DD"/>
    <w:rsid w:val="4C3DD5EE"/>
    <w:rsid w:val="4C3F3597"/>
    <w:rsid w:val="4C417F0D"/>
    <w:rsid w:val="4C4593B3"/>
    <w:rsid w:val="4C496559"/>
    <w:rsid w:val="4C4B3F33"/>
    <w:rsid w:val="4C4D2217"/>
    <w:rsid w:val="4C4E27C1"/>
    <w:rsid w:val="4C4E8D48"/>
    <w:rsid w:val="4C540A99"/>
    <w:rsid w:val="4C556457"/>
    <w:rsid w:val="4C56DDDD"/>
    <w:rsid w:val="4C5A26C7"/>
    <w:rsid w:val="4C5A31B3"/>
    <w:rsid w:val="4C5CCB52"/>
    <w:rsid w:val="4C5DB90D"/>
    <w:rsid w:val="4C60ABDD"/>
    <w:rsid w:val="4C621AF5"/>
    <w:rsid w:val="4C644439"/>
    <w:rsid w:val="4C647590"/>
    <w:rsid w:val="4C65DFEE"/>
    <w:rsid w:val="4C66D625"/>
    <w:rsid w:val="4C672418"/>
    <w:rsid w:val="4C67EB8F"/>
    <w:rsid w:val="4C6B8FDA"/>
    <w:rsid w:val="4C6D5288"/>
    <w:rsid w:val="4C72C87C"/>
    <w:rsid w:val="4C74455C"/>
    <w:rsid w:val="4C74ED5A"/>
    <w:rsid w:val="4C74F7EF"/>
    <w:rsid w:val="4C7536CF"/>
    <w:rsid w:val="4C76EBC4"/>
    <w:rsid w:val="4C77BA6E"/>
    <w:rsid w:val="4C797C2F"/>
    <w:rsid w:val="4C7A470B"/>
    <w:rsid w:val="4C7A8695"/>
    <w:rsid w:val="4C7E700C"/>
    <w:rsid w:val="4C80F35C"/>
    <w:rsid w:val="4C82AEAA"/>
    <w:rsid w:val="4C8430E4"/>
    <w:rsid w:val="4C859CF5"/>
    <w:rsid w:val="4C8634DF"/>
    <w:rsid w:val="4C869DEB"/>
    <w:rsid w:val="4C86CF80"/>
    <w:rsid w:val="4C881342"/>
    <w:rsid w:val="4C8A75AB"/>
    <w:rsid w:val="4C8A9052"/>
    <w:rsid w:val="4C8B93B2"/>
    <w:rsid w:val="4C8BDF35"/>
    <w:rsid w:val="4C8CF182"/>
    <w:rsid w:val="4C8CF268"/>
    <w:rsid w:val="4C9204C1"/>
    <w:rsid w:val="4C93C829"/>
    <w:rsid w:val="4C9462B5"/>
    <w:rsid w:val="4C96948F"/>
    <w:rsid w:val="4C970991"/>
    <w:rsid w:val="4C97AA92"/>
    <w:rsid w:val="4C97EC5A"/>
    <w:rsid w:val="4C98888C"/>
    <w:rsid w:val="4C9E22C2"/>
    <w:rsid w:val="4C9EAC8A"/>
    <w:rsid w:val="4C9EB7EA"/>
    <w:rsid w:val="4C9FCFAE"/>
    <w:rsid w:val="4CA0139E"/>
    <w:rsid w:val="4CA32252"/>
    <w:rsid w:val="4CA6277E"/>
    <w:rsid w:val="4CA73324"/>
    <w:rsid w:val="4CAB339B"/>
    <w:rsid w:val="4CAD90BB"/>
    <w:rsid w:val="4CB00DE0"/>
    <w:rsid w:val="4CB6B0E1"/>
    <w:rsid w:val="4CB907E0"/>
    <w:rsid w:val="4CB97B12"/>
    <w:rsid w:val="4CBA4C7E"/>
    <w:rsid w:val="4CBBC95E"/>
    <w:rsid w:val="4CBC128C"/>
    <w:rsid w:val="4CBC66E8"/>
    <w:rsid w:val="4CC04C5A"/>
    <w:rsid w:val="4CC14D57"/>
    <w:rsid w:val="4CC291A5"/>
    <w:rsid w:val="4CC2CA0C"/>
    <w:rsid w:val="4CC58FE0"/>
    <w:rsid w:val="4CC978D2"/>
    <w:rsid w:val="4CC9EAAA"/>
    <w:rsid w:val="4CCCF109"/>
    <w:rsid w:val="4CCD525D"/>
    <w:rsid w:val="4CCDA0B1"/>
    <w:rsid w:val="4CCF2D16"/>
    <w:rsid w:val="4CCF6F87"/>
    <w:rsid w:val="4CCF9ADD"/>
    <w:rsid w:val="4CD09EE8"/>
    <w:rsid w:val="4CD2396E"/>
    <w:rsid w:val="4CD4AE1F"/>
    <w:rsid w:val="4CD5A168"/>
    <w:rsid w:val="4CE02612"/>
    <w:rsid w:val="4CE2960C"/>
    <w:rsid w:val="4CE404AF"/>
    <w:rsid w:val="4CE63429"/>
    <w:rsid w:val="4CE75BFF"/>
    <w:rsid w:val="4CE8798B"/>
    <w:rsid w:val="4CE9E800"/>
    <w:rsid w:val="4CEAD127"/>
    <w:rsid w:val="4CEB5672"/>
    <w:rsid w:val="4CEB9501"/>
    <w:rsid w:val="4CECD7E3"/>
    <w:rsid w:val="4CED5488"/>
    <w:rsid w:val="4CF1EBF7"/>
    <w:rsid w:val="4CF24CB5"/>
    <w:rsid w:val="4CF388F8"/>
    <w:rsid w:val="4CF45A2E"/>
    <w:rsid w:val="4CF52DD4"/>
    <w:rsid w:val="4CF58153"/>
    <w:rsid w:val="4CF8EED3"/>
    <w:rsid w:val="4CFDC34D"/>
    <w:rsid w:val="4CFE626A"/>
    <w:rsid w:val="4CFEE8FE"/>
    <w:rsid w:val="4D000938"/>
    <w:rsid w:val="4D00F5A1"/>
    <w:rsid w:val="4D02BBFC"/>
    <w:rsid w:val="4D099A91"/>
    <w:rsid w:val="4D0B56A7"/>
    <w:rsid w:val="4D0D971F"/>
    <w:rsid w:val="4D108D76"/>
    <w:rsid w:val="4D10B647"/>
    <w:rsid w:val="4D118644"/>
    <w:rsid w:val="4D1396C4"/>
    <w:rsid w:val="4D14AC8E"/>
    <w:rsid w:val="4D1764D7"/>
    <w:rsid w:val="4D191A6A"/>
    <w:rsid w:val="4D1A5FB8"/>
    <w:rsid w:val="4D1B4529"/>
    <w:rsid w:val="4D1B8C4C"/>
    <w:rsid w:val="4D1BA43C"/>
    <w:rsid w:val="4D1C5195"/>
    <w:rsid w:val="4D1E293A"/>
    <w:rsid w:val="4D1E34F9"/>
    <w:rsid w:val="4D1E5261"/>
    <w:rsid w:val="4D1E75A2"/>
    <w:rsid w:val="4D20E61E"/>
    <w:rsid w:val="4D21E7FB"/>
    <w:rsid w:val="4D233D01"/>
    <w:rsid w:val="4D2488DA"/>
    <w:rsid w:val="4D25FDC9"/>
    <w:rsid w:val="4D266311"/>
    <w:rsid w:val="4D267C93"/>
    <w:rsid w:val="4D26F077"/>
    <w:rsid w:val="4D26F146"/>
    <w:rsid w:val="4D2829FA"/>
    <w:rsid w:val="4D29F167"/>
    <w:rsid w:val="4D2ABA4F"/>
    <w:rsid w:val="4D2AF981"/>
    <w:rsid w:val="4D2D493A"/>
    <w:rsid w:val="4D2F5C7D"/>
    <w:rsid w:val="4D3015D3"/>
    <w:rsid w:val="4D3091E1"/>
    <w:rsid w:val="4D3308DF"/>
    <w:rsid w:val="4D34124C"/>
    <w:rsid w:val="4D34A40B"/>
    <w:rsid w:val="4D352D69"/>
    <w:rsid w:val="4D35CFD8"/>
    <w:rsid w:val="4D372805"/>
    <w:rsid w:val="4D37B3C9"/>
    <w:rsid w:val="4D38D4A4"/>
    <w:rsid w:val="4D38F6B5"/>
    <w:rsid w:val="4D3B9228"/>
    <w:rsid w:val="4D3C1199"/>
    <w:rsid w:val="4D3C6568"/>
    <w:rsid w:val="4D3CEFB9"/>
    <w:rsid w:val="4D3F4A40"/>
    <w:rsid w:val="4D43878C"/>
    <w:rsid w:val="4D441697"/>
    <w:rsid w:val="4D4433B5"/>
    <w:rsid w:val="4D4514B4"/>
    <w:rsid w:val="4D45C9FF"/>
    <w:rsid w:val="4D463124"/>
    <w:rsid w:val="4D469E5B"/>
    <w:rsid w:val="4D4774E4"/>
    <w:rsid w:val="4D478491"/>
    <w:rsid w:val="4D49D562"/>
    <w:rsid w:val="4D4A81E7"/>
    <w:rsid w:val="4D4CBC45"/>
    <w:rsid w:val="4D502FA1"/>
    <w:rsid w:val="4D50FF8A"/>
    <w:rsid w:val="4D55A226"/>
    <w:rsid w:val="4D56C03F"/>
    <w:rsid w:val="4D5D76AF"/>
    <w:rsid w:val="4D5ED976"/>
    <w:rsid w:val="4D5F066C"/>
    <w:rsid w:val="4D5F43B0"/>
    <w:rsid w:val="4D616C11"/>
    <w:rsid w:val="4D61BBC0"/>
    <w:rsid w:val="4D645DC3"/>
    <w:rsid w:val="4D64F895"/>
    <w:rsid w:val="4D650742"/>
    <w:rsid w:val="4D66F278"/>
    <w:rsid w:val="4D687D32"/>
    <w:rsid w:val="4D69EEA8"/>
    <w:rsid w:val="4D6A5D82"/>
    <w:rsid w:val="4D6C29B1"/>
    <w:rsid w:val="4D6C5F7E"/>
    <w:rsid w:val="4D6EF9CD"/>
    <w:rsid w:val="4D6F9EA1"/>
    <w:rsid w:val="4D701769"/>
    <w:rsid w:val="4D7122E7"/>
    <w:rsid w:val="4D71EE01"/>
    <w:rsid w:val="4D72E39E"/>
    <w:rsid w:val="4D739B17"/>
    <w:rsid w:val="4D751E1A"/>
    <w:rsid w:val="4D755DCA"/>
    <w:rsid w:val="4D75DBA2"/>
    <w:rsid w:val="4D76FDFF"/>
    <w:rsid w:val="4D77CB56"/>
    <w:rsid w:val="4D780FAC"/>
    <w:rsid w:val="4D7830C9"/>
    <w:rsid w:val="4D79DC01"/>
    <w:rsid w:val="4D7A2D81"/>
    <w:rsid w:val="4D7A5946"/>
    <w:rsid w:val="4D7A7C09"/>
    <w:rsid w:val="4D7AA273"/>
    <w:rsid w:val="4D7ABF8A"/>
    <w:rsid w:val="4D7CDCF3"/>
    <w:rsid w:val="4D7CFD18"/>
    <w:rsid w:val="4D7D016C"/>
    <w:rsid w:val="4D7F366D"/>
    <w:rsid w:val="4D803619"/>
    <w:rsid w:val="4D81ACA1"/>
    <w:rsid w:val="4D81FEE9"/>
    <w:rsid w:val="4D82D161"/>
    <w:rsid w:val="4D835251"/>
    <w:rsid w:val="4D847596"/>
    <w:rsid w:val="4D86A988"/>
    <w:rsid w:val="4D8AF04F"/>
    <w:rsid w:val="4D8F1533"/>
    <w:rsid w:val="4D8F53F2"/>
    <w:rsid w:val="4D9369D4"/>
    <w:rsid w:val="4D961F67"/>
    <w:rsid w:val="4D9AD287"/>
    <w:rsid w:val="4D9C1903"/>
    <w:rsid w:val="4D9D0992"/>
    <w:rsid w:val="4D9D430F"/>
    <w:rsid w:val="4D9DB407"/>
    <w:rsid w:val="4D9EBA3F"/>
    <w:rsid w:val="4D9ED41B"/>
    <w:rsid w:val="4D9EDE89"/>
    <w:rsid w:val="4D9F8079"/>
    <w:rsid w:val="4DA2B827"/>
    <w:rsid w:val="4DA4C3A2"/>
    <w:rsid w:val="4DA55FA0"/>
    <w:rsid w:val="4DA5E7B0"/>
    <w:rsid w:val="4DA9F26A"/>
    <w:rsid w:val="4DAB8918"/>
    <w:rsid w:val="4DAF3F13"/>
    <w:rsid w:val="4DAF74AC"/>
    <w:rsid w:val="4DAF997E"/>
    <w:rsid w:val="4DB0E393"/>
    <w:rsid w:val="4DB182D6"/>
    <w:rsid w:val="4DB24320"/>
    <w:rsid w:val="4DB4875E"/>
    <w:rsid w:val="4DB542F2"/>
    <w:rsid w:val="4DB55A60"/>
    <w:rsid w:val="4DB930F9"/>
    <w:rsid w:val="4DB98CFE"/>
    <w:rsid w:val="4DBB785B"/>
    <w:rsid w:val="4DBCEBEA"/>
    <w:rsid w:val="4DC0D32D"/>
    <w:rsid w:val="4DC0D8BA"/>
    <w:rsid w:val="4DC1BDA2"/>
    <w:rsid w:val="4DC5743C"/>
    <w:rsid w:val="4DC61EFE"/>
    <w:rsid w:val="4DC6DE84"/>
    <w:rsid w:val="4DC7AF00"/>
    <w:rsid w:val="4DC7B395"/>
    <w:rsid w:val="4DC9703F"/>
    <w:rsid w:val="4DCA9075"/>
    <w:rsid w:val="4DCC2D30"/>
    <w:rsid w:val="4DCE2E42"/>
    <w:rsid w:val="4DD40DCF"/>
    <w:rsid w:val="4DD43B52"/>
    <w:rsid w:val="4DD755C0"/>
    <w:rsid w:val="4DD945D5"/>
    <w:rsid w:val="4DDC259A"/>
    <w:rsid w:val="4DDEC877"/>
    <w:rsid w:val="4DE4D513"/>
    <w:rsid w:val="4DE60091"/>
    <w:rsid w:val="4DEAB786"/>
    <w:rsid w:val="4DEB8D76"/>
    <w:rsid w:val="4DEBFE41"/>
    <w:rsid w:val="4DED52F6"/>
    <w:rsid w:val="4DEDD79D"/>
    <w:rsid w:val="4DF0A730"/>
    <w:rsid w:val="4DF3545D"/>
    <w:rsid w:val="4DF507FC"/>
    <w:rsid w:val="4DF6B66F"/>
    <w:rsid w:val="4DF75BF1"/>
    <w:rsid w:val="4DF8AFC4"/>
    <w:rsid w:val="4DFF4703"/>
    <w:rsid w:val="4E036B1A"/>
    <w:rsid w:val="4E050906"/>
    <w:rsid w:val="4E097349"/>
    <w:rsid w:val="4E09CFEB"/>
    <w:rsid w:val="4E0A29A1"/>
    <w:rsid w:val="4E0ACA55"/>
    <w:rsid w:val="4E0C8990"/>
    <w:rsid w:val="4E0CF548"/>
    <w:rsid w:val="4E0E1D85"/>
    <w:rsid w:val="4E1235DB"/>
    <w:rsid w:val="4E12E635"/>
    <w:rsid w:val="4E1374AE"/>
    <w:rsid w:val="4E149309"/>
    <w:rsid w:val="4E14A8CA"/>
    <w:rsid w:val="4E16CD7E"/>
    <w:rsid w:val="4E1A6D0E"/>
    <w:rsid w:val="4E1AAF5C"/>
    <w:rsid w:val="4E1BA5A3"/>
    <w:rsid w:val="4E1E262C"/>
    <w:rsid w:val="4E20DEF1"/>
    <w:rsid w:val="4E225EBC"/>
    <w:rsid w:val="4E23404E"/>
    <w:rsid w:val="4E24EC8B"/>
    <w:rsid w:val="4E250EE0"/>
    <w:rsid w:val="4E278A76"/>
    <w:rsid w:val="4E292BA8"/>
    <w:rsid w:val="4E2CBDC8"/>
    <w:rsid w:val="4E2CCCD9"/>
    <w:rsid w:val="4E2DB2CD"/>
    <w:rsid w:val="4E2DEAF1"/>
    <w:rsid w:val="4E2F3F7F"/>
    <w:rsid w:val="4E2FAE73"/>
    <w:rsid w:val="4E3067C2"/>
    <w:rsid w:val="4E308C48"/>
    <w:rsid w:val="4E351FA7"/>
    <w:rsid w:val="4E360BC2"/>
    <w:rsid w:val="4E3728C3"/>
    <w:rsid w:val="4E3CEC21"/>
    <w:rsid w:val="4E3D0599"/>
    <w:rsid w:val="4E3D474D"/>
    <w:rsid w:val="4E3FC0DC"/>
    <w:rsid w:val="4E419681"/>
    <w:rsid w:val="4E41C9EE"/>
    <w:rsid w:val="4E41CD3E"/>
    <w:rsid w:val="4E420C63"/>
    <w:rsid w:val="4E4212B4"/>
    <w:rsid w:val="4E423BD6"/>
    <w:rsid w:val="4E42D9B6"/>
    <w:rsid w:val="4E42EA92"/>
    <w:rsid w:val="4E431713"/>
    <w:rsid w:val="4E4394E5"/>
    <w:rsid w:val="4E43E2C1"/>
    <w:rsid w:val="4E4532E7"/>
    <w:rsid w:val="4E488F6B"/>
    <w:rsid w:val="4E48C6B0"/>
    <w:rsid w:val="4E4964D2"/>
    <w:rsid w:val="4E498EFF"/>
    <w:rsid w:val="4E4A47BB"/>
    <w:rsid w:val="4E4D4F6F"/>
    <w:rsid w:val="4E515C27"/>
    <w:rsid w:val="4E51C8E3"/>
    <w:rsid w:val="4E555A78"/>
    <w:rsid w:val="4E567008"/>
    <w:rsid w:val="4E57D61E"/>
    <w:rsid w:val="4E58008F"/>
    <w:rsid w:val="4E5943E0"/>
    <w:rsid w:val="4E5AE77B"/>
    <w:rsid w:val="4E5BD4EF"/>
    <w:rsid w:val="4E5BEA63"/>
    <w:rsid w:val="4E5C7815"/>
    <w:rsid w:val="4E5CB48A"/>
    <w:rsid w:val="4E5CE804"/>
    <w:rsid w:val="4E5D445D"/>
    <w:rsid w:val="4E5F3F50"/>
    <w:rsid w:val="4E60F387"/>
    <w:rsid w:val="4E6232B0"/>
    <w:rsid w:val="4E639A1B"/>
    <w:rsid w:val="4E6431E1"/>
    <w:rsid w:val="4E6763E2"/>
    <w:rsid w:val="4E67A2FA"/>
    <w:rsid w:val="4E69D2C7"/>
    <w:rsid w:val="4E69FBA8"/>
    <w:rsid w:val="4E6CBCB6"/>
    <w:rsid w:val="4E6DA63A"/>
    <w:rsid w:val="4E6ECCDB"/>
    <w:rsid w:val="4E6FE7A1"/>
    <w:rsid w:val="4E715E47"/>
    <w:rsid w:val="4E72AEC4"/>
    <w:rsid w:val="4E73D0BA"/>
    <w:rsid w:val="4E75274D"/>
    <w:rsid w:val="4E77CC62"/>
    <w:rsid w:val="4E7843B5"/>
    <w:rsid w:val="4E785D42"/>
    <w:rsid w:val="4E7894E7"/>
    <w:rsid w:val="4E78CC61"/>
    <w:rsid w:val="4E7A0455"/>
    <w:rsid w:val="4E7D6BDA"/>
    <w:rsid w:val="4E7F755D"/>
    <w:rsid w:val="4E7F997F"/>
    <w:rsid w:val="4E800DAD"/>
    <w:rsid w:val="4E8132FC"/>
    <w:rsid w:val="4E83A85B"/>
    <w:rsid w:val="4E840407"/>
    <w:rsid w:val="4E84AF51"/>
    <w:rsid w:val="4E85DC5E"/>
    <w:rsid w:val="4E87639C"/>
    <w:rsid w:val="4E879F89"/>
    <w:rsid w:val="4E8BFEF1"/>
    <w:rsid w:val="4E927F69"/>
    <w:rsid w:val="4E92B613"/>
    <w:rsid w:val="4E97E5C1"/>
    <w:rsid w:val="4E995223"/>
    <w:rsid w:val="4E9993F2"/>
    <w:rsid w:val="4E9AF941"/>
    <w:rsid w:val="4E9B390C"/>
    <w:rsid w:val="4E9E8791"/>
    <w:rsid w:val="4E9EC733"/>
    <w:rsid w:val="4E9ED3A2"/>
    <w:rsid w:val="4E9F5770"/>
    <w:rsid w:val="4EA0056A"/>
    <w:rsid w:val="4EA1CA82"/>
    <w:rsid w:val="4EA2310D"/>
    <w:rsid w:val="4EA3B8AF"/>
    <w:rsid w:val="4EA3F4D5"/>
    <w:rsid w:val="4EA58C57"/>
    <w:rsid w:val="4EA8D95E"/>
    <w:rsid w:val="4EAB8598"/>
    <w:rsid w:val="4EABBBFA"/>
    <w:rsid w:val="4EACC788"/>
    <w:rsid w:val="4EAD291E"/>
    <w:rsid w:val="4EAD5AAE"/>
    <w:rsid w:val="4EAECB13"/>
    <w:rsid w:val="4EAF776F"/>
    <w:rsid w:val="4EB19B6B"/>
    <w:rsid w:val="4EB315F8"/>
    <w:rsid w:val="4EB372D7"/>
    <w:rsid w:val="4EB37F7C"/>
    <w:rsid w:val="4EB4756F"/>
    <w:rsid w:val="4EB527C3"/>
    <w:rsid w:val="4EB7C3E9"/>
    <w:rsid w:val="4EB89BBB"/>
    <w:rsid w:val="4EBA29B5"/>
    <w:rsid w:val="4EBBAED8"/>
    <w:rsid w:val="4EBE8389"/>
    <w:rsid w:val="4EC220AF"/>
    <w:rsid w:val="4EC34A3A"/>
    <w:rsid w:val="4EC53C74"/>
    <w:rsid w:val="4EC59BDF"/>
    <w:rsid w:val="4EC79E6D"/>
    <w:rsid w:val="4EC81A55"/>
    <w:rsid w:val="4EC8EAAE"/>
    <w:rsid w:val="4ECC1395"/>
    <w:rsid w:val="4ECC4E2D"/>
    <w:rsid w:val="4ECCDBFC"/>
    <w:rsid w:val="4ECDF62C"/>
    <w:rsid w:val="4ECF3E2A"/>
    <w:rsid w:val="4ECFB9CC"/>
    <w:rsid w:val="4ED08E0E"/>
    <w:rsid w:val="4ED27E28"/>
    <w:rsid w:val="4ED4D4BC"/>
    <w:rsid w:val="4ED4D8F5"/>
    <w:rsid w:val="4ED60D18"/>
    <w:rsid w:val="4ED6F720"/>
    <w:rsid w:val="4ED767DF"/>
    <w:rsid w:val="4ED76813"/>
    <w:rsid w:val="4EDBFC1B"/>
    <w:rsid w:val="4EDE49EC"/>
    <w:rsid w:val="4EE35489"/>
    <w:rsid w:val="4EE391C3"/>
    <w:rsid w:val="4EE4C367"/>
    <w:rsid w:val="4EE5BA7B"/>
    <w:rsid w:val="4EE8432D"/>
    <w:rsid w:val="4EE89782"/>
    <w:rsid w:val="4EE8BD86"/>
    <w:rsid w:val="4EEBAD0A"/>
    <w:rsid w:val="4EEBEC38"/>
    <w:rsid w:val="4EECBA0C"/>
    <w:rsid w:val="4EEEE28E"/>
    <w:rsid w:val="4EF05719"/>
    <w:rsid w:val="4EF06B42"/>
    <w:rsid w:val="4EF0A3BA"/>
    <w:rsid w:val="4EF3A5A7"/>
    <w:rsid w:val="4EF40A03"/>
    <w:rsid w:val="4EF5FAB5"/>
    <w:rsid w:val="4EF7CAAF"/>
    <w:rsid w:val="4EFB5189"/>
    <w:rsid w:val="4EFCBD7C"/>
    <w:rsid w:val="4EFE96D6"/>
    <w:rsid w:val="4EFF710B"/>
    <w:rsid w:val="4F007CF3"/>
    <w:rsid w:val="4F079786"/>
    <w:rsid w:val="4F0807C1"/>
    <w:rsid w:val="4F0C0130"/>
    <w:rsid w:val="4F0DAE35"/>
    <w:rsid w:val="4F0E8D93"/>
    <w:rsid w:val="4F0EED05"/>
    <w:rsid w:val="4F111AA5"/>
    <w:rsid w:val="4F125DBB"/>
    <w:rsid w:val="4F13323C"/>
    <w:rsid w:val="4F154A84"/>
    <w:rsid w:val="4F15C1A7"/>
    <w:rsid w:val="4F1C3416"/>
    <w:rsid w:val="4F1DBE45"/>
    <w:rsid w:val="4F1FF080"/>
    <w:rsid w:val="4F20019D"/>
    <w:rsid w:val="4F203AAB"/>
    <w:rsid w:val="4F22353C"/>
    <w:rsid w:val="4F22CE4C"/>
    <w:rsid w:val="4F232189"/>
    <w:rsid w:val="4F257725"/>
    <w:rsid w:val="4F274410"/>
    <w:rsid w:val="4F279780"/>
    <w:rsid w:val="4F27B9A8"/>
    <w:rsid w:val="4F2ADFB2"/>
    <w:rsid w:val="4F2C0211"/>
    <w:rsid w:val="4F2E2DE5"/>
    <w:rsid w:val="4F2E424C"/>
    <w:rsid w:val="4F2F2525"/>
    <w:rsid w:val="4F2F78A7"/>
    <w:rsid w:val="4F2FB18A"/>
    <w:rsid w:val="4F322DB9"/>
    <w:rsid w:val="4F354AA2"/>
    <w:rsid w:val="4F370AA7"/>
    <w:rsid w:val="4F371243"/>
    <w:rsid w:val="4F38713A"/>
    <w:rsid w:val="4F38F8C1"/>
    <w:rsid w:val="4F3CD29C"/>
    <w:rsid w:val="4F3CF99F"/>
    <w:rsid w:val="4F3E37E7"/>
    <w:rsid w:val="4F3E3E79"/>
    <w:rsid w:val="4F411130"/>
    <w:rsid w:val="4F423D33"/>
    <w:rsid w:val="4F42578B"/>
    <w:rsid w:val="4F45E22B"/>
    <w:rsid w:val="4F485DA6"/>
    <w:rsid w:val="4F4ABFA3"/>
    <w:rsid w:val="4F4CDB32"/>
    <w:rsid w:val="4F509D4F"/>
    <w:rsid w:val="4F53150B"/>
    <w:rsid w:val="4F551350"/>
    <w:rsid w:val="4F551856"/>
    <w:rsid w:val="4F568424"/>
    <w:rsid w:val="4F56FBA6"/>
    <w:rsid w:val="4F57825C"/>
    <w:rsid w:val="4F583D56"/>
    <w:rsid w:val="4F584218"/>
    <w:rsid w:val="4F58BC3E"/>
    <w:rsid w:val="4F5A95F7"/>
    <w:rsid w:val="4F5BFB2D"/>
    <w:rsid w:val="4F5C3608"/>
    <w:rsid w:val="4F5E9B43"/>
    <w:rsid w:val="4F5EBD08"/>
    <w:rsid w:val="4F609E39"/>
    <w:rsid w:val="4F609FAA"/>
    <w:rsid w:val="4F62653F"/>
    <w:rsid w:val="4F63F183"/>
    <w:rsid w:val="4F64634C"/>
    <w:rsid w:val="4F64C033"/>
    <w:rsid w:val="4F681539"/>
    <w:rsid w:val="4F689CBA"/>
    <w:rsid w:val="4F6B5371"/>
    <w:rsid w:val="4F6BA52D"/>
    <w:rsid w:val="4F6BAB63"/>
    <w:rsid w:val="4F6EE5A7"/>
    <w:rsid w:val="4F70B80D"/>
    <w:rsid w:val="4F728B2B"/>
    <w:rsid w:val="4F72B938"/>
    <w:rsid w:val="4F75357D"/>
    <w:rsid w:val="4F7823E6"/>
    <w:rsid w:val="4F784288"/>
    <w:rsid w:val="4F7A5A73"/>
    <w:rsid w:val="4F7C0708"/>
    <w:rsid w:val="4F7CBA8B"/>
    <w:rsid w:val="4F7F133F"/>
    <w:rsid w:val="4F7FB9D0"/>
    <w:rsid w:val="4F817D8D"/>
    <w:rsid w:val="4F82B305"/>
    <w:rsid w:val="4F831C3B"/>
    <w:rsid w:val="4F83B387"/>
    <w:rsid w:val="4F85A1F3"/>
    <w:rsid w:val="4F8BEA4D"/>
    <w:rsid w:val="4F8CF0DF"/>
    <w:rsid w:val="4F8CF91E"/>
    <w:rsid w:val="4F8E89AE"/>
    <w:rsid w:val="4F8F7D0E"/>
    <w:rsid w:val="4F8FAD5E"/>
    <w:rsid w:val="4F9182AB"/>
    <w:rsid w:val="4F91D3DC"/>
    <w:rsid w:val="4F943759"/>
    <w:rsid w:val="4F950DDE"/>
    <w:rsid w:val="4F950FEC"/>
    <w:rsid w:val="4F962B08"/>
    <w:rsid w:val="4F99AB24"/>
    <w:rsid w:val="4F9C9824"/>
    <w:rsid w:val="4F9D1A95"/>
    <w:rsid w:val="4F9D1CA7"/>
    <w:rsid w:val="4FA14B09"/>
    <w:rsid w:val="4FA15968"/>
    <w:rsid w:val="4FA23E62"/>
    <w:rsid w:val="4FA2A398"/>
    <w:rsid w:val="4FA38EC5"/>
    <w:rsid w:val="4FA4214C"/>
    <w:rsid w:val="4FA4DBB3"/>
    <w:rsid w:val="4FA54979"/>
    <w:rsid w:val="4FA85835"/>
    <w:rsid w:val="4FA8A2EA"/>
    <w:rsid w:val="4FA99487"/>
    <w:rsid w:val="4FABEC98"/>
    <w:rsid w:val="4FAC6D9C"/>
    <w:rsid w:val="4FAD8330"/>
    <w:rsid w:val="4FAE0991"/>
    <w:rsid w:val="4FAE740D"/>
    <w:rsid w:val="4FB5656D"/>
    <w:rsid w:val="4FB67678"/>
    <w:rsid w:val="4FB7A80D"/>
    <w:rsid w:val="4FB7AB2D"/>
    <w:rsid w:val="4FBF7FCB"/>
    <w:rsid w:val="4FC08806"/>
    <w:rsid w:val="4FC2AF36"/>
    <w:rsid w:val="4FC3D0C3"/>
    <w:rsid w:val="4FC5453D"/>
    <w:rsid w:val="4FC6044F"/>
    <w:rsid w:val="4FC646BA"/>
    <w:rsid w:val="4FC6C93E"/>
    <w:rsid w:val="4FC70431"/>
    <w:rsid w:val="4FC7B9F8"/>
    <w:rsid w:val="4FCBF74B"/>
    <w:rsid w:val="4FD16A28"/>
    <w:rsid w:val="4FD1DDB1"/>
    <w:rsid w:val="4FD30330"/>
    <w:rsid w:val="4FD398A2"/>
    <w:rsid w:val="4FD42DC3"/>
    <w:rsid w:val="4FD45B71"/>
    <w:rsid w:val="4FD46948"/>
    <w:rsid w:val="4FD68081"/>
    <w:rsid w:val="4FD8CD19"/>
    <w:rsid w:val="4FD93236"/>
    <w:rsid w:val="4FD9C9C9"/>
    <w:rsid w:val="4FD9F580"/>
    <w:rsid w:val="4FE23F99"/>
    <w:rsid w:val="4FE25B78"/>
    <w:rsid w:val="4FE2628F"/>
    <w:rsid w:val="4FE32B62"/>
    <w:rsid w:val="4FE3A8B2"/>
    <w:rsid w:val="4FE42E37"/>
    <w:rsid w:val="4FE713A6"/>
    <w:rsid w:val="4FE80381"/>
    <w:rsid w:val="4FE82BB5"/>
    <w:rsid w:val="4FE861F5"/>
    <w:rsid w:val="4FEAF9E1"/>
    <w:rsid w:val="4FEB40AF"/>
    <w:rsid w:val="4FEB52F9"/>
    <w:rsid w:val="4FED734D"/>
    <w:rsid w:val="4FED7C43"/>
    <w:rsid w:val="4FEEA15B"/>
    <w:rsid w:val="4FF000A5"/>
    <w:rsid w:val="4FF0CB62"/>
    <w:rsid w:val="4FF0F27F"/>
    <w:rsid w:val="4FF139BB"/>
    <w:rsid w:val="4FF64913"/>
    <w:rsid w:val="4FF6AE55"/>
    <w:rsid w:val="4FF8475B"/>
    <w:rsid w:val="4FF86288"/>
    <w:rsid w:val="4FF9935E"/>
    <w:rsid w:val="4FFADF5B"/>
    <w:rsid w:val="4FFC4520"/>
    <w:rsid w:val="4FFDD893"/>
    <w:rsid w:val="4FFE7EC0"/>
    <w:rsid w:val="500227C1"/>
    <w:rsid w:val="5003C5DF"/>
    <w:rsid w:val="50061654"/>
    <w:rsid w:val="5007C2C3"/>
    <w:rsid w:val="5008621D"/>
    <w:rsid w:val="500AFA1F"/>
    <w:rsid w:val="500C5175"/>
    <w:rsid w:val="500C6786"/>
    <w:rsid w:val="500E6F9F"/>
    <w:rsid w:val="500F6732"/>
    <w:rsid w:val="5012C2FA"/>
    <w:rsid w:val="50154CBC"/>
    <w:rsid w:val="50166106"/>
    <w:rsid w:val="5017176F"/>
    <w:rsid w:val="5017CFE3"/>
    <w:rsid w:val="5017D1AF"/>
    <w:rsid w:val="501AFFBC"/>
    <w:rsid w:val="501CBC43"/>
    <w:rsid w:val="501E2611"/>
    <w:rsid w:val="50208329"/>
    <w:rsid w:val="50221185"/>
    <w:rsid w:val="50247781"/>
    <w:rsid w:val="502583BF"/>
    <w:rsid w:val="5026011B"/>
    <w:rsid w:val="50270C73"/>
    <w:rsid w:val="50288D6C"/>
    <w:rsid w:val="502942CA"/>
    <w:rsid w:val="502997B7"/>
    <w:rsid w:val="502B2A02"/>
    <w:rsid w:val="502BB58E"/>
    <w:rsid w:val="502DDC13"/>
    <w:rsid w:val="502E672F"/>
    <w:rsid w:val="5031AAF6"/>
    <w:rsid w:val="5031EC92"/>
    <w:rsid w:val="503248C4"/>
    <w:rsid w:val="50376A96"/>
    <w:rsid w:val="50382807"/>
    <w:rsid w:val="50382950"/>
    <w:rsid w:val="50393794"/>
    <w:rsid w:val="503AA0BC"/>
    <w:rsid w:val="503D2079"/>
    <w:rsid w:val="503F52A4"/>
    <w:rsid w:val="504578C7"/>
    <w:rsid w:val="5046CE65"/>
    <w:rsid w:val="5047DDBC"/>
    <w:rsid w:val="50498FC1"/>
    <w:rsid w:val="5049B1BA"/>
    <w:rsid w:val="504B3822"/>
    <w:rsid w:val="504D9E37"/>
    <w:rsid w:val="504F0259"/>
    <w:rsid w:val="50506A85"/>
    <w:rsid w:val="5050E65A"/>
    <w:rsid w:val="5051A0CF"/>
    <w:rsid w:val="50538C46"/>
    <w:rsid w:val="5053ABAD"/>
    <w:rsid w:val="50576730"/>
    <w:rsid w:val="5058FDB4"/>
    <w:rsid w:val="505A1BE6"/>
    <w:rsid w:val="505A5328"/>
    <w:rsid w:val="505B5FF1"/>
    <w:rsid w:val="505F72F5"/>
    <w:rsid w:val="50605770"/>
    <w:rsid w:val="5061DD85"/>
    <w:rsid w:val="50626E8E"/>
    <w:rsid w:val="5065C93A"/>
    <w:rsid w:val="5066D87A"/>
    <w:rsid w:val="5067A99D"/>
    <w:rsid w:val="506A07E9"/>
    <w:rsid w:val="506AB833"/>
    <w:rsid w:val="506B41B4"/>
    <w:rsid w:val="506BB9FF"/>
    <w:rsid w:val="506BD51A"/>
    <w:rsid w:val="506D716C"/>
    <w:rsid w:val="506FFF48"/>
    <w:rsid w:val="507262C1"/>
    <w:rsid w:val="5072DED3"/>
    <w:rsid w:val="5072E1B7"/>
    <w:rsid w:val="507578CA"/>
    <w:rsid w:val="507612EF"/>
    <w:rsid w:val="507851EC"/>
    <w:rsid w:val="5078A28E"/>
    <w:rsid w:val="507A7396"/>
    <w:rsid w:val="507B436F"/>
    <w:rsid w:val="507C3C03"/>
    <w:rsid w:val="507CAAB9"/>
    <w:rsid w:val="507CF598"/>
    <w:rsid w:val="507E8967"/>
    <w:rsid w:val="507FCA47"/>
    <w:rsid w:val="508105D2"/>
    <w:rsid w:val="50817B8E"/>
    <w:rsid w:val="5081CD18"/>
    <w:rsid w:val="5081EEAA"/>
    <w:rsid w:val="508582B9"/>
    <w:rsid w:val="50868503"/>
    <w:rsid w:val="508750D2"/>
    <w:rsid w:val="50878680"/>
    <w:rsid w:val="508DFF6F"/>
    <w:rsid w:val="508E61D7"/>
    <w:rsid w:val="5092F71F"/>
    <w:rsid w:val="50949063"/>
    <w:rsid w:val="5094ACD3"/>
    <w:rsid w:val="5094C236"/>
    <w:rsid w:val="50971ED9"/>
    <w:rsid w:val="5099A3A9"/>
    <w:rsid w:val="509B3973"/>
    <w:rsid w:val="509D9928"/>
    <w:rsid w:val="50A00296"/>
    <w:rsid w:val="50A18A74"/>
    <w:rsid w:val="50A2BA01"/>
    <w:rsid w:val="50A31995"/>
    <w:rsid w:val="50A3A8C3"/>
    <w:rsid w:val="50A83A0A"/>
    <w:rsid w:val="50AA4B14"/>
    <w:rsid w:val="50AD0790"/>
    <w:rsid w:val="50AE24C0"/>
    <w:rsid w:val="50AE94B6"/>
    <w:rsid w:val="50AF2AB6"/>
    <w:rsid w:val="50B0B80B"/>
    <w:rsid w:val="50B0C487"/>
    <w:rsid w:val="50B531A0"/>
    <w:rsid w:val="50B5DF6A"/>
    <w:rsid w:val="50B829DC"/>
    <w:rsid w:val="50B89AFC"/>
    <w:rsid w:val="50BD0950"/>
    <w:rsid w:val="50BE8013"/>
    <w:rsid w:val="50BE94A0"/>
    <w:rsid w:val="50C0FCB4"/>
    <w:rsid w:val="50C2D94D"/>
    <w:rsid w:val="50C32AFE"/>
    <w:rsid w:val="50C4FE57"/>
    <w:rsid w:val="50C51344"/>
    <w:rsid w:val="50C5EC4C"/>
    <w:rsid w:val="50C7C53B"/>
    <w:rsid w:val="50C95AFE"/>
    <w:rsid w:val="50CC57D7"/>
    <w:rsid w:val="50CD5922"/>
    <w:rsid w:val="50CF70E5"/>
    <w:rsid w:val="50CFD701"/>
    <w:rsid w:val="50D11177"/>
    <w:rsid w:val="50D1D181"/>
    <w:rsid w:val="50D38900"/>
    <w:rsid w:val="50D40C98"/>
    <w:rsid w:val="50D4B090"/>
    <w:rsid w:val="50D69823"/>
    <w:rsid w:val="50D957CA"/>
    <w:rsid w:val="50DA2339"/>
    <w:rsid w:val="50DA3B3A"/>
    <w:rsid w:val="50DE0C90"/>
    <w:rsid w:val="50DE0F8F"/>
    <w:rsid w:val="50DF6997"/>
    <w:rsid w:val="50E118BB"/>
    <w:rsid w:val="50E3079C"/>
    <w:rsid w:val="50E4EE37"/>
    <w:rsid w:val="50E67352"/>
    <w:rsid w:val="50E8BBFA"/>
    <w:rsid w:val="50E9E5A0"/>
    <w:rsid w:val="50EB9809"/>
    <w:rsid w:val="50EE1E6B"/>
    <w:rsid w:val="50F01D40"/>
    <w:rsid w:val="50F2DD87"/>
    <w:rsid w:val="50F447C6"/>
    <w:rsid w:val="50F4D696"/>
    <w:rsid w:val="50F52478"/>
    <w:rsid w:val="50F9A0EE"/>
    <w:rsid w:val="50FC4B55"/>
    <w:rsid w:val="50FCD6C9"/>
    <w:rsid w:val="50FEAB76"/>
    <w:rsid w:val="50FEAB90"/>
    <w:rsid w:val="50FF1398"/>
    <w:rsid w:val="51009DC5"/>
    <w:rsid w:val="5108041D"/>
    <w:rsid w:val="51081782"/>
    <w:rsid w:val="5109D1D7"/>
    <w:rsid w:val="510B6C20"/>
    <w:rsid w:val="510DD3FB"/>
    <w:rsid w:val="5111E91F"/>
    <w:rsid w:val="5115BF83"/>
    <w:rsid w:val="51163DFF"/>
    <w:rsid w:val="51176B87"/>
    <w:rsid w:val="5117A4F2"/>
    <w:rsid w:val="5117B46E"/>
    <w:rsid w:val="511A4B52"/>
    <w:rsid w:val="511F7525"/>
    <w:rsid w:val="511FC80C"/>
    <w:rsid w:val="51218538"/>
    <w:rsid w:val="5122EC13"/>
    <w:rsid w:val="51236DE3"/>
    <w:rsid w:val="5125077B"/>
    <w:rsid w:val="51251DEB"/>
    <w:rsid w:val="51256CB2"/>
    <w:rsid w:val="5126982B"/>
    <w:rsid w:val="5127D74B"/>
    <w:rsid w:val="512A46F1"/>
    <w:rsid w:val="512C77D5"/>
    <w:rsid w:val="512D62EF"/>
    <w:rsid w:val="512E277D"/>
    <w:rsid w:val="512E52F5"/>
    <w:rsid w:val="512F6296"/>
    <w:rsid w:val="51308CC0"/>
    <w:rsid w:val="5130A1EE"/>
    <w:rsid w:val="5131263D"/>
    <w:rsid w:val="51315461"/>
    <w:rsid w:val="513269C6"/>
    <w:rsid w:val="5133C2A9"/>
    <w:rsid w:val="5134A9DE"/>
    <w:rsid w:val="513574CE"/>
    <w:rsid w:val="5138216A"/>
    <w:rsid w:val="5138D0BA"/>
    <w:rsid w:val="51396CF7"/>
    <w:rsid w:val="51397A17"/>
    <w:rsid w:val="5139B974"/>
    <w:rsid w:val="5139F0FF"/>
    <w:rsid w:val="513A228E"/>
    <w:rsid w:val="513B0DA2"/>
    <w:rsid w:val="513E8CCF"/>
    <w:rsid w:val="5140D151"/>
    <w:rsid w:val="514105D3"/>
    <w:rsid w:val="5142AB8D"/>
    <w:rsid w:val="51463978"/>
    <w:rsid w:val="51466E4D"/>
    <w:rsid w:val="5147137B"/>
    <w:rsid w:val="514713EB"/>
    <w:rsid w:val="51478CFE"/>
    <w:rsid w:val="51479A55"/>
    <w:rsid w:val="514B88F5"/>
    <w:rsid w:val="514D3F4F"/>
    <w:rsid w:val="515153AE"/>
    <w:rsid w:val="51516973"/>
    <w:rsid w:val="5151FB2B"/>
    <w:rsid w:val="5152FE50"/>
    <w:rsid w:val="51538140"/>
    <w:rsid w:val="515688FC"/>
    <w:rsid w:val="51573DB2"/>
    <w:rsid w:val="515A0AE7"/>
    <w:rsid w:val="515A4945"/>
    <w:rsid w:val="515B1256"/>
    <w:rsid w:val="515B12F7"/>
    <w:rsid w:val="515DB65A"/>
    <w:rsid w:val="515DF746"/>
    <w:rsid w:val="515F5B0D"/>
    <w:rsid w:val="515F79B4"/>
    <w:rsid w:val="51612A2E"/>
    <w:rsid w:val="516599B7"/>
    <w:rsid w:val="51661FBE"/>
    <w:rsid w:val="516844D8"/>
    <w:rsid w:val="516A171F"/>
    <w:rsid w:val="516A7186"/>
    <w:rsid w:val="516AF486"/>
    <w:rsid w:val="516D12F7"/>
    <w:rsid w:val="516E5733"/>
    <w:rsid w:val="517082B5"/>
    <w:rsid w:val="5172251B"/>
    <w:rsid w:val="51727038"/>
    <w:rsid w:val="51735F3E"/>
    <w:rsid w:val="51743F34"/>
    <w:rsid w:val="5176B127"/>
    <w:rsid w:val="51776635"/>
    <w:rsid w:val="5177C145"/>
    <w:rsid w:val="51781AF2"/>
    <w:rsid w:val="51787F80"/>
    <w:rsid w:val="517915E5"/>
    <w:rsid w:val="5179F776"/>
    <w:rsid w:val="517E88C9"/>
    <w:rsid w:val="5180F8E6"/>
    <w:rsid w:val="51810D1F"/>
    <w:rsid w:val="51833A45"/>
    <w:rsid w:val="51838083"/>
    <w:rsid w:val="5184446A"/>
    <w:rsid w:val="51847403"/>
    <w:rsid w:val="518654AA"/>
    <w:rsid w:val="5186770A"/>
    <w:rsid w:val="518697E9"/>
    <w:rsid w:val="5186DF68"/>
    <w:rsid w:val="518A4C71"/>
    <w:rsid w:val="518B1A55"/>
    <w:rsid w:val="518B943F"/>
    <w:rsid w:val="518E4098"/>
    <w:rsid w:val="518E4498"/>
    <w:rsid w:val="5190639B"/>
    <w:rsid w:val="5190F6FB"/>
    <w:rsid w:val="51917155"/>
    <w:rsid w:val="519243B4"/>
    <w:rsid w:val="5197B15E"/>
    <w:rsid w:val="5197C034"/>
    <w:rsid w:val="51990DB3"/>
    <w:rsid w:val="519993E5"/>
    <w:rsid w:val="519D80E7"/>
    <w:rsid w:val="519D9A35"/>
    <w:rsid w:val="519E1A50"/>
    <w:rsid w:val="519EA23E"/>
    <w:rsid w:val="51A0B10B"/>
    <w:rsid w:val="51A2FE2B"/>
    <w:rsid w:val="51A3DB05"/>
    <w:rsid w:val="51A560EF"/>
    <w:rsid w:val="51A5E330"/>
    <w:rsid w:val="51A61117"/>
    <w:rsid w:val="51A81E3C"/>
    <w:rsid w:val="51A91138"/>
    <w:rsid w:val="51AA6C8B"/>
    <w:rsid w:val="51ACE53E"/>
    <w:rsid w:val="51ACFFD0"/>
    <w:rsid w:val="51AD4CA1"/>
    <w:rsid w:val="51AF5A0D"/>
    <w:rsid w:val="51B04EA1"/>
    <w:rsid w:val="51B13854"/>
    <w:rsid w:val="51B1E080"/>
    <w:rsid w:val="51B4DC3A"/>
    <w:rsid w:val="51B53658"/>
    <w:rsid w:val="51B88349"/>
    <w:rsid w:val="51B8AF34"/>
    <w:rsid w:val="51C0AE57"/>
    <w:rsid w:val="51C60D29"/>
    <w:rsid w:val="51C614EC"/>
    <w:rsid w:val="51C6B825"/>
    <w:rsid w:val="51C85A5F"/>
    <w:rsid w:val="51CE2531"/>
    <w:rsid w:val="51CFCB23"/>
    <w:rsid w:val="51D0527C"/>
    <w:rsid w:val="51D16998"/>
    <w:rsid w:val="51D1E427"/>
    <w:rsid w:val="51D2B9CA"/>
    <w:rsid w:val="51D39396"/>
    <w:rsid w:val="51D77604"/>
    <w:rsid w:val="51D77E87"/>
    <w:rsid w:val="51D8D026"/>
    <w:rsid w:val="51DC0092"/>
    <w:rsid w:val="51E13D16"/>
    <w:rsid w:val="51E342E8"/>
    <w:rsid w:val="51E44B4D"/>
    <w:rsid w:val="51E9E63B"/>
    <w:rsid w:val="51EA0DAB"/>
    <w:rsid w:val="51ED7133"/>
    <w:rsid w:val="51EECB0B"/>
    <w:rsid w:val="51EFF06E"/>
    <w:rsid w:val="51F3BCC9"/>
    <w:rsid w:val="51F6BB73"/>
    <w:rsid w:val="51F8A226"/>
    <w:rsid w:val="51F9DCB9"/>
    <w:rsid w:val="51FA423A"/>
    <w:rsid w:val="51FB5F65"/>
    <w:rsid w:val="51FC8C13"/>
    <w:rsid w:val="51FD1D03"/>
    <w:rsid w:val="51FD6619"/>
    <w:rsid w:val="51FED01E"/>
    <w:rsid w:val="52016591"/>
    <w:rsid w:val="520418A7"/>
    <w:rsid w:val="52068925"/>
    <w:rsid w:val="5207B566"/>
    <w:rsid w:val="520AE1D2"/>
    <w:rsid w:val="520D2703"/>
    <w:rsid w:val="521250D8"/>
    <w:rsid w:val="5213624E"/>
    <w:rsid w:val="52150212"/>
    <w:rsid w:val="52176233"/>
    <w:rsid w:val="5219CA60"/>
    <w:rsid w:val="5219DC37"/>
    <w:rsid w:val="521B1E01"/>
    <w:rsid w:val="521D7D11"/>
    <w:rsid w:val="521DB1B6"/>
    <w:rsid w:val="521EFCB7"/>
    <w:rsid w:val="521F4CFF"/>
    <w:rsid w:val="5220EEF0"/>
    <w:rsid w:val="5222BFC0"/>
    <w:rsid w:val="5226C93A"/>
    <w:rsid w:val="5227F1C4"/>
    <w:rsid w:val="5228006C"/>
    <w:rsid w:val="522921FC"/>
    <w:rsid w:val="522A4B4D"/>
    <w:rsid w:val="522AA745"/>
    <w:rsid w:val="522ACBA8"/>
    <w:rsid w:val="522DA108"/>
    <w:rsid w:val="5232D987"/>
    <w:rsid w:val="52340B13"/>
    <w:rsid w:val="523431A9"/>
    <w:rsid w:val="5234BD4A"/>
    <w:rsid w:val="5235188E"/>
    <w:rsid w:val="5239E75B"/>
    <w:rsid w:val="523A6861"/>
    <w:rsid w:val="523F92EF"/>
    <w:rsid w:val="523FF3BA"/>
    <w:rsid w:val="524047AB"/>
    <w:rsid w:val="52409535"/>
    <w:rsid w:val="5241856B"/>
    <w:rsid w:val="5245293E"/>
    <w:rsid w:val="524704F2"/>
    <w:rsid w:val="524816EA"/>
    <w:rsid w:val="5248BB67"/>
    <w:rsid w:val="524A918F"/>
    <w:rsid w:val="524BF13F"/>
    <w:rsid w:val="524CCC0D"/>
    <w:rsid w:val="524D5ED5"/>
    <w:rsid w:val="524E3F71"/>
    <w:rsid w:val="524E9491"/>
    <w:rsid w:val="524F237C"/>
    <w:rsid w:val="524F3A76"/>
    <w:rsid w:val="5252CBA4"/>
    <w:rsid w:val="525437E6"/>
    <w:rsid w:val="52544D33"/>
    <w:rsid w:val="5255C466"/>
    <w:rsid w:val="5259A94E"/>
    <w:rsid w:val="5261DF95"/>
    <w:rsid w:val="5262EC19"/>
    <w:rsid w:val="5263EA87"/>
    <w:rsid w:val="526730AA"/>
    <w:rsid w:val="526740B8"/>
    <w:rsid w:val="526925C3"/>
    <w:rsid w:val="5269E96F"/>
    <w:rsid w:val="526AEF29"/>
    <w:rsid w:val="526BB9ED"/>
    <w:rsid w:val="526BEF88"/>
    <w:rsid w:val="526C84C1"/>
    <w:rsid w:val="526CE130"/>
    <w:rsid w:val="526D2C34"/>
    <w:rsid w:val="52711DF8"/>
    <w:rsid w:val="5271A66C"/>
    <w:rsid w:val="5272C2E2"/>
    <w:rsid w:val="52732CB0"/>
    <w:rsid w:val="52747D99"/>
    <w:rsid w:val="5274CDE6"/>
    <w:rsid w:val="52781CB8"/>
    <w:rsid w:val="5278E4FA"/>
    <w:rsid w:val="5279A8A5"/>
    <w:rsid w:val="527A548B"/>
    <w:rsid w:val="527CAE8C"/>
    <w:rsid w:val="52822ADD"/>
    <w:rsid w:val="52823E86"/>
    <w:rsid w:val="5282C1AE"/>
    <w:rsid w:val="528338E8"/>
    <w:rsid w:val="52845BF9"/>
    <w:rsid w:val="528675D3"/>
    <w:rsid w:val="528702AE"/>
    <w:rsid w:val="528B261E"/>
    <w:rsid w:val="528BF285"/>
    <w:rsid w:val="528C952B"/>
    <w:rsid w:val="528CE555"/>
    <w:rsid w:val="528DB8E3"/>
    <w:rsid w:val="5291B31B"/>
    <w:rsid w:val="5294E48B"/>
    <w:rsid w:val="5295B31B"/>
    <w:rsid w:val="529699B4"/>
    <w:rsid w:val="529BAC9A"/>
    <w:rsid w:val="529C80A4"/>
    <w:rsid w:val="52A108E5"/>
    <w:rsid w:val="52A44889"/>
    <w:rsid w:val="52A49EBA"/>
    <w:rsid w:val="52A4F13C"/>
    <w:rsid w:val="52A70BBD"/>
    <w:rsid w:val="52A89DA9"/>
    <w:rsid w:val="52AA10D6"/>
    <w:rsid w:val="52B1087E"/>
    <w:rsid w:val="52B23687"/>
    <w:rsid w:val="52B254C6"/>
    <w:rsid w:val="52B26049"/>
    <w:rsid w:val="52B30DA0"/>
    <w:rsid w:val="52B4840D"/>
    <w:rsid w:val="52B4AD45"/>
    <w:rsid w:val="52B4DDEB"/>
    <w:rsid w:val="52B6DB58"/>
    <w:rsid w:val="52B8AB40"/>
    <w:rsid w:val="52BC21CE"/>
    <w:rsid w:val="52BCBF1F"/>
    <w:rsid w:val="52BF234A"/>
    <w:rsid w:val="52C13D2F"/>
    <w:rsid w:val="52C23DB1"/>
    <w:rsid w:val="52C46F3B"/>
    <w:rsid w:val="52C505F3"/>
    <w:rsid w:val="52C55D39"/>
    <w:rsid w:val="52C5965B"/>
    <w:rsid w:val="52C83FBD"/>
    <w:rsid w:val="52CBDEFC"/>
    <w:rsid w:val="52CCF479"/>
    <w:rsid w:val="52CFBA16"/>
    <w:rsid w:val="52D03C1B"/>
    <w:rsid w:val="52D0A589"/>
    <w:rsid w:val="52D39C48"/>
    <w:rsid w:val="52D47524"/>
    <w:rsid w:val="52D4C858"/>
    <w:rsid w:val="52D53C92"/>
    <w:rsid w:val="52D6C8B2"/>
    <w:rsid w:val="52D99578"/>
    <w:rsid w:val="52DBBC19"/>
    <w:rsid w:val="52DC54CD"/>
    <w:rsid w:val="52DCA191"/>
    <w:rsid w:val="52DE7645"/>
    <w:rsid w:val="52DE92D2"/>
    <w:rsid w:val="52E09723"/>
    <w:rsid w:val="52E55F21"/>
    <w:rsid w:val="52E6B2FD"/>
    <w:rsid w:val="52E7C9DF"/>
    <w:rsid w:val="52E7E175"/>
    <w:rsid w:val="52E7FC32"/>
    <w:rsid w:val="52EB0CB9"/>
    <w:rsid w:val="52ED5588"/>
    <w:rsid w:val="52EF6A97"/>
    <w:rsid w:val="52EF6C18"/>
    <w:rsid w:val="52EFB31A"/>
    <w:rsid w:val="52F5B543"/>
    <w:rsid w:val="52F62DC7"/>
    <w:rsid w:val="52F6D4B7"/>
    <w:rsid w:val="52F6DBB2"/>
    <w:rsid w:val="52F8277F"/>
    <w:rsid w:val="52F8944D"/>
    <w:rsid w:val="52F8D421"/>
    <w:rsid w:val="52F9C5A8"/>
    <w:rsid w:val="52FB3643"/>
    <w:rsid w:val="5301340F"/>
    <w:rsid w:val="5301BCC5"/>
    <w:rsid w:val="5302C698"/>
    <w:rsid w:val="53056C79"/>
    <w:rsid w:val="5305967A"/>
    <w:rsid w:val="5306EECF"/>
    <w:rsid w:val="5308385C"/>
    <w:rsid w:val="53084396"/>
    <w:rsid w:val="530B3884"/>
    <w:rsid w:val="530D0931"/>
    <w:rsid w:val="53102897"/>
    <w:rsid w:val="53126435"/>
    <w:rsid w:val="531544AA"/>
    <w:rsid w:val="5316493A"/>
    <w:rsid w:val="53187CCE"/>
    <w:rsid w:val="53198C47"/>
    <w:rsid w:val="531A15D7"/>
    <w:rsid w:val="531C16B9"/>
    <w:rsid w:val="531F0AA6"/>
    <w:rsid w:val="5320948D"/>
    <w:rsid w:val="5320A3BB"/>
    <w:rsid w:val="5320A5B8"/>
    <w:rsid w:val="5321FB2C"/>
    <w:rsid w:val="5321FB96"/>
    <w:rsid w:val="532241F4"/>
    <w:rsid w:val="5324C6FC"/>
    <w:rsid w:val="5325816D"/>
    <w:rsid w:val="5327DFDC"/>
    <w:rsid w:val="5328BAF6"/>
    <w:rsid w:val="532F2BA8"/>
    <w:rsid w:val="532F8ECA"/>
    <w:rsid w:val="53306BF2"/>
    <w:rsid w:val="5330EB92"/>
    <w:rsid w:val="5331DEFC"/>
    <w:rsid w:val="53333E5B"/>
    <w:rsid w:val="5336F034"/>
    <w:rsid w:val="533805E8"/>
    <w:rsid w:val="533AC748"/>
    <w:rsid w:val="53415BFD"/>
    <w:rsid w:val="5341B269"/>
    <w:rsid w:val="5344E7CB"/>
    <w:rsid w:val="53461E7F"/>
    <w:rsid w:val="53465F82"/>
    <w:rsid w:val="534A21E6"/>
    <w:rsid w:val="534F76F3"/>
    <w:rsid w:val="534F9ABE"/>
    <w:rsid w:val="53503B1C"/>
    <w:rsid w:val="535061ED"/>
    <w:rsid w:val="53515BE3"/>
    <w:rsid w:val="5353ED52"/>
    <w:rsid w:val="535522E3"/>
    <w:rsid w:val="535870D6"/>
    <w:rsid w:val="535AA939"/>
    <w:rsid w:val="535ACAE4"/>
    <w:rsid w:val="535C05DF"/>
    <w:rsid w:val="535E0462"/>
    <w:rsid w:val="535E3959"/>
    <w:rsid w:val="535E526E"/>
    <w:rsid w:val="535E56D5"/>
    <w:rsid w:val="535FF700"/>
    <w:rsid w:val="535FFA09"/>
    <w:rsid w:val="5360A108"/>
    <w:rsid w:val="53613560"/>
    <w:rsid w:val="536156E7"/>
    <w:rsid w:val="5362B5CE"/>
    <w:rsid w:val="536412DC"/>
    <w:rsid w:val="5364E4A1"/>
    <w:rsid w:val="5366C350"/>
    <w:rsid w:val="53691EFB"/>
    <w:rsid w:val="536C0C98"/>
    <w:rsid w:val="536C169B"/>
    <w:rsid w:val="536F656E"/>
    <w:rsid w:val="536F8353"/>
    <w:rsid w:val="537110F5"/>
    <w:rsid w:val="5375156E"/>
    <w:rsid w:val="5376F466"/>
    <w:rsid w:val="53779457"/>
    <w:rsid w:val="5377FF60"/>
    <w:rsid w:val="53788B7F"/>
    <w:rsid w:val="537961D6"/>
    <w:rsid w:val="537E33D2"/>
    <w:rsid w:val="537F97BD"/>
    <w:rsid w:val="5381E6F8"/>
    <w:rsid w:val="53839F9B"/>
    <w:rsid w:val="538545B2"/>
    <w:rsid w:val="53865E3F"/>
    <w:rsid w:val="538802D2"/>
    <w:rsid w:val="538D2D29"/>
    <w:rsid w:val="538E7D46"/>
    <w:rsid w:val="538F210C"/>
    <w:rsid w:val="539205D0"/>
    <w:rsid w:val="539274A0"/>
    <w:rsid w:val="53928BD4"/>
    <w:rsid w:val="539802C8"/>
    <w:rsid w:val="5398B610"/>
    <w:rsid w:val="539AA1E1"/>
    <w:rsid w:val="539B9335"/>
    <w:rsid w:val="539C9139"/>
    <w:rsid w:val="539CB879"/>
    <w:rsid w:val="53A02ECF"/>
    <w:rsid w:val="53A20A4E"/>
    <w:rsid w:val="53A25D52"/>
    <w:rsid w:val="53A6EF3C"/>
    <w:rsid w:val="53AA4362"/>
    <w:rsid w:val="53B0B4B5"/>
    <w:rsid w:val="53B57665"/>
    <w:rsid w:val="53BBE1B8"/>
    <w:rsid w:val="53BE3C85"/>
    <w:rsid w:val="53C0CBAB"/>
    <w:rsid w:val="53C196BA"/>
    <w:rsid w:val="53C19961"/>
    <w:rsid w:val="53C1FFEC"/>
    <w:rsid w:val="53C2E64A"/>
    <w:rsid w:val="53C30001"/>
    <w:rsid w:val="53C4F25D"/>
    <w:rsid w:val="53C666C3"/>
    <w:rsid w:val="53C6B00F"/>
    <w:rsid w:val="53C70E72"/>
    <w:rsid w:val="53C85452"/>
    <w:rsid w:val="53C8DC63"/>
    <w:rsid w:val="53CA7A14"/>
    <w:rsid w:val="53CB5206"/>
    <w:rsid w:val="53CC4A9D"/>
    <w:rsid w:val="53CC54F0"/>
    <w:rsid w:val="53D28592"/>
    <w:rsid w:val="53D29ABE"/>
    <w:rsid w:val="53D3E223"/>
    <w:rsid w:val="53D47D27"/>
    <w:rsid w:val="53D62FA6"/>
    <w:rsid w:val="53D7208D"/>
    <w:rsid w:val="53D848C2"/>
    <w:rsid w:val="53DA01E8"/>
    <w:rsid w:val="53DBD17D"/>
    <w:rsid w:val="53DD2A6C"/>
    <w:rsid w:val="53DD30CE"/>
    <w:rsid w:val="53DD3D88"/>
    <w:rsid w:val="53DDCF8B"/>
    <w:rsid w:val="53E27246"/>
    <w:rsid w:val="53E68A7A"/>
    <w:rsid w:val="53E7A648"/>
    <w:rsid w:val="53E818D6"/>
    <w:rsid w:val="53E848AC"/>
    <w:rsid w:val="53E95ADD"/>
    <w:rsid w:val="53EB61AE"/>
    <w:rsid w:val="53EE7C91"/>
    <w:rsid w:val="53EEA35A"/>
    <w:rsid w:val="53F01193"/>
    <w:rsid w:val="53F0347F"/>
    <w:rsid w:val="53F3B2BC"/>
    <w:rsid w:val="53F44E6F"/>
    <w:rsid w:val="53F4B48D"/>
    <w:rsid w:val="53F6238F"/>
    <w:rsid w:val="53F6BC04"/>
    <w:rsid w:val="53F732EB"/>
    <w:rsid w:val="53F832A2"/>
    <w:rsid w:val="53F9259F"/>
    <w:rsid w:val="53F9B567"/>
    <w:rsid w:val="53FE3880"/>
    <w:rsid w:val="53FE42B8"/>
    <w:rsid w:val="53FE668B"/>
    <w:rsid w:val="5402DF17"/>
    <w:rsid w:val="5405C416"/>
    <w:rsid w:val="54062A04"/>
    <w:rsid w:val="5407D1D2"/>
    <w:rsid w:val="54082F8A"/>
    <w:rsid w:val="540885D3"/>
    <w:rsid w:val="5408FC95"/>
    <w:rsid w:val="540ACFB3"/>
    <w:rsid w:val="540AE174"/>
    <w:rsid w:val="540B303D"/>
    <w:rsid w:val="540B4305"/>
    <w:rsid w:val="540CCFA7"/>
    <w:rsid w:val="540DBF59"/>
    <w:rsid w:val="54101127"/>
    <w:rsid w:val="5410F5B7"/>
    <w:rsid w:val="54113A6C"/>
    <w:rsid w:val="541167E8"/>
    <w:rsid w:val="5411BE68"/>
    <w:rsid w:val="5414C7C6"/>
    <w:rsid w:val="54169BB0"/>
    <w:rsid w:val="5419F30C"/>
    <w:rsid w:val="541A3142"/>
    <w:rsid w:val="541BBFAD"/>
    <w:rsid w:val="541CC915"/>
    <w:rsid w:val="541D151F"/>
    <w:rsid w:val="541D6D0E"/>
    <w:rsid w:val="541DDC95"/>
    <w:rsid w:val="541F4BBA"/>
    <w:rsid w:val="5420CC24"/>
    <w:rsid w:val="5421AE0A"/>
    <w:rsid w:val="5425E8B0"/>
    <w:rsid w:val="5426BAAF"/>
    <w:rsid w:val="54279E23"/>
    <w:rsid w:val="5428B56B"/>
    <w:rsid w:val="542928A4"/>
    <w:rsid w:val="54294817"/>
    <w:rsid w:val="542AEA7E"/>
    <w:rsid w:val="542BEC05"/>
    <w:rsid w:val="542C31A4"/>
    <w:rsid w:val="542C4479"/>
    <w:rsid w:val="542DFD36"/>
    <w:rsid w:val="5430C604"/>
    <w:rsid w:val="54312CE4"/>
    <w:rsid w:val="543160D8"/>
    <w:rsid w:val="543635B9"/>
    <w:rsid w:val="5436BBAD"/>
    <w:rsid w:val="5437F02C"/>
    <w:rsid w:val="5438DD26"/>
    <w:rsid w:val="543B5F5B"/>
    <w:rsid w:val="543DE6D7"/>
    <w:rsid w:val="543FC5A0"/>
    <w:rsid w:val="54417F09"/>
    <w:rsid w:val="54474795"/>
    <w:rsid w:val="54486F0C"/>
    <w:rsid w:val="544A5F3A"/>
    <w:rsid w:val="544A9066"/>
    <w:rsid w:val="544C56F4"/>
    <w:rsid w:val="544E8818"/>
    <w:rsid w:val="544F4595"/>
    <w:rsid w:val="544F9B3A"/>
    <w:rsid w:val="54510765"/>
    <w:rsid w:val="5451501E"/>
    <w:rsid w:val="5452BE3F"/>
    <w:rsid w:val="5455E0E7"/>
    <w:rsid w:val="54587AF9"/>
    <w:rsid w:val="54588513"/>
    <w:rsid w:val="545969C2"/>
    <w:rsid w:val="545AB386"/>
    <w:rsid w:val="545BDF49"/>
    <w:rsid w:val="545F056C"/>
    <w:rsid w:val="5462B2B5"/>
    <w:rsid w:val="54644CB1"/>
    <w:rsid w:val="546507DD"/>
    <w:rsid w:val="54682BCC"/>
    <w:rsid w:val="546A5F9E"/>
    <w:rsid w:val="546A7CB5"/>
    <w:rsid w:val="546B0EE7"/>
    <w:rsid w:val="546CC69E"/>
    <w:rsid w:val="546F3338"/>
    <w:rsid w:val="54707030"/>
    <w:rsid w:val="5470EC92"/>
    <w:rsid w:val="547165CD"/>
    <w:rsid w:val="54718D04"/>
    <w:rsid w:val="54722440"/>
    <w:rsid w:val="54733361"/>
    <w:rsid w:val="5474726F"/>
    <w:rsid w:val="5475772A"/>
    <w:rsid w:val="5475E7F2"/>
    <w:rsid w:val="54772749"/>
    <w:rsid w:val="54774A2E"/>
    <w:rsid w:val="5478CAB6"/>
    <w:rsid w:val="54793646"/>
    <w:rsid w:val="547BBB4F"/>
    <w:rsid w:val="547D05AA"/>
    <w:rsid w:val="547ED2BB"/>
    <w:rsid w:val="547F9D57"/>
    <w:rsid w:val="547FA038"/>
    <w:rsid w:val="5482513B"/>
    <w:rsid w:val="5485BFAF"/>
    <w:rsid w:val="5485D762"/>
    <w:rsid w:val="5486D1BF"/>
    <w:rsid w:val="548CF4E6"/>
    <w:rsid w:val="548D3970"/>
    <w:rsid w:val="54903AD3"/>
    <w:rsid w:val="5490BD2D"/>
    <w:rsid w:val="549431B9"/>
    <w:rsid w:val="54944762"/>
    <w:rsid w:val="5494D1AF"/>
    <w:rsid w:val="5495B9EB"/>
    <w:rsid w:val="54966A30"/>
    <w:rsid w:val="5496EB66"/>
    <w:rsid w:val="54972048"/>
    <w:rsid w:val="549C9D0D"/>
    <w:rsid w:val="549D9D1D"/>
    <w:rsid w:val="549DC890"/>
    <w:rsid w:val="54A1D866"/>
    <w:rsid w:val="54A3FA35"/>
    <w:rsid w:val="54A753DC"/>
    <w:rsid w:val="54A7FC7C"/>
    <w:rsid w:val="54A8222F"/>
    <w:rsid w:val="54A93F34"/>
    <w:rsid w:val="54A9DBEB"/>
    <w:rsid w:val="54AB64D6"/>
    <w:rsid w:val="54AB70DD"/>
    <w:rsid w:val="54ABF945"/>
    <w:rsid w:val="54AFCFB5"/>
    <w:rsid w:val="54B065C0"/>
    <w:rsid w:val="54B433E9"/>
    <w:rsid w:val="54B469A9"/>
    <w:rsid w:val="54B57D44"/>
    <w:rsid w:val="54B6F0F7"/>
    <w:rsid w:val="54BC80C0"/>
    <w:rsid w:val="54BDAA38"/>
    <w:rsid w:val="54BFC0ED"/>
    <w:rsid w:val="54C0CC68"/>
    <w:rsid w:val="54C51D6B"/>
    <w:rsid w:val="54C53E6C"/>
    <w:rsid w:val="54C77AD7"/>
    <w:rsid w:val="54C84D52"/>
    <w:rsid w:val="54C8C290"/>
    <w:rsid w:val="54C907E9"/>
    <w:rsid w:val="54CBC053"/>
    <w:rsid w:val="54CDBE65"/>
    <w:rsid w:val="54CE87FB"/>
    <w:rsid w:val="54CEF650"/>
    <w:rsid w:val="54D09797"/>
    <w:rsid w:val="54D253C1"/>
    <w:rsid w:val="54D2E5B4"/>
    <w:rsid w:val="54D3DA53"/>
    <w:rsid w:val="54D46F0F"/>
    <w:rsid w:val="54D4E5AC"/>
    <w:rsid w:val="54D4EDFE"/>
    <w:rsid w:val="54D55EBB"/>
    <w:rsid w:val="54D63776"/>
    <w:rsid w:val="54D8A3C5"/>
    <w:rsid w:val="54DA2F30"/>
    <w:rsid w:val="54DD78FF"/>
    <w:rsid w:val="54DEC610"/>
    <w:rsid w:val="54E09FE0"/>
    <w:rsid w:val="54E21D09"/>
    <w:rsid w:val="54E28DCE"/>
    <w:rsid w:val="54E654A2"/>
    <w:rsid w:val="54E83959"/>
    <w:rsid w:val="54E87A94"/>
    <w:rsid w:val="54EA2B5E"/>
    <w:rsid w:val="54EA4C62"/>
    <w:rsid w:val="54EB85EC"/>
    <w:rsid w:val="54EC9CF0"/>
    <w:rsid w:val="54ECC48D"/>
    <w:rsid w:val="54ED5138"/>
    <w:rsid w:val="54F0D6AB"/>
    <w:rsid w:val="54F10DD5"/>
    <w:rsid w:val="54F1B343"/>
    <w:rsid w:val="54F2E6CA"/>
    <w:rsid w:val="54F3B68B"/>
    <w:rsid w:val="54F8342A"/>
    <w:rsid w:val="54F86BFF"/>
    <w:rsid w:val="54F959F0"/>
    <w:rsid w:val="54F9679C"/>
    <w:rsid w:val="54F9C411"/>
    <w:rsid w:val="54F9EECD"/>
    <w:rsid w:val="54FB122C"/>
    <w:rsid w:val="54FB67E1"/>
    <w:rsid w:val="54FB9DB3"/>
    <w:rsid w:val="54FBB68E"/>
    <w:rsid w:val="54FBE743"/>
    <w:rsid w:val="54FC667D"/>
    <w:rsid w:val="54FE1D79"/>
    <w:rsid w:val="54FEB9E9"/>
    <w:rsid w:val="54FF992F"/>
    <w:rsid w:val="54FFFAF8"/>
    <w:rsid w:val="55017E99"/>
    <w:rsid w:val="55021690"/>
    <w:rsid w:val="5502B833"/>
    <w:rsid w:val="5502BFF6"/>
    <w:rsid w:val="550321AF"/>
    <w:rsid w:val="5506879D"/>
    <w:rsid w:val="5507399D"/>
    <w:rsid w:val="550BB953"/>
    <w:rsid w:val="550EFBB4"/>
    <w:rsid w:val="550F3CF3"/>
    <w:rsid w:val="5510082F"/>
    <w:rsid w:val="551154D8"/>
    <w:rsid w:val="5511CD38"/>
    <w:rsid w:val="5513B69C"/>
    <w:rsid w:val="5514DE38"/>
    <w:rsid w:val="5516BAA5"/>
    <w:rsid w:val="5517C367"/>
    <w:rsid w:val="55186276"/>
    <w:rsid w:val="551AFFCA"/>
    <w:rsid w:val="551C6C8A"/>
    <w:rsid w:val="551EEBCE"/>
    <w:rsid w:val="55205A0D"/>
    <w:rsid w:val="55212893"/>
    <w:rsid w:val="5522B38F"/>
    <w:rsid w:val="5522F9AA"/>
    <w:rsid w:val="5524DDD5"/>
    <w:rsid w:val="5525CD67"/>
    <w:rsid w:val="5529FD87"/>
    <w:rsid w:val="553316A7"/>
    <w:rsid w:val="553318B9"/>
    <w:rsid w:val="5533EBAF"/>
    <w:rsid w:val="5536106F"/>
    <w:rsid w:val="5536330A"/>
    <w:rsid w:val="5536C461"/>
    <w:rsid w:val="5536D993"/>
    <w:rsid w:val="553804B5"/>
    <w:rsid w:val="5539BF90"/>
    <w:rsid w:val="553CBCE1"/>
    <w:rsid w:val="553CC2D0"/>
    <w:rsid w:val="553D7702"/>
    <w:rsid w:val="553E83CC"/>
    <w:rsid w:val="553F1CEF"/>
    <w:rsid w:val="553F346A"/>
    <w:rsid w:val="55431A94"/>
    <w:rsid w:val="55433A37"/>
    <w:rsid w:val="554692B6"/>
    <w:rsid w:val="554725A0"/>
    <w:rsid w:val="55486304"/>
    <w:rsid w:val="5548C4A0"/>
    <w:rsid w:val="554A38A5"/>
    <w:rsid w:val="554A7FB9"/>
    <w:rsid w:val="554D4C01"/>
    <w:rsid w:val="554FD5CC"/>
    <w:rsid w:val="5550B546"/>
    <w:rsid w:val="5551900C"/>
    <w:rsid w:val="5552BF8C"/>
    <w:rsid w:val="55539F4B"/>
    <w:rsid w:val="555423FC"/>
    <w:rsid w:val="555516A2"/>
    <w:rsid w:val="555571F5"/>
    <w:rsid w:val="5556B09C"/>
    <w:rsid w:val="55577161"/>
    <w:rsid w:val="555B4A14"/>
    <w:rsid w:val="555BFE48"/>
    <w:rsid w:val="555E70C0"/>
    <w:rsid w:val="555EF8C5"/>
    <w:rsid w:val="55606FE0"/>
    <w:rsid w:val="556073C5"/>
    <w:rsid w:val="55619B93"/>
    <w:rsid w:val="5562DE0A"/>
    <w:rsid w:val="55638E6E"/>
    <w:rsid w:val="5563DFEA"/>
    <w:rsid w:val="55652C50"/>
    <w:rsid w:val="55677725"/>
    <w:rsid w:val="5568017D"/>
    <w:rsid w:val="556827DC"/>
    <w:rsid w:val="556B1A6B"/>
    <w:rsid w:val="556CCC5F"/>
    <w:rsid w:val="55709F9C"/>
    <w:rsid w:val="55731423"/>
    <w:rsid w:val="5574908A"/>
    <w:rsid w:val="5574F737"/>
    <w:rsid w:val="55762C03"/>
    <w:rsid w:val="5576F338"/>
    <w:rsid w:val="55773721"/>
    <w:rsid w:val="55785A57"/>
    <w:rsid w:val="5578F314"/>
    <w:rsid w:val="557A287D"/>
    <w:rsid w:val="557E9459"/>
    <w:rsid w:val="557F1BAF"/>
    <w:rsid w:val="557FC4E5"/>
    <w:rsid w:val="55814653"/>
    <w:rsid w:val="55817F9F"/>
    <w:rsid w:val="558199A6"/>
    <w:rsid w:val="5582BCA1"/>
    <w:rsid w:val="5584D5BF"/>
    <w:rsid w:val="5585E39D"/>
    <w:rsid w:val="5585EB8C"/>
    <w:rsid w:val="558760A3"/>
    <w:rsid w:val="55879267"/>
    <w:rsid w:val="558B0823"/>
    <w:rsid w:val="558B32DF"/>
    <w:rsid w:val="558B6AF9"/>
    <w:rsid w:val="558C282D"/>
    <w:rsid w:val="558CF0BE"/>
    <w:rsid w:val="558CF2E6"/>
    <w:rsid w:val="558EDDA0"/>
    <w:rsid w:val="558FC19D"/>
    <w:rsid w:val="5591C152"/>
    <w:rsid w:val="5591D647"/>
    <w:rsid w:val="55925520"/>
    <w:rsid w:val="55936ABE"/>
    <w:rsid w:val="55937EB8"/>
    <w:rsid w:val="559CEE6D"/>
    <w:rsid w:val="559D532D"/>
    <w:rsid w:val="55A3B3B9"/>
    <w:rsid w:val="55A5E632"/>
    <w:rsid w:val="55A68384"/>
    <w:rsid w:val="55A8061A"/>
    <w:rsid w:val="55A8445F"/>
    <w:rsid w:val="55AECCA5"/>
    <w:rsid w:val="55AF1097"/>
    <w:rsid w:val="55AF2A3A"/>
    <w:rsid w:val="55AF9A51"/>
    <w:rsid w:val="55B065FE"/>
    <w:rsid w:val="55B15E62"/>
    <w:rsid w:val="55B15E77"/>
    <w:rsid w:val="55B2A478"/>
    <w:rsid w:val="55B2D082"/>
    <w:rsid w:val="55B45B5A"/>
    <w:rsid w:val="55B4EF73"/>
    <w:rsid w:val="55B8D9EE"/>
    <w:rsid w:val="55C1434B"/>
    <w:rsid w:val="55C2498B"/>
    <w:rsid w:val="55C49525"/>
    <w:rsid w:val="55C9689B"/>
    <w:rsid w:val="55CAE9C7"/>
    <w:rsid w:val="55CB8838"/>
    <w:rsid w:val="55CCCC37"/>
    <w:rsid w:val="55CEB73B"/>
    <w:rsid w:val="55CF05A2"/>
    <w:rsid w:val="55CFA8B6"/>
    <w:rsid w:val="55CFD13E"/>
    <w:rsid w:val="55D03455"/>
    <w:rsid w:val="55D03788"/>
    <w:rsid w:val="55D04430"/>
    <w:rsid w:val="55D0D758"/>
    <w:rsid w:val="55D631C9"/>
    <w:rsid w:val="55DBD425"/>
    <w:rsid w:val="55DC8E34"/>
    <w:rsid w:val="55DFAC0F"/>
    <w:rsid w:val="55E0A4BE"/>
    <w:rsid w:val="55E1308F"/>
    <w:rsid w:val="55E2DB70"/>
    <w:rsid w:val="55E71706"/>
    <w:rsid w:val="55E79CF6"/>
    <w:rsid w:val="55EB7714"/>
    <w:rsid w:val="55EDE6EF"/>
    <w:rsid w:val="55EEFEFC"/>
    <w:rsid w:val="55EF9063"/>
    <w:rsid w:val="55F04C02"/>
    <w:rsid w:val="55F06F39"/>
    <w:rsid w:val="55F33AB1"/>
    <w:rsid w:val="55F40FA2"/>
    <w:rsid w:val="55F8233E"/>
    <w:rsid w:val="55F9A60C"/>
    <w:rsid w:val="55FB8C9E"/>
    <w:rsid w:val="55FBEEDE"/>
    <w:rsid w:val="55FCF4B5"/>
    <w:rsid w:val="55FD7BDA"/>
    <w:rsid w:val="55FE2656"/>
    <w:rsid w:val="5603852A"/>
    <w:rsid w:val="56042B5E"/>
    <w:rsid w:val="56091F9B"/>
    <w:rsid w:val="560A198E"/>
    <w:rsid w:val="560AE333"/>
    <w:rsid w:val="560B4939"/>
    <w:rsid w:val="560B6D67"/>
    <w:rsid w:val="560C4910"/>
    <w:rsid w:val="560C8D10"/>
    <w:rsid w:val="560E621D"/>
    <w:rsid w:val="560F5B68"/>
    <w:rsid w:val="56127C91"/>
    <w:rsid w:val="56159AE3"/>
    <w:rsid w:val="56188815"/>
    <w:rsid w:val="561BA00C"/>
    <w:rsid w:val="561D7618"/>
    <w:rsid w:val="561D89A2"/>
    <w:rsid w:val="561DD3BC"/>
    <w:rsid w:val="561EA35D"/>
    <w:rsid w:val="5620992C"/>
    <w:rsid w:val="5621C775"/>
    <w:rsid w:val="5622A792"/>
    <w:rsid w:val="56249DF8"/>
    <w:rsid w:val="5628ABB0"/>
    <w:rsid w:val="56292F53"/>
    <w:rsid w:val="562BC762"/>
    <w:rsid w:val="562E35EE"/>
    <w:rsid w:val="56303D72"/>
    <w:rsid w:val="5631322C"/>
    <w:rsid w:val="5631D530"/>
    <w:rsid w:val="56341CC3"/>
    <w:rsid w:val="5634E43E"/>
    <w:rsid w:val="5636BA6A"/>
    <w:rsid w:val="5636BE66"/>
    <w:rsid w:val="563784AF"/>
    <w:rsid w:val="563E0F53"/>
    <w:rsid w:val="563EFBD4"/>
    <w:rsid w:val="563FC897"/>
    <w:rsid w:val="56404ECA"/>
    <w:rsid w:val="5641AEF1"/>
    <w:rsid w:val="56440ED6"/>
    <w:rsid w:val="5645A8A5"/>
    <w:rsid w:val="5645EBB6"/>
    <w:rsid w:val="564CB63A"/>
    <w:rsid w:val="564D3DEE"/>
    <w:rsid w:val="564DB0E0"/>
    <w:rsid w:val="564DDA4C"/>
    <w:rsid w:val="564F2272"/>
    <w:rsid w:val="565033F6"/>
    <w:rsid w:val="56503AAE"/>
    <w:rsid w:val="56504A94"/>
    <w:rsid w:val="565517EF"/>
    <w:rsid w:val="5656953A"/>
    <w:rsid w:val="56582C43"/>
    <w:rsid w:val="565833E3"/>
    <w:rsid w:val="565930BA"/>
    <w:rsid w:val="565CB3D1"/>
    <w:rsid w:val="56611B1B"/>
    <w:rsid w:val="5661B903"/>
    <w:rsid w:val="566522A3"/>
    <w:rsid w:val="5668E785"/>
    <w:rsid w:val="566D875A"/>
    <w:rsid w:val="566F06C0"/>
    <w:rsid w:val="567102EA"/>
    <w:rsid w:val="56710347"/>
    <w:rsid w:val="56721556"/>
    <w:rsid w:val="56742ADD"/>
    <w:rsid w:val="56758CA0"/>
    <w:rsid w:val="56767A45"/>
    <w:rsid w:val="5676B077"/>
    <w:rsid w:val="5677E4C3"/>
    <w:rsid w:val="5677F52C"/>
    <w:rsid w:val="567820C7"/>
    <w:rsid w:val="5678D940"/>
    <w:rsid w:val="5678D9F1"/>
    <w:rsid w:val="567AF011"/>
    <w:rsid w:val="567C02F7"/>
    <w:rsid w:val="567EA7F9"/>
    <w:rsid w:val="567F5684"/>
    <w:rsid w:val="56804D71"/>
    <w:rsid w:val="5680AF1F"/>
    <w:rsid w:val="5680B0C4"/>
    <w:rsid w:val="5681C18C"/>
    <w:rsid w:val="56823BF1"/>
    <w:rsid w:val="5683A0BF"/>
    <w:rsid w:val="568425B1"/>
    <w:rsid w:val="5684D305"/>
    <w:rsid w:val="56864D63"/>
    <w:rsid w:val="568739A8"/>
    <w:rsid w:val="5689C3C3"/>
    <w:rsid w:val="568ACEBA"/>
    <w:rsid w:val="56916E5C"/>
    <w:rsid w:val="5694FEA8"/>
    <w:rsid w:val="56964D3B"/>
    <w:rsid w:val="5696959B"/>
    <w:rsid w:val="5697341C"/>
    <w:rsid w:val="56976EE5"/>
    <w:rsid w:val="56984968"/>
    <w:rsid w:val="5698D3A6"/>
    <w:rsid w:val="56A08C78"/>
    <w:rsid w:val="56A4772D"/>
    <w:rsid w:val="56A58FB3"/>
    <w:rsid w:val="56A59579"/>
    <w:rsid w:val="56A6568D"/>
    <w:rsid w:val="56A6693D"/>
    <w:rsid w:val="56A8585F"/>
    <w:rsid w:val="56A94C0E"/>
    <w:rsid w:val="56A996D2"/>
    <w:rsid w:val="56AB213C"/>
    <w:rsid w:val="56ABFAED"/>
    <w:rsid w:val="56AF39DA"/>
    <w:rsid w:val="56B0BC81"/>
    <w:rsid w:val="56B15326"/>
    <w:rsid w:val="56B476D3"/>
    <w:rsid w:val="56B4CE43"/>
    <w:rsid w:val="56B71C86"/>
    <w:rsid w:val="56BBADB6"/>
    <w:rsid w:val="56BEBD55"/>
    <w:rsid w:val="56BF891A"/>
    <w:rsid w:val="56C1540F"/>
    <w:rsid w:val="56C17C4D"/>
    <w:rsid w:val="56C2FDEE"/>
    <w:rsid w:val="56C9A4B8"/>
    <w:rsid w:val="56CCAD3E"/>
    <w:rsid w:val="56CCB1D8"/>
    <w:rsid w:val="56CD7D29"/>
    <w:rsid w:val="56D198C6"/>
    <w:rsid w:val="56D1AA87"/>
    <w:rsid w:val="56D383F0"/>
    <w:rsid w:val="56D52B0C"/>
    <w:rsid w:val="56D78B47"/>
    <w:rsid w:val="56D88A6B"/>
    <w:rsid w:val="56DDB204"/>
    <w:rsid w:val="56E11B46"/>
    <w:rsid w:val="56E1687F"/>
    <w:rsid w:val="56E3ED66"/>
    <w:rsid w:val="56E43519"/>
    <w:rsid w:val="56E533F2"/>
    <w:rsid w:val="56E5F5B8"/>
    <w:rsid w:val="56E60906"/>
    <w:rsid w:val="56E6D105"/>
    <w:rsid w:val="56EA6284"/>
    <w:rsid w:val="56ECEBF0"/>
    <w:rsid w:val="56EF9C77"/>
    <w:rsid w:val="56F083E1"/>
    <w:rsid w:val="56F17186"/>
    <w:rsid w:val="56F571FD"/>
    <w:rsid w:val="56F640A7"/>
    <w:rsid w:val="56F94F30"/>
    <w:rsid w:val="56FA54B3"/>
    <w:rsid w:val="56FB0939"/>
    <w:rsid w:val="56FBB70F"/>
    <w:rsid w:val="56FD6AA2"/>
    <w:rsid w:val="56FEE609"/>
    <w:rsid w:val="56FEF12D"/>
    <w:rsid w:val="56FEFA3B"/>
    <w:rsid w:val="5703577E"/>
    <w:rsid w:val="57045335"/>
    <w:rsid w:val="57084257"/>
    <w:rsid w:val="570AAAD5"/>
    <w:rsid w:val="570B360B"/>
    <w:rsid w:val="570C66E2"/>
    <w:rsid w:val="570DE6F2"/>
    <w:rsid w:val="570DF495"/>
    <w:rsid w:val="5712312B"/>
    <w:rsid w:val="5713A472"/>
    <w:rsid w:val="57150B52"/>
    <w:rsid w:val="5715261A"/>
    <w:rsid w:val="5715F618"/>
    <w:rsid w:val="57171287"/>
    <w:rsid w:val="571AA0E7"/>
    <w:rsid w:val="571C3B1E"/>
    <w:rsid w:val="571CEE67"/>
    <w:rsid w:val="571D61A1"/>
    <w:rsid w:val="571E8E52"/>
    <w:rsid w:val="571FA465"/>
    <w:rsid w:val="5720C6B6"/>
    <w:rsid w:val="5720ECFE"/>
    <w:rsid w:val="5724C484"/>
    <w:rsid w:val="5724F6E7"/>
    <w:rsid w:val="5728DF50"/>
    <w:rsid w:val="572A7323"/>
    <w:rsid w:val="572BDF70"/>
    <w:rsid w:val="5730EF82"/>
    <w:rsid w:val="57310C9C"/>
    <w:rsid w:val="57311C27"/>
    <w:rsid w:val="57319699"/>
    <w:rsid w:val="57328DD2"/>
    <w:rsid w:val="5732B761"/>
    <w:rsid w:val="5734286B"/>
    <w:rsid w:val="57342ADA"/>
    <w:rsid w:val="573494C3"/>
    <w:rsid w:val="5737EAEC"/>
    <w:rsid w:val="5738CCD6"/>
    <w:rsid w:val="573AD965"/>
    <w:rsid w:val="573AFDB4"/>
    <w:rsid w:val="573E5029"/>
    <w:rsid w:val="573EF6C6"/>
    <w:rsid w:val="573F6204"/>
    <w:rsid w:val="5740C448"/>
    <w:rsid w:val="5743CBE2"/>
    <w:rsid w:val="57448AF4"/>
    <w:rsid w:val="57450561"/>
    <w:rsid w:val="5747D21F"/>
    <w:rsid w:val="574BEDDC"/>
    <w:rsid w:val="574D4DB4"/>
    <w:rsid w:val="5751D8B4"/>
    <w:rsid w:val="57539F8F"/>
    <w:rsid w:val="57543454"/>
    <w:rsid w:val="57544DE3"/>
    <w:rsid w:val="5754AA4F"/>
    <w:rsid w:val="5755BA87"/>
    <w:rsid w:val="5757651E"/>
    <w:rsid w:val="575897BC"/>
    <w:rsid w:val="575BADC5"/>
    <w:rsid w:val="575BBD4F"/>
    <w:rsid w:val="575C9AF2"/>
    <w:rsid w:val="5761A3C2"/>
    <w:rsid w:val="57625E74"/>
    <w:rsid w:val="576284A4"/>
    <w:rsid w:val="5762A2B0"/>
    <w:rsid w:val="5763CD4D"/>
    <w:rsid w:val="57646B2E"/>
    <w:rsid w:val="57663391"/>
    <w:rsid w:val="57672789"/>
    <w:rsid w:val="57686F81"/>
    <w:rsid w:val="5769895A"/>
    <w:rsid w:val="576A6D09"/>
    <w:rsid w:val="576AF3E1"/>
    <w:rsid w:val="576C9730"/>
    <w:rsid w:val="576EBE0C"/>
    <w:rsid w:val="576F7822"/>
    <w:rsid w:val="5770B01F"/>
    <w:rsid w:val="57726D1B"/>
    <w:rsid w:val="5773AC0C"/>
    <w:rsid w:val="5774EEB6"/>
    <w:rsid w:val="57753121"/>
    <w:rsid w:val="5775B8CE"/>
    <w:rsid w:val="57761DA6"/>
    <w:rsid w:val="57784B6D"/>
    <w:rsid w:val="57784C86"/>
    <w:rsid w:val="577950FC"/>
    <w:rsid w:val="57798670"/>
    <w:rsid w:val="577A7011"/>
    <w:rsid w:val="577DCE8B"/>
    <w:rsid w:val="577F0637"/>
    <w:rsid w:val="577F29B3"/>
    <w:rsid w:val="5787AC99"/>
    <w:rsid w:val="5787F741"/>
    <w:rsid w:val="578A3B72"/>
    <w:rsid w:val="578CA304"/>
    <w:rsid w:val="5792CE6E"/>
    <w:rsid w:val="5794BEC2"/>
    <w:rsid w:val="5794D866"/>
    <w:rsid w:val="57965AC6"/>
    <w:rsid w:val="5796E65C"/>
    <w:rsid w:val="5797292F"/>
    <w:rsid w:val="5797BF3F"/>
    <w:rsid w:val="5797F454"/>
    <w:rsid w:val="5797F49B"/>
    <w:rsid w:val="579A3653"/>
    <w:rsid w:val="579D9046"/>
    <w:rsid w:val="579F78C5"/>
    <w:rsid w:val="57A1F0D1"/>
    <w:rsid w:val="57A4C35F"/>
    <w:rsid w:val="57A617AE"/>
    <w:rsid w:val="57A80F5B"/>
    <w:rsid w:val="57A979BD"/>
    <w:rsid w:val="57AA1B53"/>
    <w:rsid w:val="57AAB7E5"/>
    <w:rsid w:val="57AB242C"/>
    <w:rsid w:val="57AC0B1C"/>
    <w:rsid w:val="57ACB9B2"/>
    <w:rsid w:val="57B11FB2"/>
    <w:rsid w:val="57B164B5"/>
    <w:rsid w:val="57B1E2B7"/>
    <w:rsid w:val="57B20140"/>
    <w:rsid w:val="57B2E74F"/>
    <w:rsid w:val="57B3F45F"/>
    <w:rsid w:val="57B5146A"/>
    <w:rsid w:val="57B59600"/>
    <w:rsid w:val="57B5A311"/>
    <w:rsid w:val="57B64C7F"/>
    <w:rsid w:val="57B956F4"/>
    <w:rsid w:val="57B9ED78"/>
    <w:rsid w:val="57BA86C2"/>
    <w:rsid w:val="57BB4819"/>
    <w:rsid w:val="57BB8F94"/>
    <w:rsid w:val="57BC0982"/>
    <w:rsid w:val="57BC8D34"/>
    <w:rsid w:val="57BF70F9"/>
    <w:rsid w:val="57C12D14"/>
    <w:rsid w:val="57C2D792"/>
    <w:rsid w:val="57C38D42"/>
    <w:rsid w:val="57C4C48E"/>
    <w:rsid w:val="57C626E8"/>
    <w:rsid w:val="57CCD557"/>
    <w:rsid w:val="57CCE391"/>
    <w:rsid w:val="57CD6BB7"/>
    <w:rsid w:val="57D0742D"/>
    <w:rsid w:val="57D0E57E"/>
    <w:rsid w:val="57D0F3C3"/>
    <w:rsid w:val="57D16824"/>
    <w:rsid w:val="57D27416"/>
    <w:rsid w:val="57D50250"/>
    <w:rsid w:val="57D511F4"/>
    <w:rsid w:val="57D67115"/>
    <w:rsid w:val="57D84BC0"/>
    <w:rsid w:val="57D85925"/>
    <w:rsid w:val="57D8D4A9"/>
    <w:rsid w:val="57DB9FC3"/>
    <w:rsid w:val="57DE44BC"/>
    <w:rsid w:val="57DF4464"/>
    <w:rsid w:val="57E07763"/>
    <w:rsid w:val="57E08981"/>
    <w:rsid w:val="57E128BF"/>
    <w:rsid w:val="57E4354F"/>
    <w:rsid w:val="57E5ECF6"/>
    <w:rsid w:val="57E64CF6"/>
    <w:rsid w:val="57E74714"/>
    <w:rsid w:val="57E7C402"/>
    <w:rsid w:val="57E7D7D8"/>
    <w:rsid w:val="57E89B66"/>
    <w:rsid w:val="57E96807"/>
    <w:rsid w:val="57E9D8DD"/>
    <w:rsid w:val="57ECEE7C"/>
    <w:rsid w:val="57ED36EC"/>
    <w:rsid w:val="57ED7E86"/>
    <w:rsid w:val="57EDFC90"/>
    <w:rsid w:val="57EE3747"/>
    <w:rsid w:val="57EE6A3E"/>
    <w:rsid w:val="57EECAF3"/>
    <w:rsid w:val="57EF9C7F"/>
    <w:rsid w:val="57EFF94C"/>
    <w:rsid w:val="57F14C32"/>
    <w:rsid w:val="57F2CF60"/>
    <w:rsid w:val="57F2F25D"/>
    <w:rsid w:val="57F338A9"/>
    <w:rsid w:val="57F45CE9"/>
    <w:rsid w:val="57F79ED0"/>
    <w:rsid w:val="57F802F1"/>
    <w:rsid w:val="5802A2C3"/>
    <w:rsid w:val="5802B608"/>
    <w:rsid w:val="58046DBC"/>
    <w:rsid w:val="58052DFB"/>
    <w:rsid w:val="58055516"/>
    <w:rsid w:val="58069EF8"/>
    <w:rsid w:val="58073800"/>
    <w:rsid w:val="5807DA03"/>
    <w:rsid w:val="5808F4B3"/>
    <w:rsid w:val="580A4B68"/>
    <w:rsid w:val="580A66A4"/>
    <w:rsid w:val="580C6FA1"/>
    <w:rsid w:val="580D288D"/>
    <w:rsid w:val="580E1ED0"/>
    <w:rsid w:val="580EBC73"/>
    <w:rsid w:val="580EEBE9"/>
    <w:rsid w:val="580F08FC"/>
    <w:rsid w:val="58125A7A"/>
    <w:rsid w:val="58146520"/>
    <w:rsid w:val="58160139"/>
    <w:rsid w:val="5816C072"/>
    <w:rsid w:val="58182F5B"/>
    <w:rsid w:val="58189602"/>
    <w:rsid w:val="5818AAA2"/>
    <w:rsid w:val="581BF69C"/>
    <w:rsid w:val="581CCFD5"/>
    <w:rsid w:val="581DB7FD"/>
    <w:rsid w:val="581E091B"/>
    <w:rsid w:val="581E1070"/>
    <w:rsid w:val="581E375D"/>
    <w:rsid w:val="581E70A6"/>
    <w:rsid w:val="581EF2D7"/>
    <w:rsid w:val="581F0007"/>
    <w:rsid w:val="58234A46"/>
    <w:rsid w:val="58257AAB"/>
    <w:rsid w:val="58281AAD"/>
    <w:rsid w:val="5828C046"/>
    <w:rsid w:val="5828FAD8"/>
    <w:rsid w:val="582A813C"/>
    <w:rsid w:val="582B0673"/>
    <w:rsid w:val="582F4408"/>
    <w:rsid w:val="582F5E3A"/>
    <w:rsid w:val="583177C1"/>
    <w:rsid w:val="58332D1D"/>
    <w:rsid w:val="58337749"/>
    <w:rsid w:val="58354ABA"/>
    <w:rsid w:val="583717A2"/>
    <w:rsid w:val="5837E7F8"/>
    <w:rsid w:val="583A48B0"/>
    <w:rsid w:val="58438997"/>
    <w:rsid w:val="584665C4"/>
    <w:rsid w:val="584998BA"/>
    <w:rsid w:val="5849B170"/>
    <w:rsid w:val="584A653D"/>
    <w:rsid w:val="584B4AAF"/>
    <w:rsid w:val="584C2ECC"/>
    <w:rsid w:val="584C6858"/>
    <w:rsid w:val="584C8667"/>
    <w:rsid w:val="584DD498"/>
    <w:rsid w:val="584F493B"/>
    <w:rsid w:val="584F7E6E"/>
    <w:rsid w:val="5850A9B8"/>
    <w:rsid w:val="5850FEC6"/>
    <w:rsid w:val="58516A26"/>
    <w:rsid w:val="58525434"/>
    <w:rsid w:val="58539C0C"/>
    <w:rsid w:val="585415B3"/>
    <w:rsid w:val="58566E6F"/>
    <w:rsid w:val="585798C0"/>
    <w:rsid w:val="5857A4FD"/>
    <w:rsid w:val="58583C5F"/>
    <w:rsid w:val="5858E431"/>
    <w:rsid w:val="58594F2F"/>
    <w:rsid w:val="5859623A"/>
    <w:rsid w:val="585CD80E"/>
    <w:rsid w:val="585E2EA5"/>
    <w:rsid w:val="5862862E"/>
    <w:rsid w:val="5863CC57"/>
    <w:rsid w:val="5866D631"/>
    <w:rsid w:val="5866E4AB"/>
    <w:rsid w:val="58683A05"/>
    <w:rsid w:val="58690404"/>
    <w:rsid w:val="586C79AE"/>
    <w:rsid w:val="586DD8F9"/>
    <w:rsid w:val="586E6FA6"/>
    <w:rsid w:val="587028ED"/>
    <w:rsid w:val="58723065"/>
    <w:rsid w:val="587744B0"/>
    <w:rsid w:val="5878B70A"/>
    <w:rsid w:val="5878B824"/>
    <w:rsid w:val="587CB475"/>
    <w:rsid w:val="587CFBC1"/>
    <w:rsid w:val="58802490"/>
    <w:rsid w:val="5880B087"/>
    <w:rsid w:val="588102FA"/>
    <w:rsid w:val="5881F05E"/>
    <w:rsid w:val="58832252"/>
    <w:rsid w:val="588355FD"/>
    <w:rsid w:val="588441D6"/>
    <w:rsid w:val="5884A4F1"/>
    <w:rsid w:val="5887A8C4"/>
    <w:rsid w:val="588865C8"/>
    <w:rsid w:val="5888AE4F"/>
    <w:rsid w:val="58890926"/>
    <w:rsid w:val="588A2036"/>
    <w:rsid w:val="588A25DB"/>
    <w:rsid w:val="588B292E"/>
    <w:rsid w:val="588D7189"/>
    <w:rsid w:val="58902B70"/>
    <w:rsid w:val="5897B7FD"/>
    <w:rsid w:val="5898B982"/>
    <w:rsid w:val="589986F7"/>
    <w:rsid w:val="589A923E"/>
    <w:rsid w:val="589B97F6"/>
    <w:rsid w:val="589C31D4"/>
    <w:rsid w:val="589E728D"/>
    <w:rsid w:val="589F44C7"/>
    <w:rsid w:val="589F9556"/>
    <w:rsid w:val="58A012D6"/>
    <w:rsid w:val="58A18B23"/>
    <w:rsid w:val="58A3BBC1"/>
    <w:rsid w:val="58A498DD"/>
    <w:rsid w:val="58A7EE60"/>
    <w:rsid w:val="58A89E81"/>
    <w:rsid w:val="58AC4D07"/>
    <w:rsid w:val="58ACFA5B"/>
    <w:rsid w:val="58B12C81"/>
    <w:rsid w:val="58B7FCEB"/>
    <w:rsid w:val="58B9F3B8"/>
    <w:rsid w:val="58BBE1EC"/>
    <w:rsid w:val="58BE47F5"/>
    <w:rsid w:val="58BE6526"/>
    <w:rsid w:val="58C2F492"/>
    <w:rsid w:val="58C2FF4E"/>
    <w:rsid w:val="58C5A03F"/>
    <w:rsid w:val="58C956EC"/>
    <w:rsid w:val="58C9E80A"/>
    <w:rsid w:val="58CD3997"/>
    <w:rsid w:val="58CF6A19"/>
    <w:rsid w:val="58D1876C"/>
    <w:rsid w:val="58D459DE"/>
    <w:rsid w:val="58D47082"/>
    <w:rsid w:val="58D6EFA6"/>
    <w:rsid w:val="58D93C08"/>
    <w:rsid w:val="58DA22EB"/>
    <w:rsid w:val="58DADD1E"/>
    <w:rsid w:val="58DB6DC3"/>
    <w:rsid w:val="58DC87C1"/>
    <w:rsid w:val="58DCAD30"/>
    <w:rsid w:val="58DD2150"/>
    <w:rsid w:val="58DDCCA5"/>
    <w:rsid w:val="58DE1D2C"/>
    <w:rsid w:val="58DEE0CD"/>
    <w:rsid w:val="58DFC275"/>
    <w:rsid w:val="58E16529"/>
    <w:rsid w:val="58E258FB"/>
    <w:rsid w:val="58E35156"/>
    <w:rsid w:val="58E6CDC8"/>
    <w:rsid w:val="58E746FB"/>
    <w:rsid w:val="58E7B9BF"/>
    <w:rsid w:val="58E946DB"/>
    <w:rsid w:val="58E9850A"/>
    <w:rsid w:val="58EC06F9"/>
    <w:rsid w:val="58EDAD08"/>
    <w:rsid w:val="58EDC911"/>
    <w:rsid w:val="58EE28DC"/>
    <w:rsid w:val="58EE8B26"/>
    <w:rsid w:val="58F05D07"/>
    <w:rsid w:val="58F0B9C7"/>
    <w:rsid w:val="58F10123"/>
    <w:rsid w:val="58F116C0"/>
    <w:rsid w:val="58F33006"/>
    <w:rsid w:val="58F3F7DC"/>
    <w:rsid w:val="58F45C54"/>
    <w:rsid w:val="58F4C751"/>
    <w:rsid w:val="58F7C843"/>
    <w:rsid w:val="58FB71B6"/>
    <w:rsid w:val="58FB980E"/>
    <w:rsid w:val="58FEA9E3"/>
    <w:rsid w:val="5900C34A"/>
    <w:rsid w:val="5900FBA4"/>
    <w:rsid w:val="5901FA35"/>
    <w:rsid w:val="590209CB"/>
    <w:rsid w:val="59030F57"/>
    <w:rsid w:val="5909466A"/>
    <w:rsid w:val="5909C69F"/>
    <w:rsid w:val="590DA97A"/>
    <w:rsid w:val="590EC174"/>
    <w:rsid w:val="591051F8"/>
    <w:rsid w:val="5911A630"/>
    <w:rsid w:val="5911BEFC"/>
    <w:rsid w:val="59120752"/>
    <w:rsid w:val="591272D6"/>
    <w:rsid w:val="59136EDD"/>
    <w:rsid w:val="591721B5"/>
    <w:rsid w:val="59195934"/>
    <w:rsid w:val="59195CF2"/>
    <w:rsid w:val="591A5A1F"/>
    <w:rsid w:val="591D052B"/>
    <w:rsid w:val="591D946B"/>
    <w:rsid w:val="591DFF21"/>
    <w:rsid w:val="591F377F"/>
    <w:rsid w:val="591F74FD"/>
    <w:rsid w:val="59264C21"/>
    <w:rsid w:val="5926F309"/>
    <w:rsid w:val="592D0710"/>
    <w:rsid w:val="592D9989"/>
    <w:rsid w:val="592E6E40"/>
    <w:rsid w:val="5931B1BD"/>
    <w:rsid w:val="59341807"/>
    <w:rsid w:val="5936FE78"/>
    <w:rsid w:val="5939CB32"/>
    <w:rsid w:val="593C415E"/>
    <w:rsid w:val="5941EDE3"/>
    <w:rsid w:val="59448B6D"/>
    <w:rsid w:val="59455904"/>
    <w:rsid w:val="59473B09"/>
    <w:rsid w:val="5948746B"/>
    <w:rsid w:val="594A1D53"/>
    <w:rsid w:val="594EC80C"/>
    <w:rsid w:val="594F4C19"/>
    <w:rsid w:val="594F6FD3"/>
    <w:rsid w:val="59509BC8"/>
    <w:rsid w:val="59521B52"/>
    <w:rsid w:val="595532B1"/>
    <w:rsid w:val="5955E947"/>
    <w:rsid w:val="59566767"/>
    <w:rsid w:val="595AF926"/>
    <w:rsid w:val="595B9EA6"/>
    <w:rsid w:val="595C76DE"/>
    <w:rsid w:val="595E1919"/>
    <w:rsid w:val="595F2672"/>
    <w:rsid w:val="595FAE62"/>
    <w:rsid w:val="59604614"/>
    <w:rsid w:val="59608532"/>
    <w:rsid w:val="596301D5"/>
    <w:rsid w:val="59633686"/>
    <w:rsid w:val="59653B64"/>
    <w:rsid w:val="5967B386"/>
    <w:rsid w:val="59688DD3"/>
    <w:rsid w:val="59691918"/>
    <w:rsid w:val="59694952"/>
    <w:rsid w:val="596B1090"/>
    <w:rsid w:val="596B4569"/>
    <w:rsid w:val="596DCD59"/>
    <w:rsid w:val="5972C436"/>
    <w:rsid w:val="5973A757"/>
    <w:rsid w:val="59771F29"/>
    <w:rsid w:val="5978580D"/>
    <w:rsid w:val="597B9CED"/>
    <w:rsid w:val="59804044"/>
    <w:rsid w:val="59814129"/>
    <w:rsid w:val="59820326"/>
    <w:rsid w:val="59846DC6"/>
    <w:rsid w:val="59856C4D"/>
    <w:rsid w:val="5987DFE4"/>
    <w:rsid w:val="5989B686"/>
    <w:rsid w:val="598A4188"/>
    <w:rsid w:val="598B6226"/>
    <w:rsid w:val="598B738E"/>
    <w:rsid w:val="598B895C"/>
    <w:rsid w:val="598D79FA"/>
    <w:rsid w:val="598EE065"/>
    <w:rsid w:val="5991A17E"/>
    <w:rsid w:val="599248C4"/>
    <w:rsid w:val="59972EF0"/>
    <w:rsid w:val="599ADE31"/>
    <w:rsid w:val="599D0525"/>
    <w:rsid w:val="599DBC66"/>
    <w:rsid w:val="599F78A3"/>
    <w:rsid w:val="59A03DC2"/>
    <w:rsid w:val="59A14BEC"/>
    <w:rsid w:val="59A60194"/>
    <w:rsid w:val="59A68D82"/>
    <w:rsid w:val="59A6D4B2"/>
    <w:rsid w:val="59A767FE"/>
    <w:rsid w:val="59A7782A"/>
    <w:rsid w:val="59A7E1CC"/>
    <w:rsid w:val="59A86E6A"/>
    <w:rsid w:val="59A91D24"/>
    <w:rsid w:val="59AB54A5"/>
    <w:rsid w:val="59AC95A4"/>
    <w:rsid w:val="59ADAFCC"/>
    <w:rsid w:val="59ADBCC6"/>
    <w:rsid w:val="59B13619"/>
    <w:rsid w:val="59B14FE6"/>
    <w:rsid w:val="59B52C3C"/>
    <w:rsid w:val="59B7366B"/>
    <w:rsid w:val="59B7438E"/>
    <w:rsid w:val="59BC8798"/>
    <w:rsid w:val="59BCC6CF"/>
    <w:rsid w:val="59BEE874"/>
    <w:rsid w:val="59C07680"/>
    <w:rsid w:val="59C170F9"/>
    <w:rsid w:val="59C1FF3E"/>
    <w:rsid w:val="59C48DD4"/>
    <w:rsid w:val="59C6A174"/>
    <w:rsid w:val="59C86F38"/>
    <w:rsid w:val="59C94042"/>
    <w:rsid w:val="59CBCADC"/>
    <w:rsid w:val="59CD3504"/>
    <w:rsid w:val="59CD79BE"/>
    <w:rsid w:val="59CDCBE2"/>
    <w:rsid w:val="59D8F129"/>
    <w:rsid w:val="59DC5D32"/>
    <w:rsid w:val="59DCC33D"/>
    <w:rsid w:val="59DF0382"/>
    <w:rsid w:val="59E1563C"/>
    <w:rsid w:val="59E292D5"/>
    <w:rsid w:val="59E36E36"/>
    <w:rsid w:val="59E3BAD5"/>
    <w:rsid w:val="59E4BDEF"/>
    <w:rsid w:val="59E66658"/>
    <w:rsid w:val="59E6EA51"/>
    <w:rsid w:val="59E95775"/>
    <w:rsid w:val="59EDB3F8"/>
    <w:rsid w:val="59F15DC2"/>
    <w:rsid w:val="59F40C2F"/>
    <w:rsid w:val="59F52795"/>
    <w:rsid w:val="59F63EC2"/>
    <w:rsid w:val="59F7D885"/>
    <w:rsid w:val="59F86080"/>
    <w:rsid w:val="59FACE8E"/>
    <w:rsid w:val="59FAD242"/>
    <w:rsid w:val="59FD31B5"/>
    <w:rsid w:val="59FE4C1A"/>
    <w:rsid w:val="59FFE5D9"/>
    <w:rsid w:val="5A004039"/>
    <w:rsid w:val="5A0244B0"/>
    <w:rsid w:val="5A062480"/>
    <w:rsid w:val="5A08DAB3"/>
    <w:rsid w:val="5A0A9F00"/>
    <w:rsid w:val="5A0B5A27"/>
    <w:rsid w:val="5A0BA1BB"/>
    <w:rsid w:val="5A0DE127"/>
    <w:rsid w:val="5A120165"/>
    <w:rsid w:val="5A1384A6"/>
    <w:rsid w:val="5A1499C9"/>
    <w:rsid w:val="5A161534"/>
    <w:rsid w:val="5A180A34"/>
    <w:rsid w:val="5A198428"/>
    <w:rsid w:val="5A19ACFA"/>
    <w:rsid w:val="5A1A6D49"/>
    <w:rsid w:val="5A1B94D2"/>
    <w:rsid w:val="5A1B9B6F"/>
    <w:rsid w:val="5A1D73F4"/>
    <w:rsid w:val="5A1F6CF6"/>
    <w:rsid w:val="5A204308"/>
    <w:rsid w:val="5A21B24D"/>
    <w:rsid w:val="5A2208DB"/>
    <w:rsid w:val="5A26AD44"/>
    <w:rsid w:val="5A27C5B4"/>
    <w:rsid w:val="5A295F3D"/>
    <w:rsid w:val="5A2B8A21"/>
    <w:rsid w:val="5A2BF4EA"/>
    <w:rsid w:val="5A2D4C1F"/>
    <w:rsid w:val="5A2F70BC"/>
    <w:rsid w:val="5A303FC8"/>
    <w:rsid w:val="5A34306A"/>
    <w:rsid w:val="5A34B307"/>
    <w:rsid w:val="5A376CD8"/>
    <w:rsid w:val="5A39A70E"/>
    <w:rsid w:val="5A3ABD0E"/>
    <w:rsid w:val="5A3C9DF1"/>
    <w:rsid w:val="5A3D6166"/>
    <w:rsid w:val="5A3E2BF1"/>
    <w:rsid w:val="5A4071FE"/>
    <w:rsid w:val="5A40A735"/>
    <w:rsid w:val="5A40F42A"/>
    <w:rsid w:val="5A4133A8"/>
    <w:rsid w:val="5A438FFD"/>
    <w:rsid w:val="5A44D631"/>
    <w:rsid w:val="5A47B303"/>
    <w:rsid w:val="5A489BF2"/>
    <w:rsid w:val="5A49EA0C"/>
    <w:rsid w:val="5A49F418"/>
    <w:rsid w:val="5A4A7C02"/>
    <w:rsid w:val="5A4E76D6"/>
    <w:rsid w:val="5A4ED96E"/>
    <w:rsid w:val="5A4FB579"/>
    <w:rsid w:val="5A503F92"/>
    <w:rsid w:val="5A525618"/>
    <w:rsid w:val="5A543812"/>
    <w:rsid w:val="5A5445A8"/>
    <w:rsid w:val="5A546F26"/>
    <w:rsid w:val="5A556DD9"/>
    <w:rsid w:val="5A59656F"/>
    <w:rsid w:val="5A59846D"/>
    <w:rsid w:val="5A5A0125"/>
    <w:rsid w:val="5A5EF839"/>
    <w:rsid w:val="5A5FC1C2"/>
    <w:rsid w:val="5A60E854"/>
    <w:rsid w:val="5A6142E9"/>
    <w:rsid w:val="5A67C9DD"/>
    <w:rsid w:val="5A67F8D8"/>
    <w:rsid w:val="5A686AB9"/>
    <w:rsid w:val="5A6AD95A"/>
    <w:rsid w:val="5A6CCF2F"/>
    <w:rsid w:val="5A6D7B3F"/>
    <w:rsid w:val="5A6FEB1F"/>
    <w:rsid w:val="5A706452"/>
    <w:rsid w:val="5A722E7F"/>
    <w:rsid w:val="5A73673F"/>
    <w:rsid w:val="5A77C246"/>
    <w:rsid w:val="5A791231"/>
    <w:rsid w:val="5A79556E"/>
    <w:rsid w:val="5A799850"/>
    <w:rsid w:val="5A7A5A9C"/>
    <w:rsid w:val="5A7C3869"/>
    <w:rsid w:val="5A7C5823"/>
    <w:rsid w:val="5A7DD5F4"/>
    <w:rsid w:val="5A7FDA6C"/>
    <w:rsid w:val="5A825CF8"/>
    <w:rsid w:val="5A843570"/>
    <w:rsid w:val="5A84DEF3"/>
    <w:rsid w:val="5A855D39"/>
    <w:rsid w:val="5A85DCE9"/>
    <w:rsid w:val="5A8743EA"/>
    <w:rsid w:val="5A88C1CD"/>
    <w:rsid w:val="5A88C84E"/>
    <w:rsid w:val="5A89EC59"/>
    <w:rsid w:val="5A8E89BF"/>
    <w:rsid w:val="5A909B55"/>
    <w:rsid w:val="5A95383C"/>
    <w:rsid w:val="5A95784F"/>
    <w:rsid w:val="5A96D812"/>
    <w:rsid w:val="5A987F75"/>
    <w:rsid w:val="5A99E5B6"/>
    <w:rsid w:val="5A9CD82F"/>
    <w:rsid w:val="5A9DF0A2"/>
    <w:rsid w:val="5AA0F69C"/>
    <w:rsid w:val="5AA21FBE"/>
    <w:rsid w:val="5AA34F6E"/>
    <w:rsid w:val="5AA365AB"/>
    <w:rsid w:val="5AA4DFD8"/>
    <w:rsid w:val="5AA599D5"/>
    <w:rsid w:val="5AA862C5"/>
    <w:rsid w:val="5AAAB74C"/>
    <w:rsid w:val="5AAB7360"/>
    <w:rsid w:val="5AAB814B"/>
    <w:rsid w:val="5AABB00D"/>
    <w:rsid w:val="5AB073FA"/>
    <w:rsid w:val="5AB6280F"/>
    <w:rsid w:val="5AB71221"/>
    <w:rsid w:val="5AB9E857"/>
    <w:rsid w:val="5ABA45AA"/>
    <w:rsid w:val="5ABA599D"/>
    <w:rsid w:val="5ABC1D49"/>
    <w:rsid w:val="5ABCBA6F"/>
    <w:rsid w:val="5ABCC206"/>
    <w:rsid w:val="5ABD5EA0"/>
    <w:rsid w:val="5ABDEF13"/>
    <w:rsid w:val="5ABEF305"/>
    <w:rsid w:val="5AC037A3"/>
    <w:rsid w:val="5AC0B5C3"/>
    <w:rsid w:val="5AC7A1AC"/>
    <w:rsid w:val="5ACA139B"/>
    <w:rsid w:val="5ACD49CA"/>
    <w:rsid w:val="5ACD9CB7"/>
    <w:rsid w:val="5AD050C2"/>
    <w:rsid w:val="5AD1386A"/>
    <w:rsid w:val="5AD23012"/>
    <w:rsid w:val="5AD25B8B"/>
    <w:rsid w:val="5AD2CED9"/>
    <w:rsid w:val="5AD2D565"/>
    <w:rsid w:val="5AD30752"/>
    <w:rsid w:val="5AD5BE45"/>
    <w:rsid w:val="5AD609D2"/>
    <w:rsid w:val="5AD8D74C"/>
    <w:rsid w:val="5ADBF5CB"/>
    <w:rsid w:val="5ADCE3DD"/>
    <w:rsid w:val="5ADCF3B2"/>
    <w:rsid w:val="5ADD1D61"/>
    <w:rsid w:val="5ADFD18D"/>
    <w:rsid w:val="5AE2E478"/>
    <w:rsid w:val="5AE41E73"/>
    <w:rsid w:val="5AE4EF1A"/>
    <w:rsid w:val="5AE7398D"/>
    <w:rsid w:val="5AE9A4B7"/>
    <w:rsid w:val="5AEA8E10"/>
    <w:rsid w:val="5AEBA872"/>
    <w:rsid w:val="5AEC943E"/>
    <w:rsid w:val="5AEC9CDA"/>
    <w:rsid w:val="5AECBB56"/>
    <w:rsid w:val="5AECE6F9"/>
    <w:rsid w:val="5AEDE8F9"/>
    <w:rsid w:val="5AEE128A"/>
    <w:rsid w:val="5AEEA828"/>
    <w:rsid w:val="5AF04851"/>
    <w:rsid w:val="5AF05B93"/>
    <w:rsid w:val="5AF07589"/>
    <w:rsid w:val="5AF189D0"/>
    <w:rsid w:val="5AF29F02"/>
    <w:rsid w:val="5AF39176"/>
    <w:rsid w:val="5AF3B467"/>
    <w:rsid w:val="5AF4C11F"/>
    <w:rsid w:val="5AF6FD14"/>
    <w:rsid w:val="5AF970E6"/>
    <w:rsid w:val="5AF9A8F0"/>
    <w:rsid w:val="5AFA0DFB"/>
    <w:rsid w:val="5AFC5952"/>
    <w:rsid w:val="5AFE11F3"/>
    <w:rsid w:val="5B0145B3"/>
    <w:rsid w:val="5B01C222"/>
    <w:rsid w:val="5B0241C6"/>
    <w:rsid w:val="5B02AFD6"/>
    <w:rsid w:val="5B035D8F"/>
    <w:rsid w:val="5B04046B"/>
    <w:rsid w:val="5B040CB9"/>
    <w:rsid w:val="5B0778C5"/>
    <w:rsid w:val="5B082901"/>
    <w:rsid w:val="5B0B8BE5"/>
    <w:rsid w:val="5B0D904E"/>
    <w:rsid w:val="5B0EB5F2"/>
    <w:rsid w:val="5B120134"/>
    <w:rsid w:val="5B1543E3"/>
    <w:rsid w:val="5B16A589"/>
    <w:rsid w:val="5B1AED05"/>
    <w:rsid w:val="5B1B77CC"/>
    <w:rsid w:val="5B1DF5E3"/>
    <w:rsid w:val="5B1EF91F"/>
    <w:rsid w:val="5B1FF447"/>
    <w:rsid w:val="5B2198BB"/>
    <w:rsid w:val="5B22BA2F"/>
    <w:rsid w:val="5B24609A"/>
    <w:rsid w:val="5B248801"/>
    <w:rsid w:val="5B26FE20"/>
    <w:rsid w:val="5B2787A0"/>
    <w:rsid w:val="5B2A1E71"/>
    <w:rsid w:val="5B2A4E0A"/>
    <w:rsid w:val="5B2B4187"/>
    <w:rsid w:val="5B2C2829"/>
    <w:rsid w:val="5B2D2E16"/>
    <w:rsid w:val="5B2FFD91"/>
    <w:rsid w:val="5B305D7A"/>
    <w:rsid w:val="5B31C71F"/>
    <w:rsid w:val="5B3703E3"/>
    <w:rsid w:val="5B382E75"/>
    <w:rsid w:val="5B3D9E32"/>
    <w:rsid w:val="5B428B2C"/>
    <w:rsid w:val="5B429775"/>
    <w:rsid w:val="5B4338CD"/>
    <w:rsid w:val="5B46A74F"/>
    <w:rsid w:val="5B47903F"/>
    <w:rsid w:val="5B4F71E1"/>
    <w:rsid w:val="5B4FBC8E"/>
    <w:rsid w:val="5B511376"/>
    <w:rsid w:val="5B51232F"/>
    <w:rsid w:val="5B519C03"/>
    <w:rsid w:val="5B524A97"/>
    <w:rsid w:val="5B525A91"/>
    <w:rsid w:val="5B5598EC"/>
    <w:rsid w:val="5B55D009"/>
    <w:rsid w:val="5B59AD77"/>
    <w:rsid w:val="5B5A0AC3"/>
    <w:rsid w:val="5B5A25D5"/>
    <w:rsid w:val="5B5D125F"/>
    <w:rsid w:val="5B5DC841"/>
    <w:rsid w:val="5B5DE92D"/>
    <w:rsid w:val="5B5F0763"/>
    <w:rsid w:val="5B5F3B15"/>
    <w:rsid w:val="5B5FF37E"/>
    <w:rsid w:val="5B604A5E"/>
    <w:rsid w:val="5B63B794"/>
    <w:rsid w:val="5B68E9D0"/>
    <w:rsid w:val="5B6CDC55"/>
    <w:rsid w:val="5B6DAAEF"/>
    <w:rsid w:val="5B6F6C32"/>
    <w:rsid w:val="5B737F31"/>
    <w:rsid w:val="5B73AB01"/>
    <w:rsid w:val="5B77F02F"/>
    <w:rsid w:val="5B79206E"/>
    <w:rsid w:val="5B79ED77"/>
    <w:rsid w:val="5B7A1892"/>
    <w:rsid w:val="5B7A3322"/>
    <w:rsid w:val="5B7C21CF"/>
    <w:rsid w:val="5B7C4969"/>
    <w:rsid w:val="5B7FD6D0"/>
    <w:rsid w:val="5B81A825"/>
    <w:rsid w:val="5B83CD18"/>
    <w:rsid w:val="5B840E9B"/>
    <w:rsid w:val="5B853F58"/>
    <w:rsid w:val="5B86775B"/>
    <w:rsid w:val="5B868EE2"/>
    <w:rsid w:val="5B88DFDA"/>
    <w:rsid w:val="5B89034D"/>
    <w:rsid w:val="5B8B991D"/>
    <w:rsid w:val="5B8D41BB"/>
    <w:rsid w:val="5B8EF24A"/>
    <w:rsid w:val="5B90EFF1"/>
    <w:rsid w:val="5B91090D"/>
    <w:rsid w:val="5B922F83"/>
    <w:rsid w:val="5B9371F1"/>
    <w:rsid w:val="5B9510DD"/>
    <w:rsid w:val="5B9594FD"/>
    <w:rsid w:val="5B95DBA0"/>
    <w:rsid w:val="5B989504"/>
    <w:rsid w:val="5B98CFC6"/>
    <w:rsid w:val="5B9D044A"/>
    <w:rsid w:val="5BA3BA33"/>
    <w:rsid w:val="5BA6CE6A"/>
    <w:rsid w:val="5BA72ADA"/>
    <w:rsid w:val="5BA78006"/>
    <w:rsid w:val="5BA89D00"/>
    <w:rsid w:val="5BADCAD6"/>
    <w:rsid w:val="5BAE1AEC"/>
    <w:rsid w:val="5BAF005A"/>
    <w:rsid w:val="5BB27864"/>
    <w:rsid w:val="5BB2F470"/>
    <w:rsid w:val="5BB48DE5"/>
    <w:rsid w:val="5BB4BC85"/>
    <w:rsid w:val="5BB729D4"/>
    <w:rsid w:val="5BB7A6B0"/>
    <w:rsid w:val="5BBB17BE"/>
    <w:rsid w:val="5BBB80FC"/>
    <w:rsid w:val="5BBFDA9C"/>
    <w:rsid w:val="5BC09802"/>
    <w:rsid w:val="5BC0A317"/>
    <w:rsid w:val="5BC38B04"/>
    <w:rsid w:val="5BC3CE2C"/>
    <w:rsid w:val="5BC3E72C"/>
    <w:rsid w:val="5BC4CBB8"/>
    <w:rsid w:val="5BC845D8"/>
    <w:rsid w:val="5BC91AED"/>
    <w:rsid w:val="5BCA5887"/>
    <w:rsid w:val="5BCB0297"/>
    <w:rsid w:val="5BCFCE60"/>
    <w:rsid w:val="5BD280E1"/>
    <w:rsid w:val="5BD2888D"/>
    <w:rsid w:val="5BD2A161"/>
    <w:rsid w:val="5BD45DCB"/>
    <w:rsid w:val="5BD804C0"/>
    <w:rsid w:val="5BDCAC15"/>
    <w:rsid w:val="5BDCC726"/>
    <w:rsid w:val="5BE0392A"/>
    <w:rsid w:val="5BE1ACF1"/>
    <w:rsid w:val="5BE2651F"/>
    <w:rsid w:val="5BE367B7"/>
    <w:rsid w:val="5BE531B5"/>
    <w:rsid w:val="5BE8DE14"/>
    <w:rsid w:val="5BEAC2A8"/>
    <w:rsid w:val="5BEB2924"/>
    <w:rsid w:val="5BEDE4F0"/>
    <w:rsid w:val="5BEF1658"/>
    <w:rsid w:val="5BEF17A4"/>
    <w:rsid w:val="5BEF3645"/>
    <w:rsid w:val="5BF05F8A"/>
    <w:rsid w:val="5BF0B9CD"/>
    <w:rsid w:val="5BF1CF02"/>
    <w:rsid w:val="5BF1D6E6"/>
    <w:rsid w:val="5BF20BD3"/>
    <w:rsid w:val="5BF2C433"/>
    <w:rsid w:val="5BF31545"/>
    <w:rsid w:val="5BF3DE23"/>
    <w:rsid w:val="5BF3FC94"/>
    <w:rsid w:val="5BF62426"/>
    <w:rsid w:val="5BF66AC0"/>
    <w:rsid w:val="5BFA17F5"/>
    <w:rsid w:val="5BFB63F1"/>
    <w:rsid w:val="5BFBAB22"/>
    <w:rsid w:val="5BFC7C56"/>
    <w:rsid w:val="5BFDC566"/>
    <w:rsid w:val="5BFE2F28"/>
    <w:rsid w:val="5BFF7B25"/>
    <w:rsid w:val="5C03698E"/>
    <w:rsid w:val="5C0493EA"/>
    <w:rsid w:val="5C08209E"/>
    <w:rsid w:val="5C087485"/>
    <w:rsid w:val="5C0B2BC8"/>
    <w:rsid w:val="5C0BCB19"/>
    <w:rsid w:val="5C107338"/>
    <w:rsid w:val="5C124F2F"/>
    <w:rsid w:val="5C126AC4"/>
    <w:rsid w:val="5C12A415"/>
    <w:rsid w:val="5C12F1DE"/>
    <w:rsid w:val="5C168AA3"/>
    <w:rsid w:val="5C17636E"/>
    <w:rsid w:val="5C1781E3"/>
    <w:rsid w:val="5C17C7BC"/>
    <w:rsid w:val="5C180A56"/>
    <w:rsid w:val="5C189620"/>
    <w:rsid w:val="5C19967F"/>
    <w:rsid w:val="5C1C2634"/>
    <w:rsid w:val="5C1D90BC"/>
    <w:rsid w:val="5C21A281"/>
    <w:rsid w:val="5C227C41"/>
    <w:rsid w:val="5C23CFFB"/>
    <w:rsid w:val="5C2433D9"/>
    <w:rsid w:val="5C257065"/>
    <w:rsid w:val="5C25C4C5"/>
    <w:rsid w:val="5C27775D"/>
    <w:rsid w:val="5C2856FB"/>
    <w:rsid w:val="5C285A89"/>
    <w:rsid w:val="5C29125F"/>
    <w:rsid w:val="5C292CC9"/>
    <w:rsid w:val="5C2C70C6"/>
    <w:rsid w:val="5C2D1EC6"/>
    <w:rsid w:val="5C2FF244"/>
    <w:rsid w:val="5C3227AB"/>
    <w:rsid w:val="5C337B94"/>
    <w:rsid w:val="5C34CBA3"/>
    <w:rsid w:val="5C3703CD"/>
    <w:rsid w:val="5C3963FE"/>
    <w:rsid w:val="5C3CFA7D"/>
    <w:rsid w:val="5C3D74FF"/>
    <w:rsid w:val="5C43D4B7"/>
    <w:rsid w:val="5C460623"/>
    <w:rsid w:val="5C46CD81"/>
    <w:rsid w:val="5C479CD0"/>
    <w:rsid w:val="5C480165"/>
    <w:rsid w:val="5C487DB0"/>
    <w:rsid w:val="5C48A924"/>
    <w:rsid w:val="5C48F66C"/>
    <w:rsid w:val="5C49FD5E"/>
    <w:rsid w:val="5C4BF049"/>
    <w:rsid w:val="5C52920E"/>
    <w:rsid w:val="5C53055F"/>
    <w:rsid w:val="5C53B299"/>
    <w:rsid w:val="5C55B791"/>
    <w:rsid w:val="5C59F885"/>
    <w:rsid w:val="5C5C7AAE"/>
    <w:rsid w:val="5C5C8E0A"/>
    <w:rsid w:val="5C5DB510"/>
    <w:rsid w:val="5C5E198B"/>
    <w:rsid w:val="5C5FC365"/>
    <w:rsid w:val="5C627B6B"/>
    <w:rsid w:val="5C6A89B1"/>
    <w:rsid w:val="5C6BB8C9"/>
    <w:rsid w:val="5C6E912E"/>
    <w:rsid w:val="5C6F528F"/>
    <w:rsid w:val="5C6FAB45"/>
    <w:rsid w:val="5C713D29"/>
    <w:rsid w:val="5C715893"/>
    <w:rsid w:val="5C71B1A5"/>
    <w:rsid w:val="5C7223F8"/>
    <w:rsid w:val="5C726660"/>
    <w:rsid w:val="5C7304A9"/>
    <w:rsid w:val="5C7592C5"/>
    <w:rsid w:val="5C7684DD"/>
    <w:rsid w:val="5C788080"/>
    <w:rsid w:val="5C7A008C"/>
    <w:rsid w:val="5C7BF285"/>
    <w:rsid w:val="5C8267A9"/>
    <w:rsid w:val="5C83EE2A"/>
    <w:rsid w:val="5C858339"/>
    <w:rsid w:val="5C86D233"/>
    <w:rsid w:val="5C879682"/>
    <w:rsid w:val="5C880766"/>
    <w:rsid w:val="5C8AF6A7"/>
    <w:rsid w:val="5C8E7283"/>
    <w:rsid w:val="5C8F4B65"/>
    <w:rsid w:val="5C8FBA1E"/>
    <w:rsid w:val="5C8FC766"/>
    <w:rsid w:val="5C93D5B3"/>
    <w:rsid w:val="5C992EC9"/>
    <w:rsid w:val="5C99B2DC"/>
    <w:rsid w:val="5C9C0678"/>
    <w:rsid w:val="5C9D033C"/>
    <w:rsid w:val="5C9FB52B"/>
    <w:rsid w:val="5CA07F46"/>
    <w:rsid w:val="5CA1B74E"/>
    <w:rsid w:val="5CA1DDDF"/>
    <w:rsid w:val="5CA1E5D6"/>
    <w:rsid w:val="5CA1ED1E"/>
    <w:rsid w:val="5CA486CE"/>
    <w:rsid w:val="5CA4D318"/>
    <w:rsid w:val="5CA4E979"/>
    <w:rsid w:val="5CA89C33"/>
    <w:rsid w:val="5CAAA315"/>
    <w:rsid w:val="5CAAA5E0"/>
    <w:rsid w:val="5CAB07A9"/>
    <w:rsid w:val="5CAB2273"/>
    <w:rsid w:val="5CABE59F"/>
    <w:rsid w:val="5CAFAAF6"/>
    <w:rsid w:val="5CB31E7A"/>
    <w:rsid w:val="5CB4CC03"/>
    <w:rsid w:val="5CB6FA3D"/>
    <w:rsid w:val="5CB88696"/>
    <w:rsid w:val="5CBB1BA6"/>
    <w:rsid w:val="5CBE96D0"/>
    <w:rsid w:val="5CC54199"/>
    <w:rsid w:val="5CC7B920"/>
    <w:rsid w:val="5CC9E35D"/>
    <w:rsid w:val="5CCA9BAE"/>
    <w:rsid w:val="5CCBAC20"/>
    <w:rsid w:val="5CCF1559"/>
    <w:rsid w:val="5CD07090"/>
    <w:rsid w:val="5CD3CC8B"/>
    <w:rsid w:val="5CD40C7B"/>
    <w:rsid w:val="5CD4E118"/>
    <w:rsid w:val="5CD755BF"/>
    <w:rsid w:val="5CD86CC8"/>
    <w:rsid w:val="5CD8C175"/>
    <w:rsid w:val="5CDB4A91"/>
    <w:rsid w:val="5CDCBDA1"/>
    <w:rsid w:val="5CDE82FD"/>
    <w:rsid w:val="5CDFE414"/>
    <w:rsid w:val="5CE0B3A5"/>
    <w:rsid w:val="5CE0E1BA"/>
    <w:rsid w:val="5CE315CC"/>
    <w:rsid w:val="5CE34705"/>
    <w:rsid w:val="5CE7DB39"/>
    <w:rsid w:val="5CE8FCB4"/>
    <w:rsid w:val="5CEB5779"/>
    <w:rsid w:val="5CECB871"/>
    <w:rsid w:val="5CECE05C"/>
    <w:rsid w:val="5CED7CEC"/>
    <w:rsid w:val="5CEE5178"/>
    <w:rsid w:val="5CEE6493"/>
    <w:rsid w:val="5CEE6AE1"/>
    <w:rsid w:val="5CF78916"/>
    <w:rsid w:val="5CF87A9D"/>
    <w:rsid w:val="5CF96B98"/>
    <w:rsid w:val="5CFBF2B6"/>
    <w:rsid w:val="5CFC077A"/>
    <w:rsid w:val="5CFCF65B"/>
    <w:rsid w:val="5CFDFE47"/>
    <w:rsid w:val="5D01039D"/>
    <w:rsid w:val="5D0206E9"/>
    <w:rsid w:val="5D05B84B"/>
    <w:rsid w:val="5D079CC3"/>
    <w:rsid w:val="5D08BE37"/>
    <w:rsid w:val="5D0A16F1"/>
    <w:rsid w:val="5D0B7697"/>
    <w:rsid w:val="5D0C2F84"/>
    <w:rsid w:val="5D0C46E4"/>
    <w:rsid w:val="5D0F0F55"/>
    <w:rsid w:val="5D112241"/>
    <w:rsid w:val="5D16E2D0"/>
    <w:rsid w:val="5D19F3B3"/>
    <w:rsid w:val="5D1A4C37"/>
    <w:rsid w:val="5D1B44C6"/>
    <w:rsid w:val="5D1C525F"/>
    <w:rsid w:val="5D1C8A73"/>
    <w:rsid w:val="5D223823"/>
    <w:rsid w:val="5D228B38"/>
    <w:rsid w:val="5D22AD3C"/>
    <w:rsid w:val="5D25DB5B"/>
    <w:rsid w:val="5D260387"/>
    <w:rsid w:val="5D266548"/>
    <w:rsid w:val="5D266C5F"/>
    <w:rsid w:val="5D286DF6"/>
    <w:rsid w:val="5D2B0B71"/>
    <w:rsid w:val="5D2BFA8B"/>
    <w:rsid w:val="5D2C46CC"/>
    <w:rsid w:val="5D2EA95F"/>
    <w:rsid w:val="5D303464"/>
    <w:rsid w:val="5D3096E9"/>
    <w:rsid w:val="5D31FB5D"/>
    <w:rsid w:val="5D32784C"/>
    <w:rsid w:val="5D35A3E8"/>
    <w:rsid w:val="5D360CA2"/>
    <w:rsid w:val="5D392662"/>
    <w:rsid w:val="5D3CDA21"/>
    <w:rsid w:val="5D3CDAA5"/>
    <w:rsid w:val="5D3D000F"/>
    <w:rsid w:val="5D3D6F6E"/>
    <w:rsid w:val="5D3D947B"/>
    <w:rsid w:val="5D3F38DB"/>
    <w:rsid w:val="5D3F63E7"/>
    <w:rsid w:val="5D413773"/>
    <w:rsid w:val="5D41B140"/>
    <w:rsid w:val="5D45BBE7"/>
    <w:rsid w:val="5D461185"/>
    <w:rsid w:val="5D487385"/>
    <w:rsid w:val="5D490A94"/>
    <w:rsid w:val="5D49DA82"/>
    <w:rsid w:val="5D4A8BDC"/>
    <w:rsid w:val="5D4BF480"/>
    <w:rsid w:val="5D4D33AE"/>
    <w:rsid w:val="5D4DFC78"/>
    <w:rsid w:val="5D4FF032"/>
    <w:rsid w:val="5D51570A"/>
    <w:rsid w:val="5D516E58"/>
    <w:rsid w:val="5D52F610"/>
    <w:rsid w:val="5D53DBDF"/>
    <w:rsid w:val="5D568CB5"/>
    <w:rsid w:val="5D58B257"/>
    <w:rsid w:val="5D5C5727"/>
    <w:rsid w:val="5D5C58AB"/>
    <w:rsid w:val="5D5C6D5A"/>
    <w:rsid w:val="5D5E3808"/>
    <w:rsid w:val="5D5ED41C"/>
    <w:rsid w:val="5D5FDBCA"/>
    <w:rsid w:val="5D60E1AC"/>
    <w:rsid w:val="5D627742"/>
    <w:rsid w:val="5D62C683"/>
    <w:rsid w:val="5D68EC59"/>
    <w:rsid w:val="5D6A2762"/>
    <w:rsid w:val="5D6A5052"/>
    <w:rsid w:val="5D6A98A7"/>
    <w:rsid w:val="5D6B559C"/>
    <w:rsid w:val="5D6CB52C"/>
    <w:rsid w:val="5D6E6FB1"/>
    <w:rsid w:val="5D6EEE26"/>
    <w:rsid w:val="5D6F53D9"/>
    <w:rsid w:val="5D6F8B6C"/>
    <w:rsid w:val="5D70D4B2"/>
    <w:rsid w:val="5D712610"/>
    <w:rsid w:val="5D723DB7"/>
    <w:rsid w:val="5D728DDE"/>
    <w:rsid w:val="5D74694F"/>
    <w:rsid w:val="5D77A641"/>
    <w:rsid w:val="5D77D219"/>
    <w:rsid w:val="5D784B49"/>
    <w:rsid w:val="5D78CFBE"/>
    <w:rsid w:val="5D796734"/>
    <w:rsid w:val="5D79A2C9"/>
    <w:rsid w:val="5D7A7099"/>
    <w:rsid w:val="5D7A7AF9"/>
    <w:rsid w:val="5D7B354B"/>
    <w:rsid w:val="5D7BC2B1"/>
    <w:rsid w:val="5D7F3ED3"/>
    <w:rsid w:val="5D8219A8"/>
    <w:rsid w:val="5D82AF8E"/>
    <w:rsid w:val="5D82FD12"/>
    <w:rsid w:val="5D83BEA7"/>
    <w:rsid w:val="5D83F45D"/>
    <w:rsid w:val="5D84097F"/>
    <w:rsid w:val="5D85469C"/>
    <w:rsid w:val="5D854720"/>
    <w:rsid w:val="5D869309"/>
    <w:rsid w:val="5D886CFC"/>
    <w:rsid w:val="5D890F1F"/>
    <w:rsid w:val="5D8ACB5F"/>
    <w:rsid w:val="5D8B0F18"/>
    <w:rsid w:val="5D8B1E94"/>
    <w:rsid w:val="5D8C0E5F"/>
    <w:rsid w:val="5D8CFB24"/>
    <w:rsid w:val="5D8DFC28"/>
    <w:rsid w:val="5D8E4016"/>
    <w:rsid w:val="5D906B6D"/>
    <w:rsid w:val="5D91327C"/>
    <w:rsid w:val="5D931E31"/>
    <w:rsid w:val="5D95843B"/>
    <w:rsid w:val="5D98041E"/>
    <w:rsid w:val="5D983D7B"/>
    <w:rsid w:val="5D9AA72A"/>
    <w:rsid w:val="5D9B0081"/>
    <w:rsid w:val="5D9BB7EA"/>
    <w:rsid w:val="5D9BB8AD"/>
    <w:rsid w:val="5D9E93BA"/>
    <w:rsid w:val="5DA00ADB"/>
    <w:rsid w:val="5DA0AA8F"/>
    <w:rsid w:val="5DA13FE1"/>
    <w:rsid w:val="5DA1BD76"/>
    <w:rsid w:val="5DA2A65D"/>
    <w:rsid w:val="5DA2B62F"/>
    <w:rsid w:val="5DA63457"/>
    <w:rsid w:val="5DA7067E"/>
    <w:rsid w:val="5DAAAE89"/>
    <w:rsid w:val="5DAB55C5"/>
    <w:rsid w:val="5DAD13BF"/>
    <w:rsid w:val="5DB00C02"/>
    <w:rsid w:val="5DB0C46D"/>
    <w:rsid w:val="5DB568A5"/>
    <w:rsid w:val="5DB68FB5"/>
    <w:rsid w:val="5DBAA887"/>
    <w:rsid w:val="5DBC08ED"/>
    <w:rsid w:val="5DBDA99B"/>
    <w:rsid w:val="5DBE8C88"/>
    <w:rsid w:val="5DBF1994"/>
    <w:rsid w:val="5DC33591"/>
    <w:rsid w:val="5DC3F2CB"/>
    <w:rsid w:val="5DC4AB0A"/>
    <w:rsid w:val="5DC57F47"/>
    <w:rsid w:val="5DC6A2DD"/>
    <w:rsid w:val="5DC6F2C3"/>
    <w:rsid w:val="5DC77E83"/>
    <w:rsid w:val="5DC9F6AB"/>
    <w:rsid w:val="5DCB724E"/>
    <w:rsid w:val="5DCE48AE"/>
    <w:rsid w:val="5DD1C06B"/>
    <w:rsid w:val="5DD2094C"/>
    <w:rsid w:val="5DD41104"/>
    <w:rsid w:val="5DD4DDE2"/>
    <w:rsid w:val="5DD9EF1D"/>
    <w:rsid w:val="5DDA321F"/>
    <w:rsid w:val="5DDC180E"/>
    <w:rsid w:val="5DDDF488"/>
    <w:rsid w:val="5DDE49C2"/>
    <w:rsid w:val="5DDFF19B"/>
    <w:rsid w:val="5DE1B40E"/>
    <w:rsid w:val="5DE3C08E"/>
    <w:rsid w:val="5DE74FD0"/>
    <w:rsid w:val="5DE9C912"/>
    <w:rsid w:val="5DEA9BEA"/>
    <w:rsid w:val="5DEDE1BE"/>
    <w:rsid w:val="5DEE1D85"/>
    <w:rsid w:val="5DF13C7E"/>
    <w:rsid w:val="5DF181DD"/>
    <w:rsid w:val="5DF29097"/>
    <w:rsid w:val="5DF2F70B"/>
    <w:rsid w:val="5DF7365E"/>
    <w:rsid w:val="5DF98571"/>
    <w:rsid w:val="5DF9E206"/>
    <w:rsid w:val="5DFAABA8"/>
    <w:rsid w:val="5DFC0825"/>
    <w:rsid w:val="5DFCD316"/>
    <w:rsid w:val="5DFE7442"/>
    <w:rsid w:val="5DFF46ED"/>
    <w:rsid w:val="5E002F19"/>
    <w:rsid w:val="5E0197D3"/>
    <w:rsid w:val="5E043ABF"/>
    <w:rsid w:val="5E06C2A7"/>
    <w:rsid w:val="5E06CF5D"/>
    <w:rsid w:val="5E08BDE2"/>
    <w:rsid w:val="5E099CAB"/>
    <w:rsid w:val="5E0B59C3"/>
    <w:rsid w:val="5E0D264C"/>
    <w:rsid w:val="5E104FE5"/>
    <w:rsid w:val="5E15DD65"/>
    <w:rsid w:val="5E18516B"/>
    <w:rsid w:val="5E18FA0A"/>
    <w:rsid w:val="5E1A03C2"/>
    <w:rsid w:val="5E1B896C"/>
    <w:rsid w:val="5E1F57AD"/>
    <w:rsid w:val="5E1F8B4A"/>
    <w:rsid w:val="5E1FC60C"/>
    <w:rsid w:val="5E2097C2"/>
    <w:rsid w:val="5E210A1E"/>
    <w:rsid w:val="5E241DA5"/>
    <w:rsid w:val="5E24C729"/>
    <w:rsid w:val="5E26000F"/>
    <w:rsid w:val="5E26B636"/>
    <w:rsid w:val="5E2758B1"/>
    <w:rsid w:val="5E29EF45"/>
    <w:rsid w:val="5E2A7D2D"/>
    <w:rsid w:val="5E2A8C92"/>
    <w:rsid w:val="5E2C922C"/>
    <w:rsid w:val="5E2CC00D"/>
    <w:rsid w:val="5E33896A"/>
    <w:rsid w:val="5E3695DE"/>
    <w:rsid w:val="5E3930A1"/>
    <w:rsid w:val="5E3BD7CE"/>
    <w:rsid w:val="5E3D8615"/>
    <w:rsid w:val="5E3F1CA2"/>
    <w:rsid w:val="5E3F9D1F"/>
    <w:rsid w:val="5E406DE0"/>
    <w:rsid w:val="5E459C70"/>
    <w:rsid w:val="5E45BF54"/>
    <w:rsid w:val="5E48B1D1"/>
    <w:rsid w:val="5E48CB71"/>
    <w:rsid w:val="5E4965FB"/>
    <w:rsid w:val="5E4D1E5E"/>
    <w:rsid w:val="5E4E9110"/>
    <w:rsid w:val="5E526E38"/>
    <w:rsid w:val="5E53A6A6"/>
    <w:rsid w:val="5E541D03"/>
    <w:rsid w:val="5E58EE07"/>
    <w:rsid w:val="5E5B0F0E"/>
    <w:rsid w:val="5E5DD595"/>
    <w:rsid w:val="5E5E1A84"/>
    <w:rsid w:val="5E5E6E05"/>
    <w:rsid w:val="5E5EC55A"/>
    <w:rsid w:val="5E60AB38"/>
    <w:rsid w:val="5E65EA26"/>
    <w:rsid w:val="5E66B787"/>
    <w:rsid w:val="5E67F151"/>
    <w:rsid w:val="5E694105"/>
    <w:rsid w:val="5E69AD6E"/>
    <w:rsid w:val="5E6A4BE0"/>
    <w:rsid w:val="5E6B13A6"/>
    <w:rsid w:val="5E6BC683"/>
    <w:rsid w:val="5E6C8842"/>
    <w:rsid w:val="5E6D31B5"/>
    <w:rsid w:val="5E6D93A9"/>
    <w:rsid w:val="5E70209A"/>
    <w:rsid w:val="5E730D78"/>
    <w:rsid w:val="5E73E4AC"/>
    <w:rsid w:val="5E774338"/>
    <w:rsid w:val="5E777213"/>
    <w:rsid w:val="5E787FF8"/>
    <w:rsid w:val="5E79284A"/>
    <w:rsid w:val="5E796E6A"/>
    <w:rsid w:val="5E82437A"/>
    <w:rsid w:val="5E828DFA"/>
    <w:rsid w:val="5E82BC7A"/>
    <w:rsid w:val="5E82E74C"/>
    <w:rsid w:val="5E862A2A"/>
    <w:rsid w:val="5E865289"/>
    <w:rsid w:val="5E86E830"/>
    <w:rsid w:val="5E8B9494"/>
    <w:rsid w:val="5E8CEE55"/>
    <w:rsid w:val="5E8D4A9F"/>
    <w:rsid w:val="5E8F2397"/>
    <w:rsid w:val="5E8F2F01"/>
    <w:rsid w:val="5E911F07"/>
    <w:rsid w:val="5E91528B"/>
    <w:rsid w:val="5E9238E5"/>
    <w:rsid w:val="5E9718E6"/>
    <w:rsid w:val="5E975B48"/>
    <w:rsid w:val="5E97E414"/>
    <w:rsid w:val="5E97F194"/>
    <w:rsid w:val="5E9A3599"/>
    <w:rsid w:val="5E9DCD51"/>
    <w:rsid w:val="5EA00B11"/>
    <w:rsid w:val="5EA574EC"/>
    <w:rsid w:val="5EA5C2A4"/>
    <w:rsid w:val="5EA5D456"/>
    <w:rsid w:val="5EA88854"/>
    <w:rsid w:val="5EA9A479"/>
    <w:rsid w:val="5EAA7AAF"/>
    <w:rsid w:val="5EAB2652"/>
    <w:rsid w:val="5EAB8662"/>
    <w:rsid w:val="5EAD1577"/>
    <w:rsid w:val="5EAE1DA9"/>
    <w:rsid w:val="5EAECCCA"/>
    <w:rsid w:val="5EAF33DF"/>
    <w:rsid w:val="5EB0110F"/>
    <w:rsid w:val="5EB13A15"/>
    <w:rsid w:val="5EB214E0"/>
    <w:rsid w:val="5EB43AB9"/>
    <w:rsid w:val="5EB5429E"/>
    <w:rsid w:val="5EB68B13"/>
    <w:rsid w:val="5EBC2A85"/>
    <w:rsid w:val="5EBD2342"/>
    <w:rsid w:val="5EBED04F"/>
    <w:rsid w:val="5EBED964"/>
    <w:rsid w:val="5EBF45B0"/>
    <w:rsid w:val="5EC0F651"/>
    <w:rsid w:val="5EC1AC0F"/>
    <w:rsid w:val="5EC3E086"/>
    <w:rsid w:val="5EC5259B"/>
    <w:rsid w:val="5EC60EA1"/>
    <w:rsid w:val="5EC8D8B9"/>
    <w:rsid w:val="5EC979F7"/>
    <w:rsid w:val="5ECD4C85"/>
    <w:rsid w:val="5ED1B4B1"/>
    <w:rsid w:val="5ED38147"/>
    <w:rsid w:val="5ED42849"/>
    <w:rsid w:val="5ED52B18"/>
    <w:rsid w:val="5ED85A4B"/>
    <w:rsid w:val="5ED86D56"/>
    <w:rsid w:val="5EDAD64F"/>
    <w:rsid w:val="5EE54756"/>
    <w:rsid w:val="5EE596FE"/>
    <w:rsid w:val="5EE5B271"/>
    <w:rsid w:val="5EE6B16B"/>
    <w:rsid w:val="5EE8890D"/>
    <w:rsid w:val="5EE8A1FB"/>
    <w:rsid w:val="5EEAD41B"/>
    <w:rsid w:val="5EEBBFD1"/>
    <w:rsid w:val="5EED4044"/>
    <w:rsid w:val="5EED547B"/>
    <w:rsid w:val="5EEE1B82"/>
    <w:rsid w:val="5EF0AD4F"/>
    <w:rsid w:val="5EF138C4"/>
    <w:rsid w:val="5EF82103"/>
    <w:rsid w:val="5EF902E0"/>
    <w:rsid w:val="5EF97A98"/>
    <w:rsid w:val="5EFA33DC"/>
    <w:rsid w:val="5EFB87EE"/>
    <w:rsid w:val="5EFD2962"/>
    <w:rsid w:val="5EFDD4BA"/>
    <w:rsid w:val="5EFE1B9A"/>
    <w:rsid w:val="5F01D80C"/>
    <w:rsid w:val="5F076716"/>
    <w:rsid w:val="5F096377"/>
    <w:rsid w:val="5F0BCC4C"/>
    <w:rsid w:val="5F0DDDAF"/>
    <w:rsid w:val="5F1201D4"/>
    <w:rsid w:val="5F14F00F"/>
    <w:rsid w:val="5F15359F"/>
    <w:rsid w:val="5F16CFC7"/>
    <w:rsid w:val="5F197E46"/>
    <w:rsid w:val="5F1BFDAD"/>
    <w:rsid w:val="5F1C65B1"/>
    <w:rsid w:val="5F1E01AB"/>
    <w:rsid w:val="5F1E3275"/>
    <w:rsid w:val="5F1EE1CF"/>
    <w:rsid w:val="5F201C6C"/>
    <w:rsid w:val="5F20A3F0"/>
    <w:rsid w:val="5F22636A"/>
    <w:rsid w:val="5F2343D2"/>
    <w:rsid w:val="5F251955"/>
    <w:rsid w:val="5F271996"/>
    <w:rsid w:val="5F281556"/>
    <w:rsid w:val="5F287723"/>
    <w:rsid w:val="5F2B266E"/>
    <w:rsid w:val="5F2B8F32"/>
    <w:rsid w:val="5F2C3CC0"/>
    <w:rsid w:val="5F2CAA55"/>
    <w:rsid w:val="5F2DB508"/>
    <w:rsid w:val="5F2DB6E4"/>
    <w:rsid w:val="5F2DD4AE"/>
    <w:rsid w:val="5F3158D5"/>
    <w:rsid w:val="5F34E938"/>
    <w:rsid w:val="5F35071A"/>
    <w:rsid w:val="5F35F463"/>
    <w:rsid w:val="5F37ACF1"/>
    <w:rsid w:val="5F380874"/>
    <w:rsid w:val="5F387D1E"/>
    <w:rsid w:val="5F39E328"/>
    <w:rsid w:val="5F3FA62D"/>
    <w:rsid w:val="5F42529A"/>
    <w:rsid w:val="5F46FBBA"/>
    <w:rsid w:val="5F48B1A3"/>
    <w:rsid w:val="5F4B4DDA"/>
    <w:rsid w:val="5F4B96F4"/>
    <w:rsid w:val="5F4E3224"/>
    <w:rsid w:val="5F537BBE"/>
    <w:rsid w:val="5F53B016"/>
    <w:rsid w:val="5F546260"/>
    <w:rsid w:val="5F54DE39"/>
    <w:rsid w:val="5F5654C5"/>
    <w:rsid w:val="5F56927A"/>
    <w:rsid w:val="5F577554"/>
    <w:rsid w:val="5F5C8BA8"/>
    <w:rsid w:val="5F5E3D4C"/>
    <w:rsid w:val="5F5F5247"/>
    <w:rsid w:val="5F5F5669"/>
    <w:rsid w:val="5F62FC91"/>
    <w:rsid w:val="5F657655"/>
    <w:rsid w:val="5F684D8C"/>
    <w:rsid w:val="5F6DA86E"/>
    <w:rsid w:val="5F6DAD1A"/>
    <w:rsid w:val="5F6DBFE7"/>
    <w:rsid w:val="5F6E718B"/>
    <w:rsid w:val="5F713CF1"/>
    <w:rsid w:val="5F72C755"/>
    <w:rsid w:val="5F734C98"/>
    <w:rsid w:val="5F74BB2E"/>
    <w:rsid w:val="5F75C27F"/>
    <w:rsid w:val="5F75DDC7"/>
    <w:rsid w:val="5F76924F"/>
    <w:rsid w:val="5F76F1D8"/>
    <w:rsid w:val="5F77051A"/>
    <w:rsid w:val="5F79B035"/>
    <w:rsid w:val="5F7B095D"/>
    <w:rsid w:val="5F7BFDA8"/>
    <w:rsid w:val="5F7D0A67"/>
    <w:rsid w:val="5F7E358E"/>
    <w:rsid w:val="5F7FAE80"/>
    <w:rsid w:val="5F856CD6"/>
    <w:rsid w:val="5F86349B"/>
    <w:rsid w:val="5F876436"/>
    <w:rsid w:val="5F8AEC96"/>
    <w:rsid w:val="5F8BD079"/>
    <w:rsid w:val="5F8E704C"/>
    <w:rsid w:val="5F8F86C1"/>
    <w:rsid w:val="5F91116B"/>
    <w:rsid w:val="5F91D1C5"/>
    <w:rsid w:val="5F92ECFC"/>
    <w:rsid w:val="5F939A1B"/>
    <w:rsid w:val="5F994A77"/>
    <w:rsid w:val="5F99E92B"/>
    <w:rsid w:val="5F9A110B"/>
    <w:rsid w:val="5F9EF48E"/>
    <w:rsid w:val="5F9FE0FF"/>
    <w:rsid w:val="5FA1934E"/>
    <w:rsid w:val="5FA269C5"/>
    <w:rsid w:val="5FA3598B"/>
    <w:rsid w:val="5FA5EDA6"/>
    <w:rsid w:val="5FA8D2A2"/>
    <w:rsid w:val="5FAA56A8"/>
    <w:rsid w:val="5FAB6722"/>
    <w:rsid w:val="5FAD9C18"/>
    <w:rsid w:val="5FAFB5F3"/>
    <w:rsid w:val="5FB0E329"/>
    <w:rsid w:val="5FB279C2"/>
    <w:rsid w:val="5FB4EA46"/>
    <w:rsid w:val="5FB8B895"/>
    <w:rsid w:val="5FBA91CB"/>
    <w:rsid w:val="5FBC356E"/>
    <w:rsid w:val="5FBC6893"/>
    <w:rsid w:val="5FC0121D"/>
    <w:rsid w:val="5FC1FFF9"/>
    <w:rsid w:val="5FC2F254"/>
    <w:rsid w:val="5FC2F96A"/>
    <w:rsid w:val="5FC589DE"/>
    <w:rsid w:val="5FC76526"/>
    <w:rsid w:val="5FC952E5"/>
    <w:rsid w:val="5FCCE7D4"/>
    <w:rsid w:val="5FCEFCCE"/>
    <w:rsid w:val="5FCF924D"/>
    <w:rsid w:val="5FD1B55D"/>
    <w:rsid w:val="5FD29B93"/>
    <w:rsid w:val="5FD2AABF"/>
    <w:rsid w:val="5FD3462F"/>
    <w:rsid w:val="5FD3AA8B"/>
    <w:rsid w:val="5FD6432C"/>
    <w:rsid w:val="5FD79111"/>
    <w:rsid w:val="5FD9016E"/>
    <w:rsid w:val="5FDA0FF2"/>
    <w:rsid w:val="5FDA92AE"/>
    <w:rsid w:val="5FDAC501"/>
    <w:rsid w:val="5FDBA3E5"/>
    <w:rsid w:val="5FDC396F"/>
    <w:rsid w:val="5FDC3D73"/>
    <w:rsid w:val="5FDF9E13"/>
    <w:rsid w:val="5FE18F8C"/>
    <w:rsid w:val="5FE3C376"/>
    <w:rsid w:val="5FE421C6"/>
    <w:rsid w:val="5FE93A22"/>
    <w:rsid w:val="5FEA07F2"/>
    <w:rsid w:val="5FEA8721"/>
    <w:rsid w:val="5FEB772D"/>
    <w:rsid w:val="5FECA189"/>
    <w:rsid w:val="5FEE1D70"/>
    <w:rsid w:val="5FF254A3"/>
    <w:rsid w:val="5FF3874E"/>
    <w:rsid w:val="5FF62E14"/>
    <w:rsid w:val="5FF6CBD0"/>
    <w:rsid w:val="5FF7B472"/>
    <w:rsid w:val="5FF8013F"/>
    <w:rsid w:val="5FF885D0"/>
    <w:rsid w:val="5FF8D05D"/>
    <w:rsid w:val="5FF99E17"/>
    <w:rsid w:val="5FF9ED43"/>
    <w:rsid w:val="5FFA6F43"/>
    <w:rsid w:val="5FFD0BE2"/>
    <w:rsid w:val="5FFDE358"/>
    <w:rsid w:val="5FFE8945"/>
    <w:rsid w:val="5FFE916D"/>
    <w:rsid w:val="600205AC"/>
    <w:rsid w:val="600342A4"/>
    <w:rsid w:val="60036943"/>
    <w:rsid w:val="60045BBA"/>
    <w:rsid w:val="60071E61"/>
    <w:rsid w:val="60092C3E"/>
    <w:rsid w:val="600AD045"/>
    <w:rsid w:val="600DECB9"/>
    <w:rsid w:val="60136570"/>
    <w:rsid w:val="601394A3"/>
    <w:rsid w:val="601450C4"/>
    <w:rsid w:val="60184A02"/>
    <w:rsid w:val="601A813E"/>
    <w:rsid w:val="601EA0C3"/>
    <w:rsid w:val="6020726E"/>
    <w:rsid w:val="60232E82"/>
    <w:rsid w:val="6023CC20"/>
    <w:rsid w:val="602718E7"/>
    <w:rsid w:val="60279A40"/>
    <w:rsid w:val="602A2768"/>
    <w:rsid w:val="602F36C6"/>
    <w:rsid w:val="60301BBE"/>
    <w:rsid w:val="603295E3"/>
    <w:rsid w:val="6032C6F2"/>
    <w:rsid w:val="60333889"/>
    <w:rsid w:val="6033CB68"/>
    <w:rsid w:val="6036F299"/>
    <w:rsid w:val="603794A9"/>
    <w:rsid w:val="603A73D9"/>
    <w:rsid w:val="603CFED1"/>
    <w:rsid w:val="603D5F76"/>
    <w:rsid w:val="603DBC37"/>
    <w:rsid w:val="603EE489"/>
    <w:rsid w:val="60405C34"/>
    <w:rsid w:val="60438D29"/>
    <w:rsid w:val="6043F61F"/>
    <w:rsid w:val="60451269"/>
    <w:rsid w:val="6045EF63"/>
    <w:rsid w:val="604A5D1A"/>
    <w:rsid w:val="604C7027"/>
    <w:rsid w:val="604E0C75"/>
    <w:rsid w:val="604E4ADF"/>
    <w:rsid w:val="604F4865"/>
    <w:rsid w:val="605409BD"/>
    <w:rsid w:val="60546A26"/>
    <w:rsid w:val="60548DC4"/>
    <w:rsid w:val="60550A1B"/>
    <w:rsid w:val="605960C6"/>
    <w:rsid w:val="60599CA3"/>
    <w:rsid w:val="605AE03A"/>
    <w:rsid w:val="605CFD6C"/>
    <w:rsid w:val="605E19E3"/>
    <w:rsid w:val="605EBCFD"/>
    <w:rsid w:val="605F7EEE"/>
    <w:rsid w:val="60608082"/>
    <w:rsid w:val="6061BB6F"/>
    <w:rsid w:val="606236B5"/>
    <w:rsid w:val="60625424"/>
    <w:rsid w:val="6062C4D6"/>
    <w:rsid w:val="606454FC"/>
    <w:rsid w:val="606654B6"/>
    <w:rsid w:val="6066726E"/>
    <w:rsid w:val="6066C8E6"/>
    <w:rsid w:val="60679855"/>
    <w:rsid w:val="6067D666"/>
    <w:rsid w:val="6069EE59"/>
    <w:rsid w:val="606A861B"/>
    <w:rsid w:val="6071E6E9"/>
    <w:rsid w:val="6074D4E5"/>
    <w:rsid w:val="60752438"/>
    <w:rsid w:val="60767C85"/>
    <w:rsid w:val="60775DC8"/>
    <w:rsid w:val="6078D944"/>
    <w:rsid w:val="6079A60D"/>
    <w:rsid w:val="607CA9B3"/>
    <w:rsid w:val="607DF023"/>
    <w:rsid w:val="6082B042"/>
    <w:rsid w:val="60876DFC"/>
    <w:rsid w:val="608A2EC6"/>
    <w:rsid w:val="608B436B"/>
    <w:rsid w:val="608E0560"/>
    <w:rsid w:val="608E9AD9"/>
    <w:rsid w:val="608EDAF5"/>
    <w:rsid w:val="6091F42B"/>
    <w:rsid w:val="6092F8FB"/>
    <w:rsid w:val="6098277E"/>
    <w:rsid w:val="60995016"/>
    <w:rsid w:val="609A77B0"/>
    <w:rsid w:val="609B8EF9"/>
    <w:rsid w:val="609C1647"/>
    <w:rsid w:val="609C8A1F"/>
    <w:rsid w:val="609E5C9A"/>
    <w:rsid w:val="609F3CCD"/>
    <w:rsid w:val="609F8FDE"/>
    <w:rsid w:val="60A05105"/>
    <w:rsid w:val="60A0E220"/>
    <w:rsid w:val="60A22030"/>
    <w:rsid w:val="60A29743"/>
    <w:rsid w:val="60A4ABB0"/>
    <w:rsid w:val="60A7AFC5"/>
    <w:rsid w:val="60A98000"/>
    <w:rsid w:val="60A98571"/>
    <w:rsid w:val="60AAE1A8"/>
    <w:rsid w:val="60AB36BC"/>
    <w:rsid w:val="60AE0A89"/>
    <w:rsid w:val="60AE9DBA"/>
    <w:rsid w:val="60B12A81"/>
    <w:rsid w:val="60B131AE"/>
    <w:rsid w:val="60B49E1B"/>
    <w:rsid w:val="60B4A1F2"/>
    <w:rsid w:val="60B9FD21"/>
    <w:rsid w:val="60BA563D"/>
    <w:rsid w:val="60BC5711"/>
    <w:rsid w:val="60C128D5"/>
    <w:rsid w:val="60C13AD3"/>
    <w:rsid w:val="60C18932"/>
    <w:rsid w:val="60C224C0"/>
    <w:rsid w:val="60C249A3"/>
    <w:rsid w:val="60C31BCE"/>
    <w:rsid w:val="60C3667E"/>
    <w:rsid w:val="60C3786E"/>
    <w:rsid w:val="60C3BF68"/>
    <w:rsid w:val="60C3CA19"/>
    <w:rsid w:val="60C46244"/>
    <w:rsid w:val="60C76191"/>
    <w:rsid w:val="60C9FDA0"/>
    <w:rsid w:val="60CB804E"/>
    <w:rsid w:val="60CD1E42"/>
    <w:rsid w:val="60CDE79B"/>
    <w:rsid w:val="60D17392"/>
    <w:rsid w:val="60D1BA74"/>
    <w:rsid w:val="60D21699"/>
    <w:rsid w:val="60D25868"/>
    <w:rsid w:val="60D5BD44"/>
    <w:rsid w:val="60DBFA0C"/>
    <w:rsid w:val="60DCC904"/>
    <w:rsid w:val="60DD3A75"/>
    <w:rsid w:val="60DEB991"/>
    <w:rsid w:val="60DFB2C9"/>
    <w:rsid w:val="60DFEC51"/>
    <w:rsid w:val="60E0CC5E"/>
    <w:rsid w:val="60E1BF13"/>
    <w:rsid w:val="60E31063"/>
    <w:rsid w:val="60E3660A"/>
    <w:rsid w:val="60E39123"/>
    <w:rsid w:val="60E40165"/>
    <w:rsid w:val="60E44225"/>
    <w:rsid w:val="60E5C052"/>
    <w:rsid w:val="60E61CFD"/>
    <w:rsid w:val="60EA4B51"/>
    <w:rsid w:val="60EA509A"/>
    <w:rsid w:val="60EB7A79"/>
    <w:rsid w:val="60EC2846"/>
    <w:rsid w:val="60F1D4EC"/>
    <w:rsid w:val="60F2403A"/>
    <w:rsid w:val="60F24A49"/>
    <w:rsid w:val="60F315EB"/>
    <w:rsid w:val="60F9A43F"/>
    <w:rsid w:val="60FDCB20"/>
    <w:rsid w:val="60FE136E"/>
    <w:rsid w:val="60FE181E"/>
    <w:rsid w:val="6100D095"/>
    <w:rsid w:val="61042C32"/>
    <w:rsid w:val="6105D690"/>
    <w:rsid w:val="6105E28D"/>
    <w:rsid w:val="61064BAC"/>
    <w:rsid w:val="6106D0FB"/>
    <w:rsid w:val="6108F78B"/>
    <w:rsid w:val="61096A33"/>
    <w:rsid w:val="610A26F6"/>
    <w:rsid w:val="610A41CD"/>
    <w:rsid w:val="610B16D8"/>
    <w:rsid w:val="610B51B2"/>
    <w:rsid w:val="610CAF08"/>
    <w:rsid w:val="610D5AAA"/>
    <w:rsid w:val="610D8DF8"/>
    <w:rsid w:val="610E67F2"/>
    <w:rsid w:val="610ECAAF"/>
    <w:rsid w:val="61105A74"/>
    <w:rsid w:val="61112DF1"/>
    <w:rsid w:val="6112AB82"/>
    <w:rsid w:val="6113875F"/>
    <w:rsid w:val="61139E49"/>
    <w:rsid w:val="6115954A"/>
    <w:rsid w:val="6115EEA6"/>
    <w:rsid w:val="611725B2"/>
    <w:rsid w:val="61183CB7"/>
    <w:rsid w:val="61188F7D"/>
    <w:rsid w:val="6119A878"/>
    <w:rsid w:val="611A6829"/>
    <w:rsid w:val="611B5401"/>
    <w:rsid w:val="611D7003"/>
    <w:rsid w:val="611EF088"/>
    <w:rsid w:val="611F799A"/>
    <w:rsid w:val="61205AE0"/>
    <w:rsid w:val="6120A123"/>
    <w:rsid w:val="6124497D"/>
    <w:rsid w:val="61258EA3"/>
    <w:rsid w:val="612A2B00"/>
    <w:rsid w:val="612C4197"/>
    <w:rsid w:val="612CC8FA"/>
    <w:rsid w:val="61303440"/>
    <w:rsid w:val="61309996"/>
    <w:rsid w:val="6130A02A"/>
    <w:rsid w:val="61330A37"/>
    <w:rsid w:val="61342396"/>
    <w:rsid w:val="6134E658"/>
    <w:rsid w:val="61352BD2"/>
    <w:rsid w:val="61357EAD"/>
    <w:rsid w:val="6135E716"/>
    <w:rsid w:val="6137FE00"/>
    <w:rsid w:val="613B08FD"/>
    <w:rsid w:val="613B9502"/>
    <w:rsid w:val="613D5FBD"/>
    <w:rsid w:val="613EA185"/>
    <w:rsid w:val="613F4219"/>
    <w:rsid w:val="613FEB6F"/>
    <w:rsid w:val="61408D7C"/>
    <w:rsid w:val="6140A758"/>
    <w:rsid w:val="6140ADF8"/>
    <w:rsid w:val="6140F247"/>
    <w:rsid w:val="6140FEB4"/>
    <w:rsid w:val="61418A73"/>
    <w:rsid w:val="6141DA73"/>
    <w:rsid w:val="6141F34D"/>
    <w:rsid w:val="614A0339"/>
    <w:rsid w:val="614B9B30"/>
    <w:rsid w:val="614CBC8D"/>
    <w:rsid w:val="61515350"/>
    <w:rsid w:val="615209DE"/>
    <w:rsid w:val="6152E359"/>
    <w:rsid w:val="6154BA2F"/>
    <w:rsid w:val="6154E8FF"/>
    <w:rsid w:val="61555D83"/>
    <w:rsid w:val="6155E70E"/>
    <w:rsid w:val="61589C32"/>
    <w:rsid w:val="6158E3B8"/>
    <w:rsid w:val="6159481E"/>
    <w:rsid w:val="61596D1C"/>
    <w:rsid w:val="6159805F"/>
    <w:rsid w:val="615B536F"/>
    <w:rsid w:val="615B746A"/>
    <w:rsid w:val="615F1638"/>
    <w:rsid w:val="6164FED9"/>
    <w:rsid w:val="616643C4"/>
    <w:rsid w:val="616941D1"/>
    <w:rsid w:val="616951B9"/>
    <w:rsid w:val="616B3170"/>
    <w:rsid w:val="616D3E84"/>
    <w:rsid w:val="616D54C0"/>
    <w:rsid w:val="61701B7D"/>
    <w:rsid w:val="617069D2"/>
    <w:rsid w:val="61725463"/>
    <w:rsid w:val="617352D3"/>
    <w:rsid w:val="6174A727"/>
    <w:rsid w:val="61752E78"/>
    <w:rsid w:val="61766BC4"/>
    <w:rsid w:val="6179F4C7"/>
    <w:rsid w:val="617D05B6"/>
    <w:rsid w:val="617D56B7"/>
    <w:rsid w:val="61806BDA"/>
    <w:rsid w:val="6180A616"/>
    <w:rsid w:val="6183001E"/>
    <w:rsid w:val="61834BA1"/>
    <w:rsid w:val="6183AD73"/>
    <w:rsid w:val="618415EF"/>
    <w:rsid w:val="61864D56"/>
    <w:rsid w:val="618828D7"/>
    <w:rsid w:val="61883216"/>
    <w:rsid w:val="618975F3"/>
    <w:rsid w:val="61899E28"/>
    <w:rsid w:val="618D54AE"/>
    <w:rsid w:val="618ED9D0"/>
    <w:rsid w:val="61902A38"/>
    <w:rsid w:val="6190AF1E"/>
    <w:rsid w:val="6194120A"/>
    <w:rsid w:val="6194162B"/>
    <w:rsid w:val="6195DC65"/>
    <w:rsid w:val="6196A82E"/>
    <w:rsid w:val="61994907"/>
    <w:rsid w:val="61A10D8A"/>
    <w:rsid w:val="61A1E58F"/>
    <w:rsid w:val="61A5D3CA"/>
    <w:rsid w:val="61A82AA6"/>
    <w:rsid w:val="61A867FA"/>
    <w:rsid w:val="61A938A2"/>
    <w:rsid w:val="61A95F10"/>
    <w:rsid w:val="61A9A992"/>
    <w:rsid w:val="61AB2119"/>
    <w:rsid w:val="61AC4246"/>
    <w:rsid w:val="61AE7B76"/>
    <w:rsid w:val="61AF6801"/>
    <w:rsid w:val="61AFB01C"/>
    <w:rsid w:val="61B02D8B"/>
    <w:rsid w:val="61B0E230"/>
    <w:rsid w:val="61B2BF70"/>
    <w:rsid w:val="61B4B553"/>
    <w:rsid w:val="61B85EC2"/>
    <w:rsid w:val="61B860F1"/>
    <w:rsid w:val="61B88CD8"/>
    <w:rsid w:val="61B934E2"/>
    <w:rsid w:val="61BA37A6"/>
    <w:rsid w:val="61BB1AD9"/>
    <w:rsid w:val="61BBCC95"/>
    <w:rsid w:val="61C0AA0A"/>
    <w:rsid w:val="61C1101C"/>
    <w:rsid w:val="61C24E28"/>
    <w:rsid w:val="61C2A6E9"/>
    <w:rsid w:val="61C55A9B"/>
    <w:rsid w:val="61C64862"/>
    <w:rsid w:val="61C6A93E"/>
    <w:rsid w:val="61C6C46A"/>
    <w:rsid w:val="61CB7762"/>
    <w:rsid w:val="61CE78BC"/>
    <w:rsid w:val="61D0CEF9"/>
    <w:rsid w:val="61D100F4"/>
    <w:rsid w:val="61D25FAB"/>
    <w:rsid w:val="61D2A27C"/>
    <w:rsid w:val="61D5E1B1"/>
    <w:rsid w:val="61D68615"/>
    <w:rsid w:val="61D68878"/>
    <w:rsid w:val="61D787E3"/>
    <w:rsid w:val="61D80A96"/>
    <w:rsid w:val="61DB6329"/>
    <w:rsid w:val="61DCF961"/>
    <w:rsid w:val="61DDED9D"/>
    <w:rsid w:val="61E11F7C"/>
    <w:rsid w:val="61E14E19"/>
    <w:rsid w:val="61E1903E"/>
    <w:rsid w:val="61E2E223"/>
    <w:rsid w:val="61E44729"/>
    <w:rsid w:val="61E4CA9F"/>
    <w:rsid w:val="61E579FA"/>
    <w:rsid w:val="61E58C64"/>
    <w:rsid w:val="61E6F954"/>
    <w:rsid w:val="61E74D85"/>
    <w:rsid w:val="61E9D184"/>
    <w:rsid w:val="61EA3749"/>
    <w:rsid w:val="61EE6A1F"/>
    <w:rsid w:val="61EE8406"/>
    <w:rsid w:val="61F04EED"/>
    <w:rsid w:val="61F10C4E"/>
    <w:rsid w:val="61F14CCE"/>
    <w:rsid w:val="61F34B69"/>
    <w:rsid w:val="61F45FBE"/>
    <w:rsid w:val="61F49AD4"/>
    <w:rsid w:val="61F71DC4"/>
    <w:rsid w:val="61F7C875"/>
    <w:rsid w:val="61F85139"/>
    <w:rsid w:val="61FB10FA"/>
    <w:rsid w:val="61FB267B"/>
    <w:rsid w:val="61FCA9C3"/>
    <w:rsid w:val="61FDF88B"/>
    <w:rsid w:val="61FE2B5C"/>
    <w:rsid w:val="61FE6B3E"/>
    <w:rsid w:val="61FE746F"/>
    <w:rsid w:val="61FFB0D7"/>
    <w:rsid w:val="61FFC01A"/>
    <w:rsid w:val="62016418"/>
    <w:rsid w:val="620171C4"/>
    <w:rsid w:val="620178B8"/>
    <w:rsid w:val="6201E96A"/>
    <w:rsid w:val="6201FEA2"/>
    <w:rsid w:val="62067B2B"/>
    <w:rsid w:val="6208645B"/>
    <w:rsid w:val="62088A76"/>
    <w:rsid w:val="6208A650"/>
    <w:rsid w:val="620927E5"/>
    <w:rsid w:val="620A1171"/>
    <w:rsid w:val="620B6FAF"/>
    <w:rsid w:val="620C1CD0"/>
    <w:rsid w:val="620C67D8"/>
    <w:rsid w:val="620C8372"/>
    <w:rsid w:val="620E8637"/>
    <w:rsid w:val="620E9D9E"/>
    <w:rsid w:val="620F2DF9"/>
    <w:rsid w:val="621005F4"/>
    <w:rsid w:val="6211C7B0"/>
    <w:rsid w:val="62125EEC"/>
    <w:rsid w:val="621306CB"/>
    <w:rsid w:val="621340EB"/>
    <w:rsid w:val="6213EC98"/>
    <w:rsid w:val="6214F143"/>
    <w:rsid w:val="62155C3C"/>
    <w:rsid w:val="6215F45B"/>
    <w:rsid w:val="6219D0C6"/>
    <w:rsid w:val="621A0495"/>
    <w:rsid w:val="621BE527"/>
    <w:rsid w:val="621D6B7C"/>
    <w:rsid w:val="621EA19F"/>
    <w:rsid w:val="621F6389"/>
    <w:rsid w:val="622064C6"/>
    <w:rsid w:val="62229C80"/>
    <w:rsid w:val="6226D1BD"/>
    <w:rsid w:val="62274848"/>
    <w:rsid w:val="6229EEAE"/>
    <w:rsid w:val="622A0B21"/>
    <w:rsid w:val="622D1B25"/>
    <w:rsid w:val="622D1CD3"/>
    <w:rsid w:val="622E217B"/>
    <w:rsid w:val="622E3691"/>
    <w:rsid w:val="62303F99"/>
    <w:rsid w:val="6230A80E"/>
    <w:rsid w:val="6231A4B5"/>
    <w:rsid w:val="62375936"/>
    <w:rsid w:val="62381857"/>
    <w:rsid w:val="6239AFFE"/>
    <w:rsid w:val="623B8392"/>
    <w:rsid w:val="623E19F5"/>
    <w:rsid w:val="623F3F78"/>
    <w:rsid w:val="6247175D"/>
    <w:rsid w:val="6247AEEE"/>
    <w:rsid w:val="624854F4"/>
    <w:rsid w:val="624879CF"/>
    <w:rsid w:val="624AAE20"/>
    <w:rsid w:val="624BEC6C"/>
    <w:rsid w:val="624ED7BB"/>
    <w:rsid w:val="624F6DCF"/>
    <w:rsid w:val="62512715"/>
    <w:rsid w:val="6254A0F0"/>
    <w:rsid w:val="6254BCC6"/>
    <w:rsid w:val="62553DD7"/>
    <w:rsid w:val="6255C2F0"/>
    <w:rsid w:val="6257D9C9"/>
    <w:rsid w:val="6257E839"/>
    <w:rsid w:val="6257EA34"/>
    <w:rsid w:val="625A91EC"/>
    <w:rsid w:val="625CF303"/>
    <w:rsid w:val="625D0CEA"/>
    <w:rsid w:val="62601CAF"/>
    <w:rsid w:val="62612561"/>
    <w:rsid w:val="62631FA7"/>
    <w:rsid w:val="6265D8B9"/>
    <w:rsid w:val="626B05B3"/>
    <w:rsid w:val="626FBC6A"/>
    <w:rsid w:val="626FC5EE"/>
    <w:rsid w:val="626FEBC3"/>
    <w:rsid w:val="62713F61"/>
    <w:rsid w:val="62759222"/>
    <w:rsid w:val="62762113"/>
    <w:rsid w:val="62776A51"/>
    <w:rsid w:val="627911AC"/>
    <w:rsid w:val="627B0422"/>
    <w:rsid w:val="627BF599"/>
    <w:rsid w:val="627E39D5"/>
    <w:rsid w:val="627EAECC"/>
    <w:rsid w:val="627ED32F"/>
    <w:rsid w:val="6281632E"/>
    <w:rsid w:val="6281F6DB"/>
    <w:rsid w:val="62843624"/>
    <w:rsid w:val="62850E0F"/>
    <w:rsid w:val="6288537C"/>
    <w:rsid w:val="6288E617"/>
    <w:rsid w:val="628A1555"/>
    <w:rsid w:val="628A797D"/>
    <w:rsid w:val="628B96DE"/>
    <w:rsid w:val="628C89B6"/>
    <w:rsid w:val="628C90B8"/>
    <w:rsid w:val="628E20CE"/>
    <w:rsid w:val="6291F960"/>
    <w:rsid w:val="629440A8"/>
    <w:rsid w:val="6294D550"/>
    <w:rsid w:val="62953D64"/>
    <w:rsid w:val="62961946"/>
    <w:rsid w:val="6296912F"/>
    <w:rsid w:val="629A3523"/>
    <w:rsid w:val="629DCC4B"/>
    <w:rsid w:val="629FA3A1"/>
    <w:rsid w:val="62A11724"/>
    <w:rsid w:val="62A34A27"/>
    <w:rsid w:val="62A403B3"/>
    <w:rsid w:val="62A4FB39"/>
    <w:rsid w:val="62A7975E"/>
    <w:rsid w:val="62A7E4E2"/>
    <w:rsid w:val="62AA0A5E"/>
    <w:rsid w:val="62AF6566"/>
    <w:rsid w:val="62B165AB"/>
    <w:rsid w:val="62B6F66B"/>
    <w:rsid w:val="62B738B0"/>
    <w:rsid w:val="62B7B800"/>
    <w:rsid w:val="62B90C7D"/>
    <w:rsid w:val="62BA373A"/>
    <w:rsid w:val="62BA5E9E"/>
    <w:rsid w:val="62BCC54F"/>
    <w:rsid w:val="62BD373D"/>
    <w:rsid w:val="62BE6E60"/>
    <w:rsid w:val="62BFB848"/>
    <w:rsid w:val="62C05438"/>
    <w:rsid w:val="62C36B22"/>
    <w:rsid w:val="62C3B91C"/>
    <w:rsid w:val="62C41685"/>
    <w:rsid w:val="62C4A187"/>
    <w:rsid w:val="62C5343F"/>
    <w:rsid w:val="62C5889D"/>
    <w:rsid w:val="62C59A1C"/>
    <w:rsid w:val="62C7476F"/>
    <w:rsid w:val="62C855F2"/>
    <w:rsid w:val="62C89D95"/>
    <w:rsid w:val="62C92E52"/>
    <w:rsid w:val="62CA9B9E"/>
    <w:rsid w:val="62CBBF53"/>
    <w:rsid w:val="62CD9E0E"/>
    <w:rsid w:val="62CE4CEE"/>
    <w:rsid w:val="62CF7703"/>
    <w:rsid w:val="62CFDE18"/>
    <w:rsid w:val="62D16A1E"/>
    <w:rsid w:val="62D25D7F"/>
    <w:rsid w:val="62D46099"/>
    <w:rsid w:val="62D46192"/>
    <w:rsid w:val="62D53F73"/>
    <w:rsid w:val="62D8463A"/>
    <w:rsid w:val="62DA765F"/>
    <w:rsid w:val="62DAFA4D"/>
    <w:rsid w:val="62DC054D"/>
    <w:rsid w:val="62DE07AC"/>
    <w:rsid w:val="62E12B74"/>
    <w:rsid w:val="62E33E4E"/>
    <w:rsid w:val="62E4CEC4"/>
    <w:rsid w:val="62E4FE30"/>
    <w:rsid w:val="62E58BDA"/>
    <w:rsid w:val="62E709BD"/>
    <w:rsid w:val="62E70FDA"/>
    <w:rsid w:val="62EABDF0"/>
    <w:rsid w:val="62EB2D86"/>
    <w:rsid w:val="62ED15EA"/>
    <w:rsid w:val="62EEBE71"/>
    <w:rsid w:val="62F01B91"/>
    <w:rsid w:val="62F10EEA"/>
    <w:rsid w:val="62F25343"/>
    <w:rsid w:val="62F44F26"/>
    <w:rsid w:val="62F49417"/>
    <w:rsid w:val="62F5B4EF"/>
    <w:rsid w:val="62F68904"/>
    <w:rsid w:val="62F7451C"/>
    <w:rsid w:val="62F804AF"/>
    <w:rsid w:val="62F992F0"/>
    <w:rsid w:val="62F9D898"/>
    <w:rsid w:val="62FB175E"/>
    <w:rsid w:val="62FB34D1"/>
    <w:rsid w:val="62FCA422"/>
    <w:rsid w:val="62FCB797"/>
    <w:rsid w:val="62FCC572"/>
    <w:rsid w:val="62FEAC4D"/>
    <w:rsid w:val="62FED798"/>
    <w:rsid w:val="62FFA21B"/>
    <w:rsid w:val="62FFDACD"/>
    <w:rsid w:val="62FFE37D"/>
    <w:rsid w:val="630041D3"/>
    <w:rsid w:val="63009433"/>
    <w:rsid w:val="6300D4A5"/>
    <w:rsid w:val="6301C69F"/>
    <w:rsid w:val="6302283A"/>
    <w:rsid w:val="6302FE22"/>
    <w:rsid w:val="6304F96A"/>
    <w:rsid w:val="630600A2"/>
    <w:rsid w:val="630819B7"/>
    <w:rsid w:val="63087B4F"/>
    <w:rsid w:val="63089AC1"/>
    <w:rsid w:val="630A1E88"/>
    <w:rsid w:val="630A6464"/>
    <w:rsid w:val="630AEEA3"/>
    <w:rsid w:val="630C4059"/>
    <w:rsid w:val="6311436B"/>
    <w:rsid w:val="6311DC81"/>
    <w:rsid w:val="6313DA73"/>
    <w:rsid w:val="63140DF2"/>
    <w:rsid w:val="6314C07A"/>
    <w:rsid w:val="63158EA1"/>
    <w:rsid w:val="6315B366"/>
    <w:rsid w:val="63181643"/>
    <w:rsid w:val="631839BC"/>
    <w:rsid w:val="6318E70E"/>
    <w:rsid w:val="631B8F14"/>
    <w:rsid w:val="631D674F"/>
    <w:rsid w:val="631E2EF4"/>
    <w:rsid w:val="632065AA"/>
    <w:rsid w:val="6320A6FD"/>
    <w:rsid w:val="63210DD1"/>
    <w:rsid w:val="6322E230"/>
    <w:rsid w:val="63251CE7"/>
    <w:rsid w:val="632818D9"/>
    <w:rsid w:val="63294729"/>
    <w:rsid w:val="632B2AED"/>
    <w:rsid w:val="632B7E1E"/>
    <w:rsid w:val="632CC237"/>
    <w:rsid w:val="632DA835"/>
    <w:rsid w:val="632E01C2"/>
    <w:rsid w:val="6331E051"/>
    <w:rsid w:val="6333551D"/>
    <w:rsid w:val="633471DF"/>
    <w:rsid w:val="63349600"/>
    <w:rsid w:val="6335499E"/>
    <w:rsid w:val="6335AA84"/>
    <w:rsid w:val="633627AA"/>
    <w:rsid w:val="63379E2F"/>
    <w:rsid w:val="63387BE6"/>
    <w:rsid w:val="63395338"/>
    <w:rsid w:val="63399612"/>
    <w:rsid w:val="633B46EC"/>
    <w:rsid w:val="633BE8D7"/>
    <w:rsid w:val="633DCF5C"/>
    <w:rsid w:val="6340E2E1"/>
    <w:rsid w:val="634677D8"/>
    <w:rsid w:val="6348FE26"/>
    <w:rsid w:val="634B269F"/>
    <w:rsid w:val="634D1B1C"/>
    <w:rsid w:val="634F417A"/>
    <w:rsid w:val="6350FA76"/>
    <w:rsid w:val="6352DF7E"/>
    <w:rsid w:val="63533163"/>
    <w:rsid w:val="635391FF"/>
    <w:rsid w:val="6353E735"/>
    <w:rsid w:val="63548A59"/>
    <w:rsid w:val="6358FB90"/>
    <w:rsid w:val="6359E908"/>
    <w:rsid w:val="635AF41C"/>
    <w:rsid w:val="635DCC2D"/>
    <w:rsid w:val="635E82EA"/>
    <w:rsid w:val="635F1104"/>
    <w:rsid w:val="635F2C8B"/>
    <w:rsid w:val="63612178"/>
    <w:rsid w:val="6362AA5B"/>
    <w:rsid w:val="6362E645"/>
    <w:rsid w:val="636346B7"/>
    <w:rsid w:val="63636908"/>
    <w:rsid w:val="6367E34B"/>
    <w:rsid w:val="63681A56"/>
    <w:rsid w:val="63687E20"/>
    <w:rsid w:val="636A1F3E"/>
    <w:rsid w:val="636CEB40"/>
    <w:rsid w:val="636DD303"/>
    <w:rsid w:val="636E9003"/>
    <w:rsid w:val="636F52E8"/>
    <w:rsid w:val="636FFA12"/>
    <w:rsid w:val="63709AB9"/>
    <w:rsid w:val="63722A07"/>
    <w:rsid w:val="6373E657"/>
    <w:rsid w:val="6375FBC4"/>
    <w:rsid w:val="6377A387"/>
    <w:rsid w:val="637B234D"/>
    <w:rsid w:val="637F4217"/>
    <w:rsid w:val="63820E8F"/>
    <w:rsid w:val="6383434A"/>
    <w:rsid w:val="63846B1D"/>
    <w:rsid w:val="6385B557"/>
    <w:rsid w:val="63864AAA"/>
    <w:rsid w:val="6386B4E9"/>
    <w:rsid w:val="63875622"/>
    <w:rsid w:val="63884AE7"/>
    <w:rsid w:val="6388911E"/>
    <w:rsid w:val="638CE4E9"/>
    <w:rsid w:val="638E6BB9"/>
    <w:rsid w:val="638F22CD"/>
    <w:rsid w:val="63921532"/>
    <w:rsid w:val="6392646C"/>
    <w:rsid w:val="6392B1E1"/>
    <w:rsid w:val="6393F3E0"/>
    <w:rsid w:val="63990511"/>
    <w:rsid w:val="639CF96F"/>
    <w:rsid w:val="639D7F24"/>
    <w:rsid w:val="639DA886"/>
    <w:rsid w:val="639F086E"/>
    <w:rsid w:val="63A3327C"/>
    <w:rsid w:val="63A3420B"/>
    <w:rsid w:val="63A3A539"/>
    <w:rsid w:val="63A5B227"/>
    <w:rsid w:val="63A78E90"/>
    <w:rsid w:val="63A8DDA6"/>
    <w:rsid w:val="63AC51F7"/>
    <w:rsid w:val="63AF9517"/>
    <w:rsid w:val="63B04626"/>
    <w:rsid w:val="63B0BDA4"/>
    <w:rsid w:val="63B204C0"/>
    <w:rsid w:val="63B40200"/>
    <w:rsid w:val="63B5CFA8"/>
    <w:rsid w:val="63B90206"/>
    <w:rsid w:val="63C3CA5A"/>
    <w:rsid w:val="63C4AA53"/>
    <w:rsid w:val="63CCEE02"/>
    <w:rsid w:val="63CDB352"/>
    <w:rsid w:val="63CDB6DE"/>
    <w:rsid w:val="63CEE4CD"/>
    <w:rsid w:val="63D41ECE"/>
    <w:rsid w:val="63D42247"/>
    <w:rsid w:val="63D448A4"/>
    <w:rsid w:val="63D5B3F7"/>
    <w:rsid w:val="63D6D84F"/>
    <w:rsid w:val="63D7FFE2"/>
    <w:rsid w:val="63D9E4E3"/>
    <w:rsid w:val="63DAB163"/>
    <w:rsid w:val="63DAF07C"/>
    <w:rsid w:val="63DC2C6A"/>
    <w:rsid w:val="63DC7668"/>
    <w:rsid w:val="63DE53B5"/>
    <w:rsid w:val="63DED03E"/>
    <w:rsid w:val="63DF4D66"/>
    <w:rsid w:val="63DF9586"/>
    <w:rsid w:val="63E00114"/>
    <w:rsid w:val="63E41460"/>
    <w:rsid w:val="63E4F1E6"/>
    <w:rsid w:val="63E57E9E"/>
    <w:rsid w:val="63E6D839"/>
    <w:rsid w:val="63E85D02"/>
    <w:rsid w:val="63E948BE"/>
    <w:rsid w:val="63E9F7B9"/>
    <w:rsid w:val="63EAD3F9"/>
    <w:rsid w:val="63EAD60B"/>
    <w:rsid w:val="63EB442F"/>
    <w:rsid w:val="63EC3710"/>
    <w:rsid w:val="63EEF6CC"/>
    <w:rsid w:val="63F00B44"/>
    <w:rsid w:val="63F16CCD"/>
    <w:rsid w:val="63F22148"/>
    <w:rsid w:val="63F24C0F"/>
    <w:rsid w:val="63F6BD4F"/>
    <w:rsid w:val="63F87E1D"/>
    <w:rsid w:val="63FA8032"/>
    <w:rsid w:val="63FAC40D"/>
    <w:rsid w:val="63FC3DE9"/>
    <w:rsid w:val="63FE66DB"/>
    <w:rsid w:val="63FE6B49"/>
    <w:rsid w:val="64003F38"/>
    <w:rsid w:val="6400C03B"/>
    <w:rsid w:val="6405D4D0"/>
    <w:rsid w:val="64066C05"/>
    <w:rsid w:val="64072C85"/>
    <w:rsid w:val="640A1F5B"/>
    <w:rsid w:val="640B28EF"/>
    <w:rsid w:val="640D2D23"/>
    <w:rsid w:val="640F889B"/>
    <w:rsid w:val="6411CFD1"/>
    <w:rsid w:val="6411F6AD"/>
    <w:rsid w:val="6412A4C6"/>
    <w:rsid w:val="64136F9A"/>
    <w:rsid w:val="64157661"/>
    <w:rsid w:val="6415BF5C"/>
    <w:rsid w:val="6416673D"/>
    <w:rsid w:val="64190603"/>
    <w:rsid w:val="64196739"/>
    <w:rsid w:val="64199F5D"/>
    <w:rsid w:val="6419C70A"/>
    <w:rsid w:val="641AC806"/>
    <w:rsid w:val="641D68B0"/>
    <w:rsid w:val="641D92D6"/>
    <w:rsid w:val="641E4DF5"/>
    <w:rsid w:val="641F1361"/>
    <w:rsid w:val="641F66D3"/>
    <w:rsid w:val="64211C21"/>
    <w:rsid w:val="642144E3"/>
    <w:rsid w:val="64214DFC"/>
    <w:rsid w:val="6422EFD0"/>
    <w:rsid w:val="64233B9B"/>
    <w:rsid w:val="6426900B"/>
    <w:rsid w:val="642757C2"/>
    <w:rsid w:val="6427AB56"/>
    <w:rsid w:val="6427B31A"/>
    <w:rsid w:val="64283E6C"/>
    <w:rsid w:val="642C5183"/>
    <w:rsid w:val="642EFF6B"/>
    <w:rsid w:val="642FD1BC"/>
    <w:rsid w:val="642FFB3F"/>
    <w:rsid w:val="64306654"/>
    <w:rsid w:val="64310124"/>
    <w:rsid w:val="6431126C"/>
    <w:rsid w:val="6431522F"/>
    <w:rsid w:val="64317297"/>
    <w:rsid w:val="64320B32"/>
    <w:rsid w:val="64323135"/>
    <w:rsid w:val="64341441"/>
    <w:rsid w:val="6434FA50"/>
    <w:rsid w:val="6435BCC7"/>
    <w:rsid w:val="64390366"/>
    <w:rsid w:val="643913B1"/>
    <w:rsid w:val="64398EFA"/>
    <w:rsid w:val="643AA71A"/>
    <w:rsid w:val="643AF18B"/>
    <w:rsid w:val="643BC5BC"/>
    <w:rsid w:val="64410A26"/>
    <w:rsid w:val="64437129"/>
    <w:rsid w:val="6443DF92"/>
    <w:rsid w:val="64447A65"/>
    <w:rsid w:val="64473B53"/>
    <w:rsid w:val="6448189C"/>
    <w:rsid w:val="644858EB"/>
    <w:rsid w:val="6448AE99"/>
    <w:rsid w:val="6449BB10"/>
    <w:rsid w:val="644FFEB2"/>
    <w:rsid w:val="64500C18"/>
    <w:rsid w:val="64517BA4"/>
    <w:rsid w:val="64518962"/>
    <w:rsid w:val="6452799E"/>
    <w:rsid w:val="645364E9"/>
    <w:rsid w:val="64541A53"/>
    <w:rsid w:val="6456A868"/>
    <w:rsid w:val="6456C51D"/>
    <w:rsid w:val="6456D55E"/>
    <w:rsid w:val="6457AD4D"/>
    <w:rsid w:val="645A6EA9"/>
    <w:rsid w:val="645B14B2"/>
    <w:rsid w:val="645BFD6D"/>
    <w:rsid w:val="645E6C81"/>
    <w:rsid w:val="645EB89D"/>
    <w:rsid w:val="6462668B"/>
    <w:rsid w:val="6465E343"/>
    <w:rsid w:val="64668244"/>
    <w:rsid w:val="6466CA19"/>
    <w:rsid w:val="646B7D16"/>
    <w:rsid w:val="646D9703"/>
    <w:rsid w:val="646ED810"/>
    <w:rsid w:val="646F9E18"/>
    <w:rsid w:val="64717BCF"/>
    <w:rsid w:val="6472774D"/>
    <w:rsid w:val="6472AC42"/>
    <w:rsid w:val="64732E92"/>
    <w:rsid w:val="6473CDC0"/>
    <w:rsid w:val="6473EA02"/>
    <w:rsid w:val="6473F457"/>
    <w:rsid w:val="6474E167"/>
    <w:rsid w:val="64770837"/>
    <w:rsid w:val="647732D8"/>
    <w:rsid w:val="6478A90B"/>
    <w:rsid w:val="6478BBBB"/>
    <w:rsid w:val="647A4BF6"/>
    <w:rsid w:val="647D1113"/>
    <w:rsid w:val="647D53D2"/>
    <w:rsid w:val="647F3307"/>
    <w:rsid w:val="647FF4E1"/>
    <w:rsid w:val="64880246"/>
    <w:rsid w:val="648B74A1"/>
    <w:rsid w:val="648CC3CD"/>
    <w:rsid w:val="648D6BF6"/>
    <w:rsid w:val="648E0DB4"/>
    <w:rsid w:val="648F3900"/>
    <w:rsid w:val="64902F39"/>
    <w:rsid w:val="6495E39A"/>
    <w:rsid w:val="6496CE74"/>
    <w:rsid w:val="64980648"/>
    <w:rsid w:val="649BB4ED"/>
    <w:rsid w:val="649E5C07"/>
    <w:rsid w:val="64A0825D"/>
    <w:rsid w:val="64A12905"/>
    <w:rsid w:val="64A28674"/>
    <w:rsid w:val="64A349C4"/>
    <w:rsid w:val="64A6D0C7"/>
    <w:rsid w:val="64AE267A"/>
    <w:rsid w:val="64AE8DC6"/>
    <w:rsid w:val="64AE97D0"/>
    <w:rsid w:val="64AFD2E5"/>
    <w:rsid w:val="64B2BFFA"/>
    <w:rsid w:val="64B4A272"/>
    <w:rsid w:val="64B5BA4C"/>
    <w:rsid w:val="64B64212"/>
    <w:rsid w:val="64B71A5C"/>
    <w:rsid w:val="64BBAFB3"/>
    <w:rsid w:val="64BBBE36"/>
    <w:rsid w:val="64BC51F1"/>
    <w:rsid w:val="64BEE1B1"/>
    <w:rsid w:val="64C19841"/>
    <w:rsid w:val="64C1B983"/>
    <w:rsid w:val="64C39B58"/>
    <w:rsid w:val="64C3B57C"/>
    <w:rsid w:val="64C5C47B"/>
    <w:rsid w:val="64C74E7F"/>
    <w:rsid w:val="64CB1C60"/>
    <w:rsid w:val="64CB282E"/>
    <w:rsid w:val="64CD12E2"/>
    <w:rsid w:val="64CD5538"/>
    <w:rsid w:val="64CD82D1"/>
    <w:rsid w:val="64CD9117"/>
    <w:rsid w:val="64CDA2F1"/>
    <w:rsid w:val="64CDFD5B"/>
    <w:rsid w:val="64D034E8"/>
    <w:rsid w:val="64D069DE"/>
    <w:rsid w:val="64D1FDE3"/>
    <w:rsid w:val="64D32F4F"/>
    <w:rsid w:val="64D4D71D"/>
    <w:rsid w:val="64D54A28"/>
    <w:rsid w:val="64D88E09"/>
    <w:rsid w:val="64D8F32B"/>
    <w:rsid w:val="64DC7EA4"/>
    <w:rsid w:val="64DE1EE4"/>
    <w:rsid w:val="64DE35D9"/>
    <w:rsid w:val="64DF5975"/>
    <w:rsid w:val="64DF8242"/>
    <w:rsid w:val="64DFA6CE"/>
    <w:rsid w:val="64E06077"/>
    <w:rsid w:val="64E46D10"/>
    <w:rsid w:val="64E49FEF"/>
    <w:rsid w:val="64E573A7"/>
    <w:rsid w:val="64E64C20"/>
    <w:rsid w:val="64E76BD2"/>
    <w:rsid w:val="64EBC36C"/>
    <w:rsid w:val="64F01312"/>
    <w:rsid w:val="64F01A05"/>
    <w:rsid w:val="64F33085"/>
    <w:rsid w:val="64F43B97"/>
    <w:rsid w:val="64F46984"/>
    <w:rsid w:val="64F570E7"/>
    <w:rsid w:val="64FA6CF5"/>
    <w:rsid w:val="64FA93E6"/>
    <w:rsid w:val="64FB879A"/>
    <w:rsid w:val="64FD9171"/>
    <w:rsid w:val="64FDE5FE"/>
    <w:rsid w:val="64FFF132"/>
    <w:rsid w:val="650017AC"/>
    <w:rsid w:val="65017915"/>
    <w:rsid w:val="6504EA6F"/>
    <w:rsid w:val="6508C65C"/>
    <w:rsid w:val="650988BA"/>
    <w:rsid w:val="650B3E5A"/>
    <w:rsid w:val="650D1FCD"/>
    <w:rsid w:val="650DC7ED"/>
    <w:rsid w:val="650E065B"/>
    <w:rsid w:val="650F40CC"/>
    <w:rsid w:val="65111AB6"/>
    <w:rsid w:val="65121F2E"/>
    <w:rsid w:val="6512ED0D"/>
    <w:rsid w:val="65192959"/>
    <w:rsid w:val="651B0DEA"/>
    <w:rsid w:val="651B2B91"/>
    <w:rsid w:val="651D140F"/>
    <w:rsid w:val="651EA9DA"/>
    <w:rsid w:val="6521B919"/>
    <w:rsid w:val="6523B241"/>
    <w:rsid w:val="6524656A"/>
    <w:rsid w:val="652812CE"/>
    <w:rsid w:val="652AF70A"/>
    <w:rsid w:val="652C72DA"/>
    <w:rsid w:val="652D9EC7"/>
    <w:rsid w:val="652DF0C0"/>
    <w:rsid w:val="652EB904"/>
    <w:rsid w:val="65300B3C"/>
    <w:rsid w:val="65323670"/>
    <w:rsid w:val="6532A66F"/>
    <w:rsid w:val="6532A8CD"/>
    <w:rsid w:val="6532E09B"/>
    <w:rsid w:val="65333830"/>
    <w:rsid w:val="6534E2C2"/>
    <w:rsid w:val="6534E919"/>
    <w:rsid w:val="65368090"/>
    <w:rsid w:val="653819F2"/>
    <w:rsid w:val="65389E10"/>
    <w:rsid w:val="653B2770"/>
    <w:rsid w:val="653C5955"/>
    <w:rsid w:val="653CBBC4"/>
    <w:rsid w:val="653F9450"/>
    <w:rsid w:val="653F9D1C"/>
    <w:rsid w:val="6540C5AB"/>
    <w:rsid w:val="6541A7BB"/>
    <w:rsid w:val="6541C45A"/>
    <w:rsid w:val="6542CCD5"/>
    <w:rsid w:val="6544FF2F"/>
    <w:rsid w:val="65453942"/>
    <w:rsid w:val="65467B2C"/>
    <w:rsid w:val="65486FB4"/>
    <w:rsid w:val="6548EE50"/>
    <w:rsid w:val="654A01F8"/>
    <w:rsid w:val="654E368B"/>
    <w:rsid w:val="654F4FB1"/>
    <w:rsid w:val="6552720F"/>
    <w:rsid w:val="65537EB7"/>
    <w:rsid w:val="6554CC7D"/>
    <w:rsid w:val="65569FB0"/>
    <w:rsid w:val="65576E7A"/>
    <w:rsid w:val="65585F9E"/>
    <w:rsid w:val="655CD9C7"/>
    <w:rsid w:val="655D0DF7"/>
    <w:rsid w:val="655D3C2A"/>
    <w:rsid w:val="655E345D"/>
    <w:rsid w:val="6560BD98"/>
    <w:rsid w:val="656488C7"/>
    <w:rsid w:val="6567EC79"/>
    <w:rsid w:val="656848D0"/>
    <w:rsid w:val="656A31FC"/>
    <w:rsid w:val="656A3A93"/>
    <w:rsid w:val="656DBD4C"/>
    <w:rsid w:val="656F3285"/>
    <w:rsid w:val="656F65DC"/>
    <w:rsid w:val="6570E59B"/>
    <w:rsid w:val="65722AC0"/>
    <w:rsid w:val="657235BF"/>
    <w:rsid w:val="6572F6F4"/>
    <w:rsid w:val="65735B20"/>
    <w:rsid w:val="65735E62"/>
    <w:rsid w:val="65751384"/>
    <w:rsid w:val="65761C03"/>
    <w:rsid w:val="6576AF57"/>
    <w:rsid w:val="65784B21"/>
    <w:rsid w:val="6578542E"/>
    <w:rsid w:val="6578D9F7"/>
    <w:rsid w:val="6579C45C"/>
    <w:rsid w:val="657B69C5"/>
    <w:rsid w:val="657C429D"/>
    <w:rsid w:val="657CF2C5"/>
    <w:rsid w:val="657DAC8D"/>
    <w:rsid w:val="657DFB25"/>
    <w:rsid w:val="657E0C11"/>
    <w:rsid w:val="657F5EFB"/>
    <w:rsid w:val="657F66F8"/>
    <w:rsid w:val="6582A52A"/>
    <w:rsid w:val="6583450A"/>
    <w:rsid w:val="6584AF6A"/>
    <w:rsid w:val="65872FD3"/>
    <w:rsid w:val="658769B2"/>
    <w:rsid w:val="6587AEB4"/>
    <w:rsid w:val="65885EC5"/>
    <w:rsid w:val="6588C93A"/>
    <w:rsid w:val="6589A8C6"/>
    <w:rsid w:val="658B8B0C"/>
    <w:rsid w:val="658C8242"/>
    <w:rsid w:val="658DF1A9"/>
    <w:rsid w:val="658F3747"/>
    <w:rsid w:val="658FF7F0"/>
    <w:rsid w:val="65923BFD"/>
    <w:rsid w:val="65923FB0"/>
    <w:rsid w:val="65944B6C"/>
    <w:rsid w:val="6598788B"/>
    <w:rsid w:val="659ABEF8"/>
    <w:rsid w:val="659AC069"/>
    <w:rsid w:val="659C16D0"/>
    <w:rsid w:val="659D48E9"/>
    <w:rsid w:val="659E2636"/>
    <w:rsid w:val="659E4222"/>
    <w:rsid w:val="659EAB3D"/>
    <w:rsid w:val="65A1535E"/>
    <w:rsid w:val="65A2526F"/>
    <w:rsid w:val="65A47AC6"/>
    <w:rsid w:val="65A4F716"/>
    <w:rsid w:val="65A5F045"/>
    <w:rsid w:val="65AA6EA0"/>
    <w:rsid w:val="65AACFD6"/>
    <w:rsid w:val="65AB0FCA"/>
    <w:rsid w:val="65AC7CE9"/>
    <w:rsid w:val="65AC8981"/>
    <w:rsid w:val="65AE32A6"/>
    <w:rsid w:val="65AE56C8"/>
    <w:rsid w:val="65B2289A"/>
    <w:rsid w:val="65B34D02"/>
    <w:rsid w:val="65B4AAD3"/>
    <w:rsid w:val="65B55A5C"/>
    <w:rsid w:val="65B67DB6"/>
    <w:rsid w:val="65B854A7"/>
    <w:rsid w:val="65BB66A1"/>
    <w:rsid w:val="65BCEAB3"/>
    <w:rsid w:val="65BE6A60"/>
    <w:rsid w:val="65BECEB6"/>
    <w:rsid w:val="65C006CB"/>
    <w:rsid w:val="65C0B88C"/>
    <w:rsid w:val="65C2AE43"/>
    <w:rsid w:val="65C32C96"/>
    <w:rsid w:val="65C338B2"/>
    <w:rsid w:val="65C4543C"/>
    <w:rsid w:val="65C4FEBB"/>
    <w:rsid w:val="65C8964A"/>
    <w:rsid w:val="65C9DD15"/>
    <w:rsid w:val="65CA693B"/>
    <w:rsid w:val="65CBC3FC"/>
    <w:rsid w:val="65CC282B"/>
    <w:rsid w:val="65CC42A2"/>
    <w:rsid w:val="65CCB853"/>
    <w:rsid w:val="65CDB08D"/>
    <w:rsid w:val="65CFD092"/>
    <w:rsid w:val="65D20A76"/>
    <w:rsid w:val="65D3E272"/>
    <w:rsid w:val="65D3ECA2"/>
    <w:rsid w:val="65D941C7"/>
    <w:rsid w:val="65DA5C51"/>
    <w:rsid w:val="65DB4E34"/>
    <w:rsid w:val="65E2AC35"/>
    <w:rsid w:val="65E4D5CE"/>
    <w:rsid w:val="65E50F2E"/>
    <w:rsid w:val="65E66B53"/>
    <w:rsid w:val="65EA0E98"/>
    <w:rsid w:val="65EC4C89"/>
    <w:rsid w:val="65ED3FB9"/>
    <w:rsid w:val="65EDD449"/>
    <w:rsid w:val="65EEF57B"/>
    <w:rsid w:val="65F23DE8"/>
    <w:rsid w:val="65F296EB"/>
    <w:rsid w:val="65F2B2E7"/>
    <w:rsid w:val="65F7AFCA"/>
    <w:rsid w:val="65F7EBB5"/>
    <w:rsid w:val="65F92D20"/>
    <w:rsid w:val="65FAB277"/>
    <w:rsid w:val="65FD1826"/>
    <w:rsid w:val="65FDBA6B"/>
    <w:rsid w:val="65FE79B0"/>
    <w:rsid w:val="65FEC9D6"/>
    <w:rsid w:val="65FFB085"/>
    <w:rsid w:val="66035FD1"/>
    <w:rsid w:val="66047A0D"/>
    <w:rsid w:val="66058872"/>
    <w:rsid w:val="6605ADF1"/>
    <w:rsid w:val="66086610"/>
    <w:rsid w:val="660C6576"/>
    <w:rsid w:val="660C8E20"/>
    <w:rsid w:val="660DF554"/>
    <w:rsid w:val="6610E57E"/>
    <w:rsid w:val="66112583"/>
    <w:rsid w:val="6616E773"/>
    <w:rsid w:val="661795F5"/>
    <w:rsid w:val="6618BEB7"/>
    <w:rsid w:val="66190265"/>
    <w:rsid w:val="6619A986"/>
    <w:rsid w:val="661AE5C5"/>
    <w:rsid w:val="661F3349"/>
    <w:rsid w:val="6623B8ED"/>
    <w:rsid w:val="662580F4"/>
    <w:rsid w:val="66269919"/>
    <w:rsid w:val="6628D31E"/>
    <w:rsid w:val="66290059"/>
    <w:rsid w:val="66296756"/>
    <w:rsid w:val="662C6AE5"/>
    <w:rsid w:val="662C7027"/>
    <w:rsid w:val="6631E393"/>
    <w:rsid w:val="66327F07"/>
    <w:rsid w:val="66346832"/>
    <w:rsid w:val="66363E93"/>
    <w:rsid w:val="6636BCF6"/>
    <w:rsid w:val="66381A92"/>
    <w:rsid w:val="663B0846"/>
    <w:rsid w:val="663DAF3E"/>
    <w:rsid w:val="663F7D05"/>
    <w:rsid w:val="663FE299"/>
    <w:rsid w:val="664055E1"/>
    <w:rsid w:val="66405949"/>
    <w:rsid w:val="6640EF45"/>
    <w:rsid w:val="66420F67"/>
    <w:rsid w:val="6642C491"/>
    <w:rsid w:val="66452D79"/>
    <w:rsid w:val="6647058A"/>
    <w:rsid w:val="664896F0"/>
    <w:rsid w:val="664D3A09"/>
    <w:rsid w:val="664DFB12"/>
    <w:rsid w:val="664F56AE"/>
    <w:rsid w:val="664FF76C"/>
    <w:rsid w:val="66510C77"/>
    <w:rsid w:val="6651D0DD"/>
    <w:rsid w:val="6654A300"/>
    <w:rsid w:val="6657C11A"/>
    <w:rsid w:val="665843A5"/>
    <w:rsid w:val="665AC6A8"/>
    <w:rsid w:val="665B1191"/>
    <w:rsid w:val="665D8FC8"/>
    <w:rsid w:val="665E4B9F"/>
    <w:rsid w:val="665E8C65"/>
    <w:rsid w:val="665EA92F"/>
    <w:rsid w:val="665EE05E"/>
    <w:rsid w:val="666049A7"/>
    <w:rsid w:val="66607E2C"/>
    <w:rsid w:val="6660870C"/>
    <w:rsid w:val="666154B3"/>
    <w:rsid w:val="66618674"/>
    <w:rsid w:val="6661D965"/>
    <w:rsid w:val="66657534"/>
    <w:rsid w:val="666869A0"/>
    <w:rsid w:val="666A9543"/>
    <w:rsid w:val="666C50F3"/>
    <w:rsid w:val="666DCD01"/>
    <w:rsid w:val="666FC885"/>
    <w:rsid w:val="66769E23"/>
    <w:rsid w:val="667B6F7A"/>
    <w:rsid w:val="667E1846"/>
    <w:rsid w:val="667F9CBB"/>
    <w:rsid w:val="66817F63"/>
    <w:rsid w:val="66835A1E"/>
    <w:rsid w:val="6686BE0B"/>
    <w:rsid w:val="6686DBB6"/>
    <w:rsid w:val="668923FF"/>
    <w:rsid w:val="6689B9C9"/>
    <w:rsid w:val="668A0A92"/>
    <w:rsid w:val="668C93F9"/>
    <w:rsid w:val="6690C2D8"/>
    <w:rsid w:val="66929F47"/>
    <w:rsid w:val="6692E021"/>
    <w:rsid w:val="6695023F"/>
    <w:rsid w:val="66962684"/>
    <w:rsid w:val="66990E5A"/>
    <w:rsid w:val="6699569B"/>
    <w:rsid w:val="66995A4E"/>
    <w:rsid w:val="669A276B"/>
    <w:rsid w:val="669A4046"/>
    <w:rsid w:val="669D19BE"/>
    <w:rsid w:val="669E6A85"/>
    <w:rsid w:val="66A0EC00"/>
    <w:rsid w:val="66A47AB7"/>
    <w:rsid w:val="66A4FA12"/>
    <w:rsid w:val="66A5F570"/>
    <w:rsid w:val="66A788B9"/>
    <w:rsid w:val="66A7EF45"/>
    <w:rsid w:val="66A86966"/>
    <w:rsid w:val="66AA445C"/>
    <w:rsid w:val="66AA947D"/>
    <w:rsid w:val="66AA9928"/>
    <w:rsid w:val="66AC0F08"/>
    <w:rsid w:val="66ACBA0C"/>
    <w:rsid w:val="66AD287E"/>
    <w:rsid w:val="66ADE593"/>
    <w:rsid w:val="66AF0BBA"/>
    <w:rsid w:val="66AF6F00"/>
    <w:rsid w:val="66B0E88A"/>
    <w:rsid w:val="66B3C46C"/>
    <w:rsid w:val="66B4F790"/>
    <w:rsid w:val="66B52D43"/>
    <w:rsid w:val="66B58243"/>
    <w:rsid w:val="66B694DB"/>
    <w:rsid w:val="66B72D01"/>
    <w:rsid w:val="66BA2EC6"/>
    <w:rsid w:val="66BBCB7C"/>
    <w:rsid w:val="66BBF73A"/>
    <w:rsid w:val="66BCC60D"/>
    <w:rsid w:val="66BE7B91"/>
    <w:rsid w:val="66BED5DE"/>
    <w:rsid w:val="66C1190D"/>
    <w:rsid w:val="66C1B912"/>
    <w:rsid w:val="66C43E19"/>
    <w:rsid w:val="66C537AB"/>
    <w:rsid w:val="66C593A8"/>
    <w:rsid w:val="66C75D2A"/>
    <w:rsid w:val="66C9CEFE"/>
    <w:rsid w:val="66CC6310"/>
    <w:rsid w:val="66CD0B8C"/>
    <w:rsid w:val="66CECDD4"/>
    <w:rsid w:val="66CFA35F"/>
    <w:rsid w:val="66D14352"/>
    <w:rsid w:val="66D6D150"/>
    <w:rsid w:val="66D81137"/>
    <w:rsid w:val="66D9A8DC"/>
    <w:rsid w:val="66D9CE49"/>
    <w:rsid w:val="66DA309F"/>
    <w:rsid w:val="66DA4257"/>
    <w:rsid w:val="66DA5D1D"/>
    <w:rsid w:val="66DB0A50"/>
    <w:rsid w:val="66DC9965"/>
    <w:rsid w:val="66DDFE46"/>
    <w:rsid w:val="66DEF12F"/>
    <w:rsid w:val="66E19DE5"/>
    <w:rsid w:val="66E50C02"/>
    <w:rsid w:val="66E60019"/>
    <w:rsid w:val="66E7AA56"/>
    <w:rsid w:val="66E87424"/>
    <w:rsid w:val="66E9B885"/>
    <w:rsid w:val="66EA492C"/>
    <w:rsid w:val="66EA7956"/>
    <w:rsid w:val="66ED21F1"/>
    <w:rsid w:val="66ED98C6"/>
    <w:rsid w:val="66EDA7C3"/>
    <w:rsid w:val="66EE58ED"/>
    <w:rsid w:val="66EF8726"/>
    <w:rsid w:val="66EFD7AA"/>
    <w:rsid w:val="66F1173F"/>
    <w:rsid w:val="66F21411"/>
    <w:rsid w:val="66F34AEF"/>
    <w:rsid w:val="66F4DEFB"/>
    <w:rsid w:val="66F52AB4"/>
    <w:rsid w:val="66F6D89F"/>
    <w:rsid w:val="66F87378"/>
    <w:rsid w:val="66F8B886"/>
    <w:rsid w:val="66F96A06"/>
    <w:rsid w:val="66FC28DB"/>
    <w:rsid w:val="66FD84A9"/>
    <w:rsid w:val="66FD993F"/>
    <w:rsid w:val="66FDFF2A"/>
    <w:rsid w:val="66FF4C05"/>
    <w:rsid w:val="670090D6"/>
    <w:rsid w:val="67009679"/>
    <w:rsid w:val="6704ACCE"/>
    <w:rsid w:val="6706ADD2"/>
    <w:rsid w:val="6707B2E7"/>
    <w:rsid w:val="6709188E"/>
    <w:rsid w:val="670B8AEA"/>
    <w:rsid w:val="670C2A51"/>
    <w:rsid w:val="670F3E5D"/>
    <w:rsid w:val="67101F71"/>
    <w:rsid w:val="6710332A"/>
    <w:rsid w:val="67104CF2"/>
    <w:rsid w:val="67155CB7"/>
    <w:rsid w:val="671660B5"/>
    <w:rsid w:val="671884ED"/>
    <w:rsid w:val="671FBDE5"/>
    <w:rsid w:val="6721E3F7"/>
    <w:rsid w:val="67239283"/>
    <w:rsid w:val="67242007"/>
    <w:rsid w:val="6724343A"/>
    <w:rsid w:val="6726302D"/>
    <w:rsid w:val="6726E511"/>
    <w:rsid w:val="672BAF90"/>
    <w:rsid w:val="672D2EFB"/>
    <w:rsid w:val="672ED54C"/>
    <w:rsid w:val="67300065"/>
    <w:rsid w:val="673055F2"/>
    <w:rsid w:val="67333727"/>
    <w:rsid w:val="673419EB"/>
    <w:rsid w:val="6736079D"/>
    <w:rsid w:val="6736331A"/>
    <w:rsid w:val="673AA2D0"/>
    <w:rsid w:val="673AE42A"/>
    <w:rsid w:val="673C3F5B"/>
    <w:rsid w:val="673D2175"/>
    <w:rsid w:val="673DD61F"/>
    <w:rsid w:val="673FBA93"/>
    <w:rsid w:val="67429F4E"/>
    <w:rsid w:val="67445E1B"/>
    <w:rsid w:val="67468AD8"/>
    <w:rsid w:val="6747C52E"/>
    <w:rsid w:val="674AD844"/>
    <w:rsid w:val="674B5226"/>
    <w:rsid w:val="674C506E"/>
    <w:rsid w:val="674D03ED"/>
    <w:rsid w:val="67525A88"/>
    <w:rsid w:val="675480DB"/>
    <w:rsid w:val="675488E4"/>
    <w:rsid w:val="67556D5B"/>
    <w:rsid w:val="67576942"/>
    <w:rsid w:val="67582F70"/>
    <w:rsid w:val="6758D988"/>
    <w:rsid w:val="6759E4C8"/>
    <w:rsid w:val="675AF3B3"/>
    <w:rsid w:val="675F6BD4"/>
    <w:rsid w:val="675FEAC1"/>
    <w:rsid w:val="675FF042"/>
    <w:rsid w:val="67603079"/>
    <w:rsid w:val="676299FD"/>
    <w:rsid w:val="67660D1E"/>
    <w:rsid w:val="6767AE2C"/>
    <w:rsid w:val="6768222B"/>
    <w:rsid w:val="6768F069"/>
    <w:rsid w:val="676B9F90"/>
    <w:rsid w:val="676C350E"/>
    <w:rsid w:val="676E397B"/>
    <w:rsid w:val="676EF704"/>
    <w:rsid w:val="677035E2"/>
    <w:rsid w:val="67719C8A"/>
    <w:rsid w:val="6771F09F"/>
    <w:rsid w:val="6775C6B9"/>
    <w:rsid w:val="677833D0"/>
    <w:rsid w:val="677D8215"/>
    <w:rsid w:val="67800620"/>
    <w:rsid w:val="6782AE4D"/>
    <w:rsid w:val="6782B2B8"/>
    <w:rsid w:val="678970E4"/>
    <w:rsid w:val="67908A5A"/>
    <w:rsid w:val="6791E919"/>
    <w:rsid w:val="679237D1"/>
    <w:rsid w:val="6792F668"/>
    <w:rsid w:val="6794B41A"/>
    <w:rsid w:val="67993E28"/>
    <w:rsid w:val="679BA594"/>
    <w:rsid w:val="679E4BE2"/>
    <w:rsid w:val="679F3016"/>
    <w:rsid w:val="67A13A90"/>
    <w:rsid w:val="67A449C4"/>
    <w:rsid w:val="67A5DFDD"/>
    <w:rsid w:val="67AB7105"/>
    <w:rsid w:val="67AF0CC8"/>
    <w:rsid w:val="67B0B7DE"/>
    <w:rsid w:val="67B568EC"/>
    <w:rsid w:val="67B577A3"/>
    <w:rsid w:val="67B6ECE8"/>
    <w:rsid w:val="67B7AD01"/>
    <w:rsid w:val="67B98488"/>
    <w:rsid w:val="67BA1BE0"/>
    <w:rsid w:val="67BA7C9B"/>
    <w:rsid w:val="67BB9C7A"/>
    <w:rsid w:val="67BD0D80"/>
    <w:rsid w:val="67BD2398"/>
    <w:rsid w:val="67BD9B41"/>
    <w:rsid w:val="67BF2285"/>
    <w:rsid w:val="67C10771"/>
    <w:rsid w:val="67C14A97"/>
    <w:rsid w:val="67C226A7"/>
    <w:rsid w:val="67C287D2"/>
    <w:rsid w:val="67C2FECC"/>
    <w:rsid w:val="67C325A6"/>
    <w:rsid w:val="67C5F6E6"/>
    <w:rsid w:val="67C6C253"/>
    <w:rsid w:val="67C6EEB5"/>
    <w:rsid w:val="67C80E2C"/>
    <w:rsid w:val="67C8E1E5"/>
    <w:rsid w:val="67CD5897"/>
    <w:rsid w:val="67CDA78C"/>
    <w:rsid w:val="67CDAE46"/>
    <w:rsid w:val="67CF5BDE"/>
    <w:rsid w:val="67D0A35E"/>
    <w:rsid w:val="67D1E937"/>
    <w:rsid w:val="67D4BD77"/>
    <w:rsid w:val="67D9DE90"/>
    <w:rsid w:val="67DA5515"/>
    <w:rsid w:val="67DACE82"/>
    <w:rsid w:val="67DB7FA7"/>
    <w:rsid w:val="67DBC928"/>
    <w:rsid w:val="67DBF424"/>
    <w:rsid w:val="67DF0321"/>
    <w:rsid w:val="67E18C8D"/>
    <w:rsid w:val="67E1D39D"/>
    <w:rsid w:val="67E343F4"/>
    <w:rsid w:val="67E483BA"/>
    <w:rsid w:val="67E4A95E"/>
    <w:rsid w:val="67E67581"/>
    <w:rsid w:val="67E7B861"/>
    <w:rsid w:val="67E9923D"/>
    <w:rsid w:val="67E9F132"/>
    <w:rsid w:val="67EC2C5F"/>
    <w:rsid w:val="67ED9328"/>
    <w:rsid w:val="67EDE5D5"/>
    <w:rsid w:val="67EF3904"/>
    <w:rsid w:val="67EFC760"/>
    <w:rsid w:val="67F42C41"/>
    <w:rsid w:val="67F583F8"/>
    <w:rsid w:val="67F605DB"/>
    <w:rsid w:val="67F6434F"/>
    <w:rsid w:val="67F8B5FC"/>
    <w:rsid w:val="67F94C27"/>
    <w:rsid w:val="67FB2BF5"/>
    <w:rsid w:val="67FC4D70"/>
    <w:rsid w:val="67FCC273"/>
    <w:rsid w:val="67FE5DC8"/>
    <w:rsid w:val="6800117B"/>
    <w:rsid w:val="6803385F"/>
    <w:rsid w:val="6803C47B"/>
    <w:rsid w:val="6804E116"/>
    <w:rsid w:val="680581C7"/>
    <w:rsid w:val="68062CFC"/>
    <w:rsid w:val="6806FF47"/>
    <w:rsid w:val="68086161"/>
    <w:rsid w:val="680C8E37"/>
    <w:rsid w:val="680D10DC"/>
    <w:rsid w:val="680F303A"/>
    <w:rsid w:val="6813D647"/>
    <w:rsid w:val="6814FFBD"/>
    <w:rsid w:val="68158FB8"/>
    <w:rsid w:val="6815CC5B"/>
    <w:rsid w:val="681882D3"/>
    <w:rsid w:val="6818B6B1"/>
    <w:rsid w:val="68193AD7"/>
    <w:rsid w:val="681992A0"/>
    <w:rsid w:val="681A6BD5"/>
    <w:rsid w:val="681C312F"/>
    <w:rsid w:val="681CECBE"/>
    <w:rsid w:val="682087A5"/>
    <w:rsid w:val="6820CC0E"/>
    <w:rsid w:val="6821264C"/>
    <w:rsid w:val="682380F8"/>
    <w:rsid w:val="6825E956"/>
    <w:rsid w:val="68280C44"/>
    <w:rsid w:val="68295DB2"/>
    <w:rsid w:val="682A18C8"/>
    <w:rsid w:val="682AABE5"/>
    <w:rsid w:val="682AC8DD"/>
    <w:rsid w:val="682AEDB6"/>
    <w:rsid w:val="682B63BD"/>
    <w:rsid w:val="682E0E42"/>
    <w:rsid w:val="682E9C73"/>
    <w:rsid w:val="683256E6"/>
    <w:rsid w:val="683289E1"/>
    <w:rsid w:val="6832FFFF"/>
    <w:rsid w:val="683439F8"/>
    <w:rsid w:val="68350CFD"/>
    <w:rsid w:val="683727EE"/>
    <w:rsid w:val="683A563B"/>
    <w:rsid w:val="683BB9B9"/>
    <w:rsid w:val="683D520A"/>
    <w:rsid w:val="683F6478"/>
    <w:rsid w:val="683F9432"/>
    <w:rsid w:val="68402F14"/>
    <w:rsid w:val="6840A894"/>
    <w:rsid w:val="6841ADD7"/>
    <w:rsid w:val="6845ED69"/>
    <w:rsid w:val="6849EBC4"/>
    <w:rsid w:val="684A88D3"/>
    <w:rsid w:val="684AFBFC"/>
    <w:rsid w:val="684C051A"/>
    <w:rsid w:val="684C2F29"/>
    <w:rsid w:val="684C5536"/>
    <w:rsid w:val="684C9A77"/>
    <w:rsid w:val="684D4C08"/>
    <w:rsid w:val="684D7201"/>
    <w:rsid w:val="684DA97A"/>
    <w:rsid w:val="684F11E6"/>
    <w:rsid w:val="684FC6BD"/>
    <w:rsid w:val="6851504D"/>
    <w:rsid w:val="6853C3E3"/>
    <w:rsid w:val="68569B71"/>
    <w:rsid w:val="685A966C"/>
    <w:rsid w:val="685DC033"/>
    <w:rsid w:val="685E7976"/>
    <w:rsid w:val="685F4494"/>
    <w:rsid w:val="68617A2D"/>
    <w:rsid w:val="6862DE68"/>
    <w:rsid w:val="6867F395"/>
    <w:rsid w:val="6868AF37"/>
    <w:rsid w:val="68690945"/>
    <w:rsid w:val="686D4069"/>
    <w:rsid w:val="686E8BEF"/>
    <w:rsid w:val="686EC16D"/>
    <w:rsid w:val="686F4F04"/>
    <w:rsid w:val="686FC16C"/>
    <w:rsid w:val="6871557E"/>
    <w:rsid w:val="6871C21C"/>
    <w:rsid w:val="687279E7"/>
    <w:rsid w:val="6872980F"/>
    <w:rsid w:val="6875F747"/>
    <w:rsid w:val="6876AFB2"/>
    <w:rsid w:val="687B0F37"/>
    <w:rsid w:val="687C5947"/>
    <w:rsid w:val="687DF226"/>
    <w:rsid w:val="68811CCC"/>
    <w:rsid w:val="6882D0FF"/>
    <w:rsid w:val="6883D587"/>
    <w:rsid w:val="6885B936"/>
    <w:rsid w:val="688611A9"/>
    <w:rsid w:val="68864769"/>
    <w:rsid w:val="688693FE"/>
    <w:rsid w:val="6887DE18"/>
    <w:rsid w:val="688A28ED"/>
    <w:rsid w:val="688A348C"/>
    <w:rsid w:val="688DE5C3"/>
    <w:rsid w:val="6890CC3D"/>
    <w:rsid w:val="689126BD"/>
    <w:rsid w:val="6892D37E"/>
    <w:rsid w:val="6894027B"/>
    <w:rsid w:val="68941D6A"/>
    <w:rsid w:val="689533C2"/>
    <w:rsid w:val="68963F09"/>
    <w:rsid w:val="6896B0BE"/>
    <w:rsid w:val="689A9245"/>
    <w:rsid w:val="689B5203"/>
    <w:rsid w:val="689E4C53"/>
    <w:rsid w:val="689F20AC"/>
    <w:rsid w:val="689F3C61"/>
    <w:rsid w:val="689FE992"/>
    <w:rsid w:val="68A0FCA1"/>
    <w:rsid w:val="68A266BA"/>
    <w:rsid w:val="68A5300C"/>
    <w:rsid w:val="68A55CDC"/>
    <w:rsid w:val="68A65753"/>
    <w:rsid w:val="68A6918B"/>
    <w:rsid w:val="68A81ADB"/>
    <w:rsid w:val="68AE4456"/>
    <w:rsid w:val="68B09D37"/>
    <w:rsid w:val="68B0D1E1"/>
    <w:rsid w:val="68B1035C"/>
    <w:rsid w:val="68B1ACD0"/>
    <w:rsid w:val="68B4BDF9"/>
    <w:rsid w:val="68B53402"/>
    <w:rsid w:val="68B56B00"/>
    <w:rsid w:val="68B58293"/>
    <w:rsid w:val="68B69E86"/>
    <w:rsid w:val="68B81BFC"/>
    <w:rsid w:val="68B8FD99"/>
    <w:rsid w:val="68B9D63E"/>
    <w:rsid w:val="68BA9FE1"/>
    <w:rsid w:val="68BE76A5"/>
    <w:rsid w:val="68C0E2EC"/>
    <w:rsid w:val="68C306DA"/>
    <w:rsid w:val="68C3596D"/>
    <w:rsid w:val="68C43109"/>
    <w:rsid w:val="68C5926B"/>
    <w:rsid w:val="68C6EB93"/>
    <w:rsid w:val="68C9DBB5"/>
    <w:rsid w:val="68CC1F90"/>
    <w:rsid w:val="68CC37C8"/>
    <w:rsid w:val="68CC94C4"/>
    <w:rsid w:val="68CE8410"/>
    <w:rsid w:val="68D21F9C"/>
    <w:rsid w:val="68D5F801"/>
    <w:rsid w:val="68D8E34E"/>
    <w:rsid w:val="68D9CD9F"/>
    <w:rsid w:val="68DBE91D"/>
    <w:rsid w:val="68E3FF2B"/>
    <w:rsid w:val="68E4ECCA"/>
    <w:rsid w:val="68EA792D"/>
    <w:rsid w:val="68EC6AAA"/>
    <w:rsid w:val="68EE1C0C"/>
    <w:rsid w:val="68F20288"/>
    <w:rsid w:val="68F33A4B"/>
    <w:rsid w:val="68F39D94"/>
    <w:rsid w:val="68F6104C"/>
    <w:rsid w:val="68F6E8E6"/>
    <w:rsid w:val="68F7F465"/>
    <w:rsid w:val="68FB5320"/>
    <w:rsid w:val="68FB751A"/>
    <w:rsid w:val="68FCBAC1"/>
    <w:rsid w:val="68FDFA24"/>
    <w:rsid w:val="68FE97D3"/>
    <w:rsid w:val="68FEAE85"/>
    <w:rsid w:val="68FF49D1"/>
    <w:rsid w:val="690155B1"/>
    <w:rsid w:val="6903B0DC"/>
    <w:rsid w:val="6904E0CA"/>
    <w:rsid w:val="6907316C"/>
    <w:rsid w:val="690880F9"/>
    <w:rsid w:val="6908972A"/>
    <w:rsid w:val="6909702B"/>
    <w:rsid w:val="6909DF3B"/>
    <w:rsid w:val="690AFA67"/>
    <w:rsid w:val="690B2583"/>
    <w:rsid w:val="690BF172"/>
    <w:rsid w:val="690C6BF1"/>
    <w:rsid w:val="690D1EC0"/>
    <w:rsid w:val="690FC24C"/>
    <w:rsid w:val="6914C365"/>
    <w:rsid w:val="69152B4C"/>
    <w:rsid w:val="6916A0F3"/>
    <w:rsid w:val="69173A25"/>
    <w:rsid w:val="69198E16"/>
    <w:rsid w:val="691B49F0"/>
    <w:rsid w:val="691D6710"/>
    <w:rsid w:val="691F347F"/>
    <w:rsid w:val="691F3F39"/>
    <w:rsid w:val="69205A59"/>
    <w:rsid w:val="6921B255"/>
    <w:rsid w:val="6923B11E"/>
    <w:rsid w:val="6924ED5A"/>
    <w:rsid w:val="69290505"/>
    <w:rsid w:val="6929600F"/>
    <w:rsid w:val="6929F26A"/>
    <w:rsid w:val="692A8365"/>
    <w:rsid w:val="692C7650"/>
    <w:rsid w:val="692DBA1A"/>
    <w:rsid w:val="692F4269"/>
    <w:rsid w:val="693066CB"/>
    <w:rsid w:val="693151AC"/>
    <w:rsid w:val="69315FBB"/>
    <w:rsid w:val="693184D3"/>
    <w:rsid w:val="6931F1F9"/>
    <w:rsid w:val="6933A885"/>
    <w:rsid w:val="69347C97"/>
    <w:rsid w:val="6934B533"/>
    <w:rsid w:val="6937019F"/>
    <w:rsid w:val="69387215"/>
    <w:rsid w:val="6939C1A5"/>
    <w:rsid w:val="693B0B46"/>
    <w:rsid w:val="693C5C0E"/>
    <w:rsid w:val="693C6183"/>
    <w:rsid w:val="693E32E1"/>
    <w:rsid w:val="694043E8"/>
    <w:rsid w:val="694093D6"/>
    <w:rsid w:val="6940BA19"/>
    <w:rsid w:val="69428364"/>
    <w:rsid w:val="69432D2C"/>
    <w:rsid w:val="6945187F"/>
    <w:rsid w:val="69460146"/>
    <w:rsid w:val="6947B529"/>
    <w:rsid w:val="6948C685"/>
    <w:rsid w:val="694B058E"/>
    <w:rsid w:val="694DFACB"/>
    <w:rsid w:val="69515FED"/>
    <w:rsid w:val="695298AB"/>
    <w:rsid w:val="6952D69A"/>
    <w:rsid w:val="6954C3B0"/>
    <w:rsid w:val="695A2797"/>
    <w:rsid w:val="695A68FA"/>
    <w:rsid w:val="69609D7B"/>
    <w:rsid w:val="696324FA"/>
    <w:rsid w:val="69636CC4"/>
    <w:rsid w:val="6964D286"/>
    <w:rsid w:val="696584F5"/>
    <w:rsid w:val="69660851"/>
    <w:rsid w:val="69666B4D"/>
    <w:rsid w:val="69673D2C"/>
    <w:rsid w:val="69679292"/>
    <w:rsid w:val="6967F18B"/>
    <w:rsid w:val="696AB9C3"/>
    <w:rsid w:val="696B1BE8"/>
    <w:rsid w:val="696DCD2D"/>
    <w:rsid w:val="696E187F"/>
    <w:rsid w:val="696FCAF3"/>
    <w:rsid w:val="696FD833"/>
    <w:rsid w:val="69727751"/>
    <w:rsid w:val="6973D62B"/>
    <w:rsid w:val="69749FEC"/>
    <w:rsid w:val="6976408E"/>
    <w:rsid w:val="69785C5C"/>
    <w:rsid w:val="6979C8CE"/>
    <w:rsid w:val="6979FE4E"/>
    <w:rsid w:val="697D4669"/>
    <w:rsid w:val="6984739B"/>
    <w:rsid w:val="69852730"/>
    <w:rsid w:val="6987DE5E"/>
    <w:rsid w:val="69882892"/>
    <w:rsid w:val="698B11EB"/>
    <w:rsid w:val="698B138D"/>
    <w:rsid w:val="698BBEFF"/>
    <w:rsid w:val="698C0315"/>
    <w:rsid w:val="698E5207"/>
    <w:rsid w:val="69902F9F"/>
    <w:rsid w:val="699054AC"/>
    <w:rsid w:val="69914BC1"/>
    <w:rsid w:val="69955E35"/>
    <w:rsid w:val="6995838B"/>
    <w:rsid w:val="6995BFF5"/>
    <w:rsid w:val="6995C343"/>
    <w:rsid w:val="69980337"/>
    <w:rsid w:val="699C397F"/>
    <w:rsid w:val="699D803C"/>
    <w:rsid w:val="699F9D13"/>
    <w:rsid w:val="69A07A8D"/>
    <w:rsid w:val="69A28127"/>
    <w:rsid w:val="69A2C501"/>
    <w:rsid w:val="69A2D840"/>
    <w:rsid w:val="69A2ED69"/>
    <w:rsid w:val="69A3525D"/>
    <w:rsid w:val="69A498A9"/>
    <w:rsid w:val="69A50767"/>
    <w:rsid w:val="69A513FD"/>
    <w:rsid w:val="69A6744E"/>
    <w:rsid w:val="69A6DFB3"/>
    <w:rsid w:val="69A8495D"/>
    <w:rsid w:val="69A9A575"/>
    <w:rsid w:val="69ACD383"/>
    <w:rsid w:val="69AD0E3C"/>
    <w:rsid w:val="69AE543D"/>
    <w:rsid w:val="69AE8F80"/>
    <w:rsid w:val="69B0FC53"/>
    <w:rsid w:val="69B1FBA4"/>
    <w:rsid w:val="69B3678C"/>
    <w:rsid w:val="69B584F7"/>
    <w:rsid w:val="69B5B0B2"/>
    <w:rsid w:val="69B82EC4"/>
    <w:rsid w:val="69B90F7E"/>
    <w:rsid w:val="69B95161"/>
    <w:rsid w:val="69B9AC20"/>
    <w:rsid w:val="69BA0172"/>
    <w:rsid w:val="69BDAE67"/>
    <w:rsid w:val="69BDF86F"/>
    <w:rsid w:val="69BE6AA2"/>
    <w:rsid w:val="69C2002E"/>
    <w:rsid w:val="69C2C49A"/>
    <w:rsid w:val="69C3C531"/>
    <w:rsid w:val="69C6AADD"/>
    <w:rsid w:val="69C8D53E"/>
    <w:rsid w:val="69CB943F"/>
    <w:rsid w:val="69CCFA4A"/>
    <w:rsid w:val="69D05160"/>
    <w:rsid w:val="69D0BCD5"/>
    <w:rsid w:val="69D15D6C"/>
    <w:rsid w:val="69DAF76C"/>
    <w:rsid w:val="69DB9DDC"/>
    <w:rsid w:val="69DDF1A9"/>
    <w:rsid w:val="69E0AAE1"/>
    <w:rsid w:val="69E29CEC"/>
    <w:rsid w:val="69E2B180"/>
    <w:rsid w:val="69E728CD"/>
    <w:rsid w:val="69E97091"/>
    <w:rsid w:val="69EA2ACA"/>
    <w:rsid w:val="69EA8C87"/>
    <w:rsid w:val="69EB63DA"/>
    <w:rsid w:val="69F1F3BF"/>
    <w:rsid w:val="69F229DE"/>
    <w:rsid w:val="69F23BDA"/>
    <w:rsid w:val="69F33DA7"/>
    <w:rsid w:val="69F3D281"/>
    <w:rsid w:val="69F50455"/>
    <w:rsid w:val="69F5A6FB"/>
    <w:rsid w:val="69F69ED8"/>
    <w:rsid w:val="69FA1925"/>
    <w:rsid w:val="69FA51CF"/>
    <w:rsid w:val="69FB07C2"/>
    <w:rsid w:val="69FC37AA"/>
    <w:rsid w:val="69FD398D"/>
    <w:rsid w:val="69FD9F7D"/>
    <w:rsid w:val="69FE1374"/>
    <w:rsid w:val="6A0033A8"/>
    <w:rsid w:val="6A00ED8A"/>
    <w:rsid w:val="6A02A0A9"/>
    <w:rsid w:val="6A02DEB5"/>
    <w:rsid w:val="6A038096"/>
    <w:rsid w:val="6A03DEAC"/>
    <w:rsid w:val="6A0446EE"/>
    <w:rsid w:val="6A044E5F"/>
    <w:rsid w:val="6A04AACC"/>
    <w:rsid w:val="6A055869"/>
    <w:rsid w:val="6A0957E3"/>
    <w:rsid w:val="6A0CA6DD"/>
    <w:rsid w:val="6A0D549E"/>
    <w:rsid w:val="6A0DB9BB"/>
    <w:rsid w:val="6A0E2F09"/>
    <w:rsid w:val="6A0E4D66"/>
    <w:rsid w:val="6A0E9850"/>
    <w:rsid w:val="6A100154"/>
    <w:rsid w:val="6A13AE23"/>
    <w:rsid w:val="6A14A032"/>
    <w:rsid w:val="6A1634FD"/>
    <w:rsid w:val="6A17337E"/>
    <w:rsid w:val="6A17386E"/>
    <w:rsid w:val="6A17BEF0"/>
    <w:rsid w:val="6A1B5B01"/>
    <w:rsid w:val="6A1BB795"/>
    <w:rsid w:val="6A1BFA78"/>
    <w:rsid w:val="6A1BFCE1"/>
    <w:rsid w:val="6A1E4AB5"/>
    <w:rsid w:val="6A1E60CA"/>
    <w:rsid w:val="6A1FFD10"/>
    <w:rsid w:val="6A2004D0"/>
    <w:rsid w:val="6A21223A"/>
    <w:rsid w:val="6A23CBFB"/>
    <w:rsid w:val="6A26CF32"/>
    <w:rsid w:val="6A278EC4"/>
    <w:rsid w:val="6A29F0CA"/>
    <w:rsid w:val="6A2A53A8"/>
    <w:rsid w:val="6A2B7F93"/>
    <w:rsid w:val="6A2BA6F0"/>
    <w:rsid w:val="6A2BD8DE"/>
    <w:rsid w:val="6A2C8155"/>
    <w:rsid w:val="6A2CF98E"/>
    <w:rsid w:val="6A327D53"/>
    <w:rsid w:val="6A3498EB"/>
    <w:rsid w:val="6A39E450"/>
    <w:rsid w:val="6A3ADBB3"/>
    <w:rsid w:val="6A3C20A5"/>
    <w:rsid w:val="6A3D4848"/>
    <w:rsid w:val="6A3D7CE7"/>
    <w:rsid w:val="6A3E7629"/>
    <w:rsid w:val="6A408CD0"/>
    <w:rsid w:val="6A417F66"/>
    <w:rsid w:val="6A43F1BD"/>
    <w:rsid w:val="6A441DBC"/>
    <w:rsid w:val="6A44869D"/>
    <w:rsid w:val="6A44D48A"/>
    <w:rsid w:val="6A45B30F"/>
    <w:rsid w:val="6A465A56"/>
    <w:rsid w:val="6A490EB3"/>
    <w:rsid w:val="6A499054"/>
    <w:rsid w:val="6A4AD58A"/>
    <w:rsid w:val="6A4EA847"/>
    <w:rsid w:val="6A4F34DF"/>
    <w:rsid w:val="6A51806E"/>
    <w:rsid w:val="6A53892B"/>
    <w:rsid w:val="6A55658D"/>
    <w:rsid w:val="6A55739E"/>
    <w:rsid w:val="6A562BAB"/>
    <w:rsid w:val="6A586AB4"/>
    <w:rsid w:val="6A58D2C9"/>
    <w:rsid w:val="6A5956EB"/>
    <w:rsid w:val="6A5B52AF"/>
    <w:rsid w:val="6A5B6D7E"/>
    <w:rsid w:val="6A5BE561"/>
    <w:rsid w:val="6A5C867A"/>
    <w:rsid w:val="6A5D41B0"/>
    <w:rsid w:val="6A61808A"/>
    <w:rsid w:val="6A6273F6"/>
    <w:rsid w:val="6A628ED8"/>
    <w:rsid w:val="6A636750"/>
    <w:rsid w:val="6A6807E9"/>
    <w:rsid w:val="6A6A6681"/>
    <w:rsid w:val="6A6AB9DB"/>
    <w:rsid w:val="6A6D8A9E"/>
    <w:rsid w:val="6A7122BC"/>
    <w:rsid w:val="6A7232F4"/>
    <w:rsid w:val="6A727A42"/>
    <w:rsid w:val="6A72823D"/>
    <w:rsid w:val="6A737848"/>
    <w:rsid w:val="6A737BAD"/>
    <w:rsid w:val="6A73A851"/>
    <w:rsid w:val="6A754F1E"/>
    <w:rsid w:val="6A774A82"/>
    <w:rsid w:val="6A77E458"/>
    <w:rsid w:val="6A7820FE"/>
    <w:rsid w:val="6A7A55E5"/>
    <w:rsid w:val="6A7B1BEB"/>
    <w:rsid w:val="6A7C73CF"/>
    <w:rsid w:val="6A7DA37C"/>
    <w:rsid w:val="6A81613D"/>
    <w:rsid w:val="6A816AF9"/>
    <w:rsid w:val="6A81B551"/>
    <w:rsid w:val="6A82963C"/>
    <w:rsid w:val="6A85325E"/>
    <w:rsid w:val="6A8546EE"/>
    <w:rsid w:val="6A860A67"/>
    <w:rsid w:val="6A883DA3"/>
    <w:rsid w:val="6A88944A"/>
    <w:rsid w:val="6A895376"/>
    <w:rsid w:val="6A8A9E5A"/>
    <w:rsid w:val="6A8B221E"/>
    <w:rsid w:val="6A8DAC62"/>
    <w:rsid w:val="6A8EBCF7"/>
    <w:rsid w:val="6A8F965B"/>
    <w:rsid w:val="6A913404"/>
    <w:rsid w:val="6A972027"/>
    <w:rsid w:val="6A97FEDD"/>
    <w:rsid w:val="6A9AC398"/>
    <w:rsid w:val="6A9B2299"/>
    <w:rsid w:val="6A9C0B82"/>
    <w:rsid w:val="6A9CC5D4"/>
    <w:rsid w:val="6A9EAF42"/>
    <w:rsid w:val="6AA025FE"/>
    <w:rsid w:val="6AA5AF00"/>
    <w:rsid w:val="6AA720BF"/>
    <w:rsid w:val="6AAE2AC8"/>
    <w:rsid w:val="6AAE315C"/>
    <w:rsid w:val="6AB03608"/>
    <w:rsid w:val="6AB53C82"/>
    <w:rsid w:val="6AB5F0F7"/>
    <w:rsid w:val="6AB6BE92"/>
    <w:rsid w:val="6AB79F07"/>
    <w:rsid w:val="6AB7CFBD"/>
    <w:rsid w:val="6AB90564"/>
    <w:rsid w:val="6ABB8731"/>
    <w:rsid w:val="6ABBEE56"/>
    <w:rsid w:val="6ABD3389"/>
    <w:rsid w:val="6ABDDD50"/>
    <w:rsid w:val="6AC4875F"/>
    <w:rsid w:val="6AC57E75"/>
    <w:rsid w:val="6ACB9C29"/>
    <w:rsid w:val="6ACBAA60"/>
    <w:rsid w:val="6ACEA2B9"/>
    <w:rsid w:val="6AD0AC81"/>
    <w:rsid w:val="6AD24DFE"/>
    <w:rsid w:val="6AD3C7B4"/>
    <w:rsid w:val="6AD438EA"/>
    <w:rsid w:val="6AD44276"/>
    <w:rsid w:val="6AD59FD5"/>
    <w:rsid w:val="6AD6F940"/>
    <w:rsid w:val="6AD77041"/>
    <w:rsid w:val="6AD79E52"/>
    <w:rsid w:val="6AD80EF7"/>
    <w:rsid w:val="6AD94CCA"/>
    <w:rsid w:val="6AD9C1C8"/>
    <w:rsid w:val="6AD9EAC7"/>
    <w:rsid w:val="6ADD4D88"/>
    <w:rsid w:val="6ADEEB27"/>
    <w:rsid w:val="6AE12F2B"/>
    <w:rsid w:val="6AE16E29"/>
    <w:rsid w:val="6AE32131"/>
    <w:rsid w:val="6AE3328C"/>
    <w:rsid w:val="6AE35346"/>
    <w:rsid w:val="6AE525C3"/>
    <w:rsid w:val="6AE7B786"/>
    <w:rsid w:val="6AE8129A"/>
    <w:rsid w:val="6AE8794F"/>
    <w:rsid w:val="6AE91F2B"/>
    <w:rsid w:val="6AE9B1D9"/>
    <w:rsid w:val="6AEAD9AA"/>
    <w:rsid w:val="6AEC3450"/>
    <w:rsid w:val="6AECB010"/>
    <w:rsid w:val="6AEDFE3A"/>
    <w:rsid w:val="6AEEE454"/>
    <w:rsid w:val="6AEF6A5F"/>
    <w:rsid w:val="6AF015DD"/>
    <w:rsid w:val="6AF1C2DE"/>
    <w:rsid w:val="6AF1ECFF"/>
    <w:rsid w:val="6AF366D4"/>
    <w:rsid w:val="6AF580B4"/>
    <w:rsid w:val="6AF5A1D6"/>
    <w:rsid w:val="6AF5DB6E"/>
    <w:rsid w:val="6AF6C722"/>
    <w:rsid w:val="6AF7CF9E"/>
    <w:rsid w:val="6AF89569"/>
    <w:rsid w:val="6AFACD11"/>
    <w:rsid w:val="6AFBD997"/>
    <w:rsid w:val="6AFD499A"/>
    <w:rsid w:val="6AFDDA28"/>
    <w:rsid w:val="6B01E2AA"/>
    <w:rsid w:val="6B043B6F"/>
    <w:rsid w:val="6B04A2D3"/>
    <w:rsid w:val="6B04DCEE"/>
    <w:rsid w:val="6B061141"/>
    <w:rsid w:val="6B08661F"/>
    <w:rsid w:val="6B0A8FEA"/>
    <w:rsid w:val="6B13742B"/>
    <w:rsid w:val="6B180989"/>
    <w:rsid w:val="6B180A78"/>
    <w:rsid w:val="6B19C57A"/>
    <w:rsid w:val="6B1DBCD0"/>
    <w:rsid w:val="6B1E77AB"/>
    <w:rsid w:val="6B1FA09E"/>
    <w:rsid w:val="6B2161A3"/>
    <w:rsid w:val="6B22487B"/>
    <w:rsid w:val="6B24359E"/>
    <w:rsid w:val="6B24FDC0"/>
    <w:rsid w:val="6B25BBD0"/>
    <w:rsid w:val="6B260DD2"/>
    <w:rsid w:val="6B2628A2"/>
    <w:rsid w:val="6B270E56"/>
    <w:rsid w:val="6B283366"/>
    <w:rsid w:val="6B289423"/>
    <w:rsid w:val="6B2A1AE8"/>
    <w:rsid w:val="6B2A30B2"/>
    <w:rsid w:val="6B2BEB8F"/>
    <w:rsid w:val="6B2C68B6"/>
    <w:rsid w:val="6B2E79B5"/>
    <w:rsid w:val="6B2F2952"/>
    <w:rsid w:val="6B33651D"/>
    <w:rsid w:val="6B33AC30"/>
    <w:rsid w:val="6B33AE19"/>
    <w:rsid w:val="6B356C8A"/>
    <w:rsid w:val="6B363CC8"/>
    <w:rsid w:val="6B3A42A2"/>
    <w:rsid w:val="6B3ADFBA"/>
    <w:rsid w:val="6B3B4EE8"/>
    <w:rsid w:val="6B3B653D"/>
    <w:rsid w:val="6B3CEEAD"/>
    <w:rsid w:val="6B3DF6CB"/>
    <w:rsid w:val="6B3EA8A1"/>
    <w:rsid w:val="6B3F0811"/>
    <w:rsid w:val="6B452711"/>
    <w:rsid w:val="6B480C09"/>
    <w:rsid w:val="6B4A0F5B"/>
    <w:rsid w:val="6B4E79F6"/>
    <w:rsid w:val="6B522C69"/>
    <w:rsid w:val="6B525411"/>
    <w:rsid w:val="6B5293F2"/>
    <w:rsid w:val="6B532309"/>
    <w:rsid w:val="6B56026E"/>
    <w:rsid w:val="6B5646A7"/>
    <w:rsid w:val="6B56EB7C"/>
    <w:rsid w:val="6B598F27"/>
    <w:rsid w:val="6B5B01C9"/>
    <w:rsid w:val="6B5E29EF"/>
    <w:rsid w:val="6B5F6E3F"/>
    <w:rsid w:val="6B603C5A"/>
    <w:rsid w:val="6B6346DF"/>
    <w:rsid w:val="6B63552D"/>
    <w:rsid w:val="6B654569"/>
    <w:rsid w:val="6B65D24D"/>
    <w:rsid w:val="6B6673E8"/>
    <w:rsid w:val="6B6785BE"/>
    <w:rsid w:val="6B67D813"/>
    <w:rsid w:val="6B6850B7"/>
    <w:rsid w:val="6B685820"/>
    <w:rsid w:val="6B6A3DBB"/>
    <w:rsid w:val="6B6D1DD5"/>
    <w:rsid w:val="6B6FC7C2"/>
    <w:rsid w:val="6B6FED74"/>
    <w:rsid w:val="6B71515B"/>
    <w:rsid w:val="6B742111"/>
    <w:rsid w:val="6B76D49F"/>
    <w:rsid w:val="6B7987C4"/>
    <w:rsid w:val="6B7A73B5"/>
    <w:rsid w:val="6B7BEEA8"/>
    <w:rsid w:val="6B7E60CE"/>
    <w:rsid w:val="6B7FEECB"/>
    <w:rsid w:val="6B808441"/>
    <w:rsid w:val="6B811904"/>
    <w:rsid w:val="6B82AA6D"/>
    <w:rsid w:val="6B83D0AF"/>
    <w:rsid w:val="6B84CC65"/>
    <w:rsid w:val="6B852C3D"/>
    <w:rsid w:val="6B853F4A"/>
    <w:rsid w:val="6B8675D9"/>
    <w:rsid w:val="6B86D2AB"/>
    <w:rsid w:val="6B8799EC"/>
    <w:rsid w:val="6B8904DA"/>
    <w:rsid w:val="6B8A13EC"/>
    <w:rsid w:val="6B8E3EFE"/>
    <w:rsid w:val="6B92B174"/>
    <w:rsid w:val="6B930CBB"/>
    <w:rsid w:val="6B93F1E7"/>
    <w:rsid w:val="6B94234D"/>
    <w:rsid w:val="6B9B7555"/>
    <w:rsid w:val="6B9F584B"/>
    <w:rsid w:val="6B9FC07B"/>
    <w:rsid w:val="6B9FECC8"/>
    <w:rsid w:val="6BA0174F"/>
    <w:rsid w:val="6BA31443"/>
    <w:rsid w:val="6BA48397"/>
    <w:rsid w:val="6BA4AAC0"/>
    <w:rsid w:val="6BA59472"/>
    <w:rsid w:val="6BA6277D"/>
    <w:rsid w:val="6BA6750D"/>
    <w:rsid w:val="6BA7B5A9"/>
    <w:rsid w:val="6BA99085"/>
    <w:rsid w:val="6BAC39D1"/>
    <w:rsid w:val="6BAE48D9"/>
    <w:rsid w:val="6BAE63F4"/>
    <w:rsid w:val="6BAFE4DC"/>
    <w:rsid w:val="6BB16765"/>
    <w:rsid w:val="6BB22055"/>
    <w:rsid w:val="6BB31133"/>
    <w:rsid w:val="6BB515A5"/>
    <w:rsid w:val="6BB52546"/>
    <w:rsid w:val="6BB777CB"/>
    <w:rsid w:val="6BB7B39B"/>
    <w:rsid w:val="6BB8CDEA"/>
    <w:rsid w:val="6BB96514"/>
    <w:rsid w:val="6BBA0BBC"/>
    <w:rsid w:val="6BBB6D2A"/>
    <w:rsid w:val="6BBB94A0"/>
    <w:rsid w:val="6BBFA385"/>
    <w:rsid w:val="6BBFB2CF"/>
    <w:rsid w:val="6BC2A75A"/>
    <w:rsid w:val="6BC2BB4B"/>
    <w:rsid w:val="6BC4527D"/>
    <w:rsid w:val="6BC6D05D"/>
    <w:rsid w:val="6BC70D02"/>
    <w:rsid w:val="6BC9F727"/>
    <w:rsid w:val="6BCA2EE8"/>
    <w:rsid w:val="6BCB3A72"/>
    <w:rsid w:val="6BCCD690"/>
    <w:rsid w:val="6BCED9A0"/>
    <w:rsid w:val="6BCF2FA3"/>
    <w:rsid w:val="6BD15A1A"/>
    <w:rsid w:val="6BD2A9E2"/>
    <w:rsid w:val="6BD4576D"/>
    <w:rsid w:val="6BD49E0E"/>
    <w:rsid w:val="6BD946B4"/>
    <w:rsid w:val="6BDBBB33"/>
    <w:rsid w:val="6BDC4260"/>
    <w:rsid w:val="6BDCC621"/>
    <w:rsid w:val="6BE1C31C"/>
    <w:rsid w:val="6BE1CEC4"/>
    <w:rsid w:val="6BE2DDED"/>
    <w:rsid w:val="6BE4E8D1"/>
    <w:rsid w:val="6BE66730"/>
    <w:rsid w:val="6BE6D8B8"/>
    <w:rsid w:val="6BE77DB9"/>
    <w:rsid w:val="6BE809EE"/>
    <w:rsid w:val="6BEEA925"/>
    <w:rsid w:val="6BF1E730"/>
    <w:rsid w:val="6BF23F71"/>
    <w:rsid w:val="6BF2E4A5"/>
    <w:rsid w:val="6BF64B26"/>
    <w:rsid w:val="6BF7CC76"/>
    <w:rsid w:val="6BF86028"/>
    <w:rsid w:val="6BF8EC47"/>
    <w:rsid w:val="6BFDBC4D"/>
    <w:rsid w:val="6BFDC4E4"/>
    <w:rsid w:val="6BFFB190"/>
    <w:rsid w:val="6C07E1D5"/>
    <w:rsid w:val="6C087AFF"/>
    <w:rsid w:val="6C08D86C"/>
    <w:rsid w:val="6C0997E1"/>
    <w:rsid w:val="6C09B4EA"/>
    <w:rsid w:val="6C09E9F0"/>
    <w:rsid w:val="6C0B8E8C"/>
    <w:rsid w:val="6C0C2E65"/>
    <w:rsid w:val="6C0C84E2"/>
    <w:rsid w:val="6C0D00B6"/>
    <w:rsid w:val="6C0D382F"/>
    <w:rsid w:val="6C0EF020"/>
    <w:rsid w:val="6C0F6871"/>
    <w:rsid w:val="6C0F7D5B"/>
    <w:rsid w:val="6C102036"/>
    <w:rsid w:val="6C1155B1"/>
    <w:rsid w:val="6C147F86"/>
    <w:rsid w:val="6C14F65D"/>
    <w:rsid w:val="6C15B772"/>
    <w:rsid w:val="6C173051"/>
    <w:rsid w:val="6C1892AB"/>
    <w:rsid w:val="6C1959D8"/>
    <w:rsid w:val="6C1A0B99"/>
    <w:rsid w:val="6C1B6A5C"/>
    <w:rsid w:val="6C1B7AD6"/>
    <w:rsid w:val="6C1D7E57"/>
    <w:rsid w:val="6C1E1D88"/>
    <w:rsid w:val="6C1EFD0E"/>
    <w:rsid w:val="6C1F0084"/>
    <w:rsid w:val="6C1FD91A"/>
    <w:rsid w:val="6C2431E3"/>
    <w:rsid w:val="6C268F43"/>
    <w:rsid w:val="6C282B22"/>
    <w:rsid w:val="6C2ACC48"/>
    <w:rsid w:val="6C2C52D9"/>
    <w:rsid w:val="6C2C833C"/>
    <w:rsid w:val="6C2CA17D"/>
    <w:rsid w:val="6C2CD79C"/>
    <w:rsid w:val="6C2D006F"/>
    <w:rsid w:val="6C2E63BC"/>
    <w:rsid w:val="6C30440C"/>
    <w:rsid w:val="6C32F443"/>
    <w:rsid w:val="6C34DF9E"/>
    <w:rsid w:val="6C3503DA"/>
    <w:rsid w:val="6C35C9CA"/>
    <w:rsid w:val="6C365AEA"/>
    <w:rsid w:val="6C36F8D8"/>
    <w:rsid w:val="6C39A242"/>
    <w:rsid w:val="6C3A219E"/>
    <w:rsid w:val="6C3B297B"/>
    <w:rsid w:val="6C3C11A1"/>
    <w:rsid w:val="6C3D6A0F"/>
    <w:rsid w:val="6C3F41EC"/>
    <w:rsid w:val="6C3F4DF3"/>
    <w:rsid w:val="6C401A2E"/>
    <w:rsid w:val="6C404EF8"/>
    <w:rsid w:val="6C420131"/>
    <w:rsid w:val="6C430F57"/>
    <w:rsid w:val="6C47ACDB"/>
    <w:rsid w:val="6C483A8C"/>
    <w:rsid w:val="6C492799"/>
    <w:rsid w:val="6C4B2C8E"/>
    <w:rsid w:val="6C4BFEFD"/>
    <w:rsid w:val="6C4C5A64"/>
    <w:rsid w:val="6C4C60CB"/>
    <w:rsid w:val="6C4D5036"/>
    <w:rsid w:val="6C4FEA8C"/>
    <w:rsid w:val="6C5019B4"/>
    <w:rsid w:val="6C5050C9"/>
    <w:rsid w:val="6C5366DE"/>
    <w:rsid w:val="6C54D5C5"/>
    <w:rsid w:val="6C57955F"/>
    <w:rsid w:val="6C5847F1"/>
    <w:rsid w:val="6C58AE7C"/>
    <w:rsid w:val="6C593D99"/>
    <w:rsid w:val="6C5C15B3"/>
    <w:rsid w:val="6C5C5504"/>
    <w:rsid w:val="6C61986F"/>
    <w:rsid w:val="6C6293DE"/>
    <w:rsid w:val="6C62FED3"/>
    <w:rsid w:val="6C63134B"/>
    <w:rsid w:val="6C632936"/>
    <w:rsid w:val="6C669A67"/>
    <w:rsid w:val="6C684E6C"/>
    <w:rsid w:val="6C6A6E6E"/>
    <w:rsid w:val="6C6B52CD"/>
    <w:rsid w:val="6C6B54DE"/>
    <w:rsid w:val="6C6C9950"/>
    <w:rsid w:val="6C6D0982"/>
    <w:rsid w:val="6C719E1B"/>
    <w:rsid w:val="6C72FB07"/>
    <w:rsid w:val="6C745178"/>
    <w:rsid w:val="6C746A01"/>
    <w:rsid w:val="6C7517EA"/>
    <w:rsid w:val="6C752A79"/>
    <w:rsid w:val="6C76F68A"/>
    <w:rsid w:val="6C7826B5"/>
    <w:rsid w:val="6C7AA895"/>
    <w:rsid w:val="6C7AC59D"/>
    <w:rsid w:val="6C7C813A"/>
    <w:rsid w:val="6C7CF106"/>
    <w:rsid w:val="6C7E7AF6"/>
    <w:rsid w:val="6C7FCD96"/>
    <w:rsid w:val="6C809C90"/>
    <w:rsid w:val="6C813B05"/>
    <w:rsid w:val="6C816296"/>
    <w:rsid w:val="6C830367"/>
    <w:rsid w:val="6C848D23"/>
    <w:rsid w:val="6C86BC40"/>
    <w:rsid w:val="6C86C3E0"/>
    <w:rsid w:val="6C893537"/>
    <w:rsid w:val="6C89DD9D"/>
    <w:rsid w:val="6C89F4B4"/>
    <w:rsid w:val="6C8A5EE9"/>
    <w:rsid w:val="6C8AE302"/>
    <w:rsid w:val="6C8D7BF3"/>
    <w:rsid w:val="6C8EC5C5"/>
    <w:rsid w:val="6C8F66F2"/>
    <w:rsid w:val="6C8FD3D9"/>
    <w:rsid w:val="6C92243D"/>
    <w:rsid w:val="6C92E5D3"/>
    <w:rsid w:val="6C95E7B5"/>
    <w:rsid w:val="6C96B006"/>
    <w:rsid w:val="6C974FE6"/>
    <w:rsid w:val="6C991205"/>
    <w:rsid w:val="6C9D6A81"/>
    <w:rsid w:val="6C9E0135"/>
    <w:rsid w:val="6C9FC03B"/>
    <w:rsid w:val="6C9FDF2A"/>
    <w:rsid w:val="6CA2D6E3"/>
    <w:rsid w:val="6CA578FD"/>
    <w:rsid w:val="6CA6646C"/>
    <w:rsid w:val="6CA8DC63"/>
    <w:rsid w:val="6CAA36FF"/>
    <w:rsid w:val="6CAC2B5B"/>
    <w:rsid w:val="6CAC9D38"/>
    <w:rsid w:val="6CACFFF6"/>
    <w:rsid w:val="6CAD89FF"/>
    <w:rsid w:val="6CADD530"/>
    <w:rsid w:val="6CB21E88"/>
    <w:rsid w:val="6CB25F4F"/>
    <w:rsid w:val="6CB28231"/>
    <w:rsid w:val="6CB31645"/>
    <w:rsid w:val="6CB88D7A"/>
    <w:rsid w:val="6CBA9424"/>
    <w:rsid w:val="6CBB88BF"/>
    <w:rsid w:val="6CBC08CC"/>
    <w:rsid w:val="6CBC8676"/>
    <w:rsid w:val="6CBFC37B"/>
    <w:rsid w:val="6CC1C47E"/>
    <w:rsid w:val="6CC26140"/>
    <w:rsid w:val="6CC57FC5"/>
    <w:rsid w:val="6CC5CE8A"/>
    <w:rsid w:val="6CC5E0BE"/>
    <w:rsid w:val="6CC79920"/>
    <w:rsid w:val="6CC8E6BB"/>
    <w:rsid w:val="6CC8EA4B"/>
    <w:rsid w:val="6CC91257"/>
    <w:rsid w:val="6CC985B7"/>
    <w:rsid w:val="6CCAAB24"/>
    <w:rsid w:val="6CCAD5DF"/>
    <w:rsid w:val="6CCAE708"/>
    <w:rsid w:val="6CCCEB6E"/>
    <w:rsid w:val="6CD18F47"/>
    <w:rsid w:val="6CD5B267"/>
    <w:rsid w:val="6CD5B3F5"/>
    <w:rsid w:val="6CDA91DF"/>
    <w:rsid w:val="6CDAE780"/>
    <w:rsid w:val="6CDB0225"/>
    <w:rsid w:val="6CDD4BBD"/>
    <w:rsid w:val="6CDFF2A8"/>
    <w:rsid w:val="6CE02FE3"/>
    <w:rsid w:val="6CE06F87"/>
    <w:rsid w:val="6CE3CEC6"/>
    <w:rsid w:val="6CE8C183"/>
    <w:rsid w:val="6CE9EA20"/>
    <w:rsid w:val="6CEA4483"/>
    <w:rsid w:val="6CEB2BFB"/>
    <w:rsid w:val="6CEB4CBB"/>
    <w:rsid w:val="6CED047C"/>
    <w:rsid w:val="6CEDB9D6"/>
    <w:rsid w:val="6CEDD370"/>
    <w:rsid w:val="6CEE8A5A"/>
    <w:rsid w:val="6CF410B9"/>
    <w:rsid w:val="6CF451E9"/>
    <w:rsid w:val="6CF90D72"/>
    <w:rsid w:val="6CF9306F"/>
    <w:rsid w:val="6CF9E18D"/>
    <w:rsid w:val="6CF9F055"/>
    <w:rsid w:val="6CFA2CED"/>
    <w:rsid w:val="6CFC37AB"/>
    <w:rsid w:val="6CFC80A7"/>
    <w:rsid w:val="6CFC9368"/>
    <w:rsid w:val="6D002C45"/>
    <w:rsid w:val="6D01BBCF"/>
    <w:rsid w:val="6D020F9F"/>
    <w:rsid w:val="6D023C90"/>
    <w:rsid w:val="6D0400F4"/>
    <w:rsid w:val="6D062FF0"/>
    <w:rsid w:val="6D0C81BD"/>
    <w:rsid w:val="6D0C8E0C"/>
    <w:rsid w:val="6D0C9433"/>
    <w:rsid w:val="6D0D836F"/>
    <w:rsid w:val="6D0E9B79"/>
    <w:rsid w:val="6D0F5E7D"/>
    <w:rsid w:val="6D0F8A37"/>
    <w:rsid w:val="6D0F9F7B"/>
    <w:rsid w:val="6D11C1C0"/>
    <w:rsid w:val="6D124FFB"/>
    <w:rsid w:val="6D1373B7"/>
    <w:rsid w:val="6D1599CE"/>
    <w:rsid w:val="6D170B1C"/>
    <w:rsid w:val="6D18BE50"/>
    <w:rsid w:val="6D1BB9B2"/>
    <w:rsid w:val="6D1E58DB"/>
    <w:rsid w:val="6D1F2229"/>
    <w:rsid w:val="6D201051"/>
    <w:rsid w:val="6D20BAF3"/>
    <w:rsid w:val="6D21C278"/>
    <w:rsid w:val="6D231AD3"/>
    <w:rsid w:val="6D23B4B3"/>
    <w:rsid w:val="6D24BED3"/>
    <w:rsid w:val="6D29B1B0"/>
    <w:rsid w:val="6D2B1BB7"/>
    <w:rsid w:val="6D2B2654"/>
    <w:rsid w:val="6D2C31EB"/>
    <w:rsid w:val="6D2CCBED"/>
    <w:rsid w:val="6D2CDCB8"/>
    <w:rsid w:val="6D2D0345"/>
    <w:rsid w:val="6D2D48C9"/>
    <w:rsid w:val="6D2E4021"/>
    <w:rsid w:val="6D2F89C1"/>
    <w:rsid w:val="6D2FDA16"/>
    <w:rsid w:val="6D2FE1DF"/>
    <w:rsid w:val="6D321FCB"/>
    <w:rsid w:val="6D32C67B"/>
    <w:rsid w:val="6D32F011"/>
    <w:rsid w:val="6D340412"/>
    <w:rsid w:val="6D3565ED"/>
    <w:rsid w:val="6D365B10"/>
    <w:rsid w:val="6D366707"/>
    <w:rsid w:val="6D3669DB"/>
    <w:rsid w:val="6D37AD22"/>
    <w:rsid w:val="6D37F8DA"/>
    <w:rsid w:val="6D39E908"/>
    <w:rsid w:val="6D3AAA9E"/>
    <w:rsid w:val="6D3CA8C4"/>
    <w:rsid w:val="6D3E33EF"/>
    <w:rsid w:val="6D3F314C"/>
    <w:rsid w:val="6D40A428"/>
    <w:rsid w:val="6D41A8E6"/>
    <w:rsid w:val="6D42432C"/>
    <w:rsid w:val="6D43EB10"/>
    <w:rsid w:val="6D4476BA"/>
    <w:rsid w:val="6D468CC1"/>
    <w:rsid w:val="6D4896C8"/>
    <w:rsid w:val="6D4EADAF"/>
    <w:rsid w:val="6D517D2F"/>
    <w:rsid w:val="6D52C313"/>
    <w:rsid w:val="6D54A031"/>
    <w:rsid w:val="6D56779B"/>
    <w:rsid w:val="6D56AC74"/>
    <w:rsid w:val="6D5EC4C7"/>
    <w:rsid w:val="6D5F76BA"/>
    <w:rsid w:val="6D5FACFD"/>
    <w:rsid w:val="6D61419E"/>
    <w:rsid w:val="6D67DD56"/>
    <w:rsid w:val="6D695229"/>
    <w:rsid w:val="6D6AB83B"/>
    <w:rsid w:val="6D6B3480"/>
    <w:rsid w:val="6D6E83CF"/>
    <w:rsid w:val="6D70870F"/>
    <w:rsid w:val="6D713EA7"/>
    <w:rsid w:val="6D71F5F9"/>
    <w:rsid w:val="6D7237FB"/>
    <w:rsid w:val="6D7322FE"/>
    <w:rsid w:val="6D787FE8"/>
    <w:rsid w:val="6D79B933"/>
    <w:rsid w:val="6D7A8A62"/>
    <w:rsid w:val="6D7B693F"/>
    <w:rsid w:val="6D7BBAFA"/>
    <w:rsid w:val="6D7BEC90"/>
    <w:rsid w:val="6D7DD332"/>
    <w:rsid w:val="6D7E79BE"/>
    <w:rsid w:val="6D7EA01C"/>
    <w:rsid w:val="6D7FE657"/>
    <w:rsid w:val="6D8078D3"/>
    <w:rsid w:val="6D81716B"/>
    <w:rsid w:val="6D82DA47"/>
    <w:rsid w:val="6D82E150"/>
    <w:rsid w:val="6D859A0E"/>
    <w:rsid w:val="6D86E68B"/>
    <w:rsid w:val="6D86EF90"/>
    <w:rsid w:val="6D871A91"/>
    <w:rsid w:val="6D87F822"/>
    <w:rsid w:val="6D88A808"/>
    <w:rsid w:val="6D8C19C2"/>
    <w:rsid w:val="6D8E2282"/>
    <w:rsid w:val="6D8E7A9A"/>
    <w:rsid w:val="6D8E87C0"/>
    <w:rsid w:val="6D8ED21E"/>
    <w:rsid w:val="6D8FE1DB"/>
    <w:rsid w:val="6D902866"/>
    <w:rsid w:val="6D902A31"/>
    <w:rsid w:val="6D92AC29"/>
    <w:rsid w:val="6D94628B"/>
    <w:rsid w:val="6D948BAE"/>
    <w:rsid w:val="6D954ACE"/>
    <w:rsid w:val="6D95C676"/>
    <w:rsid w:val="6D96FA36"/>
    <w:rsid w:val="6D9733F9"/>
    <w:rsid w:val="6D98D135"/>
    <w:rsid w:val="6D98F1FA"/>
    <w:rsid w:val="6D996907"/>
    <w:rsid w:val="6D9D6C42"/>
    <w:rsid w:val="6D9E7DBA"/>
    <w:rsid w:val="6D9F3532"/>
    <w:rsid w:val="6D9FBE7B"/>
    <w:rsid w:val="6DA03A5F"/>
    <w:rsid w:val="6DA421D7"/>
    <w:rsid w:val="6DA43585"/>
    <w:rsid w:val="6DA5ED1D"/>
    <w:rsid w:val="6DA65BC9"/>
    <w:rsid w:val="6DA7B8DD"/>
    <w:rsid w:val="6DAB5C59"/>
    <w:rsid w:val="6DAC8B06"/>
    <w:rsid w:val="6DADA775"/>
    <w:rsid w:val="6DAEDEAE"/>
    <w:rsid w:val="6DB1F9BC"/>
    <w:rsid w:val="6DB349DF"/>
    <w:rsid w:val="6DB486FE"/>
    <w:rsid w:val="6DB4BBB3"/>
    <w:rsid w:val="6DB6F4FB"/>
    <w:rsid w:val="6DBAFB1E"/>
    <w:rsid w:val="6DBC6A56"/>
    <w:rsid w:val="6DBF29CA"/>
    <w:rsid w:val="6DBF5D50"/>
    <w:rsid w:val="6DC18D23"/>
    <w:rsid w:val="6DC4180D"/>
    <w:rsid w:val="6DC67334"/>
    <w:rsid w:val="6DC7CE33"/>
    <w:rsid w:val="6DC90319"/>
    <w:rsid w:val="6DC96F5A"/>
    <w:rsid w:val="6DCD6BE3"/>
    <w:rsid w:val="6DCF8DCE"/>
    <w:rsid w:val="6DD31159"/>
    <w:rsid w:val="6DD349BF"/>
    <w:rsid w:val="6DD35DFE"/>
    <w:rsid w:val="6DD3771B"/>
    <w:rsid w:val="6DD45733"/>
    <w:rsid w:val="6DD54CB8"/>
    <w:rsid w:val="6DD5636F"/>
    <w:rsid w:val="6DD5B64A"/>
    <w:rsid w:val="6DD6FC44"/>
    <w:rsid w:val="6DD74238"/>
    <w:rsid w:val="6DDB2EBF"/>
    <w:rsid w:val="6DDB69CB"/>
    <w:rsid w:val="6DDF0742"/>
    <w:rsid w:val="6DE02042"/>
    <w:rsid w:val="6DE15734"/>
    <w:rsid w:val="6DE30168"/>
    <w:rsid w:val="6DE56D05"/>
    <w:rsid w:val="6DE624D9"/>
    <w:rsid w:val="6DE72282"/>
    <w:rsid w:val="6DE77270"/>
    <w:rsid w:val="6DE7D37F"/>
    <w:rsid w:val="6DE7D9FE"/>
    <w:rsid w:val="6DE7DCE8"/>
    <w:rsid w:val="6DE827F2"/>
    <w:rsid w:val="6DE88E3B"/>
    <w:rsid w:val="6DEDCB9B"/>
    <w:rsid w:val="6DEFAB9C"/>
    <w:rsid w:val="6DF04F4E"/>
    <w:rsid w:val="6DF56CBF"/>
    <w:rsid w:val="6DF63A19"/>
    <w:rsid w:val="6DF67CA0"/>
    <w:rsid w:val="6DF78DC7"/>
    <w:rsid w:val="6DF7A9DA"/>
    <w:rsid w:val="6DF9F252"/>
    <w:rsid w:val="6DFB0164"/>
    <w:rsid w:val="6DFB1090"/>
    <w:rsid w:val="6DFD881B"/>
    <w:rsid w:val="6E0086AE"/>
    <w:rsid w:val="6E02382E"/>
    <w:rsid w:val="6E02BB9D"/>
    <w:rsid w:val="6E037AF1"/>
    <w:rsid w:val="6E06617C"/>
    <w:rsid w:val="6E06D217"/>
    <w:rsid w:val="6E0969D0"/>
    <w:rsid w:val="6E0A4E28"/>
    <w:rsid w:val="6E0AD4F9"/>
    <w:rsid w:val="6E0CA8A8"/>
    <w:rsid w:val="6E0ECB68"/>
    <w:rsid w:val="6E100794"/>
    <w:rsid w:val="6E1021D9"/>
    <w:rsid w:val="6E135804"/>
    <w:rsid w:val="6E135B3B"/>
    <w:rsid w:val="6E173863"/>
    <w:rsid w:val="6E17EA25"/>
    <w:rsid w:val="6E1802B8"/>
    <w:rsid w:val="6E1A71C0"/>
    <w:rsid w:val="6E1A82C1"/>
    <w:rsid w:val="6E1AA2CD"/>
    <w:rsid w:val="6E1CA6C9"/>
    <w:rsid w:val="6E1DF0E1"/>
    <w:rsid w:val="6E1F27CA"/>
    <w:rsid w:val="6E208765"/>
    <w:rsid w:val="6E21798F"/>
    <w:rsid w:val="6E21E3A4"/>
    <w:rsid w:val="6E2286B6"/>
    <w:rsid w:val="6E2617EA"/>
    <w:rsid w:val="6E273E87"/>
    <w:rsid w:val="6E29BA17"/>
    <w:rsid w:val="6E29C334"/>
    <w:rsid w:val="6E2A6D1E"/>
    <w:rsid w:val="6E2CAB0D"/>
    <w:rsid w:val="6E2D6EB4"/>
    <w:rsid w:val="6E2D7B4B"/>
    <w:rsid w:val="6E2EAC3C"/>
    <w:rsid w:val="6E2F5F6C"/>
    <w:rsid w:val="6E3027A7"/>
    <w:rsid w:val="6E306071"/>
    <w:rsid w:val="6E316943"/>
    <w:rsid w:val="6E348D9C"/>
    <w:rsid w:val="6E34D950"/>
    <w:rsid w:val="6E358C67"/>
    <w:rsid w:val="6E374808"/>
    <w:rsid w:val="6E3F3303"/>
    <w:rsid w:val="6E3FC1D5"/>
    <w:rsid w:val="6E40B6DA"/>
    <w:rsid w:val="6E43555F"/>
    <w:rsid w:val="6E43A828"/>
    <w:rsid w:val="6E44ACCF"/>
    <w:rsid w:val="6E45B043"/>
    <w:rsid w:val="6E4879EC"/>
    <w:rsid w:val="6E4A49EC"/>
    <w:rsid w:val="6E4BCA68"/>
    <w:rsid w:val="6E4D5B65"/>
    <w:rsid w:val="6E4DFC94"/>
    <w:rsid w:val="6E539F66"/>
    <w:rsid w:val="6E543100"/>
    <w:rsid w:val="6E575578"/>
    <w:rsid w:val="6E586621"/>
    <w:rsid w:val="6E5A10F4"/>
    <w:rsid w:val="6E5ACD24"/>
    <w:rsid w:val="6E5BBCE9"/>
    <w:rsid w:val="6E5C23C4"/>
    <w:rsid w:val="6E5F58B4"/>
    <w:rsid w:val="6E5FB0B9"/>
    <w:rsid w:val="6E5FB6BE"/>
    <w:rsid w:val="6E6059BE"/>
    <w:rsid w:val="6E625738"/>
    <w:rsid w:val="6E6469B0"/>
    <w:rsid w:val="6E65B58E"/>
    <w:rsid w:val="6E66233E"/>
    <w:rsid w:val="6E6673F8"/>
    <w:rsid w:val="6E6851EE"/>
    <w:rsid w:val="6E68FDE6"/>
    <w:rsid w:val="6E6AC095"/>
    <w:rsid w:val="6E6ACC57"/>
    <w:rsid w:val="6E6B118A"/>
    <w:rsid w:val="6E6FA647"/>
    <w:rsid w:val="6E72958D"/>
    <w:rsid w:val="6E73A188"/>
    <w:rsid w:val="6E74454C"/>
    <w:rsid w:val="6E76A33F"/>
    <w:rsid w:val="6E790212"/>
    <w:rsid w:val="6E792FA8"/>
    <w:rsid w:val="6E798D71"/>
    <w:rsid w:val="6E7A259F"/>
    <w:rsid w:val="6E7AC6BF"/>
    <w:rsid w:val="6E868CF0"/>
    <w:rsid w:val="6E88987F"/>
    <w:rsid w:val="6E890E6F"/>
    <w:rsid w:val="6E8A40CD"/>
    <w:rsid w:val="6E8AC639"/>
    <w:rsid w:val="6E8E7740"/>
    <w:rsid w:val="6E91E549"/>
    <w:rsid w:val="6E95FC1D"/>
    <w:rsid w:val="6E962CE1"/>
    <w:rsid w:val="6E9BBB13"/>
    <w:rsid w:val="6E9BED81"/>
    <w:rsid w:val="6E9CE5B2"/>
    <w:rsid w:val="6E9E3D41"/>
    <w:rsid w:val="6E9EAB8F"/>
    <w:rsid w:val="6E9F809F"/>
    <w:rsid w:val="6EA213F6"/>
    <w:rsid w:val="6EA4EB95"/>
    <w:rsid w:val="6EA73734"/>
    <w:rsid w:val="6EA82596"/>
    <w:rsid w:val="6EA8B2AE"/>
    <w:rsid w:val="6EAA9D2A"/>
    <w:rsid w:val="6EAB1543"/>
    <w:rsid w:val="6EABB9E5"/>
    <w:rsid w:val="6EADC01B"/>
    <w:rsid w:val="6EAE1F66"/>
    <w:rsid w:val="6EB40B90"/>
    <w:rsid w:val="6EB5121C"/>
    <w:rsid w:val="6EB5990C"/>
    <w:rsid w:val="6EB8A692"/>
    <w:rsid w:val="6EB8EF1C"/>
    <w:rsid w:val="6EBACF55"/>
    <w:rsid w:val="6EBC9504"/>
    <w:rsid w:val="6EBDDB36"/>
    <w:rsid w:val="6EC011A8"/>
    <w:rsid w:val="6EC51A6F"/>
    <w:rsid w:val="6EC62255"/>
    <w:rsid w:val="6EC65FB2"/>
    <w:rsid w:val="6EC6C671"/>
    <w:rsid w:val="6EC71F28"/>
    <w:rsid w:val="6EC7743E"/>
    <w:rsid w:val="6EC87BF3"/>
    <w:rsid w:val="6ECB3FF3"/>
    <w:rsid w:val="6ECD0228"/>
    <w:rsid w:val="6ECD28DD"/>
    <w:rsid w:val="6ECDF3AF"/>
    <w:rsid w:val="6ED13CD6"/>
    <w:rsid w:val="6ED41FAA"/>
    <w:rsid w:val="6ED4FB13"/>
    <w:rsid w:val="6ED636BC"/>
    <w:rsid w:val="6ED7150E"/>
    <w:rsid w:val="6ED78E38"/>
    <w:rsid w:val="6ED81310"/>
    <w:rsid w:val="6ED87C5D"/>
    <w:rsid w:val="6ED95B64"/>
    <w:rsid w:val="6ED98BDB"/>
    <w:rsid w:val="6EDAB086"/>
    <w:rsid w:val="6EDC27AE"/>
    <w:rsid w:val="6EDE4382"/>
    <w:rsid w:val="6EDE49AF"/>
    <w:rsid w:val="6EE327E2"/>
    <w:rsid w:val="6EE52719"/>
    <w:rsid w:val="6EE551CB"/>
    <w:rsid w:val="6EE61A5A"/>
    <w:rsid w:val="6EE63800"/>
    <w:rsid w:val="6EEB2238"/>
    <w:rsid w:val="6EECA8E5"/>
    <w:rsid w:val="6EEF064D"/>
    <w:rsid w:val="6EEF80C0"/>
    <w:rsid w:val="6EEFD096"/>
    <w:rsid w:val="6EF0B6B1"/>
    <w:rsid w:val="6EF1874E"/>
    <w:rsid w:val="6EF2F408"/>
    <w:rsid w:val="6EF30611"/>
    <w:rsid w:val="6EF6D200"/>
    <w:rsid w:val="6EF7CE5C"/>
    <w:rsid w:val="6EFA4013"/>
    <w:rsid w:val="6EFB0C6F"/>
    <w:rsid w:val="6EFD0BA9"/>
    <w:rsid w:val="6EFDC0EE"/>
    <w:rsid w:val="6EFF56C9"/>
    <w:rsid w:val="6F018192"/>
    <w:rsid w:val="6F0272DC"/>
    <w:rsid w:val="6F031E04"/>
    <w:rsid w:val="6F044952"/>
    <w:rsid w:val="6F04C05C"/>
    <w:rsid w:val="6F061A73"/>
    <w:rsid w:val="6F061BB5"/>
    <w:rsid w:val="6F0680B2"/>
    <w:rsid w:val="6F06D701"/>
    <w:rsid w:val="6F0B0D4D"/>
    <w:rsid w:val="6F0BCDC7"/>
    <w:rsid w:val="6F0E9A11"/>
    <w:rsid w:val="6F0F373A"/>
    <w:rsid w:val="6F105883"/>
    <w:rsid w:val="6F17308F"/>
    <w:rsid w:val="6F1896B8"/>
    <w:rsid w:val="6F18ECB1"/>
    <w:rsid w:val="6F1A9C9E"/>
    <w:rsid w:val="6F1ABD30"/>
    <w:rsid w:val="6F1B3BE9"/>
    <w:rsid w:val="6F1B47FD"/>
    <w:rsid w:val="6F1B7DB2"/>
    <w:rsid w:val="6F1C551D"/>
    <w:rsid w:val="6F209387"/>
    <w:rsid w:val="6F20D5E4"/>
    <w:rsid w:val="6F21087E"/>
    <w:rsid w:val="6F214AB1"/>
    <w:rsid w:val="6F22EAF2"/>
    <w:rsid w:val="6F2457E1"/>
    <w:rsid w:val="6F253231"/>
    <w:rsid w:val="6F262F72"/>
    <w:rsid w:val="6F2671D4"/>
    <w:rsid w:val="6F273FF9"/>
    <w:rsid w:val="6F2A25E0"/>
    <w:rsid w:val="6F2C55FA"/>
    <w:rsid w:val="6F2DF588"/>
    <w:rsid w:val="6F2E6D96"/>
    <w:rsid w:val="6F32B8EB"/>
    <w:rsid w:val="6F32C501"/>
    <w:rsid w:val="6F32FAF1"/>
    <w:rsid w:val="6F3601DC"/>
    <w:rsid w:val="6F3703EA"/>
    <w:rsid w:val="6F37074E"/>
    <w:rsid w:val="6F375B95"/>
    <w:rsid w:val="6F3C9FCD"/>
    <w:rsid w:val="6F3DC709"/>
    <w:rsid w:val="6F3DD575"/>
    <w:rsid w:val="6F3DFD48"/>
    <w:rsid w:val="6F3EC643"/>
    <w:rsid w:val="6F41BC9E"/>
    <w:rsid w:val="6F42A716"/>
    <w:rsid w:val="6F4302ED"/>
    <w:rsid w:val="6F436940"/>
    <w:rsid w:val="6F44DF3C"/>
    <w:rsid w:val="6F48D35A"/>
    <w:rsid w:val="6F4B5987"/>
    <w:rsid w:val="6F4E27CC"/>
    <w:rsid w:val="6F501CD3"/>
    <w:rsid w:val="6F503725"/>
    <w:rsid w:val="6F504DD3"/>
    <w:rsid w:val="6F51B72E"/>
    <w:rsid w:val="6F576DAE"/>
    <w:rsid w:val="6F5A5195"/>
    <w:rsid w:val="6F5B8E22"/>
    <w:rsid w:val="6F5BECE4"/>
    <w:rsid w:val="6F5EC517"/>
    <w:rsid w:val="6F5F3538"/>
    <w:rsid w:val="6F60E82F"/>
    <w:rsid w:val="6F611B5E"/>
    <w:rsid w:val="6F6183FC"/>
    <w:rsid w:val="6F627BBA"/>
    <w:rsid w:val="6F63DFAE"/>
    <w:rsid w:val="6F645F3D"/>
    <w:rsid w:val="6F646AC7"/>
    <w:rsid w:val="6F654EBB"/>
    <w:rsid w:val="6F67C734"/>
    <w:rsid w:val="6F67D9E7"/>
    <w:rsid w:val="6F69CAB7"/>
    <w:rsid w:val="6F69D5B9"/>
    <w:rsid w:val="6F6BC7DB"/>
    <w:rsid w:val="6F6D0F65"/>
    <w:rsid w:val="6F6E6083"/>
    <w:rsid w:val="6F708F19"/>
    <w:rsid w:val="6F740F99"/>
    <w:rsid w:val="6F75525C"/>
    <w:rsid w:val="6F77F098"/>
    <w:rsid w:val="6F7B78C9"/>
    <w:rsid w:val="6F7BFDCD"/>
    <w:rsid w:val="6F7C228A"/>
    <w:rsid w:val="6F7C8045"/>
    <w:rsid w:val="6F7CE24A"/>
    <w:rsid w:val="6F7D888C"/>
    <w:rsid w:val="6F809B1B"/>
    <w:rsid w:val="6F835DFC"/>
    <w:rsid w:val="6F843D96"/>
    <w:rsid w:val="6F8569CA"/>
    <w:rsid w:val="6F85B485"/>
    <w:rsid w:val="6F86B48D"/>
    <w:rsid w:val="6F88C3F5"/>
    <w:rsid w:val="6F89E78D"/>
    <w:rsid w:val="6F8D1203"/>
    <w:rsid w:val="6F8D7AEF"/>
    <w:rsid w:val="6F8E303A"/>
    <w:rsid w:val="6F8E6AB1"/>
    <w:rsid w:val="6F8EED6C"/>
    <w:rsid w:val="6F8F1B85"/>
    <w:rsid w:val="6F90D82E"/>
    <w:rsid w:val="6F91F55A"/>
    <w:rsid w:val="6F924F08"/>
    <w:rsid w:val="6F94972A"/>
    <w:rsid w:val="6F956978"/>
    <w:rsid w:val="6F962277"/>
    <w:rsid w:val="6F96C6F2"/>
    <w:rsid w:val="6F97AC43"/>
    <w:rsid w:val="6F98885D"/>
    <w:rsid w:val="6F9962B0"/>
    <w:rsid w:val="6F997041"/>
    <w:rsid w:val="6F9A50E1"/>
    <w:rsid w:val="6F9BB7D4"/>
    <w:rsid w:val="6F9BBA84"/>
    <w:rsid w:val="6F9D01F0"/>
    <w:rsid w:val="6F9E2BAF"/>
    <w:rsid w:val="6FA20A94"/>
    <w:rsid w:val="6FA228F5"/>
    <w:rsid w:val="6FA2D8DD"/>
    <w:rsid w:val="6FA380B5"/>
    <w:rsid w:val="6FA45362"/>
    <w:rsid w:val="6FA627A5"/>
    <w:rsid w:val="6FA67199"/>
    <w:rsid w:val="6FABE457"/>
    <w:rsid w:val="6FAC1AA9"/>
    <w:rsid w:val="6FAC4BB4"/>
    <w:rsid w:val="6FACF771"/>
    <w:rsid w:val="6FB244BF"/>
    <w:rsid w:val="6FB33F25"/>
    <w:rsid w:val="6FB90CC4"/>
    <w:rsid w:val="6FBAB3B3"/>
    <w:rsid w:val="6FBB1275"/>
    <w:rsid w:val="6FBBD5D5"/>
    <w:rsid w:val="6FBBEEE8"/>
    <w:rsid w:val="6FBDD5D1"/>
    <w:rsid w:val="6FBED4E1"/>
    <w:rsid w:val="6FBF37FF"/>
    <w:rsid w:val="6FC12879"/>
    <w:rsid w:val="6FC156E4"/>
    <w:rsid w:val="6FC21148"/>
    <w:rsid w:val="6FC3AC2A"/>
    <w:rsid w:val="6FC709FF"/>
    <w:rsid w:val="6FCBE6C7"/>
    <w:rsid w:val="6FCCAD2C"/>
    <w:rsid w:val="6FCEAEF3"/>
    <w:rsid w:val="6FD01CEA"/>
    <w:rsid w:val="6FD07E7A"/>
    <w:rsid w:val="6FD4D673"/>
    <w:rsid w:val="6FD5BA0E"/>
    <w:rsid w:val="6FD760FD"/>
    <w:rsid w:val="6FD7C07A"/>
    <w:rsid w:val="6FD869D3"/>
    <w:rsid w:val="6FDC993B"/>
    <w:rsid w:val="6FDCE7A6"/>
    <w:rsid w:val="6FDDF845"/>
    <w:rsid w:val="6FDEC646"/>
    <w:rsid w:val="6FDED597"/>
    <w:rsid w:val="6FE04A6D"/>
    <w:rsid w:val="6FE198CC"/>
    <w:rsid w:val="6FE74838"/>
    <w:rsid w:val="6FE7B0D7"/>
    <w:rsid w:val="6FE85727"/>
    <w:rsid w:val="6FE8C509"/>
    <w:rsid w:val="6FED8FF7"/>
    <w:rsid w:val="6FEF177C"/>
    <w:rsid w:val="6FEF79B8"/>
    <w:rsid w:val="6FF20A1A"/>
    <w:rsid w:val="6FF31A8C"/>
    <w:rsid w:val="6FF57FFE"/>
    <w:rsid w:val="6FF75335"/>
    <w:rsid w:val="6FF81086"/>
    <w:rsid w:val="6FFA08B3"/>
    <w:rsid w:val="6FFAA34E"/>
    <w:rsid w:val="6FFBECD4"/>
    <w:rsid w:val="6FFBF6A5"/>
    <w:rsid w:val="6FFD7E91"/>
    <w:rsid w:val="6FFF6AF4"/>
    <w:rsid w:val="6FFFC6D8"/>
    <w:rsid w:val="70012A15"/>
    <w:rsid w:val="7001FD64"/>
    <w:rsid w:val="7002EAA4"/>
    <w:rsid w:val="70078314"/>
    <w:rsid w:val="7008DDE3"/>
    <w:rsid w:val="700CFEBD"/>
    <w:rsid w:val="700D6859"/>
    <w:rsid w:val="70104F8C"/>
    <w:rsid w:val="70118EFC"/>
    <w:rsid w:val="7012E71B"/>
    <w:rsid w:val="701304E8"/>
    <w:rsid w:val="7013F6CB"/>
    <w:rsid w:val="70153F73"/>
    <w:rsid w:val="7018093F"/>
    <w:rsid w:val="70181201"/>
    <w:rsid w:val="70194E84"/>
    <w:rsid w:val="701B8000"/>
    <w:rsid w:val="701E9504"/>
    <w:rsid w:val="701F1961"/>
    <w:rsid w:val="70201BA4"/>
    <w:rsid w:val="7020D956"/>
    <w:rsid w:val="7022D150"/>
    <w:rsid w:val="70288962"/>
    <w:rsid w:val="70298352"/>
    <w:rsid w:val="702A5B7B"/>
    <w:rsid w:val="702B9EA1"/>
    <w:rsid w:val="702F2170"/>
    <w:rsid w:val="703023FD"/>
    <w:rsid w:val="7031805B"/>
    <w:rsid w:val="70319D6F"/>
    <w:rsid w:val="7032DA95"/>
    <w:rsid w:val="70339BA6"/>
    <w:rsid w:val="70351167"/>
    <w:rsid w:val="703575EF"/>
    <w:rsid w:val="7036C220"/>
    <w:rsid w:val="7038B613"/>
    <w:rsid w:val="703AD35A"/>
    <w:rsid w:val="703BF399"/>
    <w:rsid w:val="703C8829"/>
    <w:rsid w:val="703CAFB8"/>
    <w:rsid w:val="703D41B4"/>
    <w:rsid w:val="703DEC2A"/>
    <w:rsid w:val="70401262"/>
    <w:rsid w:val="70402004"/>
    <w:rsid w:val="70425226"/>
    <w:rsid w:val="704386FC"/>
    <w:rsid w:val="704A207B"/>
    <w:rsid w:val="704E1F6C"/>
    <w:rsid w:val="704FDF15"/>
    <w:rsid w:val="705017CB"/>
    <w:rsid w:val="7050D21D"/>
    <w:rsid w:val="705306C9"/>
    <w:rsid w:val="70554E5B"/>
    <w:rsid w:val="7055D83C"/>
    <w:rsid w:val="7056C5E6"/>
    <w:rsid w:val="7056E040"/>
    <w:rsid w:val="70596AAC"/>
    <w:rsid w:val="70600286"/>
    <w:rsid w:val="70627354"/>
    <w:rsid w:val="7065216C"/>
    <w:rsid w:val="706B0E5E"/>
    <w:rsid w:val="706B2F4D"/>
    <w:rsid w:val="706D24B6"/>
    <w:rsid w:val="706E0667"/>
    <w:rsid w:val="706E39A7"/>
    <w:rsid w:val="706E9BC8"/>
    <w:rsid w:val="706F51A4"/>
    <w:rsid w:val="706F999C"/>
    <w:rsid w:val="70713018"/>
    <w:rsid w:val="70719B78"/>
    <w:rsid w:val="70733E67"/>
    <w:rsid w:val="70771F6D"/>
    <w:rsid w:val="7077F63F"/>
    <w:rsid w:val="7079C857"/>
    <w:rsid w:val="707E5DF9"/>
    <w:rsid w:val="7081AB2D"/>
    <w:rsid w:val="7082CC81"/>
    <w:rsid w:val="70877516"/>
    <w:rsid w:val="70878620"/>
    <w:rsid w:val="70890445"/>
    <w:rsid w:val="70895023"/>
    <w:rsid w:val="708B4480"/>
    <w:rsid w:val="708F3E94"/>
    <w:rsid w:val="7090B39F"/>
    <w:rsid w:val="70991412"/>
    <w:rsid w:val="709B1F65"/>
    <w:rsid w:val="709CCF21"/>
    <w:rsid w:val="70A35444"/>
    <w:rsid w:val="70A38D4F"/>
    <w:rsid w:val="70A4801D"/>
    <w:rsid w:val="70A5AE63"/>
    <w:rsid w:val="70A63C4F"/>
    <w:rsid w:val="70AAFC9C"/>
    <w:rsid w:val="70AE6BC8"/>
    <w:rsid w:val="70AF1066"/>
    <w:rsid w:val="70AFE514"/>
    <w:rsid w:val="70B0F873"/>
    <w:rsid w:val="70B15C6B"/>
    <w:rsid w:val="70B35F46"/>
    <w:rsid w:val="70B4A342"/>
    <w:rsid w:val="70B5A477"/>
    <w:rsid w:val="70B6C483"/>
    <w:rsid w:val="70B7E308"/>
    <w:rsid w:val="70BCD50A"/>
    <w:rsid w:val="70BD89AB"/>
    <w:rsid w:val="70BF71AD"/>
    <w:rsid w:val="70BFB4AB"/>
    <w:rsid w:val="70C1362D"/>
    <w:rsid w:val="70C4659A"/>
    <w:rsid w:val="70C5C1BE"/>
    <w:rsid w:val="70C600EA"/>
    <w:rsid w:val="70C62882"/>
    <w:rsid w:val="70C7D228"/>
    <w:rsid w:val="70C89328"/>
    <w:rsid w:val="70CBC3F8"/>
    <w:rsid w:val="70CBD6E9"/>
    <w:rsid w:val="70CCD458"/>
    <w:rsid w:val="70CCFFC3"/>
    <w:rsid w:val="70CE7F3E"/>
    <w:rsid w:val="70CE8CAA"/>
    <w:rsid w:val="70CF20DC"/>
    <w:rsid w:val="70D0F768"/>
    <w:rsid w:val="70D1885B"/>
    <w:rsid w:val="70D29D65"/>
    <w:rsid w:val="70D2BA5F"/>
    <w:rsid w:val="70D30531"/>
    <w:rsid w:val="70D70102"/>
    <w:rsid w:val="70D7B068"/>
    <w:rsid w:val="70D94D25"/>
    <w:rsid w:val="70DBBD51"/>
    <w:rsid w:val="70DF962E"/>
    <w:rsid w:val="70DFF725"/>
    <w:rsid w:val="70E25C00"/>
    <w:rsid w:val="70E41E5F"/>
    <w:rsid w:val="70E43816"/>
    <w:rsid w:val="70E4CA2B"/>
    <w:rsid w:val="70E65AB0"/>
    <w:rsid w:val="70E68AAF"/>
    <w:rsid w:val="70F059D5"/>
    <w:rsid w:val="70F21456"/>
    <w:rsid w:val="70F2FF25"/>
    <w:rsid w:val="70F3DC7C"/>
    <w:rsid w:val="70F568CE"/>
    <w:rsid w:val="70F9EBB1"/>
    <w:rsid w:val="70FC1385"/>
    <w:rsid w:val="70FC71AF"/>
    <w:rsid w:val="70FDF53C"/>
    <w:rsid w:val="70FE49BD"/>
    <w:rsid w:val="70FFFA2B"/>
    <w:rsid w:val="710923AD"/>
    <w:rsid w:val="710925B5"/>
    <w:rsid w:val="710981AF"/>
    <w:rsid w:val="710A16DF"/>
    <w:rsid w:val="710A5CF5"/>
    <w:rsid w:val="710ACA6D"/>
    <w:rsid w:val="710BFD7F"/>
    <w:rsid w:val="710CE71A"/>
    <w:rsid w:val="710D3ECF"/>
    <w:rsid w:val="710EBC70"/>
    <w:rsid w:val="711030CC"/>
    <w:rsid w:val="711259A2"/>
    <w:rsid w:val="71142140"/>
    <w:rsid w:val="71156BA8"/>
    <w:rsid w:val="7115B535"/>
    <w:rsid w:val="7118CCF2"/>
    <w:rsid w:val="71199D7A"/>
    <w:rsid w:val="711A967B"/>
    <w:rsid w:val="711C760A"/>
    <w:rsid w:val="711E8C3E"/>
    <w:rsid w:val="711F2F7F"/>
    <w:rsid w:val="7120D5E3"/>
    <w:rsid w:val="71213267"/>
    <w:rsid w:val="712266E5"/>
    <w:rsid w:val="7125B9E1"/>
    <w:rsid w:val="7126CBE4"/>
    <w:rsid w:val="7127B14B"/>
    <w:rsid w:val="71286225"/>
    <w:rsid w:val="712D9B97"/>
    <w:rsid w:val="712DC304"/>
    <w:rsid w:val="71320076"/>
    <w:rsid w:val="713429C5"/>
    <w:rsid w:val="71366478"/>
    <w:rsid w:val="7136FC1E"/>
    <w:rsid w:val="7138B743"/>
    <w:rsid w:val="713C7A65"/>
    <w:rsid w:val="713CDD72"/>
    <w:rsid w:val="713EEB91"/>
    <w:rsid w:val="714076B8"/>
    <w:rsid w:val="71407E44"/>
    <w:rsid w:val="7140EE6F"/>
    <w:rsid w:val="714140ED"/>
    <w:rsid w:val="71425EE5"/>
    <w:rsid w:val="71481140"/>
    <w:rsid w:val="7149AC56"/>
    <w:rsid w:val="714CA8F0"/>
    <w:rsid w:val="714D9F84"/>
    <w:rsid w:val="714E7AF9"/>
    <w:rsid w:val="714F5012"/>
    <w:rsid w:val="715389A5"/>
    <w:rsid w:val="71550B05"/>
    <w:rsid w:val="7157164D"/>
    <w:rsid w:val="7157C43A"/>
    <w:rsid w:val="7157EA72"/>
    <w:rsid w:val="71594060"/>
    <w:rsid w:val="715B070E"/>
    <w:rsid w:val="715D44F3"/>
    <w:rsid w:val="715FCD50"/>
    <w:rsid w:val="7163EE5E"/>
    <w:rsid w:val="7164E35A"/>
    <w:rsid w:val="716562EA"/>
    <w:rsid w:val="7167388E"/>
    <w:rsid w:val="7168F7EC"/>
    <w:rsid w:val="716A04EC"/>
    <w:rsid w:val="716A48D4"/>
    <w:rsid w:val="716B3CDB"/>
    <w:rsid w:val="716B6FEB"/>
    <w:rsid w:val="716BBAEE"/>
    <w:rsid w:val="716C30C6"/>
    <w:rsid w:val="716D5364"/>
    <w:rsid w:val="716DB8C2"/>
    <w:rsid w:val="7171BE25"/>
    <w:rsid w:val="717276B7"/>
    <w:rsid w:val="7172A1F5"/>
    <w:rsid w:val="7178BD26"/>
    <w:rsid w:val="717ACC0A"/>
    <w:rsid w:val="717E72E9"/>
    <w:rsid w:val="717FCFD2"/>
    <w:rsid w:val="7181BA4B"/>
    <w:rsid w:val="7181E043"/>
    <w:rsid w:val="71843A82"/>
    <w:rsid w:val="718496BB"/>
    <w:rsid w:val="71868F4F"/>
    <w:rsid w:val="7188648B"/>
    <w:rsid w:val="718A0859"/>
    <w:rsid w:val="718A7028"/>
    <w:rsid w:val="718E6F92"/>
    <w:rsid w:val="7193148D"/>
    <w:rsid w:val="71950BA5"/>
    <w:rsid w:val="71952453"/>
    <w:rsid w:val="71970ADC"/>
    <w:rsid w:val="719816F5"/>
    <w:rsid w:val="7198E8C4"/>
    <w:rsid w:val="719AB054"/>
    <w:rsid w:val="719E57E2"/>
    <w:rsid w:val="719F37D1"/>
    <w:rsid w:val="71A04EB8"/>
    <w:rsid w:val="71A13BE8"/>
    <w:rsid w:val="71A1CFD5"/>
    <w:rsid w:val="71A30B10"/>
    <w:rsid w:val="71A47E66"/>
    <w:rsid w:val="71A54453"/>
    <w:rsid w:val="71A7F37E"/>
    <w:rsid w:val="71A8FDDE"/>
    <w:rsid w:val="71ACB647"/>
    <w:rsid w:val="71AE1CAC"/>
    <w:rsid w:val="71AF99AA"/>
    <w:rsid w:val="71AFAC90"/>
    <w:rsid w:val="71B6B6C5"/>
    <w:rsid w:val="71B7A3F9"/>
    <w:rsid w:val="71BC04EE"/>
    <w:rsid w:val="71BC3FB1"/>
    <w:rsid w:val="71BDF866"/>
    <w:rsid w:val="71C1D3B6"/>
    <w:rsid w:val="71C431A2"/>
    <w:rsid w:val="71C47FE0"/>
    <w:rsid w:val="71C48E49"/>
    <w:rsid w:val="71C5FCEC"/>
    <w:rsid w:val="71C73887"/>
    <w:rsid w:val="71C83DD4"/>
    <w:rsid w:val="71CA85CE"/>
    <w:rsid w:val="71CCC1D4"/>
    <w:rsid w:val="71CD4D3B"/>
    <w:rsid w:val="71D0E407"/>
    <w:rsid w:val="71D4584F"/>
    <w:rsid w:val="71D7E80A"/>
    <w:rsid w:val="71D9AFC4"/>
    <w:rsid w:val="71DA3907"/>
    <w:rsid w:val="71DA4885"/>
    <w:rsid w:val="71DAF067"/>
    <w:rsid w:val="71DCC5D7"/>
    <w:rsid w:val="71DCE68D"/>
    <w:rsid w:val="71DD73FC"/>
    <w:rsid w:val="71E16687"/>
    <w:rsid w:val="71E1D17B"/>
    <w:rsid w:val="71E5DCFC"/>
    <w:rsid w:val="71ECC2E2"/>
    <w:rsid w:val="71ED0F57"/>
    <w:rsid w:val="71F0B91E"/>
    <w:rsid w:val="71FAA148"/>
    <w:rsid w:val="71FB793C"/>
    <w:rsid w:val="71FC6F6F"/>
    <w:rsid w:val="71FE6624"/>
    <w:rsid w:val="71FF755F"/>
    <w:rsid w:val="72006B11"/>
    <w:rsid w:val="7202F118"/>
    <w:rsid w:val="720653AA"/>
    <w:rsid w:val="7208E663"/>
    <w:rsid w:val="720A8A93"/>
    <w:rsid w:val="720C5721"/>
    <w:rsid w:val="720C6A80"/>
    <w:rsid w:val="720CD414"/>
    <w:rsid w:val="720E7780"/>
    <w:rsid w:val="720E9097"/>
    <w:rsid w:val="720EB730"/>
    <w:rsid w:val="720F1450"/>
    <w:rsid w:val="720F6EDE"/>
    <w:rsid w:val="7212BDDC"/>
    <w:rsid w:val="72130EC3"/>
    <w:rsid w:val="72137150"/>
    <w:rsid w:val="7214A344"/>
    <w:rsid w:val="72153F46"/>
    <w:rsid w:val="721559F8"/>
    <w:rsid w:val="72171D3F"/>
    <w:rsid w:val="721C3C05"/>
    <w:rsid w:val="721C5CD8"/>
    <w:rsid w:val="721DBDA4"/>
    <w:rsid w:val="722403C9"/>
    <w:rsid w:val="7224CE76"/>
    <w:rsid w:val="722B0EF5"/>
    <w:rsid w:val="722FEE40"/>
    <w:rsid w:val="722FEECC"/>
    <w:rsid w:val="7235D349"/>
    <w:rsid w:val="7236A765"/>
    <w:rsid w:val="723A9465"/>
    <w:rsid w:val="723D6221"/>
    <w:rsid w:val="723E382F"/>
    <w:rsid w:val="723FBFBC"/>
    <w:rsid w:val="724018DB"/>
    <w:rsid w:val="72405B5B"/>
    <w:rsid w:val="72413C48"/>
    <w:rsid w:val="72415622"/>
    <w:rsid w:val="7243A714"/>
    <w:rsid w:val="7243F39E"/>
    <w:rsid w:val="72453464"/>
    <w:rsid w:val="72483E1E"/>
    <w:rsid w:val="724947DB"/>
    <w:rsid w:val="724CCB4E"/>
    <w:rsid w:val="724F5447"/>
    <w:rsid w:val="7255902F"/>
    <w:rsid w:val="725839AB"/>
    <w:rsid w:val="72585325"/>
    <w:rsid w:val="7259966C"/>
    <w:rsid w:val="7259C9B9"/>
    <w:rsid w:val="725AB398"/>
    <w:rsid w:val="725DAB89"/>
    <w:rsid w:val="725E0930"/>
    <w:rsid w:val="725F2D10"/>
    <w:rsid w:val="725F88B7"/>
    <w:rsid w:val="72605863"/>
    <w:rsid w:val="72611721"/>
    <w:rsid w:val="72618F5B"/>
    <w:rsid w:val="7262856F"/>
    <w:rsid w:val="7263D0D0"/>
    <w:rsid w:val="7267A74A"/>
    <w:rsid w:val="726AA380"/>
    <w:rsid w:val="726AFD46"/>
    <w:rsid w:val="726E009A"/>
    <w:rsid w:val="727481CE"/>
    <w:rsid w:val="72779A10"/>
    <w:rsid w:val="727A65CE"/>
    <w:rsid w:val="727BE497"/>
    <w:rsid w:val="72814B53"/>
    <w:rsid w:val="7281D3F5"/>
    <w:rsid w:val="7282A8C6"/>
    <w:rsid w:val="72837247"/>
    <w:rsid w:val="7283CDE8"/>
    <w:rsid w:val="72843CEB"/>
    <w:rsid w:val="7284492B"/>
    <w:rsid w:val="72857912"/>
    <w:rsid w:val="7285AFE0"/>
    <w:rsid w:val="7286452C"/>
    <w:rsid w:val="728F0D2C"/>
    <w:rsid w:val="728F67CD"/>
    <w:rsid w:val="7290173B"/>
    <w:rsid w:val="72933D46"/>
    <w:rsid w:val="7294B9AF"/>
    <w:rsid w:val="7297D4BA"/>
    <w:rsid w:val="72981CD3"/>
    <w:rsid w:val="72985127"/>
    <w:rsid w:val="7299C4BE"/>
    <w:rsid w:val="729F2EA5"/>
    <w:rsid w:val="72A0E14C"/>
    <w:rsid w:val="72A64304"/>
    <w:rsid w:val="72A6C441"/>
    <w:rsid w:val="72A84A1D"/>
    <w:rsid w:val="72A9B49F"/>
    <w:rsid w:val="72A9CCEE"/>
    <w:rsid w:val="72A9D266"/>
    <w:rsid w:val="72AB8518"/>
    <w:rsid w:val="72AD9438"/>
    <w:rsid w:val="72AE5244"/>
    <w:rsid w:val="72B03965"/>
    <w:rsid w:val="72B21F2F"/>
    <w:rsid w:val="72B460C5"/>
    <w:rsid w:val="72B4CE62"/>
    <w:rsid w:val="72B4D7F7"/>
    <w:rsid w:val="72B57587"/>
    <w:rsid w:val="72B7106C"/>
    <w:rsid w:val="72BB3E8E"/>
    <w:rsid w:val="72BB64F1"/>
    <w:rsid w:val="72BB9CFF"/>
    <w:rsid w:val="72BE2EB2"/>
    <w:rsid w:val="72BECB01"/>
    <w:rsid w:val="72BEEDDF"/>
    <w:rsid w:val="72C372DB"/>
    <w:rsid w:val="72C393BF"/>
    <w:rsid w:val="72C46B0D"/>
    <w:rsid w:val="72C6720A"/>
    <w:rsid w:val="72C7D89A"/>
    <w:rsid w:val="72C7E597"/>
    <w:rsid w:val="72C852DE"/>
    <w:rsid w:val="72CBAD84"/>
    <w:rsid w:val="72CBF13B"/>
    <w:rsid w:val="72CD8688"/>
    <w:rsid w:val="72CEFD43"/>
    <w:rsid w:val="72D15B13"/>
    <w:rsid w:val="72D1F995"/>
    <w:rsid w:val="72D3A837"/>
    <w:rsid w:val="72D45A49"/>
    <w:rsid w:val="72D7F63D"/>
    <w:rsid w:val="72D97AB2"/>
    <w:rsid w:val="72DAFA9D"/>
    <w:rsid w:val="72DAFC0D"/>
    <w:rsid w:val="72DC21B3"/>
    <w:rsid w:val="72DE0643"/>
    <w:rsid w:val="72DE5C69"/>
    <w:rsid w:val="72DF38DB"/>
    <w:rsid w:val="72E0AF88"/>
    <w:rsid w:val="72E2A419"/>
    <w:rsid w:val="72E2C838"/>
    <w:rsid w:val="72E4A7A3"/>
    <w:rsid w:val="72E4FCBE"/>
    <w:rsid w:val="72E62DAC"/>
    <w:rsid w:val="72E68E8E"/>
    <w:rsid w:val="72E6D463"/>
    <w:rsid w:val="72E7D3BF"/>
    <w:rsid w:val="72E91075"/>
    <w:rsid w:val="72EBBF1E"/>
    <w:rsid w:val="72ECC9D3"/>
    <w:rsid w:val="72ED2354"/>
    <w:rsid w:val="72EF278F"/>
    <w:rsid w:val="72F1E143"/>
    <w:rsid w:val="72F397EA"/>
    <w:rsid w:val="72F662C7"/>
    <w:rsid w:val="72F77160"/>
    <w:rsid w:val="72F78987"/>
    <w:rsid w:val="72F88336"/>
    <w:rsid w:val="72F88538"/>
    <w:rsid w:val="72F96AAF"/>
    <w:rsid w:val="72F9D050"/>
    <w:rsid w:val="72FCC4A7"/>
    <w:rsid w:val="72FE7EFF"/>
    <w:rsid w:val="72FF8164"/>
    <w:rsid w:val="7300DEE6"/>
    <w:rsid w:val="7302C31A"/>
    <w:rsid w:val="7304DF03"/>
    <w:rsid w:val="7305F307"/>
    <w:rsid w:val="73069F01"/>
    <w:rsid w:val="7307631D"/>
    <w:rsid w:val="7308170F"/>
    <w:rsid w:val="73089704"/>
    <w:rsid w:val="7309725C"/>
    <w:rsid w:val="73097A4C"/>
    <w:rsid w:val="730B4B99"/>
    <w:rsid w:val="730B6427"/>
    <w:rsid w:val="730BDF92"/>
    <w:rsid w:val="730DCADF"/>
    <w:rsid w:val="730E108C"/>
    <w:rsid w:val="730EA174"/>
    <w:rsid w:val="730EB575"/>
    <w:rsid w:val="7310BBDA"/>
    <w:rsid w:val="73122BFB"/>
    <w:rsid w:val="7312E9DA"/>
    <w:rsid w:val="7314B3A4"/>
    <w:rsid w:val="7314E335"/>
    <w:rsid w:val="73152088"/>
    <w:rsid w:val="73165A72"/>
    <w:rsid w:val="73176FE7"/>
    <w:rsid w:val="7317C726"/>
    <w:rsid w:val="7317CAC5"/>
    <w:rsid w:val="731916BE"/>
    <w:rsid w:val="731B42F9"/>
    <w:rsid w:val="731BC793"/>
    <w:rsid w:val="731C621E"/>
    <w:rsid w:val="731CB01B"/>
    <w:rsid w:val="731DA6DE"/>
    <w:rsid w:val="731FA319"/>
    <w:rsid w:val="7323E710"/>
    <w:rsid w:val="732590B2"/>
    <w:rsid w:val="73272CF1"/>
    <w:rsid w:val="73275FD3"/>
    <w:rsid w:val="7328EDB1"/>
    <w:rsid w:val="7329CD4C"/>
    <w:rsid w:val="732AFD7E"/>
    <w:rsid w:val="732B52BF"/>
    <w:rsid w:val="732B7334"/>
    <w:rsid w:val="732C655C"/>
    <w:rsid w:val="732D429D"/>
    <w:rsid w:val="732E3874"/>
    <w:rsid w:val="732E4022"/>
    <w:rsid w:val="732EEFAA"/>
    <w:rsid w:val="733186BE"/>
    <w:rsid w:val="7331F962"/>
    <w:rsid w:val="73331082"/>
    <w:rsid w:val="7334DDAC"/>
    <w:rsid w:val="7334F0F5"/>
    <w:rsid w:val="7336A5F1"/>
    <w:rsid w:val="73399AA3"/>
    <w:rsid w:val="7339C9DD"/>
    <w:rsid w:val="733A5BB6"/>
    <w:rsid w:val="733B4D11"/>
    <w:rsid w:val="733BBADF"/>
    <w:rsid w:val="733C751B"/>
    <w:rsid w:val="733D6919"/>
    <w:rsid w:val="733ECA03"/>
    <w:rsid w:val="7341ED2E"/>
    <w:rsid w:val="7343290B"/>
    <w:rsid w:val="7343C8F7"/>
    <w:rsid w:val="7344DD06"/>
    <w:rsid w:val="7346698A"/>
    <w:rsid w:val="734690A8"/>
    <w:rsid w:val="7346F8AC"/>
    <w:rsid w:val="734704C4"/>
    <w:rsid w:val="7347B7BD"/>
    <w:rsid w:val="7349D674"/>
    <w:rsid w:val="734D708C"/>
    <w:rsid w:val="734DA3E7"/>
    <w:rsid w:val="734F4813"/>
    <w:rsid w:val="73513A43"/>
    <w:rsid w:val="7352D0EB"/>
    <w:rsid w:val="7353DE07"/>
    <w:rsid w:val="73545535"/>
    <w:rsid w:val="7354F0C5"/>
    <w:rsid w:val="7355E04D"/>
    <w:rsid w:val="7355E36C"/>
    <w:rsid w:val="73583EC0"/>
    <w:rsid w:val="7358E78A"/>
    <w:rsid w:val="73592BA4"/>
    <w:rsid w:val="735ABF21"/>
    <w:rsid w:val="735CB55B"/>
    <w:rsid w:val="735E61BD"/>
    <w:rsid w:val="735F110A"/>
    <w:rsid w:val="7362E5AB"/>
    <w:rsid w:val="73647EC5"/>
    <w:rsid w:val="7364E562"/>
    <w:rsid w:val="7365A65C"/>
    <w:rsid w:val="7365A875"/>
    <w:rsid w:val="73681EA8"/>
    <w:rsid w:val="736987CB"/>
    <w:rsid w:val="7369A5D4"/>
    <w:rsid w:val="736A9F2E"/>
    <w:rsid w:val="736C9B7B"/>
    <w:rsid w:val="736D0947"/>
    <w:rsid w:val="736FEF20"/>
    <w:rsid w:val="737056D5"/>
    <w:rsid w:val="737408AD"/>
    <w:rsid w:val="7375C1F1"/>
    <w:rsid w:val="73769AE9"/>
    <w:rsid w:val="737788C5"/>
    <w:rsid w:val="7378D7B2"/>
    <w:rsid w:val="7379F171"/>
    <w:rsid w:val="737B162B"/>
    <w:rsid w:val="737DC5CA"/>
    <w:rsid w:val="737E9FA9"/>
    <w:rsid w:val="737FCF23"/>
    <w:rsid w:val="73811760"/>
    <w:rsid w:val="7381C86A"/>
    <w:rsid w:val="73829EA1"/>
    <w:rsid w:val="7383A3E8"/>
    <w:rsid w:val="738521D0"/>
    <w:rsid w:val="7385EEC5"/>
    <w:rsid w:val="738703F6"/>
    <w:rsid w:val="7387FF4D"/>
    <w:rsid w:val="738A6F94"/>
    <w:rsid w:val="738A7B09"/>
    <w:rsid w:val="738A9137"/>
    <w:rsid w:val="738DED83"/>
    <w:rsid w:val="7390E254"/>
    <w:rsid w:val="7391DECC"/>
    <w:rsid w:val="7392854D"/>
    <w:rsid w:val="7393986A"/>
    <w:rsid w:val="7394B2B8"/>
    <w:rsid w:val="73963AA8"/>
    <w:rsid w:val="73972717"/>
    <w:rsid w:val="73989E6F"/>
    <w:rsid w:val="739AD693"/>
    <w:rsid w:val="739ADF68"/>
    <w:rsid w:val="739B7C04"/>
    <w:rsid w:val="739C7498"/>
    <w:rsid w:val="739E9080"/>
    <w:rsid w:val="739F04C7"/>
    <w:rsid w:val="739FC01F"/>
    <w:rsid w:val="73A13442"/>
    <w:rsid w:val="73A13B07"/>
    <w:rsid w:val="73A15BE8"/>
    <w:rsid w:val="73A3E2A3"/>
    <w:rsid w:val="73A5FF54"/>
    <w:rsid w:val="73A61715"/>
    <w:rsid w:val="73A64EB7"/>
    <w:rsid w:val="73A8A940"/>
    <w:rsid w:val="73A8F764"/>
    <w:rsid w:val="73A9CEE7"/>
    <w:rsid w:val="73AFB344"/>
    <w:rsid w:val="73B24AD6"/>
    <w:rsid w:val="73B2EDE2"/>
    <w:rsid w:val="73B3E2F2"/>
    <w:rsid w:val="73B4178D"/>
    <w:rsid w:val="73B41EE0"/>
    <w:rsid w:val="73B4CE8A"/>
    <w:rsid w:val="73B51C6C"/>
    <w:rsid w:val="73B69841"/>
    <w:rsid w:val="73B74308"/>
    <w:rsid w:val="73B74821"/>
    <w:rsid w:val="73BB72EE"/>
    <w:rsid w:val="73BC77A1"/>
    <w:rsid w:val="73BCD336"/>
    <w:rsid w:val="73BD9301"/>
    <w:rsid w:val="73BE162C"/>
    <w:rsid w:val="73BE5C97"/>
    <w:rsid w:val="73C08E86"/>
    <w:rsid w:val="73C26617"/>
    <w:rsid w:val="73C2F4B6"/>
    <w:rsid w:val="73C4353E"/>
    <w:rsid w:val="73C50386"/>
    <w:rsid w:val="73C51EE8"/>
    <w:rsid w:val="73C57B45"/>
    <w:rsid w:val="73C6484A"/>
    <w:rsid w:val="73C948D6"/>
    <w:rsid w:val="73CBD32C"/>
    <w:rsid w:val="73CC07DA"/>
    <w:rsid w:val="73CCD267"/>
    <w:rsid w:val="73CCE07D"/>
    <w:rsid w:val="73CD5C0A"/>
    <w:rsid w:val="73CEA51F"/>
    <w:rsid w:val="73CED3F7"/>
    <w:rsid w:val="73CFB8C1"/>
    <w:rsid w:val="73D81E43"/>
    <w:rsid w:val="73D9E807"/>
    <w:rsid w:val="73DC05D9"/>
    <w:rsid w:val="73DE1587"/>
    <w:rsid w:val="73DF1A09"/>
    <w:rsid w:val="73E013E3"/>
    <w:rsid w:val="73E1BDF9"/>
    <w:rsid w:val="73E40F90"/>
    <w:rsid w:val="73E5586F"/>
    <w:rsid w:val="73EA8FEA"/>
    <w:rsid w:val="73EB18F7"/>
    <w:rsid w:val="73EC1AB2"/>
    <w:rsid w:val="73EDF7C9"/>
    <w:rsid w:val="73EE58C4"/>
    <w:rsid w:val="73EF855D"/>
    <w:rsid w:val="73F1A6A2"/>
    <w:rsid w:val="73F546B1"/>
    <w:rsid w:val="73F7172C"/>
    <w:rsid w:val="73F72A3F"/>
    <w:rsid w:val="73F74464"/>
    <w:rsid w:val="73F7B2B4"/>
    <w:rsid w:val="73F8C266"/>
    <w:rsid w:val="73FA09EC"/>
    <w:rsid w:val="73FF21F5"/>
    <w:rsid w:val="73FFB50F"/>
    <w:rsid w:val="74003F2C"/>
    <w:rsid w:val="74011753"/>
    <w:rsid w:val="74049206"/>
    <w:rsid w:val="7404B69C"/>
    <w:rsid w:val="7405AA05"/>
    <w:rsid w:val="7408ECED"/>
    <w:rsid w:val="74094548"/>
    <w:rsid w:val="7409A344"/>
    <w:rsid w:val="740AEFAF"/>
    <w:rsid w:val="740EA0B5"/>
    <w:rsid w:val="740FC5D2"/>
    <w:rsid w:val="74119B56"/>
    <w:rsid w:val="74141A9E"/>
    <w:rsid w:val="7414D356"/>
    <w:rsid w:val="7414FC01"/>
    <w:rsid w:val="7415ACEB"/>
    <w:rsid w:val="7416E614"/>
    <w:rsid w:val="7419A8D8"/>
    <w:rsid w:val="741A2AAB"/>
    <w:rsid w:val="741D3B51"/>
    <w:rsid w:val="741D4913"/>
    <w:rsid w:val="741E515F"/>
    <w:rsid w:val="741F0CE7"/>
    <w:rsid w:val="741F803C"/>
    <w:rsid w:val="7420B5F1"/>
    <w:rsid w:val="7421D967"/>
    <w:rsid w:val="7421F318"/>
    <w:rsid w:val="74262643"/>
    <w:rsid w:val="7427C674"/>
    <w:rsid w:val="7428AA2E"/>
    <w:rsid w:val="7428BDF3"/>
    <w:rsid w:val="742A96E8"/>
    <w:rsid w:val="742A97E5"/>
    <w:rsid w:val="742AEED7"/>
    <w:rsid w:val="742E1984"/>
    <w:rsid w:val="742E3207"/>
    <w:rsid w:val="742EE432"/>
    <w:rsid w:val="74307FEF"/>
    <w:rsid w:val="74310397"/>
    <w:rsid w:val="743143D3"/>
    <w:rsid w:val="74323E10"/>
    <w:rsid w:val="74345952"/>
    <w:rsid w:val="7434DF28"/>
    <w:rsid w:val="7435B0D3"/>
    <w:rsid w:val="74370FF2"/>
    <w:rsid w:val="74377D1A"/>
    <w:rsid w:val="7439216F"/>
    <w:rsid w:val="74393498"/>
    <w:rsid w:val="743A0E1A"/>
    <w:rsid w:val="743A865F"/>
    <w:rsid w:val="743A9623"/>
    <w:rsid w:val="743B3949"/>
    <w:rsid w:val="743B4B0A"/>
    <w:rsid w:val="743C0A36"/>
    <w:rsid w:val="743CE899"/>
    <w:rsid w:val="743CFF09"/>
    <w:rsid w:val="743E7021"/>
    <w:rsid w:val="743EF8C7"/>
    <w:rsid w:val="744102A4"/>
    <w:rsid w:val="7441D1E9"/>
    <w:rsid w:val="7443BA9A"/>
    <w:rsid w:val="7444D434"/>
    <w:rsid w:val="744745EE"/>
    <w:rsid w:val="7447648A"/>
    <w:rsid w:val="744A9663"/>
    <w:rsid w:val="744AB6F9"/>
    <w:rsid w:val="744AF59E"/>
    <w:rsid w:val="744C76FB"/>
    <w:rsid w:val="744D9516"/>
    <w:rsid w:val="744E0CF5"/>
    <w:rsid w:val="744F8E66"/>
    <w:rsid w:val="7450B428"/>
    <w:rsid w:val="7452910A"/>
    <w:rsid w:val="7452D50D"/>
    <w:rsid w:val="7453C1BE"/>
    <w:rsid w:val="7457A140"/>
    <w:rsid w:val="7457AA19"/>
    <w:rsid w:val="745A509C"/>
    <w:rsid w:val="745B20FF"/>
    <w:rsid w:val="745D2A2A"/>
    <w:rsid w:val="745DAB89"/>
    <w:rsid w:val="745EA68B"/>
    <w:rsid w:val="745ED7AA"/>
    <w:rsid w:val="745F94B5"/>
    <w:rsid w:val="7460D2E6"/>
    <w:rsid w:val="7460FE8F"/>
    <w:rsid w:val="7462A009"/>
    <w:rsid w:val="7468852E"/>
    <w:rsid w:val="746905D1"/>
    <w:rsid w:val="746910CC"/>
    <w:rsid w:val="746B5E4D"/>
    <w:rsid w:val="7470B03F"/>
    <w:rsid w:val="7473559D"/>
    <w:rsid w:val="7474DB93"/>
    <w:rsid w:val="7475716F"/>
    <w:rsid w:val="7475EF18"/>
    <w:rsid w:val="747682A6"/>
    <w:rsid w:val="74768D5A"/>
    <w:rsid w:val="7476BB45"/>
    <w:rsid w:val="7476CA13"/>
    <w:rsid w:val="74774989"/>
    <w:rsid w:val="7477D325"/>
    <w:rsid w:val="7477FAC7"/>
    <w:rsid w:val="747A8DCA"/>
    <w:rsid w:val="747AF667"/>
    <w:rsid w:val="747FAC12"/>
    <w:rsid w:val="74885639"/>
    <w:rsid w:val="74892D31"/>
    <w:rsid w:val="748985BE"/>
    <w:rsid w:val="748BCC97"/>
    <w:rsid w:val="748C35B4"/>
    <w:rsid w:val="748DA42B"/>
    <w:rsid w:val="748DE4D0"/>
    <w:rsid w:val="748F4DD4"/>
    <w:rsid w:val="7490A8D5"/>
    <w:rsid w:val="7491DCD7"/>
    <w:rsid w:val="7495E800"/>
    <w:rsid w:val="74961FA5"/>
    <w:rsid w:val="74965ED3"/>
    <w:rsid w:val="74971835"/>
    <w:rsid w:val="749AD96C"/>
    <w:rsid w:val="749D8BB5"/>
    <w:rsid w:val="749FB735"/>
    <w:rsid w:val="74A116EF"/>
    <w:rsid w:val="74A152D1"/>
    <w:rsid w:val="74A241F4"/>
    <w:rsid w:val="74A27472"/>
    <w:rsid w:val="74A572B1"/>
    <w:rsid w:val="74A57321"/>
    <w:rsid w:val="74A5FD60"/>
    <w:rsid w:val="74A60E77"/>
    <w:rsid w:val="74A8529C"/>
    <w:rsid w:val="74A88135"/>
    <w:rsid w:val="74ABDD0D"/>
    <w:rsid w:val="74AED98D"/>
    <w:rsid w:val="74B00C9E"/>
    <w:rsid w:val="74B0BF96"/>
    <w:rsid w:val="74B0C568"/>
    <w:rsid w:val="74B121DC"/>
    <w:rsid w:val="74B12DF5"/>
    <w:rsid w:val="74B13B1D"/>
    <w:rsid w:val="74B14F7D"/>
    <w:rsid w:val="74B2112C"/>
    <w:rsid w:val="74B38479"/>
    <w:rsid w:val="74B408E7"/>
    <w:rsid w:val="74B68CAC"/>
    <w:rsid w:val="74B6DCA6"/>
    <w:rsid w:val="74B71F9F"/>
    <w:rsid w:val="74B76A38"/>
    <w:rsid w:val="74B8CF14"/>
    <w:rsid w:val="74B9B4B5"/>
    <w:rsid w:val="74BC1EA4"/>
    <w:rsid w:val="74BC5397"/>
    <w:rsid w:val="74BCC128"/>
    <w:rsid w:val="74BF8468"/>
    <w:rsid w:val="74BFBEF8"/>
    <w:rsid w:val="74C15ED8"/>
    <w:rsid w:val="74C63853"/>
    <w:rsid w:val="74C748B1"/>
    <w:rsid w:val="74C78A7D"/>
    <w:rsid w:val="74C8EC41"/>
    <w:rsid w:val="74C95DB4"/>
    <w:rsid w:val="74CC7A3C"/>
    <w:rsid w:val="74CF1ED2"/>
    <w:rsid w:val="74CF7B5E"/>
    <w:rsid w:val="74D04FE0"/>
    <w:rsid w:val="74D3BFEF"/>
    <w:rsid w:val="74D3E202"/>
    <w:rsid w:val="74D40D8E"/>
    <w:rsid w:val="74D62254"/>
    <w:rsid w:val="74D818F9"/>
    <w:rsid w:val="74D8B7FB"/>
    <w:rsid w:val="74DA1AAB"/>
    <w:rsid w:val="74DB8C17"/>
    <w:rsid w:val="74E062C7"/>
    <w:rsid w:val="74E22AD3"/>
    <w:rsid w:val="74E3D8C6"/>
    <w:rsid w:val="74E62410"/>
    <w:rsid w:val="74E864BC"/>
    <w:rsid w:val="74EB12A4"/>
    <w:rsid w:val="74ED02FB"/>
    <w:rsid w:val="74ED60A5"/>
    <w:rsid w:val="74EFC687"/>
    <w:rsid w:val="74F04BD8"/>
    <w:rsid w:val="74F12907"/>
    <w:rsid w:val="74F1BB44"/>
    <w:rsid w:val="74F3B0E6"/>
    <w:rsid w:val="74F3D65B"/>
    <w:rsid w:val="74F3DC3F"/>
    <w:rsid w:val="74F4227B"/>
    <w:rsid w:val="74F5A66D"/>
    <w:rsid w:val="74F6E28F"/>
    <w:rsid w:val="74F8B69C"/>
    <w:rsid w:val="74F909E7"/>
    <w:rsid w:val="74F9D013"/>
    <w:rsid w:val="74FAB3F3"/>
    <w:rsid w:val="74FB00D8"/>
    <w:rsid w:val="74FDD457"/>
    <w:rsid w:val="75013794"/>
    <w:rsid w:val="750164B3"/>
    <w:rsid w:val="75021164"/>
    <w:rsid w:val="750357D6"/>
    <w:rsid w:val="750448D8"/>
    <w:rsid w:val="75049921"/>
    <w:rsid w:val="75053FB7"/>
    <w:rsid w:val="7505582C"/>
    <w:rsid w:val="75064ADA"/>
    <w:rsid w:val="75097AB7"/>
    <w:rsid w:val="750A0518"/>
    <w:rsid w:val="750D5948"/>
    <w:rsid w:val="750E47DF"/>
    <w:rsid w:val="750E6F19"/>
    <w:rsid w:val="750F3716"/>
    <w:rsid w:val="7510BC79"/>
    <w:rsid w:val="7510C5AC"/>
    <w:rsid w:val="75120C02"/>
    <w:rsid w:val="7512C2A7"/>
    <w:rsid w:val="751571F5"/>
    <w:rsid w:val="751A3BBA"/>
    <w:rsid w:val="751C904B"/>
    <w:rsid w:val="751CA503"/>
    <w:rsid w:val="751DE42B"/>
    <w:rsid w:val="752039E1"/>
    <w:rsid w:val="75210E0F"/>
    <w:rsid w:val="75215489"/>
    <w:rsid w:val="7521A365"/>
    <w:rsid w:val="75232694"/>
    <w:rsid w:val="7523BD1F"/>
    <w:rsid w:val="7524EDC1"/>
    <w:rsid w:val="752A5DF7"/>
    <w:rsid w:val="752A6292"/>
    <w:rsid w:val="752C719F"/>
    <w:rsid w:val="752ED10C"/>
    <w:rsid w:val="752F1E60"/>
    <w:rsid w:val="75302ED2"/>
    <w:rsid w:val="75326D40"/>
    <w:rsid w:val="7534CF87"/>
    <w:rsid w:val="7535AE19"/>
    <w:rsid w:val="75367B14"/>
    <w:rsid w:val="7539C3BA"/>
    <w:rsid w:val="753CE4F3"/>
    <w:rsid w:val="753E9731"/>
    <w:rsid w:val="7547BEF7"/>
    <w:rsid w:val="75485278"/>
    <w:rsid w:val="75493A30"/>
    <w:rsid w:val="754A5285"/>
    <w:rsid w:val="754A5F7B"/>
    <w:rsid w:val="75503966"/>
    <w:rsid w:val="7553556C"/>
    <w:rsid w:val="7553EA91"/>
    <w:rsid w:val="75559C60"/>
    <w:rsid w:val="7557EC28"/>
    <w:rsid w:val="75593659"/>
    <w:rsid w:val="75594796"/>
    <w:rsid w:val="755B30E4"/>
    <w:rsid w:val="755DFEA8"/>
    <w:rsid w:val="755FFAE2"/>
    <w:rsid w:val="75645467"/>
    <w:rsid w:val="75662280"/>
    <w:rsid w:val="75674D50"/>
    <w:rsid w:val="7567D1A8"/>
    <w:rsid w:val="756A0FCF"/>
    <w:rsid w:val="756B3807"/>
    <w:rsid w:val="756D318E"/>
    <w:rsid w:val="756D4E2B"/>
    <w:rsid w:val="756E54B0"/>
    <w:rsid w:val="75702B28"/>
    <w:rsid w:val="75723406"/>
    <w:rsid w:val="75723902"/>
    <w:rsid w:val="7572BE86"/>
    <w:rsid w:val="75734DAA"/>
    <w:rsid w:val="75736AC3"/>
    <w:rsid w:val="7573815F"/>
    <w:rsid w:val="7576F613"/>
    <w:rsid w:val="7578E345"/>
    <w:rsid w:val="757A81F5"/>
    <w:rsid w:val="757ACFE9"/>
    <w:rsid w:val="757B4861"/>
    <w:rsid w:val="757BE67A"/>
    <w:rsid w:val="757D8E5A"/>
    <w:rsid w:val="757E252B"/>
    <w:rsid w:val="757E5844"/>
    <w:rsid w:val="757E70F8"/>
    <w:rsid w:val="75808B5C"/>
    <w:rsid w:val="7582B34A"/>
    <w:rsid w:val="7583960C"/>
    <w:rsid w:val="758705EE"/>
    <w:rsid w:val="758D51D7"/>
    <w:rsid w:val="758D6B79"/>
    <w:rsid w:val="758DBAAD"/>
    <w:rsid w:val="758E7757"/>
    <w:rsid w:val="7591F468"/>
    <w:rsid w:val="759581FD"/>
    <w:rsid w:val="7597F8E8"/>
    <w:rsid w:val="75991921"/>
    <w:rsid w:val="75997426"/>
    <w:rsid w:val="759AD0B3"/>
    <w:rsid w:val="759B1E8F"/>
    <w:rsid w:val="759BC094"/>
    <w:rsid w:val="759C4F5D"/>
    <w:rsid w:val="75A06815"/>
    <w:rsid w:val="75A113F6"/>
    <w:rsid w:val="75A281E2"/>
    <w:rsid w:val="75A3E335"/>
    <w:rsid w:val="75A5E052"/>
    <w:rsid w:val="75AA3823"/>
    <w:rsid w:val="75AECE91"/>
    <w:rsid w:val="75B210A4"/>
    <w:rsid w:val="75B5FB0C"/>
    <w:rsid w:val="75B6165D"/>
    <w:rsid w:val="75BCBC87"/>
    <w:rsid w:val="75BE9E2C"/>
    <w:rsid w:val="75C01F93"/>
    <w:rsid w:val="75C42CF0"/>
    <w:rsid w:val="75C66846"/>
    <w:rsid w:val="75C742D8"/>
    <w:rsid w:val="75C75C8B"/>
    <w:rsid w:val="75C83823"/>
    <w:rsid w:val="75C91017"/>
    <w:rsid w:val="75CB2750"/>
    <w:rsid w:val="75CBEADE"/>
    <w:rsid w:val="75CBF326"/>
    <w:rsid w:val="75CD7AD6"/>
    <w:rsid w:val="75CDC71A"/>
    <w:rsid w:val="75CE6005"/>
    <w:rsid w:val="75CF4DB8"/>
    <w:rsid w:val="75CF712B"/>
    <w:rsid w:val="75D4D6C2"/>
    <w:rsid w:val="75D8DDE6"/>
    <w:rsid w:val="75DB5874"/>
    <w:rsid w:val="75DB9983"/>
    <w:rsid w:val="75DCE7FA"/>
    <w:rsid w:val="75DCFB9E"/>
    <w:rsid w:val="75DD7520"/>
    <w:rsid w:val="75DF04BB"/>
    <w:rsid w:val="75E21E43"/>
    <w:rsid w:val="75E22549"/>
    <w:rsid w:val="75E499E4"/>
    <w:rsid w:val="75E5BD20"/>
    <w:rsid w:val="75E85F88"/>
    <w:rsid w:val="75EB7479"/>
    <w:rsid w:val="75EC2ECB"/>
    <w:rsid w:val="75EEEF97"/>
    <w:rsid w:val="75EF82C8"/>
    <w:rsid w:val="75F12C1F"/>
    <w:rsid w:val="75F135A9"/>
    <w:rsid w:val="75F1D0FB"/>
    <w:rsid w:val="75F26BA7"/>
    <w:rsid w:val="75F2FB94"/>
    <w:rsid w:val="75F3457E"/>
    <w:rsid w:val="75F41D93"/>
    <w:rsid w:val="75F666AD"/>
    <w:rsid w:val="75F67AAD"/>
    <w:rsid w:val="75F89A13"/>
    <w:rsid w:val="75F94029"/>
    <w:rsid w:val="75F9A275"/>
    <w:rsid w:val="75F9B3BB"/>
    <w:rsid w:val="75FAD679"/>
    <w:rsid w:val="75FC6C26"/>
    <w:rsid w:val="75FD700B"/>
    <w:rsid w:val="75FD8131"/>
    <w:rsid w:val="75FDAAC0"/>
    <w:rsid w:val="75FF45C6"/>
    <w:rsid w:val="76005116"/>
    <w:rsid w:val="760287D4"/>
    <w:rsid w:val="7604040A"/>
    <w:rsid w:val="7604266C"/>
    <w:rsid w:val="7605B275"/>
    <w:rsid w:val="7605FD45"/>
    <w:rsid w:val="760684FC"/>
    <w:rsid w:val="7607DD02"/>
    <w:rsid w:val="76091A18"/>
    <w:rsid w:val="760A00E0"/>
    <w:rsid w:val="760AE6EC"/>
    <w:rsid w:val="760B01DD"/>
    <w:rsid w:val="760D4C62"/>
    <w:rsid w:val="760D634C"/>
    <w:rsid w:val="760F9B5E"/>
    <w:rsid w:val="7610180A"/>
    <w:rsid w:val="76124D13"/>
    <w:rsid w:val="7613C182"/>
    <w:rsid w:val="76162C3C"/>
    <w:rsid w:val="76190CBF"/>
    <w:rsid w:val="7619747B"/>
    <w:rsid w:val="761C48D8"/>
    <w:rsid w:val="761C5F12"/>
    <w:rsid w:val="761FE718"/>
    <w:rsid w:val="76209010"/>
    <w:rsid w:val="762303E3"/>
    <w:rsid w:val="7623AEBE"/>
    <w:rsid w:val="7627173E"/>
    <w:rsid w:val="76271A2C"/>
    <w:rsid w:val="762876A6"/>
    <w:rsid w:val="762A6088"/>
    <w:rsid w:val="762B7757"/>
    <w:rsid w:val="762C8598"/>
    <w:rsid w:val="762D8936"/>
    <w:rsid w:val="762DBD52"/>
    <w:rsid w:val="762E6F54"/>
    <w:rsid w:val="762F7DF2"/>
    <w:rsid w:val="762FA923"/>
    <w:rsid w:val="7630AF28"/>
    <w:rsid w:val="76312DF9"/>
    <w:rsid w:val="76329F9B"/>
    <w:rsid w:val="7633F47D"/>
    <w:rsid w:val="7634DF6D"/>
    <w:rsid w:val="7635B2B9"/>
    <w:rsid w:val="7637862C"/>
    <w:rsid w:val="7637C712"/>
    <w:rsid w:val="76385E00"/>
    <w:rsid w:val="763AC3F9"/>
    <w:rsid w:val="763B2E4C"/>
    <w:rsid w:val="763CA27E"/>
    <w:rsid w:val="763E3A1A"/>
    <w:rsid w:val="763EDA32"/>
    <w:rsid w:val="76405475"/>
    <w:rsid w:val="7640EEA9"/>
    <w:rsid w:val="7642563D"/>
    <w:rsid w:val="7642F345"/>
    <w:rsid w:val="764413BE"/>
    <w:rsid w:val="76461160"/>
    <w:rsid w:val="7647D1B1"/>
    <w:rsid w:val="7648937E"/>
    <w:rsid w:val="7648D5AC"/>
    <w:rsid w:val="764AC123"/>
    <w:rsid w:val="764C5466"/>
    <w:rsid w:val="764E1811"/>
    <w:rsid w:val="764E1EB8"/>
    <w:rsid w:val="764EE18F"/>
    <w:rsid w:val="764F5EEF"/>
    <w:rsid w:val="7651BA2B"/>
    <w:rsid w:val="76548D56"/>
    <w:rsid w:val="765515ED"/>
    <w:rsid w:val="76553D90"/>
    <w:rsid w:val="7655C117"/>
    <w:rsid w:val="76579581"/>
    <w:rsid w:val="7658288E"/>
    <w:rsid w:val="765AC54D"/>
    <w:rsid w:val="765C9961"/>
    <w:rsid w:val="765D4552"/>
    <w:rsid w:val="765D63C8"/>
    <w:rsid w:val="765D905F"/>
    <w:rsid w:val="765E8365"/>
    <w:rsid w:val="765EEE5A"/>
    <w:rsid w:val="765FF001"/>
    <w:rsid w:val="76629F27"/>
    <w:rsid w:val="7663EB9A"/>
    <w:rsid w:val="7664CE87"/>
    <w:rsid w:val="76664189"/>
    <w:rsid w:val="7668D092"/>
    <w:rsid w:val="7669A718"/>
    <w:rsid w:val="7669D3AE"/>
    <w:rsid w:val="766F0D58"/>
    <w:rsid w:val="766FF3A3"/>
    <w:rsid w:val="76709572"/>
    <w:rsid w:val="7670CCA9"/>
    <w:rsid w:val="76729540"/>
    <w:rsid w:val="767330A8"/>
    <w:rsid w:val="76743E5E"/>
    <w:rsid w:val="7674D03B"/>
    <w:rsid w:val="7676092F"/>
    <w:rsid w:val="767670D6"/>
    <w:rsid w:val="7676A156"/>
    <w:rsid w:val="7678F022"/>
    <w:rsid w:val="767BFCD8"/>
    <w:rsid w:val="767C9119"/>
    <w:rsid w:val="767CD852"/>
    <w:rsid w:val="767D31D3"/>
    <w:rsid w:val="768184C0"/>
    <w:rsid w:val="7684AD0B"/>
    <w:rsid w:val="7685FF27"/>
    <w:rsid w:val="768668A3"/>
    <w:rsid w:val="768A39E5"/>
    <w:rsid w:val="768D228C"/>
    <w:rsid w:val="768DE937"/>
    <w:rsid w:val="768F5288"/>
    <w:rsid w:val="76907DC3"/>
    <w:rsid w:val="76912BA8"/>
    <w:rsid w:val="7691DC5B"/>
    <w:rsid w:val="7691EB8B"/>
    <w:rsid w:val="76920BD6"/>
    <w:rsid w:val="76936413"/>
    <w:rsid w:val="76937EE1"/>
    <w:rsid w:val="7693B4DB"/>
    <w:rsid w:val="7696C805"/>
    <w:rsid w:val="769A6E70"/>
    <w:rsid w:val="769BAC9C"/>
    <w:rsid w:val="769BB3F2"/>
    <w:rsid w:val="769C0D3F"/>
    <w:rsid w:val="769CE6C1"/>
    <w:rsid w:val="769E015F"/>
    <w:rsid w:val="769E8D7A"/>
    <w:rsid w:val="76A004BE"/>
    <w:rsid w:val="76A009E4"/>
    <w:rsid w:val="76A05E8B"/>
    <w:rsid w:val="76A143F6"/>
    <w:rsid w:val="76A217BD"/>
    <w:rsid w:val="76A25318"/>
    <w:rsid w:val="76A3A9E2"/>
    <w:rsid w:val="76A5F13E"/>
    <w:rsid w:val="76A98094"/>
    <w:rsid w:val="76ACABEB"/>
    <w:rsid w:val="76AECF69"/>
    <w:rsid w:val="76AFB613"/>
    <w:rsid w:val="76B11CD2"/>
    <w:rsid w:val="76B12847"/>
    <w:rsid w:val="76B1C072"/>
    <w:rsid w:val="76B23D58"/>
    <w:rsid w:val="76B2BC6D"/>
    <w:rsid w:val="76B307EE"/>
    <w:rsid w:val="76B3F45A"/>
    <w:rsid w:val="76B49ED3"/>
    <w:rsid w:val="76B63BA4"/>
    <w:rsid w:val="76B66F50"/>
    <w:rsid w:val="76B861B2"/>
    <w:rsid w:val="76B8D799"/>
    <w:rsid w:val="76BA17EC"/>
    <w:rsid w:val="76BA22D6"/>
    <w:rsid w:val="76BAFF41"/>
    <w:rsid w:val="76BB026D"/>
    <w:rsid w:val="76BBC906"/>
    <w:rsid w:val="76BEB83D"/>
    <w:rsid w:val="76BF5EFF"/>
    <w:rsid w:val="76BF8DD8"/>
    <w:rsid w:val="76C01974"/>
    <w:rsid w:val="76C62290"/>
    <w:rsid w:val="76C7A5A8"/>
    <w:rsid w:val="76CCA9F0"/>
    <w:rsid w:val="76CCD3BB"/>
    <w:rsid w:val="76CF937A"/>
    <w:rsid w:val="76D0A34A"/>
    <w:rsid w:val="76D49C0E"/>
    <w:rsid w:val="76D4D315"/>
    <w:rsid w:val="76D71FD6"/>
    <w:rsid w:val="76D7C08D"/>
    <w:rsid w:val="76D7C454"/>
    <w:rsid w:val="76D86BD4"/>
    <w:rsid w:val="76D89BA8"/>
    <w:rsid w:val="76DB98E1"/>
    <w:rsid w:val="76DC2175"/>
    <w:rsid w:val="76DCAA6D"/>
    <w:rsid w:val="76DCD97A"/>
    <w:rsid w:val="76DCDD08"/>
    <w:rsid w:val="76DE3DCD"/>
    <w:rsid w:val="76E12356"/>
    <w:rsid w:val="76E15F11"/>
    <w:rsid w:val="76E4DE04"/>
    <w:rsid w:val="76E6F619"/>
    <w:rsid w:val="76E802C7"/>
    <w:rsid w:val="76E84B89"/>
    <w:rsid w:val="76EA13D1"/>
    <w:rsid w:val="76EC3F37"/>
    <w:rsid w:val="76EC4B62"/>
    <w:rsid w:val="76F2BB97"/>
    <w:rsid w:val="76F54BEA"/>
    <w:rsid w:val="76F5701E"/>
    <w:rsid w:val="76F604D8"/>
    <w:rsid w:val="76F61CD7"/>
    <w:rsid w:val="76F7506E"/>
    <w:rsid w:val="76F761D6"/>
    <w:rsid w:val="76F91A97"/>
    <w:rsid w:val="76F9C391"/>
    <w:rsid w:val="76FB6769"/>
    <w:rsid w:val="76FC39E5"/>
    <w:rsid w:val="76FC81F4"/>
    <w:rsid w:val="76FD4D3F"/>
    <w:rsid w:val="76FED23F"/>
    <w:rsid w:val="76FF02C1"/>
    <w:rsid w:val="77000A4D"/>
    <w:rsid w:val="77054A7C"/>
    <w:rsid w:val="77075D4B"/>
    <w:rsid w:val="77091B3C"/>
    <w:rsid w:val="770BCF69"/>
    <w:rsid w:val="770F33F6"/>
    <w:rsid w:val="770FCAB3"/>
    <w:rsid w:val="7711A4E8"/>
    <w:rsid w:val="7714BE70"/>
    <w:rsid w:val="77180078"/>
    <w:rsid w:val="771DDA9E"/>
    <w:rsid w:val="771E5F73"/>
    <w:rsid w:val="771F9738"/>
    <w:rsid w:val="77214C41"/>
    <w:rsid w:val="77223B7B"/>
    <w:rsid w:val="77239626"/>
    <w:rsid w:val="77250344"/>
    <w:rsid w:val="77256540"/>
    <w:rsid w:val="772669EE"/>
    <w:rsid w:val="7727CDF2"/>
    <w:rsid w:val="77297118"/>
    <w:rsid w:val="7729B431"/>
    <w:rsid w:val="772A074A"/>
    <w:rsid w:val="772A749C"/>
    <w:rsid w:val="772B2105"/>
    <w:rsid w:val="772BBE21"/>
    <w:rsid w:val="772D5910"/>
    <w:rsid w:val="772E3225"/>
    <w:rsid w:val="773374C1"/>
    <w:rsid w:val="77341539"/>
    <w:rsid w:val="7737EAEA"/>
    <w:rsid w:val="77385CBD"/>
    <w:rsid w:val="773895F0"/>
    <w:rsid w:val="7739C672"/>
    <w:rsid w:val="773A34F4"/>
    <w:rsid w:val="773A86D1"/>
    <w:rsid w:val="773B005A"/>
    <w:rsid w:val="773B2C72"/>
    <w:rsid w:val="773C2774"/>
    <w:rsid w:val="773EC0F0"/>
    <w:rsid w:val="774145F5"/>
    <w:rsid w:val="77417CD8"/>
    <w:rsid w:val="7741C952"/>
    <w:rsid w:val="7742A16C"/>
    <w:rsid w:val="77430597"/>
    <w:rsid w:val="77434F2A"/>
    <w:rsid w:val="77436CFE"/>
    <w:rsid w:val="774410C5"/>
    <w:rsid w:val="7744BB24"/>
    <w:rsid w:val="7745A53D"/>
    <w:rsid w:val="77478DDB"/>
    <w:rsid w:val="7748AE47"/>
    <w:rsid w:val="77498C44"/>
    <w:rsid w:val="774CC3CC"/>
    <w:rsid w:val="774DFC64"/>
    <w:rsid w:val="77526601"/>
    <w:rsid w:val="77563856"/>
    <w:rsid w:val="77588571"/>
    <w:rsid w:val="77593384"/>
    <w:rsid w:val="775A69EC"/>
    <w:rsid w:val="775A6F27"/>
    <w:rsid w:val="775AB886"/>
    <w:rsid w:val="775CA701"/>
    <w:rsid w:val="775FC164"/>
    <w:rsid w:val="7762A927"/>
    <w:rsid w:val="7763E2A2"/>
    <w:rsid w:val="77640884"/>
    <w:rsid w:val="77644136"/>
    <w:rsid w:val="77645C05"/>
    <w:rsid w:val="7764A502"/>
    <w:rsid w:val="77670FBB"/>
    <w:rsid w:val="7767D8D1"/>
    <w:rsid w:val="77683BAA"/>
    <w:rsid w:val="776A21F7"/>
    <w:rsid w:val="776B6978"/>
    <w:rsid w:val="776B6D31"/>
    <w:rsid w:val="776B8B26"/>
    <w:rsid w:val="776D6BFB"/>
    <w:rsid w:val="776D8361"/>
    <w:rsid w:val="776E46A3"/>
    <w:rsid w:val="776E7267"/>
    <w:rsid w:val="776EAFEB"/>
    <w:rsid w:val="7771DC8F"/>
    <w:rsid w:val="77727EFD"/>
    <w:rsid w:val="7776BEBF"/>
    <w:rsid w:val="7776F553"/>
    <w:rsid w:val="7777726B"/>
    <w:rsid w:val="77798BAC"/>
    <w:rsid w:val="77799047"/>
    <w:rsid w:val="777A7642"/>
    <w:rsid w:val="777B47C4"/>
    <w:rsid w:val="777BE4FF"/>
    <w:rsid w:val="777C30B6"/>
    <w:rsid w:val="777D86A4"/>
    <w:rsid w:val="777DEE6B"/>
    <w:rsid w:val="777E45CF"/>
    <w:rsid w:val="777E8347"/>
    <w:rsid w:val="777FBBCA"/>
    <w:rsid w:val="77800E08"/>
    <w:rsid w:val="77806D2C"/>
    <w:rsid w:val="77812D74"/>
    <w:rsid w:val="77829660"/>
    <w:rsid w:val="778414CE"/>
    <w:rsid w:val="778692C8"/>
    <w:rsid w:val="77891BE5"/>
    <w:rsid w:val="778976F5"/>
    <w:rsid w:val="7789DDAE"/>
    <w:rsid w:val="7789FFB8"/>
    <w:rsid w:val="778B1FBE"/>
    <w:rsid w:val="778BA3D9"/>
    <w:rsid w:val="778D53DE"/>
    <w:rsid w:val="778E05EF"/>
    <w:rsid w:val="77903F0E"/>
    <w:rsid w:val="7790F487"/>
    <w:rsid w:val="7791D5AA"/>
    <w:rsid w:val="7792CA71"/>
    <w:rsid w:val="77954AAC"/>
    <w:rsid w:val="7795F96E"/>
    <w:rsid w:val="779974BF"/>
    <w:rsid w:val="7799E8A2"/>
    <w:rsid w:val="779B970C"/>
    <w:rsid w:val="779C880B"/>
    <w:rsid w:val="779D03A9"/>
    <w:rsid w:val="779E28CE"/>
    <w:rsid w:val="779EE54F"/>
    <w:rsid w:val="77A02E01"/>
    <w:rsid w:val="77A1C690"/>
    <w:rsid w:val="77A832CC"/>
    <w:rsid w:val="77A86031"/>
    <w:rsid w:val="77A8E681"/>
    <w:rsid w:val="77AB15E7"/>
    <w:rsid w:val="77ACF942"/>
    <w:rsid w:val="77AD9985"/>
    <w:rsid w:val="77B16F7A"/>
    <w:rsid w:val="77B2FB86"/>
    <w:rsid w:val="77B81DCD"/>
    <w:rsid w:val="77B8A928"/>
    <w:rsid w:val="77BC3A98"/>
    <w:rsid w:val="77BCB9E3"/>
    <w:rsid w:val="77BE6D3F"/>
    <w:rsid w:val="77C20159"/>
    <w:rsid w:val="77C22915"/>
    <w:rsid w:val="77C3A0FB"/>
    <w:rsid w:val="77C3AF6E"/>
    <w:rsid w:val="77C400DF"/>
    <w:rsid w:val="77C411EB"/>
    <w:rsid w:val="77C45EE4"/>
    <w:rsid w:val="77C4D046"/>
    <w:rsid w:val="77C54905"/>
    <w:rsid w:val="77C55E65"/>
    <w:rsid w:val="77CDF4ED"/>
    <w:rsid w:val="77D4F37A"/>
    <w:rsid w:val="77DE08CA"/>
    <w:rsid w:val="77DE79C2"/>
    <w:rsid w:val="77DF0D64"/>
    <w:rsid w:val="77E09300"/>
    <w:rsid w:val="77E0E27E"/>
    <w:rsid w:val="77E1A621"/>
    <w:rsid w:val="77E1CE57"/>
    <w:rsid w:val="77E446B5"/>
    <w:rsid w:val="77E46929"/>
    <w:rsid w:val="77E5A8EB"/>
    <w:rsid w:val="77E81F58"/>
    <w:rsid w:val="77EE24EA"/>
    <w:rsid w:val="77EF40A1"/>
    <w:rsid w:val="77F04DD9"/>
    <w:rsid w:val="77F1ED45"/>
    <w:rsid w:val="77F1F39B"/>
    <w:rsid w:val="77F1FF08"/>
    <w:rsid w:val="77F4E8A8"/>
    <w:rsid w:val="77F4FE2B"/>
    <w:rsid w:val="77F77C01"/>
    <w:rsid w:val="77F8A015"/>
    <w:rsid w:val="77FAEABF"/>
    <w:rsid w:val="77FB218D"/>
    <w:rsid w:val="77FBA09E"/>
    <w:rsid w:val="77FFAF4F"/>
    <w:rsid w:val="7801E6E9"/>
    <w:rsid w:val="7802394D"/>
    <w:rsid w:val="78051A98"/>
    <w:rsid w:val="780546FD"/>
    <w:rsid w:val="78062B23"/>
    <w:rsid w:val="780781A5"/>
    <w:rsid w:val="78079255"/>
    <w:rsid w:val="780A3604"/>
    <w:rsid w:val="780B211D"/>
    <w:rsid w:val="780B4C4E"/>
    <w:rsid w:val="780B53D5"/>
    <w:rsid w:val="780BAE97"/>
    <w:rsid w:val="780C9A87"/>
    <w:rsid w:val="780E4B0E"/>
    <w:rsid w:val="780E65A1"/>
    <w:rsid w:val="780EEB53"/>
    <w:rsid w:val="780F1652"/>
    <w:rsid w:val="7810D2E2"/>
    <w:rsid w:val="7811ED72"/>
    <w:rsid w:val="78122136"/>
    <w:rsid w:val="7812D45C"/>
    <w:rsid w:val="78133CF8"/>
    <w:rsid w:val="78138C53"/>
    <w:rsid w:val="78152F9B"/>
    <w:rsid w:val="78165133"/>
    <w:rsid w:val="7817C367"/>
    <w:rsid w:val="781AB98C"/>
    <w:rsid w:val="781AF830"/>
    <w:rsid w:val="781B7B03"/>
    <w:rsid w:val="781DA298"/>
    <w:rsid w:val="781E287D"/>
    <w:rsid w:val="781F6A23"/>
    <w:rsid w:val="781F9EA1"/>
    <w:rsid w:val="7820A2F3"/>
    <w:rsid w:val="7820A71C"/>
    <w:rsid w:val="782102D6"/>
    <w:rsid w:val="7821A2D1"/>
    <w:rsid w:val="782260AE"/>
    <w:rsid w:val="78245532"/>
    <w:rsid w:val="782952CD"/>
    <w:rsid w:val="782D14CC"/>
    <w:rsid w:val="782D7212"/>
    <w:rsid w:val="782DD3FD"/>
    <w:rsid w:val="782E5BF3"/>
    <w:rsid w:val="782ED589"/>
    <w:rsid w:val="7830E631"/>
    <w:rsid w:val="7833C9E9"/>
    <w:rsid w:val="7835F3ED"/>
    <w:rsid w:val="783607B9"/>
    <w:rsid w:val="7838E9D1"/>
    <w:rsid w:val="78407E0C"/>
    <w:rsid w:val="78416BDC"/>
    <w:rsid w:val="7842EA20"/>
    <w:rsid w:val="7842ED75"/>
    <w:rsid w:val="7846D997"/>
    <w:rsid w:val="7847A3E0"/>
    <w:rsid w:val="78484F29"/>
    <w:rsid w:val="784B3C3B"/>
    <w:rsid w:val="784DC67E"/>
    <w:rsid w:val="784E4423"/>
    <w:rsid w:val="7851A674"/>
    <w:rsid w:val="78524DF2"/>
    <w:rsid w:val="7852FB3D"/>
    <w:rsid w:val="78539335"/>
    <w:rsid w:val="7854FFFD"/>
    <w:rsid w:val="7855C74D"/>
    <w:rsid w:val="78567D2E"/>
    <w:rsid w:val="78568D19"/>
    <w:rsid w:val="785752AF"/>
    <w:rsid w:val="7857DFC2"/>
    <w:rsid w:val="78580941"/>
    <w:rsid w:val="78580DD5"/>
    <w:rsid w:val="7858BD9E"/>
    <w:rsid w:val="785AFA5A"/>
    <w:rsid w:val="785B696D"/>
    <w:rsid w:val="785B8D26"/>
    <w:rsid w:val="785FE4A1"/>
    <w:rsid w:val="78630B73"/>
    <w:rsid w:val="7867F6CD"/>
    <w:rsid w:val="7869382E"/>
    <w:rsid w:val="7869EA6A"/>
    <w:rsid w:val="786C708D"/>
    <w:rsid w:val="786D1D86"/>
    <w:rsid w:val="786E685C"/>
    <w:rsid w:val="786EEDF2"/>
    <w:rsid w:val="786F026D"/>
    <w:rsid w:val="7876F019"/>
    <w:rsid w:val="787AA50F"/>
    <w:rsid w:val="787D01C9"/>
    <w:rsid w:val="787F660F"/>
    <w:rsid w:val="7880401A"/>
    <w:rsid w:val="7880D478"/>
    <w:rsid w:val="78837BBA"/>
    <w:rsid w:val="78872C40"/>
    <w:rsid w:val="788BC74C"/>
    <w:rsid w:val="788D367B"/>
    <w:rsid w:val="7890FF5F"/>
    <w:rsid w:val="78955462"/>
    <w:rsid w:val="7895D255"/>
    <w:rsid w:val="789C9D66"/>
    <w:rsid w:val="789E634D"/>
    <w:rsid w:val="78A02C33"/>
    <w:rsid w:val="78A0DAB9"/>
    <w:rsid w:val="78A142A1"/>
    <w:rsid w:val="78A21823"/>
    <w:rsid w:val="78A285DA"/>
    <w:rsid w:val="78A3119B"/>
    <w:rsid w:val="78A73FF8"/>
    <w:rsid w:val="78A8F5D2"/>
    <w:rsid w:val="78AB902A"/>
    <w:rsid w:val="78AE0319"/>
    <w:rsid w:val="78AFF67B"/>
    <w:rsid w:val="78B1C030"/>
    <w:rsid w:val="78B1C491"/>
    <w:rsid w:val="78B25321"/>
    <w:rsid w:val="78B5789B"/>
    <w:rsid w:val="78B66135"/>
    <w:rsid w:val="78B69D41"/>
    <w:rsid w:val="78B75AE2"/>
    <w:rsid w:val="78B90776"/>
    <w:rsid w:val="78B9D373"/>
    <w:rsid w:val="78BC267F"/>
    <w:rsid w:val="78BD47B9"/>
    <w:rsid w:val="78BDBB9B"/>
    <w:rsid w:val="78BF285F"/>
    <w:rsid w:val="78C115C7"/>
    <w:rsid w:val="78C132A2"/>
    <w:rsid w:val="78C1DDC9"/>
    <w:rsid w:val="78C2AB60"/>
    <w:rsid w:val="78C3636D"/>
    <w:rsid w:val="78C39FE5"/>
    <w:rsid w:val="78C719C9"/>
    <w:rsid w:val="78CB494D"/>
    <w:rsid w:val="78CB6AE3"/>
    <w:rsid w:val="78CBA8BF"/>
    <w:rsid w:val="78CCBA80"/>
    <w:rsid w:val="78D0D805"/>
    <w:rsid w:val="78D15B2A"/>
    <w:rsid w:val="78D24EFF"/>
    <w:rsid w:val="78D49967"/>
    <w:rsid w:val="78D5B08C"/>
    <w:rsid w:val="78D61A44"/>
    <w:rsid w:val="78D6CCC1"/>
    <w:rsid w:val="78D6FB06"/>
    <w:rsid w:val="78D78A48"/>
    <w:rsid w:val="78D86C8E"/>
    <w:rsid w:val="78D91163"/>
    <w:rsid w:val="78D93964"/>
    <w:rsid w:val="78DAE3E2"/>
    <w:rsid w:val="78DB781C"/>
    <w:rsid w:val="78DE7838"/>
    <w:rsid w:val="78DFF8F8"/>
    <w:rsid w:val="78E07BB0"/>
    <w:rsid w:val="78E24560"/>
    <w:rsid w:val="78E54446"/>
    <w:rsid w:val="78E6A534"/>
    <w:rsid w:val="78E7FA33"/>
    <w:rsid w:val="78EA2E2E"/>
    <w:rsid w:val="78ED00DA"/>
    <w:rsid w:val="78EE23A1"/>
    <w:rsid w:val="78F0171A"/>
    <w:rsid w:val="78F152ED"/>
    <w:rsid w:val="78F1D19A"/>
    <w:rsid w:val="78F59F23"/>
    <w:rsid w:val="78F5D589"/>
    <w:rsid w:val="78F6A392"/>
    <w:rsid w:val="78F6E7BC"/>
    <w:rsid w:val="78F76FAE"/>
    <w:rsid w:val="78FA3FCA"/>
    <w:rsid w:val="78FB3DDF"/>
    <w:rsid w:val="78FC177B"/>
    <w:rsid w:val="78FDDFDB"/>
    <w:rsid w:val="78FE72DD"/>
    <w:rsid w:val="79005E8B"/>
    <w:rsid w:val="79011931"/>
    <w:rsid w:val="790463A7"/>
    <w:rsid w:val="7906EE51"/>
    <w:rsid w:val="79084B10"/>
    <w:rsid w:val="790BE25A"/>
    <w:rsid w:val="790C3BFC"/>
    <w:rsid w:val="790CBDEA"/>
    <w:rsid w:val="790DC5F0"/>
    <w:rsid w:val="79106FE8"/>
    <w:rsid w:val="79171C03"/>
    <w:rsid w:val="79173D92"/>
    <w:rsid w:val="79175B89"/>
    <w:rsid w:val="7918B1B8"/>
    <w:rsid w:val="7918D55C"/>
    <w:rsid w:val="79197E9C"/>
    <w:rsid w:val="79199672"/>
    <w:rsid w:val="791E88D6"/>
    <w:rsid w:val="7921FEBB"/>
    <w:rsid w:val="79221CD3"/>
    <w:rsid w:val="792267C4"/>
    <w:rsid w:val="79241878"/>
    <w:rsid w:val="7926569C"/>
    <w:rsid w:val="792700DB"/>
    <w:rsid w:val="792D85B6"/>
    <w:rsid w:val="792D8BE3"/>
    <w:rsid w:val="79302DE3"/>
    <w:rsid w:val="79342111"/>
    <w:rsid w:val="79352FFA"/>
    <w:rsid w:val="7936F7DA"/>
    <w:rsid w:val="7939588A"/>
    <w:rsid w:val="793AB9DD"/>
    <w:rsid w:val="793AC6B7"/>
    <w:rsid w:val="793C0847"/>
    <w:rsid w:val="793C0EFC"/>
    <w:rsid w:val="793C3212"/>
    <w:rsid w:val="793C76E1"/>
    <w:rsid w:val="793CF66F"/>
    <w:rsid w:val="794369BA"/>
    <w:rsid w:val="79443511"/>
    <w:rsid w:val="7944651C"/>
    <w:rsid w:val="7948EE6A"/>
    <w:rsid w:val="794A092F"/>
    <w:rsid w:val="794B48FC"/>
    <w:rsid w:val="794BCDE3"/>
    <w:rsid w:val="794DD039"/>
    <w:rsid w:val="794E0B73"/>
    <w:rsid w:val="7953A024"/>
    <w:rsid w:val="79546A8D"/>
    <w:rsid w:val="7956F874"/>
    <w:rsid w:val="7957513E"/>
    <w:rsid w:val="7957B2AA"/>
    <w:rsid w:val="79587F84"/>
    <w:rsid w:val="7959BCCB"/>
    <w:rsid w:val="795D4E03"/>
    <w:rsid w:val="795F2737"/>
    <w:rsid w:val="796218EC"/>
    <w:rsid w:val="79636DB3"/>
    <w:rsid w:val="796373BA"/>
    <w:rsid w:val="7964CDBB"/>
    <w:rsid w:val="796717F9"/>
    <w:rsid w:val="79680A5D"/>
    <w:rsid w:val="7968795E"/>
    <w:rsid w:val="796A1D3F"/>
    <w:rsid w:val="796A79D2"/>
    <w:rsid w:val="796B11A7"/>
    <w:rsid w:val="7970C560"/>
    <w:rsid w:val="7971012E"/>
    <w:rsid w:val="797150DC"/>
    <w:rsid w:val="7973EC7C"/>
    <w:rsid w:val="7973EEBA"/>
    <w:rsid w:val="79758BE0"/>
    <w:rsid w:val="797621AC"/>
    <w:rsid w:val="79768F36"/>
    <w:rsid w:val="79769831"/>
    <w:rsid w:val="7976CB4A"/>
    <w:rsid w:val="79778778"/>
    <w:rsid w:val="79811DF7"/>
    <w:rsid w:val="7981B82B"/>
    <w:rsid w:val="79824956"/>
    <w:rsid w:val="7983A047"/>
    <w:rsid w:val="79844DFB"/>
    <w:rsid w:val="7984C8D9"/>
    <w:rsid w:val="798623EF"/>
    <w:rsid w:val="79862582"/>
    <w:rsid w:val="798646BC"/>
    <w:rsid w:val="79866FC1"/>
    <w:rsid w:val="7987258E"/>
    <w:rsid w:val="798782A0"/>
    <w:rsid w:val="7989AA20"/>
    <w:rsid w:val="798B64B9"/>
    <w:rsid w:val="798C1083"/>
    <w:rsid w:val="798EFEB5"/>
    <w:rsid w:val="798FC9B2"/>
    <w:rsid w:val="7990F691"/>
    <w:rsid w:val="7993D373"/>
    <w:rsid w:val="79947C8F"/>
    <w:rsid w:val="7994C7E1"/>
    <w:rsid w:val="7995E5CC"/>
    <w:rsid w:val="79968A95"/>
    <w:rsid w:val="799732E1"/>
    <w:rsid w:val="799BD3E6"/>
    <w:rsid w:val="799CD072"/>
    <w:rsid w:val="79A0182B"/>
    <w:rsid w:val="79A0EA6E"/>
    <w:rsid w:val="79A262FF"/>
    <w:rsid w:val="79A2ED7E"/>
    <w:rsid w:val="79A4570A"/>
    <w:rsid w:val="79A559CF"/>
    <w:rsid w:val="79A6EEA3"/>
    <w:rsid w:val="79AB1128"/>
    <w:rsid w:val="79AC51A7"/>
    <w:rsid w:val="79AEB6D7"/>
    <w:rsid w:val="79AF9416"/>
    <w:rsid w:val="79B2B399"/>
    <w:rsid w:val="79B3DF71"/>
    <w:rsid w:val="79B4D60A"/>
    <w:rsid w:val="79B7635B"/>
    <w:rsid w:val="79BD5358"/>
    <w:rsid w:val="79BD5C21"/>
    <w:rsid w:val="79BDAE30"/>
    <w:rsid w:val="79BEB721"/>
    <w:rsid w:val="79BF5786"/>
    <w:rsid w:val="79BFC9CB"/>
    <w:rsid w:val="79C0AEB7"/>
    <w:rsid w:val="79C2829D"/>
    <w:rsid w:val="79C31F8B"/>
    <w:rsid w:val="79C438F2"/>
    <w:rsid w:val="79CB5ABC"/>
    <w:rsid w:val="79CEF047"/>
    <w:rsid w:val="79D36461"/>
    <w:rsid w:val="79D4A6C3"/>
    <w:rsid w:val="79D4E639"/>
    <w:rsid w:val="79D5BE65"/>
    <w:rsid w:val="79D7F8E4"/>
    <w:rsid w:val="79DE63A3"/>
    <w:rsid w:val="79DEFFBC"/>
    <w:rsid w:val="79DF2647"/>
    <w:rsid w:val="79E25AF9"/>
    <w:rsid w:val="79E2D809"/>
    <w:rsid w:val="79ECD3A5"/>
    <w:rsid w:val="79EDE0F8"/>
    <w:rsid w:val="79F07FB5"/>
    <w:rsid w:val="79F5057D"/>
    <w:rsid w:val="79FB94E7"/>
    <w:rsid w:val="7A005A18"/>
    <w:rsid w:val="7A0264C2"/>
    <w:rsid w:val="7A088B33"/>
    <w:rsid w:val="7A0BF78A"/>
    <w:rsid w:val="7A0C2205"/>
    <w:rsid w:val="7A0D8690"/>
    <w:rsid w:val="7A0F10EB"/>
    <w:rsid w:val="7A0F83C2"/>
    <w:rsid w:val="7A10CF4E"/>
    <w:rsid w:val="7A12BE81"/>
    <w:rsid w:val="7A131DF2"/>
    <w:rsid w:val="7A13215D"/>
    <w:rsid w:val="7A141FB0"/>
    <w:rsid w:val="7A150842"/>
    <w:rsid w:val="7A167676"/>
    <w:rsid w:val="7A1764FA"/>
    <w:rsid w:val="7A189659"/>
    <w:rsid w:val="7A1908B1"/>
    <w:rsid w:val="7A1E9D3F"/>
    <w:rsid w:val="7A22B5BB"/>
    <w:rsid w:val="7A23701E"/>
    <w:rsid w:val="7A23F693"/>
    <w:rsid w:val="7A285706"/>
    <w:rsid w:val="7A2C4D96"/>
    <w:rsid w:val="7A2D0FE3"/>
    <w:rsid w:val="7A2DDECD"/>
    <w:rsid w:val="7A2EFE6E"/>
    <w:rsid w:val="7A3067DB"/>
    <w:rsid w:val="7A3DB2A3"/>
    <w:rsid w:val="7A3F9E68"/>
    <w:rsid w:val="7A408D98"/>
    <w:rsid w:val="7A40DF9C"/>
    <w:rsid w:val="7A443069"/>
    <w:rsid w:val="7A44795F"/>
    <w:rsid w:val="7A459FF5"/>
    <w:rsid w:val="7A477B33"/>
    <w:rsid w:val="7A483E41"/>
    <w:rsid w:val="7A4BF4D8"/>
    <w:rsid w:val="7A4C06BF"/>
    <w:rsid w:val="7A4C7FF0"/>
    <w:rsid w:val="7A4E8F1D"/>
    <w:rsid w:val="7A4FB116"/>
    <w:rsid w:val="7A52CB05"/>
    <w:rsid w:val="7A52F1E3"/>
    <w:rsid w:val="7A52F421"/>
    <w:rsid w:val="7A537A48"/>
    <w:rsid w:val="7A54B504"/>
    <w:rsid w:val="7A5623E5"/>
    <w:rsid w:val="7A58ED03"/>
    <w:rsid w:val="7A5CCF74"/>
    <w:rsid w:val="7A5D5960"/>
    <w:rsid w:val="7A5DB38E"/>
    <w:rsid w:val="7A5ED74D"/>
    <w:rsid w:val="7A5F5791"/>
    <w:rsid w:val="7A631E2B"/>
    <w:rsid w:val="7A63457B"/>
    <w:rsid w:val="7A67C4FF"/>
    <w:rsid w:val="7A6800E8"/>
    <w:rsid w:val="7A683EF0"/>
    <w:rsid w:val="7A68BA1A"/>
    <w:rsid w:val="7A68BBDA"/>
    <w:rsid w:val="7A6A8FFE"/>
    <w:rsid w:val="7A6E1D2D"/>
    <w:rsid w:val="7A6ED70C"/>
    <w:rsid w:val="7A6F25E6"/>
    <w:rsid w:val="7A71B3F3"/>
    <w:rsid w:val="7A72231C"/>
    <w:rsid w:val="7A7279A8"/>
    <w:rsid w:val="7A747E2E"/>
    <w:rsid w:val="7A77D653"/>
    <w:rsid w:val="7A78E6F2"/>
    <w:rsid w:val="7A7AC71C"/>
    <w:rsid w:val="7A7B3803"/>
    <w:rsid w:val="7A7D5178"/>
    <w:rsid w:val="7A81D755"/>
    <w:rsid w:val="7A84277B"/>
    <w:rsid w:val="7A84F8AB"/>
    <w:rsid w:val="7A8631CF"/>
    <w:rsid w:val="7A868613"/>
    <w:rsid w:val="7A878C94"/>
    <w:rsid w:val="7A894CBE"/>
    <w:rsid w:val="7A8C90E9"/>
    <w:rsid w:val="7A8DC0E5"/>
    <w:rsid w:val="7A96102B"/>
    <w:rsid w:val="7A967961"/>
    <w:rsid w:val="7A991025"/>
    <w:rsid w:val="7A9A2BCF"/>
    <w:rsid w:val="7A9A63D5"/>
    <w:rsid w:val="7A9AD624"/>
    <w:rsid w:val="7A9B5706"/>
    <w:rsid w:val="7A9C04D3"/>
    <w:rsid w:val="7AA15457"/>
    <w:rsid w:val="7AA2C46E"/>
    <w:rsid w:val="7AA35DD0"/>
    <w:rsid w:val="7AA3B6F7"/>
    <w:rsid w:val="7AA47913"/>
    <w:rsid w:val="7AA76EAB"/>
    <w:rsid w:val="7AA7805D"/>
    <w:rsid w:val="7AA8CF1F"/>
    <w:rsid w:val="7AA9A90F"/>
    <w:rsid w:val="7AAC9F43"/>
    <w:rsid w:val="7AAE49E4"/>
    <w:rsid w:val="7AAEF7ED"/>
    <w:rsid w:val="7AAF48B2"/>
    <w:rsid w:val="7AAF4A7D"/>
    <w:rsid w:val="7AAF4D7C"/>
    <w:rsid w:val="7AB04966"/>
    <w:rsid w:val="7AB59668"/>
    <w:rsid w:val="7AB728A5"/>
    <w:rsid w:val="7AB7BBA8"/>
    <w:rsid w:val="7AB7F7C6"/>
    <w:rsid w:val="7AB8CE36"/>
    <w:rsid w:val="7AB9BC1E"/>
    <w:rsid w:val="7ABDB8FD"/>
    <w:rsid w:val="7AC07C59"/>
    <w:rsid w:val="7AC0B9CB"/>
    <w:rsid w:val="7AC196FB"/>
    <w:rsid w:val="7AC1D2F2"/>
    <w:rsid w:val="7AC469BE"/>
    <w:rsid w:val="7AC63021"/>
    <w:rsid w:val="7AC822C7"/>
    <w:rsid w:val="7AC89483"/>
    <w:rsid w:val="7ACB53E3"/>
    <w:rsid w:val="7ACBB101"/>
    <w:rsid w:val="7ACE5361"/>
    <w:rsid w:val="7ACF2483"/>
    <w:rsid w:val="7ACFD91D"/>
    <w:rsid w:val="7AD1D9A2"/>
    <w:rsid w:val="7AD1EECD"/>
    <w:rsid w:val="7AD2239C"/>
    <w:rsid w:val="7AD6EBB0"/>
    <w:rsid w:val="7AD79EA0"/>
    <w:rsid w:val="7AD85470"/>
    <w:rsid w:val="7AD865C5"/>
    <w:rsid w:val="7AD9B212"/>
    <w:rsid w:val="7AD9F9CB"/>
    <w:rsid w:val="7ADAA723"/>
    <w:rsid w:val="7ADAE945"/>
    <w:rsid w:val="7ADBC633"/>
    <w:rsid w:val="7ADFE71E"/>
    <w:rsid w:val="7AE3440C"/>
    <w:rsid w:val="7AE8E3BE"/>
    <w:rsid w:val="7AEA22E7"/>
    <w:rsid w:val="7AEBB2E9"/>
    <w:rsid w:val="7AEFFA96"/>
    <w:rsid w:val="7AF1B33A"/>
    <w:rsid w:val="7AF3C908"/>
    <w:rsid w:val="7AF65228"/>
    <w:rsid w:val="7AFE6926"/>
    <w:rsid w:val="7AFF1640"/>
    <w:rsid w:val="7AFFBF54"/>
    <w:rsid w:val="7B018EFF"/>
    <w:rsid w:val="7B03FF5E"/>
    <w:rsid w:val="7B048CE8"/>
    <w:rsid w:val="7B05F806"/>
    <w:rsid w:val="7B0C7D26"/>
    <w:rsid w:val="7B0E59F1"/>
    <w:rsid w:val="7B12592D"/>
    <w:rsid w:val="7B155C12"/>
    <w:rsid w:val="7B192EF3"/>
    <w:rsid w:val="7B19FE6C"/>
    <w:rsid w:val="7B1D2382"/>
    <w:rsid w:val="7B1F23E8"/>
    <w:rsid w:val="7B1FC01A"/>
    <w:rsid w:val="7B215B82"/>
    <w:rsid w:val="7B225823"/>
    <w:rsid w:val="7B238151"/>
    <w:rsid w:val="7B2B23D0"/>
    <w:rsid w:val="7B2D3F76"/>
    <w:rsid w:val="7B2EABB2"/>
    <w:rsid w:val="7B33949C"/>
    <w:rsid w:val="7B34AF6D"/>
    <w:rsid w:val="7B36CF3C"/>
    <w:rsid w:val="7B380D21"/>
    <w:rsid w:val="7B39589D"/>
    <w:rsid w:val="7B39A747"/>
    <w:rsid w:val="7B3D78C4"/>
    <w:rsid w:val="7B3F6DA4"/>
    <w:rsid w:val="7B40E6AD"/>
    <w:rsid w:val="7B41AF4F"/>
    <w:rsid w:val="7B42F8CD"/>
    <w:rsid w:val="7B436D75"/>
    <w:rsid w:val="7B4436CA"/>
    <w:rsid w:val="7B444966"/>
    <w:rsid w:val="7B44F8D2"/>
    <w:rsid w:val="7B46D81D"/>
    <w:rsid w:val="7B46E573"/>
    <w:rsid w:val="7B475D43"/>
    <w:rsid w:val="7B482208"/>
    <w:rsid w:val="7B49A010"/>
    <w:rsid w:val="7B49AE13"/>
    <w:rsid w:val="7B4B2662"/>
    <w:rsid w:val="7B4B9755"/>
    <w:rsid w:val="7B4BB9DD"/>
    <w:rsid w:val="7B4C4CEF"/>
    <w:rsid w:val="7B4E7C10"/>
    <w:rsid w:val="7B5090A7"/>
    <w:rsid w:val="7B5117A2"/>
    <w:rsid w:val="7B51E52E"/>
    <w:rsid w:val="7B51E57E"/>
    <w:rsid w:val="7B52C18A"/>
    <w:rsid w:val="7B533BFD"/>
    <w:rsid w:val="7B53C769"/>
    <w:rsid w:val="7B54F030"/>
    <w:rsid w:val="7B59CF47"/>
    <w:rsid w:val="7B5A0D63"/>
    <w:rsid w:val="7B5A3BF1"/>
    <w:rsid w:val="7B5A42C0"/>
    <w:rsid w:val="7B5AF97B"/>
    <w:rsid w:val="7B5B2BBD"/>
    <w:rsid w:val="7B5CEE5D"/>
    <w:rsid w:val="7B5F9242"/>
    <w:rsid w:val="7B61FAF0"/>
    <w:rsid w:val="7B62B20F"/>
    <w:rsid w:val="7B62BECB"/>
    <w:rsid w:val="7B633025"/>
    <w:rsid w:val="7B658C71"/>
    <w:rsid w:val="7B65BCA3"/>
    <w:rsid w:val="7B69908F"/>
    <w:rsid w:val="7B69D26B"/>
    <w:rsid w:val="7B6A6326"/>
    <w:rsid w:val="7B6AC3B0"/>
    <w:rsid w:val="7B6B0FB7"/>
    <w:rsid w:val="7B6BA135"/>
    <w:rsid w:val="7B6CCC21"/>
    <w:rsid w:val="7B6DB33A"/>
    <w:rsid w:val="7B6DD6FA"/>
    <w:rsid w:val="7B6DE2C0"/>
    <w:rsid w:val="7B6E0AA8"/>
    <w:rsid w:val="7B705DE5"/>
    <w:rsid w:val="7B717139"/>
    <w:rsid w:val="7B71D681"/>
    <w:rsid w:val="7B735F3F"/>
    <w:rsid w:val="7B73C945"/>
    <w:rsid w:val="7B7418D8"/>
    <w:rsid w:val="7B7746A9"/>
    <w:rsid w:val="7B789ACF"/>
    <w:rsid w:val="7B78A596"/>
    <w:rsid w:val="7B7985F1"/>
    <w:rsid w:val="7B7B851E"/>
    <w:rsid w:val="7B7E2D38"/>
    <w:rsid w:val="7B7F6C9F"/>
    <w:rsid w:val="7B7FBED8"/>
    <w:rsid w:val="7B8272FE"/>
    <w:rsid w:val="7B83C9D3"/>
    <w:rsid w:val="7B8515D1"/>
    <w:rsid w:val="7B8A421A"/>
    <w:rsid w:val="7B9060BC"/>
    <w:rsid w:val="7B91E2C4"/>
    <w:rsid w:val="7B923119"/>
    <w:rsid w:val="7B931F92"/>
    <w:rsid w:val="7B93B1B2"/>
    <w:rsid w:val="7B94FE28"/>
    <w:rsid w:val="7B9505F6"/>
    <w:rsid w:val="7B9554D8"/>
    <w:rsid w:val="7B96CC53"/>
    <w:rsid w:val="7B986B97"/>
    <w:rsid w:val="7B9886C3"/>
    <w:rsid w:val="7B999853"/>
    <w:rsid w:val="7B999F58"/>
    <w:rsid w:val="7B99A078"/>
    <w:rsid w:val="7B9A3A98"/>
    <w:rsid w:val="7B9AE4BF"/>
    <w:rsid w:val="7B9EB5E7"/>
    <w:rsid w:val="7B9EE0D5"/>
    <w:rsid w:val="7B9EEF9D"/>
    <w:rsid w:val="7BA28A49"/>
    <w:rsid w:val="7BA28E32"/>
    <w:rsid w:val="7BA5462E"/>
    <w:rsid w:val="7BA60C52"/>
    <w:rsid w:val="7BA71090"/>
    <w:rsid w:val="7BA820D1"/>
    <w:rsid w:val="7BA8B72C"/>
    <w:rsid w:val="7BAA560D"/>
    <w:rsid w:val="7BB0482B"/>
    <w:rsid w:val="7BB1AB6C"/>
    <w:rsid w:val="7BB42AB2"/>
    <w:rsid w:val="7BB6B7B9"/>
    <w:rsid w:val="7BB78045"/>
    <w:rsid w:val="7BBAE700"/>
    <w:rsid w:val="7BBAFD89"/>
    <w:rsid w:val="7BBE9F8F"/>
    <w:rsid w:val="7BC23331"/>
    <w:rsid w:val="7BC30EA8"/>
    <w:rsid w:val="7BC54949"/>
    <w:rsid w:val="7BC5C963"/>
    <w:rsid w:val="7BC7D741"/>
    <w:rsid w:val="7BC7EE48"/>
    <w:rsid w:val="7BC92C5A"/>
    <w:rsid w:val="7BC9363C"/>
    <w:rsid w:val="7BCB06E3"/>
    <w:rsid w:val="7BCBD858"/>
    <w:rsid w:val="7BCC58C9"/>
    <w:rsid w:val="7BCFC5D6"/>
    <w:rsid w:val="7BD00D37"/>
    <w:rsid w:val="7BD0C0AA"/>
    <w:rsid w:val="7BD12B18"/>
    <w:rsid w:val="7BD19CE5"/>
    <w:rsid w:val="7BD62F60"/>
    <w:rsid w:val="7BD69E00"/>
    <w:rsid w:val="7BD7D3C0"/>
    <w:rsid w:val="7BD8BD77"/>
    <w:rsid w:val="7BD9F64F"/>
    <w:rsid w:val="7BDB46CE"/>
    <w:rsid w:val="7BDBE152"/>
    <w:rsid w:val="7BDBF373"/>
    <w:rsid w:val="7BDE49C6"/>
    <w:rsid w:val="7BDF1403"/>
    <w:rsid w:val="7BE15FF8"/>
    <w:rsid w:val="7BE2646C"/>
    <w:rsid w:val="7BE4D827"/>
    <w:rsid w:val="7BE6F2D3"/>
    <w:rsid w:val="7BE8789A"/>
    <w:rsid w:val="7BE8DF66"/>
    <w:rsid w:val="7BE8E771"/>
    <w:rsid w:val="7BEA0522"/>
    <w:rsid w:val="7BEB5439"/>
    <w:rsid w:val="7BEC9089"/>
    <w:rsid w:val="7BECBEDB"/>
    <w:rsid w:val="7BECBF1F"/>
    <w:rsid w:val="7BED3FB9"/>
    <w:rsid w:val="7BED4A64"/>
    <w:rsid w:val="7BEE28F4"/>
    <w:rsid w:val="7BEE3140"/>
    <w:rsid w:val="7BEE3D91"/>
    <w:rsid w:val="7BEF5B1F"/>
    <w:rsid w:val="7BF08F9C"/>
    <w:rsid w:val="7BF19DD6"/>
    <w:rsid w:val="7BF40598"/>
    <w:rsid w:val="7BF4AE66"/>
    <w:rsid w:val="7BF521B8"/>
    <w:rsid w:val="7BF6F9C9"/>
    <w:rsid w:val="7BFA2230"/>
    <w:rsid w:val="7BFB0EE5"/>
    <w:rsid w:val="7BFB1020"/>
    <w:rsid w:val="7C00F94F"/>
    <w:rsid w:val="7C029F48"/>
    <w:rsid w:val="7C060E34"/>
    <w:rsid w:val="7C075673"/>
    <w:rsid w:val="7C08A1B0"/>
    <w:rsid w:val="7C0AE390"/>
    <w:rsid w:val="7C0C4FB0"/>
    <w:rsid w:val="7C0E5330"/>
    <w:rsid w:val="7C0E8990"/>
    <w:rsid w:val="7C100058"/>
    <w:rsid w:val="7C11C112"/>
    <w:rsid w:val="7C11E04A"/>
    <w:rsid w:val="7C14E230"/>
    <w:rsid w:val="7C1526FB"/>
    <w:rsid w:val="7C17B9D5"/>
    <w:rsid w:val="7C17D4B7"/>
    <w:rsid w:val="7C17EB67"/>
    <w:rsid w:val="7C1A8375"/>
    <w:rsid w:val="7C1AA2DD"/>
    <w:rsid w:val="7C1B447D"/>
    <w:rsid w:val="7C1BCB09"/>
    <w:rsid w:val="7C1C917A"/>
    <w:rsid w:val="7C1DC9B4"/>
    <w:rsid w:val="7C1FFE89"/>
    <w:rsid w:val="7C24A518"/>
    <w:rsid w:val="7C2A8FC9"/>
    <w:rsid w:val="7C2BE68D"/>
    <w:rsid w:val="7C2C131E"/>
    <w:rsid w:val="7C2D998E"/>
    <w:rsid w:val="7C305233"/>
    <w:rsid w:val="7C31E08C"/>
    <w:rsid w:val="7C338A99"/>
    <w:rsid w:val="7C33D8CA"/>
    <w:rsid w:val="7C36419E"/>
    <w:rsid w:val="7C36A78B"/>
    <w:rsid w:val="7C37A133"/>
    <w:rsid w:val="7C3823BB"/>
    <w:rsid w:val="7C397EBB"/>
    <w:rsid w:val="7C3AD776"/>
    <w:rsid w:val="7C3BF1F3"/>
    <w:rsid w:val="7C3BF691"/>
    <w:rsid w:val="7C3F9F31"/>
    <w:rsid w:val="7C40F054"/>
    <w:rsid w:val="7C439657"/>
    <w:rsid w:val="7C440996"/>
    <w:rsid w:val="7C445CE3"/>
    <w:rsid w:val="7C44EF4A"/>
    <w:rsid w:val="7C451ED2"/>
    <w:rsid w:val="7C4535A5"/>
    <w:rsid w:val="7C46E32E"/>
    <w:rsid w:val="7C475B9C"/>
    <w:rsid w:val="7C4A6186"/>
    <w:rsid w:val="7C4B20AB"/>
    <w:rsid w:val="7C4E2E4B"/>
    <w:rsid w:val="7C4E7269"/>
    <w:rsid w:val="7C4E97F2"/>
    <w:rsid w:val="7C53722F"/>
    <w:rsid w:val="7C54B2F9"/>
    <w:rsid w:val="7C54E267"/>
    <w:rsid w:val="7C59BD40"/>
    <w:rsid w:val="7C59FE96"/>
    <w:rsid w:val="7C5B5BF7"/>
    <w:rsid w:val="7C5C77D4"/>
    <w:rsid w:val="7C5CFE91"/>
    <w:rsid w:val="7C5F61A0"/>
    <w:rsid w:val="7C61CBC3"/>
    <w:rsid w:val="7C63E7C8"/>
    <w:rsid w:val="7C67DAD5"/>
    <w:rsid w:val="7C68EB99"/>
    <w:rsid w:val="7C6BC58D"/>
    <w:rsid w:val="7C6EFA2F"/>
    <w:rsid w:val="7C72BC11"/>
    <w:rsid w:val="7C72DD84"/>
    <w:rsid w:val="7C732A1B"/>
    <w:rsid w:val="7C74CAAB"/>
    <w:rsid w:val="7C75CD71"/>
    <w:rsid w:val="7C764CDB"/>
    <w:rsid w:val="7C770076"/>
    <w:rsid w:val="7C7A6A55"/>
    <w:rsid w:val="7C7BF6D4"/>
    <w:rsid w:val="7C7DEF84"/>
    <w:rsid w:val="7C7E6509"/>
    <w:rsid w:val="7C7EC7A1"/>
    <w:rsid w:val="7C833F2B"/>
    <w:rsid w:val="7C8379AD"/>
    <w:rsid w:val="7C83D101"/>
    <w:rsid w:val="7C83E900"/>
    <w:rsid w:val="7C847A34"/>
    <w:rsid w:val="7C84CBBE"/>
    <w:rsid w:val="7C8676D0"/>
    <w:rsid w:val="7C86DA57"/>
    <w:rsid w:val="7C879BF6"/>
    <w:rsid w:val="7C88102A"/>
    <w:rsid w:val="7C8ADF19"/>
    <w:rsid w:val="7C8E0C3B"/>
    <w:rsid w:val="7C92A036"/>
    <w:rsid w:val="7C92BB10"/>
    <w:rsid w:val="7C931ED2"/>
    <w:rsid w:val="7C95FDA5"/>
    <w:rsid w:val="7C96019D"/>
    <w:rsid w:val="7C962E21"/>
    <w:rsid w:val="7C97484B"/>
    <w:rsid w:val="7C9748F8"/>
    <w:rsid w:val="7C9750CE"/>
    <w:rsid w:val="7C97A64E"/>
    <w:rsid w:val="7C97C5EE"/>
    <w:rsid w:val="7C989F68"/>
    <w:rsid w:val="7C9939BC"/>
    <w:rsid w:val="7C996FF8"/>
    <w:rsid w:val="7C9A202F"/>
    <w:rsid w:val="7C9C4E14"/>
    <w:rsid w:val="7C9D10CE"/>
    <w:rsid w:val="7C9D4116"/>
    <w:rsid w:val="7C9E2372"/>
    <w:rsid w:val="7CA3265C"/>
    <w:rsid w:val="7CA45060"/>
    <w:rsid w:val="7CA4B340"/>
    <w:rsid w:val="7CA75D02"/>
    <w:rsid w:val="7CAAC21B"/>
    <w:rsid w:val="7CAAC525"/>
    <w:rsid w:val="7CAC6D69"/>
    <w:rsid w:val="7CAED906"/>
    <w:rsid w:val="7CB6E7FC"/>
    <w:rsid w:val="7CB89CF8"/>
    <w:rsid w:val="7CB8BFCC"/>
    <w:rsid w:val="7CBAFBD2"/>
    <w:rsid w:val="7CBD163A"/>
    <w:rsid w:val="7CBF5340"/>
    <w:rsid w:val="7CC0C9FF"/>
    <w:rsid w:val="7CC18415"/>
    <w:rsid w:val="7CC28295"/>
    <w:rsid w:val="7CC45444"/>
    <w:rsid w:val="7CC6C306"/>
    <w:rsid w:val="7CC79B29"/>
    <w:rsid w:val="7CC862CE"/>
    <w:rsid w:val="7CCDE58C"/>
    <w:rsid w:val="7CCF0128"/>
    <w:rsid w:val="7CD2F1B9"/>
    <w:rsid w:val="7CD56936"/>
    <w:rsid w:val="7CD6C8B4"/>
    <w:rsid w:val="7CD6ED86"/>
    <w:rsid w:val="7CD7CFCB"/>
    <w:rsid w:val="7CD9A44F"/>
    <w:rsid w:val="7CDA9BCA"/>
    <w:rsid w:val="7CDBA20B"/>
    <w:rsid w:val="7CDBA457"/>
    <w:rsid w:val="7CDBFBF6"/>
    <w:rsid w:val="7CDC43F4"/>
    <w:rsid w:val="7CDD4976"/>
    <w:rsid w:val="7CDD63D6"/>
    <w:rsid w:val="7CDD92A3"/>
    <w:rsid w:val="7CDF0925"/>
    <w:rsid w:val="7CDF4591"/>
    <w:rsid w:val="7CDFCBDF"/>
    <w:rsid w:val="7CE1A85F"/>
    <w:rsid w:val="7CE284F0"/>
    <w:rsid w:val="7CE3BC4C"/>
    <w:rsid w:val="7CE449D4"/>
    <w:rsid w:val="7CE5222D"/>
    <w:rsid w:val="7CE5A1F3"/>
    <w:rsid w:val="7CEB8AF0"/>
    <w:rsid w:val="7CEC5A87"/>
    <w:rsid w:val="7CECDF4D"/>
    <w:rsid w:val="7CEF0CA0"/>
    <w:rsid w:val="7CF1076B"/>
    <w:rsid w:val="7CF121A1"/>
    <w:rsid w:val="7CF1524A"/>
    <w:rsid w:val="7CF37634"/>
    <w:rsid w:val="7CF3B55E"/>
    <w:rsid w:val="7CF54718"/>
    <w:rsid w:val="7CF657E3"/>
    <w:rsid w:val="7CF979B0"/>
    <w:rsid w:val="7CFB992D"/>
    <w:rsid w:val="7CFC7355"/>
    <w:rsid w:val="7CFC9E1C"/>
    <w:rsid w:val="7CFD118A"/>
    <w:rsid w:val="7CFDA56E"/>
    <w:rsid w:val="7CFDAB10"/>
    <w:rsid w:val="7CFE58D2"/>
    <w:rsid w:val="7CFF5E89"/>
    <w:rsid w:val="7CFFCE4A"/>
    <w:rsid w:val="7D03B927"/>
    <w:rsid w:val="7D04CE6A"/>
    <w:rsid w:val="7D0606D7"/>
    <w:rsid w:val="7D069C31"/>
    <w:rsid w:val="7D077C99"/>
    <w:rsid w:val="7D0BE300"/>
    <w:rsid w:val="7D0CCEF8"/>
    <w:rsid w:val="7D0F4A94"/>
    <w:rsid w:val="7D10617D"/>
    <w:rsid w:val="7D121ED5"/>
    <w:rsid w:val="7D122C5A"/>
    <w:rsid w:val="7D12695E"/>
    <w:rsid w:val="7D12C035"/>
    <w:rsid w:val="7D130A11"/>
    <w:rsid w:val="7D138014"/>
    <w:rsid w:val="7D150D93"/>
    <w:rsid w:val="7D1694A6"/>
    <w:rsid w:val="7D1966E4"/>
    <w:rsid w:val="7D198FCE"/>
    <w:rsid w:val="7D1E1BC8"/>
    <w:rsid w:val="7D1F0620"/>
    <w:rsid w:val="7D1F8724"/>
    <w:rsid w:val="7D22E782"/>
    <w:rsid w:val="7D235F88"/>
    <w:rsid w:val="7D245DEA"/>
    <w:rsid w:val="7D251B94"/>
    <w:rsid w:val="7D2A22FA"/>
    <w:rsid w:val="7D2A36B7"/>
    <w:rsid w:val="7D2C3C9B"/>
    <w:rsid w:val="7D2C93EB"/>
    <w:rsid w:val="7D2DBA64"/>
    <w:rsid w:val="7D2E4739"/>
    <w:rsid w:val="7D2EE1BA"/>
    <w:rsid w:val="7D2F1E0B"/>
    <w:rsid w:val="7D2F9A57"/>
    <w:rsid w:val="7D307FBB"/>
    <w:rsid w:val="7D311CB0"/>
    <w:rsid w:val="7D338715"/>
    <w:rsid w:val="7D3709F3"/>
    <w:rsid w:val="7D37807A"/>
    <w:rsid w:val="7D37CAD9"/>
    <w:rsid w:val="7D37EF39"/>
    <w:rsid w:val="7D3928FA"/>
    <w:rsid w:val="7D3B877F"/>
    <w:rsid w:val="7D3D525E"/>
    <w:rsid w:val="7D3DA764"/>
    <w:rsid w:val="7D3E2858"/>
    <w:rsid w:val="7D3F4F5A"/>
    <w:rsid w:val="7D3F9FB5"/>
    <w:rsid w:val="7D40F3ED"/>
    <w:rsid w:val="7D4260CD"/>
    <w:rsid w:val="7D4358B6"/>
    <w:rsid w:val="7D44C947"/>
    <w:rsid w:val="7D464821"/>
    <w:rsid w:val="7D4A8370"/>
    <w:rsid w:val="7D4AFEB8"/>
    <w:rsid w:val="7D4B1DC3"/>
    <w:rsid w:val="7D4C899F"/>
    <w:rsid w:val="7D4D05C4"/>
    <w:rsid w:val="7D5342F2"/>
    <w:rsid w:val="7D549D43"/>
    <w:rsid w:val="7D5A61FB"/>
    <w:rsid w:val="7D5C3863"/>
    <w:rsid w:val="7D5C93A3"/>
    <w:rsid w:val="7D5CCCC2"/>
    <w:rsid w:val="7D5D8C95"/>
    <w:rsid w:val="7D5DD487"/>
    <w:rsid w:val="7D5E0C61"/>
    <w:rsid w:val="7D5E6283"/>
    <w:rsid w:val="7D5FA181"/>
    <w:rsid w:val="7D623312"/>
    <w:rsid w:val="7D627DB0"/>
    <w:rsid w:val="7D644481"/>
    <w:rsid w:val="7D64537F"/>
    <w:rsid w:val="7D661777"/>
    <w:rsid w:val="7D68C7E3"/>
    <w:rsid w:val="7D69E432"/>
    <w:rsid w:val="7D712900"/>
    <w:rsid w:val="7D738A2C"/>
    <w:rsid w:val="7D7552AD"/>
    <w:rsid w:val="7D7707C9"/>
    <w:rsid w:val="7D783B68"/>
    <w:rsid w:val="7D785D84"/>
    <w:rsid w:val="7D79378D"/>
    <w:rsid w:val="7D79EA2C"/>
    <w:rsid w:val="7D7B3C39"/>
    <w:rsid w:val="7D7C4E49"/>
    <w:rsid w:val="7D7F0CD6"/>
    <w:rsid w:val="7D81AD6A"/>
    <w:rsid w:val="7D82AAA0"/>
    <w:rsid w:val="7D838682"/>
    <w:rsid w:val="7D8441BA"/>
    <w:rsid w:val="7D86C6FC"/>
    <w:rsid w:val="7D88395E"/>
    <w:rsid w:val="7D88D191"/>
    <w:rsid w:val="7D8E1923"/>
    <w:rsid w:val="7D8F0225"/>
    <w:rsid w:val="7D907033"/>
    <w:rsid w:val="7D923ECB"/>
    <w:rsid w:val="7D967A94"/>
    <w:rsid w:val="7D968F9E"/>
    <w:rsid w:val="7D97FB1E"/>
    <w:rsid w:val="7D98013B"/>
    <w:rsid w:val="7D98B66F"/>
    <w:rsid w:val="7D99059B"/>
    <w:rsid w:val="7D99A428"/>
    <w:rsid w:val="7D9A1DDD"/>
    <w:rsid w:val="7D9CBF6C"/>
    <w:rsid w:val="7D9E5EC1"/>
    <w:rsid w:val="7D9EC497"/>
    <w:rsid w:val="7D9EEAB3"/>
    <w:rsid w:val="7DA06EEA"/>
    <w:rsid w:val="7DA13C90"/>
    <w:rsid w:val="7DA18497"/>
    <w:rsid w:val="7DA241E0"/>
    <w:rsid w:val="7DA295C1"/>
    <w:rsid w:val="7DA3BD40"/>
    <w:rsid w:val="7DA81B58"/>
    <w:rsid w:val="7DAA3747"/>
    <w:rsid w:val="7DAACB8E"/>
    <w:rsid w:val="7DAB4AE6"/>
    <w:rsid w:val="7DABB01F"/>
    <w:rsid w:val="7DAE2A81"/>
    <w:rsid w:val="7DAF1B71"/>
    <w:rsid w:val="7DAF300C"/>
    <w:rsid w:val="7DAF3413"/>
    <w:rsid w:val="7DB04DED"/>
    <w:rsid w:val="7DB1A115"/>
    <w:rsid w:val="7DB251AE"/>
    <w:rsid w:val="7DB310C5"/>
    <w:rsid w:val="7DB345B2"/>
    <w:rsid w:val="7DB4DA6F"/>
    <w:rsid w:val="7DB57481"/>
    <w:rsid w:val="7DB5AC66"/>
    <w:rsid w:val="7DB6D5E6"/>
    <w:rsid w:val="7DB6F690"/>
    <w:rsid w:val="7DB7CDA6"/>
    <w:rsid w:val="7DB83434"/>
    <w:rsid w:val="7DBA164C"/>
    <w:rsid w:val="7DBB3A1A"/>
    <w:rsid w:val="7DBCF27A"/>
    <w:rsid w:val="7DC66559"/>
    <w:rsid w:val="7DCBEB4E"/>
    <w:rsid w:val="7DCDA8F9"/>
    <w:rsid w:val="7DCDB0ED"/>
    <w:rsid w:val="7DCF3D30"/>
    <w:rsid w:val="7DD0179A"/>
    <w:rsid w:val="7DD2647F"/>
    <w:rsid w:val="7DD47C2A"/>
    <w:rsid w:val="7DD5CC1D"/>
    <w:rsid w:val="7DD77D46"/>
    <w:rsid w:val="7DD9115F"/>
    <w:rsid w:val="7DD9688A"/>
    <w:rsid w:val="7DDB2C7A"/>
    <w:rsid w:val="7DDE4576"/>
    <w:rsid w:val="7DDE548F"/>
    <w:rsid w:val="7DDF6DB2"/>
    <w:rsid w:val="7DDF7378"/>
    <w:rsid w:val="7DDF7A1E"/>
    <w:rsid w:val="7DE14280"/>
    <w:rsid w:val="7DE4895A"/>
    <w:rsid w:val="7DE59FEF"/>
    <w:rsid w:val="7DE81DF9"/>
    <w:rsid w:val="7DE8377A"/>
    <w:rsid w:val="7DEAC428"/>
    <w:rsid w:val="7DEB8B63"/>
    <w:rsid w:val="7DEBE45C"/>
    <w:rsid w:val="7DEC0DC8"/>
    <w:rsid w:val="7DEFFE57"/>
    <w:rsid w:val="7DF059F2"/>
    <w:rsid w:val="7DF0E5DE"/>
    <w:rsid w:val="7DF3E669"/>
    <w:rsid w:val="7DF49415"/>
    <w:rsid w:val="7DF946FC"/>
    <w:rsid w:val="7DFAEF32"/>
    <w:rsid w:val="7DFDD8C7"/>
    <w:rsid w:val="7E01CFDA"/>
    <w:rsid w:val="7E036AA9"/>
    <w:rsid w:val="7E047720"/>
    <w:rsid w:val="7E058A16"/>
    <w:rsid w:val="7E076ED6"/>
    <w:rsid w:val="7E088F69"/>
    <w:rsid w:val="7E08F822"/>
    <w:rsid w:val="7E0E0792"/>
    <w:rsid w:val="7E0FD5EE"/>
    <w:rsid w:val="7E109BAC"/>
    <w:rsid w:val="7E116FDB"/>
    <w:rsid w:val="7E12F2C4"/>
    <w:rsid w:val="7E13D5A4"/>
    <w:rsid w:val="7E162312"/>
    <w:rsid w:val="7E174482"/>
    <w:rsid w:val="7E176BC0"/>
    <w:rsid w:val="7E17DE2F"/>
    <w:rsid w:val="7E18605F"/>
    <w:rsid w:val="7E1DE980"/>
    <w:rsid w:val="7E251306"/>
    <w:rsid w:val="7E269438"/>
    <w:rsid w:val="7E26946E"/>
    <w:rsid w:val="7E27055D"/>
    <w:rsid w:val="7E288570"/>
    <w:rsid w:val="7E290251"/>
    <w:rsid w:val="7E2B74AD"/>
    <w:rsid w:val="7E2BF05D"/>
    <w:rsid w:val="7E2D5D9D"/>
    <w:rsid w:val="7E2E5C22"/>
    <w:rsid w:val="7E2E8077"/>
    <w:rsid w:val="7E2EF24F"/>
    <w:rsid w:val="7E307F37"/>
    <w:rsid w:val="7E30C649"/>
    <w:rsid w:val="7E30FFD5"/>
    <w:rsid w:val="7E31D211"/>
    <w:rsid w:val="7E330138"/>
    <w:rsid w:val="7E33AD9A"/>
    <w:rsid w:val="7E33FDD2"/>
    <w:rsid w:val="7E349A55"/>
    <w:rsid w:val="7E34B55A"/>
    <w:rsid w:val="7E352974"/>
    <w:rsid w:val="7E3656CD"/>
    <w:rsid w:val="7E375D75"/>
    <w:rsid w:val="7E39AF03"/>
    <w:rsid w:val="7E3A9A8B"/>
    <w:rsid w:val="7E3B40C0"/>
    <w:rsid w:val="7E3B585F"/>
    <w:rsid w:val="7E3C93BA"/>
    <w:rsid w:val="7E3DEC8A"/>
    <w:rsid w:val="7E3E04FF"/>
    <w:rsid w:val="7E41F8BD"/>
    <w:rsid w:val="7E44AE2F"/>
    <w:rsid w:val="7E466449"/>
    <w:rsid w:val="7E470CC5"/>
    <w:rsid w:val="7E477CFE"/>
    <w:rsid w:val="7E47A902"/>
    <w:rsid w:val="7E494583"/>
    <w:rsid w:val="7E4FA02F"/>
    <w:rsid w:val="7E52A30F"/>
    <w:rsid w:val="7E541DD4"/>
    <w:rsid w:val="7E56DD0C"/>
    <w:rsid w:val="7E5A230E"/>
    <w:rsid w:val="7E5AF52C"/>
    <w:rsid w:val="7E5D8F0F"/>
    <w:rsid w:val="7E5DF291"/>
    <w:rsid w:val="7E5DFBDA"/>
    <w:rsid w:val="7E60C9A1"/>
    <w:rsid w:val="7E621D40"/>
    <w:rsid w:val="7E63860F"/>
    <w:rsid w:val="7E67349C"/>
    <w:rsid w:val="7E67B913"/>
    <w:rsid w:val="7E6802B4"/>
    <w:rsid w:val="7E68D909"/>
    <w:rsid w:val="7E68F19A"/>
    <w:rsid w:val="7E6A8FAF"/>
    <w:rsid w:val="7E6AB326"/>
    <w:rsid w:val="7E6B285B"/>
    <w:rsid w:val="7E6BD0E4"/>
    <w:rsid w:val="7E6C1251"/>
    <w:rsid w:val="7E6D627B"/>
    <w:rsid w:val="7E717B17"/>
    <w:rsid w:val="7E751457"/>
    <w:rsid w:val="7E75C55F"/>
    <w:rsid w:val="7E765298"/>
    <w:rsid w:val="7E775895"/>
    <w:rsid w:val="7E7968AA"/>
    <w:rsid w:val="7E7A6EF7"/>
    <w:rsid w:val="7E7BABE2"/>
    <w:rsid w:val="7E7BFA7A"/>
    <w:rsid w:val="7E7C13B3"/>
    <w:rsid w:val="7E7EF52D"/>
    <w:rsid w:val="7E817750"/>
    <w:rsid w:val="7E81B74B"/>
    <w:rsid w:val="7E822276"/>
    <w:rsid w:val="7E8479D8"/>
    <w:rsid w:val="7E8802E1"/>
    <w:rsid w:val="7E8890D8"/>
    <w:rsid w:val="7E891D02"/>
    <w:rsid w:val="7E89663B"/>
    <w:rsid w:val="7E8C7B9E"/>
    <w:rsid w:val="7E8DCE1D"/>
    <w:rsid w:val="7E91687B"/>
    <w:rsid w:val="7E93B030"/>
    <w:rsid w:val="7E9527EF"/>
    <w:rsid w:val="7E97DFDE"/>
    <w:rsid w:val="7E9D2159"/>
    <w:rsid w:val="7E9E90A4"/>
    <w:rsid w:val="7E9EAE1C"/>
    <w:rsid w:val="7E9EEE2E"/>
    <w:rsid w:val="7E9EEF8A"/>
    <w:rsid w:val="7EA72578"/>
    <w:rsid w:val="7EA72CCC"/>
    <w:rsid w:val="7EAB6577"/>
    <w:rsid w:val="7EB05AC9"/>
    <w:rsid w:val="7EB0FC5B"/>
    <w:rsid w:val="7EB38F85"/>
    <w:rsid w:val="7EB4598B"/>
    <w:rsid w:val="7EB7391B"/>
    <w:rsid w:val="7EB78035"/>
    <w:rsid w:val="7EB8C545"/>
    <w:rsid w:val="7EBACFB9"/>
    <w:rsid w:val="7EBC4F8C"/>
    <w:rsid w:val="7EBC5C12"/>
    <w:rsid w:val="7EBC9303"/>
    <w:rsid w:val="7EBD1D52"/>
    <w:rsid w:val="7EBF2F7F"/>
    <w:rsid w:val="7EBFB754"/>
    <w:rsid w:val="7EC0E233"/>
    <w:rsid w:val="7EC5AAF1"/>
    <w:rsid w:val="7EC67501"/>
    <w:rsid w:val="7EC822F0"/>
    <w:rsid w:val="7EC9E587"/>
    <w:rsid w:val="7ECA4932"/>
    <w:rsid w:val="7ECBE21B"/>
    <w:rsid w:val="7ECCED2D"/>
    <w:rsid w:val="7ECE6993"/>
    <w:rsid w:val="7ECE820E"/>
    <w:rsid w:val="7ECF5EA0"/>
    <w:rsid w:val="7ECFAAA5"/>
    <w:rsid w:val="7ECFFB0D"/>
    <w:rsid w:val="7ED06201"/>
    <w:rsid w:val="7ED07BF7"/>
    <w:rsid w:val="7ED393E2"/>
    <w:rsid w:val="7ED411DB"/>
    <w:rsid w:val="7ED5F910"/>
    <w:rsid w:val="7ED7C7C4"/>
    <w:rsid w:val="7ED7E255"/>
    <w:rsid w:val="7EDB5987"/>
    <w:rsid w:val="7EDE1148"/>
    <w:rsid w:val="7EDEBED8"/>
    <w:rsid w:val="7EDF4CF9"/>
    <w:rsid w:val="7EE00424"/>
    <w:rsid w:val="7EE42162"/>
    <w:rsid w:val="7EE4BFFB"/>
    <w:rsid w:val="7EE80CD5"/>
    <w:rsid w:val="7EE8C3F7"/>
    <w:rsid w:val="7EE9D968"/>
    <w:rsid w:val="7EEA78BC"/>
    <w:rsid w:val="7EECC06E"/>
    <w:rsid w:val="7EECEBD3"/>
    <w:rsid w:val="7EEFD26B"/>
    <w:rsid w:val="7EF08258"/>
    <w:rsid w:val="7EF4D9F9"/>
    <w:rsid w:val="7EF4F8F7"/>
    <w:rsid w:val="7EF5E021"/>
    <w:rsid w:val="7EF64DEC"/>
    <w:rsid w:val="7EF7C5DA"/>
    <w:rsid w:val="7EFA253B"/>
    <w:rsid w:val="7EFA76FD"/>
    <w:rsid w:val="7F0119C8"/>
    <w:rsid w:val="7F019997"/>
    <w:rsid w:val="7F022557"/>
    <w:rsid w:val="7F04B3C6"/>
    <w:rsid w:val="7F0DB237"/>
    <w:rsid w:val="7F0EC54D"/>
    <w:rsid w:val="7F100DF7"/>
    <w:rsid w:val="7F11897C"/>
    <w:rsid w:val="7F126B33"/>
    <w:rsid w:val="7F141409"/>
    <w:rsid w:val="7F165E63"/>
    <w:rsid w:val="7F192DB2"/>
    <w:rsid w:val="7F194C41"/>
    <w:rsid w:val="7F1E00F8"/>
    <w:rsid w:val="7F1EF32B"/>
    <w:rsid w:val="7F2097AE"/>
    <w:rsid w:val="7F2363DB"/>
    <w:rsid w:val="7F242245"/>
    <w:rsid w:val="7F27DD69"/>
    <w:rsid w:val="7F2813C9"/>
    <w:rsid w:val="7F283C6D"/>
    <w:rsid w:val="7F2850A8"/>
    <w:rsid w:val="7F299A07"/>
    <w:rsid w:val="7F2B6413"/>
    <w:rsid w:val="7F2C0A0C"/>
    <w:rsid w:val="7F2D6984"/>
    <w:rsid w:val="7F2F1673"/>
    <w:rsid w:val="7F2F88BC"/>
    <w:rsid w:val="7F2FFACB"/>
    <w:rsid w:val="7F31C935"/>
    <w:rsid w:val="7F34A4F6"/>
    <w:rsid w:val="7F38B039"/>
    <w:rsid w:val="7F397440"/>
    <w:rsid w:val="7F3C84DB"/>
    <w:rsid w:val="7F3DF1B8"/>
    <w:rsid w:val="7F3E8438"/>
    <w:rsid w:val="7F46C0FC"/>
    <w:rsid w:val="7F4AA587"/>
    <w:rsid w:val="7F4B5CEC"/>
    <w:rsid w:val="7F4BAF84"/>
    <w:rsid w:val="7F4C3021"/>
    <w:rsid w:val="7F4C9667"/>
    <w:rsid w:val="7F4FD387"/>
    <w:rsid w:val="7F500C88"/>
    <w:rsid w:val="7F5052A4"/>
    <w:rsid w:val="7F51695E"/>
    <w:rsid w:val="7F52136B"/>
    <w:rsid w:val="7F54B75E"/>
    <w:rsid w:val="7F55153A"/>
    <w:rsid w:val="7F57BF98"/>
    <w:rsid w:val="7F589E8E"/>
    <w:rsid w:val="7F59B495"/>
    <w:rsid w:val="7F59F0B2"/>
    <w:rsid w:val="7F5D1B84"/>
    <w:rsid w:val="7F5E6896"/>
    <w:rsid w:val="7F5F589E"/>
    <w:rsid w:val="7F5FDBC5"/>
    <w:rsid w:val="7F618A3C"/>
    <w:rsid w:val="7F61AC15"/>
    <w:rsid w:val="7F61F101"/>
    <w:rsid w:val="7F62798B"/>
    <w:rsid w:val="7F627D6B"/>
    <w:rsid w:val="7F6416A6"/>
    <w:rsid w:val="7F656991"/>
    <w:rsid w:val="7F66CF5F"/>
    <w:rsid w:val="7F6730B5"/>
    <w:rsid w:val="7F67A609"/>
    <w:rsid w:val="7F687BF2"/>
    <w:rsid w:val="7F68AB61"/>
    <w:rsid w:val="7F68C217"/>
    <w:rsid w:val="7F68D490"/>
    <w:rsid w:val="7F6916DF"/>
    <w:rsid w:val="7F6BDCA2"/>
    <w:rsid w:val="7F6BFB42"/>
    <w:rsid w:val="7F6CDDD0"/>
    <w:rsid w:val="7F6D31C2"/>
    <w:rsid w:val="7F6D59AC"/>
    <w:rsid w:val="7F6DF542"/>
    <w:rsid w:val="7F6F6CDE"/>
    <w:rsid w:val="7F70F3D3"/>
    <w:rsid w:val="7F72B17B"/>
    <w:rsid w:val="7F773B52"/>
    <w:rsid w:val="7F778C40"/>
    <w:rsid w:val="7F788444"/>
    <w:rsid w:val="7F78BA64"/>
    <w:rsid w:val="7F7923BE"/>
    <w:rsid w:val="7F796018"/>
    <w:rsid w:val="7F7C82D3"/>
    <w:rsid w:val="7F7F44A0"/>
    <w:rsid w:val="7F82FA70"/>
    <w:rsid w:val="7F830EC0"/>
    <w:rsid w:val="7F85A61C"/>
    <w:rsid w:val="7F8736A1"/>
    <w:rsid w:val="7F8C5507"/>
    <w:rsid w:val="7F8C96D8"/>
    <w:rsid w:val="7F8E14D8"/>
    <w:rsid w:val="7F8F2151"/>
    <w:rsid w:val="7F916906"/>
    <w:rsid w:val="7F919D4B"/>
    <w:rsid w:val="7F9299C5"/>
    <w:rsid w:val="7F92B8BC"/>
    <w:rsid w:val="7F9586E9"/>
    <w:rsid w:val="7F98BB65"/>
    <w:rsid w:val="7F9C8AC4"/>
    <w:rsid w:val="7F9EC3B6"/>
    <w:rsid w:val="7FA07D34"/>
    <w:rsid w:val="7FA6189D"/>
    <w:rsid w:val="7FA7575E"/>
    <w:rsid w:val="7FA7C593"/>
    <w:rsid w:val="7FAA9590"/>
    <w:rsid w:val="7FABDE2F"/>
    <w:rsid w:val="7FAD2061"/>
    <w:rsid w:val="7FB092D7"/>
    <w:rsid w:val="7FB316F7"/>
    <w:rsid w:val="7FB52C4D"/>
    <w:rsid w:val="7FB53E67"/>
    <w:rsid w:val="7FB728C3"/>
    <w:rsid w:val="7FB84802"/>
    <w:rsid w:val="7FB857AA"/>
    <w:rsid w:val="7FC00529"/>
    <w:rsid w:val="7FC1DDFB"/>
    <w:rsid w:val="7FC38276"/>
    <w:rsid w:val="7FC3D6EA"/>
    <w:rsid w:val="7FC4BF5E"/>
    <w:rsid w:val="7FC87DE2"/>
    <w:rsid w:val="7FC9AF00"/>
    <w:rsid w:val="7FCD58B7"/>
    <w:rsid w:val="7FCFDF6A"/>
    <w:rsid w:val="7FD1538D"/>
    <w:rsid w:val="7FD27996"/>
    <w:rsid w:val="7FD2D1CF"/>
    <w:rsid w:val="7FD37CF5"/>
    <w:rsid w:val="7FD4ADF9"/>
    <w:rsid w:val="7FD59EA4"/>
    <w:rsid w:val="7FD66038"/>
    <w:rsid w:val="7FD807C7"/>
    <w:rsid w:val="7FDBBF8C"/>
    <w:rsid w:val="7FDEA12A"/>
    <w:rsid w:val="7FDFA72C"/>
    <w:rsid w:val="7FE15C15"/>
    <w:rsid w:val="7FE6AEC6"/>
    <w:rsid w:val="7FE91E9E"/>
    <w:rsid w:val="7FE9E6A5"/>
    <w:rsid w:val="7FECFD60"/>
    <w:rsid w:val="7FED6F8F"/>
    <w:rsid w:val="7FEDFC4C"/>
    <w:rsid w:val="7FEE5DA7"/>
    <w:rsid w:val="7FEF700E"/>
    <w:rsid w:val="7FF117D7"/>
    <w:rsid w:val="7FF1A68B"/>
    <w:rsid w:val="7FF253DC"/>
    <w:rsid w:val="7FF49AF2"/>
    <w:rsid w:val="7FF4C26B"/>
    <w:rsid w:val="7FF4F154"/>
    <w:rsid w:val="7FF6898C"/>
    <w:rsid w:val="7FF77FD1"/>
    <w:rsid w:val="7FF908CA"/>
    <w:rsid w:val="7FFECBD4"/>
    <w:rsid w:val="7FFF70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1"/>
    </o:shapelayout>
  </w:shapeDefaults>
  <w:decimalSymbol w:val="."/>
  <w:listSeparator w:val=","/>
  <w14:docId w14:val="4D2859AC"/>
  <w15:docId w15:val="{DBFE042D-54B1-4473-B9D3-7B101CD89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GB" w:eastAsia="ja-JP" w:bidi="ar-SA"/>
      </w:rPr>
    </w:rPrDefault>
    <w:pPrDefault>
      <w:pPr>
        <w:spacing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666A4"/>
    <w:rPr>
      <w:lang w:eastAsia="fr-FR"/>
    </w:rPr>
  </w:style>
  <w:style w:type="paragraph" w:styleId="Heading1">
    <w:name w:val="heading 1"/>
    <w:aliases w:val="Chapter title"/>
    <w:basedOn w:val="Title"/>
    <w:next w:val="Normal"/>
    <w:link w:val="Heading1Char"/>
    <w:uiPriority w:val="9"/>
    <w:qFormat/>
    <w:rsid w:val="002F2F42"/>
    <w:pPr>
      <w:numPr>
        <w:ilvl w:val="1"/>
        <w:numId w:val="2"/>
      </w:numPr>
      <w:spacing w:after="240"/>
      <w:outlineLvl w:val="0"/>
    </w:pPr>
    <w:rPr>
      <w:sz w:val="36"/>
      <w:szCs w:val="36"/>
    </w:rPr>
  </w:style>
  <w:style w:type="paragraph" w:styleId="Heading2">
    <w:name w:val="heading 2"/>
    <w:aliases w:val="Level 1"/>
    <w:basedOn w:val="Heading1"/>
    <w:next w:val="Normal"/>
    <w:link w:val="Heading2Char"/>
    <w:uiPriority w:val="9"/>
    <w:unhideWhenUsed/>
    <w:qFormat/>
    <w:rsid w:val="0079215C"/>
    <w:pPr>
      <w:keepNext/>
      <w:numPr>
        <w:ilvl w:val="2"/>
      </w:numPr>
      <w:spacing w:before="240" w:after="120"/>
      <w:contextualSpacing w:val="0"/>
      <w:outlineLvl w:val="1"/>
    </w:pPr>
    <w:rPr>
      <w:bCs/>
      <w:sz w:val="28"/>
      <w:szCs w:val="40"/>
    </w:rPr>
  </w:style>
  <w:style w:type="paragraph" w:styleId="Heading3">
    <w:name w:val="heading 3"/>
    <w:aliases w:val="Level 2"/>
    <w:basedOn w:val="Heading2"/>
    <w:next w:val="Normal"/>
    <w:link w:val="Heading3Char"/>
    <w:uiPriority w:val="9"/>
    <w:unhideWhenUsed/>
    <w:qFormat/>
    <w:rsid w:val="003666A4"/>
    <w:pPr>
      <w:numPr>
        <w:ilvl w:val="3"/>
      </w:numPr>
      <w:outlineLvl w:val="2"/>
    </w:pPr>
    <w:rPr>
      <w:lang w:val="en-ZA" w:eastAsia="en-ZA"/>
    </w:rPr>
  </w:style>
  <w:style w:type="paragraph" w:styleId="Heading4">
    <w:name w:val="heading 4"/>
    <w:aliases w:val="Level 3"/>
    <w:basedOn w:val="Normal"/>
    <w:next w:val="Normal"/>
    <w:link w:val="Heading4Char"/>
    <w:uiPriority w:val="9"/>
    <w:unhideWhenUsed/>
    <w:qFormat/>
    <w:rsid w:val="003666A4"/>
    <w:pPr>
      <w:keepNext/>
      <w:numPr>
        <w:numId w:val="15"/>
      </w:numPr>
      <w:spacing w:before="240" w:after="120" w:line="240" w:lineRule="auto"/>
      <w:outlineLvl w:val="3"/>
    </w:pPr>
    <w:rPr>
      <w:b/>
      <w:bCs/>
    </w:rPr>
  </w:style>
  <w:style w:type="paragraph" w:styleId="Heading5">
    <w:name w:val="heading 5"/>
    <w:aliases w:val="Level 4"/>
    <w:basedOn w:val="Normal"/>
    <w:next w:val="Normal"/>
    <w:link w:val="Heading5Char"/>
    <w:uiPriority w:val="9"/>
    <w:unhideWhenUsed/>
    <w:qFormat/>
    <w:rsid w:val="00C56BCD"/>
    <w:pPr>
      <w:outlineLvl w:val="4"/>
    </w:pPr>
    <w:rPr>
      <w:i/>
    </w:rPr>
  </w:style>
  <w:style w:type="paragraph" w:styleId="Heading6">
    <w:name w:val="heading 6"/>
    <w:basedOn w:val="Normal"/>
    <w:next w:val="Normal"/>
    <w:link w:val="Heading6Char"/>
    <w:uiPriority w:val="9"/>
    <w:unhideWhenUsed/>
    <w:qFormat/>
    <w:rsid w:val="00D75558"/>
    <w:pPr>
      <w:keepNext/>
      <w:keepLines/>
      <w:spacing w:before="40"/>
      <w:ind w:left="1152" w:hanging="1152"/>
      <w:outlineLvl w:val="5"/>
    </w:pPr>
    <w:rPr>
      <w:rFonts w:asciiTheme="majorHAnsi" w:eastAsiaTheme="majorEastAsia" w:hAnsiTheme="majorHAnsi" w:cstheme="majorBidi"/>
      <w:color w:val="1F4D78" w:themeColor="accent1" w:themeShade="7F"/>
      <w:sz w:val="22"/>
    </w:rPr>
  </w:style>
  <w:style w:type="paragraph" w:styleId="Heading7">
    <w:name w:val="heading 7"/>
    <w:basedOn w:val="Normal"/>
    <w:next w:val="Normal"/>
    <w:link w:val="Heading7Char"/>
    <w:uiPriority w:val="9"/>
    <w:unhideWhenUsed/>
    <w:qFormat/>
    <w:rsid w:val="00D75558"/>
    <w:pPr>
      <w:keepNext/>
      <w:keepLines/>
      <w:spacing w:before="40"/>
      <w:ind w:left="1296" w:hanging="1296"/>
      <w:outlineLvl w:val="6"/>
    </w:pPr>
    <w:rPr>
      <w:rFonts w:asciiTheme="majorHAnsi" w:eastAsiaTheme="majorEastAsia" w:hAnsiTheme="majorHAnsi" w:cstheme="majorBidi"/>
      <w:i/>
      <w:iCs/>
      <w:color w:val="1F4D78" w:themeColor="accent1" w:themeShade="7F"/>
      <w:sz w:val="22"/>
    </w:rPr>
  </w:style>
  <w:style w:type="paragraph" w:styleId="Heading8">
    <w:name w:val="heading 8"/>
    <w:basedOn w:val="Normal"/>
    <w:next w:val="Normal"/>
    <w:link w:val="Heading8Char"/>
    <w:uiPriority w:val="9"/>
    <w:semiHidden/>
    <w:unhideWhenUsed/>
    <w:qFormat/>
    <w:rsid w:val="00D75558"/>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75558"/>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3666A4"/>
    <w:pPr>
      <w:numPr>
        <w:numId w:val="3"/>
      </w:numPr>
      <w:spacing w:line="240" w:lineRule="auto"/>
      <w:contextualSpacing/>
    </w:pPr>
    <w:rPr>
      <w:rFonts w:eastAsiaTheme="majorEastAsia"/>
      <w:b/>
      <w:spacing w:val="-10"/>
      <w:kern w:val="28"/>
      <w:sz w:val="28"/>
      <w:szCs w:val="28"/>
    </w:rPr>
  </w:style>
  <w:style w:type="character" w:customStyle="1" w:styleId="TitleChar">
    <w:name w:val="Title Char"/>
    <w:basedOn w:val="DefaultParagraphFont"/>
    <w:link w:val="Title"/>
    <w:uiPriority w:val="10"/>
    <w:rsid w:val="000F2BEE"/>
    <w:rPr>
      <w:rFonts w:eastAsiaTheme="majorEastAsia"/>
      <w:b/>
      <w:spacing w:val="-10"/>
      <w:kern w:val="28"/>
      <w:sz w:val="28"/>
      <w:szCs w:val="28"/>
      <w:lang w:eastAsia="fr-FR"/>
    </w:rPr>
  </w:style>
  <w:style w:type="character" w:customStyle="1" w:styleId="Heading1Char">
    <w:name w:val="Heading 1 Char"/>
    <w:aliases w:val="Chapter title Char"/>
    <w:basedOn w:val="DefaultParagraphFont"/>
    <w:link w:val="Heading1"/>
    <w:uiPriority w:val="9"/>
    <w:rsid w:val="002F2F42"/>
    <w:rPr>
      <w:rFonts w:eastAsiaTheme="majorEastAsia"/>
      <w:b/>
      <w:spacing w:val="-10"/>
      <w:kern w:val="28"/>
      <w:sz w:val="36"/>
      <w:szCs w:val="36"/>
      <w:lang w:eastAsia="fr-FR"/>
    </w:rPr>
  </w:style>
  <w:style w:type="character" w:customStyle="1" w:styleId="Heading2Char">
    <w:name w:val="Heading 2 Char"/>
    <w:aliases w:val="Level 1 Char"/>
    <w:basedOn w:val="DefaultParagraphFont"/>
    <w:link w:val="Heading2"/>
    <w:uiPriority w:val="9"/>
    <w:rsid w:val="0079215C"/>
    <w:rPr>
      <w:rFonts w:eastAsiaTheme="majorEastAsia"/>
      <w:b/>
      <w:bCs/>
      <w:spacing w:val="-10"/>
      <w:kern w:val="28"/>
      <w:sz w:val="28"/>
      <w:szCs w:val="40"/>
      <w:lang w:eastAsia="fr-FR"/>
    </w:rPr>
  </w:style>
  <w:style w:type="character" w:customStyle="1" w:styleId="Heading3Char">
    <w:name w:val="Heading 3 Char"/>
    <w:aliases w:val="Level 2 Char"/>
    <w:basedOn w:val="DefaultParagraphFont"/>
    <w:link w:val="Heading3"/>
    <w:uiPriority w:val="9"/>
    <w:rsid w:val="00B06042"/>
    <w:rPr>
      <w:rFonts w:eastAsiaTheme="majorEastAsia"/>
      <w:b/>
      <w:bCs/>
      <w:spacing w:val="-10"/>
      <w:kern w:val="28"/>
      <w:sz w:val="28"/>
      <w:szCs w:val="40"/>
      <w:lang w:val="en-ZA" w:eastAsia="en-ZA"/>
    </w:rPr>
  </w:style>
  <w:style w:type="character" w:customStyle="1" w:styleId="Heading4Char">
    <w:name w:val="Heading 4 Char"/>
    <w:aliases w:val="Level 3 Char"/>
    <w:basedOn w:val="DefaultParagraphFont"/>
    <w:link w:val="Heading4"/>
    <w:uiPriority w:val="9"/>
    <w:rsid w:val="00604A0A"/>
    <w:rPr>
      <w:b/>
      <w:bCs/>
      <w:lang w:eastAsia="fr-FR"/>
    </w:rPr>
  </w:style>
  <w:style w:type="character" w:customStyle="1" w:styleId="Heading5Char">
    <w:name w:val="Heading 5 Char"/>
    <w:aliases w:val="Level 4 Char"/>
    <w:basedOn w:val="DefaultParagraphFont"/>
    <w:link w:val="Heading5"/>
    <w:uiPriority w:val="9"/>
    <w:rsid w:val="00C56BCD"/>
    <w:rPr>
      <w:rFonts w:ascii="Times New Roman" w:hAnsi="Times New Roman" w:cs="Times New Roman"/>
      <w:i/>
      <w:noProof/>
      <w:sz w:val="24"/>
      <w:lang w:eastAsia="fr-FR"/>
    </w:rPr>
  </w:style>
  <w:style w:type="character" w:customStyle="1" w:styleId="Heading6Char">
    <w:name w:val="Heading 6 Char"/>
    <w:basedOn w:val="DefaultParagraphFont"/>
    <w:link w:val="Heading6"/>
    <w:uiPriority w:val="9"/>
    <w:rsid w:val="00D75558"/>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D75558"/>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D7555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75558"/>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0F2BEE"/>
    <w:pPr>
      <w:keepNext/>
      <w:keepLines/>
      <w:spacing w:before="240" w:after="0" w:line="259" w:lineRule="auto"/>
      <w:contextualSpacing w:val="0"/>
      <w:outlineLvl w:val="9"/>
    </w:pPr>
    <w:rPr>
      <w:rFonts w:asciiTheme="majorHAnsi" w:eastAsiaTheme="minorEastAsia" w:hAnsiTheme="majorHAnsi" w:cstheme="majorBidi"/>
      <w:b w:val="0"/>
      <w:color w:val="2E74B5" w:themeColor="accent1" w:themeShade="BF"/>
      <w:spacing w:val="0"/>
      <w:kern w:val="0"/>
      <w:sz w:val="32"/>
      <w:szCs w:val="32"/>
      <w:lang w:eastAsia="en-US"/>
    </w:rPr>
  </w:style>
  <w:style w:type="paragraph" w:styleId="TOC1">
    <w:name w:val="toc 1"/>
    <w:basedOn w:val="Normal"/>
    <w:next w:val="Normal"/>
    <w:autoRedefine/>
    <w:uiPriority w:val="39"/>
    <w:unhideWhenUsed/>
    <w:rsid w:val="003666A4"/>
    <w:pPr>
      <w:tabs>
        <w:tab w:val="left" w:pos="440"/>
        <w:tab w:val="right" w:leader="dot" w:pos="9954"/>
      </w:tabs>
      <w:spacing w:after="100"/>
    </w:pPr>
    <w:rPr>
      <w:b/>
      <w:bCs/>
      <w:noProof/>
    </w:rPr>
  </w:style>
  <w:style w:type="paragraph" w:styleId="TOC2">
    <w:name w:val="toc 2"/>
    <w:basedOn w:val="Normal"/>
    <w:next w:val="Normal"/>
    <w:autoRedefine/>
    <w:uiPriority w:val="39"/>
    <w:unhideWhenUsed/>
    <w:rsid w:val="003666A4"/>
    <w:pPr>
      <w:tabs>
        <w:tab w:val="left" w:pos="1100"/>
        <w:tab w:val="right" w:leader="dot" w:pos="9620"/>
      </w:tabs>
      <w:spacing w:line="240" w:lineRule="auto"/>
      <w:ind w:left="220"/>
      <w:contextualSpacing/>
    </w:pPr>
  </w:style>
  <w:style w:type="paragraph" w:styleId="TOC3">
    <w:name w:val="toc 3"/>
    <w:basedOn w:val="Normal"/>
    <w:next w:val="Normal"/>
    <w:autoRedefine/>
    <w:uiPriority w:val="39"/>
    <w:unhideWhenUsed/>
    <w:rsid w:val="000F2BEE"/>
    <w:pPr>
      <w:spacing w:after="100"/>
      <w:ind w:left="440"/>
    </w:pPr>
  </w:style>
  <w:style w:type="character" w:styleId="Hyperlink">
    <w:name w:val="Hyperlink"/>
    <w:basedOn w:val="DefaultParagraphFont"/>
    <w:uiPriority w:val="99"/>
    <w:unhideWhenUsed/>
    <w:rsid w:val="000F2BEE"/>
    <w:rPr>
      <w:color w:val="0563C1" w:themeColor="hyperlink"/>
      <w:u w:val="single"/>
    </w:rPr>
  </w:style>
  <w:style w:type="paragraph" w:styleId="Header">
    <w:name w:val="header"/>
    <w:basedOn w:val="Normal"/>
    <w:link w:val="HeaderChar"/>
    <w:uiPriority w:val="99"/>
    <w:unhideWhenUsed/>
    <w:rsid w:val="007056B2"/>
    <w:pPr>
      <w:tabs>
        <w:tab w:val="center" w:pos="4680"/>
        <w:tab w:val="right" w:pos="9360"/>
      </w:tabs>
      <w:spacing w:line="240" w:lineRule="auto"/>
    </w:pPr>
  </w:style>
  <w:style w:type="character" w:customStyle="1" w:styleId="HeaderChar">
    <w:name w:val="Header Char"/>
    <w:basedOn w:val="DefaultParagraphFont"/>
    <w:link w:val="Header"/>
    <w:uiPriority w:val="99"/>
    <w:rsid w:val="007056B2"/>
    <w:rPr>
      <w:rFonts w:ascii="Times New Roman" w:hAnsi="Times New Roman" w:cs="Times New Roman"/>
      <w:lang w:val="en-GB"/>
    </w:rPr>
  </w:style>
  <w:style w:type="paragraph" w:styleId="Footer">
    <w:name w:val="footer"/>
    <w:basedOn w:val="Normal"/>
    <w:link w:val="FooterChar"/>
    <w:uiPriority w:val="99"/>
    <w:unhideWhenUsed/>
    <w:rsid w:val="007056B2"/>
    <w:pPr>
      <w:tabs>
        <w:tab w:val="center" w:pos="4680"/>
        <w:tab w:val="right" w:pos="9360"/>
      </w:tabs>
      <w:spacing w:line="240" w:lineRule="auto"/>
    </w:pPr>
  </w:style>
  <w:style w:type="character" w:customStyle="1" w:styleId="FooterChar">
    <w:name w:val="Footer Char"/>
    <w:basedOn w:val="DefaultParagraphFont"/>
    <w:link w:val="Footer"/>
    <w:uiPriority w:val="99"/>
    <w:rsid w:val="007056B2"/>
    <w:rPr>
      <w:rFonts w:ascii="Times New Roman" w:hAnsi="Times New Roman" w:cs="Times New Roman"/>
      <w:lang w:val="en-GB"/>
    </w:rPr>
  </w:style>
  <w:style w:type="paragraph" w:styleId="NoSpacing">
    <w:name w:val="No Spacing"/>
    <w:aliases w:val="Headings"/>
    <w:uiPriority w:val="1"/>
    <w:qFormat/>
    <w:rsid w:val="003666A4"/>
    <w:pPr>
      <w:spacing w:line="240" w:lineRule="auto"/>
      <w:jc w:val="both"/>
    </w:pPr>
  </w:style>
  <w:style w:type="character" w:styleId="LineNumber">
    <w:name w:val="line number"/>
    <w:basedOn w:val="DefaultParagraphFont"/>
    <w:uiPriority w:val="99"/>
    <w:semiHidden/>
    <w:unhideWhenUsed/>
    <w:rsid w:val="00644896"/>
  </w:style>
  <w:style w:type="paragraph" w:styleId="ListParagraph">
    <w:name w:val="List Paragraph"/>
    <w:basedOn w:val="Normal"/>
    <w:link w:val="ListParagraphChar"/>
    <w:uiPriority w:val="34"/>
    <w:qFormat/>
    <w:rsid w:val="00152FA2"/>
    <w:pPr>
      <w:spacing w:line="256" w:lineRule="auto"/>
      <w:ind w:left="720"/>
      <w:contextualSpacing/>
    </w:pPr>
  </w:style>
  <w:style w:type="character" w:customStyle="1" w:styleId="ListParagraphChar">
    <w:name w:val="List Paragraph Char"/>
    <w:basedOn w:val="DefaultParagraphFont"/>
    <w:link w:val="ListParagraph"/>
    <w:uiPriority w:val="34"/>
    <w:locked/>
    <w:rsid w:val="00D75558"/>
    <w:rPr>
      <w:rFonts w:ascii="Times New Roman" w:hAnsi="Times New Roman" w:cs="Times New Roman"/>
      <w:sz w:val="24"/>
      <w:lang w:val="en-GB"/>
    </w:rPr>
  </w:style>
  <w:style w:type="character" w:styleId="CommentReference">
    <w:name w:val="annotation reference"/>
    <w:basedOn w:val="DefaultParagraphFont"/>
    <w:uiPriority w:val="99"/>
    <w:semiHidden/>
    <w:unhideWhenUsed/>
    <w:rsid w:val="00D75558"/>
    <w:rPr>
      <w:rFonts w:ascii="Calibri Light" w:eastAsia="Calibri Light" w:hAnsi="Calibri Light"/>
      <w:sz w:val="18"/>
      <w:szCs w:val="16"/>
    </w:rPr>
  </w:style>
  <w:style w:type="paragraph" w:styleId="CommentText">
    <w:name w:val="annotation text"/>
    <w:basedOn w:val="Normal"/>
    <w:link w:val="CommentTextChar"/>
    <w:uiPriority w:val="99"/>
    <w:unhideWhenUsed/>
    <w:rsid w:val="00D75558"/>
    <w:pPr>
      <w:spacing w:before="120" w:after="120" w:line="240" w:lineRule="auto"/>
    </w:pPr>
    <w:rPr>
      <w:rFonts w:ascii="Calibri Light" w:eastAsia="Times New Roman" w:hAnsi="Calibri Light" w:cstheme="majorHAnsi"/>
      <w:sz w:val="18"/>
      <w:szCs w:val="20"/>
      <w:lang w:val="en-AU" w:eastAsia="en-AU"/>
    </w:rPr>
  </w:style>
  <w:style w:type="character" w:customStyle="1" w:styleId="CommentTextChar">
    <w:name w:val="Comment Text Char"/>
    <w:basedOn w:val="DefaultParagraphFont"/>
    <w:link w:val="CommentText"/>
    <w:uiPriority w:val="99"/>
    <w:rsid w:val="00D75558"/>
    <w:rPr>
      <w:rFonts w:ascii="Calibri Light" w:eastAsia="Times New Roman" w:hAnsi="Calibri Light" w:cstheme="majorHAnsi"/>
      <w:sz w:val="18"/>
      <w:szCs w:val="20"/>
      <w:lang w:val="en-AU" w:eastAsia="en-AU"/>
    </w:rPr>
  </w:style>
  <w:style w:type="character" w:customStyle="1" w:styleId="BalloonTextChar">
    <w:name w:val="Balloon Text Char"/>
    <w:basedOn w:val="DefaultParagraphFont"/>
    <w:link w:val="BalloonText"/>
    <w:uiPriority w:val="99"/>
    <w:semiHidden/>
    <w:rsid w:val="00D75558"/>
    <w:rPr>
      <w:rFonts w:ascii="Calibri Light" w:eastAsia="Calibri Light" w:hAnsi="Calibri Light" w:cs="Tahoma"/>
      <w:sz w:val="18"/>
      <w:szCs w:val="16"/>
      <w:lang w:val="en-AU" w:eastAsia="en-AU"/>
    </w:rPr>
  </w:style>
  <w:style w:type="paragraph" w:styleId="BalloonText">
    <w:name w:val="Balloon Text"/>
    <w:link w:val="BalloonTextChar"/>
    <w:autoRedefine/>
    <w:uiPriority w:val="99"/>
    <w:semiHidden/>
    <w:unhideWhenUsed/>
    <w:rsid w:val="003666A4"/>
    <w:pPr>
      <w:spacing w:line="276" w:lineRule="auto"/>
    </w:pPr>
    <w:rPr>
      <w:rFonts w:ascii="Calibri Light" w:eastAsia="Calibri Light" w:hAnsi="Calibri Light" w:cs="Tahoma"/>
      <w:sz w:val="18"/>
      <w:szCs w:val="16"/>
      <w:lang w:val="en-AU" w:eastAsia="en-AU"/>
    </w:rPr>
  </w:style>
  <w:style w:type="paragraph" w:styleId="NormalWeb">
    <w:name w:val="Normal (Web)"/>
    <w:basedOn w:val="Normal"/>
    <w:uiPriority w:val="99"/>
    <w:unhideWhenUsed/>
    <w:rsid w:val="003666A4"/>
    <w:pPr>
      <w:spacing w:before="100" w:beforeAutospacing="1" w:after="100" w:afterAutospacing="1" w:line="240" w:lineRule="auto"/>
    </w:pPr>
    <w:rPr>
      <w:rFonts w:eastAsia="Times New Roman"/>
      <w:lang w:val="en-AU" w:eastAsia="en-AU"/>
    </w:rPr>
  </w:style>
  <w:style w:type="character" w:styleId="Strong">
    <w:name w:val="Strong"/>
    <w:basedOn w:val="DefaultParagraphFont"/>
    <w:uiPriority w:val="22"/>
    <w:qFormat/>
    <w:rsid w:val="00D75558"/>
    <w:rPr>
      <w:b/>
      <w:bCs/>
    </w:rPr>
  </w:style>
  <w:style w:type="paragraph" w:styleId="CommentSubject">
    <w:name w:val="annotation subject"/>
    <w:basedOn w:val="CommentText"/>
    <w:next w:val="CommentText"/>
    <w:link w:val="CommentSubjectChar"/>
    <w:autoRedefine/>
    <w:uiPriority w:val="99"/>
    <w:semiHidden/>
    <w:unhideWhenUsed/>
    <w:rsid w:val="00D75558"/>
    <w:rPr>
      <w:rFonts w:eastAsia="Calibri Light"/>
      <w:bCs/>
    </w:rPr>
  </w:style>
  <w:style w:type="character" w:customStyle="1" w:styleId="CommentSubjectChar">
    <w:name w:val="Comment Subject Char"/>
    <w:basedOn w:val="CommentTextChar"/>
    <w:link w:val="CommentSubject"/>
    <w:uiPriority w:val="99"/>
    <w:semiHidden/>
    <w:rsid w:val="00D75558"/>
    <w:rPr>
      <w:rFonts w:ascii="Calibri Light" w:eastAsia="Calibri Light" w:hAnsi="Calibri Light" w:cstheme="majorHAnsi"/>
      <w:bCs/>
      <w:sz w:val="18"/>
      <w:szCs w:val="20"/>
      <w:lang w:val="en-AU" w:eastAsia="en-AU"/>
    </w:rPr>
  </w:style>
  <w:style w:type="table" w:styleId="TableGrid">
    <w:name w:val="Table Grid"/>
    <w:basedOn w:val="TableNormal"/>
    <w:uiPriority w:val="39"/>
    <w:rsid w:val="00D75558"/>
    <w:pPr>
      <w:spacing w:line="240" w:lineRule="auto"/>
    </w:pPr>
    <w:rPr>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DefaultParagraphFont"/>
    <w:rsid w:val="00D75558"/>
  </w:style>
  <w:style w:type="paragraph" w:customStyle="1" w:styleId="Bibliographie1">
    <w:name w:val="Bibliographie1"/>
    <w:basedOn w:val="Normal"/>
    <w:link w:val="BibliographyCar"/>
    <w:rsid w:val="003666A4"/>
    <w:pPr>
      <w:spacing w:line="480" w:lineRule="auto"/>
      <w:ind w:left="720" w:hanging="720"/>
    </w:pPr>
    <w:rPr>
      <w:rFonts w:asciiTheme="majorHAnsi" w:eastAsia="Calibri" w:hAnsiTheme="majorHAnsi" w:cstheme="majorHAnsi"/>
    </w:rPr>
  </w:style>
  <w:style w:type="character" w:customStyle="1" w:styleId="BibliographyCar">
    <w:name w:val="Bibliography Car"/>
    <w:basedOn w:val="DefaultParagraphFont"/>
    <w:link w:val="Bibliographie1"/>
    <w:rsid w:val="00D75558"/>
    <w:rPr>
      <w:rFonts w:asciiTheme="majorHAnsi" w:eastAsia="Calibri" w:hAnsiTheme="majorHAnsi" w:cstheme="majorHAnsi"/>
      <w:lang w:eastAsia="fr-FR"/>
    </w:rPr>
  </w:style>
  <w:style w:type="paragraph" w:customStyle="1" w:styleId="paragraph">
    <w:name w:val="paragraph"/>
    <w:basedOn w:val="Normal"/>
    <w:rsid w:val="003666A4"/>
    <w:pPr>
      <w:spacing w:before="100" w:beforeAutospacing="1" w:after="100" w:afterAutospacing="1" w:line="240" w:lineRule="auto"/>
    </w:pPr>
    <w:rPr>
      <w:rFonts w:eastAsia="Times New Roman"/>
      <w:lang w:val="en-ZA" w:eastAsia="en-ZA"/>
    </w:rPr>
  </w:style>
  <w:style w:type="character" w:customStyle="1" w:styleId="normaltextrun">
    <w:name w:val="normaltextrun"/>
    <w:basedOn w:val="DefaultParagraphFont"/>
    <w:rsid w:val="00D75558"/>
  </w:style>
  <w:style w:type="paragraph" w:styleId="FootnoteText">
    <w:name w:val="footnote text"/>
    <w:aliases w:val="fn,Geneva 9,Font: Geneva 9,Boston 10,f,ft,Fotnotstext Char,ft Char,single space,footnote text,FOOTNOTES,ADB,single space1,footnote text1,FOOTNOTES1,fn1,ADB1,single space2,footnote text2,FOOTNOTES2,fn2,ADB2,single space3,fn3"/>
    <w:basedOn w:val="Normal"/>
    <w:link w:val="FootnoteTextChar"/>
    <w:uiPriority w:val="99"/>
    <w:unhideWhenUsed/>
    <w:qFormat/>
    <w:rsid w:val="003962A1"/>
    <w:pPr>
      <w:spacing w:line="240" w:lineRule="auto"/>
    </w:pPr>
    <w:rPr>
      <w:rFonts w:cstheme="minorHAnsi"/>
      <w:sz w:val="20"/>
      <w:szCs w:val="20"/>
    </w:rPr>
  </w:style>
  <w:style w:type="character" w:customStyle="1" w:styleId="FootnoteTextChar">
    <w:name w:val="Footnote Text Char"/>
    <w:aliases w:val="fn Char,Geneva 9 Char,Font: Geneva 9 Char,Boston 10 Char,f Char,ft Char1,Fotnotstext Char Char,ft Char Char,single space Char,footnote text Char,FOOTNOTES Char,ADB Char,single space1 Char,footnote text1 Char,FOOTNOTES1 Char,fn1 Char"/>
    <w:basedOn w:val="DefaultParagraphFont"/>
    <w:link w:val="FootnoteText"/>
    <w:uiPriority w:val="99"/>
    <w:qFormat/>
    <w:rsid w:val="003962A1"/>
    <w:rPr>
      <w:rFonts w:ascii="Times New Roman" w:hAnsi="Times New Roman" w:cstheme="minorHAnsi"/>
      <w:sz w:val="20"/>
      <w:szCs w:val="20"/>
      <w:lang w:eastAsia="fr-FR"/>
    </w:rPr>
  </w:style>
  <w:style w:type="character" w:styleId="FootnoteReference">
    <w:name w:val="footnote reference"/>
    <w:aliases w:val="number,Footnote Reference Superscript,-E Fußnotenzeichen,(Diplomarbeit FZ),(Diplomarbeit FZ)1,(Diplomarbeit FZ)2,(Diplomarbeit FZ)3,(Diplomarbeit FZ)4,(Diplomarbeit FZ)5,(Diplomarbeit FZ)6,(Diplomarbeit FZ)7,16 Poin,16 Point,Ref"/>
    <w:basedOn w:val="DefaultParagraphFont"/>
    <w:uiPriority w:val="99"/>
    <w:unhideWhenUsed/>
    <w:qFormat/>
    <w:rsid w:val="00D75558"/>
    <w:rPr>
      <w:vertAlign w:val="superscript"/>
    </w:rPr>
  </w:style>
  <w:style w:type="character" w:customStyle="1" w:styleId="e24kjd">
    <w:name w:val="e24kjd"/>
    <w:basedOn w:val="DefaultParagraphFont"/>
    <w:rsid w:val="00D75558"/>
  </w:style>
  <w:style w:type="paragraph" w:styleId="BodyText">
    <w:name w:val="Body Text"/>
    <w:link w:val="BodyTextChar"/>
    <w:qFormat/>
    <w:rsid w:val="003666A4"/>
    <w:pPr>
      <w:spacing w:before="120" w:after="120" w:line="264" w:lineRule="auto"/>
    </w:pPr>
    <w:rPr>
      <w:rFonts w:ascii="Calibri" w:eastAsia="Calibri" w:hAnsi="Calibri"/>
      <w:color w:val="000000"/>
      <w:lang w:val="en-AU" w:eastAsia="en-AU"/>
    </w:rPr>
  </w:style>
  <w:style w:type="character" w:customStyle="1" w:styleId="BodyTextChar">
    <w:name w:val="Body Text Char"/>
    <w:basedOn w:val="DefaultParagraphFont"/>
    <w:link w:val="BodyText"/>
    <w:rsid w:val="00D75558"/>
    <w:rPr>
      <w:rFonts w:ascii="Calibri" w:eastAsia="Calibri" w:hAnsi="Calibri"/>
      <w:color w:val="000000"/>
      <w:lang w:val="en-AU" w:eastAsia="en-AU"/>
    </w:rPr>
  </w:style>
  <w:style w:type="paragraph" w:customStyle="1" w:styleId="CoverTitle">
    <w:name w:val="CoverTitle"/>
    <w:next w:val="Normal"/>
    <w:uiPriority w:val="12"/>
    <w:qFormat/>
    <w:rsid w:val="00D75558"/>
    <w:pPr>
      <w:spacing w:after="170" w:line="216" w:lineRule="auto"/>
    </w:pPr>
    <w:rPr>
      <w:rFonts w:ascii="Calibri" w:eastAsiaTheme="majorEastAsia" w:hAnsi="Calibri" w:cstheme="majorBidi"/>
      <w:b/>
      <w:color w:val="ED7D31" w:themeColor="accent2"/>
      <w:spacing w:val="5"/>
      <w:kern w:val="28"/>
      <w:sz w:val="80"/>
      <w:szCs w:val="52"/>
      <w:lang w:val="en-AU" w:eastAsia="en-AU"/>
    </w:rPr>
  </w:style>
  <w:style w:type="character" w:customStyle="1" w:styleId="tgc">
    <w:name w:val="_tgc"/>
    <w:basedOn w:val="DefaultParagraphFont"/>
    <w:rsid w:val="00D75558"/>
  </w:style>
  <w:style w:type="character" w:customStyle="1" w:styleId="Mencinsinresolver1">
    <w:name w:val="Mención sin resolver1"/>
    <w:basedOn w:val="DefaultParagraphFont"/>
    <w:uiPriority w:val="99"/>
    <w:semiHidden/>
    <w:unhideWhenUsed/>
    <w:rsid w:val="00D75558"/>
    <w:rPr>
      <w:color w:val="605E5C"/>
      <w:shd w:val="clear" w:color="auto" w:fill="E1DFDD"/>
    </w:rPr>
  </w:style>
  <w:style w:type="table" w:customStyle="1" w:styleId="TableCSIRO">
    <w:name w:val="Table_CSIRO"/>
    <w:basedOn w:val="TableNormal"/>
    <w:uiPriority w:val="99"/>
    <w:qFormat/>
    <w:rsid w:val="00D75558"/>
    <w:pPr>
      <w:spacing w:line="240" w:lineRule="auto"/>
    </w:pPr>
    <w:rPr>
      <w:rFonts w:ascii="Calibri" w:eastAsiaTheme="minorHAnsi" w:hAnsi="Calibri"/>
      <w:lang w:val="en-AU" w:eastAsia="en-AU"/>
    </w:rPr>
    <w:tblPr>
      <w:tblStyleRowBandSize w:val="1"/>
      <w:tblInd w:w="113" w:type="dxa"/>
      <w:tblBorders>
        <w:bottom w:val="single" w:sz="4" w:space="0" w:color="auto"/>
      </w:tblBorders>
      <w:tblCellMar>
        <w:left w:w="85" w:type="dxa"/>
        <w:bottom w:w="28" w:type="dxa"/>
        <w:right w:w="85" w:type="dxa"/>
      </w:tblCellMar>
    </w:tblPr>
    <w:tblStylePr w:type="firstRow">
      <w:pPr>
        <w:spacing w:before="0" w:after="0" w:line="240" w:lineRule="auto"/>
      </w:pPr>
      <w:rPr>
        <w:b/>
        <w:bCs/>
        <w:color w:val="FFFFFF" w:themeColor="background1"/>
      </w:rPr>
      <w:tblPr/>
      <w:tcPr>
        <w:tcBorders>
          <w:top w:val="nil"/>
          <w:left w:val="nil"/>
          <w:bottom w:val="nil"/>
          <w:right w:val="nil"/>
          <w:insideH w:val="nil"/>
          <w:insideV w:val="nil"/>
          <w:tl2br w:val="nil"/>
          <w:tr2bl w:val="nil"/>
        </w:tcBorders>
        <w:shd w:val="clear" w:color="auto" w:fill="000000" w:themeFill="text1"/>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Horz">
      <w:tblPr/>
      <w:tcPr>
        <w:tcBorders>
          <w:left w:val="nil"/>
          <w:right w:val="nil"/>
          <w:insideH w:val="nil"/>
          <w:insideV w:val="nil"/>
        </w:tcBorders>
        <w:shd w:val="clear" w:color="auto" w:fill="EDEDED"/>
      </w:tcPr>
    </w:tblStylePr>
  </w:style>
  <w:style w:type="character" w:customStyle="1" w:styleId="st">
    <w:name w:val="st"/>
    <w:basedOn w:val="DefaultParagraphFont"/>
    <w:rsid w:val="00D75558"/>
  </w:style>
  <w:style w:type="paragraph" w:styleId="Caption">
    <w:name w:val="caption"/>
    <w:basedOn w:val="BodyText"/>
    <w:next w:val="BodyText"/>
    <w:uiPriority w:val="4"/>
    <w:qFormat/>
    <w:rsid w:val="003666A4"/>
    <w:pPr>
      <w:keepNext/>
      <w:spacing w:before="240" w:line="240" w:lineRule="auto"/>
    </w:pPr>
    <w:rPr>
      <w:rFonts w:ascii="Times New Roman" w:eastAsia="Times New Roman" w:hAnsi="Times New Roman"/>
      <w:b/>
      <w:bCs/>
      <w:color w:val="auto"/>
      <w:lang w:eastAsia="ja-JP"/>
    </w:rPr>
  </w:style>
  <w:style w:type="character" w:customStyle="1" w:styleId="PartNumber">
    <w:name w:val="PartNumber"/>
    <w:basedOn w:val="DefaultParagraphFont"/>
    <w:uiPriority w:val="15"/>
    <w:qFormat/>
    <w:rsid w:val="00D75558"/>
    <w:rPr>
      <w:color w:val="ED7D31" w:themeColor="accent2"/>
    </w:rPr>
  </w:style>
  <w:style w:type="character" w:styleId="Emphasis">
    <w:name w:val="Emphasis"/>
    <w:basedOn w:val="DefaultParagraphFont"/>
    <w:uiPriority w:val="20"/>
    <w:qFormat/>
    <w:rsid w:val="00D75558"/>
    <w:rPr>
      <w:i/>
      <w:iCs/>
    </w:rPr>
  </w:style>
  <w:style w:type="paragraph" w:customStyle="1" w:styleId="Default">
    <w:name w:val="Default"/>
    <w:rsid w:val="003666A4"/>
    <w:pPr>
      <w:autoSpaceDE w:val="0"/>
      <w:autoSpaceDN w:val="0"/>
      <w:adjustRightInd w:val="0"/>
      <w:spacing w:line="240" w:lineRule="auto"/>
    </w:pPr>
    <w:rPr>
      <w:rFonts w:ascii="Calibri" w:hAnsi="Calibri" w:cs="Calibri"/>
      <w:color w:val="000000"/>
      <w:lang w:val="en-AU"/>
    </w:rPr>
  </w:style>
  <w:style w:type="character" w:styleId="FollowedHyperlink">
    <w:name w:val="FollowedHyperlink"/>
    <w:basedOn w:val="DefaultParagraphFont"/>
    <w:uiPriority w:val="99"/>
    <w:semiHidden/>
    <w:unhideWhenUsed/>
    <w:rsid w:val="00D75558"/>
    <w:rPr>
      <w:color w:val="954F72" w:themeColor="followedHyperlink"/>
      <w:u w:val="single"/>
    </w:rPr>
  </w:style>
  <w:style w:type="character" w:customStyle="1" w:styleId="field-content">
    <w:name w:val="field-content"/>
    <w:basedOn w:val="DefaultParagraphFont"/>
    <w:rsid w:val="00D75558"/>
  </w:style>
  <w:style w:type="character" w:customStyle="1" w:styleId="UnresolvedMention1">
    <w:name w:val="Unresolved Mention1"/>
    <w:basedOn w:val="DefaultParagraphFont"/>
    <w:uiPriority w:val="99"/>
    <w:semiHidden/>
    <w:unhideWhenUsed/>
    <w:rsid w:val="00D75558"/>
    <w:rPr>
      <w:color w:val="605E5C"/>
      <w:shd w:val="clear" w:color="auto" w:fill="E1DFDD"/>
    </w:rPr>
  </w:style>
  <w:style w:type="character" w:customStyle="1" w:styleId="eop">
    <w:name w:val="eop"/>
    <w:basedOn w:val="DefaultParagraphFont"/>
    <w:rsid w:val="00D75558"/>
  </w:style>
  <w:style w:type="paragraph" w:styleId="TOC4">
    <w:name w:val="toc 4"/>
    <w:basedOn w:val="Normal"/>
    <w:next w:val="Normal"/>
    <w:autoRedefine/>
    <w:uiPriority w:val="39"/>
    <w:unhideWhenUsed/>
    <w:rsid w:val="00B50C5B"/>
    <w:pPr>
      <w:spacing w:after="100"/>
      <w:ind w:left="660"/>
    </w:pPr>
    <w:rPr>
      <w:rFonts w:asciiTheme="minorHAnsi" w:hAnsiTheme="minorHAnsi" w:cstheme="minorBidi"/>
      <w:sz w:val="22"/>
    </w:rPr>
  </w:style>
  <w:style w:type="paragraph" w:styleId="TOC5">
    <w:name w:val="toc 5"/>
    <w:basedOn w:val="Normal"/>
    <w:next w:val="Normal"/>
    <w:autoRedefine/>
    <w:uiPriority w:val="39"/>
    <w:unhideWhenUsed/>
    <w:rsid w:val="00B50C5B"/>
    <w:pPr>
      <w:spacing w:after="100"/>
      <w:ind w:left="880"/>
    </w:pPr>
    <w:rPr>
      <w:rFonts w:asciiTheme="minorHAnsi" w:hAnsiTheme="minorHAnsi" w:cstheme="minorBidi"/>
      <w:sz w:val="22"/>
    </w:rPr>
  </w:style>
  <w:style w:type="paragraph" w:styleId="TOC6">
    <w:name w:val="toc 6"/>
    <w:basedOn w:val="Normal"/>
    <w:next w:val="Normal"/>
    <w:autoRedefine/>
    <w:uiPriority w:val="39"/>
    <w:unhideWhenUsed/>
    <w:rsid w:val="00B50C5B"/>
    <w:pPr>
      <w:spacing w:after="100"/>
      <w:ind w:left="1100"/>
    </w:pPr>
    <w:rPr>
      <w:rFonts w:asciiTheme="minorHAnsi" w:hAnsiTheme="minorHAnsi" w:cstheme="minorBidi"/>
      <w:sz w:val="22"/>
    </w:rPr>
  </w:style>
  <w:style w:type="paragraph" w:styleId="TOC7">
    <w:name w:val="toc 7"/>
    <w:basedOn w:val="Normal"/>
    <w:next w:val="Normal"/>
    <w:autoRedefine/>
    <w:uiPriority w:val="39"/>
    <w:unhideWhenUsed/>
    <w:rsid w:val="00B50C5B"/>
    <w:pPr>
      <w:spacing w:after="100"/>
      <w:ind w:left="1320"/>
    </w:pPr>
    <w:rPr>
      <w:rFonts w:asciiTheme="minorHAnsi" w:hAnsiTheme="minorHAnsi" w:cstheme="minorBidi"/>
      <w:sz w:val="22"/>
    </w:rPr>
  </w:style>
  <w:style w:type="paragraph" w:styleId="TOC8">
    <w:name w:val="toc 8"/>
    <w:basedOn w:val="Normal"/>
    <w:next w:val="Normal"/>
    <w:autoRedefine/>
    <w:uiPriority w:val="39"/>
    <w:unhideWhenUsed/>
    <w:rsid w:val="00B50C5B"/>
    <w:pPr>
      <w:spacing w:after="100"/>
      <w:ind w:left="1540"/>
    </w:pPr>
    <w:rPr>
      <w:rFonts w:asciiTheme="minorHAnsi" w:hAnsiTheme="minorHAnsi" w:cstheme="minorBidi"/>
      <w:sz w:val="22"/>
    </w:rPr>
  </w:style>
  <w:style w:type="paragraph" w:styleId="TOC9">
    <w:name w:val="toc 9"/>
    <w:basedOn w:val="Normal"/>
    <w:next w:val="Normal"/>
    <w:autoRedefine/>
    <w:uiPriority w:val="39"/>
    <w:unhideWhenUsed/>
    <w:rsid w:val="00B50C5B"/>
    <w:pPr>
      <w:spacing w:after="100"/>
      <w:ind w:left="1760"/>
    </w:pPr>
    <w:rPr>
      <w:rFonts w:asciiTheme="minorHAnsi" w:hAnsiTheme="minorHAnsi" w:cstheme="minorBidi"/>
      <w:sz w:val="22"/>
    </w:rPr>
  </w:style>
  <w:style w:type="paragraph" w:styleId="Bibliography">
    <w:name w:val="Bibliography"/>
    <w:basedOn w:val="Normal"/>
    <w:next w:val="Normal"/>
    <w:uiPriority w:val="37"/>
    <w:unhideWhenUsed/>
    <w:rsid w:val="00B50C5B"/>
    <w:pPr>
      <w:spacing w:line="480" w:lineRule="auto"/>
      <w:ind w:left="720" w:hanging="720"/>
    </w:pPr>
  </w:style>
  <w:style w:type="paragraph" w:styleId="Revision">
    <w:name w:val="Revision"/>
    <w:hidden/>
    <w:uiPriority w:val="99"/>
    <w:semiHidden/>
    <w:rsid w:val="003666A4"/>
    <w:pPr>
      <w:spacing w:line="240" w:lineRule="auto"/>
    </w:pPr>
  </w:style>
  <w:style w:type="paragraph" w:styleId="TableofFigures">
    <w:name w:val="table of figures"/>
    <w:basedOn w:val="Normal"/>
    <w:next w:val="Normal"/>
    <w:uiPriority w:val="99"/>
    <w:unhideWhenUsed/>
    <w:rsid w:val="000C7D23"/>
    <w:pPr>
      <w:ind w:leftChars="200" w:left="200" w:hangingChars="200" w:hanging="200"/>
    </w:pPr>
  </w:style>
  <w:style w:type="character" w:customStyle="1" w:styleId="personname">
    <w:name w:val="person_name"/>
    <w:basedOn w:val="DefaultParagraphFont"/>
    <w:rsid w:val="007744A3"/>
  </w:style>
  <w:style w:type="character" w:customStyle="1" w:styleId="UnresolvedMention2">
    <w:name w:val="Unresolved Mention2"/>
    <w:basedOn w:val="DefaultParagraphFont"/>
    <w:uiPriority w:val="99"/>
    <w:semiHidden/>
    <w:unhideWhenUsed/>
    <w:rsid w:val="007744A3"/>
    <w:rPr>
      <w:color w:val="605E5C"/>
      <w:shd w:val="clear" w:color="auto" w:fill="E1DFDD"/>
    </w:rPr>
  </w:style>
  <w:style w:type="character" w:styleId="EndnoteReference">
    <w:name w:val="endnote reference"/>
    <w:basedOn w:val="DefaultParagraphFont"/>
    <w:uiPriority w:val="99"/>
    <w:semiHidden/>
    <w:unhideWhenUsed/>
    <w:rsid w:val="00D939B9"/>
    <w:rPr>
      <w:vertAlign w:val="superscript"/>
    </w:rPr>
  </w:style>
  <w:style w:type="table" w:styleId="TableGridLight">
    <w:name w:val="Grid Table Light"/>
    <w:basedOn w:val="TableNormal"/>
    <w:uiPriority w:val="40"/>
    <w:rsid w:val="00F906E0"/>
    <w:pPr>
      <w:spacing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tionnonrsolue1">
    <w:name w:val="Mention non résolue1"/>
    <w:basedOn w:val="DefaultParagraphFont"/>
    <w:uiPriority w:val="99"/>
    <w:semiHidden/>
    <w:unhideWhenUsed/>
    <w:rsid w:val="001B0409"/>
    <w:rPr>
      <w:color w:val="605E5C"/>
      <w:shd w:val="clear" w:color="auto" w:fill="E1DFDD"/>
    </w:rPr>
  </w:style>
  <w:style w:type="character" w:customStyle="1" w:styleId="Mentionnonrsolue2">
    <w:name w:val="Mention non résolue2"/>
    <w:basedOn w:val="DefaultParagraphFont"/>
    <w:uiPriority w:val="99"/>
    <w:semiHidden/>
    <w:unhideWhenUsed/>
    <w:rsid w:val="001B0409"/>
    <w:rPr>
      <w:color w:val="605E5C"/>
      <w:shd w:val="clear" w:color="auto" w:fill="E1DFDD"/>
    </w:rPr>
  </w:style>
  <w:style w:type="character" w:customStyle="1" w:styleId="UnresolvedMention3">
    <w:name w:val="Unresolved Mention3"/>
    <w:basedOn w:val="DefaultParagraphFont"/>
    <w:uiPriority w:val="99"/>
    <w:semiHidden/>
    <w:unhideWhenUsed/>
    <w:rsid w:val="001B0409"/>
    <w:rPr>
      <w:color w:val="605E5C"/>
      <w:shd w:val="clear" w:color="auto" w:fill="E1DFDD"/>
    </w:rPr>
  </w:style>
  <w:style w:type="character" w:customStyle="1" w:styleId="Mencinsinresolver2">
    <w:name w:val="Mención sin resolver2"/>
    <w:basedOn w:val="DefaultParagraphFont"/>
    <w:uiPriority w:val="99"/>
    <w:semiHidden/>
    <w:unhideWhenUsed/>
    <w:rsid w:val="001B0409"/>
    <w:rPr>
      <w:color w:val="605E5C"/>
      <w:shd w:val="clear" w:color="auto" w:fill="E1DFDD"/>
    </w:rPr>
  </w:style>
  <w:style w:type="character" w:customStyle="1" w:styleId="h1">
    <w:name w:val="h1"/>
    <w:basedOn w:val="DefaultParagraphFont"/>
    <w:rsid w:val="001B0409"/>
  </w:style>
  <w:style w:type="character" w:customStyle="1" w:styleId="UnresolvedMention30">
    <w:name w:val="Unresolved Mention30"/>
    <w:basedOn w:val="DefaultParagraphFont"/>
    <w:uiPriority w:val="99"/>
    <w:semiHidden/>
    <w:unhideWhenUsed/>
    <w:rsid w:val="001B0409"/>
    <w:rPr>
      <w:color w:val="605E5C"/>
      <w:shd w:val="clear" w:color="auto" w:fill="E1DFDD"/>
    </w:rPr>
  </w:style>
  <w:style w:type="character" w:customStyle="1" w:styleId="BalloonTextChar1">
    <w:name w:val="Balloon Text Char1"/>
    <w:basedOn w:val="DefaultParagraphFont"/>
    <w:uiPriority w:val="99"/>
    <w:semiHidden/>
    <w:rsid w:val="001B0409"/>
    <w:rPr>
      <w:rFonts w:ascii="Segoe UI" w:hAnsi="Segoe UI" w:cs="Segoe UI"/>
      <w:noProof/>
      <w:sz w:val="18"/>
      <w:szCs w:val="18"/>
    </w:rPr>
  </w:style>
  <w:style w:type="character" w:customStyle="1" w:styleId="UnresolvedMention300">
    <w:name w:val="Unresolved Mention300"/>
    <w:basedOn w:val="DefaultParagraphFont"/>
    <w:uiPriority w:val="99"/>
    <w:semiHidden/>
    <w:unhideWhenUsed/>
    <w:rsid w:val="00F323D0"/>
    <w:rPr>
      <w:color w:val="605E5C"/>
      <w:shd w:val="clear" w:color="auto" w:fill="E1DFDD"/>
    </w:rPr>
  </w:style>
  <w:style w:type="character" w:customStyle="1" w:styleId="UnresolvedMention3000">
    <w:name w:val="Unresolved Mention3000"/>
    <w:basedOn w:val="DefaultParagraphFont"/>
    <w:uiPriority w:val="99"/>
    <w:semiHidden/>
    <w:unhideWhenUsed/>
    <w:rsid w:val="00EB7AB8"/>
    <w:rPr>
      <w:color w:val="605E5C"/>
      <w:shd w:val="clear" w:color="auto" w:fill="E1DFDD"/>
    </w:rPr>
  </w:style>
  <w:style w:type="character" w:customStyle="1" w:styleId="UnresolvedMention4">
    <w:name w:val="Unresolved Mention4"/>
    <w:basedOn w:val="DefaultParagraphFont"/>
    <w:uiPriority w:val="99"/>
    <w:semiHidden/>
    <w:unhideWhenUsed/>
    <w:rsid w:val="0067327D"/>
    <w:rPr>
      <w:color w:val="605E5C"/>
      <w:shd w:val="clear" w:color="auto" w:fill="E1DFDD"/>
    </w:rPr>
  </w:style>
  <w:style w:type="character" w:customStyle="1" w:styleId="UnresolvedMention5">
    <w:name w:val="Unresolved Mention5"/>
    <w:basedOn w:val="DefaultParagraphFont"/>
    <w:uiPriority w:val="99"/>
    <w:semiHidden/>
    <w:unhideWhenUsed/>
    <w:rsid w:val="00F6501A"/>
    <w:rPr>
      <w:color w:val="605E5C"/>
      <w:shd w:val="clear" w:color="auto" w:fill="E1DFDD"/>
    </w:rPr>
  </w:style>
  <w:style w:type="character" w:customStyle="1" w:styleId="UnresolvedMention6">
    <w:name w:val="Unresolved Mention6"/>
    <w:basedOn w:val="DefaultParagraphFont"/>
    <w:uiPriority w:val="99"/>
    <w:semiHidden/>
    <w:unhideWhenUsed/>
    <w:rsid w:val="00354822"/>
    <w:rPr>
      <w:color w:val="605E5C"/>
      <w:shd w:val="clear" w:color="auto" w:fill="E1DFDD"/>
    </w:rPr>
  </w:style>
  <w:style w:type="character" w:customStyle="1" w:styleId="markedcontent">
    <w:name w:val="markedcontent"/>
    <w:basedOn w:val="DefaultParagraphFont"/>
    <w:rsid w:val="00E93B81"/>
  </w:style>
  <w:style w:type="character" w:customStyle="1" w:styleId="UnresolvedMention7">
    <w:name w:val="Unresolved Mention7"/>
    <w:basedOn w:val="DefaultParagraphFont"/>
    <w:uiPriority w:val="99"/>
    <w:semiHidden/>
    <w:unhideWhenUsed/>
    <w:rsid w:val="00DA2991"/>
    <w:rPr>
      <w:color w:val="605E5C"/>
      <w:shd w:val="clear" w:color="auto" w:fill="E1DFDD"/>
    </w:rPr>
  </w:style>
  <w:style w:type="character" w:customStyle="1" w:styleId="UnresolvedMention8">
    <w:name w:val="Unresolved Mention8"/>
    <w:basedOn w:val="DefaultParagraphFont"/>
    <w:uiPriority w:val="99"/>
    <w:semiHidden/>
    <w:unhideWhenUsed/>
    <w:rsid w:val="00331DA3"/>
    <w:rPr>
      <w:color w:val="605E5C"/>
      <w:shd w:val="clear" w:color="auto" w:fill="E1DFDD"/>
    </w:rPr>
  </w:style>
  <w:style w:type="character" w:customStyle="1" w:styleId="author">
    <w:name w:val="author"/>
    <w:basedOn w:val="DefaultParagraphFont"/>
    <w:rsid w:val="00331DA3"/>
  </w:style>
  <w:style w:type="character" w:customStyle="1" w:styleId="pubyear">
    <w:name w:val="pubyear"/>
    <w:basedOn w:val="DefaultParagraphFont"/>
    <w:rsid w:val="00331DA3"/>
  </w:style>
  <w:style w:type="character" w:customStyle="1" w:styleId="articletitle">
    <w:name w:val="articletitle"/>
    <w:basedOn w:val="DefaultParagraphFont"/>
    <w:rsid w:val="00331DA3"/>
  </w:style>
  <w:style w:type="character" w:customStyle="1" w:styleId="vol">
    <w:name w:val="vol"/>
    <w:basedOn w:val="DefaultParagraphFont"/>
    <w:rsid w:val="00331DA3"/>
  </w:style>
  <w:style w:type="character" w:customStyle="1" w:styleId="citedissue">
    <w:name w:val="citedissue"/>
    <w:basedOn w:val="DefaultParagraphFont"/>
    <w:rsid w:val="00331DA3"/>
  </w:style>
  <w:style w:type="character" w:customStyle="1" w:styleId="pagefirst">
    <w:name w:val="pagefirst"/>
    <w:basedOn w:val="DefaultParagraphFont"/>
    <w:rsid w:val="00331DA3"/>
  </w:style>
  <w:style w:type="character" w:customStyle="1" w:styleId="pagelast">
    <w:name w:val="pagelast"/>
    <w:basedOn w:val="DefaultParagraphFont"/>
    <w:rsid w:val="00331DA3"/>
  </w:style>
  <w:style w:type="character" w:customStyle="1" w:styleId="agrovalue">
    <w:name w:val="agrovalue"/>
    <w:basedOn w:val="DefaultParagraphFont"/>
    <w:rsid w:val="000D60E1"/>
  </w:style>
  <w:style w:type="character" w:customStyle="1" w:styleId="named-content">
    <w:name w:val="named-content"/>
    <w:basedOn w:val="DefaultParagraphFont"/>
    <w:rsid w:val="000D60E1"/>
  </w:style>
  <w:style w:type="paragraph" w:customStyle="1" w:styleId="xmsolistparagraph">
    <w:name w:val="x_msolistparagraph"/>
    <w:basedOn w:val="Normal"/>
    <w:rsid w:val="003666A4"/>
    <w:pPr>
      <w:spacing w:line="240" w:lineRule="auto"/>
      <w:ind w:left="720"/>
    </w:pPr>
    <w:rPr>
      <w:rFonts w:eastAsiaTheme="minorHAnsi"/>
      <w:lang w:val="en-AU" w:eastAsia="en-AU"/>
    </w:rPr>
  </w:style>
  <w:style w:type="character" w:customStyle="1" w:styleId="Mencinsinresolver3">
    <w:name w:val="Mención sin resolver3"/>
    <w:basedOn w:val="DefaultParagraphFont"/>
    <w:uiPriority w:val="99"/>
    <w:semiHidden/>
    <w:unhideWhenUsed/>
    <w:rsid w:val="009F124B"/>
    <w:rPr>
      <w:color w:val="605E5C"/>
      <w:shd w:val="clear" w:color="auto" w:fill="E1DFDD"/>
    </w:rPr>
  </w:style>
  <w:style w:type="table" w:styleId="GridTable1Light">
    <w:name w:val="Grid Table 1 Light"/>
    <w:basedOn w:val="TableNormal"/>
    <w:uiPriority w:val="46"/>
    <w:rsid w:val="00393F6C"/>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9">
    <w:name w:val="Unresolved Mention9"/>
    <w:basedOn w:val="DefaultParagraphFont"/>
    <w:uiPriority w:val="99"/>
    <w:semiHidden/>
    <w:unhideWhenUsed/>
    <w:rsid w:val="00BF20CD"/>
    <w:rPr>
      <w:color w:val="605E5C"/>
      <w:shd w:val="clear" w:color="auto" w:fill="E1DFDD"/>
    </w:rPr>
  </w:style>
  <w:style w:type="character" w:customStyle="1" w:styleId="UnresolvedMention10">
    <w:name w:val="Unresolved Mention10"/>
    <w:basedOn w:val="DefaultParagraphFont"/>
    <w:uiPriority w:val="99"/>
    <w:semiHidden/>
    <w:unhideWhenUsed/>
    <w:rsid w:val="00601FF0"/>
    <w:rPr>
      <w:color w:val="605E5C"/>
      <w:shd w:val="clear" w:color="auto" w:fill="E1DFDD"/>
    </w:rPr>
  </w:style>
  <w:style w:type="character" w:customStyle="1" w:styleId="plainlinks">
    <w:name w:val="plainlinks"/>
    <w:basedOn w:val="DefaultParagraphFont"/>
    <w:rsid w:val="004A6277"/>
  </w:style>
  <w:style w:type="character" w:customStyle="1" w:styleId="UnresolvedMention11">
    <w:name w:val="Unresolved Mention11"/>
    <w:basedOn w:val="DefaultParagraphFont"/>
    <w:uiPriority w:val="99"/>
    <w:semiHidden/>
    <w:unhideWhenUsed/>
    <w:rsid w:val="00874D14"/>
    <w:rPr>
      <w:color w:val="605E5C"/>
      <w:shd w:val="clear" w:color="auto" w:fill="E1DFDD"/>
    </w:rPr>
  </w:style>
  <w:style w:type="character" w:customStyle="1" w:styleId="highwire-cite-metadata-doi">
    <w:name w:val="highwire-cite-metadata-doi"/>
    <w:basedOn w:val="DefaultParagraphFont"/>
    <w:rsid w:val="00874D14"/>
  </w:style>
  <w:style w:type="character" w:customStyle="1" w:styleId="UnresolvedMention100">
    <w:name w:val="Unresolved Mention100"/>
    <w:basedOn w:val="DefaultParagraphFont"/>
    <w:uiPriority w:val="99"/>
    <w:semiHidden/>
    <w:unhideWhenUsed/>
    <w:rsid w:val="00874D14"/>
    <w:rPr>
      <w:color w:val="605E5C"/>
      <w:shd w:val="clear" w:color="auto" w:fill="E1DFDD"/>
    </w:rPr>
  </w:style>
  <w:style w:type="character" w:customStyle="1" w:styleId="text">
    <w:name w:val="text"/>
    <w:basedOn w:val="DefaultParagraphFont"/>
    <w:rsid w:val="00874D14"/>
  </w:style>
  <w:style w:type="paragraph" w:customStyle="1" w:styleId="fn31">
    <w:name w:val="fn31"/>
    <w:basedOn w:val="Normal"/>
    <w:next w:val="FootnoteText"/>
    <w:uiPriority w:val="99"/>
    <w:unhideWhenUsed/>
    <w:qFormat/>
    <w:rsid w:val="00874D14"/>
    <w:pPr>
      <w:spacing w:line="240" w:lineRule="auto"/>
    </w:pPr>
    <w:rPr>
      <w:rFonts w:asciiTheme="minorHAnsi" w:eastAsiaTheme="minorHAnsi" w:hAnsiTheme="minorHAnsi" w:cs="Calibri"/>
      <w:sz w:val="20"/>
      <w:szCs w:val="20"/>
      <w:lang w:val="en-AU"/>
    </w:rPr>
  </w:style>
  <w:style w:type="character" w:customStyle="1" w:styleId="FootnoteTextChar1">
    <w:name w:val="Footnote Text Char1"/>
    <w:basedOn w:val="DefaultParagraphFont"/>
    <w:uiPriority w:val="99"/>
    <w:rsid w:val="00874D14"/>
    <w:rPr>
      <w:sz w:val="20"/>
      <w:szCs w:val="20"/>
    </w:rPr>
  </w:style>
  <w:style w:type="character" w:customStyle="1" w:styleId="Mentionnonrsolue3">
    <w:name w:val="Mention non résolue3"/>
    <w:basedOn w:val="DefaultParagraphFont"/>
    <w:uiPriority w:val="99"/>
    <w:semiHidden/>
    <w:unhideWhenUsed/>
    <w:rsid w:val="00E12287"/>
    <w:rPr>
      <w:color w:val="605E5C"/>
      <w:shd w:val="clear" w:color="auto" w:fill="E1DFDD"/>
    </w:rPr>
  </w:style>
  <w:style w:type="character" w:customStyle="1" w:styleId="UnresolvedMention12">
    <w:name w:val="Unresolved Mention12"/>
    <w:basedOn w:val="DefaultParagraphFont"/>
    <w:uiPriority w:val="99"/>
    <w:semiHidden/>
    <w:unhideWhenUsed/>
    <w:rsid w:val="000B0E84"/>
    <w:rPr>
      <w:color w:val="605E5C"/>
      <w:shd w:val="clear" w:color="auto" w:fill="E1DFDD"/>
    </w:rPr>
  </w:style>
  <w:style w:type="character" w:customStyle="1" w:styleId="UnresolvedMention13">
    <w:name w:val="Unresolved Mention13"/>
    <w:basedOn w:val="DefaultParagraphFont"/>
    <w:uiPriority w:val="99"/>
    <w:semiHidden/>
    <w:unhideWhenUsed/>
    <w:rsid w:val="00720C6F"/>
    <w:rPr>
      <w:color w:val="605E5C"/>
      <w:shd w:val="clear" w:color="auto" w:fill="E1DFDD"/>
    </w:rPr>
  </w:style>
  <w:style w:type="numbering" w:customStyle="1" w:styleId="CurrentList1">
    <w:name w:val="Current List1"/>
    <w:uiPriority w:val="99"/>
    <w:rsid w:val="008B3B84"/>
    <w:pPr>
      <w:numPr>
        <w:numId w:val="43"/>
      </w:numPr>
    </w:pPr>
  </w:style>
  <w:style w:type="character" w:styleId="PageNumber">
    <w:name w:val="page number"/>
    <w:basedOn w:val="DefaultParagraphFont"/>
    <w:uiPriority w:val="99"/>
    <w:semiHidden/>
    <w:unhideWhenUsed/>
    <w:rsid w:val="00FD5088"/>
  </w:style>
  <w:style w:type="numbering" w:customStyle="1" w:styleId="CurrentList2">
    <w:name w:val="Current List2"/>
    <w:uiPriority w:val="99"/>
    <w:rsid w:val="00721E3A"/>
    <w:pPr>
      <w:numPr>
        <w:numId w:val="44"/>
      </w:numPr>
    </w:pPr>
  </w:style>
  <w:style w:type="numbering" w:customStyle="1" w:styleId="CurrentList3">
    <w:name w:val="Current List3"/>
    <w:uiPriority w:val="99"/>
    <w:rsid w:val="00721E3A"/>
    <w:pPr>
      <w:numPr>
        <w:numId w:val="45"/>
      </w:numPr>
    </w:pPr>
  </w:style>
  <w:style w:type="numbering" w:customStyle="1" w:styleId="CurrentList4">
    <w:name w:val="Current List4"/>
    <w:uiPriority w:val="99"/>
    <w:rsid w:val="00A40615"/>
    <w:pPr>
      <w:numPr>
        <w:numId w:val="46"/>
      </w:numPr>
    </w:pPr>
  </w:style>
  <w:style w:type="numbering" w:customStyle="1" w:styleId="CurrentList5">
    <w:name w:val="Current List5"/>
    <w:uiPriority w:val="99"/>
    <w:rsid w:val="000806D1"/>
    <w:pPr>
      <w:numPr>
        <w:numId w:val="47"/>
      </w:numPr>
    </w:pPr>
  </w:style>
  <w:style w:type="numbering" w:customStyle="1" w:styleId="CurrentList6">
    <w:name w:val="Current List6"/>
    <w:uiPriority w:val="99"/>
    <w:rsid w:val="000806D1"/>
    <w:pPr>
      <w:numPr>
        <w:numId w:val="48"/>
      </w:numPr>
    </w:pPr>
  </w:style>
  <w:style w:type="character" w:customStyle="1" w:styleId="hgkelc">
    <w:name w:val="hgkelc"/>
    <w:basedOn w:val="DefaultParagraphFont"/>
    <w:rsid w:val="00D1788F"/>
  </w:style>
  <w:style w:type="character" w:styleId="UnresolvedMention">
    <w:name w:val="Unresolved Mention"/>
    <w:basedOn w:val="DefaultParagraphFont"/>
    <w:uiPriority w:val="99"/>
    <w:semiHidden/>
    <w:unhideWhenUsed/>
    <w:rsid w:val="001D6A88"/>
    <w:rPr>
      <w:color w:val="605E5C"/>
      <w:shd w:val="clear" w:color="auto" w:fill="E1DFDD"/>
    </w:rPr>
  </w:style>
  <w:style w:type="character" w:customStyle="1" w:styleId="contentpasted0">
    <w:name w:val="contentpasted0"/>
    <w:basedOn w:val="DefaultParagraphFont"/>
    <w:rsid w:val="00DD3707"/>
  </w:style>
  <w:style w:type="character" w:customStyle="1" w:styleId="mark21o7r8o0z">
    <w:name w:val="mark21o7r8o0z"/>
    <w:basedOn w:val="DefaultParagraphFont"/>
    <w:rsid w:val="00DD3707"/>
  </w:style>
  <w:style w:type="character" w:customStyle="1" w:styleId="markmdww5wogy">
    <w:name w:val="markmdww5wogy"/>
    <w:basedOn w:val="DefaultParagraphFont"/>
    <w:rsid w:val="00DD3707"/>
  </w:style>
  <w:style w:type="numbering" w:customStyle="1" w:styleId="CurrentList7">
    <w:name w:val="Current List7"/>
    <w:uiPriority w:val="99"/>
    <w:rsid w:val="0051301A"/>
    <w:pPr>
      <w:numPr>
        <w:numId w:val="49"/>
      </w:numPr>
    </w:pPr>
  </w:style>
  <w:style w:type="numbering" w:customStyle="1" w:styleId="CurrentList8">
    <w:name w:val="Current List8"/>
    <w:uiPriority w:val="99"/>
    <w:rsid w:val="0051301A"/>
    <w:pPr>
      <w:numPr>
        <w:numId w:val="50"/>
      </w:numPr>
    </w:pPr>
  </w:style>
  <w:style w:type="numbering" w:customStyle="1" w:styleId="CurrentList9">
    <w:name w:val="Current List9"/>
    <w:uiPriority w:val="99"/>
    <w:rsid w:val="0051301A"/>
    <w:pPr>
      <w:numPr>
        <w:numId w:val="51"/>
      </w:numPr>
    </w:pPr>
  </w:style>
  <w:style w:type="numbering" w:customStyle="1" w:styleId="CurrentList10">
    <w:name w:val="Current List10"/>
    <w:uiPriority w:val="99"/>
    <w:rsid w:val="00E22D3B"/>
    <w:pPr>
      <w:numPr>
        <w:numId w:val="52"/>
      </w:numPr>
    </w:pPr>
  </w:style>
  <w:style w:type="numbering" w:customStyle="1" w:styleId="CurrentList11">
    <w:name w:val="Current List11"/>
    <w:uiPriority w:val="99"/>
    <w:rsid w:val="00FB3F45"/>
    <w:pPr>
      <w:numPr>
        <w:numId w:val="53"/>
      </w:numPr>
    </w:pPr>
  </w:style>
  <w:style w:type="numbering" w:customStyle="1" w:styleId="CurrentList12">
    <w:name w:val="Current List12"/>
    <w:uiPriority w:val="99"/>
    <w:rsid w:val="00FA2511"/>
    <w:pPr>
      <w:numPr>
        <w:numId w:val="54"/>
      </w:numPr>
    </w:pPr>
  </w:style>
  <w:style w:type="numbering" w:customStyle="1" w:styleId="CurrentList13">
    <w:name w:val="Current List13"/>
    <w:uiPriority w:val="99"/>
    <w:rsid w:val="00FE1289"/>
    <w:pPr>
      <w:numPr>
        <w:numId w:val="56"/>
      </w:numPr>
    </w:pPr>
  </w:style>
  <w:style w:type="numbering" w:customStyle="1" w:styleId="CurrentList14">
    <w:name w:val="Current List14"/>
    <w:uiPriority w:val="99"/>
    <w:rsid w:val="00FE1289"/>
    <w:pPr>
      <w:numPr>
        <w:numId w:val="57"/>
      </w:numPr>
    </w:pPr>
  </w:style>
  <w:style w:type="numbering" w:customStyle="1" w:styleId="CurrentList15">
    <w:name w:val="Current List15"/>
    <w:uiPriority w:val="99"/>
    <w:rsid w:val="00C772FF"/>
    <w:pPr>
      <w:numPr>
        <w:numId w:val="58"/>
      </w:numPr>
    </w:pPr>
  </w:style>
  <w:style w:type="numbering" w:customStyle="1" w:styleId="CurrentList16">
    <w:name w:val="Current List16"/>
    <w:uiPriority w:val="99"/>
    <w:rsid w:val="003556DE"/>
    <w:pPr>
      <w:numPr>
        <w:numId w:val="61"/>
      </w:numPr>
    </w:pPr>
  </w:style>
  <w:style w:type="numbering" w:customStyle="1" w:styleId="CurrentList17">
    <w:name w:val="Current List17"/>
    <w:uiPriority w:val="99"/>
    <w:rsid w:val="003556DE"/>
    <w:pPr>
      <w:numPr>
        <w:numId w:val="62"/>
      </w:numPr>
    </w:pPr>
  </w:style>
  <w:style w:type="numbering" w:customStyle="1" w:styleId="CurrentList18">
    <w:name w:val="Current List18"/>
    <w:uiPriority w:val="99"/>
    <w:rsid w:val="00B06706"/>
    <w:pPr>
      <w:numPr>
        <w:numId w:val="70"/>
      </w:numPr>
    </w:pPr>
  </w:style>
  <w:style w:type="paragraph" w:customStyle="1" w:styleId="CH1">
    <w:name w:val="CH1"/>
    <w:basedOn w:val="Normal-pool"/>
    <w:next w:val="CH2"/>
    <w:qFormat/>
    <w:rsid w:val="00A9356F"/>
    <w:pPr>
      <w:keepNext/>
      <w:keepLines/>
      <w:tabs>
        <w:tab w:val="clear" w:pos="624"/>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A9356F"/>
    <w:pPr>
      <w:keepNext/>
      <w:keepLines/>
      <w:tabs>
        <w:tab w:val="clear" w:pos="624"/>
        <w:tab w:val="right" w:pos="851"/>
      </w:tabs>
      <w:suppressAutoHyphens/>
      <w:spacing w:before="240" w:after="120"/>
      <w:ind w:left="1247" w:right="284" w:hanging="1247"/>
    </w:pPr>
    <w:rPr>
      <w:b/>
      <w:sz w:val="24"/>
      <w:szCs w:val="24"/>
    </w:rPr>
  </w:style>
  <w:style w:type="paragraph" w:customStyle="1" w:styleId="Normal-pool">
    <w:name w:val="Normal-pool"/>
    <w:link w:val="Normal-poolChar"/>
    <w:qFormat/>
    <w:rsid w:val="003666A4"/>
    <w:pPr>
      <w:tabs>
        <w:tab w:val="left" w:pos="624"/>
        <w:tab w:val="left" w:pos="1247"/>
        <w:tab w:val="left" w:pos="1814"/>
        <w:tab w:val="left" w:pos="2381"/>
        <w:tab w:val="left" w:pos="2948"/>
        <w:tab w:val="left" w:pos="3515"/>
        <w:tab w:val="left" w:pos="4082"/>
      </w:tabs>
      <w:spacing w:line="240" w:lineRule="auto"/>
    </w:pPr>
    <w:rPr>
      <w:rFonts w:eastAsia="Times New Roman"/>
      <w:sz w:val="20"/>
      <w:szCs w:val="20"/>
      <w:lang w:eastAsia="en-US"/>
    </w:rPr>
  </w:style>
  <w:style w:type="paragraph" w:customStyle="1" w:styleId="AATitle">
    <w:name w:val="AA_Title"/>
    <w:basedOn w:val="Normal-pool"/>
    <w:qFormat/>
    <w:rsid w:val="00A9356F"/>
    <w:pPr>
      <w:keepNext/>
      <w:keepLines/>
      <w:tabs>
        <w:tab w:val="clear" w:pos="1247"/>
        <w:tab w:val="clear" w:pos="1814"/>
        <w:tab w:val="clear" w:pos="2381"/>
        <w:tab w:val="clear" w:pos="2948"/>
        <w:tab w:val="clear" w:pos="3515"/>
        <w:tab w:val="clear" w:pos="4082"/>
        <w:tab w:val="right" w:pos="2920"/>
      </w:tabs>
      <w:suppressAutoHyphens/>
    </w:pPr>
    <w:rPr>
      <w:b/>
    </w:rPr>
  </w:style>
  <w:style w:type="paragraph" w:customStyle="1" w:styleId="AATitle2">
    <w:name w:val="AA_Title2"/>
    <w:basedOn w:val="AATitle"/>
    <w:qFormat/>
    <w:rsid w:val="00A9356F"/>
    <w:pPr>
      <w:spacing w:before="120" w:after="120"/>
    </w:pPr>
  </w:style>
  <w:style w:type="paragraph" w:customStyle="1" w:styleId="BBTitle">
    <w:name w:val="BB_Title"/>
    <w:basedOn w:val="Normal-pool"/>
    <w:qFormat/>
    <w:rsid w:val="00A9356F"/>
    <w:pPr>
      <w:keepNext/>
      <w:keepLines/>
      <w:suppressAutoHyphens/>
      <w:spacing w:before="320" w:after="240"/>
      <w:ind w:left="1247" w:right="567"/>
    </w:pPr>
    <w:rPr>
      <w:b/>
      <w:sz w:val="28"/>
      <w:szCs w:val="28"/>
    </w:rPr>
  </w:style>
  <w:style w:type="numbering" w:customStyle="1" w:styleId="Normallist">
    <w:name w:val="Normal_list"/>
    <w:basedOn w:val="NoList"/>
    <w:rsid w:val="00A9356F"/>
    <w:pPr>
      <w:numPr>
        <w:numId w:val="71"/>
      </w:numPr>
    </w:pPr>
  </w:style>
  <w:style w:type="paragraph" w:customStyle="1" w:styleId="Normalnumber">
    <w:name w:val="Normal_number"/>
    <w:basedOn w:val="Normal"/>
    <w:link w:val="NormalnumberChar"/>
    <w:rsid w:val="003666A4"/>
    <w:pPr>
      <w:tabs>
        <w:tab w:val="num" w:pos="720"/>
        <w:tab w:val="left" w:pos="1247"/>
        <w:tab w:val="left" w:pos="1814"/>
        <w:tab w:val="left" w:pos="2381"/>
        <w:tab w:val="left" w:pos="2948"/>
        <w:tab w:val="left" w:pos="3515"/>
        <w:tab w:val="left" w:pos="4082"/>
      </w:tabs>
      <w:spacing w:after="120" w:line="240" w:lineRule="auto"/>
      <w:ind w:left="720" w:hanging="720"/>
    </w:pPr>
    <w:rPr>
      <w:rFonts w:eastAsia="Times New Roman"/>
      <w:sz w:val="20"/>
      <w:szCs w:val="20"/>
      <w:lang w:eastAsia="en-US"/>
    </w:rPr>
  </w:style>
  <w:style w:type="character" w:customStyle="1" w:styleId="Normal-poolChar">
    <w:name w:val="Normal-pool Char"/>
    <w:link w:val="Normal-pool"/>
    <w:locked/>
    <w:rsid w:val="00A9356F"/>
    <w:rPr>
      <w:rFonts w:eastAsia="Times New Roman"/>
      <w:sz w:val="20"/>
      <w:szCs w:val="20"/>
      <w:lang w:eastAsia="en-US"/>
    </w:rPr>
  </w:style>
  <w:style w:type="paragraph" w:customStyle="1" w:styleId="AConvName">
    <w:name w:val="A_ConvName"/>
    <w:basedOn w:val="Normal-pool"/>
    <w:next w:val="Normal-pool"/>
    <w:rsid w:val="00A9356F"/>
    <w:pPr>
      <w:tabs>
        <w:tab w:val="clear" w:pos="1247"/>
        <w:tab w:val="clear" w:pos="1814"/>
        <w:tab w:val="clear" w:pos="2381"/>
        <w:tab w:val="clear" w:pos="2948"/>
        <w:tab w:val="clear" w:pos="3515"/>
        <w:tab w:val="clear" w:pos="4082"/>
      </w:tabs>
      <w:spacing w:before="120" w:after="240"/>
    </w:pPr>
    <w:rPr>
      <w:rFonts w:ascii="Arial" w:hAnsi="Arial"/>
      <w:b/>
      <w:sz w:val="28"/>
    </w:rPr>
  </w:style>
  <w:style w:type="paragraph" w:customStyle="1" w:styleId="ASymbol">
    <w:name w:val="A_Symbol"/>
    <w:basedOn w:val="Normal-pool"/>
    <w:rsid w:val="00A9356F"/>
    <w:pPr>
      <w:tabs>
        <w:tab w:val="clear" w:pos="1247"/>
        <w:tab w:val="clear" w:pos="1814"/>
        <w:tab w:val="clear" w:pos="2381"/>
        <w:tab w:val="clear" w:pos="2948"/>
        <w:tab w:val="clear" w:pos="3515"/>
        <w:tab w:val="clear" w:pos="4082"/>
        <w:tab w:val="right" w:pos="2920"/>
      </w:tabs>
    </w:pPr>
    <w:rPr>
      <w:rFonts w:eastAsia="SimSun"/>
    </w:rPr>
  </w:style>
  <w:style w:type="paragraph" w:customStyle="1" w:styleId="AText">
    <w:name w:val="A_Text"/>
    <w:basedOn w:val="Normal-pool"/>
    <w:rsid w:val="00A9356F"/>
    <w:pPr>
      <w:spacing w:before="120" w:after="120"/>
    </w:pPr>
  </w:style>
  <w:style w:type="paragraph" w:customStyle="1" w:styleId="AUnitedNations">
    <w:name w:val="A_United_Nations"/>
    <w:basedOn w:val="Normal-pool"/>
    <w:next w:val="Normal-pool"/>
    <w:rsid w:val="00A9356F"/>
    <w:pPr>
      <w:tabs>
        <w:tab w:val="clear" w:pos="1247"/>
        <w:tab w:val="clear" w:pos="1814"/>
        <w:tab w:val="clear" w:pos="2381"/>
        <w:tab w:val="clear" w:pos="2948"/>
        <w:tab w:val="clear" w:pos="3515"/>
        <w:tab w:val="clear" w:pos="4082"/>
      </w:tabs>
      <w:spacing w:before="20" w:after="20"/>
    </w:pPr>
    <w:rPr>
      <w:rFonts w:ascii="Arial" w:hAnsi="Arial" w:cs="Times New Roman Bold"/>
      <w:b/>
      <w:caps/>
      <w:color w:val="000000" w:themeColor="text1"/>
      <w:sz w:val="27"/>
    </w:rPr>
  </w:style>
  <w:style w:type="character" w:customStyle="1" w:styleId="NormalnumberChar">
    <w:name w:val="Normal_number Char"/>
    <w:link w:val="Normalnumber"/>
    <w:rsid w:val="00A9356F"/>
    <w:rPr>
      <w:rFonts w:eastAsia="Times New Roman"/>
      <w:sz w:val="20"/>
      <w:szCs w:val="20"/>
      <w:lang w:eastAsia="en-US"/>
    </w:rPr>
  </w:style>
  <w:style w:type="paragraph" w:customStyle="1" w:styleId="ALogo">
    <w:name w:val="A_Logo"/>
    <w:basedOn w:val="Normal-pool"/>
    <w:link w:val="ALogoChar"/>
    <w:qFormat/>
    <w:rsid w:val="00A9356F"/>
    <w:pPr>
      <w:spacing w:before="120" w:after="240"/>
    </w:pPr>
  </w:style>
  <w:style w:type="character" w:customStyle="1" w:styleId="ALogoChar">
    <w:name w:val="A_Logo Char"/>
    <w:basedOn w:val="Normal-poolChar"/>
    <w:link w:val="ALogo"/>
    <w:rsid w:val="00A9356F"/>
    <w:rPr>
      <w:rFonts w:ascii="Times New Roman" w:eastAsia="Times New Roman" w:hAnsi="Times New Roman" w:cs="Times New Roman"/>
      <w:sz w:val="20"/>
      <w:szCs w:val="20"/>
      <w:lang w:eastAsia="en-US"/>
    </w:rPr>
  </w:style>
  <w:style w:type="paragraph" w:customStyle="1" w:styleId="ASpacer">
    <w:name w:val="A_Spacer"/>
    <w:basedOn w:val="Normal-pool"/>
    <w:link w:val="ASpacerChar"/>
    <w:qFormat/>
    <w:rsid w:val="00A9356F"/>
    <w:rPr>
      <w:sz w:val="2"/>
    </w:rPr>
  </w:style>
  <w:style w:type="character" w:customStyle="1" w:styleId="ASpacerChar">
    <w:name w:val="A_Spacer Char"/>
    <w:basedOn w:val="Normal-poolChar"/>
    <w:link w:val="ASpacer"/>
    <w:rsid w:val="00A9356F"/>
    <w:rPr>
      <w:rFonts w:ascii="Times New Roman" w:eastAsia="Times New Roman" w:hAnsi="Times New Roman" w:cs="Times New Roman"/>
      <w:sz w:val="2"/>
      <w:szCs w:val="20"/>
      <w:lang w:eastAsia="en-US"/>
    </w:rPr>
  </w:style>
  <w:style w:type="paragraph" w:customStyle="1" w:styleId="AATitle1">
    <w:name w:val="AA_Title1"/>
    <w:basedOn w:val="AATitle"/>
    <w:qFormat/>
    <w:rsid w:val="00A9356F"/>
    <w:rPr>
      <w:b w:val="0"/>
    </w:rPr>
  </w:style>
  <w:style w:type="character" w:customStyle="1" w:styleId="CH2Char">
    <w:name w:val="CH2 Char"/>
    <w:link w:val="CH2"/>
    <w:locked/>
    <w:rsid w:val="00A9356F"/>
    <w:rPr>
      <w:rFonts w:ascii="Times New Roman" w:eastAsia="Times New Roman" w:hAnsi="Times New Roman" w:cs="Times New Roman"/>
      <w:b/>
      <w:sz w:val="24"/>
      <w:szCs w:val="24"/>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0">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1">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2">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3">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CellMar>
        <w:left w:w="115" w:type="dxa"/>
        <w:right w:w="115" w:type="dxa"/>
      </w:tblCellMar>
    </w:tblPr>
  </w:style>
  <w:style w:type="table" w:customStyle="1" w:styleId="ab">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c">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d">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e">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f">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f0">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f1">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f2">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f3">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f4">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f5">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table" w:customStyle="1" w:styleId="af6">
    <w:basedOn w:val="TableNormal1"/>
    <w:pPr>
      <w:spacing w:line="240" w:lineRule="auto"/>
    </w:pPr>
    <w:rPr>
      <w:rFonts w:ascii="Calibri" w:eastAsia="Calibri" w:hAnsi="Calibri" w:cs="Calibri"/>
    </w:rPr>
    <w:tblPr>
      <w:tblStyleRowBandSize w:val="1"/>
      <w:tblStyleColBandSize w:val="1"/>
      <w:tblCellMar>
        <w:left w:w="85" w:type="dxa"/>
        <w:bottom w:w="28" w:type="dxa"/>
        <w:right w:w="85" w:type="dxa"/>
      </w:tblCellMar>
    </w:tblPr>
  </w:style>
  <w:style w:type="numbering" w:customStyle="1" w:styleId="CurrentList19">
    <w:name w:val="Current List19"/>
    <w:uiPriority w:val="99"/>
    <w:rsid w:val="00FF69B9"/>
    <w:pPr>
      <w:numPr>
        <w:numId w:val="28"/>
      </w:numPr>
    </w:pPr>
  </w:style>
  <w:style w:type="numbering" w:customStyle="1" w:styleId="CurrentList20">
    <w:name w:val="Current List20"/>
    <w:uiPriority w:val="99"/>
    <w:rsid w:val="00604A0A"/>
    <w:pPr>
      <w:numPr>
        <w:numId w:val="29"/>
      </w:numPr>
    </w:pPr>
  </w:style>
  <w:style w:type="numbering" w:customStyle="1" w:styleId="CurrentList21">
    <w:name w:val="Current List21"/>
    <w:uiPriority w:val="99"/>
    <w:rsid w:val="00B06042"/>
    <w:pPr>
      <w:numPr>
        <w:numId w:val="34"/>
      </w:numPr>
    </w:pPr>
  </w:style>
  <w:style w:type="numbering" w:customStyle="1" w:styleId="CurrentList22">
    <w:name w:val="Current List22"/>
    <w:uiPriority w:val="99"/>
    <w:rsid w:val="00B06042"/>
    <w:pPr>
      <w:numPr>
        <w:numId w:val="35"/>
      </w:numPr>
    </w:pPr>
  </w:style>
  <w:style w:type="numbering" w:customStyle="1" w:styleId="CurrentList23">
    <w:name w:val="Current List23"/>
    <w:uiPriority w:val="99"/>
    <w:rsid w:val="00867B00"/>
    <w:pPr>
      <w:numPr>
        <w:numId w:val="8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5691">
      <w:bodyDiv w:val="1"/>
      <w:marLeft w:val="0"/>
      <w:marRight w:val="0"/>
      <w:marTop w:val="0"/>
      <w:marBottom w:val="0"/>
      <w:divBdr>
        <w:top w:val="none" w:sz="0" w:space="0" w:color="auto"/>
        <w:left w:val="none" w:sz="0" w:space="0" w:color="auto"/>
        <w:bottom w:val="none" w:sz="0" w:space="0" w:color="auto"/>
        <w:right w:val="none" w:sz="0" w:space="0" w:color="auto"/>
      </w:divBdr>
    </w:div>
    <w:div w:id="23215366">
      <w:bodyDiv w:val="1"/>
      <w:marLeft w:val="0"/>
      <w:marRight w:val="0"/>
      <w:marTop w:val="0"/>
      <w:marBottom w:val="0"/>
      <w:divBdr>
        <w:top w:val="none" w:sz="0" w:space="0" w:color="auto"/>
        <w:left w:val="none" w:sz="0" w:space="0" w:color="auto"/>
        <w:bottom w:val="none" w:sz="0" w:space="0" w:color="auto"/>
        <w:right w:val="none" w:sz="0" w:space="0" w:color="auto"/>
      </w:divBdr>
    </w:div>
    <w:div w:id="185215441">
      <w:bodyDiv w:val="1"/>
      <w:marLeft w:val="0"/>
      <w:marRight w:val="0"/>
      <w:marTop w:val="0"/>
      <w:marBottom w:val="0"/>
      <w:divBdr>
        <w:top w:val="none" w:sz="0" w:space="0" w:color="auto"/>
        <w:left w:val="none" w:sz="0" w:space="0" w:color="auto"/>
        <w:bottom w:val="none" w:sz="0" w:space="0" w:color="auto"/>
        <w:right w:val="none" w:sz="0" w:space="0" w:color="auto"/>
      </w:divBdr>
    </w:div>
    <w:div w:id="199830656">
      <w:bodyDiv w:val="1"/>
      <w:marLeft w:val="0"/>
      <w:marRight w:val="0"/>
      <w:marTop w:val="0"/>
      <w:marBottom w:val="0"/>
      <w:divBdr>
        <w:top w:val="none" w:sz="0" w:space="0" w:color="auto"/>
        <w:left w:val="none" w:sz="0" w:space="0" w:color="auto"/>
        <w:bottom w:val="none" w:sz="0" w:space="0" w:color="auto"/>
        <w:right w:val="none" w:sz="0" w:space="0" w:color="auto"/>
      </w:divBdr>
    </w:div>
    <w:div w:id="210121110">
      <w:bodyDiv w:val="1"/>
      <w:marLeft w:val="0"/>
      <w:marRight w:val="0"/>
      <w:marTop w:val="0"/>
      <w:marBottom w:val="0"/>
      <w:divBdr>
        <w:top w:val="none" w:sz="0" w:space="0" w:color="auto"/>
        <w:left w:val="none" w:sz="0" w:space="0" w:color="auto"/>
        <w:bottom w:val="none" w:sz="0" w:space="0" w:color="auto"/>
        <w:right w:val="none" w:sz="0" w:space="0" w:color="auto"/>
      </w:divBdr>
    </w:div>
    <w:div w:id="212620903">
      <w:bodyDiv w:val="1"/>
      <w:marLeft w:val="0"/>
      <w:marRight w:val="0"/>
      <w:marTop w:val="0"/>
      <w:marBottom w:val="0"/>
      <w:divBdr>
        <w:top w:val="none" w:sz="0" w:space="0" w:color="auto"/>
        <w:left w:val="none" w:sz="0" w:space="0" w:color="auto"/>
        <w:bottom w:val="none" w:sz="0" w:space="0" w:color="auto"/>
        <w:right w:val="none" w:sz="0" w:space="0" w:color="auto"/>
      </w:divBdr>
    </w:div>
    <w:div w:id="244805893">
      <w:bodyDiv w:val="1"/>
      <w:marLeft w:val="0"/>
      <w:marRight w:val="0"/>
      <w:marTop w:val="0"/>
      <w:marBottom w:val="0"/>
      <w:divBdr>
        <w:top w:val="none" w:sz="0" w:space="0" w:color="auto"/>
        <w:left w:val="none" w:sz="0" w:space="0" w:color="auto"/>
        <w:bottom w:val="none" w:sz="0" w:space="0" w:color="auto"/>
        <w:right w:val="none" w:sz="0" w:space="0" w:color="auto"/>
      </w:divBdr>
    </w:div>
    <w:div w:id="258832483">
      <w:bodyDiv w:val="1"/>
      <w:marLeft w:val="0"/>
      <w:marRight w:val="0"/>
      <w:marTop w:val="0"/>
      <w:marBottom w:val="0"/>
      <w:divBdr>
        <w:top w:val="none" w:sz="0" w:space="0" w:color="auto"/>
        <w:left w:val="none" w:sz="0" w:space="0" w:color="auto"/>
        <w:bottom w:val="none" w:sz="0" w:space="0" w:color="auto"/>
        <w:right w:val="none" w:sz="0" w:space="0" w:color="auto"/>
      </w:divBdr>
      <w:divsChild>
        <w:div w:id="1406149016">
          <w:marLeft w:val="0"/>
          <w:marRight w:val="0"/>
          <w:marTop w:val="0"/>
          <w:marBottom w:val="0"/>
          <w:divBdr>
            <w:top w:val="none" w:sz="0" w:space="0" w:color="auto"/>
            <w:left w:val="none" w:sz="0" w:space="0" w:color="auto"/>
            <w:bottom w:val="none" w:sz="0" w:space="0" w:color="auto"/>
            <w:right w:val="none" w:sz="0" w:space="0" w:color="auto"/>
          </w:divBdr>
          <w:divsChild>
            <w:div w:id="13195884">
              <w:marLeft w:val="0"/>
              <w:marRight w:val="0"/>
              <w:marTop w:val="0"/>
              <w:marBottom w:val="0"/>
              <w:divBdr>
                <w:top w:val="none" w:sz="0" w:space="0" w:color="auto"/>
                <w:left w:val="none" w:sz="0" w:space="0" w:color="auto"/>
                <w:bottom w:val="none" w:sz="0" w:space="0" w:color="auto"/>
                <w:right w:val="none" w:sz="0" w:space="0" w:color="auto"/>
              </w:divBdr>
            </w:div>
            <w:div w:id="1324896798">
              <w:marLeft w:val="0"/>
              <w:marRight w:val="0"/>
              <w:marTop w:val="0"/>
              <w:marBottom w:val="0"/>
              <w:divBdr>
                <w:top w:val="none" w:sz="0" w:space="0" w:color="auto"/>
                <w:left w:val="none" w:sz="0" w:space="0" w:color="auto"/>
                <w:bottom w:val="none" w:sz="0" w:space="0" w:color="auto"/>
                <w:right w:val="none" w:sz="0" w:space="0" w:color="auto"/>
              </w:divBdr>
            </w:div>
            <w:div w:id="1436365696">
              <w:marLeft w:val="0"/>
              <w:marRight w:val="0"/>
              <w:marTop w:val="0"/>
              <w:marBottom w:val="0"/>
              <w:divBdr>
                <w:top w:val="none" w:sz="0" w:space="0" w:color="auto"/>
                <w:left w:val="none" w:sz="0" w:space="0" w:color="auto"/>
                <w:bottom w:val="none" w:sz="0" w:space="0" w:color="auto"/>
                <w:right w:val="none" w:sz="0" w:space="0" w:color="auto"/>
              </w:divBdr>
            </w:div>
            <w:div w:id="1481144787">
              <w:marLeft w:val="0"/>
              <w:marRight w:val="0"/>
              <w:marTop w:val="0"/>
              <w:marBottom w:val="0"/>
              <w:divBdr>
                <w:top w:val="none" w:sz="0" w:space="0" w:color="auto"/>
                <w:left w:val="none" w:sz="0" w:space="0" w:color="auto"/>
                <w:bottom w:val="none" w:sz="0" w:space="0" w:color="auto"/>
                <w:right w:val="none" w:sz="0" w:space="0" w:color="auto"/>
              </w:divBdr>
            </w:div>
            <w:div w:id="2016615675">
              <w:marLeft w:val="0"/>
              <w:marRight w:val="0"/>
              <w:marTop w:val="0"/>
              <w:marBottom w:val="0"/>
              <w:divBdr>
                <w:top w:val="none" w:sz="0" w:space="0" w:color="auto"/>
                <w:left w:val="none" w:sz="0" w:space="0" w:color="auto"/>
                <w:bottom w:val="none" w:sz="0" w:space="0" w:color="auto"/>
                <w:right w:val="none" w:sz="0" w:space="0" w:color="auto"/>
              </w:divBdr>
            </w:div>
          </w:divsChild>
        </w:div>
        <w:div w:id="847209556">
          <w:marLeft w:val="0"/>
          <w:marRight w:val="0"/>
          <w:marTop w:val="0"/>
          <w:marBottom w:val="0"/>
          <w:divBdr>
            <w:top w:val="none" w:sz="0" w:space="0" w:color="auto"/>
            <w:left w:val="none" w:sz="0" w:space="0" w:color="auto"/>
            <w:bottom w:val="none" w:sz="0" w:space="0" w:color="auto"/>
            <w:right w:val="none" w:sz="0" w:space="0" w:color="auto"/>
          </w:divBdr>
          <w:divsChild>
            <w:div w:id="35395382">
              <w:marLeft w:val="0"/>
              <w:marRight w:val="0"/>
              <w:marTop w:val="0"/>
              <w:marBottom w:val="0"/>
              <w:divBdr>
                <w:top w:val="none" w:sz="0" w:space="0" w:color="auto"/>
                <w:left w:val="none" w:sz="0" w:space="0" w:color="auto"/>
                <w:bottom w:val="none" w:sz="0" w:space="0" w:color="auto"/>
                <w:right w:val="none" w:sz="0" w:space="0" w:color="auto"/>
              </w:divBdr>
            </w:div>
            <w:div w:id="892811056">
              <w:marLeft w:val="0"/>
              <w:marRight w:val="0"/>
              <w:marTop w:val="0"/>
              <w:marBottom w:val="0"/>
              <w:divBdr>
                <w:top w:val="none" w:sz="0" w:space="0" w:color="auto"/>
                <w:left w:val="none" w:sz="0" w:space="0" w:color="auto"/>
                <w:bottom w:val="none" w:sz="0" w:space="0" w:color="auto"/>
                <w:right w:val="none" w:sz="0" w:space="0" w:color="auto"/>
              </w:divBdr>
            </w:div>
            <w:div w:id="1074668416">
              <w:marLeft w:val="0"/>
              <w:marRight w:val="0"/>
              <w:marTop w:val="0"/>
              <w:marBottom w:val="0"/>
              <w:divBdr>
                <w:top w:val="none" w:sz="0" w:space="0" w:color="auto"/>
                <w:left w:val="none" w:sz="0" w:space="0" w:color="auto"/>
                <w:bottom w:val="none" w:sz="0" w:space="0" w:color="auto"/>
                <w:right w:val="none" w:sz="0" w:space="0" w:color="auto"/>
              </w:divBdr>
            </w:div>
            <w:div w:id="1321885918">
              <w:marLeft w:val="0"/>
              <w:marRight w:val="0"/>
              <w:marTop w:val="0"/>
              <w:marBottom w:val="0"/>
              <w:divBdr>
                <w:top w:val="none" w:sz="0" w:space="0" w:color="auto"/>
                <w:left w:val="none" w:sz="0" w:space="0" w:color="auto"/>
                <w:bottom w:val="none" w:sz="0" w:space="0" w:color="auto"/>
                <w:right w:val="none" w:sz="0" w:space="0" w:color="auto"/>
              </w:divBdr>
            </w:div>
            <w:div w:id="1740983186">
              <w:marLeft w:val="0"/>
              <w:marRight w:val="0"/>
              <w:marTop w:val="0"/>
              <w:marBottom w:val="0"/>
              <w:divBdr>
                <w:top w:val="none" w:sz="0" w:space="0" w:color="auto"/>
                <w:left w:val="none" w:sz="0" w:space="0" w:color="auto"/>
                <w:bottom w:val="none" w:sz="0" w:space="0" w:color="auto"/>
                <w:right w:val="none" w:sz="0" w:space="0" w:color="auto"/>
              </w:divBdr>
            </w:div>
          </w:divsChild>
        </w:div>
        <w:div w:id="334965736">
          <w:marLeft w:val="0"/>
          <w:marRight w:val="0"/>
          <w:marTop w:val="0"/>
          <w:marBottom w:val="0"/>
          <w:divBdr>
            <w:top w:val="none" w:sz="0" w:space="0" w:color="auto"/>
            <w:left w:val="none" w:sz="0" w:space="0" w:color="auto"/>
            <w:bottom w:val="none" w:sz="0" w:space="0" w:color="auto"/>
            <w:right w:val="none" w:sz="0" w:space="0" w:color="auto"/>
          </w:divBdr>
          <w:divsChild>
            <w:div w:id="93552527">
              <w:marLeft w:val="0"/>
              <w:marRight w:val="0"/>
              <w:marTop w:val="0"/>
              <w:marBottom w:val="0"/>
              <w:divBdr>
                <w:top w:val="none" w:sz="0" w:space="0" w:color="auto"/>
                <w:left w:val="none" w:sz="0" w:space="0" w:color="auto"/>
                <w:bottom w:val="none" w:sz="0" w:space="0" w:color="auto"/>
                <w:right w:val="none" w:sz="0" w:space="0" w:color="auto"/>
              </w:divBdr>
            </w:div>
            <w:div w:id="736896623">
              <w:marLeft w:val="0"/>
              <w:marRight w:val="0"/>
              <w:marTop w:val="0"/>
              <w:marBottom w:val="0"/>
              <w:divBdr>
                <w:top w:val="none" w:sz="0" w:space="0" w:color="auto"/>
                <w:left w:val="none" w:sz="0" w:space="0" w:color="auto"/>
                <w:bottom w:val="none" w:sz="0" w:space="0" w:color="auto"/>
                <w:right w:val="none" w:sz="0" w:space="0" w:color="auto"/>
              </w:divBdr>
            </w:div>
            <w:div w:id="1042245695">
              <w:marLeft w:val="0"/>
              <w:marRight w:val="0"/>
              <w:marTop w:val="0"/>
              <w:marBottom w:val="0"/>
              <w:divBdr>
                <w:top w:val="none" w:sz="0" w:space="0" w:color="auto"/>
                <w:left w:val="none" w:sz="0" w:space="0" w:color="auto"/>
                <w:bottom w:val="none" w:sz="0" w:space="0" w:color="auto"/>
                <w:right w:val="none" w:sz="0" w:space="0" w:color="auto"/>
              </w:divBdr>
            </w:div>
            <w:div w:id="1310283122">
              <w:marLeft w:val="0"/>
              <w:marRight w:val="0"/>
              <w:marTop w:val="0"/>
              <w:marBottom w:val="0"/>
              <w:divBdr>
                <w:top w:val="none" w:sz="0" w:space="0" w:color="auto"/>
                <w:left w:val="none" w:sz="0" w:space="0" w:color="auto"/>
                <w:bottom w:val="none" w:sz="0" w:space="0" w:color="auto"/>
                <w:right w:val="none" w:sz="0" w:space="0" w:color="auto"/>
              </w:divBdr>
            </w:div>
            <w:div w:id="1522623175">
              <w:marLeft w:val="0"/>
              <w:marRight w:val="0"/>
              <w:marTop w:val="0"/>
              <w:marBottom w:val="0"/>
              <w:divBdr>
                <w:top w:val="none" w:sz="0" w:space="0" w:color="auto"/>
                <w:left w:val="none" w:sz="0" w:space="0" w:color="auto"/>
                <w:bottom w:val="none" w:sz="0" w:space="0" w:color="auto"/>
                <w:right w:val="none" w:sz="0" w:space="0" w:color="auto"/>
              </w:divBdr>
            </w:div>
          </w:divsChild>
        </w:div>
        <w:div w:id="100689614">
          <w:marLeft w:val="0"/>
          <w:marRight w:val="0"/>
          <w:marTop w:val="0"/>
          <w:marBottom w:val="0"/>
          <w:divBdr>
            <w:top w:val="none" w:sz="0" w:space="0" w:color="auto"/>
            <w:left w:val="none" w:sz="0" w:space="0" w:color="auto"/>
            <w:bottom w:val="none" w:sz="0" w:space="0" w:color="auto"/>
            <w:right w:val="none" w:sz="0" w:space="0" w:color="auto"/>
          </w:divBdr>
        </w:div>
        <w:div w:id="1044210432">
          <w:marLeft w:val="0"/>
          <w:marRight w:val="0"/>
          <w:marTop w:val="0"/>
          <w:marBottom w:val="0"/>
          <w:divBdr>
            <w:top w:val="none" w:sz="0" w:space="0" w:color="auto"/>
            <w:left w:val="none" w:sz="0" w:space="0" w:color="auto"/>
            <w:bottom w:val="none" w:sz="0" w:space="0" w:color="auto"/>
            <w:right w:val="none" w:sz="0" w:space="0" w:color="auto"/>
          </w:divBdr>
          <w:divsChild>
            <w:div w:id="105854545">
              <w:marLeft w:val="0"/>
              <w:marRight w:val="0"/>
              <w:marTop w:val="0"/>
              <w:marBottom w:val="0"/>
              <w:divBdr>
                <w:top w:val="none" w:sz="0" w:space="0" w:color="auto"/>
                <w:left w:val="none" w:sz="0" w:space="0" w:color="auto"/>
                <w:bottom w:val="none" w:sz="0" w:space="0" w:color="auto"/>
                <w:right w:val="none" w:sz="0" w:space="0" w:color="auto"/>
              </w:divBdr>
            </w:div>
            <w:div w:id="1062631801">
              <w:marLeft w:val="0"/>
              <w:marRight w:val="0"/>
              <w:marTop w:val="0"/>
              <w:marBottom w:val="0"/>
              <w:divBdr>
                <w:top w:val="none" w:sz="0" w:space="0" w:color="auto"/>
                <w:left w:val="none" w:sz="0" w:space="0" w:color="auto"/>
                <w:bottom w:val="none" w:sz="0" w:space="0" w:color="auto"/>
                <w:right w:val="none" w:sz="0" w:space="0" w:color="auto"/>
              </w:divBdr>
            </w:div>
            <w:div w:id="1317102737">
              <w:marLeft w:val="0"/>
              <w:marRight w:val="0"/>
              <w:marTop w:val="0"/>
              <w:marBottom w:val="0"/>
              <w:divBdr>
                <w:top w:val="none" w:sz="0" w:space="0" w:color="auto"/>
                <w:left w:val="none" w:sz="0" w:space="0" w:color="auto"/>
                <w:bottom w:val="none" w:sz="0" w:space="0" w:color="auto"/>
                <w:right w:val="none" w:sz="0" w:space="0" w:color="auto"/>
              </w:divBdr>
            </w:div>
          </w:divsChild>
        </w:div>
        <w:div w:id="1156216643">
          <w:marLeft w:val="0"/>
          <w:marRight w:val="0"/>
          <w:marTop w:val="0"/>
          <w:marBottom w:val="0"/>
          <w:divBdr>
            <w:top w:val="none" w:sz="0" w:space="0" w:color="auto"/>
            <w:left w:val="none" w:sz="0" w:space="0" w:color="auto"/>
            <w:bottom w:val="none" w:sz="0" w:space="0" w:color="auto"/>
            <w:right w:val="none" w:sz="0" w:space="0" w:color="auto"/>
          </w:divBdr>
          <w:divsChild>
            <w:div w:id="119539490">
              <w:marLeft w:val="0"/>
              <w:marRight w:val="0"/>
              <w:marTop w:val="0"/>
              <w:marBottom w:val="0"/>
              <w:divBdr>
                <w:top w:val="none" w:sz="0" w:space="0" w:color="auto"/>
                <w:left w:val="none" w:sz="0" w:space="0" w:color="auto"/>
                <w:bottom w:val="none" w:sz="0" w:space="0" w:color="auto"/>
                <w:right w:val="none" w:sz="0" w:space="0" w:color="auto"/>
              </w:divBdr>
            </w:div>
            <w:div w:id="447821793">
              <w:marLeft w:val="0"/>
              <w:marRight w:val="0"/>
              <w:marTop w:val="0"/>
              <w:marBottom w:val="0"/>
              <w:divBdr>
                <w:top w:val="none" w:sz="0" w:space="0" w:color="auto"/>
                <w:left w:val="none" w:sz="0" w:space="0" w:color="auto"/>
                <w:bottom w:val="none" w:sz="0" w:space="0" w:color="auto"/>
                <w:right w:val="none" w:sz="0" w:space="0" w:color="auto"/>
              </w:divBdr>
            </w:div>
            <w:div w:id="1315377379">
              <w:marLeft w:val="0"/>
              <w:marRight w:val="0"/>
              <w:marTop w:val="0"/>
              <w:marBottom w:val="0"/>
              <w:divBdr>
                <w:top w:val="none" w:sz="0" w:space="0" w:color="auto"/>
                <w:left w:val="none" w:sz="0" w:space="0" w:color="auto"/>
                <w:bottom w:val="none" w:sz="0" w:space="0" w:color="auto"/>
                <w:right w:val="none" w:sz="0" w:space="0" w:color="auto"/>
              </w:divBdr>
            </w:div>
            <w:div w:id="1327706007">
              <w:marLeft w:val="0"/>
              <w:marRight w:val="0"/>
              <w:marTop w:val="0"/>
              <w:marBottom w:val="0"/>
              <w:divBdr>
                <w:top w:val="none" w:sz="0" w:space="0" w:color="auto"/>
                <w:left w:val="none" w:sz="0" w:space="0" w:color="auto"/>
                <w:bottom w:val="none" w:sz="0" w:space="0" w:color="auto"/>
                <w:right w:val="none" w:sz="0" w:space="0" w:color="auto"/>
              </w:divBdr>
            </w:div>
            <w:div w:id="1927419871">
              <w:marLeft w:val="0"/>
              <w:marRight w:val="0"/>
              <w:marTop w:val="0"/>
              <w:marBottom w:val="0"/>
              <w:divBdr>
                <w:top w:val="none" w:sz="0" w:space="0" w:color="auto"/>
                <w:left w:val="none" w:sz="0" w:space="0" w:color="auto"/>
                <w:bottom w:val="none" w:sz="0" w:space="0" w:color="auto"/>
                <w:right w:val="none" w:sz="0" w:space="0" w:color="auto"/>
              </w:divBdr>
            </w:div>
          </w:divsChild>
        </w:div>
        <w:div w:id="924269975">
          <w:marLeft w:val="0"/>
          <w:marRight w:val="0"/>
          <w:marTop w:val="0"/>
          <w:marBottom w:val="0"/>
          <w:divBdr>
            <w:top w:val="none" w:sz="0" w:space="0" w:color="auto"/>
            <w:left w:val="none" w:sz="0" w:space="0" w:color="auto"/>
            <w:bottom w:val="none" w:sz="0" w:space="0" w:color="auto"/>
            <w:right w:val="none" w:sz="0" w:space="0" w:color="auto"/>
          </w:divBdr>
          <w:divsChild>
            <w:div w:id="138808512">
              <w:marLeft w:val="0"/>
              <w:marRight w:val="0"/>
              <w:marTop w:val="0"/>
              <w:marBottom w:val="0"/>
              <w:divBdr>
                <w:top w:val="none" w:sz="0" w:space="0" w:color="auto"/>
                <w:left w:val="none" w:sz="0" w:space="0" w:color="auto"/>
                <w:bottom w:val="none" w:sz="0" w:space="0" w:color="auto"/>
                <w:right w:val="none" w:sz="0" w:space="0" w:color="auto"/>
              </w:divBdr>
            </w:div>
            <w:div w:id="396173053">
              <w:marLeft w:val="0"/>
              <w:marRight w:val="0"/>
              <w:marTop w:val="0"/>
              <w:marBottom w:val="0"/>
              <w:divBdr>
                <w:top w:val="none" w:sz="0" w:space="0" w:color="auto"/>
                <w:left w:val="none" w:sz="0" w:space="0" w:color="auto"/>
                <w:bottom w:val="none" w:sz="0" w:space="0" w:color="auto"/>
                <w:right w:val="none" w:sz="0" w:space="0" w:color="auto"/>
              </w:divBdr>
            </w:div>
            <w:div w:id="824474027">
              <w:marLeft w:val="0"/>
              <w:marRight w:val="0"/>
              <w:marTop w:val="0"/>
              <w:marBottom w:val="0"/>
              <w:divBdr>
                <w:top w:val="none" w:sz="0" w:space="0" w:color="auto"/>
                <w:left w:val="none" w:sz="0" w:space="0" w:color="auto"/>
                <w:bottom w:val="none" w:sz="0" w:space="0" w:color="auto"/>
                <w:right w:val="none" w:sz="0" w:space="0" w:color="auto"/>
              </w:divBdr>
            </w:div>
            <w:div w:id="926690005">
              <w:marLeft w:val="0"/>
              <w:marRight w:val="0"/>
              <w:marTop w:val="0"/>
              <w:marBottom w:val="0"/>
              <w:divBdr>
                <w:top w:val="none" w:sz="0" w:space="0" w:color="auto"/>
                <w:left w:val="none" w:sz="0" w:space="0" w:color="auto"/>
                <w:bottom w:val="none" w:sz="0" w:space="0" w:color="auto"/>
                <w:right w:val="none" w:sz="0" w:space="0" w:color="auto"/>
              </w:divBdr>
            </w:div>
            <w:div w:id="940139207">
              <w:marLeft w:val="0"/>
              <w:marRight w:val="0"/>
              <w:marTop w:val="0"/>
              <w:marBottom w:val="0"/>
              <w:divBdr>
                <w:top w:val="none" w:sz="0" w:space="0" w:color="auto"/>
                <w:left w:val="none" w:sz="0" w:space="0" w:color="auto"/>
                <w:bottom w:val="none" w:sz="0" w:space="0" w:color="auto"/>
                <w:right w:val="none" w:sz="0" w:space="0" w:color="auto"/>
              </w:divBdr>
            </w:div>
          </w:divsChild>
        </w:div>
        <w:div w:id="1174799642">
          <w:marLeft w:val="0"/>
          <w:marRight w:val="0"/>
          <w:marTop w:val="0"/>
          <w:marBottom w:val="0"/>
          <w:divBdr>
            <w:top w:val="none" w:sz="0" w:space="0" w:color="auto"/>
            <w:left w:val="none" w:sz="0" w:space="0" w:color="auto"/>
            <w:bottom w:val="none" w:sz="0" w:space="0" w:color="auto"/>
            <w:right w:val="none" w:sz="0" w:space="0" w:color="auto"/>
          </w:divBdr>
          <w:divsChild>
            <w:div w:id="170799049">
              <w:marLeft w:val="0"/>
              <w:marRight w:val="0"/>
              <w:marTop w:val="0"/>
              <w:marBottom w:val="0"/>
              <w:divBdr>
                <w:top w:val="none" w:sz="0" w:space="0" w:color="auto"/>
                <w:left w:val="none" w:sz="0" w:space="0" w:color="auto"/>
                <w:bottom w:val="none" w:sz="0" w:space="0" w:color="auto"/>
                <w:right w:val="none" w:sz="0" w:space="0" w:color="auto"/>
              </w:divBdr>
            </w:div>
            <w:div w:id="363487874">
              <w:marLeft w:val="0"/>
              <w:marRight w:val="0"/>
              <w:marTop w:val="0"/>
              <w:marBottom w:val="0"/>
              <w:divBdr>
                <w:top w:val="none" w:sz="0" w:space="0" w:color="auto"/>
                <w:left w:val="none" w:sz="0" w:space="0" w:color="auto"/>
                <w:bottom w:val="none" w:sz="0" w:space="0" w:color="auto"/>
                <w:right w:val="none" w:sz="0" w:space="0" w:color="auto"/>
              </w:divBdr>
            </w:div>
            <w:div w:id="506555176">
              <w:marLeft w:val="0"/>
              <w:marRight w:val="0"/>
              <w:marTop w:val="0"/>
              <w:marBottom w:val="0"/>
              <w:divBdr>
                <w:top w:val="none" w:sz="0" w:space="0" w:color="auto"/>
                <w:left w:val="none" w:sz="0" w:space="0" w:color="auto"/>
                <w:bottom w:val="none" w:sz="0" w:space="0" w:color="auto"/>
                <w:right w:val="none" w:sz="0" w:space="0" w:color="auto"/>
              </w:divBdr>
            </w:div>
            <w:div w:id="954554487">
              <w:marLeft w:val="0"/>
              <w:marRight w:val="0"/>
              <w:marTop w:val="0"/>
              <w:marBottom w:val="0"/>
              <w:divBdr>
                <w:top w:val="none" w:sz="0" w:space="0" w:color="auto"/>
                <w:left w:val="none" w:sz="0" w:space="0" w:color="auto"/>
                <w:bottom w:val="none" w:sz="0" w:space="0" w:color="auto"/>
                <w:right w:val="none" w:sz="0" w:space="0" w:color="auto"/>
              </w:divBdr>
            </w:div>
            <w:div w:id="2089839170">
              <w:marLeft w:val="0"/>
              <w:marRight w:val="0"/>
              <w:marTop w:val="0"/>
              <w:marBottom w:val="0"/>
              <w:divBdr>
                <w:top w:val="none" w:sz="0" w:space="0" w:color="auto"/>
                <w:left w:val="none" w:sz="0" w:space="0" w:color="auto"/>
                <w:bottom w:val="none" w:sz="0" w:space="0" w:color="auto"/>
                <w:right w:val="none" w:sz="0" w:space="0" w:color="auto"/>
              </w:divBdr>
            </w:div>
          </w:divsChild>
        </w:div>
        <w:div w:id="384646241">
          <w:marLeft w:val="0"/>
          <w:marRight w:val="0"/>
          <w:marTop w:val="0"/>
          <w:marBottom w:val="0"/>
          <w:divBdr>
            <w:top w:val="none" w:sz="0" w:space="0" w:color="auto"/>
            <w:left w:val="none" w:sz="0" w:space="0" w:color="auto"/>
            <w:bottom w:val="none" w:sz="0" w:space="0" w:color="auto"/>
            <w:right w:val="none" w:sz="0" w:space="0" w:color="auto"/>
          </w:divBdr>
          <w:divsChild>
            <w:div w:id="174148844">
              <w:marLeft w:val="0"/>
              <w:marRight w:val="0"/>
              <w:marTop w:val="0"/>
              <w:marBottom w:val="0"/>
              <w:divBdr>
                <w:top w:val="none" w:sz="0" w:space="0" w:color="auto"/>
                <w:left w:val="none" w:sz="0" w:space="0" w:color="auto"/>
                <w:bottom w:val="none" w:sz="0" w:space="0" w:color="auto"/>
                <w:right w:val="none" w:sz="0" w:space="0" w:color="auto"/>
              </w:divBdr>
            </w:div>
            <w:div w:id="268661462">
              <w:marLeft w:val="0"/>
              <w:marRight w:val="0"/>
              <w:marTop w:val="0"/>
              <w:marBottom w:val="0"/>
              <w:divBdr>
                <w:top w:val="none" w:sz="0" w:space="0" w:color="auto"/>
                <w:left w:val="none" w:sz="0" w:space="0" w:color="auto"/>
                <w:bottom w:val="none" w:sz="0" w:space="0" w:color="auto"/>
                <w:right w:val="none" w:sz="0" w:space="0" w:color="auto"/>
              </w:divBdr>
            </w:div>
            <w:div w:id="1803696586">
              <w:marLeft w:val="0"/>
              <w:marRight w:val="0"/>
              <w:marTop w:val="0"/>
              <w:marBottom w:val="0"/>
              <w:divBdr>
                <w:top w:val="none" w:sz="0" w:space="0" w:color="auto"/>
                <w:left w:val="none" w:sz="0" w:space="0" w:color="auto"/>
                <w:bottom w:val="none" w:sz="0" w:space="0" w:color="auto"/>
                <w:right w:val="none" w:sz="0" w:space="0" w:color="auto"/>
              </w:divBdr>
            </w:div>
          </w:divsChild>
        </w:div>
        <w:div w:id="1905218861">
          <w:marLeft w:val="0"/>
          <w:marRight w:val="0"/>
          <w:marTop w:val="0"/>
          <w:marBottom w:val="0"/>
          <w:divBdr>
            <w:top w:val="none" w:sz="0" w:space="0" w:color="auto"/>
            <w:left w:val="none" w:sz="0" w:space="0" w:color="auto"/>
            <w:bottom w:val="none" w:sz="0" w:space="0" w:color="auto"/>
            <w:right w:val="none" w:sz="0" w:space="0" w:color="auto"/>
          </w:divBdr>
          <w:divsChild>
            <w:div w:id="183250760">
              <w:marLeft w:val="0"/>
              <w:marRight w:val="0"/>
              <w:marTop w:val="0"/>
              <w:marBottom w:val="0"/>
              <w:divBdr>
                <w:top w:val="none" w:sz="0" w:space="0" w:color="auto"/>
                <w:left w:val="none" w:sz="0" w:space="0" w:color="auto"/>
                <w:bottom w:val="none" w:sz="0" w:space="0" w:color="auto"/>
                <w:right w:val="none" w:sz="0" w:space="0" w:color="auto"/>
              </w:divBdr>
            </w:div>
            <w:div w:id="436023502">
              <w:marLeft w:val="0"/>
              <w:marRight w:val="0"/>
              <w:marTop w:val="0"/>
              <w:marBottom w:val="0"/>
              <w:divBdr>
                <w:top w:val="none" w:sz="0" w:space="0" w:color="auto"/>
                <w:left w:val="none" w:sz="0" w:space="0" w:color="auto"/>
                <w:bottom w:val="none" w:sz="0" w:space="0" w:color="auto"/>
                <w:right w:val="none" w:sz="0" w:space="0" w:color="auto"/>
              </w:divBdr>
            </w:div>
            <w:div w:id="1454209945">
              <w:marLeft w:val="0"/>
              <w:marRight w:val="0"/>
              <w:marTop w:val="0"/>
              <w:marBottom w:val="0"/>
              <w:divBdr>
                <w:top w:val="none" w:sz="0" w:space="0" w:color="auto"/>
                <w:left w:val="none" w:sz="0" w:space="0" w:color="auto"/>
                <w:bottom w:val="none" w:sz="0" w:space="0" w:color="auto"/>
                <w:right w:val="none" w:sz="0" w:space="0" w:color="auto"/>
              </w:divBdr>
            </w:div>
            <w:div w:id="1541548219">
              <w:marLeft w:val="0"/>
              <w:marRight w:val="0"/>
              <w:marTop w:val="0"/>
              <w:marBottom w:val="0"/>
              <w:divBdr>
                <w:top w:val="none" w:sz="0" w:space="0" w:color="auto"/>
                <w:left w:val="none" w:sz="0" w:space="0" w:color="auto"/>
                <w:bottom w:val="none" w:sz="0" w:space="0" w:color="auto"/>
                <w:right w:val="none" w:sz="0" w:space="0" w:color="auto"/>
              </w:divBdr>
            </w:div>
            <w:div w:id="1805200142">
              <w:marLeft w:val="0"/>
              <w:marRight w:val="0"/>
              <w:marTop w:val="0"/>
              <w:marBottom w:val="0"/>
              <w:divBdr>
                <w:top w:val="none" w:sz="0" w:space="0" w:color="auto"/>
                <w:left w:val="none" w:sz="0" w:space="0" w:color="auto"/>
                <w:bottom w:val="none" w:sz="0" w:space="0" w:color="auto"/>
                <w:right w:val="none" w:sz="0" w:space="0" w:color="auto"/>
              </w:divBdr>
            </w:div>
          </w:divsChild>
        </w:div>
        <w:div w:id="1758558491">
          <w:marLeft w:val="0"/>
          <w:marRight w:val="0"/>
          <w:marTop w:val="0"/>
          <w:marBottom w:val="0"/>
          <w:divBdr>
            <w:top w:val="none" w:sz="0" w:space="0" w:color="auto"/>
            <w:left w:val="none" w:sz="0" w:space="0" w:color="auto"/>
            <w:bottom w:val="none" w:sz="0" w:space="0" w:color="auto"/>
            <w:right w:val="none" w:sz="0" w:space="0" w:color="auto"/>
          </w:divBdr>
          <w:divsChild>
            <w:div w:id="407769418">
              <w:marLeft w:val="0"/>
              <w:marRight w:val="0"/>
              <w:marTop w:val="0"/>
              <w:marBottom w:val="0"/>
              <w:divBdr>
                <w:top w:val="none" w:sz="0" w:space="0" w:color="auto"/>
                <w:left w:val="none" w:sz="0" w:space="0" w:color="auto"/>
                <w:bottom w:val="none" w:sz="0" w:space="0" w:color="auto"/>
                <w:right w:val="none" w:sz="0" w:space="0" w:color="auto"/>
              </w:divBdr>
            </w:div>
            <w:div w:id="1163009666">
              <w:marLeft w:val="0"/>
              <w:marRight w:val="0"/>
              <w:marTop w:val="0"/>
              <w:marBottom w:val="0"/>
              <w:divBdr>
                <w:top w:val="none" w:sz="0" w:space="0" w:color="auto"/>
                <w:left w:val="none" w:sz="0" w:space="0" w:color="auto"/>
                <w:bottom w:val="none" w:sz="0" w:space="0" w:color="auto"/>
                <w:right w:val="none" w:sz="0" w:space="0" w:color="auto"/>
              </w:divBdr>
            </w:div>
            <w:div w:id="1599289186">
              <w:marLeft w:val="0"/>
              <w:marRight w:val="0"/>
              <w:marTop w:val="0"/>
              <w:marBottom w:val="0"/>
              <w:divBdr>
                <w:top w:val="none" w:sz="0" w:space="0" w:color="auto"/>
                <w:left w:val="none" w:sz="0" w:space="0" w:color="auto"/>
                <w:bottom w:val="none" w:sz="0" w:space="0" w:color="auto"/>
                <w:right w:val="none" w:sz="0" w:space="0" w:color="auto"/>
              </w:divBdr>
            </w:div>
            <w:div w:id="1642152367">
              <w:marLeft w:val="0"/>
              <w:marRight w:val="0"/>
              <w:marTop w:val="0"/>
              <w:marBottom w:val="0"/>
              <w:divBdr>
                <w:top w:val="none" w:sz="0" w:space="0" w:color="auto"/>
                <w:left w:val="none" w:sz="0" w:space="0" w:color="auto"/>
                <w:bottom w:val="none" w:sz="0" w:space="0" w:color="auto"/>
                <w:right w:val="none" w:sz="0" w:space="0" w:color="auto"/>
              </w:divBdr>
            </w:div>
            <w:div w:id="2004818689">
              <w:marLeft w:val="0"/>
              <w:marRight w:val="0"/>
              <w:marTop w:val="0"/>
              <w:marBottom w:val="0"/>
              <w:divBdr>
                <w:top w:val="none" w:sz="0" w:space="0" w:color="auto"/>
                <w:left w:val="none" w:sz="0" w:space="0" w:color="auto"/>
                <w:bottom w:val="none" w:sz="0" w:space="0" w:color="auto"/>
                <w:right w:val="none" w:sz="0" w:space="0" w:color="auto"/>
              </w:divBdr>
            </w:div>
          </w:divsChild>
        </w:div>
        <w:div w:id="459493744">
          <w:marLeft w:val="0"/>
          <w:marRight w:val="0"/>
          <w:marTop w:val="0"/>
          <w:marBottom w:val="0"/>
          <w:divBdr>
            <w:top w:val="none" w:sz="0" w:space="0" w:color="auto"/>
            <w:left w:val="none" w:sz="0" w:space="0" w:color="auto"/>
            <w:bottom w:val="none" w:sz="0" w:space="0" w:color="auto"/>
            <w:right w:val="none" w:sz="0" w:space="0" w:color="auto"/>
          </w:divBdr>
        </w:div>
        <w:div w:id="540168706">
          <w:marLeft w:val="0"/>
          <w:marRight w:val="0"/>
          <w:marTop w:val="0"/>
          <w:marBottom w:val="0"/>
          <w:divBdr>
            <w:top w:val="none" w:sz="0" w:space="0" w:color="auto"/>
            <w:left w:val="none" w:sz="0" w:space="0" w:color="auto"/>
            <w:bottom w:val="none" w:sz="0" w:space="0" w:color="auto"/>
            <w:right w:val="none" w:sz="0" w:space="0" w:color="auto"/>
          </w:divBdr>
        </w:div>
        <w:div w:id="1120881981">
          <w:marLeft w:val="0"/>
          <w:marRight w:val="0"/>
          <w:marTop w:val="0"/>
          <w:marBottom w:val="0"/>
          <w:divBdr>
            <w:top w:val="none" w:sz="0" w:space="0" w:color="auto"/>
            <w:left w:val="none" w:sz="0" w:space="0" w:color="auto"/>
            <w:bottom w:val="none" w:sz="0" w:space="0" w:color="auto"/>
            <w:right w:val="none" w:sz="0" w:space="0" w:color="auto"/>
          </w:divBdr>
        </w:div>
        <w:div w:id="1197741394">
          <w:marLeft w:val="0"/>
          <w:marRight w:val="0"/>
          <w:marTop w:val="0"/>
          <w:marBottom w:val="0"/>
          <w:divBdr>
            <w:top w:val="none" w:sz="0" w:space="0" w:color="auto"/>
            <w:left w:val="none" w:sz="0" w:space="0" w:color="auto"/>
            <w:bottom w:val="none" w:sz="0" w:space="0" w:color="auto"/>
            <w:right w:val="none" w:sz="0" w:space="0" w:color="auto"/>
          </w:divBdr>
        </w:div>
        <w:div w:id="1251432247">
          <w:marLeft w:val="0"/>
          <w:marRight w:val="0"/>
          <w:marTop w:val="0"/>
          <w:marBottom w:val="0"/>
          <w:divBdr>
            <w:top w:val="none" w:sz="0" w:space="0" w:color="auto"/>
            <w:left w:val="none" w:sz="0" w:space="0" w:color="auto"/>
            <w:bottom w:val="none" w:sz="0" w:space="0" w:color="auto"/>
            <w:right w:val="none" w:sz="0" w:space="0" w:color="auto"/>
          </w:divBdr>
        </w:div>
        <w:div w:id="1618638539">
          <w:marLeft w:val="0"/>
          <w:marRight w:val="0"/>
          <w:marTop w:val="0"/>
          <w:marBottom w:val="0"/>
          <w:divBdr>
            <w:top w:val="none" w:sz="0" w:space="0" w:color="auto"/>
            <w:left w:val="none" w:sz="0" w:space="0" w:color="auto"/>
            <w:bottom w:val="none" w:sz="0" w:space="0" w:color="auto"/>
            <w:right w:val="none" w:sz="0" w:space="0" w:color="auto"/>
          </w:divBdr>
        </w:div>
        <w:div w:id="1843353607">
          <w:marLeft w:val="0"/>
          <w:marRight w:val="0"/>
          <w:marTop w:val="0"/>
          <w:marBottom w:val="0"/>
          <w:divBdr>
            <w:top w:val="none" w:sz="0" w:space="0" w:color="auto"/>
            <w:left w:val="none" w:sz="0" w:space="0" w:color="auto"/>
            <w:bottom w:val="none" w:sz="0" w:space="0" w:color="auto"/>
            <w:right w:val="none" w:sz="0" w:space="0" w:color="auto"/>
          </w:divBdr>
        </w:div>
        <w:div w:id="1878423817">
          <w:marLeft w:val="0"/>
          <w:marRight w:val="0"/>
          <w:marTop w:val="0"/>
          <w:marBottom w:val="0"/>
          <w:divBdr>
            <w:top w:val="none" w:sz="0" w:space="0" w:color="auto"/>
            <w:left w:val="none" w:sz="0" w:space="0" w:color="auto"/>
            <w:bottom w:val="none" w:sz="0" w:space="0" w:color="auto"/>
            <w:right w:val="none" w:sz="0" w:space="0" w:color="auto"/>
          </w:divBdr>
        </w:div>
        <w:div w:id="1958368444">
          <w:marLeft w:val="0"/>
          <w:marRight w:val="0"/>
          <w:marTop w:val="0"/>
          <w:marBottom w:val="0"/>
          <w:divBdr>
            <w:top w:val="none" w:sz="0" w:space="0" w:color="auto"/>
            <w:left w:val="none" w:sz="0" w:space="0" w:color="auto"/>
            <w:bottom w:val="none" w:sz="0" w:space="0" w:color="auto"/>
            <w:right w:val="none" w:sz="0" w:space="0" w:color="auto"/>
          </w:divBdr>
        </w:div>
      </w:divsChild>
    </w:div>
    <w:div w:id="263613081">
      <w:bodyDiv w:val="1"/>
      <w:marLeft w:val="0"/>
      <w:marRight w:val="0"/>
      <w:marTop w:val="0"/>
      <w:marBottom w:val="0"/>
      <w:divBdr>
        <w:top w:val="none" w:sz="0" w:space="0" w:color="auto"/>
        <w:left w:val="none" w:sz="0" w:space="0" w:color="auto"/>
        <w:bottom w:val="none" w:sz="0" w:space="0" w:color="auto"/>
        <w:right w:val="none" w:sz="0" w:space="0" w:color="auto"/>
      </w:divBdr>
      <w:divsChild>
        <w:div w:id="747965765">
          <w:marLeft w:val="0"/>
          <w:marRight w:val="0"/>
          <w:marTop w:val="0"/>
          <w:marBottom w:val="0"/>
          <w:divBdr>
            <w:top w:val="none" w:sz="0" w:space="0" w:color="auto"/>
            <w:left w:val="none" w:sz="0" w:space="0" w:color="auto"/>
            <w:bottom w:val="none" w:sz="0" w:space="0" w:color="auto"/>
            <w:right w:val="none" w:sz="0" w:space="0" w:color="auto"/>
          </w:divBdr>
        </w:div>
      </w:divsChild>
    </w:div>
    <w:div w:id="319848126">
      <w:bodyDiv w:val="1"/>
      <w:marLeft w:val="0"/>
      <w:marRight w:val="0"/>
      <w:marTop w:val="0"/>
      <w:marBottom w:val="0"/>
      <w:divBdr>
        <w:top w:val="none" w:sz="0" w:space="0" w:color="auto"/>
        <w:left w:val="none" w:sz="0" w:space="0" w:color="auto"/>
        <w:bottom w:val="none" w:sz="0" w:space="0" w:color="auto"/>
        <w:right w:val="none" w:sz="0" w:space="0" w:color="auto"/>
      </w:divBdr>
    </w:div>
    <w:div w:id="366878690">
      <w:bodyDiv w:val="1"/>
      <w:marLeft w:val="0"/>
      <w:marRight w:val="0"/>
      <w:marTop w:val="0"/>
      <w:marBottom w:val="0"/>
      <w:divBdr>
        <w:top w:val="none" w:sz="0" w:space="0" w:color="auto"/>
        <w:left w:val="none" w:sz="0" w:space="0" w:color="auto"/>
        <w:bottom w:val="none" w:sz="0" w:space="0" w:color="auto"/>
        <w:right w:val="none" w:sz="0" w:space="0" w:color="auto"/>
      </w:divBdr>
    </w:div>
    <w:div w:id="482889484">
      <w:bodyDiv w:val="1"/>
      <w:marLeft w:val="0"/>
      <w:marRight w:val="0"/>
      <w:marTop w:val="0"/>
      <w:marBottom w:val="0"/>
      <w:divBdr>
        <w:top w:val="none" w:sz="0" w:space="0" w:color="auto"/>
        <w:left w:val="none" w:sz="0" w:space="0" w:color="auto"/>
        <w:bottom w:val="none" w:sz="0" w:space="0" w:color="auto"/>
        <w:right w:val="none" w:sz="0" w:space="0" w:color="auto"/>
      </w:divBdr>
    </w:div>
    <w:div w:id="533270082">
      <w:bodyDiv w:val="1"/>
      <w:marLeft w:val="0"/>
      <w:marRight w:val="0"/>
      <w:marTop w:val="0"/>
      <w:marBottom w:val="0"/>
      <w:divBdr>
        <w:top w:val="none" w:sz="0" w:space="0" w:color="auto"/>
        <w:left w:val="none" w:sz="0" w:space="0" w:color="auto"/>
        <w:bottom w:val="none" w:sz="0" w:space="0" w:color="auto"/>
        <w:right w:val="none" w:sz="0" w:space="0" w:color="auto"/>
      </w:divBdr>
    </w:div>
    <w:div w:id="533805974">
      <w:bodyDiv w:val="1"/>
      <w:marLeft w:val="0"/>
      <w:marRight w:val="0"/>
      <w:marTop w:val="0"/>
      <w:marBottom w:val="0"/>
      <w:divBdr>
        <w:top w:val="none" w:sz="0" w:space="0" w:color="auto"/>
        <w:left w:val="none" w:sz="0" w:space="0" w:color="auto"/>
        <w:bottom w:val="none" w:sz="0" w:space="0" w:color="auto"/>
        <w:right w:val="none" w:sz="0" w:space="0" w:color="auto"/>
      </w:divBdr>
    </w:div>
    <w:div w:id="551581754">
      <w:bodyDiv w:val="1"/>
      <w:marLeft w:val="0"/>
      <w:marRight w:val="0"/>
      <w:marTop w:val="0"/>
      <w:marBottom w:val="0"/>
      <w:divBdr>
        <w:top w:val="none" w:sz="0" w:space="0" w:color="auto"/>
        <w:left w:val="none" w:sz="0" w:space="0" w:color="auto"/>
        <w:bottom w:val="none" w:sz="0" w:space="0" w:color="auto"/>
        <w:right w:val="none" w:sz="0" w:space="0" w:color="auto"/>
      </w:divBdr>
    </w:div>
    <w:div w:id="611866608">
      <w:bodyDiv w:val="1"/>
      <w:marLeft w:val="0"/>
      <w:marRight w:val="0"/>
      <w:marTop w:val="0"/>
      <w:marBottom w:val="0"/>
      <w:divBdr>
        <w:top w:val="none" w:sz="0" w:space="0" w:color="auto"/>
        <w:left w:val="none" w:sz="0" w:space="0" w:color="auto"/>
        <w:bottom w:val="none" w:sz="0" w:space="0" w:color="auto"/>
        <w:right w:val="none" w:sz="0" w:space="0" w:color="auto"/>
      </w:divBdr>
    </w:div>
    <w:div w:id="620042029">
      <w:bodyDiv w:val="1"/>
      <w:marLeft w:val="0"/>
      <w:marRight w:val="0"/>
      <w:marTop w:val="0"/>
      <w:marBottom w:val="0"/>
      <w:divBdr>
        <w:top w:val="none" w:sz="0" w:space="0" w:color="auto"/>
        <w:left w:val="none" w:sz="0" w:space="0" w:color="auto"/>
        <w:bottom w:val="none" w:sz="0" w:space="0" w:color="auto"/>
        <w:right w:val="none" w:sz="0" w:space="0" w:color="auto"/>
      </w:divBdr>
    </w:div>
    <w:div w:id="632097670">
      <w:bodyDiv w:val="1"/>
      <w:marLeft w:val="0"/>
      <w:marRight w:val="0"/>
      <w:marTop w:val="0"/>
      <w:marBottom w:val="0"/>
      <w:divBdr>
        <w:top w:val="none" w:sz="0" w:space="0" w:color="auto"/>
        <w:left w:val="none" w:sz="0" w:space="0" w:color="auto"/>
        <w:bottom w:val="none" w:sz="0" w:space="0" w:color="auto"/>
        <w:right w:val="none" w:sz="0" w:space="0" w:color="auto"/>
      </w:divBdr>
    </w:div>
    <w:div w:id="638075848">
      <w:bodyDiv w:val="1"/>
      <w:marLeft w:val="0"/>
      <w:marRight w:val="0"/>
      <w:marTop w:val="0"/>
      <w:marBottom w:val="0"/>
      <w:divBdr>
        <w:top w:val="none" w:sz="0" w:space="0" w:color="auto"/>
        <w:left w:val="none" w:sz="0" w:space="0" w:color="auto"/>
        <w:bottom w:val="none" w:sz="0" w:space="0" w:color="auto"/>
        <w:right w:val="none" w:sz="0" w:space="0" w:color="auto"/>
      </w:divBdr>
      <w:divsChild>
        <w:div w:id="1040978482">
          <w:marLeft w:val="480"/>
          <w:marRight w:val="0"/>
          <w:marTop w:val="0"/>
          <w:marBottom w:val="0"/>
          <w:divBdr>
            <w:top w:val="none" w:sz="0" w:space="0" w:color="auto"/>
            <w:left w:val="none" w:sz="0" w:space="0" w:color="auto"/>
            <w:bottom w:val="none" w:sz="0" w:space="0" w:color="auto"/>
            <w:right w:val="none" w:sz="0" w:space="0" w:color="auto"/>
          </w:divBdr>
          <w:divsChild>
            <w:div w:id="40653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774389">
      <w:bodyDiv w:val="1"/>
      <w:marLeft w:val="0"/>
      <w:marRight w:val="0"/>
      <w:marTop w:val="0"/>
      <w:marBottom w:val="0"/>
      <w:divBdr>
        <w:top w:val="none" w:sz="0" w:space="0" w:color="auto"/>
        <w:left w:val="none" w:sz="0" w:space="0" w:color="auto"/>
        <w:bottom w:val="none" w:sz="0" w:space="0" w:color="auto"/>
        <w:right w:val="none" w:sz="0" w:space="0" w:color="auto"/>
      </w:divBdr>
    </w:div>
    <w:div w:id="676419179">
      <w:bodyDiv w:val="1"/>
      <w:marLeft w:val="0"/>
      <w:marRight w:val="0"/>
      <w:marTop w:val="0"/>
      <w:marBottom w:val="0"/>
      <w:divBdr>
        <w:top w:val="none" w:sz="0" w:space="0" w:color="auto"/>
        <w:left w:val="none" w:sz="0" w:space="0" w:color="auto"/>
        <w:bottom w:val="none" w:sz="0" w:space="0" w:color="auto"/>
        <w:right w:val="none" w:sz="0" w:space="0" w:color="auto"/>
      </w:divBdr>
      <w:divsChild>
        <w:div w:id="1124228864">
          <w:marLeft w:val="0"/>
          <w:marRight w:val="0"/>
          <w:marTop w:val="0"/>
          <w:marBottom w:val="0"/>
          <w:divBdr>
            <w:top w:val="none" w:sz="0" w:space="0" w:color="auto"/>
            <w:left w:val="none" w:sz="0" w:space="0" w:color="auto"/>
            <w:bottom w:val="none" w:sz="0" w:space="0" w:color="auto"/>
            <w:right w:val="none" w:sz="0" w:space="0" w:color="auto"/>
          </w:divBdr>
        </w:div>
      </w:divsChild>
    </w:div>
    <w:div w:id="738862291">
      <w:bodyDiv w:val="1"/>
      <w:marLeft w:val="0"/>
      <w:marRight w:val="0"/>
      <w:marTop w:val="0"/>
      <w:marBottom w:val="0"/>
      <w:divBdr>
        <w:top w:val="none" w:sz="0" w:space="0" w:color="auto"/>
        <w:left w:val="none" w:sz="0" w:space="0" w:color="auto"/>
        <w:bottom w:val="none" w:sz="0" w:space="0" w:color="auto"/>
        <w:right w:val="none" w:sz="0" w:space="0" w:color="auto"/>
      </w:divBdr>
    </w:div>
    <w:div w:id="740375031">
      <w:bodyDiv w:val="1"/>
      <w:marLeft w:val="0"/>
      <w:marRight w:val="0"/>
      <w:marTop w:val="0"/>
      <w:marBottom w:val="0"/>
      <w:divBdr>
        <w:top w:val="none" w:sz="0" w:space="0" w:color="auto"/>
        <w:left w:val="none" w:sz="0" w:space="0" w:color="auto"/>
        <w:bottom w:val="none" w:sz="0" w:space="0" w:color="auto"/>
        <w:right w:val="none" w:sz="0" w:space="0" w:color="auto"/>
      </w:divBdr>
    </w:div>
    <w:div w:id="790562047">
      <w:bodyDiv w:val="1"/>
      <w:marLeft w:val="0"/>
      <w:marRight w:val="0"/>
      <w:marTop w:val="0"/>
      <w:marBottom w:val="0"/>
      <w:divBdr>
        <w:top w:val="none" w:sz="0" w:space="0" w:color="auto"/>
        <w:left w:val="none" w:sz="0" w:space="0" w:color="auto"/>
        <w:bottom w:val="none" w:sz="0" w:space="0" w:color="auto"/>
        <w:right w:val="none" w:sz="0" w:space="0" w:color="auto"/>
      </w:divBdr>
    </w:div>
    <w:div w:id="801196826">
      <w:bodyDiv w:val="1"/>
      <w:marLeft w:val="0"/>
      <w:marRight w:val="0"/>
      <w:marTop w:val="0"/>
      <w:marBottom w:val="0"/>
      <w:divBdr>
        <w:top w:val="none" w:sz="0" w:space="0" w:color="auto"/>
        <w:left w:val="none" w:sz="0" w:space="0" w:color="auto"/>
        <w:bottom w:val="none" w:sz="0" w:space="0" w:color="auto"/>
        <w:right w:val="none" w:sz="0" w:space="0" w:color="auto"/>
      </w:divBdr>
    </w:div>
    <w:div w:id="847865415">
      <w:bodyDiv w:val="1"/>
      <w:marLeft w:val="0"/>
      <w:marRight w:val="0"/>
      <w:marTop w:val="0"/>
      <w:marBottom w:val="0"/>
      <w:divBdr>
        <w:top w:val="none" w:sz="0" w:space="0" w:color="auto"/>
        <w:left w:val="none" w:sz="0" w:space="0" w:color="auto"/>
        <w:bottom w:val="none" w:sz="0" w:space="0" w:color="auto"/>
        <w:right w:val="none" w:sz="0" w:space="0" w:color="auto"/>
      </w:divBdr>
    </w:div>
    <w:div w:id="869803646">
      <w:bodyDiv w:val="1"/>
      <w:marLeft w:val="0"/>
      <w:marRight w:val="0"/>
      <w:marTop w:val="0"/>
      <w:marBottom w:val="0"/>
      <w:divBdr>
        <w:top w:val="none" w:sz="0" w:space="0" w:color="auto"/>
        <w:left w:val="none" w:sz="0" w:space="0" w:color="auto"/>
        <w:bottom w:val="none" w:sz="0" w:space="0" w:color="auto"/>
        <w:right w:val="none" w:sz="0" w:space="0" w:color="auto"/>
      </w:divBdr>
      <w:divsChild>
        <w:div w:id="1450130217">
          <w:marLeft w:val="480"/>
          <w:marRight w:val="0"/>
          <w:marTop w:val="0"/>
          <w:marBottom w:val="0"/>
          <w:divBdr>
            <w:top w:val="none" w:sz="0" w:space="0" w:color="auto"/>
            <w:left w:val="none" w:sz="0" w:space="0" w:color="auto"/>
            <w:bottom w:val="none" w:sz="0" w:space="0" w:color="auto"/>
            <w:right w:val="none" w:sz="0" w:space="0" w:color="auto"/>
          </w:divBdr>
          <w:divsChild>
            <w:div w:id="132304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074574">
      <w:bodyDiv w:val="1"/>
      <w:marLeft w:val="0"/>
      <w:marRight w:val="0"/>
      <w:marTop w:val="0"/>
      <w:marBottom w:val="0"/>
      <w:divBdr>
        <w:top w:val="none" w:sz="0" w:space="0" w:color="auto"/>
        <w:left w:val="none" w:sz="0" w:space="0" w:color="auto"/>
        <w:bottom w:val="none" w:sz="0" w:space="0" w:color="auto"/>
        <w:right w:val="none" w:sz="0" w:space="0" w:color="auto"/>
      </w:divBdr>
    </w:div>
    <w:div w:id="884945955">
      <w:bodyDiv w:val="1"/>
      <w:marLeft w:val="0"/>
      <w:marRight w:val="0"/>
      <w:marTop w:val="0"/>
      <w:marBottom w:val="0"/>
      <w:divBdr>
        <w:top w:val="none" w:sz="0" w:space="0" w:color="auto"/>
        <w:left w:val="none" w:sz="0" w:space="0" w:color="auto"/>
        <w:bottom w:val="none" w:sz="0" w:space="0" w:color="auto"/>
        <w:right w:val="none" w:sz="0" w:space="0" w:color="auto"/>
      </w:divBdr>
    </w:div>
    <w:div w:id="919027991">
      <w:bodyDiv w:val="1"/>
      <w:marLeft w:val="0"/>
      <w:marRight w:val="0"/>
      <w:marTop w:val="0"/>
      <w:marBottom w:val="0"/>
      <w:divBdr>
        <w:top w:val="none" w:sz="0" w:space="0" w:color="auto"/>
        <w:left w:val="none" w:sz="0" w:space="0" w:color="auto"/>
        <w:bottom w:val="none" w:sz="0" w:space="0" w:color="auto"/>
        <w:right w:val="none" w:sz="0" w:space="0" w:color="auto"/>
      </w:divBdr>
    </w:div>
    <w:div w:id="930772538">
      <w:bodyDiv w:val="1"/>
      <w:marLeft w:val="0"/>
      <w:marRight w:val="0"/>
      <w:marTop w:val="0"/>
      <w:marBottom w:val="0"/>
      <w:divBdr>
        <w:top w:val="none" w:sz="0" w:space="0" w:color="auto"/>
        <w:left w:val="none" w:sz="0" w:space="0" w:color="auto"/>
        <w:bottom w:val="none" w:sz="0" w:space="0" w:color="auto"/>
        <w:right w:val="none" w:sz="0" w:space="0" w:color="auto"/>
      </w:divBdr>
    </w:div>
    <w:div w:id="983582729">
      <w:bodyDiv w:val="1"/>
      <w:marLeft w:val="0"/>
      <w:marRight w:val="0"/>
      <w:marTop w:val="0"/>
      <w:marBottom w:val="0"/>
      <w:divBdr>
        <w:top w:val="none" w:sz="0" w:space="0" w:color="auto"/>
        <w:left w:val="none" w:sz="0" w:space="0" w:color="auto"/>
        <w:bottom w:val="none" w:sz="0" w:space="0" w:color="auto"/>
        <w:right w:val="none" w:sz="0" w:space="0" w:color="auto"/>
      </w:divBdr>
    </w:div>
    <w:div w:id="992030146">
      <w:bodyDiv w:val="1"/>
      <w:marLeft w:val="0"/>
      <w:marRight w:val="0"/>
      <w:marTop w:val="0"/>
      <w:marBottom w:val="0"/>
      <w:divBdr>
        <w:top w:val="none" w:sz="0" w:space="0" w:color="auto"/>
        <w:left w:val="none" w:sz="0" w:space="0" w:color="auto"/>
        <w:bottom w:val="none" w:sz="0" w:space="0" w:color="auto"/>
        <w:right w:val="none" w:sz="0" w:space="0" w:color="auto"/>
      </w:divBdr>
      <w:divsChild>
        <w:div w:id="905383051">
          <w:marLeft w:val="0"/>
          <w:marRight w:val="0"/>
          <w:marTop w:val="0"/>
          <w:marBottom w:val="0"/>
          <w:divBdr>
            <w:top w:val="none" w:sz="0" w:space="0" w:color="auto"/>
            <w:left w:val="none" w:sz="0" w:space="0" w:color="auto"/>
            <w:bottom w:val="none" w:sz="0" w:space="0" w:color="auto"/>
            <w:right w:val="none" w:sz="0" w:space="0" w:color="auto"/>
          </w:divBdr>
        </w:div>
      </w:divsChild>
    </w:div>
    <w:div w:id="1011840558">
      <w:bodyDiv w:val="1"/>
      <w:marLeft w:val="0"/>
      <w:marRight w:val="0"/>
      <w:marTop w:val="0"/>
      <w:marBottom w:val="0"/>
      <w:divBdr>
        <w:top w:val="none" w:sz="0" w:space="0" w:color="auto"/>
        <w:left w:val="none" w:sz="0" w:space="0" w:color="auto"/>
        <w:bottom w:val="none" w:sz="0" w:space="0" w:color="auto"/>
        <w:right w:val="none" w:sz="0" w:space="0" w:color="auto"/>
      </w:divBdr>
    </w:div>
    <w:div w:id="1013917163">
      <w:bodyDiv w:val="1"/>
      <w:marLeft w:val="0"/>
      <w:marRight w:val="0"/>
      <w:marTop w:val="0"/>
      <w:marBottom w:val="0"/>
      <w:divBdr>
        <w:top w:val="none" w:sz="0" w:space="0" w:color="auto"/>
        <w:left w:val="none" w:sz="0" w:space="0" w:color="auto"/>
        <w:bottom w:val="none" w:sz="0" w:space="0" w:color="auto"/>
        <w:right w:val="none" w:sz="0" w:space="0" w:color="auto"/>
      </w:divBdr>
      <w:divsChild>
        <w:div w:id="620042026">
          <w:marLeft w:val="0"/>
          <w:marRight w:val="0"/>
          <w:marTop w:val="0"/>
          <w:marBottom w:val="0"/>
          <w:divBdr>
            <w:top w:val="none" w:sz="0" w:space="0" w:color="auto"/>
            <w:left w:val="none" w:sz="0" w:space="0" w:color="auto"/>
            <w:bottom w:val="none" w:sz="0" w:space="0" w:color="auto"/>
            <w:right w:val="none" w:sz="0" w:space="0" w:color="auto"/>
          </w:divBdr>
        </w:div>
      </w:divsChild>
    </w:div>
    <w:div w:id="1077364790">
      <w:bodyDiv w:val="1"/>
      <w:marLeft w:val="0"/>
      <w:marRight w:val="0"/>
      <w:marTop w:val="0"/>
      <w:marBottom w:val="0"/>
      <w:divBdr>
        <w:top w:val="none" w:sz="0" w:space="0" w:color="auto"/>
        <w:left w:val="none" w:sz="0" w:space="0" w:color="auto"/>
        <w:bottom w:val="none" w:sz="0" w:space="0" w:color="auto"/>
        <w:right w:val="none" w:sz="0" w:space="0" w:color="auto"/>
      </w:divBdr>
    </w:div>
    <w:div w:id="1107846532">
      <w:bodyDiv w:val="1"/>
      <w:marLeft w:val="0"/>
      <w:marRight w:val="0"/>
      <w:marTop w:val="0"/>
      <w:marBottom w:val="0"/>
      <w:divBdr>
        <w:top w:val="none" w:sz="0" w:space="0" w:color="auto"/>
        <w:left w:val="none" w:sz="0" w:space="0" w:color="auto"/>
        <w:bottom w:val="none" w:sz="0" w:space="0" w:color="auto"/>
        <w:right w:val="none" w:sz="0" w:space="0" w:color="auto"/>
      </w:divBdr>
    </w:div>
    <w:div w:id="1155218807">
      <w:bodyDiv w:val="1"/>
      <w:marLeft w:val="0"/>
      <w:marRight w:val="0"/>
      <w:marTop w:val="0"/>
      <w:marBottom w:val="0"/>
      <w:divBdr>
        <w:top w:val="none" w:sz="0" w:space="0" w:color="auto"/>
        <w:left w:val="none" w:sz="0" w:space="0" w:color="auto"/>
        <w:bottom w:val="none" w:sz="0" w:space="0" w:color="auto"/>
        <w:right w:val="none" w:sz="0" w:space="0" w:color="auto"/>
      </w:divBdr>
      <w:divsChild>
        <w:div w:id="984890464">
          <w:marLeft w:val="0"/>
          <w:marRight w:val="0"/>
          <w:marTop w:val="0"/>
          <w:marBottom w:val="0"/>
          <w:divBdr>
            <w:top w:val="none" w:sz="0" w:space="0" w:color="auto"/>
            <w:left w:val="none" w:sz="0" w:space="0" w:color="auto"/>
            <w:bottom w:val="none" w:sz="0" w:space="0" w:color="auto"/>
            <w:right w:val="none" w:sz="0" w:space="0" w:color="auto"/>
          </w:divBdr>
          <w:divsChild>
            <w:div w:id="532614283">
              <w:marLeft w:val="0"/>
              <w:marRight w:val="0"/>
              <w:marTop w:val="0"/>
              <w:marBottom w:val="0"/>
              <w:divBdr>
                <w:top w:val="none" w:sz="0" w:space="0" w:color="auto"/>
                <w:left w:val="none" w:sz="0" w:space="0" w:color="auto"/>
                <w:bottom w:val="none" w:sz="0" w:space="0" w:color="auto"/>
                <w:right w:val="none" w:sz="0" w:space="0" w:color="auto"/>
              </w:divBdr>
              <w:divsChild>
                <w:div w:id="213575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578249">
      <w:bodyDiv w:val="1"/>
      <w:marLeft w:val="0"/>
      <w:marRight w:val="0"/>
      <w:marTop w:val="0"/>
      <w:marBottom w:val="0"/>
      <w:divBdr>
        <w:top w:val="none" w:sz="0" w:space="0" w:color="auto"/>
        <w:left w:val="none" w:sz="0" w:space="0" w:color="auto"/>
        <w:bottom w:val="none" w:sz="0" w:space="0" w:color="auto"/>
        <w:right w:val="none" w:sz="0" w:space="0" w:color="auto"/>
      </w:divBdr>
    </w:div>
    <w:div w:id="1177038362">
      <w:bodyDiv w:val="1"/>
      <w:marLeft w:val="0"/>
      <w:marRight w:val="0"/>
      <w:marTop w:val="0"/>
      <w:marBottom w:val="0"/>
      <w:divBdr>
        <w:top w:val="none" w:sz="0" w:space="0" w:color="auto"/>
        <w:left w:val="none" w:sz="0" w:space="0" w:color="auto"/>
        <w:bottom w:val="none" w:sz="0" w:space="0" w:color="auto"/>
        <w:right w:val="none" w:sz="0" w:space="0" w:color="auto"/>
      </w:divBdr>
    </w:div>
    <w:div w:id="1216893334">
      <w:bodyDiv w:val="1"/>
      <w:marLeft w:val="0"/>
      <w:marRight w:val="0"/>
      <w:marTop w:val="0"/>
      <w:marBottom w:val="0"/>
      <w:divBdr>
        <w:top w:val="none" w:sz="0" w:space="0" w:color="auto"/>
        <w:left w:val="none" w:sz="0" w:space="0" w:color="auto"/>
        <w:bottom w:val="none" w:sz="0" w:space="0" w:color="auto"/>
        <w:right w:val="none" w:sz="0" w:space="0" w:color="auto"/>
      </w:divBdr>
    </w:div>
    <w:div w:id="1220478184">
      <w:bodyDiv w:val="1"/>
      <w:marLeft w:val="0"/>
      <w:marRight w:val="0"/>
      <w:marTop w:val="0"/>
      <w:marBottom w:val="0"/>
      <w:divBdr>
        <w:top w:val="none" w:sz="0" w:space="0" w:color="auto"/>
        <w:left w:val="none" w:sz="0" w:space="0" w:color="auto"/>
        <w:bottom w:val="none" w:sz="0" w:space="0" w:color="auto"/>
        <w:right w:val="none" w:sz="0" w:space="0" w:color="auto"/>
      </w:divBdr>
      <w:divsChild>
        <w:div w:id="13651141">
          <w:marLeft w:val="480"/>
          <w:marRight w:val="0"/>
          <w:marTop w:val="0"/>
          <w:marBottom w:val="0"/>
          <w:divBdr>
            <w:top w:val="none" w:sz="0" w:space="0" w:color="auto"/>
            <w:left w:val="none" w:sz="0" w:space="0" w:color="auto"/>
            <w:bottom w:val="none" w:sz="0" w:space="0" w:color="auto"/>
            <w:right w:val="none" w:sz="0" w:space="0" w:color="auto"/>
          </w:divBdr>
          <w:divsChild>
            <w:div w:id="1951037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3588">
      <w:bodyDiv w:val="1"/>
      <w:marLeft w:val="0"/>
      <w:marRight w:val="0"/>
      <w:marTop w:val="0"/>
      <w:marBottom w:val="0"/>
      <w:divBdr>
        <w:top w:val="none" w:sz="0" w:space="0" w:color="auto"/>
        <w:left w:val="none" w:sz="0" w:space="0" w:color="auto"/>
        <w:bottom w:val="none" w:sz="0" w:space="0" w:color="auto"/>
        <w:right w:val="none" w:sz="0" w:space="0" w:color="auto"/>
      </w:divBdr>
    </w:div>
    <w:div w:id="1330016185">
      <w:bodyDiv w:val="1"/>
      <w:marLeft w:val="0"/>
      <w:marRight w:val="0"/>
      <w:marTop w:val="0"/>
      <w:marBottom w:val="0"/>
      <w:divBdr>
        <w:top w:val="none" w:sz="0" w:space="0" w:color="auto"/>
        <w:left w:val="none" w:sz="0" w:space="0" w:color="auto"/>
        <w:bottom w:val="none" w:sz="0" w:space="0" w:color="auto"/>
        <w:right w:val="none" w:sz="0" w:space="0" w:color="auto"/>
      </w:divBdr>
      <w:divsChild>
        <w:div w:id="1019232182">
          <w:marLeft w:val="0"/>
          <w:marRight w:val="0"/>
          <w:marTop w:val="0"/>
          <w:marBottom w:val="0"/>
          <w:divBdr>
            <w:top w:val="none" w:sz="0" w:space="0" w:color="auto"/>
            <w:left w:val="none" w:sz="0" w:space="0" w:color="auto"/>
            <w:bottom w:val="none" w:sz="0" w:space="0" w:color="auto"/>
            <w:right w:val="none" w:sz="0" w:space="0" w:color="auto"/>
          </w:divBdr>
        </w:div>
      </w:divsChild>
    </w:div>
    <w:div w:id="1395620183">
      <w:bodyDiv w:val="1"/>
      <w:marLeft w:val="0"/>
      <w:marRight w:val="0"/>
      <w:marTop w:val="0"/>
      <w:marBottom w:val="0"/>
      <w:divBdr>
        <w:top w:val="none" w:sz="0" w:space="0" w:color="auto"/>
        <w:left w:val="none" w:sz="0" w:space="0" w:color="auto"/>
        <w:bottom w:val="none" w:sz="0" w:space="0" w:color="auto"/>
        <w:right w:val="none" w:sz="0" w:space="0" w:color="auto"/>
      </w:divBdr>
    </w:div>
    <w:div w:id="1398940516">
      <w:bodyDiv w:val="1"/>
      <w:marLeft w:val="0"/>
      <w:marRight w:val="0"/>
      <w:marTop w:val="0"/>
      <w:marBottom w:val="0"/>
      <w:divBdr>
        <w:top w:val="none" w:sz="0" w:space="0" w:color="auto"/>
        <w:left w:val="none" w:sz="0" w:space="0" w:color="auto"/>
        <w:bottom w:val="none" w:sz="0" w:space="0" w:color="auto"/>
        <w:right w:val="none" w:sz="0" w:space="0" w:color="auto"/>
      </w:divBdr>
    </w:div>
    <w:div w:id="1401899498">
      <w:bodyDiv w:val="1"/>
      <w:marLeft w:val="0"/>
      <w:marRight w:val="0"/>
      <w:marTop w:val="0"/>
      <w:marBottom w:val="0"/>
      <w:divBdr>
        <w:top w:val="none" w:sz="0" w:space="0" w:color="auto"/>
        <w:left w:val="none" w:sz="0" w:space="0" w:color="auto"/>
        <w:bottom w:val="none" w:sz="0" w:space="0" w:color="auto"/>
        <w:right w:val="none" w:sz="0" w:space="0" w:color="auto"/>
      </w:divBdr>
    </w:div>
    <w:div w:id="1432820776">
      <w:bodyDiv w:val="1"/>
      <w:marLeft w:val="0"/>
      <w:marRight w:val="0"/>
      <w:marTop w:val="0"/>
      <w:marBottom w:val="0"/>
      <w:divBdr>
        <w:top w:val="none" w:sz="0" w:space="0" w:color="auto"/>
        <w:left w:val="none" w:sz="0" w:space="0" w:color="auto"/>
        <w:bottom w:val="none" w:sz="0" w:space="0" w:color="auto"/>
        <w:right w:val="none" w:sz="0" w:space="0" w:color="auto"/>
      </w:divBdr>
    </w:div>
    <w:div w:id="1458721370">
      <w:bodyDiv w:val="1"/>
      <w:marLeft w:val="0"/>
      <w:marRight w:val="0"/>
      <w:marTop w:val="0"/>
      <w:marBottom w:val="0"/>
      <w:divBdr>
        <w:top w:val="none" w:sz="0" w:space="0" w:color="auto"/>
        <w:left w:val="none" w:sz="0" w:space="0" w:color="auto"/>
        <w:bottom w:val="none" w:sz="0" w:space="0" w:color="auto"/>
        <w:right w:val="none" w:sz="0" w:space="0" w:color="auto"/>
      </w:divBdr>
    </w:div>
    <w:div w:id="1465467059">
      <w:bodyDiv w:val="1"/>
      <w:marLeft w:val="0"/>
      <w:marRight w:val="0"/>
      <w:marTop w:val="0"/>
      <w:marBottom w:val="0"/>
      <w:divBdr>
        <w:top w:val="none" w:sz="0" w:space="0" w:color="auto"/>
        <w:left w:val="none" w:sz="0" w:space="0" w:color="auto"/>
        <w:bottom w:val="none" w:sz="0" w:space="0" w:color="auto"/>
        <w:right w:val="none" w:sz="0" w:space="0" w:color="auto"/>
      </w:divBdr>
      <w:divsChild>
        <w:div w:id="1148939471">
          <w:marLeft w:val="480"/>
          <w:marRight w:val="0"/>
          <w:marTop w:val="0"/>
          <w:marBottom w:val="0"/>
          <w:divBdr>
            <w:top w:val="none" w:sz="0" w:space="0" w:color="auto"/>
            <w:left w:val="none" w:sz="0" w:space="0" w:color="auto"/>
            <w:bottom w:val="none" w:sz="0" w:space="0" w:color="auto"/>
            <w:right w:val="none" w:sz="0" w:space="0" w:color="auto"/>
          </w:divBdr>
          <w:divsChild>
            <w:div w:id="74869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61266">
      <w:bodyDiv w:val="1"/>
      <w:marLeft w:val="0"/>
      <w:marRight w:val="0"/>
      <w:marTop w:val="0"/>
      <w:marBottom w:val="0"/>
      <w:divBdr>
        <w:top w:val="none" w:sz="0" w:space="0" w:color="auto"/>
        <w:left w:val="none" w:sz="0" w:space="0" w:color="auto"/>
        <w:bottom w:val="none" w:sz="0" w:space="0" w:color="auto"/>
        <w:right w:val="none" w:sz="0" w:space="0" w:color="auto"/>
      </w:divBdr>
      <w:divsChild>
        <w:div w:id="1098672091">
          <w:marLeft w:val="0"/>
          <w:marRight w:val="0"/>
          <w:marTop w:val="0"/>
          <w:marBottom w:val="0"/>
          <w:divBdr>
            <w:top w:val="none" w:sz="0" w:space="0" w:color="auto"/>
            <w:left w:val="none" w:sz="0" w:space="0" w:color="auto"/>
            <w:bottom w:val="none" w:sz="0" w:space="0" w:color="auto"/>
            <w:right w:val="none" w:sz="0" w:space="0" w:color="auto"/>
          </w:divBdr>
        </w:div>
      </w:divsChild>
    </w:div>
    <w:div w:id="1529294779">
      <w:bodyDiv w:val="1"/>
      <w:marLeft w:val="0"/>
      <w:marRight w:val="0"/>
      <w:marTop w:val="0"/>
      <w:marBottom w:val="0"/>
      <w:divBdr>
        <w:top w:val="none" w:sz="0" w:space="0" w:color="auto"/>
        <w:left w:val="none" w:sz="0" w:space="0" w:color="auto"/>
        <w:bottom w:val="none" w:sz="0" w:space="0" w:color="auto"/>
        <w:right w:val="none" w:sz="0" w:space="0" w:color="auto"/>
      </w:divBdr>
      <w:divsChild>
        <w:div w:id="1496801252">
          <w:marLeft w:val="480"/>
          <w:marRight w:val="0"/>
          <w:marTop w:val="0"/>
          <w:marBottom w:val="0"/>
          <w:divBdr>
            <w:top w:val="none" w:sz="0" w:space="0" w:color="auto"/>
            <w:left w:val="none" w:sz="0" w:space="0" w:color="auto"/>
            <w:bottom w:val="none" w:sz="0" w:space="0" w:color="auto"/>
            <w:right w:val="none" w:sz="0" w:space="0" w:color="auto"/>
          </w:divBdr>
          <w:divsChild>
            <w:div w:id="167333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052792">
      <w:bodyDiv w:val="1"/>
      <w:marLeft w:val="0"/>
      <w:marRight w:val="0"/>
      <w:marTop w:val="0"/>
      <w:marBottom w:val="0"/>
      <w:divBdr>
        <w:top w:val="none" w:sz="0" w:space="0" w:color="auto"/>
        <w:left w:val="none" w:sz="0" w:space="0" w:color="auto"/>
        <w:bottom w:val="none" w:sz="0" w:space="0" w:color="auto"/>
        <w:right w:val="none" w:sz="0" w:space="0" w:color="auto"/>
      </w:divBdr>
    </w:div>
    <w:div w:id="1614627093">
      <w:bodyDiv w:val="1"/>
      <w:marLeft w:val="0"/>
      <w:marRight w:val="0"/>
      <w:marTop w:val="0"/>
      <w:marBottom w:val="0"/>
      <w:divBdr>
        <w:top w:val="none" w:sz="0" w:space="0" w:color="auto"/>
        <w:left w:val="none" w:sz="0" w:space="0" w:color="auto"/>
        <w:bottom w:val="none" w:sz="0" w:space="0" w:color="auto"/>
        <w:right w:val="none" w:sz="0" w:space="0" w:color="auto"/>
      </w:divBdr>
    </w:div>
    <w:div w:id="1643534935">
      <w:bodyDiv w:val="1"/>
      <w:marLeft w:val="0"/>
      <w:marRight w:val="0"/>
      <w:marTop w:val="0"/>
      <w:marBottom w:val="0"/>
      <w:divBdr>
        <w:top w:val="none" w:sz="0" w:space="0" w:color="auto"/>
        <w:left w:val="none" w:sz="0" w:space="0" w:color="auto"/>
        <w:bottom w:val="none" w:sz="0" w:space="0" w:color="auto"/>
        <w:right w:val="none" w:sz="0" w:space="0" w:color="auto"/>
      </w:divBdr>
    </w:div>
    <w:div w:id="1646081340">
      <w:bodyDiv w:val="1"/>
      <w:marLeft w:val="0"/>
      <w:marRight w:val="0"/>
      <w:marTop w:val="0"/>
      <w:marBottom w:val="0"/>
      <w:divBdr>
        <w:top w:val="none" w:sz="0" w:space="0" w:color="auto"/>
        <w:left w:val="none" w:sz="0" w:space="0" w:color="auto"/>
        <w:bottom w:val="none" w:sz="0" w:space="0" w:color="auto"/>
        <w:right w:val="none" w:sz="0" w:space="0" w:color="auto"/>
      </w:divBdr>
    </w:div>
    <w:div w:id="1647932143">
      <w:bodyDiv w:val="1"/>
      <w:marLeft w:val="0"/>
      <w:marRight w:val="0"/>
      <w:marTop w:val="0"/>
      <w:marBottom w:val="0"/>
      <w:divBdr>
        <w:top w:val="none" w:sz="0" w:space="0" w:color="auto"/>
        <w:left w:val="none" w:sz="0" w:space="0" w:color="auto"/>
        <w:bottom w:val="none" w:sz="0" w:space="0" w:color="auto"/>
        <w:right w:val="none" w:sz="0" w:space="0" w:color="auto"/>
      </w:divBdr>
    </w:div>
    <w:div w:id="1659723738">
      <w:bodyDiv w:val="1"/>
      <w:marLeft w:val="0"/>
      <w:marRight w:val="0"/>
      <w:marTop w:val="0"/>
      <w:marBottom w:val="0"/>
      <w:divBdr>
        <w:top w:val="none" w:sz="0" w:space="0" w:color="auto"/>
        <w:left w:val="none" w:sz="0" w:space="0" w:color="auto"/>
        <w:bottom w:val="none" w:sz="0" w:space="0" w:color="auto"/>
        <w:right w:val="none" w:sz="0" w:space="0" w:color="auto"/>
      </w:divBdr>
      <w:divsChild>
        <w:div w:id="973952235">
          <w:marLeft w:val="-150"/>
          <w:marRight w:val="0"/>
          <w:marTop w:val="0"/>
          <w:marBottom w:val="0"/>
          <w:divBdr>
            <w:top w:val="none" w:sz="0" w:space="0" w:color="auto"/>
            <w:left w:val="none" w:sz="0" w:space="0" w:color="auto"/>
            <w:bottom w:val="none" w:sz="0" w:space="0" w:color="auto"/>
            <w:right w:val="none" w:sz="0" w:space="0" w:color="auto"/>
          </w:divBdr>
          <w:divsChild>
            <w:div w:id="961156836">
              <w:marLeft w:val="0"/>
              <w:marRight w:val="0"/>
              <w:marTop w:val="0"/>
              <w:marBottom w:val="0"/>
              <w:divBdr>
                <w:top w:val="none" w:sz="0" w:space="0" w:color="auto"/>
                <w:left w:val="none" w:sz="0" w:space="0" w:color="auto"/>
                <w:bottom w:val="none" w:sz="0" w:space="0" w:color="auto"/>
                <w:right w:val="none" w:sz="0" w:space="0" w:color="auto"/>
              </w:divBdr>
              <w:divsChild>
                <w:div w:id="33758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668622">
          <w:marLeft w:val="-150"/>
          <w:marRight w:val="0"/>
          <w:marTop w:val="0"/>
          <w:marBottom w:val="0"/>
          <w:divBdr>
            <w:top w:val="none" w:sz="0" w:space="0" w:color="auto"/>
            <w:left w:val="none" w:sz="0" w:space="0" w:color="auto"/>
            <w:bottom w:val="none" w:sz="0" w:space="0" w:color="auto"/>
            <w:right w:val="none" w:sz="0" w:space="0" w:color="auto"/>
          </w:divBdr>
          <w:divsChild>
            <w:div w:id="2067098414">
              <w:marLeft w:val="0"/>
              <w:marRight w:val="0"/>
              <w:marTop w:val="0"/>
              <w:marBottom w:val="0"/>
              <w:divBdr>
                <w:top w:val="none" w:sz="0" w:space="0" w:color="auto"/>
                <w:left w:val="none" w:sz="0" w:space="0" w:color="auto"/>
                <w:bottom w:val="none" w:sz="0" w:space="0" w:color="auto"/>
                <w:right w:val="none" w:sz="0" w:space="0" w:color="auto"/>
              </w:divBdr>
              <w:divsChild>
                <w:div w:id="111551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751477">
      <w:bodyDiv w:val="1"/>
      <w:marLeft w:val="0"/>
      <w:marRight w:val="0"/>
      <w:marTop w:val="0"/>
      <w:marBottom w:val="0"/>
      <w:divBdr>
        <w:top w:val="none" w:sz="0" w:space="0" w:color="auto"/>
        <w:left w:val="none" w:sz="0" w:space="0" w:color="auto"/>
        <w:bottom w:val="none" w:sz="0" w:space="0" w:color="auto"/>
        <w:right w:val="none" w:sz="0" w:space="0" w:color="auto"/>
      </w:divBdr>
    </w:div>
    <w:div w:id="1693796749">
      <w:bodyDiv w:val="1"/>
      <w:marLeft w:val="0"/>
      <w:marRight w:val="0"/>
      <w:marTop w:val="0"/>
      <w:marBottom w:val="0"/>
      <w:divBdr>
        <w:top w:val="none" w:sz="0" w:space="0" w:color="auto"/>
        <w:left w:val="none" w:sz="0" w:space="0" w:color="auto"/>
        <w:bottom w:val="none" w:sz="0" w:space="0" w:color="auto"/>
        <w:right w:val="none" w:sz="0" w:space="0" w:color="auto"/>
      </w:divBdr>
    </w:div>
    <w:div w:id="1695577098">
      <w:bodyDiv w:val="1"/>
      <w:marLeft w:val="0"/>
      <w:marRight w:val="0"/>
      <w:marTop w:val="0"/>
      <w:marBottom w:val="0"/>
      <w:divBdr>
        <w:top w:val="none" w:sz="0" w:space="0" w:color="auto"/>
        <w:left w:val="none" w:sz="0" w:space="0" w:color="auto"/>
        <w:bottom w:val="none" w:sz="0" w:space="0" w:color="auto"/>
        <w:right w:val="none" w:sz="0" w:space="0" w:color="auto"/>
      </w:divBdr>
    </w:div>
    <w:div w:id="1720323174">
      <w:bodyDiv w:val="1"/>
      <w:marLeft w:val="0"/>
      <w:marRight w:val="0"/>
      <w:marTop w:val="0"/>
      <w:marBottom w:val="0"/>
      <w:divBdr>
        <w:top w:val="none" w:sz="0" w:space="0" w:color="auto"/>
        <w:left w:val="none" w:sz="0" w:space="0" w:color="auto"/>
        <w:bottom w:val="none" w:sz="0" w:space="0" w:color="auto"/>
        <w:right w:val="none" w:sz="0" w:space="0" w:color="auto"/>
      </w:divBdr>
    </w:div>
    <w:div w:id="1729527092">
      <w:bodyDiv w:val="1"/>
      <w:marLeft w:val="0"/>
      <w:marRight w:val="0"/>
      <w:marTop w:val="0"/>
      <w:marBottom w:val="0"/>
      <w:divBdr>
        <w:top w:val="none" w:sz="0" w:space="0" w:color="auto"/>
        <w:left w:val="none" w:sz="0" w:space="0" w:color="auto"/>
        <w:bottom w:val="none" w:sz="0" w:space="0" w:color="auto"/>
        <w:right w:val="none" w:sz="0" w:space="0" w:color="auto"/>
      </w:divBdr>
      <w:divsChild>
        <w:div w:id="1707874408">
          <w:marLeft w:val="0"/>
          <w:marRight w:val="0"/>
          <w:marTop w:val="0"/>
          <w:marBottom w:val="0"/>
          <w:divBdr>
            <w:top w:val="none" w:sz="0" w:space="0" w:color="auto"/>
            <w:left w:val="none" w:sz="0" w:space="0" w:color="auto"/>
            <w:bottom w:val="none" w:sz="0" w:space="0" w:color="auto"/>
            <w:right w:val="none" w:sz="0" w:space="0" w:color="auto"/>
          </w:divBdr>
        </w:div>
      </w:divsChild>
    </w:div>
    <w:div w:id="1791044425">
      <w:bodyDiv w:val="1"/>
      <w:marLeft w:val="0"/>
      <w:marRight w:val="0"/>
      <w:marTop w:val="0"/>
      <w:marBottom w:val="0"/>
      <w:divBdr>
        <w:top w:val="none" w:sz="0" w:space="0" w:color="auto"/>
        <w:left w:val="none" w:sz="0" w:space="0" w:color="auto"/>
        <w:bottom w:val="none" w:sz="0" w:space="0" w:color="auto"/>
        <w:right w:val="none" w:sz="0" w:space="0" w:color="auto"/>
      </w:divBdr>
    </w:div>
    <w:div w:id="1799645742">
      <w:bodyDiv w:val="1"/>
      <w:marLeft w:val="0"/>
      <w:marRight w:val="0"/>
      <w:marTop w:val="0"/>
      <w:marBottom w:val="0"/>
      <w:divBdr>
        <w:top w:val="none" w:sz="0" w:space="0" w:color="auto"/>
        <w:left w:val="none" w:sz="0" w:space="0" w:color="auto"/>
        <w:bottom w:val="none" w:sz="0" w:space="0" w:color="auto"/>
        <w:right w:val="none" w:sz="0" w:space="0" w:color="auto"/>
      </w:divBdr>
    </w:div>
    <w:div w:id="1808427537">
      <w:bodyDiv w:val="1"/>
      <w:marLeft w:val="0"/>
      <w:marRight w:val="0"/>
      <w:marTop w:val="0"/>
      <w:marBottom w:val="0"/>
      <w:divBdr>
        <w:top w:val="none" w:sz="0" w:space="0" w:color="auto"/>
        <w:left w:val="none" w:sz="0" w:space="0" w:color="auto"/>
        <w:bottom w:val="none" w:sz="0" w:space="0" w:color="auto"/>
        <w:right w:val="none" w:sz="0" w:space="0" w:color="auto"/>
      </w:divBdr>
    </w:div>
    <w:div w:id="1851992597">
      <w:bodyDiv w:val="1"/>
      <w:marLeft w:val="0"/>
      <w:marRight w:val="0"/>
      <w:marTop w:val="0"/>
      <w:marBottom w:val="0"/>
      <w:divBdr>
        <w:top w:val="none" w:sz="0" w:space="0" w:color="auto"/>
        <w:left w:val="none" w:sz="0" w:space="0" w:color="auto"/>
        <w:bottom w:val="none" w:sz="0" w:space="0" w:color="auto"/>
        <w:right w:val="none" w:sz="0" w:space="0" w:color="auto"/>
      </w:divBdr>
    </w:div>
    <w:div w:id="1862235734">
      <w:bodyDiv w:val="1"/>
      <w:marLeft w:val="0"/>
      <w:marRight w:val="0"/>
      <w:marTop w:val="0"/>
      <w:marBottom w:val="0"/>
      <w:divBdr>
        <w:top w:val="none" w:sz="0" w:space="0" w:color="auto"/>
        <w:left w:val="none" w:sz="0" w:space="0" w:color="auto"/>
        <w:bottom w:val="none" w:sz="0" w:space="0" w:color="auto"/>
        <w:right w:val="none" w:sz="0" w:space="0" w:color="auto"/>
      </w:divBdr>
    </w:div>
    <w:div w:id="1965958419">
      <w:bodyDiv w:val="1"/>
      <w:marLeft w:val="0"/>
      <w:marRight w:val="0"/>
      <w:marTop w:val="0"/>
      <w:marBottom w:val="0"/>
      <w:divBdr>
        <w:top w:val="none" w:sz="0" w:space="0" w:color="auto"/>
        <w:left w:val="none" w:sz="0" w:space="0" w:color="auto"/>
        <w:bottom w:val="none" w:sz="0" w:space="0" w:color="auto"/>
        <w:right w:val="none" w:sz="0" w:space="0" w:color="auto"/>
      </w:divBdr>
      <w:divsChild>
        <w:div w:id="23791552">
          <w:marLeft w:val="0"/>
          <w:marRight w:val="0"/>
          <w:marTop w:val="0"/>
          <w:marBottom w:val="0"/>
          <w:divBdr>
            <w:top w:val="none" w:sz="0" w:space="0" w:color="auto"/>
            <w:left w:val="none" w:sz="0" w:space="0" w:color="auto"/>
            <w:bottom w:val="none" w:sz="0" w:space="0" w:color="auto"/>
            <w:right w:val="none" w:sz="0" w:space="0" w:color="auto"/>
          </w:divBdr>
        </w:div>
        <w:div w:id="709575822">
          <w:marLeft w:val="0"/>
          <w:marRight w:val="0"/>
          <w:marTop w:val="0"/>
          <w:marBottom w:val="0"/>
          <w:divBdr>
            <w:top w:val="none" w:sz="0" w:space="0" w:color="auto"/>
            <w:left w:val="none" w:sz="0" w:space="0" w:color="auto"/>
            <w:bottom w:val="none" w:sz="0" w:space="0" w:color="auto"/>
            <w:right w:val="none" w:sz="0" w:space="0" w:color="auto"/>
          </w:divBdr>
          <w:divsChild>
            <w:div w:id="93483390">
              <w:marLeft w:val="0"/>
              <w:marRight w:val="0"/>
              <w:marTop w:val="0"/>
              <w:marBottom w:val="0"/>
              <w:divBdr>
                <w:top w:val="none" w:sz="0" w:space="0" w:color="auto"/>
                <w:left w:val="none" w:sz="0" w:space="0" w:color="auto"/>
                <w:bottom w:val="none" w:sz="0" w:space="0" w:color="auto"/>
                <w:right w:val="none" w:sz="0" w:space="0" w:color="auto"/>
              </w:divBdr>
            </w:div>
            <w:div w:id="519244215">
              <w:marLeft w:val="0"/>
              <w:marRight w:val="0"/>
              <w:marTop w:val="0"/>
              <w:marBottom w:val="0"/>
              <w:divBdr>
                <w:top w:val="none" w:sz="0" w:space="0" w:color="auto"/>
                <w:left w:val="none" w:sz="0" w:space="0" w:color="auto"/>
                <w:bottom w:val="none" w:sz="0" w:space="0" w:color="auto"/>
                <w:right w:val="none" w:sz="0" w:space="0" w:color="auto"/>
              </w:divBdr>
            </w:div>
            <w:div w:id="842168162">
              <w:marLeft w:val="0"/>
              <w:marRight w:val="0"/>
              <w:marTop w:val="0"/>
              <w:marBottom w:val="0"/>
              <w:divBdr>
                <w:top w:val="none" w:sz="0" w:space="0" w:color="auto"/>
                <w:left w:val="none" w:sz="0" w:space="0" w:color="auto"/>
                <w:bottom w:val="none" w:sz="0" w:space="0" w:color="auto"/>
                <w:right w:val="none" w:sz="0" w:space="0" w:color="auto"/>
              </w:divBdr>
            </w:div>
            <w:div w:id="991758422">
              <w:marLeft w:val="0"/>
              <w:marRight w:val="0"/>
              <w:marTop w:val="0"/>
              <w:marBottom w:val="0"/>
              <w:divBdr>
                <w:top w:val="none" w:sz="0" w:space="0" w:color="auto"/>
                <w:left w:val="none" w:sz="0" w:space="0" w:color="auto"/>
                <w:bottom w:val="none" w:sz="0" w:space="0" w:color="auto"/>
                <w:right w:val="none" w:sz="0" w:space="0" w:color="auto"/>
              </w:divBdr>
            </w:div>
            <w:div w:id="1340692824">
              <w:marLeft w:val="0"/>
              <w:marRight w:val="0"/>
              <w:marTop w:val="0"/>
              <w:marBottom w:val="0"/>
              <w:divBdr>
                <w:top w:val="none" w:sz="0" w:space="0" w:color="auto"/>
                <w:left w:val="none" w:sz="0" w:space="0" w:color="auto"/>
                <w:bottom w:val="none" w:sz="0" w:space="0" w:color="auto"/>
                <w:right w:val="none" w:sz="0" w:space="0" w:color="auto"/>
              </w:divBdr>
            </w:div>
          </w:divsChild>
        </w:div>
        <w:div w:id="1793398498">
          <w:marLeft w:val="0"/>
          <w:marRight w:val="0"/>
          <w:marTop w:val="0"/>
          <w:marBottom w:val="0"/>
          <w:divBdr>
            <w:top w:val="none" w:sz="0" w:space="0" w:color="auto"/>
            <w:left w:val="none" w:sz="0" w:space="0" w:color="auto"/>
            <w:bottom w:val="none" w:sz="0" w:space="0" w:color="auto"/>
            <w:right w:val="none" w:sz="0" w:space="0" w:color="auto"/>
          </w:divBdr>
          <w:divsChild>
            <w:div w:id="115761135">
              <w:marLeft w:val="0"/>
              <w:marRight w:val="0"/>
              <w:marTop w:val="0"/>
              <w:marBottom w:val="0"/>
              <w:divBdr>
                <w:top w:val="none" w:sz="0" w:space="0" w:color="auto"/>
                <w:left w:val="none" w:sz="0" w:space="0" w:color="auto"/>
                <w:bottom w:val="none" w:sz="0" w:space="0" w:color="auto"/>
                <w:right w:val="none" w:sz="0" w:space="0" w:color="auto"/>
              </w:divBdr>
            </w:div>
            <w:div w:id="137765207">
              <w:marLeft w:val="0"/>
              <w:marRight w:val="0"/>
              <w:marTop w:val="0"/>
              <w:marBottom w:val="0"/>
              <w:divBdr>
                <w:top w:val="none" w:sz="0" w:space="0" w:color="auto"/>
                <w:left w:val="none" w:sz="0" w:space="0" w:color="auto"/>
                <w:bottom w:val="none" w:sz="0" w:space="0" w:color="auto"/>
                <w:right w:val="none" w:sz="0" w:space="0" w:color="auto"/>
              </w:divBdr>
            </w:div>
            <w:div w:id="661273189">
              <w:marLeft w:val="0"/>
              <w:marRight w:val="0"/>
              <w:marTop w:val="0"/>
              <w:marBottom w:val="0"/>
              <w:divBdr>
                <w:top w:val="none" w:sz="0" w:space="0" w:color="auto"/>
                <w:left w:val="none" w:sz="0" w:space="0" w:color="auto"/>
                <w:bottom w:val="none" w:sz="0" w:space="0" w:color="auto"/>
                <w:right w:val="none" w:sz="0" w:space="0" w:color="auto"/>
              </w:divBdr>
            </w:div>
          </w:divsChild>
        </w:div>
        <w:div w:id="118570293">
          <w:marLeft w:val="0"/>
          <w:marRight w:val="0"/>
          <w:marTop w:val="0"/>
          <w:marBottom w:val="0"/>
          <w:divBdr>
            <w:top w:val="none" w:sz="0" w:space="0" w:color="auto"/>
            <w:left w:val="none" w:sz="0" w:space="0" w:color="auto"/>
            <w:bottom w:val="none" w:sz="0" w:space="0" w:color="auto"/>
            <w:right w:val="none" w:sz="0" w:space="0" w:color="auto"/>
          </w:divBdr>
        </w:div>
        <w:div w:id="209270361">
          <w:marLeft w:val="0"/>
          <w:marRight w:val="0"/>
          <w:marTop w:val="0"/>
          <w:marBottom w:val="0"/>
          <w:divBdr>
            <w:top w:val="none" w:sz="0" w:space="0" w:color="auto"/>
            <w:left w:val="none" w:sz="0" w:space="0" w:color="auto"/>
            <w:bottom w:val="none" w:sz="0" w:space="0" w:color="auto"/>
            <w:right w:val="none" w:sz="0" w:space="0" w:color="auto"/>
          </w:divBdr>
        </w:div>
        <w:div w:id="496575891">
          <w:marLeft w:val="0"/>
          <w:marRight w:val="0"/>
          <w:marTop w:val="0"/>
          <w:marBottom w:val="0"/>
          <w:divBdr>
            <w:top w:val="none" w:sz="0" w:space="0" w:color="auto"/>
            <w:left w:val="none" w:sz="0" w:space="0" w:color="auto"/>
            <w:bottom w:val="none" w:sz="0" w:space="0" w:color="auto"/>
            <w:right w:val="none" w:sz="0" w:space="0" w:color="auto"/>
          </w:divBdr>
          <w:divsChild>
            <w:div w:id="219635497">
              <w:marLeft w:val="0"/>
              <w:marRight w:val="0"/>
              <w:marTop w:val="0"/>
              <w:marBottom w:val="0"/>
              <w:divBdr>
                <w:top w:val="none" w:sz="0" w:space="0" w:color="auto"/>
                <w:left w:val="none" w:sz="0" w:space="0" w:color="auto"/>
                <w:bottom w:val="none" w:sz="0" w:space="0" w:color="auto"/>
                <w:right w:val="none" w:sz="0" w:space="0" w:color="auto"/>
              </w:divBdr>
            </w:div>
            <w:div w:id="688338951">
              <w:marLeft w:val="0"/>
              <w:marRight w:val="0"/>
              <w:marTop w:val="0"/>
              <w:marBottom w:val="0"/>
              <w:divBdr>
                <w:top w:val="none" w:sz="0" w:space="0" w:color="auto"/>
                <w:left w:val="none" w:sz="0" w:space="0" w:color="auto"/>
                <w:bottom w:val="none" w:sz="0" w:space="0" w:color="auto"/>
                <w:right w:val="none" w:sz="0" w:space="0" w:color="auto"/>
              </w:divBdr>
            </w:div>
            <w:div w:id="1247419810">
              <w:marLeft w:val="0"/>
              <w:marRight w:val="0"/>
              <w:marTop w:val="0"/>
              <w:marBottom w:val="0"/>
              <w:divBdr>
                <w:top w:val="none" w:sz="0" w:space="0" w:color="auto"/>
                <w:left w:val="none" w:sz="0" w:space="0" w:color="auto"/>
                <w:bottom w:val="none" w:sz="0" w:space="0" w:color="auto"/>
                <w:right w:val="none" w:sz="0" w:space="0" w:color="auto"/>
              </w:divBdr>
            </w:div>
            <w:div w:id="1459445237">
              <w:marLeft w:val="0"/>
              <w:marRight w:val="0"/>
              <w:marTop w:val="0"/>
              <w:marBottom w:val="0"/>
              <w:divBdr>
                <w:top w:val="none" w:sz="0" w:space="0" w:color="auto"/>
                <w:left w:val="none" w:sz="0" w:space="0" w:color="auto"/>
                <w:bottom w:val="none" w:sz="0" w:space="0" w:color="auto"/>
                <w:right w:val="none" w:sz="0" w:space="0" w:color="auto"/>
              </w:divBdr>
            </w:div>
            <w:div w:id="1892225175">
              <w:marLeft w:val="0"/>
              <w:marRight w:val="0"/>
              <w:marTop w:val="0"/>
              <w:marBottom w:val="0"/>
              <w:divBdr>
                <w:top w:val="none" w:sz="0" w:space="0" w:color="auto"/>
                <w:left w:val="none" w:sz="0" w:space="0" w:color="auto"/>
                <w:bottom w:val="none" w:sz="0" w:space="0" w:color="auto"/>
                <w:right w:val="none" w:sz="0" w:space="0" w:color="auto"/>
              </w:divBdr>
            </w:div>
          </w:divsChild>
        </w:div>
        <w:div w:id="1092163917">
          <w:marLeft w:val="0"/>
          <w:marRight w:val="0"/>
          <w:marTop w:val="0"/>
          <w:marBottom w:val="0"/>
          <w:divBdr>
            <w:top w:val="none" w:sz="0" w:space="0" w:color="auto"/>
            <w:left w:val="none" w:sz="0" w:space="0" w:color="auto"/>
            <w:bottom w:val="none" w:sz="0" w:space="0" w:color="auto"/>
            <w:right w:val="none" w:sz="0" w:space="0" w:color="auto"/>
          </w:divBdr>
          <w:divsChild>
            <w:div w:id="294337227">
              <w:marLeft w:val="0"/>
              <w:marRight w:val="0"/>
              <w:marTop w:val="0"/>
              <w:marBottom w:val="0"/>
              <w:divBdr>
                <w:top w:val="none" w:sz="0" w:space="0" w:color="auto"/>
                <w:left w:val="none" w:sz="0" w:space="0" w:color="auto"/>
                <w:bottom w:val="none" w:sz="0" w:space="0" w:color="auto"/>
                <w:right w:val="none" w:sz="0" w:space="0" w:color="auto"/>
              </w:divBdr>
            </w:div>
            <w:div w:id="1012145676">
              <w:marLeft w:val="0"/>
              <w:marRight w:val="0"/>
              <w:marTop w:val="0"/>
              <w:marBottom w:val="0"/>
              <w:divBdr>
                <w:top w:val="none" w:sz="0" w:space="0" w:color="auto"/>
                <w:left w:val="none" w:sz="0" w:space="0" w:color="auto"/>
                <w:bottom w:val="none" w:sz="0" w:space="0" w:color="auto"/>
                <w:right w:val="none" w:sz="0" w:space="0" w:color="auto"/>
              </w:divBdr>
            </w:div>
            <w:div w:id="1279338304">
              <w:marLeft w:val="0"/>
              <w:marRight w:val="0"/>
              <w:marTop w:val="0"/>
              <w:marBottom w:val="0"/>
              <w:divBdr>
                <w:top w:val="none" w:sz="0" w:space="0" w:color="auto"/>
                <w:left w:val="none" w:sz="0" w:space="0" w:color="auto"/>
                <w:bottom w:val="none" w:sz="0" w:space="0" w:color="auto"/>
                <w:right w:val="none" w:sz="0" w:space="0" w:color="auto"/>
              </w:divBdr>
            </w:div>
          </w:divsChild>
        </w:div>
        <w:div w:id="1203444035">
          <w:marLeft w:val="0"/>
          <w:marRight w:val="0"/>
          <w:marTop w:val="0"/>
          <w:marBottom w:val="0"/>
          <w:divBdr>
            <w:top w:val="none" w:sz="0" w:space="0" w:color="auto"/>
            <w:left w:val="none" w:sz="0" w:space="0" w:color="auto"/>
            <w:bottom w:val="none" w:sz="0" w:space="0" w:color="auto"/>
            <w:right w:val="none" w:sz="0" w:space="0" w:color="auto"/>
          </w:divBdr>
          <w:divsChild>
            <w:div w:id="345522395">
              <w:marLeft w:val="0"/>
              <w:marRight w:val="0"/>
              <w:marTop w:val="0"/>
              <w:marBottom w:val="0"/>
              <w:divBdr>
                <w:top w:val="none" w:sz="0" w:space="0" w:color="auto"/>
                <w:left w:val="none" w:sz="0" w:space="0" w:color="auto"/>
                <w:bottom w:val="none" w:sz="0" w:space="0" w:color="auto"/>
                <w:right w:val="none" w:sz="0" w:space="0" w:color="auto"/>
              </w:divBdr>
            </w:div>
            <w:div w:id="816652305">
              <w:marLeft w:val="0"/>
              <w:marRight w:val="0"/>
              <w:marTop w:val="0"/>
              <w:marBottom w:val="0"/>
              <w:divBdr>
                <w:top w:val="none" w:sz="0" w:space="0" w:color="auto"/>
                <w:left w:val="none" w:sz="0" w:space="0" w:color="auto"/>
                <w:bottom w:val="none" w:sz="0" w:space="0" w:color="auto"/>
                <w:right w:val="none" w:sz="0" w:space="0" w:color="auto"/>
              </w:divBdr>
            </w:div>
            <w:div w:id="838736322">
              <w:marLeft w:val="0"/>
              <w:marRight w:val="0"/>
              <w:marTop w:val="0"/>
              <w:marBottom w:val="0"/>
              <w:divBdr>
                <w:top w:val="none" w:sz="0" w:space="0" w:color="auto"/>
                <w:left w:val="none" w:sz="0" w:space="0" w:color="auto"/>
                <w:bottom w:val="none" w:sz="0" w:space="0" w:color="auto"/>
                <w:right w:val="none" w:sz="0" w:space="0" w:color="auto"/>
              </w:divBdr>
            </w:div>
            <w:div w:id="1208375154">
              <w:marLeft w:val="0"/>
              <w:marRight w:val="0"/>
              <w:marTop w:val="0"/>
              <w:marBottom w:val="0"/>
              <w:divBdr>
                <w:top w:val="none" w:sz="0" w:space="0" w:color="auto"/>
                <w:left w:val="none" w:sz="0" w:space="0" w:color="auto"/>
                <w:bottom w:val="none" w:sz="0" w:space="0" w:color="auto"/>
                <w:right w:val="none" w:sz="0" w:space="0" w:color="auto"/>
              </w:divBdr>
            </w:div>
            <w:div w:id="1526748844">
              <w:marLeft w:val="0"/>
              <w:marRight w:val="0"/>
              <w:marTop w:val="0"/>
              <w:marBottom w:val="0"/>
              <w:divBdr>
                <w:top w:val="none" w:sz="0" w:space="0" w:color="auto"/>
                <w:left w:val="none" w:sz="0" w:space="0" w:color="auto"/>
                <w:bottom w:val="none" w:sz="0" w:space="0" w:color="auto"/>
                <w:right w:val="none" w:sz="0" w:space="0" w:color="auto"/>
              </w:divBdr>
            </w:div>
          </w:divsChild>
        </w:div>
        <w:div w:id="786462434">
          <w:marLeft w:val="0"/>
          <w:marRight w:val="0"/>
          <w:marTop w:val="0"/>
          <w:marBottom w:val="0"/>
          <w:divBdr>
            <w:top w:val="none" w:sz="0" w:space="0" w:color="auto"/>
            <w:left w:val="none" w:sz="0" w:space="0" w:color="auto"/>
            <w:bottom w:val="none" w:sz="0" w:space="0" w:color="auto"/>
            <w:right w:val="none" w:sz="0" w:space="0" w:color="auto"/>
          </w:divBdr>
          <w:divsChild>
            <w:div w:id="384452301">
              <w:marLeft w:val="0"/>
              <w:marRight w:val="0"/>
              <w:marTop w:val="0"/>
              <w:marBottom w:val="0"/>
              <w:divBdr>
                <w:top w:val="none" w:sz="0" w:space="0" w:color="auto"/>
                <w:left w:val="none" w:sz="0" w:space="0" w:color="auto"/>
                <w:bottom w:val="none" w:sz="0" w:space="0" w:color="auto"/>
                <w:right w:val="none" w:sz="0" w:space="0" w:color="auto"/>
              </w:divBdr>
            </w:div>
            <w:div w:id="967971926">
              <w:marLeft w:val="0"/>
              <w:marRight w:val="0"/>
              <w:marTop w:val="0"/>
              <w:marBottom w:val="0"/>
              <w:divBdr>
                <w:top w:val="none" w:sz="0" w:space="0" w:color="auto"/>
                <w:left w:val="none" w:sz="0" w:space="0" w:color="auto"/>
                <w:bottom w:val="none" w:sz="0" w:space="0" w:color="auto"/>
                <w:right w:val="none" w:sz="0" w:space="0" w:color="auto"/>
              </w:divBdr>
            </w:div>
            <w:div w:id="1049572677">
              <w:marLeft w:val="0"/>
              <w:marRight w:val="0"/>
              <w:marTop w:val="0"/>
              <w:marBottom w:val="0"/>
              <w:divBdr>
                <w:top w:val="none" w:sz="0" w:space="0" w:color="auto"/>
                <w:left w:val="none" w:sz="0" w:space="0" w:color="auto"/>
                <w:bottom w:val="none" w:sz="0" w:space="0" w:color="auto"/>
                <w:right w:val="none" w:sz="0" w:space="0" w:color="auto"/>
              </w:divBdr>
            </w:div>
            <w:div w:id="1432699850">
              <w:marLeft w:val="0"/>
              <w:marRight w:val="0"/>
              <w:marTop w:val="0"/>
              <w:marBottom w:val="0"/>
              <w:divBdr>
                <w:top w:val="none" w:sz="0" w:space="0" w:color="auto"/>
                <w:left w:val="none" w:sz="0" w:space="0" w:color="auto"/>
                <w:bottom w:val="none" w:sz="0" w:space="0" w:color="auto"/>
                <w:right w:val="none" w:sz="0" w:space="0" w:color="auto"/>
              </w:divBdr>
            </w:div>
            <w:div w:id="1589269537">
              <w:marLeft w:val="0"/>
              <w:marRight w:val="0"/>
              <w:marTop w:val="0"/>
              <w:marBottom w:val="0"/>
              <w:divBdr>
                <w:top w:val="none" w:sz="0" w:space="0" w:color="auto"/>
                <w:left w:val="none" w:sz="0" w:space="0" w:color="auto"/>
                <w:bottom w:val="none" w:sz="0" w:space="0" w:color="auto"/>
                <w:right w:val="none" w:sz="0" w:space="0" w:color="auto"/>
              </w:divBdr>
            </w:div>
          </w:divsChild>
        </w:div>
        <w:div w:id="568611777">
          <w:marLeft w:val="0"/>
          <w:marRight w:val="0"/>
          <w:marTop w:val="0"/>
          <w:marBottom w:val="0"/>
          <w:divBdr>
            <w:top w:val="none" w:sz="0" w:space="0" w:color="auto"/>
            <w:left w:val="none" w:sz="0" w:space="0" w:color="auto"/>
            <w:bottom w:val="none" w:sz="0" w:space="0" w:color="auto"/>
            <w:right w:val="none" w:sz="0" w:space="0" w:color="auto"/>
          </w:divBdr>
          <w:divsChild>
            <w:div w:id="496383564">
              <w:marLeft w:val="0"/>
              <w:marRight w:val="0"/>
              <w:marTop w:val="0"/>
              <w:marBottom w:val="0"/>
              <w:divBdr>
                <w:top w:val="none" w:sz="0" w:space="0" w:color="auto"/>
                <w:left w:val="none" w:sz="0" w:space="0" w:color="auto"/>
                <w:bottom w:val="none" w:sz="0" w:space="0" w:color="auto"/>
                <w:right w:val="none" w:sz="0" w:space="0" w:color="auto"/>
              </w:divBdr>
            </w:div>
            <w:div w:id="555514247">
              <w:marLeft w:val="0"/>
              <w:marRight w:val="0"/>
              <w:marTop w:val="0"/>
              <w:marBottom w:val="0"/>
              <w:divBdr>
                <w:top w:val="none" w:sz="0" w:space="0" w:color="auto"/>
                <w:left w:val="none" w:sz="0" w:space="0" w:color="auto"/>
                <w:bottom w:val="none" w:sz="0" w:space="0" w:color="auto"/>
                <w:right w:val="none" w:sz="0" w:space="0" w:color="auto"/>
              </w:divBdr>
            </w:div>
            <w:div w:id="1521549786">
              <w:marLeft w:val="0"/>
              <w:marRight w:val="0"/>
              <w:marTop w:val="0"/>
              <w:marBottom w:val="0"/>
              <w:divBdr>
                <w:top w:val="none" w:sz="0" w:space="0" w:color="auto"/>
                <w:left w:val="none" w:sz="0" w:space="0" w:color="auto"/>
                <w:bottom w:val="none" w:sz="0" w:space="0" w:color="auto"/>
                <w:right w:val="none" w:sz="0" w:space="0" w:color="auto"/>
              </w:divBdr>
            </w:div>
            <w:div w:id="1686176071">
              <w:marLeft w:val="0"/>
              <w:marRight w:val="0"/>
              <w:marTop w:val="0"/>
              <w:marBottom w:val="0"/>
              <w:divBdr>
                <w:top w:val="none" w:sz="0" w:space="0" w:color="auto"/>
                <w:left w:val="none" w:sz="0" w:space="0" w:color="auto"/>
                <w:bottom w:val="none" w:sz="0" w:space="0" w:color="auto"/>
                <w:right w:val="none" w:sz="0" w:space="0" w:color="auto"/>
              </w:divBdr>
            </w:div>
            <w:div w:id="2067800401">
              <w:marLeft w:val="0"/>
              <w:marRight w:val="0"/>
              <w:marTop w:val="0"/>
              <w:marBottom w:val="0"/>
              <w:divBdr>
                <w:top w:val="none" w:sz="0" w:space="0" w:color="auto"/>
                <w:left w:val="none" w:sz="0" w:space="0" w:color="auto"/>
                <w:bottom w:val="none" w:sz="0" w:space="0" w:color="auto"/>
                <w:right w:val="none" w:sz="0" w:space="0" w:color="auto"/>
              </w:divBdr>
            </w:div>
          </w:divsChild>
        </w:div>
        <w:div w:id="569273861">
          <w:marLeft w:val="0"/>
          <w:marRight w:val="0"/>
          <w:marTop w:val="0"/>
          <w:marBottom w:val="0"/>
          <w:divBdr>
            <w:top w:val="none" w:sz="0" w:space="0" w:color="auto"/>
            <w:left w:val="none" w:sz="0" w:space="0" w:color="auto"/>
            <w:bottom w:val="none" w:sz="0" w:space="0" w:color="auto"/>
            <w:right w:val="none" w:sz="0" w:space="0" w:color="auto"/>
          </w:divBdr>
        </w:div>
        <w:div w:id="588277819">
          <w:marLeft w:val="0"/>
          <w:marRight w:val="0"/>
          <w:marTop w:val="0"/>
          <w:marBottom w:val="0"/>
          <w:divBdr>
            <w:top w:val="none" w:sz="0" w:space="0" w:color="auto"/>
            <w:left w:val="none" w:sz="0" w:space="0" w:color="auto"/>
            <w:bottom w:val="none" w:sz="0" w:space="0" w:color="auto"/>
            <w:right w:val="none" w:sz="0" w:space="0" w:color="auto"/>
          </w:divBdr>
        </w:div>
        <w:div w:id="611010142">
          <w:marLeft w:val="0"/>
          <w:marRight w:val="0"/>
          <w:marTop w:val="0"/>
          <w:marBottom w:val="0"/>
          <w:divBdr>
            <w:top w:val="none" w:sz="0" w:space="0" w:color="auto"/>
            <w:left w:val="none" w:sz="0" w:space="0" w:color="auto"/>
            <w:bottom w:val="none" w:sz="0" w:space="0" w:color="auto"/>
            <w:right w:val="none" w:sz="0" w:space="0" w:color="auto"/>
          </w:divBdr>
        </w:div>
        <w:div w:id="640379476">
          <w:marLeft w:val="0"/>
          <w:marRight w:val="0"/>
          <w:marTop w:val="0"/>
          <w:marBottom w:val="0"/>
          <w:divBdr>
            <w:top w:val="none" w:sz="0" w:space="0" w:color="auto"/>
            <w:left w:val="none" w:sz="0" w:space="0" w:color="auto"/>
            <w:bottom w:val="none" w:sz="0" w:space="0" w:color="auto"/>
            <w:right w:val="none" w:sz="0" w:space="0" w:color="auto"/>
          </w:divBdr>
          <w:divsChild>
            <w:div w:id="745493830">
              <w:marLeft w:val="0"/>
              <w:marRight w:val="0"/>
              <w:marTop w:val="0"/>
              <w:marBottom w:val="0"/>
              <w:divBdr>
                <w:top w:val="none" w:sz="0" w:space="0" w:color="auto"/>
                <w:left w:val="none" w:sz="0" w:space="0" w:color="auto"/>
                <w:bottom w:val="none" w:sz="0" w:space="0" w:color="auto"/>
                <w:right w:val="none" w:sz="0" w:space="0" w:color="auto"/>
              </w:divBdr>
            </w:div>
            <w:div w:id="1330527237">
              <w:marLeft w:val="0"/>
              <w:marRight w:val="0"/>
              <w:marTop w:val="0"/>
              <w:marBottom w:val="0"/>
              <w:divBdr>
                <w:top w:val="none" w:sz="0" w:space="0" w:color="auto"/>
                <w:left w:val="none" w:sz="0" w:space="0" w:color="auto"/>
                <w:bottom w:val="none" w:sz="0" w:space="0" w:color="auto"/>
                <w:right w:val="none" w:sz="0" w:space="0" w:color="auto"/>
              </w:divBdr>
            </w:div>
            <w:div w:id="1409230600">
              <w:marLeft w:val="0"/>
              <w:marRight w:val="0"/>
              <w:marTop w:val="0"/>
              <w:marBottom w:val="0"/>
              <w:divBdr>
                <w:top w:val="none" w:sz="0" w:space="0" w:color="auto"/>
                <w:left w:val="none" w:sz="0" w:space="0" w:color="auto"/>
                <w:bottom w:val="none" w:sz="0" w:space="0" w:color="auto"/>
                <w:right w:val="none" w:sz="0" w:space="0" w:color="auto"/>
              </w:divBdr>
            </w:div>
            <w:div w:id="1855917034">
              <w:marLeft w:val="0"/>
              <w:marRight w:val="0"/>
              <w:marTop w:val="0"/>
              <w:marBottom w:val="0"/>
              <w:divBdr>
                <w:top w:val="none" w:sz="0" w:space="0" w:color="auto"/>
                <w:left w:val="none" w:sz="0" w:space="0" w:color="auto"/>
                <w:bottom w:val="none" w:sz="0" w:space="0" w:color="auto"/>
                <w:right w:val="none" w:sz="0" w:space="0" w:color="auto"/>
              </w:divBdr>
            </w:div>
            <w:div w:id="1857846085">
              <w:marLeft w:val="0"/>
              <w:marRight w:val="0"/>
              <w:marTop w:val="0"/>
              <w:marBottom w:val="0"/>
              <w:divBdr>
                <w:top w:val="none" w:sz="0" w:space="0" w:color="auto"/>
                <w:left w:val="none" w:sz="0" w:space="0" w:color="auto"/>
                <w:bottom w:val="none" w:sz="0" w:space="0" w:color="auto"/>
                <w:right w:val="none" w:sz="0" w:space="0" w:color="auto"/>
              </w:divBdr>
            </w:div>
          </w:divsChild>
        </w:div>
        <w:div w:id="1062867514">
          <w:marLeft w:val="0"/>
          <w:marRight w:val="0"/>
          <w:marTop w:val="0"/>
          <w:marBottom w:val="0"/>
          <w:divBdr>
            <w:top w:val="none" w:sz="0" w:space="0" w:color="auto"/>
            <w:left w:val="none" w:sz="0" w:space="0" w:color="auto"/>
            <w:bottom w:val="none" w:sz="0" w:space="0" w:color="auto"/>
            <w:right w:val="none" w:sz="0" w:space="0" w:color="auto"/>
          </w:divBdr>
          <w:divsChild>
            <w:div w:id="741560777">
              <w:marLeft w:val="0"/>
              <w:marRight w:val="0"/>
              <w:marTop w:val="0"/>
              <w:marBottom w:val="0"/>
              <w:divBdr>
                <w:top w:val="none" w:sz="0" w:space="0" w:color="auto"/>
                <w:left w:val="none" w:sz="0" w:space="0" w:color="auto"/>
                <w:bottom w:val="none" w:sz="0" w:space="0" w:color="auto"/>
                <w:right w:val="none" w:sz="0" w:space="0" w:color="auto"/>
              </w:divBdr>
            </w:div>
            <w:div w:id="954555051">
              <w:marLeft w:val="0"/>
              <w:marRight w:val="0"/>
              <w:marTop w:val="0"/>
              <w:marBottom w:val="0"/>
              <w:divBdr>
                <w:top w:val="none" w:sz="0" w:space="0" w:color="auto"/>
                <w:left w:val="none" w:sz="0" w:space="0" w:color="auto"/>
                <w:bottom w:val="none" w:sz="0" w:space="0" w:color="auto"/>
                <w:right w:val="none" w:sz="0" w:space="0" w:color="auto"/>
              </w:divBdr>
            </w:div>
            <w:div w:id="1009024545">
              <w:marLeft w:val="0"/>
              <w:marRight w:val="0"/>
              <w:marTop w:val="0"/>
              <w:marBottom w:val="0"/>
              <w:divBdr>
                <w:top w:val="none" w:sz="0" w:space="0" w:color="auto"/>
                <w:left w:val="none" w:sz="0" w:space="0" w:color="auto"/>
                <w:bottom w:val="none" w:sz="0" w:space="0" w:color="auto"/>
                <w:right w:val="none" w:sz="0" w:space="0" w:color="auto"/>
              </w:divBdr>
            </w:div>
            <w:div w:id="1239898743">
              <w:marLeft w:val="0"/>
              <w:marRight w:val="0"/>
              <w:marTop w:val="0"/>
              <w:marBottom w:val="0"/>
              <w:divBdr>
                <w:top w:val="none" w:sz="0" w:space="0" w:color="auto"/>
                <w:left w:val="none" w:sz="0" w:space="0" w:color="auto"/>
                <w:bottom w:val="none" w:sz="0" w:space="0" w:color="auto"/>
                <w:right w:val="none" w:sz="0" w:space="0" w:color="auto"/>
              </w:divBdr>
            </w:div>
            <w:div w:id="1874687920">
              <w:marLeft w:val="0"/>
              <w:marRight w:val="0"/>
              <w:marTop w:val="0"/>
              <w:marBottom w:val="0"/>
              <w:divBdr>
                <w:top w:val="none" w:sz="0" w:space="0" w:color="auto"/>
                <w:left w:val="none" w:sz="0" w:space="0" w:color="auto"/>
                <w:bottom w:val="none" w:sz="0" w:space="0" w:color="auto"/>
                <w:right w:val="none" w:sz="0" w:space="0" w:color="auto"/>
              </w:divBdr>
            </w:div>
          </w:divsChild>
        </w:div>
        <w:div w:id="1910769193">
          <w:marLeft w:val="0"/>
          <w:marRight w:val="0"/>
          <w:marTop w:val="0"/>
          <w:marBottom w:val="0"/>
          <w:divBdr>
            <w:top w:val="none" w:sz="0" w:space="0" w:color="auto"/>
            <w:left w:val="none" w:sz="0" w:space="0" w:color="auto"/>
            <w:bottom w:val="none" w:sz="0" w:space="0" w:color="auto"/>
            <w:right w:val="none" w:sz="0" w:space="0" w:color="auto"/>
          </w:divBdr>
          <w:divsChild>
            <w:div w:id="765345604">
              <w:marLeft w:val="0"/>
              <w:marRight w:val="0"/>
              <w:marTop w:val="0"/>
              <w:marBottom w:val="0"/>
              <w:divBdr>
                <w:top w:val="none" w:sz="0" w:space="0" w:color="auto"/>
                <w:left w:val="none" w:sz="0" w:space="0" w:color="auto"/>
                <w:bottom w:val="none" w:sz="0" w:space="0" w:color="auto"/>
                <w:right w:val="none" w:sz="0" w:space="0" w:color="auto"/>
              </w:divBdr>
            </w:div>
            <w:div w:id="766119716">
              <w:marLeft w:val="0"/>
              <w:marRight w:val="0"/>
              <w:marTop w:val="0"/>
              <w:marBottom w:val="0"/>
              <w:divBdr>
                <w:top w:val="none" w:sz="0" w:space="0" w:color="auto"/>
                <w:left w:val="none" w:sz="0" w:space="0" w:color="auto"/>
                <w:bottom w:val="none" w:sz="0" w:space="0" w:color="auto"/>
                <w:right w:val="none" w:sz="0" w:space="0" w:color="auto"/>
              </w:divBdr>
            </w:div>
            <w:div w:id="806893388">
              <w:marLeft w:val="0"/>
              <w:marRight w:val="0"/>
              <w:marTop w:val="0"/>
              <w:marBottom w:val="0"/>
              <w:divBdr>
                <w:top w:val="none" w:sz="0" w:space="0" w:color="auto"/>
                <w:left w:val="none" w:sz="0" w:space="0" w:color="auto"/>
                <w:bottom w:val="none" w:sz="0" w:space="0" w:color="auto"/>
                <w:right w:val="none" w:sz="0" w:space="0" w:color="auto"/>
              </w:divBdr>
            </w:div>
            <w:div w:id="912473819">
              <w:marLeft w:val="0"/>
              <w:marRight w:val="0"/>
              <w:marTop w:val="0"/>
              <w:marBottom w:val="0"/>
              <w:divBdr>
                <w:top w:val="none" w:sz="0" w:space="0" w:color="auto"/>
                <w:left w:val="none" w:sz="0" w:space="0" w:color="auto"/>
                <w:bottom w:val="none" w:sz="0" w:space="0" w:color="auto"/>
                <w:right w:val="none" w:sz="0" w:space="0" w:color="auto"/>
              </w:divBdr>
            </w:div>
            <w:div w:id="1476488261">
              <w:marLeft w:val="0"/>
              <w:marRight w:val="0"/>
              <w:marTop w:val="0"/>
              <w:marBottom w:val="0"/>
              <w:divBdr>
                <w:top w:val="none" w:sz="0" w:space="0" w:color="auto"/>
                <w:left w:val="none" w:sz="0" w:space="0" w:color="auto"/>
                <w:bottom w:val="none" w:sz="0" w:space="0" w:color="auto"/>
                <w:right w:val="none" w:sz="0" w:space="0" w:color="auto"/>
              </w:divBdr>
            </w:div>
          </w:divsChild>
        </w:div>
        <w:div w:id="974797418">
          <w:marLeft w:val="0"/>
          <w:marRight w:val="0"/>
          <w:marTop w:val="0"/>
          <w:marBottom w:val="0"/>
          <w:divBdr>
            <w:top w:val="none" w:sz="0" w:space="0" w:color="auto"/>
            <w:left w:val="none" w:sz="0" w:space="0" w:color="auto"/>
            <w:bottom w:val="none" w:sz="0" w:space="0" w:color="auto"/>
            <w:right w:val="none" w:sz="0" w:space="0" w:color="auto"/>
          </w:divBdr>
        </w:div>
        <w:div w:id="1328363728">
          <w:marLeft w:val="0"/>
          <w:marRight w:val="0"/>
          <w:marTop w:val="0"/>
          <w:marBottom w:val="0"/>
          <w:divBdr>
            <w:top w:val="none" w:sz="0" w:space="0" w:color="auto"/>
            <w:left w:val="none" w:sz="0" w:space="0" w:color="auto"/>
            <w:bottom w:val="none" w:sz="0" w:space="0" w:color="auto"/>
            <w:right w:val="none" w:sz="0" w:space="0" w:color="auto"/>
          </w:divBdr>
        </w:div>
        <w:div w:id="1428040113">
          <w:marLeft w:val="0"/>
          <w:marRight w:val="0"/>
          <w:marTop w:val="0"/>
          <w:marBottom w:val="0"/>
          <w:divBdr>
            <w:top w:val="none" w:sz="0" w:space="0" w:color="auto"/>
            <w:left w:val="none" w:sz="0" w:space="0" w:color="auto"/>
            <w:bottom w:val="none" w:sz="0" w:space="0" w:color="auto"/>
            <w:right w:val="none" w:sz="0" w:space="0" w:color="auto"/>
          </w:divBdr>
        </w:div>
        <w:div w:id="1797291051">
          <w:marLeft w:val="0"/>
          <w:marRight w:val="0"/>
          <w:marTop w:val="0"/>
          <w:marBottom w:val="0"/>
          <w:divBdr>
            <w:top w:val="none" w:sz="0" w:space="0" w:color="auto"/>
            <w:left w:val="none" w:sz="0" w:space="0" w:color="auto"/>
            <w:bottom w:val="none" w:sz="0" w:space="0" w:color="auto"/>
            <w:right w:val="none" w:sz="0" w:space="0" w:color="auto"/>
          </w:divBdr>
        </w:div>
      </w:divsChild>
    </w:div>
    <w:div w:id="1988893478">
      <w:bodyDiv w:val="1"/>
      <w:marLeft w:val="0"/>
      <w:marRight w:val="0"/>
      <w:marTop w:val="0"/>
      <w:marBottom w:val="0"/>
      <w:divBdr>
        <w:top w:val="none" w:sz="0" w:space="0" w:color="auto"/>
        <w:left w:val="none" w:sz="0" w:space="0" w:color="auto"/>
        <w:bottom w:val="none" w:sz="0" w:space="0" w:color="auto"/>
        <w:right w:val="none" w:sz="0" w:space="0" w:color="auto"/>
      </w:divBdr>
    </w:div>
    <w:div w:id="1992634844">
      <w:bodyDiv w:val="1"/>
      <w:marLeft w:val="0"/>
      <w:marRight w:val="0"/>
      <w:marTop w:val="0"/>
      <w:marBottom w:val="0"/>
      <w:divBdr>
        <w:top w:val="none" w:sz="0" w:space="0" w:color="auto"/>
        <w:left w:val="none" w:sz="0" w:space="0" w:color="auto"/>
        <w:bottom w:val="none" w:sz="0" w:space="0" w:color="auto"/>
        <w:right w:val="none" w:sz="0" w:space="0" w:color="auto"/>
      </w:divBdr>
      <w:divsChild>
        <w:div w:id="2022124413">
          <w:marLeft w:val="0"/>
          <w:marRight w:val="0"/>
          <w:marTop w:val="0"/>
          <w:marBottom w:val="0"/>
          <w:divBdr>
            <w:top w:val="none" w:sz="0" w:space="0" w:color="auto"/>
            <w:left w:val="none" w:sz="0" w:space="0" w:color="auto"/>
            <w:bottom w:val="none" w:sz="0" w:space="0" w:color="auto"/>
            <w:right w:val="none" w:sz="0" w:space="0" w:color="auto"/>
          </w:divBdr>
        </w:div>
      </w:divsChild>
    </w:div>
    <w:div w:id="2011712546">
      <w:bodyDiv w:val="1"/>
      <w:marLeft w:val="0"/>
      <w:marRight w:val="0"/>
      <w:marTop w:val="0"/>
      <w:marBottom w:val="0"/>
      <w:divBdr>
        <w:top w:val="none" w:sz="0" w:space="0" w:color="auto"/>
        <w:left w:val="none" w:sz="0" w:space="0" w:color="auto"/>
        <w:bottom w:val="none" w:sz="0" w:space="0" w:color="auto"/>
        <w:right w:val="none" w:sz="0" w:space="0" w:color="auto"/>
      </w:divBdr>
    </w:div>
    <w:div w:id="2013218765">
      <w:bodyDiv w:val="1"/>
      <w:marLeft w:val="0"/>
      <w:marRight w:val="0"/>
      <w:marTop w:val="0"/>
      <w:marBottom w:val="0"/>
      <w:divBdr>
        <w:top w:val="none" w:sz="0" w:space="0" w:color="auto"/>
        <w:left w:val="none" w:sz="0" w:space="0" w:color="auto"/>
        <w:bottom w:val="none" w:sz="0" w:space="0" w:color="auto"/>
        <w:right w:val="none" w:sz="0" w:space="0" w:color="auto"/>
      </w:divBdr>
    </w:div>
    <w:div w:id="20976251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footer" Target="footer4.xml"/><Relationship Id="rId21" Type="http://schemas.openxmlformats.org/officeDocument/2006/relationships/footer" Target="footer1.xml"/><Relationship Id="rId42" Type="http://schemas.openxmlformats.org/officeDocument/2006/relationships/hyperlink" Target="https://caws.org.nz/old-site/awc/1996/awc199615161.pdf" TargetMode="External"/><Relationship Id="rId47" Type="http://schemas.openxmlformats.org/officeDocument/2006/relationships/hyperlink" Target="https://www.millenniumassessment.org" TargetMode="External"/><Relationship Id="rId63" Type="http://schemas.openxmlformats.org/officeDocument/2006/relationships/hyperlink" Target="https://guyra.org.py" TargetMode="External"/><Relationship Id="rId68" Type="http://schemas.openxmlformats.org/officeDocument/2006/relationships/hyperlink" Target="https://www.sealifebase.ca/" TargetMode="External"/><Relationship Id="rId84" Type="http://schemas.openxmlformats.org/officeDocument/2006/relationships/hyperlink" Target="http://www.theplantlist.org/" TargetMode="External"/><Relationship Id="rId89" Type="http://schemas.openxmlformats.org/officeDocument/2006/relationships/hyperlink" Target="https://caribbeaninvasives.org/" TargetMode="External"/><Relationship Id="rId112" Type="http://schemas.openxmlformats.org/officeDocument/2006/relationships/header" Target="header7.xml"/><Relationship Id="rId16" Type="http://schemas.openxmlformats.org/officeDocument/2006/relationships/header" Target="header1.xml"/><Relationship Id="rId107" Type="http://schemas.openxmlformats.org/officeDocument/2006/relationships/image" Target="media/image24.png"/><Relationship Id="rId11" Type="http://schemas.openxmlformats.org/officeDocument/2006/relationships/settings" Target="settings.xml"/><Relationship Id="rId32" Type="http://schemas.openxmlformats.org/officeDocument/2006/relationships/image" Target="media/image8.png"/><Relationship Id="rId37" Type="http://schemas.openxmlformats.org/officeDocument/2006/relationships/image" Target="media/image11.png"/><Relationship Id="rId53" Type="http://schemas.openxmlformats.org/officeDocument/2006/relationships/hyperlink" Target="http://diise.islandconservation.org/" TargetMode="External"/><Relationship Id="rId58" Type="http://schemas.openxmlformats.org/officeDocument/2006/relationships/hyperlink" Target="https://www.agriculture.gov.au/biosecurity/australia/reports-pubs/biosecurity-matters/2019-02" TargetMode="External"/><Relationship Id="rId74" Type="http://schemas.openxmlformats.org/officeDocument/2006/relationships/hyperlink" Target="http://www.iucngisd.org/gisd" TargetMode="External"/><Relationship Id="rId79" Type="http://schemas.openxmlformats.org/officeDocument/2006/relationships/hyperlink" Target="https://doi.org/10.5281/zenodo.7430733" TargetMode="External"/><Relationship Id="rId102" Type="http://schemas.openxmlformats.org/officeDocument/2006/relationships/image" Target="media/image20.png"/><Relationship Id="rId123" Type="http://schemas.openxmlformats.org/officeDocument/2006/relationships/header" Target="header12.xml"/><Relationship Id="rId128"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hyperlink" Target="https://promedmail.org/" TargetMode="External"/><Relationship Id="rId95" Type="http://schemas.openxmlformats.org/officeDocument/2006/relationships/image" Target="media/image16.png"/><Relationship Id="rId19" Type="http://schemas.openxmlformats.org/officeDocument/2006/relationships/header" Target="header4.xml"/><Relationship Id="rId14" Type="http://schemas.openxmlformats.org/officeDocument/2006/relationships/endnotes" Target="endnotes.xml"/><Relationship Id="rId22" Type="http://schemas.openxmlformats.org/officeDocument/2006/relationships/footer" Target="footer2.xml"/><Relationship Id="rId27" Type="http://schemas.openxmlformats.org/officeDocument/2006/relationships/image" Target="media/image4.png"/><Relationship Id="rId30" Type="http://schemas.openxmlformats.org/officeDocument/2006/relationships/hyperlink" Target="https://doi.org/10.5334/cstp.238" TargetMode="External"/><Relationship Id="rId35" Type="http://schemas.openxmlformats.org/officeDocument/2006/relationships/hyperlink" Target="https://glonaf.org" TargetMode="External"/><Relationship Id="rId43" Type="http://schemas.openxmlformats.org/officeDocument/2006/relationships/hyperlink" Target="https://doi.org/10.1016/j.tree.2009.06.008" TargetMode="External"/><Relationship Id="rId48" Type="http://schemas.openxmlformats.org/officeDocument/2006/relationships/hyperlink" Target="https://promedmail.org/" TargetMode="External"/><Relationship Id="rId56" Type="http://schemas.openxmlformats.org/officeDocument/2006/relationships/hyperlink" Target="https://doi.org/10.5281/zenodo.7858651" TargetMode="External"/><Relationship Id="rId64" Type="http://schemas.openxmlformats.org/officeDocument/2006/relationships/hyperlink" Target="https://invasoras.biodiversidad.gob.ec" TargetMode="External"/><Relationship Id="rId69" Type="http://schemas.openxmlformats.org/officeDocument/2006/relationships/hyperlink" Target="https://easin.jrc.ec.europa.eu/easin)" TargetMode="External"/><Relationship Id="rId77" Type="http://schemas.openxmlformats.org/officeDocument/2006/relationships/hyperlink" Target="https://doi.org/10.1007/978-3-030-32394-3_20" TargetMode="External"/><Relationship Id="rId100" Type="http://schemas.openxmlformats.org/officeDocument/2006/relationships/hyperlink" Target="https://kb.rspca.org.au/knowledge-base/where-can-i-find-information-on-best-practice-management-of-feral-horses/" TargetMode="External"/><Relationship Id="rId105" Type="http://schemas.openxmlformats.org/officeDocument/2006/relationships/image" Target="media/image22.png"/><Relationship Id="rId113" Type="http://schemas.openxmlformats.org/officeDocument/2006/relationships/footer" Target="footer3.xml"/><Relationship Id="rId118" Type="http://schemas.openxmlformats.org/officeDocument/2006/relationships/header" Target="header11.xml"/><Relationship Id="rId126" Type="http://schemas.openxmlformats.org/officeDocument/2006/relationships/header" Target="header14.xml"/><Relationship Id="rId8" Type="http://schemas.openxmlformats.org/officeDocument/2006/relationships/customXml" Target="../customXml/item8.xml"/><Relationship Id="rId51" Type="http://schemas.openxmlformats.org/officeDocument/2006/relationships/hyperlink" Target="https://figshare.com/articles/dataset/InvaCost_References_and_description_of_economic_cost_estimates_associated_with_biological_invasions_worldwide_/12668570/4" TargetMode="External"/><Relationship Id="rId72" Type="http://schemas.openxmlformats.org/officeDocument/2006/relationships/hyperlink" Target="https://keys.lucidcentral.org/keys/v3/eafrinet/plants.htm" TargetMode="External"/><Relationship Id="rId80" Type="http://schemas.openxmlformats.org/officeDocument/2006/relationships/hyperlink" Target="https://plantnet.rbgsyd.nsw.gov.au/" TargetMode="External"/><Relationship Id="rId85" Type="http://schemas.openxmlformats.org/officeDocument/2006/relationships/hyperlink" Target="http://invasoras.biodiversidad.gob.ec" TargetMode="External"/><Relationship Id="rId93" Type="http://schemas.openxmlformats.org/officeDocument/2006/relationships/hyperlink" Target="https://easin.jrc.ec.europa.eu/easin)" TargetMode="External"/><Relationship Id="rId98" Type="http://schemas.openxmlformats.org/officeDocument/2006/relationships/hyperlink" Target="https://croplife.org/wp-content/uploads/2018/11/Phillips-McDougall-Evolution-of-the-Crop-Protection-Industry-since-1960-FINAL.pdf" TargetMode="External"/><Relationship Id="rId121" Type="http://schemas.openxmlformats.org/officeDocument/2006/relationships/hyperlink" Target="https://www.africanews.com/2021/06/04/cutting-edge-company-flies-drones-to-deliver-vaccines-in-ghana/" TargetMode="Externa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header" Target="header2.xml"/><Relationship Id="rId25" Type="http://schemas.openxmlformats.org/officeDocument/2006/relationships/image" Target="media/image2.png"/><Relationship Id="rId33" Type="http://schemas.openxmlformats.org/officeDocument/2006/relationships/hyperlink" Target="https://theses.ncl.ac.uk/jspui/handle/10443/4926" TargetMode="External"/><Relationship Id="rId38" Type="http://schemas.openxmlformats.org/officeDocument/2006/relationships/image" Target="media/image12.png"/><Relationship Id="rId46" Type="http://schemas.openxmlformats.org/officeDocument/2006/relationships/hyperlink" Target="https://www.lucidcentral.org" TargetMode="External"/><Relationship Id="rId59" Type="http://schemas.openxmlformats.org/officeDocument/2006/relationships/hyperlink" Target="http://www.inbiar.uns.edu.ar/" TargetMode="External"/><Relationship Id="rId67" Type="http://schemas.openxmlformats.org/officeDocument/2006/relationships/hyperlink" Target="https://www.ala.org.au/old-biocollect/biocollect-hubs/" TargetMode="External"/><Relationship Id="rId103" Type="http://schemas.openxmlformats.org/officeDocument/2006/relationships/hyperlink" Target="https://doi.org/10.13057/biodiv/d210115" TargetMode="External"/><Relationship Id="rId108" Type="http://schemas.openxmlformats.org/officeDocument/2006/relationships/hyperlink" Target="https://doi.org/10.2305/IUCN.CH.2019.SSC-OP.62.en" TargetMode="External"/><Relationship Id="rId116" Type="http://schemas.openxmlformats.org/officeDocument/2006/relationships/header" Target="header10.xml"/><Relationship Id="rId124" Type="http://schemas.openxmlformats.org/officeDocument/2006/relationships/header" Target="header13.xml"/><Relationship Id="rId129" Type="http://schemas.microsoft.com/office/2020/10/relationships/intelligence" Target="intelligence2.xml"/><Relationship Id="rId20" Type="http://schemas.openxmlformats.org/officeDocument/2006/relationships/header" Target="header5.xml"/><Relationship Id="rId41" Type="http://schemas.openxmlformats.org/officeDocument/2006/relationships/image" Target="media/image15.png"/><Relationship Id="rId54" Type="http://schemas.openxmlformats.org/officeDocument/2006/relationships/hyperlink" Target="http://b3.net.nz/gerda/" TargetMode="External"/><Relationship Id="rId62" Type="http://schemas.openxmlformats.org/officeDocument/2006/relationships/hyperlink" Target="https://sieei.udelar.edu.uy" TargetMode="External"/><Relationship Id="rId70" Type="http://schemas.openxmlformats.org/officeDocument/2006/relationships/hyperlink" Target="https://www.gbif.org/" TargetMode="External"/><Relationship Id="rId75" Type="http://schemas.openxmlformats.org/officeDocument/2006/relationships/hyperlink" Target="https://theses.ncl.ac.uk/jspui/handle/10443/4926" TargetMode="External"/><Relationship Id="rId83" Type="http://schemas.openxmlformats.org/officeDocument/2006/relationships/hyperlink" Target="https://www.imapinvasives.org" TargetMode="External"/><Relationship Id="rId88" Type="http://schemas.openxmlformats.org/officeDocument/2006/relationships/hyperlink" Target="https://doi.org/10.5334/cstp.238" TargetMode="External"/><Relationship Id="rId91" Type="http://schemas.openxmlformats.org/officeDocument/2006/relationships/hyperlink" Target="https://www.ala.org.au/old-biocollect/biocollect-hubs/" TargetMode="External"/><Relationship Id="rId96" Type="http://schemas.openxmlformats.org/officeDocument/2006/relationships/image" Target="media/image17.png"/><Relationship Id="rId11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ec.europa.eu/environment/nature/invasivealien/index_en.htm" TargetMode="External"/><Relationship Id="rId23" Type="http://schemas.openxmlformats.org/officeDocument/2006/relationships/header" Target="header6.xml"/><Relationship Id="rId28" Type="http://schemas.openxmlformats.org/officeDocument/2006/relationships/image" Target="media/image5.png"/><Relationship Id="rId36" Type="http://schemas.openxmlformats.org/officeDocument/2006/relationships/image" Target="media/image10.png"/><Relationship Id="rId49" Type="http://schemas.openxmlformats.org/officeDocument/2006/relationships/hyperlink" Target="http://biomodelos.humboldt.org.co/en" TargetMode="External"/><Relationship Id="rId57" Type="http://schemas.openxmlformats.org/officeDocument/2006/relationships/hyperlink" Target="https://invasoras.guyra.org.py" TargetMode="External"/><Relationship Id="rId106" Type="http://schemas.openxmlformats.org/officeDocument/2006/relationships/image" Target="media/image23.png"/><Relationship Id="rId114" Type="http://schemas.openxmlformats.org/officeDocument/2006/relationships/header" Target="header8.xml"/><Relationship Id="rId119" Type="http://schemas.openxmlformats.org/officeDocument/2006/relationships/image" Target="media/image28.png"/><Relationship Id="rId127" Type="http://schemas.openxmlformats.org/officeDocument/2006/relationships/fontTable" Target="fontTable.xml"/><Relationship Id="rId10" Type="http://schemas.openxmlformats.org/officeDocument/2006/relationships/styles" Target="styles.xml"/><Relationship Id="rId31" Type="http://schemas.openxmlformats.org/officeDocument/2006/relationships/image" Target="media/image7.png"/><Relationship Id="rId44" Type="http://schemas.openxmlformats.org/officeDocument/2006/relationships/hyperlink" Target="http://www.inbiar.uns.edu.ar/" TargetMode="External"/><Relationship Id="rId52" Type="http://schemas.openxmlformats.org/officeDocument/2006/relationships/hyperlink" Target="http://www.ciasnet.org/ciasnet-org" TargetMode="External"/><Relationship Id="rId60" Type="http://schemas.openxmlformats.org/officeDocument/2006/relationships/hyperlink" Target="http://bd.institutohorus.org.br" TargetMode="External"/><Relationship Id="rId65" Type="http://schemas.openxmlformats.org/officeDocument/2006/relationships/hyperlink" Target="https://ashtagapp.com/" TargetMode="External"/><Relationship Id="rId73" Type="http://schemas.openxmlformats.org/officeDocument/2006/relationships/hyperlink" Target="https://croplife.org/wp-content/uploads/2018/11/Phillips-McDougall-Evolution-of-the-Crop-Protection-Industry-since-1960-FINAL.pdf" TargetMode="External"/><Relationship Id="rId78" Type="http://schemas.openxmlformats.org/officeDocument/2006/relationships/hyperlink" Target="https://www.sieei.udelar.edu.uy" TargetMode="External"/><Relationship Id="rId81" Type="http://schemas.openxmlformats.org/officeDocument/2006/relationships/hyperlink" Target="http://www.griis.org/" TargetMode="External"/><Relationship Id="rId86" Type="http://schemas.openxmlformats.org/officeDocument/2006/relationships/hyperlink" Target="http://www.ala.org" TargetMode="External"/><Relationship Id="rId94" Type="http://schemas.openxmlformats.org/officeDocument/2006/relationships/hyperlink" Target="https://ashtagapp.com/" TargetMode="External"/><Relationship Id="rId99" Type="http://schemas.openxmlformats.org/officeDocument/2006/relationships/image" Target="media/image18.png"/><Relationship Id="rId101" Type="http://schemas.openxmlformats.org/officeDocument/2006/relationships/image" Target="media/image19.png"/><Relationship Id="rId122" Type="http://schemas.openxmlformats.org/officeDocument/2006/relationships/hyperlink" Target="https://doi.org/10.5281/zenodo.5706520" TargetMode="Externa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header" Target="header3.xml"/><Relationship Id="rId39" Type="http://schemas.openxmlformats.org/officeDocument/2006/relationships/image" Target="media/image13.png"/><Relationship Id="rId109" Type="http://schemas.openxmlformats.org/officeDocument/2006/relationships/image" Target="media/image25.png"/><Relationship Id="rId34" Type="http://schemas.openxmlformats.org/officeDocument/2006/relationships/image" Target="media/image9.png"/><Relationship Id="rId50" Type="http://schemas.openxmlformats.org/officeDocument/2006/relationships/hyperlink" Target="http://www.esenias.org" TargetMode="External"/><Relationship Id="rId55" Type="http://schemas.openxmlformats.org/officeDocument/2006/relationships/hyperlink" Target="https://www.ibiocontrol.org/" TargetMode="External"/><Relationship Id="rId76" Type="http://schemas.openxmlformats.org/officeDocument/2006/relationships/hyperlink" Target="https://www.africanews.com/2021/06/04/cutting-edge-company-flies-drones-to-deliver-vaccines-in-ghana/" TargetMode="External"/><Relationship Id="rId97" Type="http://schemas.openxmlformats.org/officeDocument/2006/relationships/hyperlink" Target="https://croplife.org/wp-content/uploads/2016/04/Cost-of-CP-report-FINAL.pdf" TargetMode="External"/><Relationship Id="rId104" Type="http://schemas.openxmlformats.org/officeDocument/2006/relationships/image" Target="media/image21.png"/><Relationship Id="rId120" Type="http://schemas.openxmlformats.org/officeDocument/2006/relationships/hyperlink" Target="https://www.ippc.int/en/core-activities/standards-setting/ispms/" TargetMode="External"/><Relationship Id="rId125" Type="http://schemas.openxmlformats.org/officeDocument/2006/relationships/footer" Target="footer5.xml"/><Relationship Id="rId7" Type="http://schemas.openxmlformats.org/officeDocument/2006/relationships/customXml" Target="../customXml/item7.xml"/><Relationship Id="rId71" Type="http://schemas.openxmlformats.org/officeDocument/2006/relationships/hyperlink" Target="http://www.inbiar.uns.edu.ar/" TargetMode="External"/><Relationship Id="rId92" Type="http://schemas.openxmlformats.org/officeDocument/2006/relationships/hyperlink" Target="https://www.redmap.org.au/" TargetMode="External"/><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image" Target="media/image1.png"/><Relationship Id="rId40" Type="http://schemas.openxmlformats.org/officeDocument/2006/relationships/image" Target="media/image14.png"/><Relationship Id="rId45" Type="http://schemas.openxmlformats.org/officeDocument/2006/relationships/hyperlink" Target="https://www.ippc.int/en/external-cooperation/regional-plant-protection-organizations/" TargetMode="External"/><Relationship Id="rId66" Type="http://schemas.openxmlformats.org/officeDocument/2006/relationships/hyperlink" Target="https://www.iucnredlist.org/" TargetMode="External"/><Relationship Id="rId87" Type="http://schemas.openxmlformats.org/officeDocument/2006/relationships/hyperlink" Target="https://www.cidebox.com/jamaicainvasives/www/" TargetMode="External"/><Relationship Id="rId110" Type="http://schemas.openxmlformats.org/officeDocument/2006/relationships/image" Target="media/image26.png"/><Relationship Id="rId115" Type="http://schemas.openxmlformats.org/officeDocument/2006/relationships/header" Target="header9.xml"/><Relationship Id="rId61" Type="http://schemas.openxmlformats.org/officeDocument/2006/relationships/hyperlink" Target="https://caribbeaninvasives.org" TargetMode="External"/><Relationship Id="rId82" Type="http://schemas.openxmlformats.org/officeDocument/2006/relationships/hyperlink" Target="http://www.marinespecies.org/introduced/"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conservationevidence.com/" TargetMode="External"/><Relationship Id="rId2" Type="http://schemas.openxmlformats.org/officeDocument/2006/relationships/hyperlink" Target="http://bd.institutohorus.org.br" TargetMode="External"/><Relationship Id="rId1" Type="http://schemas.openxmlformats.org/officeDocument/2006/relationships/hyperlink" Target="https://www.invasivespeciescentre.ca/invasive-species/what-is-at-risk/invasive-species-risk-assessment/" TargetMode="External"/><Relationship Id="rId5" Type="http://schemas.openxmlformats.org/officeDocument/2006/relationships/hyperlink" Target="https://doi.org/10.5281/zenodo.5706520" TargetMode="External"/><Relationship Id="rId4" Type="http://schemas.openxmlformats.org/officeDocument/2006/relationships/hyperlink" Target="https://www.plantsentinel.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EA0AD1F54C454D8EB41F1A49973AEE" ma:contentTypeVersion="10" ma:contentTypeDescription="Create a new document." ma:contentTypeScope="" ma:versionID="6daf682e88bfa9adabb83450418f7525">
  <xsd:schema xmlns:xsd="http://www.w3.org/2001/XMLSchema" xmlns:xs="http://www.w3.org/2001/XMLSchema" xmlns:p="http://schemas.microsoft.com/office/2006/metadata/properties" xmlns:ns3="9b4b222b-61d4-4afe-a0e4-1f9b6ac7da32" targetNamespace="http://schemas.microsoft.com/office/2006/metadata/properties" ma:root="true" ma:fieldsID="3d08024187d5e4a694b8436ab0773b66" ns3:_="">
    <xsd:import namespace="9b4b222b-61d4-4afe-a0e4-1f9b6ac7da3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4b222b-61d4-4afe-a0e4-1f9b6ac7da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_activity" ma:index="17"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A4C5A034BE8DD47991129D4A151C97E" ma:contentTypeVersion="19" ma:contentTypeDescription="Create a new document." ma:contentTypeScope="" ma:versionID="cb68fe39243c11c465bfd131da7f4509">
  <xsd:schema xmlns:xsd="http://www.w3.org/2001/XMLSchema" xmlns:xs="http://www.w3.org/2001/XMLSchema" xmlns:p="http://schemas.microsoft.com/office/2006/metadata/properties" xmlns:ns2="ae4a642e-7f8b-4e18-9cfb-3601aa1025a5" xmlns:ns3="434407cf-833e-4317-8014-c98a4d8e11fc" targetNamespace="http://schemas.microsoft.com/office/2006/metadata/properties" ma:root="true" ma:fieldsID="c0dd19795febd5a71faa400b93a3bcf2" ns2:_="" ns3:_="">
    <xsd:import namespace="ae4a642e-7f8b-4e18-9cfb-3601aa1025a5"/>
    <xsd:import namespace="434407cf-833e-4317-8014-c98a4d8e11f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Location" minOccurs="0"/>
                <xsd:element ref="ns3:TaxCatchAll"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4a642e-7f8b-4e18-9cfb-3601aa1025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34407cf-833e-4317-8014-c98a4d8e11f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14964d7-ccac-422d-96f7-2645e9a334f0}" ma:internalName="TaxCatchAll" ma:showField="CatchAllData" ma:web="434407cf-833e-4317-8014-c98a4d8e11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elmPy92GIOj58Z6kGgm6pyDk6A==">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ppZC4xMTFreDNvMgppZC4zbDE4ZnJoMgloLjJsd2FtdnYyCWguMjA2aXB6YTIJaC40azY2OG4zMgloLjJ6YmdpdXc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</go:docsCustomData>
</go:gDocsCustomXmlDataStorage>
</file>

<file path=customXml/item5.xml><?xml version="1.0" encoding="utf-8"?>
<p:properties xmlns:p="http://schemas.microsoft.com/office/2006/metadata/properties" xmlns:xsi="http://www.w3.org/2001/XMLSchema-instance" xmlns:pc="http://schemas.microsoft.com/office/infopath/2007/PartnerControls">
  <documentManagement>
    <MediaLengthInSeconds xmlns="9b4b222b-61d4-4afe-a0e4-1f9b6ac7da32" xsi:nil="true"/>
    <_activity xmlns="9b4b222b-61d4-4afe-a0e4-1f9b6ac7da32" xsi:nil="true"/>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ae4a642e-7f8b-4e18-9cfb-3601aa1025a5">
      <Terms xmlns="http://schemas.microsoft.com/office/infopath/2007/PartnerControls"/>
    </lcf76f155ced4ddcb4097134ff3c332f>
    <TaxCatchAll xmlns="434407cf-833e-4317-8014-c98a4d8e11fc" xsi:nil="true"/>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005FC2-81F5-40C4-84B3-85DAE061E1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4b222b-61d4-4afe-a0e4-1f9b6ac7da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7CA7EF-7D62-44EC-A184-EC645358C690}">
  <ds:schemaRefs>
    <ds:schemaRef ds:uri="http://schemas.microsoft.com/sharepoint/v3/contenttype/forms"/>
  </ds:schemaRefs>
</ds:datastoreItem>
</file>

<file path=customXml/itemProps3.xml><?xml version="1.0" encoding="utf-8"?>
<ds:datastoreItem xmlns:ds="http://schemas.openxmlformats.org/officeDocument/2006/customXml" ds:itemID="{A4605A01-3262-4D9D-B07A-EB25E680FD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4a642e-7f8b-4e18-9cfb-3601aa1025a5"/>
    <ds:schemaRef ds:uri="434407cf-833e-4317-8014-c98a4d8e11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8778D4B8-66F9-4BFD-9DF5-F522961FA084}">
  <ds:schemaRefs>
    <ds:schemaRef ds:uri="http://schemas.microsoft.com/office/2006/metadata/properties"/>
    <ds:schemaRef ds:uri="http://schemas.microsoft.com/office/infopath/2007/PartnerControls"/>
    <ds:schemaRef ds:uri="9b4b222b-61d4-4afe-a0e4-1f9b6ac7da32"/>
  </ds:schemaRefs>
</ds:datastoreItem>
</file>

<file path=customXml/itemProps6.xml><?xml version="1.0" encoding="utf-8"?>
<ds:datastoreItem xmlns:ds="http://schemas.openxmlformats.org/officeDocument/2006/customXml" ds:itemID="{6A22E6F0-C1C9-4C1F-9BBA-B29F8F29CC01}">
  <ds:schemaRefs>
    <ds:schemaRef ds:uri="http://schemas.microsoft.com/office/2006/metadata/properties"/>
    <ds:schemaRef ds:uri="http://schemas.microsoft.com/office/infopath/2007/PartnerControls"/>
    <ds:schemaRef ds:uri="ae4a642e-7f8b-4e18-9cfb-3601aa1025a5"/>
    <ds:schemaRef ds:uri="434407cf-833e-4317-8014-c98a4d8e11fc"/>
  </ds:schemaRefs>
</ds:datastoreItem>
</file>

<file path=customXml/itemProps7.xml><?xml version="1.0" encoding="utf-8"?>
<ds:datastoreItem xmlns:ds="http://schemas.openxmlformats.org/officeDocument/2006/customXml" ds:itemID="{54FA70FC-2F09-47DC-A58F-4F93BD2AFB43}">
  <ds:schemaRefs>
    <ds:schemaRef ds:uri="http://schemas.microsoft.com/sharepoint/v3/contenttype/forms"/>
  </ds:schemaRefs>
</ds:datastoreItem>
</file>

<file path=customXml/itemProps8.xml><?xml version="1.0" encoding="utf-8"?>
<ds:datastoreItem xmlns:ds="http://schemas.openxmlformats.org/officeDocument/2006/customXml" ds:itemID="{15ECA348-858A-41A1-9C44-DE7E5BDC4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232</Pages>
  <Words>597025</Words>
  <Characters>3403048</Characters>
  <Application>Microsoft Office Word</Application>
  <DocSecurity>0</DocSecurity>
  <Lines>28358</Lines>
  <Paragraphs>7984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3992089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renard</dc:creator>
  <cp:lastModifiedBy>Tsu Ias</cp:lastModifiedBy>
  <cp:revision>7</cp:revision>
  <dcterms:created xsi:type="dcterms:W3CDTF">2024-02-13T02:50:00Z</dcterms:created>
  <dcterms:modified xsi:type="dcterms:W3CDTF">2024-03-08T01:38:00Z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2">
    <vt:lpwstr>alAbbreviations" value="true"/&gt;&lt;pref name="dontAskDelayCitationUpdates" value="true"/&gt;&lt;/prefs&gt;&lt;/data&gt;</vt:lpwstr>
  </property>
  <property fmtid="{D5CDD505-2E9C-101B-9397-08002B2CF9AE}" pid="3" name="ContentTypeId">
    <vt:lpwstr>0x010100EA4C5A034BE8DD47991129D4A151C97E</vt:lpwstr>
  </property>
  <property fmtid="{D5CDD505-2E9C-101B-9397-08002B2CF9AE}" pid="4" name="Order">
    <vt:r8>1400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SIP_Label_97a477d1-147d-4e34-b5e3-7b26d2f44870_Enabled">
    <vt:lpwstr>true</vt:lpwstr>
  </property>
  <property fmtid="{D5CDD505-2E9C-101B-9397-08002B2CF9AE}" pid="12" name="MSIP_Label_97a477d1-147d-4e34-b5e3-7b26d2f44870_SetDate">
    <vt:lpwstr>2022-05-31T07:31:34Z</vt:lpwstr>
  </property>
  <property fmtid="{D5CDD505-2E9C-101B-9397-08002B2CF9AE}" pid="13" name="MSIP_Label_97a477d1-147d-4e34-b5e3-7b26d2f44870_Method">
    <vt:lpwstr>Standard</vt:lpwstr>
  </property>
  <property fmtid="{D5CDD505-2E9C-101B-9397-08002B2CF9AE}" pid="14" name="MSIP_Label_97a477d1-147d-4e34-b5e3-7b26d2f44870_Name">
    <vt:lpwstr>97a477d1-147d-4e34-b5e3-7b26d2f44870</vt:lpwstr>
  </property>
  <property fmtid="{D5CDD505-2E9C-101B-9397-08002B2CF9AE}" pid="15" name="MSIP_Label_97a477d1-147d-4e34-b5e3-7b26d2f44870_SiteId">
    <vt:lpwstr>1f816a84-7aa6-4a56-b22a-7b3452fa8681</vt:lpwstr>
  </property>
  <property fmtid="{D5CDD505-2E9C-101B-9397-08002B2CF9AE}" pid="16" name="MSIP_Label_97a477d1-147d-4e34-b5e3-7b26d2f44870_ActionId">
    <vt:lpwstr>6c91fa16-6229-4f68-87b3-8fb1a112c217</vt:lpwstr>
  </property>
  <property fmtid="{D5CDD505-2E9C-101B-9397-08002B2CF9AE}" pid="17" name="MSIP_Label_97a477d1-147d-4e34-b5e3-7b26d2f44870_ContentBits">
    <vt:lpwstr>0</vt:lpwstr>
  </property>
  <property fmtid="{D5CDD505-2E9C-101B-9397-08002B2CF9AE}" pid="18" name="MediaServiceImageTags">
    <vt:lpwstr/>
  </property>
  <property fmtid="{D5CDD505-2E9C-101B-9397-08002B2CF9AE}" pid="19" name="ZOTERO_PREF_1">
    <vt:lpwstr>&lt;data data-version="3" zotero-version="6.0.30"&gt;&lt;session id="aIyXQQKj"/&gt;&lt;style id="http://www.zotero.org/styles/apa" locale="en-US" hasBibliography="1" bibliographyStyleHasBeenSet="1"/&gt;&lt;prefs&gt;&lt;pref name="fieldType" value="Field"/&gt;&lt;pref name="automaticJourn</vt:lpwstr>
  </property>
</Properties>
</file>